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503"/>
        <w:rPr>
          <w:rFonts w:ascii="Times New Roman"/>
          <w:sz w:val="2"/>
        </w:rPr>
      </w:pPr>
      <w:r>
        <w:rPr>
          <w:rFonts w:ascii="Times New Roman"/>
          <w:sz w:val="2"/>
        </w:rPr>
        <w:pict>
          <v:group style="width:418.3pt;height:.75pt;mso-position-horizontal-relative:char;mso-position-vertical-relative:line" coordorigin="0,0" coordsize="8366,15">
            <v:line style="position:absolute" from="0,7" to="8365,7" stroked="true" strokeweight=".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spacing w:before="38"/>
        <w:ind w:left="409" w:right="748" w:firstLine="0"/>
        <w:jc w:val="center"/>
        <w:rPr>
          <w:b/>
          <w:sz w:val="44"/>
        </w:rPr>
      </w:pPr>
      <w:r>
        <w:rPr>
          <w:b/>
          <w:sz w:val="44"/>
        </w:rPr>
        <w:t>华夏大中华信用精选债券型</w:t>
      </w:r>
    </w:p>
    <w:p>
      <w:pPr>
        <w:spacing w:before="60"/>
        <w:ind w:left="617" w:right="748" w:firstLine="0"/>
        <w:jc w:val="center"/>
        <w:rPr>
          <w:b/>
          <w:sz w:val="44"/>
        </w:rPr>
      </w:pPr>
      <w:r>
        <w:rPr>
          <w:b/>
          <w:sz w:val="44"/>
        </w:rPr>
        <w:t>证券投资基金（</w:t>
      </w:r>
      <w:r>
        <w:rPr>
          <w:rFonts w:ascii="Calibri" w:eastAsia="Calibri"/>
          <w:b/>
          <w:sz w:val="44"/>
        </w:rPr>
        <w:t>QDII</w:t>
      </w:r>
      <w:r>
        <w:rPr>
          <w:b/>
          <w:sz w:val="44"/>
        </w:rPr>
        <w:t>）招募说明书（更新）</w:t>
      </w:r>
    </w:p>
    <w:p>
      <w:pPr>
        <w:spacing w:before="60"/>
        <w:ind w:left="617" w:right="72" w:firstLine="0"/>
        <w:jc w:val="center"/>
        <w:rPr>
          <w:b/>
          <w:sz w:val="44"/>
        </w:rPr>
      </w:pPr>
      <w:r>
        <w:rPr>
          <w:rFonts w:ascii="Calibri" w:eastAsia="Calibri"/>
          <w:b/>
          <w:sz w:val="44"/>
        </w:rPr>
        <w:t>2020 </w:t>
      </w:r>
      <w:r>
        <w:rPr>
          <w:b/>
          <w:spacing w:val="-55"/>
          <w:sz w:val="44"/>
        </w:rPr>
        <w:t>年 </w:t>
      </w:r>
      <w:r>
        <w:rPr>
          <w:rFonts w:ascii="Calibri" w:eastAsia="Calibri"/>
          <w:b/>
          <w:sz w:val="44"/>
        </w:rPr>
        <w:t>9 </w:t>
      </w:r>
      <w:r>
        <w:rPr>
          <w:b/>
          <w:spacing w:val="-55"/>
          <w:sz w:val="44"/>
        </w:rPr>
        <w:t>月 </w:t>
      </w:r>
      <w:r>
        <w:rPr>
          <w:rFonts w:ascii="Calibri" w:eastAsia="Calibri"/>
          <w:b/>
          <w:sz w:val="44"/>
        </w:rPr>
        <w:t>30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4"/>
        <w:rPr>
          <w:b/>
          <w:sz w:val="39"/>
        </w:rPr>
      </w:pPr>
    </w:p>
    <w:p>
      <w:pPr>
        <w:spacing w:line="364" w:lineRule="auto" w:before="0"/>
        <w:ind w:left="2482" w:right="2126" w:firstLine="0"/>
        <w:jc w:val="left"/>
        <w:rPr>
          <w:sz w:val="32"/>
        </w:rPr>
      </w:pPr>
      <w:r>
        <w:rPr>
          <w:sz w:val="32"/>
        </w:rPr>
        <w:t>基金管理人：华夏基金管理有限公司基金托管人：中国银行股份有限公司</w:t>
      </w:r>
    </w:p>
    <w:p>
      <w:pPr>
        <w:spacing w:after="0" w:line="364" w:lineRule="auto"/>
        <w:jc w:val="left"/>
        <w:rPr>
          <w:sz w:val="32"/>
        </w:rPr>
        <w:sectPr>
          <w:type w:val="continuous"/>
          <w:pgSz w:w="11910" w:h="16840"/>
          <w:pgMar w:top="1060" w:bottom="280" w:left="1260" w:right="920"/>
        </w:sectPr>
      </w:pPr>
    </w:p>
    <w:p>
      <w:pPr>
        <w:pStyle w:val="BodyText"/>
        <w:spacing w:before="4"/>
        <w:rPr>
          <w:sz w:val="27"/>
        </w:rPr>
      </w:pPr>
    </w:p>
    <w:p>
      <w:pPr>
        <w:spacing w:before="71"/>
        <w:ind w:left="415" w:right="748" w:firstLine="0"/>
        <w:jc w:val="center"/>
        <w:rPr>
          <w:b/>
          <w:sz w:val="21"/>
        </w:rPr>
      </w:pPr>
      <w:r>
        <w:rPr>
          <w:b/>
          <w:sz w:val="21"/>
        </w:rPr>
        <w:t>重要提示</w:t>
      </w:r>
    </w:p>
    <w:p>
      <w:pPr>
        <w:pStyle w:val="BodyText"/>
        <w:rPr>
          <w:b/>
          <w:sz w:val="20"/>
        </w:rPr>
      </w:pPr>
    </w:p>
    <w:p>
      <w:pPr>
        <w:pStyle w:val="BodyText"/>
        <w:rPr>
          <w:b/>
          <w:sz w:val="20"/>
        </w:rPr>
      </w:pPr>
    </w:p>
    <w:p>
      <w:pPr>
        <w:pStyle w:val="BodyText"/>
        <w:spacing w:line="417" w:lineRule="auto" w:before="155"/>
        <w:ind w:left="540" w:right="871" w:firstLine="419"/>
        <w:jc w:val="both"/>
      </w:pPr>
      <w:r>
        <w:rPr>
          <w:w w:val="100"/>
        </w:rPr>
        <w:t>华夏大中华信用精选债券型证券投资基金</w:t>
      </w:r>
      <w:r>
        <w:rPr>
          <w:spacing w:val="3"/>
          <w:w w:val="100"/>
        </w:rPr>
        <w:t>（</w:t>
      </w:r>
      <w:r>
        <w:rPr>
          <w:rFonts w:ascii="Calibri" w:hAnsi="Calibri" w:eastAsia="Calibri"/>
          <w:w w:val="100"/>
        </w:rPr>
        <w:t>Q</w:t>
      </w:r>
      <w:r>
        <w:rPr>
          <w:rFonts w:ascii="Calibri" w:hAnsi="Calibri" w:eastAsia="Calibri"/>
          <w:spacing w:val="-1"/>
          <w:w w:val="100"/>
        </w:rPr>
        <w:t>D</w:t>
      </w:r>
      <w:r>
        <w:rPr>
          <w:rFonts w:ascii="Calibri" w:hAnsi="Calibri" w:eastAsia="Calibri"/>
          <w:w w:val="100"/>
        </w:rPr>
        <w:t>I</w:t>
      </w:r>
      <w:r>
        <w:rPr>
          <w:rFonts w:ascii="Calibri" w:hAnsi="Calibri" w:eastAsia="Calibri"/>
          <w:spacing w:val="-1"/>
          <w:w w:val="100"/>
        </w:rPr>
        <w:t>I</w:t>
      </w:r>
      <w:r>
        <w:rPr>
          <w:spacing w:val="-106"/>
          <w:w w:val="100"/>
        </w:rPr>
        <w:t>）</w:t>
      </w:r>
      <w:r>
        <w:rPr>
          <w:w w:val="100"/>
        </w:rPr>
        <w:t>（以下简称“本基金”</w:t>
      </w:r>
      <w:r>
        <w:rPr>
          <w:spacing w:val="3"/>
          <w:w w:val="100"/>
        </w:rPr>
        <w:t>）</w:t>
      </w:r>
      <w:r>
        <w:rPr>
          <w:spacing w:val="-3"/>
          <w:w w:val="100"/>
        </w:rPr>
        <w:t>已经中国证</w:t>
      </w:r>
      <w:r>
        <w:rPr>
          <w:spacing w:val="-18"/>
        </w:rPr>
        <w:t>监会 </w:t>
      </w:r>
      <w:r>
        <w:rPr>
          <w:rFonts w:ascii="Calibri" w:hAnsi="Calibri" w:eastAsia="Calibri"/>
        </w:rPr>
        <w:t>2016 </w:t>
      </w:r>
      <w:r>
        <w:rPr>
          <w:spacing w:val="-27"/>
        </w:rPr>
        <w:t>年 </w:t>
      </w:r>
      <w:r>
        <w:rPr>
          <w:rFonts w:ascii="Calibri" w:hAnsi="Calibri" w:eastAsia="Calibri"/>
        </w:rPr>
        <w:t>5 </w:t>
      </w:r>
      <w:r>
        <w:rPr>
          <w:spacing w:val="-26"/>
        </w:rPr>
        <w:t>月 </w:t>
      </w:r>
      <w:r>
        <w:rPr>
          <w:rFonts w:ascii="Calibri" w:hAnsi="Calibri" w:eastAsia="Calibri"/>
        </w:rPr>
        <w:t>26 </w:t>
      </w:r>
      <w:r>
        <w:rPr>
          <w:spacing w:val="-2"/>
        </w:rPr>
        <w:t>日证监许可</w:t>
      </w:r>
      <w:r>
        <w:rPr>
          <w:rFonts w:ascii="Calibri" w:hAnsi="Calibri" w:eastAsia="Calibri"/>
        </w:rPr>
        <w:t>[2016]1130 </w:t>
      </w:r>
      <w:r>
        <w:rPr>
          <w:spacing w:val="-6"/>
        </w:rPr>
        <w:t>号文准予注册。本基金基金合同于 </w:t>
      </w:r>
      <w:r>
        <w:rPr>
          <w:rFonts w:ascii="Calibri" w:hAnsi="Calibri" w:eastAsia="Calibri"/>
        </w:rPr>
        <w:t>2016 </w:t>
      </w:r>
      <w:r>
        <w:rPr>
          <w:spacing w:val="-26"/>
        </w:rPr>
        <w:t>年 </w:t>
      </w:r>
      <w:r>
        <w:rPr>
          <w:rFonts w:ascii="Calibri" w:hAnsi="Calibri" w:eastAsia="Calibri"/>
        </w:rPr>
        <w:t>7 </w:t>
      </w:r>
      <w:r>
        <w:rPr/>
        <w:t>月</w:t>
      </w:r>
    </w:p>
    <w:p>
      <w:pPr>
        <w:pStyle w:val="BodyText"/>
        <w:spacing w:line="269" w:lineRule="exact"/>
        <w:ind w:left="540"/>
        <w:jc w:val="both"/>
      </w:pPr>
      <w:r>
        <w:rPr>
          <w:rFonts w:ascii="Calibri" w:eastAsia="Calibri"/>
        </w:rPr>
        <w:t>27 </w:t>
      </w:r>
      <w:r>
        <w:rPr/>
        <w:t>日正式生效。</w:t>
      </w:r>
    </w:p>
    <w:p>
      <w:pPr>
        <w:pStyle w:val="BodyText"/>
        <w:spacing w:before="6"/>
        <w:rPr>
          <w:sz w:val="15"/>
        </w:rPr>
      </w:pPr>
    </w:p>
    <w:p>
      <w:pPr>
        <w:pStyle w:val="BodyText"/>
        <w:spacing w:line="417" w:lineRule="auto" w:before="1"/>
        <w:ind w:left="540" w:right="87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540" w:right="768"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6"/>
        </w:rPr>
        <w:t>在基金管理实施过程中产生的积极管理风险，本基金的特定风险等。本基金为债券型基金， </w:t>
      </w:r>
      <w:r>
        <w:rPr>
          <w:spacing w:val="-5"/>
        </w:rPr>
        <w:t>其长期平均风险和预期收益率低于股票基金、混合基金，高于货币市场基金。根据 </w:t>
      </w:r>
      <w:r>
        <w:rPr>
          <w:rFonts w:ascii="Times New Roman" w:eastAsia="Times New Roman"/>
        </w:rPr>
        <w:t>2017 </w:t>
      </w:r>
      <w:r>
        <w:rPr/>
        <w:t>年</w:t>
      </w:r>
    </w:p>
    <w:p>
      <w:pPr>
        <w:pStyle w:val="BodyText"/>
        <w:spacing w:line="417" w:lineRule="auto"/>
        <w:ind w:left="540" w:right="871"/>
        <w:jc w:val="both"/>
      </w:pPr>
      <w:r>
        <w:rPr>
          <w:rFonts w:ascii="Times New Roman" w:eastAsia="Times New Roman"/>
        </w:rPr>
        <w:t>7 </w:t>
      </w:r>
      <w:r>
        <w:rPr>
          <w:spacing w:val="-10"/>
        </w:rPr>
        <w:t>月 </w:t>
      </w:r>
      <w:r>
        <w:rPr>
          <w:rFonts w:ascii="Times New Roman" w:eastAsia="Times New Roman"/>
        </w:rPr>
        <w:t>1 </w:t>
      </w:r>
      <w:r>
        <w:rPr>
          <w:spacing w:val="-9"/>
        </w:rPr>
        <w:t>日施行的《证券期货投资者适当性管理办法》，基金管理人和销售机构已对本基金重</w:t>
      </w:r>
      <w:r>
        <w:rPr>
          <w:spacing w:val="-12"/>
        </w:rPr>
        <w:t>新进行风险评级，风险评级行为不改变基金的实质性风险收益特征，但由于风险分类标准的变化，本基金的风险等级表述可能有相应变化，具体风险评级结果应以基金管理人和销售机</w:t>
      </w:r>
      <w:r>
        <w:rPr>
          <w:spacing w:val="-13"/>
        </w:rPr>
        <w:t>构提供的评级结果为准。本基金可投资中小企业私募债券，当基金所投资的中小企业私募债券之债务人出现违约，或在交易过程中发生交收违约，或由于中小企业私募债券信用质量降</w:t>
      </w:r>
      <w:r>
        <w:rPr>
          <w:spacing w:val="-12"/>
        </w:rPr>
        <w:t>低导致价格下降等，可能造成基金财产损失。此外，受市场规模及交易活跃程度的影响，中</w:t>
      </w:r>
      <w:r>
        <w:rPr>
          <w:spacing w:val="-9"/>
        </w:rPr>
        <w:t>小企业私募债券可能无法在同一价格水平上进行较大数量的买入或卖出，存在一定的流动性</w:t>
      </w:r>
      <w:r>
        <w:rPr>
          <w:spacing w:val="-5"/>
        </w:rPr>
        <w:t>风险，从而对基金收益造成影响。</w:t>
      </w:r>
    </w:p>
    <w:p>
      <w:pPr>
        <w:pStyle w:val="BodyText"/>
        <w:spacing w:line="417" w:lineRule="auto"/>
        <w:ind w:left="540" w:right="76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87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875" w:firstLine="419"/>
      </w:pPr>
      <w:r>
        <w:rPr>
          <w:spacing w:val="-9"/>
        </w:rPr>
        <w:t>基金管理人依照恪尽职守、诚实信用、谨慎勤勉的原则管理和运用基金财产，但不保证</w:t>
      </w:r>
      <w:r>
        <w:rPr>
          <w:spacing w:val="-5"/>
        </w:rPr>
        <w:t>基金一定盈利，也不保证最低收益。</w:t>
      </w:r>
    </w:p>
    <w:p>
      <w:pPr>
        <w:spacing w:after="0" w:line="417" w:lineRule="auto"/>
        <w:sectPr>
          <w:headerReference w:type="default" r:id="rId5"/>
          <w:footerReference w:type="default" r:id="rId6"/>
          <w:pgSz w:w="11910" w:h="16840"/>
          <w:pgMar w:header="872" w:footer="995" w:top="1100" w:bottom="1180" w:left="1260" w:right="920"/>
          <w:pgNumType w:start="2"/>
        </w:sectPr>
      </w:pPr>
    </w:p>
    <w:p>
      <w:pPr>
        <w:pStyle w:val="BodyText"/>
        <w:spacing w:before="4"/>
        <w:rPr>
          <w:sz w:val="27"/>
        </w:rPr>
      </w:pPr>
    </w:p>
    <w:p>
      <w:pPr>
        <w:pStyle w:val="BodyText"/>
        <w:spacing w:before="71"/>
        <w:ind w:left="960"/>
      </w:pPr>
      <w:r>
        <w:rPr/>
        <w:t>投资者应当认真阅读并完全理解基金合同规定的免责条款和规定的争议处理方式。</w:t>
      </w:r>
    </w:p>
    <w:p>
      <w:pPr>
        <w:pStyle w:val="BodyText"/>
        <w:spacing w:before="7"/>
        <w:rPr>
          <w:sz w:val="15"/>
        </w:rPr>
      </w:pPr>
    </w:p>
    <w:p>
      <w:pPr>
        <w:pStyle w:val="BodyText"/>
        <w:spacing w:line="417" w:lineRule="auto"/>
        <w:ind w:left="540" w:right="871" w:firstLine="419"/>
      </w:pPr>
      <w:r>
        <w:rPr>
          <w:spacing w:val="-3"/>
        </w:rPr>
        <w:t>本招募说明书所载内容截止日为</w:t>
      </w:r>
      <w:r>
        <w:rPr>
          <w:rFonts w:ascii="Calibri" w:eastAsia="Calibri"/>
        </w:rPr>
        <w:t>2020</w:t>
      </w:r>
      <w:r>
        <w:rPr/>
        <w:t>年</w:t>
      </w:r>
      <w:r>
        <w:rPr>
          <w:rFonts w:ascii="Calibri" w:eastAsia="Calibri"/>
        </w:rPr>
        <w:t>9</w:t>
      </w:r>
      <w:r>
        <w:rPr/>
        <w:t>月</w:t>
      </w:r>
      <w:r>
        <w:rPr>
          <w:rFonts w:ascii="Calibri" w:eastAsia="Calibri"/>
        </w:rPr>
        <w:t>28</w:t>
      </w:r>
      <w:r>
        <w:rPr>
          <w:spacing w:val="-3"/>
        </w:rPr>
        <w:t>日，有关财务数据和净值表现数据截止日为</w:t>
      </w:r>
      <w:r>
        <w:rPr>
          <w:rFonts w:ascii="Calibri" w:eastAsia="Calibri"/>
          <w:spacing w:val="-3"/>
        </w:rPr>
        <w:t>2020</w:t>
      </w:r>
      <w:r>
        <w:rPr>
          <w:spacing w:val="-3"/>
        </w:rPr>
        <w:t>年</w:t>
      </w:r>
      <w:r>
        <w:rPr>
          <w:rFonts w:ascii="Calibri" w:eastAsia="Calibri"/>
          <w:spacing w:val="-3"/>
        </w:rPr>
        <w:t>6</w:t>
      </w:r>
      <w:r>
        <w:rPr>
          <w:spacing w:val="-3"/>
        </w:rPr>
        <w:t>月</w:t>
      </w:r>
      <w:r>
        <w:rPr>
          <w:rFonts w:ascii="Calibri" w:eastAsia="Calibri"/>
          <w:spacing w:val="-3"/>
        </w:rPr>
        <w:t>30</w:t>
      </w:r>
      <w:r>
        <w:rPr>
          <w:spacing w:val="-55"/>
        </w:rPr>
        <w:t>日。</w:t>
      </w:r>
      <w:r>
        <w:rPr>
          <w:spacing w:val="-3"/>
        </w:rPr>
        <w:t>（本招募说明书中的财务资料未经审计</w:t>
      </w:r>
      <w:r>
        <w:rPr/>
        <w:t>）</w:t>
      </w:r>
    </w:p>
    <w:p>
      <w:pPr>
        <w:spacing w:after="0" w:line="417" w:lineRule="auto"/>
        <w:sectPr>
          <w:pgSz w:w="11910" w:h="16840"/>
          <w:pgMar w:header="872" w:footer="995" w:top="1100" w:bottom="1180" w:left="1260" w:right="920"/>
        </w:sectPr>
      </w:pPr>
    </w:p>
    <w:p>
      <w:pPr>
        <w:pStyle w:val="BodyText"/>
        <w:spacing w:before="4"/>
        <w:rPr>
          <w:sz w:val="27"/>
        </w:rPr>
      </w:pPr>
    </w:p>
    <w:p>
      <w:pPr>
        <w:spacing w:before="71"/>
        <w:ind w:left="617" w:right="536" w:firstLine="0"/>
        <w:jc w:val="center"/>
        <w:rPr>
          <w:b/>
          <w:sz w:val="21"/>
        </w:rPr>
      </w:pPr>
      <w:r>
        <w:rPr>
          <w:b/>
          <w:sz w:val="21"/>
        </w:rPr>
        <w:t>目录</w:t>
      </w:r>
    </w:p>
    <w:sdt>
      <w:sdtPr>
        <w:docPartObj>
          <w:docPartGallery w:val="Table of Contents"/>
          <w:docPartUnique/>
        </w:docPartObj>
      </w:sdtPr>
      <w:sdtEndPr/>
      <w:sdtContent>
        <w:p>
          <w:pPr>
            <w:pStyle w:val="TOC1"/>
            <w:tabs>
              <w:tab w:pos="8838" w:val="right" w:leader="dot"/>
            </w:tabs>
            <w:spacing w:before="511"/>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5</w:t>
            </w:r>
          </w:hyperlink>
        </w:p>
        <w:p>
          <w:pPr>
            <w:pStyle w:val="TOC1"/>
            <w:tabs>
              <w:tab w:pos="8838" w:val="right" w:leader="dot"/>
            </w:tabs>
            <w:rPr>
              <w:rFonts w:ascii="Times New Roman" w:eastAsia="Times New Roman"/>
            </w:rPr>
          </w:pPr>
          <w:hyperlink w:history="true" w:anchor="_bookmark2">
            <w:r>
              <w:rPr/>
              <w:t>三、</w:t>
            </w:r>
            <w:r>
              <w:rPr>
                <w:spacing w:val="-3"/>
              </w:rPr>
              <w:t>风</w:t>
            </w:r>
            <w:r>
              <w:rPr/>
              <w:t>险</w:t>
            </w:r>
            <w:r>
              <w:rPr>
                <w:spacing w:val="-3"/>
              </w:rPr>
              <w:t>揭</w:t>
            </w:r>
            <w:r>
              <w:rPr/>
              <w:t>示</w:t>
              <w:tab/>
            </w:r>
            <w:r>
              <w:rPr>
                <w:rFonts w:ascii="Times New Roman" w:eastAsia="Times New Roman"/>
              </w:rPr>
              <w:t>9</w:t>
            </w:r>
          </w:hyperlink>
        </w:p>
        <w:p>
          <w:pPr>
            <w:pStyle w:val="TOC1"/>
            <w:tabs>
              <w:tab w:pos="8838" w:val="right" w:leader="dot"/>
            </w:tabs>
            <w:rPr>
              <w:rFonts w:ascii="Times New Roman" w:eastAsia="Times New Roman"/>
            </w:rPr>
          </w:pPr>
          <w:hyperlink w:history="true" w:anchor="_bookmark3">
            <w:r>
              <w:rPr/>
              <w:t>四、</w:t>
            </w:r>
            <w:r>
              <w:rPr>
                <w:spacing w:val="-3"/>
              </w:rPr>
              <w:t>基</w:t>
            </w:r>
            <w:r>
              <w:rPr/>
              <w:t>金</w:t>
            </w:r>
            <w:r>
              <w:rPr>
                <w:spacing w:val="-3"/>
              </w:rPr>
              <w:t>的</w:t>
            </w:r>
            <w:r>
              <w:rPr/>
              <w:t>投资</w:t>
              <w:tab/>
            </w:r>
            <w:r>
              <w:rPr>
                <w:rFonts w:ascii="Times New Roman" w:eastAsia="Times New Roman"/>
              </w:rPr>
              <w:t>15</w:t>
            </w:r>
          </w:hyperlink>
        </w:p>
        <w:p>
          <w:pPr>
            <w:pStyle w:val="TOC1"/>
            <w:tabs>
              <w:tab w:pos="8838" w:val="right" w:leader="dot"/>
            </w:tabs>
            <w:rPr>
              <w:rFonts w:ascii="Times New Roman" w:eastAsia="Times New Roman"/>
            </w:rPr>
          </w:pPr>
          <w:hyperlink w:history="true" w:anchor="_bookmark4">
            <w:r>
              <w:rPr/>
              <w:t>五、</w:t>
            </w:r>
            <w:r>
              <w:rPr>
                <w:spacing w:val="-3"/>
              </w:rPr>
              <w:t>基</w:t>
            </w:r>
            <w:r>
              <w:rPr/>
              <w:t>金</w:t>
            </w:r>
            <w:r>
              <w:rPr>
                <w:spacing w:val="-3"/>
              </w:rPr>
              <w:t>的</w:t>
            </w:r>
            <w:r>
              <w:rPr/>
              <w:t>业绩</w:t>
              <w:tab/>
            </w:r>
            <w:r>
              <w:rPr>
                <w:rFonts w:ascii="Times New Roman" w:eastAsia="Times New Roman"/>
              </w:rPr>
              <w:t>24</w:t>
            </w:r>
          </w:hyperlink>
        </w:p>
        <w:p>
          <w:pPr>
            <w:pStyle w:val="TOC1"/>
            <w:tabs>
              <w:tab w:pos="8838" w:val="right" w:leader="dot"/>
            </w:tabs>
            <w:rPr>
              <w:rFonts w:ascii="Times New Roman" w:eastAsia="Times New Roman"/>
            </w:rPr>
          </w:pPr>
          <w:hyperlink w:history="true" w:anchor="_bookmark5">
            <w:r>
              <w:rPr/>
              <w:t>六、</w:t>
            </w:r>
            <w:r>
              <w:rPr>
                <w:spacing w:val="-3"/>
              </w:rPr>
              <w:t>基</w:t>
            </w:r>
            <w:r>
              <w:rPr/>
              <w:t>金</w:t>
            </w:r>
            <w:r>
              <w:rPr>
                <w:spacing w:val="-3"/>
              </w:rPr>
              <w:t>管</w:t>
            </w:r>
            <w:r>
              <w:rPr/>
              <w:t>理人</w:t>
              <w:tab/>
            </w:r>
            <w:r>
              <w:rPr>
                <w:rFonts w:ascii="Times New Roman" w:eastAsia="Times New Roman"/>
              </w:rPr>
              <w:t>25</w:t>
            </w:r>
          </w:hyperlink>
        </w:p>
        <w:p>
          <w:pPr>
            <w:pStyle w:val="TOC1"/>
            <w:tabs>
              <w:tab w:pos="8838" w:val="right" w:leader="dot"/>
            </w:tabs>
            <w:spacing w:before="200"/>
            <w:rPr>
              <w:rFonts w:ascii="Times New Roman" w:eastAsia="Times New Roman"/>
            </w:rPr>
          </w:pPr>
          <w:hyperlink w:history="true" w:anchor="_bookmark6">
            <w:r>
              <w:rPr/>
              <w:t>七、</w:t>
            </w:r>
            <w:r>
              <w:rPr>
                <w:spacing w:val="-3"/>
              </w:rPr>
              <w:t>基</w:t>
            </w:r>
            <w:r>
              <w:rPr/>
              <w:t>金</w:t>
            </w:r>
            <w:r>
              <w:rPr>
                <w:spacing w:val="-3"/>
              </w:rPr>
              <w:t>的</w:t>
            </w:r>
            <w:r>
              <w:rPr/>
              <w:t>募集</w:t>
              <w:tab/>
            </w:r>
            <w:r>
              <w:rPr>
                <w:rFonts w:ascii="Times New Roman" w:eastAsia="Times New Roman"/>
              </w:rPr>
              <w:t>33</w:t>
            </w:r>
          </w:hyperlink>
        </w:p>
        <w:p>
          <w:pPr>
            <w:pStyle w:val="TOC1"/>
            <w:tabs>
              <w:tab w:pos="8838" w:val="right" w:leader="dot"/>
            </w:tabs>
            <w:spacing w:before="198"/>
            <w:rPr>
              <w:rFonts w:ascii="Times New Roman" w:eastAsia="Times New Roman"/>
            </w:rPr>
          </w:pPr>
          <w:hyperlink w:history="true" w:anchor="_bookmark7">
            <w:r>
              <w:rPr/>
              <w:t>八、</w:t>
            </w:r>
            <w:r>
              <w:rPr>
                <w:spacing w:val="-3"/>
              </w:rPr>
              <w:t>基</w:t>
            </w:r>
            <w:r>
              <w:rPr/>
              <w:t>金</w:t>
            </w:r>
            <w:r>
              <w:rPr>
                <w:spacing w:val="-3"/>
              </w:rPr>
              <w:t>合</w:t>
            </w:r>
            <w:r>
              <w:rPr/>
              <w:t>同</w:t>
            </w:r>
            <w:r>
              <w:rPr>
                <w:spacing w:val="-3"/>
              </w:rPr>
              <w:t>的</w:t>
            </w:r>
            <w:r>
              <w:rPr/>
              <w:t>生效</w:t>
              <w:tab/>
            </w:r>
            <w:r>
              <w:rPr>
                <w:rFonts w:ascii="Times New Roman" w:eastAsia="Times New Roman"/>
              </w:rPr>
              <w:t>34</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份</w:t>
            </w:r>
            <w:r>
              <w:rPr/>
              <w:t>额</w:t>
            </w:r>
            <w:r>
              <w:rPr>
                <w:spacing w:val="-3"/>
              </w:rPr>
              <w:t>的</w:t>
            </w:r>
            <w:r>
              <w:rPr/>
              <w:t>申</w:t>
            </w:r>
            <w:r>
              <w:rPr>
                <w:spacing w:val="-3"/>
              </w:rPr>
              <w:t>购</w:t>
            </w:r>
            <w:r>
              <w:rPr/>
              <w:t>与</w:t>
            </w:r>
            <w:r>
              <w:rPr>
                <w:spacing w:val="-3"/>
              </w:rPr>
              <w:t>赎</w:t>
            </w:r>
            <w:r>
              <w:rPr/>
              <w:t>回</w:t>
              <w:tab/>
            </w:r>
            <w:r>
              <w:rPr>
                <w:rFonts w:ascii="Times New Roman" w:eastAsia="Times New Roman"/>
              </w:rPr>
              <w:t>34</w:t>
            </w:r>
          </w:hyperlink>
        </w:p>
        <w:p>
          <w:pPr>
            <w:pStyle w:val="TOC1"/>
            <w:tabs>
              <w:tab w:pos="8838" w:val="right" w:leader="dot"/>
            </w:tabs>
            <w:rPr>
              <w:rFonts w:ascii="Times New Roman" w:eastAsia="Times New Roman"/>
            </w:rPr>
          </w:pPr>
          <w:hyperlink w:history="true" w:anchor="_bookmark9">
            <w:r>
              <w:rPr/>
              <w:t>十、</w:t>
            </w:r>
            <w:r>
              <w:rPr>
                <w:spacing w:val="-3"/>
              </w:rPr>
              <w:t>基</w:t>
            </w:r>
            <w:r>
              <w:rPr/>
              <w:t>金</w:t>
            </w:r>
            <w:r>
              <w:rPr>
                <w:spacing w:val="-3"/>
              </w:rPr>
              <w:t>的</w:t>
            </w:r>
            <w:r>
              <w:rPr/>
              <w:t>费</w:t>
            </w:r>
            <w:r>
              <w:rPr>
                <w:spacing w:val="-3"/>
              </w:rPr>
              <w:t>用</w:t>
            </w:r>
            <w:r>
              <w:rPr/>
              <w:t>与</w:t>
            </w:r>
            <w:r>
              <w:rPr>
                <w:spacing w:val="-3"/>
              </w:rPr>
              <w:t>税</w:t>
            </w:r>
            <w:r>
              <w:rPr/>
              <w:t>收</w:t>
              <w:tab/>
            </w:r>
            <w:r>
              <w:rPr>
                <w:rFonts w:ascii="Times New Roman" w:eastAsia="Times New Roman"/>
              </w:rPr>
              <w:t>47</w:t>
            </w:r>
          </w:hyperlink>
        </w:p>
        <w:p>
          <w:pPr>
            <w:pStyle w:val="TOC1"/>
            <w:tabs>
              <w:tab w:pos="883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49</w:t>
            </w:r>
          </w:hyperlink>
        </w:p>
        <w:p>
          <w:pPr>
            <w:pStyle w:val="TOC1"/>
            <w:tabs>
              <w:tab w:pos="8838"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50</w:t>
            </w:r>
          </w:hyperlink>
        </w:p>
        <w:p>
          <w:pPr>
            <w:pStyle w:val="TOC1"/>
            <w:tabs>
              <w:tab w:pos="8838"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55</w:t>
            </w:r>
          </w:hyperlink>
        </w:p>
        <w:p>
          <w:pPr>
            <w:pStyle w:val="TOC1"/>
            <w:tabs>
              <w:tab w:pos="8838" w:val="right" w:leader="dot"/>
            </w:tabs>
            <w:rPr>
              <w:rFonts w:ascii="Times New Roman" w:eastAsia="Times New Roman"/>
            </w:rPr>
          </w:pPr>
          <w:hyperlink w:history="true" w:anchor="_bookmark13">
            <w:r>
              <w:rPr/>
              <w:t>十四</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57</w:t>
            </w:r>
          </w:hyperlink>
        </w:p>
        <w:p>
          <w:pPr>
            <w:pStyle w:val="TOC1"/>
            <w:tabs>
              <w:tab w:pos="8838"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57</w:t>
            </w:r>
          </w:hyperlink>
        </w:p>
        <w:p>
          <w:pPr>
            <w:pStyle w:val="TOC1"/>
            <w:tabs>
              <w:tab w:pos="8838" w:val="right" w:leader="dot"/>
            </w:tabs>
            <w:rPr>
              <w:rFonts w:ascii="Times New Roman" w:eastAsia="Times New Roman"/>
            </w:rPr>
          </w:pPr>
          <w:hyperlink w:history="true" w:anchor="_bookmark15">
            <w:r>
              <w:rPr/>
              <w:t>十六</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62</w:t>
            </w:r>
          </w:hyperlink>
        </w:p>
        <w:p>
          <w:pPr>
            <w:pStyle w:val="TOC1"/>
            <w:tabs>
              <w:tab w:pos="8838" w:val="right" w:leader="dot"/>
            </w:tabs>
            <w:rPr>
              <w:rFonts w:ascii="Times New Roman" w:eastAsia="Times New Roman"/>
            </w:rPr>
          </w:pPr>
          <w:hyperlink w:history="true" w:anchor="_bookmark16">
            <w:r>
              <w:rPr/>
              <w:t>十七</w:t>
            </w:r>
            <w:r>
              <w:rPr>
                <w:spacing w:val="-3"/>
              </w:rPr>
              <w:t>、</w:t>
            </w:r>
            <w:r>
              <w:rPr/>
              <w:t>基</w:t>
            </w:r>
            <w:r>
              <w:rPr>
                <w:spacing w:val="-3"/>
              </w:rPr>
              <w:t>金</w:t>
            </w:r>
            <w:r>
              <w:rPr/>
              <w:t>托</w:t>
            </w:r>
            <w:r>
              <w:rPr>
                <w:spacing w:val="-3"/>
              </w:rPr>
              <w:t>管</w:t>
            </w:r>
            <w:r>
              <w:rPr/>
              <w:t>人</w:t>
              <w:tab/>
            </w:r>
            <w:r>
              <w:rPr>
                <w:rFonts w:ascii="Times New Roman" w:eastAsia="Times New Roman"/>
              </w:rPr>
              <w:t>64</w:t>
            </w:r>
          </w:hyperlink>
        </w:p>
        <w:p>
          <w:pPr>
            <w:pStyle w:val="TOC1"/>
            <w:tabs>
              <w:tab w:pos="8838" w:val="right" w:leader="dot"/>
            </w:tabs>
            <w:rPr>
              <w:rFonts w:ascii="Times New Roman" w:eastAsia="Times New Roman"/>
            </w:rPr>
          </w:pPr>
          <w:hyperlink w:history="true" w:anchor="_bookmark17">
            <w:r>
              <w:rPr/>
              <w:t>十八</w:t>
            </w:r>
            <w:r>
              <w:rPr>
                <w:spacing w:val="-3"/>
              </w:rPr>
              <w:t>、</w:t>
            </w:r>
            <w:r>
              <w:rPr/>
              <w:t>境</w:t>
            </w:r>
            <w:r>
              <w:rPr>
                <w:spacing w:val="-3"/>
              </w:rPr>
              <w:t>外</w:t>
            </w:r>
            <w:r>
              <w:rPr/>
              <w:t>资</w:t>
            </w:r>
            <w:r>
              <w:rPr>
                <w:spacing w:val="-3"/>
              </w:rPr>
              <w:t>产</w:t>
            </w:r>
            <w:r>
              <w:rPr/>
              <w:t>托</w:t>
            </w:r>
            <w:r>
              <w:rPr>
                <w:spacing w:val="-3"/>
              </w:rPr>
              <w:t>管</w:t>
            </w:r>
            <w:r>
              <w:rPr/>
              <w:t>人</w:t>
              <w:tab/>
            </w:r>
            <w:r>
              <w:rPr>
                <w:rFonts w:ascii="Times New Roman" w:eastAsia="Times New Roman"/>
              </w:rPr>
              <w:t>65</w:t>
            </w:r>
          </w:hyperlink>
        </w:p>
        <w:p>
          <w:pPr>
            <w:pStyle w:val="TOC1"/>
            <w:tabs>
              <w:tab w:pos="8838" w:val="right" w:leader="dot"/>
            </w:tabs>
            <w:rPr>
              <w:rFonts w:ascii="Times New Roman" w:eastAsia="Times New Roman"/>
            </w:rPr>
          </w:pPr>
          <w:hyperlink w:history="true" w:anchor="_bookmark18">
            <w:r>
              <w:rPr/>
              <w:t>十九</w:t>
            </w:r>
            <w:r>
              <w:rPr>
                <w:spacing w:val="-3"/>
              </w:rPr>
              <w:t>、</w:t>
            </w:r>
            <w:r>
              <w:rPr/>
              <w:t>相</w:t>
            </w:r>
            <w:r>
              <w:rPr>
                <w:spacing w:val="-3"/>
              </w:rPr>
              <w:t>关</w:t>
            </w:r>
            <w:r>
              <w:rPr/>
              <w:t>服</w:t>
            </w:r>
            <w:r>
              <w:rPr>
                <w:spacing w:val="-3"/>
              </w:rPr>
              <w:t>务</w:t>
            </w:r>
            <w:r>
              <w:rPr/>
              <w:t>机构</w:t>
              <w:tab/>
            </w:r>
            <w:r>
              <w:rPr>
                <w:rFonts w:ascii="Times New Roman" w:eastAsia="Times New Roman"/>
              </w:rPr>
              <w:t>66</w:t>
            </w:r>
          </w:hyperlink>
        </w:p>
        <w:p>
          <w:pPr>
            <w:pStyle w:val="TOC1"/>
            <w:tabs>
              <w:tab w:pos="8841" w:val="right" w:leader="dot"/>
            </w:tabs>
            <w:rPr>
              <w:rFonts w:ascii="Times New Roman" w:eastAsia="Times New Roman"/>
            </w:rPr>
          </w:pPr>
          <w:hyperlink w:history="true" w:anchor="_bookmark19">
            <w:r>
              <w:rPr/>
              <w:t>二十</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109</w:t>
            </w:r>
          </w:hyperlink>
        </w:p>
        <w:p>
          <w:pPr>
            <w:pStyle w:val="TOC1"/>
            <w:tabs>
              <w:tab w:pos="8841" w:val="right" w:leader="dot"/>
            </w:tabs>
            <w:spacing w:before="200"/>
            <w:rPr>
              <w:rFonts w:ascii="Times New Roman" w:eastAsia="Times New Roman"/>
            </w:rPr>
          </w:pPr>
          <w:hyperlink w:history="true" w:anchor="_bookmark20">
            <w:r>
              <w:rPr/>
              <w:t>二十</w:t>
            </w:r>
            <w:r>
              <w:rPr>
                <w:spacing w:val="-3"/>
              </w:rPr>
              <w:t>一</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rPr>
              <w:t>123</w:t>
            </w:r>
          </w:hyperlink>
        </w:p>
        <w:p>
          <w:pPr>
            <w:pStyle w:val="TOC1"/>
            <w:tabs>
              <w:tab w:pos="8841" w:val="right" w:leader="dot"/>
            </w:tabs>
            <w:rPr>
              <w:rFonts w:ascii="Times New Roman" w:eastAsia="Times New Roman"/>
            </w:rPr>
          </w:pPr>
          <w:hyperlink w:history="true" w:anchor="_bookmark22">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132</w:t>
            </w:r>
          </w:hyperlink>
        </w:p>
        <w:p>
          <w:pPr>
            <w:pStyle w:val="TOC1"/>
            <w:tabs>
              <w:tab w:pos="8841" w:val="right" w:leader="dot"/>
            </w:tabs>
            <w:rPr>
              <w:rFonts w:ascii="Times New Roman" w:eastAsia="Times New Roman"/>
            </w:rPr>
          </w:pPr>
          <w:hyperlink w:history="true" w:anchor="_bookmark21">
            <w:r>
              <w:rPr/>
              <w:t>二十</w:t>
            </w:r>
            <w:r>
              <w:rPr>
                <w:spacing w:val="-3"/>
              </w:rPr>
              <w:t>三</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130</w:t>
            </w:r>
          </w:hyperlink>
        </w:p>
        <w:p>
          <w:pPr>
            <w:pStyle w:val="TOC1"/>
            <w:tabs>
              <w:tab w:pos="8841" w:val="right" w:leader="dot"/>
            </w:tabs>
            <w:spacing w:before="198"/>
            <w:rPr>
              <w:rFonts w:ascii="Times New Roman" w:eastAsia="Times New Roman"/>
            </w:rPr>
          </w:pPr>
          <w:hyperlink w:history="true" w:anchor="_bookmark23">
            <w:r>
              <w:rPr/>
              <w:t>二十</w:t>
            </w:r>
            <w:r>
              <w:rPr>
                <w:spacing w:val="-3"/>
              </w:rPr>
              <w:t>四</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133</w:t>
            </w:r>
          </w:hyperlink>
        </w:p>
        <w:p>
          <w:pPr>
            <w:pStyle w:val="TOC1"/>
            <w:tabs>
              <w:tab w:pos="8841" w:val="right" w:leader="dot"/>
            </w:tabs>
            <w:rPr>
              <w:rFonts w:ascii="Times New Roman" w:eastAsia="Times New Roman"/>
            </w:rPr>
          </w:pPr>
          <w:hyperlink w:history="true" w:anchor="_bookmark24">
            <w:r>
              <w:rPr/>
              <w:t>二十</w:t>
            </w:r>
            <w:r>
              <w:rPr>
                <w:spacing w:val="-3"/>
              </w:rPr>
              <w:t>五</w:t>
            </w:r>
            <w:r>
              <w:rPr/>
              <w:t>、</w:t>
            </w:r>
            <w:r>
              <w:rPr>
                <w:spacing w:val="-3"/>
              </w:rPr>
              <w:t>备</w:t>
            </w:r>
            <w:r>
              <w:rPr/>
              <w:t>查</w:t>
            </w:r>
            <w:r>
              <w:rPr>
                <w:spacing w:val="-3"/>
              </w:rPr>
              <w:t>文</w:t>
            </w:r>
            <w:r>
              <w:rPr/>
              <w:t>件</w:t>
              <w:tab/>
            </w:r>
            <w:r>
              <w:rPr>
                <w:rFonts w:ascii="Times New Roman" w:eastAsia="Times New Roman"/>
              </w:rPr>
              <w:t>133</w:t>
            </w:r>
          </w:hyperlink>
        </w:p>
      </w:sdtContent>
    </w:sdt>
    <w:p>
      <w:pPr>
        <w:spacing w:after="0"/>
        <w:rPr>
          <w:rFonts w:ascii="Times New Roman" w:eastAsia="Times New Roman"/>
        </w:rPr>
        <w:sectPr>
          <w:pgSz w:w="11910" w:h="16840"/>
          <w:pgMar w:header="872" w:footer="995" w:top="1100" w:bottom="1180" w:left="1260" w:right="920"/>
        </w:sectPr>
      </w:pPr>
    </w:p>
    <w:p>
      <w:pPr>
        <w:pStyle w:val="BodyText"/>
        <w:rPr>
          <w:rFonts w:ascii="Times New Roman"/>
          <w:sz w:val="20"/>
        </w:rPr>
      </w:pPr>
    </w:p>
    <w:p>
      <w:pPr>
        <w:pStyle w:val="BodyText"/>
        <w:spacing w:before="7"/>
        <w:rPr>
          <w:rFonts w:ascii="Times New Roman"/>
          <w:sz w:val="16"/>
        </w:rPr>
      </w:pPr>
    </w:p>
    <w:p>
      <w:pPr>
        <w:pStyle w:val="Heading1"/>
      </w:pPr>
      <w:bookmarkStart w:name="_bookmark0" w:id="1"/>
      <w:bookmarkEnd w:id="1"/>
      <w:r>
        <w:rPr>
          <w:b w:val="0"/>
        </w:rPr>
      </w:r>
      <w:r>
        <w:rPr/>
        <w:t>一、绪言</w:t>
      </w:r>
    </w:p>
    <w:p>
      <w:pPr>
        <w:pStyle w:val="BodyText"/>
        <w:rPr>
          <w:b/>
          <w:sz w:val="20"/>
        </w:rPr>
      </w:pPr>
    </w:p>
    <w:p>
      <w:pPr>
        <w:pStyle w:val="BodyText"/>
        <w:spacing w:before="3"/>
        <w:rPr>
          <w:b/>
          <w:sz w:val="14"/>
        </w:rPr>
      </w:pPr>
    </w:p>
    <w:p>
      <w:pPr>
        <w:pStyle w:val="BodyText"/>
        <w:spacing w:line="417" w:lineRule="auto" w:before="1"/>
        <w:ind w:left="540" w:right="871" w:firstLine="419"/>
        <w:jc w:val="both"/>
      </w:pPr>
      <w:r>
        <w:rPr>
          <w:spacing w:val="-7"/>
        </w:rPr>
        <w:t>《华夏大中华信用精选债券型证券投资基金</w:t>
      </w:r>
      <w:r>
        <w:rPr>
          <w:spacing w:val="-12"/>
        </w:rPr>
        <w:t>（</w:t>
      </w:r>
      <w:r>
        <w:rPr>
          <w:rFonts w:ascii="Calibri" w:hAnsi="Calibri" w:eastAsia="Calibri"/>
          <w:spacing w:val="-12"/>
        </w:rPr>
        <w:t>QDII</w:t>
      </w:r>
      <w:r>
        <w:rPr>
          <w:spacing w:val="-12"/>
        </w:rPr>
        <w:t>）</w:t>
      </w:r>
      <w:r>
        <w:rPr>
          <w:spacing w:val="-15"/>
        </w:rPr>
        <w:t>招募说明书</w:t>
      </w:r>
      <w:r>
        <w:rPr>
          <w:spacing w:val="-3"/>
        </w:rPr>
        <w:t>（</w:t>
      </w:r>
      <w:r>
        <w:rPr/>
        <w:t>更新</w:t>
      </w:r>
      <w:r>
        <w:rPr>
          <w:spacing w:val="-109"/>
        </w:rPr>
        <w:t>）</w:t>
      </w:r>
      <w:r>
        <w:rPr>
          <w:spacing w:val="-171"/>
        </w:rPr>
        <w:t>》</w:t>
      </w:r>
      <w:r>
        <w:rPr>
          <w:spacing w:val="-3"/>
        </w:rPr>
        <w:t>（以下简称“本</w:t>
      </w:r>
      <w:r>
        <w:rPr>
          <w:spacing w:val="-3"/>
          <w:w w:val="100"/>
        </w:rPr>
        <w:t>招募说明书”</w:t>
      </w:r>
      <w:r>
        <w:rPr>
          <w:w w:val="100"/>
        </w:rPr>
        <w:t>）</w:t>
      </w:r>
      <w:r>
        <w:rPr>
          <w:spacing w:val="-9"/>
          <w:w w:val="100"/>
        </w:rPr>
        <w:t>依据《中华人民共和国证券投资基金法》</w:t>
      </w:r>
      <w:r>
        <w:rPr>
          <w:spacing w:val="-3"/>
          <w:w w:val="100"/>
        </w:rPr>
        <w:t>（以下简称“《基金法》”</w:t>
      </w:r>
      <w:r>
        <w:rPr>
          <w:spacing w:val="-106"/>
          <w:w w:val="100"/>
        </w:rPr>
        <w:t>）</w:t>
      </w:r>
      <w:r>
        <w:rPr>
          <w:spacing w:val="-36"/>
          <w:w w:val="100"/>
        </w:rPr>
        <w:t>、《证</w:t>
      </w:r>
      <w:r>
        <w:rPr>
          <w:spacing w:val="-19"/>
          <w:w w:val="100"/>
        </w:rPr>
        <w:t>券投资基金销售管理办法》</w:t>
      </w:r>
      <w:r>
        <w:rPr>
          <w:w w:val="100"/>
        </w:rPr>
        <w:t>（</w:t>
      </w:r>
      <w:r>
        <w:rPr>
          <w:spacing w:val="-3"/>
          <w:w w:val="100"/>
        </w:rPr>
        <w:t>以下简称“《销售办法》”</w:t>
      </w:r>
      <w:r>
        <w:rPr>
          <w:spacing w:val="-106"/>
          <w:w w:val="100"/>
        </w:rPr>
        <w:t>）</w:t>
      </w:r>
      <w:r>
        <w:rPr>
          <w:spacing w:val="-12"/>
          <w:w w:val="100"/>
        </w:rPr>
        <w:t>、《公开募集证券投资基金运作管</w:t>
      </w:r>
      <w:r>
        <w:rPr>
          <w:spacing w:val="-38"/>
          <w:w w:val="100"/>
        </w:rPr>
        <w:t>理办法》</w:t>
      </w:r>
      <w:r>
        <w:rPr>
          <w:spacing w:val="-3"/>
          <w:w w:val="100"/>
        </w:rPr>
        <w:t>（</w:t>
      </w:r>
      <w:r>
        <w:rPr>
          <w:spacing w:val="-8"/>
          <w:w w:val="100"/>
        </w:rPr>
        <w:t>以下简称“《运作办法》”</w:t>
      </w:r>
      <w:r>
        <w:rPr>
          <w:spacing w:val="-106"/>
          <w:w w:val="100"/>
        </w:rPr>
        <w:t>）</w:t>
      </w:r>
      <w:r>
        <w:rPr>
          <w:spacing w:val="-13"/>
          <w:w w:val="100"/>
        </w:rPr>
        <w:t>、《公开募集证券投资基金信息披露管理办法</w:t>
      </w:r>
      <w:r>
        <w:rPr>
          <w:spacing w:val="-125"/>
          <w:w w:val="100"/>
        </w:rPr>
        <w:t>》</w:t>
      </w:r>
      <w:r>
        <w:rPr>
          <w:spacing w:val="-3"/>
          <w:w w:val="100"/>
        </w:rPr>
        <w:t>（</w:t>
      </w:r>
      <w:r>
        <w:rPr>
          <w:w w:val="100"/>
        </w:rPr>
        <w:t>以下</w:t>
      </w:r>
      <w:r>
        <w:rPr>
          <w:spacing w:val="-3"/>
          <w:w w:val="100"/>
        </w:rPr>
        <w:t>简称“《信息披露办法》”</w:t>
      </w:r>
      <w:r>
        <w:rPr>
          <w:spacing w:val="-106"/>
          <w:w w:val="100"/>
        </w:rPr>
        <w:t>）</w:t>
      </w:r>
      <w:r>
        <w:rPr>
          <w:spacing w:val="-17"/>
          <w:w w:val="100"/>
        </w:rPr>
        <w:t>、《公开募集开放式证券投资基金流动性风险管理规定》</w:t>
      </w:r>
      <w:r>
        <w:rPr>
          <w:w w:val="100"/>
        </w:rPr>
        <w:t>（</w:t>
      </w:r>
      <w:r>
        <w:rPr>
          <w:spacing w:val="-2"/>
          <w:w w:val="100"/>
        </w:rPr>
        <w:t>以下</w:t>
      </w:r>
      <w:r>
        <w:rPr>
          <w:spacing w:val="-25"/>
          <w:w w:val="100"/>
        </w:rPr>
        <w:t>简称“《流动性风险管理规定》”</w:t>
      </w:r>
      <w:r>
        <w:rPr>
          <w:spacing w:val="-1"/>
          <w:w w:val="100"/>
        </w:rPr>
        <w:t>）</w:t>
      </w:r>
      <w:r>
        <w:rPr>
          <w:spacing w:val="-3"/>
          <w:w w:val="100"/>
        </w:rPr>
        <w:t>及其他有关规定以及《华夏大中华信用精选债券型证券投</w:t>
      </w:r>
      <w:r>
        <w:rPr>
          <w:spacing w:val="-3"/>
        </w:rPr>
        <w:t>资基金</w:t>
      </w:r>
      <w:r>
        <w:rPr/>
        <w:t>（</w:t>
      </w:r>
      <w:r>
        <w:rPr>
          <w:rFonts w:ascii="Calibri" w:hAnsi="Calibri" w:eastAsia="Calibri"/>
        </w:rPr>
        <w:t>QDII</w:t>
      </w:r>
      <w:r>
        <w:rPr/>
        <w:t>）</w:t>
      </w:r>
      <w:r>
        <w:rPr>
          <w:spacing w:val="-3"/>
        </w:rPr>
        <w:t>基金合同》</w:t>
      </w:r>
      <w:r>
        <w:rPr/>
        <w:t>（</w:t>
      </w:r>
      <w:r>
        <w:rPr>
          <w:spacing w:val="-3"/>
        </w:rPr>
        <w:t>以下简称“基金合同</w:t>
      </w:r>
      <w:r>
        <w:rPr/>
        <w:t>”）</w:t>
      </w:r>
      <w:r>
        <w:rPr>
          <w:spacing w:val="-2"/>
        </w:rPr>
        <w:t>编写。</w:t>
      </w:r>
    </w:p>
    <w:p>
      <w:pPr>
        <w:pStyle w:val="BodyText"/>
        <w:spacing w:line="417" w:lineRule="auto"/>
        <w:ind w:left="540" w:right="87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40" w:right="87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6"/>
        <w:rPr>
          <w:sz w:val="26"/>
        </w:rPr>
      </w:pPr>
    </w:p>
    <w:p>
      <w:pPr>
        <w:pStyle w:val="Heading1"/>
      </w:pPr>
      <w:bookmarkStart w:name="_bookmark1" w:id="2"/>
      <w:bookmarkEnd w:id="2"/>
      <w:r>
        <w:rPr>
          <w:b w:val="0"/>
        </w:rPr>
      </w:r>
      <w:r>
        <w:rPr/>
        <w:t>二、释义</w:t>
      </w:r>
    </w:p>
    <w:p>
      <w:pPr>
        <w:pStyle w:val="BodyText"/>
        <w:rPr>
          <w:b/>
          <w:sz w:val="20"/>
        </w:rPr>
      </w:pPr>
    </w:p>
    <w:p>
      <w:pPr>
        <w:pStyle w:val="BodyText"/>
        <w:spacing w:before="2"/>
        <w:rPr>
          <w:b/>
        </w:rPr>
      </w:pPr>
    </w:p>
    <w:p>
      <w:pPr>
        <w:pStyle w:val="BodyText"/>
        <w:ind w:left="960"/>
      </w:pPr>
      <w:r>
        <w:rPr/>
        <w:t>本招募说明书中，除非文意另有所指，下列词语或简称具有如下含义：</w:t>
      </w:r>
    </w:p>
    <w:p>
      <w:pPr>
        <w:pStyle w:val="BodyText"/>
        <w:spacing w:before="7"/>
        <w:rPr>
          <w:sz w:val="15"/>
        </w:rPr>
      </w:pPr>
    </w:p>
    <w:p>
      <w:pPr>
        <w:pStyle w:val="BodyText"/>
        <w:ind w:left="960"/>
      </w:pPr>
      <w:r>
        <w:rPr>
          <w:rFonts w:ascii="Calibri" w:eastAsia="Calibri"/>
          <w:w w:val="100"/>
        </w:rPr>
        <w:t>1</w:t>
      </w:r>
      <w:r>
        <w:rPr>
          <w:spacing w:val="-3"/>
          <w:w w:val="100"/>
        </w:rPr>
        <w:t>、基金或本基金：指华夏大中华信用精选债券型证券投资基金</w:t>
      </w:r>
      <w:r>
        <w:rPr>
          <w:spacing w:val="-1"/>
          <w:w w:val="100"/>
        </w:rPr>
        <w:t>（</w:t>
      </w:r>
      <w:r>
        <w:rPr>
          <w:rFonts w:ascii="Calibri" w:eastAsia="Calibri"/>
          <w:w w:val="100"/>
        </w:rPr>
        <w:t>Q</w:t>
      </w:r>
      <w:r>
        <w:rPr>
          <w:rFonts w:ascii="Calibri" w:eastAsia="Calibri"/>
          <w:spacing w:val="-1"/>
          <w:w w:val="100"/>
        </w:rPr>
        <w:t>D</w:t>
      </w:r>
      <w:r>
        <w:rPr>
          <w:rFonts w:ascii="Calibri" w:eastAsia="Calibri"/>
          <w:w w:val="100"/>
        </w:rPr>
        <w:t>I</w:t>
      </w:r>
      <w:r>
        <w:rPr>
          <w:rFonts w:ascii="Calibri" w:eastAsia="Calibri"/>
          <w:spacing w:val="-1"/>
          <w:w w:val="100"/>
        </w:rPr>
        <w:t>I</w:t>
      </w:r>
      <w:r>
        <w:rPr>
          <w:spacing w:val="-108"/>
          <w:w w:val="100"/>
        </w:rPr>
        <w:t>）。</w:t>
      </w:r>
    </w:p>
    <w:p>
      <w:pPr>
        <w:pStyle w:val="BodyText"/>
        <w:spacing w:before="6"/>
        <w:rPr>
          <w:sz w:val="15"/>
        </w:rPr>
      </w:pPr>
    </w:p>
    <w:p>
      <w:pPr>
        <w:pStyle w:val="BodyText"/>
        <w:spacing w:before="1"/>
        <w:ind w:left="960"/>
      </w:pPr>
      <w:r>
        <w:rPr>
          <w:rFonts w:ascii="Calibri" w:eastAsia="Calibri"/>
        </w:rPr>
        <w:t>2</w:t>
      </w:r>
      <w:r>
        <w:rPr>
          <w:spacing w:val="-3"/>
        </w:rPr>
        <w:t>、基金管理人：指华夏基金管理有限公司。</w:t>
      </w:r>
    </w:p>
    <w:p>
      <w:pPr>
        <w:pStyle w:val="BodyText"/>
        <w:spacing w:before="6"/>
        <w:rPr>
          <w:sz w:val="15"/>
        </w:rPr>
      </w:pPr>
    </w:p>
    <w:p>
      <w:pPr>
        <w:pStyle w:val="BodyText"/>
        <w:ind w:left="960"/>
      </w:pPr>
      <w:r>
        <w:rPr>
          <w:rFonts w:ascii="Calibri" w:eastAsia="Calibri"/>
        </w:rPr>
        <w:t>3</w:t>
      </w:r>
      <w:r>
        <w:rPr>
          <w:spacing w:val="-3"/>
        </w:rPr>
        <w:t>、基金托管人：指中国银行股份有限公司。</w:t>
      </w:r>
    </w:p>
    <w:p>
      <w:pPr>
        <w:pStyle w:val="BodyText"/>
        <w:spacing w:before="7"/>
        <w:rPr>
          <w:sz w:val="15"/>
        </w:rPr>
      </w:pPr>
    </w:p>
    <w:p>
      <w:pPr>
        <w:pStyle w:val="BodyText"/>
        <w:spacing w:line="417" w:lineRule="auto"/>
        <w:ind w:left="540" w:right="873" w:firstLine="419"/>
      </w:pPr>
      <w:r>
        <w:rPr>
          <w:rFonts w:ascii="Calibri" w:eastAsia="Calibri"/>
        </w:rPr>
        <w:t>4</w:t>
      </w:r>
      <w:r>
        <w:rPr>
          <w:spacing w:val="-15"/>
        </w:rPr>
        <w:t>、基金合同、《基金合同》：指《华夏大中华信用精选债券型证券投资基金</w:t>
      </w:r>
      <w:r>
        <w:rPr/>
        <w:t>（</w:t>
      </w:r>
      <w:r>
        <w:rPr>
          <w:rFonts w:ascii="Calibri" w:eastAsia="Calibri"/>
        </w:rPr>
        <w:t>QDII</w:t>
      </w:r>
      <w:r>
        <w:rPr/>
        <w:t>）</w:t>
      </w:r>
      <w:r>
        <w:rPr>
          <w:spacing w:val="-13"/>
        </w:rPr>
        <w:t>基</w:t>
      </w:r>
      <w:r>
        <w:rPr>
          <w:spacing w:val="-3"/>
        </w:rPr>
        <w:t>金合同》及对基金合同的任何有效修订和补充。</w:t>
      </w:r>
    </w:p>
    <w:p>
      <w:pPr>
        <w:pStyle w:val="BodyText"/>
        <w:ind w:left="960"/>
      </w:pPr>
      <w:r>
        <w:rPr>
          <w:rFonts w:ascii="Calibri" w:eastAsia="Calibri"/>
        </w:rPr>
        <w:t>5</w:t>
      </w:r>
      <w:r>
        <w:rPr/>
        <w:t>、托管协议：指基金管理人与基金托管人就本基金签订之《华夏大中华信用精选债券</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540"/>
      </w:pPr>
      <w:r>
        <w:rPr/>
        <w:t>型证券投资基金（</w:t>
      </w:r>
      <w:r>
        <w:rPr>
          <w:rFonts w:ascii="Calibri" w:eastAsia="Calibri"/>
        </w:rPr>
        <w:t>QDII</w:t>
      </w:r>
      <w:r>
        <w:rPr/>
        <w:t>）托管协议》及对该托管协议的任何有效修订和补充。</w:t>
      </w:r>
    </w:p>
    <w:p>
      <w:pPr>
        <w:pStyle w:val="BodyText"/>
        <w:spacing w:before="7"/>
        <w:rPr>
          <w:sz w:val="15"/>
        </w:rPr>
      </w:pPr>
    </w:p>
    <w:p>
      <w:pPr>
        <w:pStyle w:val="BodyText"/>
        <w:spacing w:line="417" w:lineRule="auto"/>
        <w:ind w:left="540" w:right="874" w:firstLine="419"/>
      </w:pPr>
      <w:r>
        <w:rPr>
          <w:rFonts w:ascii="Calibri" w:eastAsia="Calibri"/>
        </w:rPr>
        <w:t>6</w:t>
      </w:r>
      <w:r>
        <w:rPr/>
        <w:t>、招募说明书：指《华夏大中华信用精选债券型证券投资基金（</w:t>
      </w:r>
      <w:r>
        <w:rPr>
          <w:rFonts w:ascii="Calibri" w:eastAsia="Calibri"/>
        </w:rPr>
        <w:t>QDII</w:t>
      </w:r>
      <w:r>
        <w:rPr/>
        <w:t>）招募说明书》及其更新。</w:t>
      </w:r>
    </w:p>
    <w:p>
      <w:pPr>
        <w:pStyle w:val="BodyText"/>
        <w:spacing w:line="417" w:lineRule="auto"/>
        <w:ind w:left="540" w:right="873" w:firstLine="419"/>
      </w:pPr>
      <w:r>
        <w:rPr>
          <w:rFonts w:ascii="Calibri" w:eastAsia="Calibri"/>
        </w:rPr>
        <w:t>7</w:t>
      </w:r>
      <w:r>
        <w:rPr/>
        <w:t>、基金份额发售公告：指《华夏大中华信用精选债券型证券投资基金（</w:t>
      </w:r>
      <w:r>
        <w:rPr>
          <w:rFonts w:ascii="Calibri" w:eastAsia="Calibri"/>
        </w:rPr>
        <w:t>QDII</w:t>
      </w:r>
      <w:r>
        <w:rPr/>
        <w:t>）基金份额发售公告》。</w:t>
      </w:r>
    </w:p>
    <w:p>
      <w:pPr>
        <w:pStyle w:val="BodyText"/>
        <w:spacing w:line="417" w:lineRule="auto"/>
        <w:ind w:left="540" w:right="872" w:firstLine="419"/>
      </w:pPr>
      <w:r>
        <w:rPr>
          <w:rFonts w:ascii="Calibri" w:eastAsia="Calibri"/>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ind w:left="960"/>
      </w:pPr>
      <w:r>
        <w:rPr>
          <w:rFonts w:ascii="Calibri" w:eastAsia="Calibri"/>
        </w:rPr>
        <w:t>9</w:t>
      </w:r>
      <w:r>
        <w:rPr/>
        <w:t>、《基金法》：指《中华人民共和国证券投资基金法》及颁布机关对其不时做出的修订。</w:t>
      </w:r>
    </w:p>
    <w:p>
      <w:pPr>
        <w:pStyle w:val="BodyText"/>
        <w:spacing w:before="6"/>
        <w:rPr>
          <w:sz w:val="15"/>
        </w:rPr>
      </w:pPr>
    </w:p>
    <w:p>
      <w:pPr>
        <w:pStyle w:val="BodyText"/>
        <w:ind w:left="960"/>
      </w:pPr>
      <w:r>
        <w:rPr>
          <w:rFonts w:ascii="Calibri" w:eastAsia="Calibri"/>
        </w:rPr>
        <w:t>10</w:t>
      </w:r>
      <w:r>
        <w:rPr/>
        <w:t>、《销售办法》：指《证券投资基金销售管理办法》及颁布机关对其不时做出的修订。</w:t>
      </w:r>
    </w:p>
    <w:p>
      <w:pPr>
        <w:pStyle w:val="BodyText"/>
        <w:spacing w:before="7"/>
        <w:rPr>
          <w:sz w:val="15"/>
        </w:rPr>
      </w:pPr>
    </w:p>
    <w:p>
      <w:pPr>
        <w:pStyle w:val="BodyText"/>
        <w:spacing w:line="417" w:lineRule="auto"/>
        <w:ind w:left="540" w:right="873" w:firstLine="419"/>
      </w:pPr>
      <w:r>
        <w:rPr>
          <w:rFonts w:ascii="Calibri" w:eastAsia="Calibri"/>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874" w:firstLine="419"/>
      </w:pPr>
      <w:r>
        <w:rPr>
          <w:rFonts w:ascii="Calibri" w:eastAsia="Calibri"/>
        </w:rPr>
        <w:t>12</w:t>
      </w:r>
      <w:r>
        <w:rPr>
          <w:spacing w:val="-21"/>
        </w:rPr>
        <w:t>、《运作办法》：指《公开募集证券投资基金运作管理办法》及颁布机关对其不时做出</w:t>
      </w:r>
      <w:r>
        <w:rPr>
          <w:spacing w:val="-12"/>
        </w:rPr>
        <w:t>的修订。</w:t>
      </w:r>
    </w:p>
    <w:p>
      <w:pPr>
        <w:pStyle w:val="BodyText"/>
        <w:spacing w:line="417" w:lineRule="auto"/>
        <w:ind w:left="540" w:right="768" w:firstLine="419"/>
      </w:pPr>
      <w:r>
        <w:rPr>
          <w:rFonts w:ascii="Calibri" w:eastAsia="Calibri"/>
        </w:rPr>
        <w:t>13</w:t>
      </w:r>
      <w:r>
        <w:rPr>
          <w:spacing w:val="-19"/>
        </w:rPr>
        <w:t>、《流动性风险管理规定》：指中国证监会 </w:t>
      </w:r>
      <w:r>
        <w:rPr>
          <w:rFonts w:ascii="Calibri" w:eastAsia="Calibri"/>
        </w:rPr>
        <w:t>2017 </w:t>
      </w:r>
      <w:r>
        <w:rPr>
          <w:spacing w:val="-27"/>
        </w:rPr>
        <w:t>年 </w:t>
      </w:r>
      <w:r>
        <w:rPr>
          <w:rFonts w:ascii="Calibri" w:eastAsia="Calibri"/>
        </w:rPr>
        <w:t>8 </w:t>
      </w:r>
      <w:r>
        <w:rPr>
          <w:spacing w:val="-27"/>
        </w:rPr>
        <w:t>月 </w:t>
      </w:r>
      <w:r>
        <w:rPr>
          <w:rFonts w:ascii="Calibri" w:eastAsia="Calibri"/>
        </w:rPr>
        <w:t>31 </w:t>
      </w:r>
      <w:r>
        <w:rPr>
          <w:spacing w:val="-10"/>
        </w:rPr>
        <w:t>日颁布、同年 </w:t>
      </w:r>
      <w:r>
        <w:rPr>
          <w:rFonts w:ascii="Calibri" w:eastAsia="Calibri"/>
        </w:rPr>
        <w:t>10 </w:t>
      </w:r>
      <w:r>
        <w:rPr>
          <w:spacing w:val="-26"/>
        </w:rPr>
        <w:t>月 </w:t>
      </w:r>
      <w:r>
        <w:rPr>
          <w:rFonts w:ascii="Calibri" w:eastAsia="Calibri"/>
        </w:rPr>
        <w:t>1 </w:t>
      </w:r>
      <w:r>
        <w:rPr/>
        <w:t>日实</w:t>
      </w:r>
      <w:r>
        <w:rPr>
          <w:spacing w:val="-16"/>
        </w:rPr>
        <w:t>施的《公开募集开放式证券投资基金流动性风险管理规定》及颁布机关对其不时做出的修订。</w:t>
      </w:r>
    </w:p>
    <w:p>
      <w:pPr>
        <w:pStyle w:val="BodyText"/>
        <w:ind w:left="960"/>
      </w:pPr>
      <w:r>
        <w:rPr>
          <w:rFonts w:ascii="Calibri" w:eastAsia="Calibri"/>
        </w:rPr>
        <w:t>14</w:t>
      </w:r>
      <w:r>
        <w:rPr/>
        <w:t>、中国证监会：指中国证券监督管理委员会。</w:t>
      </w:r>
    </w:p>
    <w:p>
      <w:pPr>
        <w:pStyle w:val="BodyText"/>
        <w:spacing w:before="6"/>
        <w:rPr>
          <w:sz w:val="15"/>
        </w:rPr>
      </w:pPr>
    </w:p>
    <w:p>
      <w:pPr>
        <w:pStyle w:val="BodyText"/>
        <w:ind w:left="960"/>
      </w:pPr>
      <w:r>
        <w:rPr>
          <w:rFonts w:ascii="Calibri" w:eastAsia="Calibri"/>
        </w:rPr>
        <w:t>15</w:t>
      </w:r>
      <w:r>
        <w:rPr/>
        <w:t>、银行业监督管理机构：指中国人民银行和</w:t>
      </w:r>
      <w:r>
        <w:rPr>
          <w:rFonts w:ascii="Calibri" w:eastAsia="Calibri"/>
        </w:rPr>
        <w:t>/</w:t>
      </w:r>
      <w:r>
        <w:rPr/>
        <w:t>或中国银行保险监督管理委员会。</w:t>
      </w:r>
    </w:p>
    <w:p>
      <w:pPr>
        <w:pStyle w:val="BodyText"/>
        <w:spacing w:before="7"/>
        <w:rPr>
          <w:sz w:val="15"/>
        </w:rPr>
      </w:pPr>
    </w:p>
    <w:p>
      <w:pPr>
        <w:pStyle w:val="BodyText"/>
        <w:spacing w:line="417" w:lineRule="auto"/>
        <w:ind w:left="540" w:right="871" w:firstLine="419"/>
      </w:pPr>
      <w:r>
        <w:rPr>
          <w:rFonts w:ascii="Calibri" w:eastAsia="Calibri"/>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60"/>
      </w:pPr>
      <w:r>
        <w:rPr>
          <w:rFonts w:ascii="Calibri" w:eastAsia="Calibri"/>
        </w:rPr>
        <w:t>17</w:t>
      </w:r>
      <w:r>
        <w:rPr/>
        <w:t>、个人投资者：指依据有关法律法规规定可投资于证券投资基金的自然人。</w:t>
      </w:r>
    </w:p>
    <w:p>
      <w:pPr>
        <w:pStyle w:val="BodyText"/>
        <w:spacing w:before="7"/>
        <w:rPr>
          <w:sz w:val="15"/>
        </w:rPr>
      </w:pPr>
    </w:p>
    <w:p>
      <w:pPr>
        <w:pStyle w:val="BodyText"/>
        <w:spacing w:line="417" w:lineRule="auto"/>
        <w:ind w:left="540" w:right="871" w:firstLine="419"/>
      </w:pPr>
      <w:r>
        <w:rPr>
          <w:rFonts w:ascii="Calibri" w:eastAsia="Calibri"/>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874" w:firstLine="419"/>
      </w:pPr>
      <w:r>
        <w:rPr>
          <w:rFonts w:ascii="Calibri" w:eastAsia="Calibri"/>
        </w:rPr>
        <w:t>19</w:t>
      </w:r>
      <w:r>
        <w:rPr>
          <w:spacing w:val="-12"/>
        </w:rPr>
        <w:t>、投资人、投资者：指个人投资者、机构投资者以及法律法规或中国证监会允许购买</w:t>
      </w:r>
      <w:r>
        <w:rPr>
          <w:spacing w:val="-6"/>
        </w:rPr>
        <w:t>证券投资基金的其他投资人的合称。</w:t>
      </w:r>
    </w:p>
    <w:p>
      <w:pPr>
        <w:pStyle w:val="BodyText"/>
        <w:spacing w:line="269" w:lineRule="exact"/>
        <w:ind w:left="960"/>
      </w:pPr>
      <w:r>
        <w:rPr>
          <w:rFonts w:ascii="Calibri" w:eastAsia="Calibri"/>
        </w:rPr>
        <w:t>20</w:t>
      </w:r>
      <w:r>
        <w:rPr/>
        <w:t>、基金份额持有人：指依基金合同和招募说明书合法取得基金份额的投资人。</w:t>
      </w:r>
    </w:p>
    <w:p>
      <w:pPr>
        <w:pStyle w:val="BodyText"/>
        <w:spacing w:before="7"/>
        <w:rPr>
          <w:sz w:val="15"/>
        </w:rPr>
      </w:pPr>
    </w:p>
    <w:p>
      <w:pPr>
        <w:pStyle w:val="BodyText"/>
        <w:spacing w:line="417" w:lineRule="auto"/>
        <w:ind w:left="540" w:right="874" w:firstLine="419"/>
      </w:pPr>
      <w:r>
        <w:rPr>
          <w:rFonts w:ascii="Calibri" w:eastAsia="Calibri"/>
        </w:rPr>
        <w:t>21</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540" w:right="871" w:firstLine="419"/>
        <w:jc w:val="both"/>
      </w:pPr>
      <w:r>
        <w:rPr>
          <w:rFonts w:ascii="Calibri" w:eastAsia="Calibri"/>
        </w:rPr>
        <w:t>22</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jc w:val="both"/>
      </w:pPr>
      <w:r>
        <w:rPr>
          <w:rFonts w:ascii="Calibri" w:eastAsia="Calibri"/>
        </w:rPr>
        <w:t>23</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871" w:firstLine="419"/>
      </w:pPr>
      <w:r>
        <w:rPr>
          <w:rFonts w:ascii="Calibri" w:eastAsia="Calibri"/>
        </w:rPr>
        <w:t>24</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874" w:firstLine="419"/>
      </w:pPr>
      <w:r>
        <w:rPr>
          <w:rFonts w:ascii="Calibri" w:eastAsia="Calibri"/>
        </w:rPr>
        <w:t>25</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540" w:right="871" w:firstLine="419"/>
      </w:pPr>
      <w:r>
        <w:rPr>
          <w:rFonts w:ascii="Calibri" w:eastAsia="Calibri"/>
        </w:rPr>
        <w:t>26</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540" w:right="871" w:firstLine="419"/>
      </w:pPr>
      <w:r>
        <w:rPr>
          <w:rFonts w:ascii="Calibri" w:eastAsia="Calibri"/>
        </w:rPr>
        <w:t>27</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540" w:right="874" w:firstLine="419"/>
      </w:pPr>
      <w:r>
        <w:rPr>
          <w:rFonts w:ascii="Calibri" w:eastAsia="Calibri"/>
        </w:rPr>
        <w:t>28</w:t>
      </w:r>
      <w:r>
        <w:rPr>
          <w:spacing w:val="-21"/>
        </w:rPr>
        <w:t>、基金合同终止日：指基金合同规定的基金合同终止事由出现后，基金财产清算完毕， </w:t>
      </w:r>
      <w:r>
        <w:rPr>
          <w:spacing w:val="-8"/>
        </w:rPr>
        <w:t>清算结果报中国证监会备案并予以公告的日期。</w:t>
      </w:r>
    </w:p>
    <w:p>
      <w:pPr>
        <w:pStyle w:val="BodyText"/>
        <w:spacing w:line="417" w:lineRule="auto"/>
        <w:ind w:left="540" w:right="871" w:firstLine="419"/>
      </w:pPr>
      <w:r>
        <w:rPr>
          <w:rFonts w:ascii="Calibri" w:eastAsia="Calibri"/>
        </w:rPr>
        <w:t>29</w:t>
      </w:r>
      <w:r>
        <w:rPr>
          <w:spacing w:val="-11"/>
        </w:rPr>
        <w:t>、基金募集期：指自基金份额发售之日起至发售结束之日止的期间，最长不得超过三个月。</w:t>
      </w:r>
    </w:p>
    <w:p>
      <w:pPr>
        <w:pStyle w:val="BodyText"/>
        <w:ind w:left="960"/>
      </w:pPr>
      <w:r>
        <w:rPr>
          <w:rFonts w:ascii="Calibri" w:eastAsia="Calibri"/>
        </w:rPr>
        <w:t>30</w:t>
      </w:r>
      <w:r>
        <w:rPr/>
        <w:t>、存续期：指基金合同生效至终止之间的不定期期限。</w:t>
      </w:r>
    </w:p>
    <w:p>
      <w:pPr>
        <w:pStyle w:val="BodyText"/>
        <w:spacing w:before="5"/>
        <w:rPr>
          <w:sz w:val="15"/>
        </w:rPr>
      </w:pPr>
    </w:p>
    <w:p>
      <w:pPr>
        <w:pStyle w:val="BodyText"/>
        <w:spacing w:before="1"/>
        <w:ind w:left="960"/>
      </w:pPr>
      <w:r>
        <w:rPr>
          <w:rFonts w:ascii="Calibri" w:eastAsia="Calibri"/>
        </w:rPr>
        <w:t>31</w:t>
      </w:r>
      <w:r>
        <w:rPr/>
        <w:t>、工作日：指上海证券交易所、深圳证券交易所的正常交易日。</w:t>
      </w:r>
    </w:p>
    <w:p>
      <w:pPr>
        <w:pStyle w:val="BodyText"/>
        <w:spacing w:before="6"/>
        <w:rPr>
          <w:sz w:val="15"/>
        </w:rPr>
      </w:pPr>
    </w:p>
    <w:p>
      <w:pPr>
        <w:pStyle w:val="BodyText"/>
        <w:ind w:left="960"/>
      </w:pPr>
      <w:r>
        <w:rPr>
          <w:rFonts w:ascii="Calibri" w:eastAsia="Calibri"/>
        </w:rPr>
        <w:t>32</w:t>
      </w:r>
      <w:r>
        <w:rPr/>
        <w:t>、</w:t>
      </w:r>
      <w:r>
        <w:rPr>
          <w:rFonts w:ascii="Calibri" w:eastAsia="Calibri"/>
        </w:rPr>
        <w:t>T </w:t>
      </w:r>
      <w:r>
        <w:rPr/>
        <w:t>日：指销售机构在规定时间受理投资人申购、赎回或其他业务申请的开放日。</w:t>
      </w:r>
    </w:p>
    <w:p>
      <w:pPr>
        <w:pStyle w:val="BodyText"/>
        <w:spacing w:before="7"/>
        <w:rPr>
          <w:sz w:val="15"/>
        </w:rPr>
      </w:pPr>
    </w:p>
    <w:p>
      <w:pPr>
        <w:pStyle w:val="BodyText"/>
        <w:ind w:left="960"/>
      </w:pPr>
      <w:r>
        <w:rPr>
          <w:rFonts w:ascii="Calibri" w:eastAsia="Calibri"/>
        </w:rPr>
        <w:t>33</w:t>
      </w:r>
      <w:r>
        <w:rPr/>
        <w:t>、</w:t>
      </w:r>
      <w:r>
        <w:rPr>
          <w:rFonts w:ascii="Calibri" w:eastAsia="Calibri"/>
        </w:rPr>
        <w:t>T+n </w:t>
      </w:r>
      <w:r>
        <w:rPr>
          <w:spacing w:val="-13"/>
        </w:rPr>
        <w:t>日：指自 </w:t>
      </w:r>
      <w:r>
        <w:rPr>
          <w:rFonts w:ascii="Calibri" w:eastAsia="Calibri"/>
        </w:rPr>
        <w:t>T </w:t>
      </w:r>
      <w:r>
        <w:rPr>
          <w:spacing w:val="-15"/>
        </w:rPr>
        <w:t>日起第 </w:t>
      </w:r>
      <w:r>
        <w:rPr>
          <w:rFonts w:ascii="Calibri" w:eastAsia="Calibri"/>
        </w:rPr>
        <w:t>n </w:t>
      </w:r>
      <w:r>
        <w:rPr>
          <w:spacing w:val="-3"/>
        </w:rPr>
        <w:t>个工作日（</w:t>
      </w:r>
      <w:r>
        <w:rPr>
          <w:spacing w:val="-15"/>
        </w:rPr>
        <w:t>不包含 </w:t>
      </w:r>
      <w:r>
        <w:rPr>
          <w:rFonts w:ascii="Calibri" w:eastAsia="Calibri"/>
        </w:rPr>
        <w:t>T </w:t>
      </w:r>
      <w:r>
        <w:rPr/>
        <w:t>日</w:t>
      </w:r>
      <w:r>
        <w:rPr>
          <w:spacing w:val="-106"/>
        </w:rPr>
        <w:t>）</w:t>
      </w:r>
      <w:r>
        <w:rPr/>
        <w:t>。</w:t>
      </w:r>
    </w:p>
    <w:p>
      <w:pPr>
        <w:pStyle w:val="BodyText"/>
        <w:spacing w:before="7"/>
        <w:rPr>
          <w:sz w:val="15"/>
        </w:rPr>
      </w:pPr>
    </w:p>
    <w:p>
      <w:pPr>
        <w:pStyle w:val="BodyText"/>
        <w:ind w:left="960"/>
      </w:pPr>
      <w:r>
        <w:rPr>
          <w:rFonts w:ascii="Calibri" w:eastAsia="Calibri"/>
        </w:rPr>
        <w:t>34</w:t>
      </w:r>
      <w:r>
        <w:rPr/>
        <w:t>、开放日：指为投资人办理基金份额申购、赎回或其他业务的工作日。</w:t>
      </w:r>
    </w:p>
    <w:p>
      <w:pPr>
        <w:pStyle w:val="BodyText"/>
        <w:spacing w:before="6"/>
        <w:rPr>
          <w:sz w:val="15"/>
        </w:rPr>
      </w:pPr>
    </w:p>
    <w:p>
      <w:pPr>
        <w:pStyle w:val="BodyText"/>
        <w:spacing w:before="1"/>
        <w:ind w:left="960"/>
      </w:pPr>
      <w:r>
        <w:rPr>
          <w:rFonts w:ascii="Calibri" w:eastAsia="Calibri"/>
        </w:rPr>
        <w:t>35</w:t>
      </w:r>
      <w:r>
        <w:rPr/>
        <w:t>、开放时间：指开放日基金接受申购、赎回或其他交易的时间段。</w:t>
      </w:r>
    </w:p>
    <w:p>
      <w:pPr>
        <w:pStyle w:val="BodyText"/>
        <w:spacing w:before="7"/>
        <w:rPr>
          <w:sz w:val="15"/>
        </w:rPr>
      </w:pPr>
    </w:p>
    <w:p>
      <w:pPr>
        <w:pStyle w:val="BodyText"/>
        <w:spacing w:line="417" w:lineRule="auto"/>
        <w:ind w:left="540" w:right="871" w:firstLine="419"/>
        <w:jc w:val="both"/>
      </w:pPr>
      <w:r>
        <w:rPr>
          <w:rFonts w:ascii="Calibri" w:eastAsia="Calibri"/>
        </w:rPr>
        <w:t>36</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960"/>
      </w:pPr>
      <w:r>
        <w:rPr>
          <w:rFonts w:ascii="Calibri" w:eastAsia="Calibri"/>
        </w:rPr>
        <w:t>37</w:t>
      </w:r>
      <w:r>
        <w:rPr/>
        <w:t>、认购：指在基金募集期内，投资人申请购买基金份额的行为。</w:t>
      </w:r>
    </w:p>
    <w:p>
      <w:pPr>
        <w:pStyle w:val="BodyText"/>
        <w:spacing w:before="6"/>
        <w:rPr>
          <w:sz w:val="15"/>
        </w:rPr>
      </w:pPr>
    </w:p>
    <w:p>
      <w:pPr>
        <w:pStyle w:val="BodyText"/>
        <w:spacing w:line="417" w:lineRule="auto" w:before="1"/>
        <w:ind w:left="540" w:right="871" w:firstLine="419"/>
      </w:pPr>
      <w:r>
        <w:rPr>
          <w:rFonts w:ascii="Calibri" w:eastAsia="Calibri"/>
        </w:rPr>
        <w:t>38</w:t>
      </w:r>
      <w:r>
        <w:rPr>
          <w:spacing w:val="-12"/>
        </w:rPr>
        <w:t>、申购：指基金合同生效后，投资人根据基金合同和招募说明书的规定申请购买基金</w:t>
      </w:r>
      <w:r>
        <w:rPr>
          <w:spacing w:val="-6"/>
        </w:rPr>
        <w:t>份额的行为。</w:t>
      </w:r>
    </w:p>
    <w:p>
      <w:pPr>
        <w:pStyle w:val="BodyText"/>
        <w:spacing w:line="417" w:lineRule="auto"/>
        <w:ind w:left="540" w:right="871" w:firstLine="419"/>
      </w:pPr>
      <w:r>
        <w:rPr>
          <w:rFonts w:ascii="Calibri" w:eastAsia="Calibri"/>
        </w:rPr>
        <w:t>39</w:t>
      </w:r>
      <w:r>
        <w:rPr>
          <w:spacing w:val="-12"/>
        </w:rPr>
        <w:t>、赎回：指基金合同生效后，基金份额持有人按基金合同规定的条件要求将基金份额</w:t>
      </w:r>
      <w:r>
        <w:rPr>
          <w:spacing w:val="-6"/>
        </w:rPr>
        <w:t>兑换为现金的行为。</w:t>
      </w:r>
    </w:p>
    <w:p>
      <w:pPr>
        <w:pStyle w:val="BodyText"/>
        <w:ind w:left="960"/>
      </w:pPr>
      <w:r>
        <w:rPr>
          <w:rFonts w:ascii="Calibri" w:eastAsia="Calibri"/>
        </w:rPr>
        <w:t>40</w:t>
      </w:r>
      <w:r>
        <w:rPr/>
        <w:t>、基金转换：指基金份额持有人按照基金合同和基金管理人届时有效公告规定的条件，</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pPr>
      <w:r>
        <w:rPr>
          <w:spacing w:val="-10"/>
        </w:rPr>
        <w:t>申请将其持有基金管理人管理的、某一基金的基金份额转换为基金管理人管理的其他基金基</w:t>
      </w:r>
      <w:r>
        <w:rPr>
          <w:spacing w:val="-5"/>
        </w:rPr>
        <w:t>金份额的行为。</w:t>
      </w:r>
    </w:p>
    <w:p>
      <w:pPr>
        <w:pStyle w:val="BodyText"/>
        <w:spacing w:line="417" w:lineRule="auto"/>
        <w:ind w:left="540" w:right="871" w:firstLine="419"/>
      </w:pPr>
      <w:r>
        <w:rPr>
          <w:rFonts w:ascii="Calibri" w:eastAsia="Calibri"/>
        </w:rPr>
        <w:t>41</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871" w:firstLine="419"/>
        <w:jc w:val="both"/>
      </w:pPr>
      <w:r>
        <w:rPr>
          <w:rFonts w:ascii="Calibri" w:eastAsia="Calibri"/>
        </w:rPr>
        <w:t>42</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768" w:firstLine="419"/>
      </w:pPr>
      <w:r>
        <w:rPr>
          <w:rFonts w:ascii="Calibri" w:eastAsia="Calibri"/>
        </w:rPr>
        <w:t>43</w:t>
      </w:r>
      <w:r>
        <w:rPr>
          <w:spacing w:val="-12"/>
        </w:rPr>
        <w:t>、巨额赎回：指本基金单个开放日，基金净赎回申请</w:t>
      </w:r>
      <w:r>
        <w:rPr/>
        <w:t>（</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Calibri" w:eastAsia="Calibri"/>
        </w:rPr>
        <w:t>10%</w:t>
      </w:r>
      <w:r>
        <w:rPr/>
        <w:t>。</w:t>
      </w:r>
    </w:p>
    <w:p>
      <w:pPr>
        <w:pStyle w:val="BodyText"/>
        <w:spacing w:line="269" w:lineRule="exact"/>
        <w:ind w:left="960"/>
      </w:pPr>
      <w:r>
        <w:rPr>
          <w:rFonts w:ascii="Calibri" w:eastAsia="Calibri"/>
        </w:rPr>
        <w:t>44</w:t>
      </w:r>
      <w:r>
        <w:rPr/>
        <w:t>、元：指人民币元。</w:t>
      </w:r>
    </w:p>
    <w:p>
      <w:pPr>
        <w:pStyle w:val="BodyText"/>
        <w:spacing w:before="6"/>
        <w:rPr>
          <w:sz w:val="15"/>
        </w:rPr>
      </w:pPr>
    </w:p>
    <w:p>
      <w:pPr>
        <w:pStyle w:val="BodyText"/>
        <w:spacing w:before="1"/>
        <w:ind w:left="960"/>
      </w:pPr>
      <w:r>
        <w:rPr>
          <w:rFonts w:ascii="Calibri" w:eastAsia="Calibri"/>
        </w:rPr>
        <w:t>45</w:t>
      </w:r>
      <w:r>
        <w:rPr/>
        <w:t>、美元：指美国法定货币及法定货币单位。</w:t>
      </w:r>
    </w:p>
    <w:p>
      <w:pPr>
        <w:pStyle w:val="BodyText"/>
        <w:spacing w:before="6"/>
        <w:rPr>
          <w:sz w:val="15"/>
        </w:rPr>
      </w:pPr>
    </w:p>
    <w:p>
      <w:pPr>
        <w:pStyle w:val="BodyText"/>
        <w:spacing w:line="417" w:lineRule="auto"/>
        <w:ind w:left="540" w:right="874" w:firstLine="419"/>
      </w:pPr>
      <w:r>
        <w:rPr>
          <w:rFonts w:ascii="Calibri" w:eastAsia="Calibri"/>
        </w:rPr>
        <w:t>46</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40" w:right="874" w:firstLine="419"/>
      </w:pPr>
      <w:r>
        <w:rPr>
          <w:rFonts w:ascii="Calibri" w:eastAsia="Calibri"/>
        </w:rPr>
        <w:t>47</w:t>
      </w:r>
      <w:r>
        <w:rPr>
          <w:spacing w:val="-11"/>
        </w:rPr>
        <w:t>、基金资产总值：指基金拥有的各类有价证券、银行存款本息、基金应收申购款及其</w:t>
      </w:r>
      <w:r>
        <w:rPr>
          <w:spacing w:val="-6"/>
        </w:rPr>
        <w:t>他资产的价值总和。</w:t>
      </w:r>
    </w:p>
    <w:p>
      <w:pPr>
        <w:pStyle w:val="BodyText"/>
        <w:spacing w:line="269" w:lineRule="exact"/>
        <w:ind w:left="960"/>
      </w:pPr>
      <w:r>
        <w:rPr>
          <w:rFonts w:ascii="Calibri" w:eastAsia="Calibri"/>
        </w:rPr>
        <w:t>48</w:t>
      </w:r>
      <w:r>
        <w:rPr/>
        <w:t>、基金资产净值：指基金资产总值减去基金负债后的价值。</w:t>
      </w:r>
    </w:p>
    <w:p>
      <w:pPr>
        <w:pStyle w:val="BodyText"/>
        <w:spacing w:before="7"/>
        <w:rPr>
          <w:sz w:val="15"/>
        </w:rPr>
      </w:pPr>
    </w:p>
    <w:p>
      <w:pPr>
        <w:pStyle w:val="BodyText"/>
        <w:ind w:left="960"/>
      </w:pPr>
      <w:r>
        <w:rPr>
          <w:rFonts w:ascii="Calibri" w:eastAsia="Calibri"/>
        </w:rPr>
        <w:t>49</w:t>
      </w:r>
      <w:r>
        <w:rPr/>
        <w:t>、基金份额净值：指计算日基金资产净值除以计算日基金份额总数。</w:t>
      </w:r>
    </w:p>
    <w:p>
      <w:pPr>
        <w:pStyle w:val="BodyText"/>
        <w:spacing w:before="7"/>
        <w:rPr>
          <w:sz w:val="15"/>
        </w:rPr>
      </w:pPr>
    </w:p>
    <w:p>
      <w:pPr>
        <w:pStyle w:val="BodyText"/>
        <w:spacing w:line="417" w:lineRule="auto"/>
        <w:ind w:left="540" w:right="871" w:firstLine="419"/>
      </w:pPr>
      <w:r>
        <w:rPr>
          <w:rFonts w:ascii="Calibri" w:eastAsia="Calibri"/>
        </w:rPr>
        <w:t>50</w:t>
      </w:r>
      <w:r>
        <w:rPr>
          <w:spacing w:val="-11"/>
        </w:rPr>
        <w:t>、基金资产估值：指计算评估基金资产和负债的价值，以确定基金资产净值和基金份</w:t>
      </w:r>
      <w:r>
        <w:rPr>
          <w:spacing w:val="-6"/>
        </w:rPr>
        <w:t>额净值的过程。</w:t>
      </w:r>
    </w:p>
    <w:p>
      <w:pPr>
        <w:pStyle w:val="BodyText"/>
        <w:spacing w:line="417" w:lineRule="auto"/>
        <w:ind w:left="540" w:right="871" w:firstLine="419"/>
        <w:jc w:val="both"/>
      </w:pPr>
      <w:r>
        <w:rPr>
          <w:rFonts w:ascii="Calibri" w:eastAsia="Calibri"/>
        </w:rPr>
        <w:t>51</w:t>
      </w:r>
      <w:r>
        <w:rPr>
          <w:spacing w:val="-11"/>
        </w:rPr>
        <w:t>、流动性受限资产：指由于法律法规、监管、合同或操作障碍等原因无法以合理价格</w:t>
      </w:r>
      <w:r>
        <w:rPr>
          <w:spacing w:val="-8"/>
        </w:rPr>
        <w:t>予以变现的资产，包括但不限于到期日在 </w:t>
      </w:r>
      <w:r>
        <w:rPr>
          <w:rFonts w:ascii="Calibri" w:eastAsia="Calibri"/>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540" w:right="871" w:firstLine="419"/>
        <w:jc w:val="both"/>
      </w:pPr>
      <w:r>
        <w:rPr>
          <w:rFonts w:ascii="Calibri" w:eastAsia="Calibri"/>
        </w:rPr>
        <w:t>52</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960"/>
      </w:pPr>
      <w:r>
        <w:rPr>
          <w:rFonts w:ascii="Calibri" w:eastAsia="Calibri"/>
        </w:rPr>
        <w:t>53</w:t>
      </w:r>
      <w:r>
        <w:rPr/>
        <w:t>、指定媒介：指中国证监会指定的用以进行信息披露的媒介。</w:t>
      </w:r>
    </w:p>
    <w:p>
      <w:pPr>
        <w:pStyle w:val="BodyText"/>
        <w:spacing w:before="6"/>
        <w:rPr>
          <w:sz w:val="15"/>
        </w:rPr>
      </w:pPr>
    </w:p>
    <w:p>
      <w:pPr>
        <w:pStyle w:val="BodyText"/>
        <w:spacing w:before="1"/>
        <w:ind w:left="960"/>
      </w:pPr>
      <w:r>
        <w:rPr>
          <w:rFonts w:ascii="Calibri" w:eastAsia="Calibri"/>
        </w:rPr>
        <w:t>54</w:t>
      </w:r>
      <w:r>
        <w:rPr/>
        <w:t>、不可抗力：指基金合同当事人不能预见、不能避免且不能克服的客观事件。</w:t>
      </w:r>
    </w:p>
    <w:p>
      <w:pPr>
        <w:pStyle w:val="BodyText"/>
        <w:spacing w:before="6"/>
        <w:rPr>
          <w:sz w:val="15"/>
        </w:rPr>
      </w:pPr>
    </w:p>
    <w:p>
      <w:pPr>
        <w:pStyle w:val="BodyText"/>
        <w:ind w:left="960"/>
      </w:pPr>
      <w:r>
        <w:rPr>
          <w:rFonts w:ascii="Calibri" w:eastAsia="Calibri"/>
        </w:rPr>
        <w:t>55</w:t>
      </w:r>
      <w:r>
        <w:rPr/>
        <w:t>、基金产品资料概要：指《华夏大中华信用精选债券型证券投资基金（</w:t>
      </w:r>
      <w:r>
        <w:rPr>
          <w:rFonts w:ascii="Calibri" w:eastAsia="Calibri"/>
        </w:rPr>
        <w:t>QDII</w:t>
      </w:r>
      <w:r>
        <w:rPr/>
        <w:t>）基金产</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540"/>
      </w:pPr>
      <w:r>
        <w:rPr/>
        <w:t>品资料概要》及其更新。</w:t>
      </w:r>
    </w:p>
    <w:p>
      <w:pPr>
        <w:pStyle w:val="BodyText"/>
        <w:rPr>
          <w:sz w:val="20"/>
        </w:rPr>
      </w:pPr>
    </w:p>
    <w:p>
      <w:pPr>
        <w:pStyle w:val="BodyText"/>
        <w:spacing w:before="7"/>
        <w:rPr>
          <w:sz w:val="16"/>
        </w:rPr>
      </w:pPr>
    </w:p>
    <w:p>
      <w:pPr>
        <w:pStyle w:val="Heading1"/>
        <w:spacing w:before="72"/>
      </w:pPr>
      <w:bookmarkStart w:name="_bookmark2" w:id="3"/>
      <w:bookmarkEnd w:id="3"/>
      <w:r>
        <w:rPr>
          <w:b w:val="0"/>
        </w:rPr>
      </w:r>
      <w:r>
        <w:rPr/>
        <w:t>三、风险揭示</w:t>
      </w:r>
    </w:p>
    <w:p>
      <w:pPr>
        <w:pStyle w:val="BodyText"/>
        <w:rPr>
          <w:b/>
          <w:sz w:val="20"/>
        </w:rPr>
      </w:pPr>
    </w:p>
    <w:p>
      <w:pPr>
        <w:pStyle w:val="BodyText"/>
        <w:spacing w:before="7"/>
        <w:rPr>
          <w:b/>
          <w:sz w:val="15"/>
        </w:rPr>
      </w:pPr>
    </w:p>
    <w:p>
      <w:pPr>
        <w:pStyle w:val="BodyText"/>
        <w:spacing w:before="72"/>
        <w:ind w:left="960"/>
      </w:pPr>
      <w:r>
        <w:rPr/>
        <w:t>（一）投资于本基金的主要风险</w:t>
      </w:r>
    </w:p>
    <w:p>
      <w:pPr>
        <w:pStyle w:val="BodyText"/>
        <w:spacing w:before="7"/>
        <w:rPr>
          <w:sz w:val="15"/>
        </w:rPr>
      </w:pPr>
    </w:p>
    <w:p>
      <w:pPr>
        <w:pStyle w:val="BodyText"/>
        <w:spacing w:line="417" w:lineRule="auto"/>
        <w:ind w:left="540" w:right="768" w:firstLine="419"/>
      </w:pPr>
      <w:r>
        <w:rPr/>
        <w:t>本基金将主要面临以下风险，其中部分或全部风险因素可能对基金份额净值、收益率、和</w:t>
      </w:r>
      <w:r>
        <w:rPr>
          <w:rFonts w:ascii="Calibri" w:eastAsia="Calibri"/>
        </w:rPr>
        <w:t>/</w:t>
      </w:r>
      <w:r>
        <w:rPr/>
        <w:t>或实现投资目标的能力造成影响。</w:t>
      </w:r>
    </w:p>
    <w:p>
      <w:pPr>
        <w:pStyle w:val="BodyText"/>
        <w:spacing w:line="269" w:lineRule="exact"/>
        <w:ind w:left="960"/>
      </w:pPr>
      <w:r>
        <w:rPr>
          <w:rFonts w:ascii="Calibri" w:eastAsia="Calibri"/>
        </w:rPr>
        <w:t>1</w:t>
      </w:r>
      <w:r>
        <w:rPr/>
        <w:t>、全球投资的特殊风险</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汇率风险</w:t>
      </w:r>
    </w:p>
    <w:p>
      <w:pPr>
        <w:pStyle w:val="BodyText"/>
        <w:spacing w:before="7"/>
        <w:rPr>
          <w:sz w:val="15"/>
        </w:rPr>
      </w:pPr>
    </w:p>
    <w:p>
      <w:pPr>
        <w:pStyle w:val="BodyText"/>
        <w:spacing w:line="417" w:lineRule="auto"/>
        <w:ind w:left="540" w:right="871" w:firstLine="419"/>
      </w:pPr>
      <w:r>
        <w:rPr>
          <w:spacing w:val="-7"/>
        </w:rPr>
        <w:t>本基金主要投资于全球市场以多种外币计价的金融工具。外币相对于人民币的汇率变化</w:t>
      </w:r>
      <w:r>
        <w:rPr>
          <w:spacing w:val="-5"/>
        </w:rPr>
        <w:t>可能会影响本基金的基金资产价值，从而导致基金资产面临潜在风险。</w:t>
      </w:r>
    </w:p>
    <w:p>
      <w:pPr>
        <w:pStyle w:val="BodyText"/>
        <w:spacing w:line="417" w:lineRule="auto"/>
        <w:ind w:left="540" w:right="871" w:firstLine="419"/>
        <w:jc w:val="both"/>
      </w:pPr>
      <w:r>
        <w:rPr>
          <w:spacing w:val="2"/>
        </w:rPr>
        <w:t>本基金 </w:t>
      </w:r>
      <w:r>
        <w:rPr>
          <w:rFonts w:ascii="Calibri" w:eastAsia="Calibri"/>
        </w:rPr>
        <w:t>A </w:t>
      </w:r>
      <w:r>
        <w:rPr>
          <w:spacing w:val="-3"/>
        </w:rPr>
        <w:t>类份额采用人民币和美元销售。美元申购赎回价格为按照相应基金份额净值</w:t>
      </w:r>
      <w:r>
        <w:rPr>
          <w:spacing w:val="-6"/>
        </w:rPr>
        <w:t>除以中国人民银行最新公布的人民币对美元汇率中间价计算的美元折算净值，由于存在汇率</w:t>
      </w:r>
      <w:r>
        <w:rPr>
          <w:spacing w:val="-4"/>
        </w:rPr>
        <w:t>波动，可能导致以美元计算的收益率和以人民币计算的收益率有所差异。</w:t>
      </w:r>
    </w:p>
    <w:p>
      <w:pPr>
        <w:pStyle w:val="BodyText"/>
        <w:spacing w:line="417" w:lineRule="auto"/>
        <w:ind w:left="540" w:right="871" w:firstLine="419"/>
      </w:pPr>
      <w:r>
        <w:rPr>
          <w:spacing w:val="-11"/>
        </w:rPr>
        <w:t>此外，由于汇率取自汇率发布机构，如果汇率发布机构出现汇率发布时间延迟或是汇率</w:t>
      </w:r>
      <w:r>
        <w:rPr>
          <w:spacing w:val="-6"/>
        </w:rPr>
        <w:t>数据错误等情况，可能会对基金运作或者投资者的决策产生不利影响。</w:t>
      </w:r>
    </w:p>
    <w:p>
      <w:pPr>
        <w:pStyle w:val="ListParagraph"/>
        <w:numPr>
          <w:ilvl w:val="0"/>
          <w:numId w:val="1"/>
        </w:numPr>
        <w:tabs>
          <w:tab w:pos="1490" w:val="left" w:leader="none"/>
        </w:tabs>
        <w:spacing w:line="240" w:lineRule="auto" w:before="0" w:after="0"/>
        <w:ind w:left="1489" w:right="0" w:hanging="530"/>
        <w:jc w:val="left"/>
        <w:rPr>
          <w:sz w:val="21"/>
        </w:rPr>
      </w:pPr>
      <w:r>
        <w:rPr>
          <w:spacing w:val="-2"/>
          <w:sz w:val="21"/>
        </w:rPr>
        <w:t>国家</w:t>
      </w:r>
      <w:r>
        <w:rPr>
          <w:rFonts w:ascii="Calibri" w:eastAsia="Calibri"/>
          <w:sz w:val="21"/>
        </w:rPr>
        <w:t>/</w:t>
      </w:r>
      <w:r>
        <w:rPr>
          <w:spacing w:val="-3"/>
          <w:sz w:val="21"/>
        </w:rPr>
        <w:t>地区市场风险</w:t>
      </w:r>
    </w:p>
    <w:p>
      <w:pPr>
        <w:pStyle w:val="BodyText"/>
        <w:spacing w:before="6"/>
        <w:rPr>
          <w:sz w:val="15"/>
        </w:rPr>
      </w:pPr>
    </w:p>
    <w:p>
      <w:pPr>
        <w:pStyle w:val="BodyText"/>
        <w:spacing w:line="417" w:lineRule="auto"/>
        <w:ind w:left="540" w:right="871" w:firstLine="419"/>
        <w:jc w:val="both"/>
      </w:pPr>
      <w:r>
        <w:rPr/>
        <w:t>全球投资受到各个国家</w:t>
      </w:r>
      <w:r>
        <w:rPr>
          <w:rFonts w:ascii="Calibri" w:eastAsia="Calibri"/>
        </w:rPr>
        <w:t>/</w:t>
      </w:r>
      <w:r>
        <w:rPr>
          <w:spacing w:val="-4"/>
        </w:rPr>
        <w:t>地区宏观经济运行情况、货币政策、财政政策、产业政策以及</w:t>
      </w:r>
      <w:r>
        <w:rPr>
          <w:spacing w:val="-11"/>
        </w:rPr>
        <w:t>交易规则、结算、托管以及其他运作风险等多种因素的影响，上述因素的波动和变化可能会</w:t>
      </w:r>
      <w:r>
        <w:rPr>
          <w:spacing w:val="-22"/>
        </w:rPr>
        <w:t>使基金资产面临潜在风险。此外，全球投资的成本、全球市场的波动性也可能高于境内市场， </w:t>
      </w:r>
      <w:r>
        <w:rPr>
          <w:spacing w:val="-8"/>
        </w:rPr>
        <w:t>存在一定的市场风险。</w:t>
      </w:r>
    </w:p>
    <w:p>
      <w:pPr>
        <w:pStyle w:val="ListParagraph"/>
        <w:numPr>
          <w:ilvl w:val="0"/>
          <w:numId w:val="1"/>
        </w:numPr>
        <w:tabs>
          <w:tab w:pos="1490" w:val="left" w:leader="none"/>
        </w:tabs>
        <w:spacing w:line="268" w:lineRule="exact" w:before="0" w:after="0"/>
        <w:ind w:left="1489" w:right="0" w:hanging="530"/>
        <w:jc w:val="left"/>
        <w:rPr>
          <w:sz w:val="21"/>
        </w:rPr>
      </w:pPr>
      <w:r>
        <w:rPr>
          <w:spacing w:val="-3"/>
          <w:sz w:val="21"/>
        </w:rPr>
        <w:t>法律和政治风险</w:t>
      </w:r>
    </w:p>
    <w:p>
      <w:pPr>
        <w:pStyle w:val="BodyText"/>
        <w:spacing w:before="7"/>
        <w:rPr>
          <w:sz w:val="15"/>
        </w:rPr>
      </w:pPr>
    </w:p>
    <w:p>
      <w:pPr>
        <w:pStyle w:val="BodyText"/>
        <w:spacing w:line="417" w:lineRule="auto"/>
        <w:ind w:left="540" w:right="874" w:firstLine="419"/>
      </w:pPr>
      <w:r>
        <w:rPr/>
        <w:t>由于各个国家</w:t>
      </w:r>
      <w:r>
        <w:rPr>
          <w:rFonts w:ascii="Calibri" w:eastAsia="Calibri"/>
        </w:rPr>
        <w:t>/</w:t>
      </w:r>
      <w:r>
        <w:rPr/>
        <w:t>地区适用不同法律法规的原因，可能导致本基金的某些投资行为在部分国家</w:t>
      </w:r>
      <w:r>
        <w:rPr>
          <w:rFonts w:ascii="Calibri" w:eastAsia="Calibri"/>
        </w:rPr>
        <w:t>/</w:t>
      </w:r>
      <w:r>
        <w:rPr/>
        <w:t>地区受到限制或合同不能正常执行，从而使得基金资产面临损失的可能性。</w:t>
      </w:r>
    </w:p>
    <w:p>
      <w:pPr>
        <w:pStyle w:val="BodyText"/>
        <w:spacing w:line="417" w:lineRule="auto"/>
        <w:ind w:left="540" w:right="871" w:firstLine="419"/>
        <w:jc w:val="both"/>
      </w:pPr>
      <w:r>
        <w:rPr/>
        <w:t>基金所投资的国家</w:t>
      </w:r>
      <w:r>
        <w:rPr>
          <w:rFonts w:ascii="Calibri" w:eastAsia="Calibri"/>
        </w:rPr>
        <w:t>/</w:t>
      </w:r>
      <w:r>
        <w:rPr>
          <w:spacing w:val="-1"/>
        </w:rPr>
        <w:t>地区因政治局势变化</w:t>
      </w:r>
      <w:r>
        <w:rPr/>
        <w:t>（</w:t>
      </w:r>
      <w:r>
        <w:rPr>
          <w:spacing w:val="-1"/>
        </w:rPr>
        <w:t>如罢工、暴动、战争等</w:t>
      </w:r>
      <w:r>
        <w:rPr/>
        <w:t>）</w:t>
      </w:r>
      <w:r>
        <w:rPr>
          <w:spacing w:val="-3"/>
        </w:rPr>
        <w:t>或法令的变动，可</w:t>
      </w:r>
      <w:r>
        <w:rPr>
          <w:spacing w:val="-8"/>
        </w:rPr>
        <w:t>能导致市场的较大波动，从而给本基金的投资收益造成直接或间接的影响。此外，基金所投</w:t>
      </w:r>
      <w:r>
        <w:rPr>
          <w:spacing w:val="-6"/>
        </w:rPr>
        <w:t>资的国家</w:t>
      </w:r>
      <w:r>
        <w:rPr>
          <w:rFonts w:ascii="Calibri" w:eastAsia="Calibri"/>
          <w:spacing w:val="-3"/>
        </w:rPr>
        <w:t>/</w:t>
      </w:r>
      <w:r>
        <w:rPr>
          <w:spacing w:val="-13"/>
        </w:rPr>
        <w:t>地区可能会不时采取某些管制措施，如资本或外汇管制、对公司或行业的国有化、</w:t>
      </w:r>
      <w:r>
        <w:rPr>
          <w:spacing w:val="-6"/>
        </w:rPr>
        <w:t>没收资产以及征收高额税收等，从而对基金收益以及基金资产带来不利影响。</w:t>
      </w:r>
    </w:p>
    <w:p>
      <w:pPr>
        <w:pStyle w:val="ListParagraph"/>
        <w:numPr>
          <w:ilvl w:val="0"/>
          <w:numId w:val="1"/>
        </w:numPr>
        <w:tabs>
          <w:tab w:pos="1490" w:val="left" w:leader="none"/>
        </w:tabs>
        <w:spacing w:line="268" w:lineRule="exact" w:before="0" w:after="0"/>
        <w:ind w:left="1489" w:right="0" w:hanging="530"/>
        <w:jc w:val="left"/>
        <w:rPr>
          <w:sz w:val="21"/>
        </w:rPr>
      </w:pPr>
      <w:r>
        <w:rPr>
          <w:spacing w:val="-3"/>
          <w:sz w:val="21"/>
        </w:rPr>
        <w:t>会计制度风险</w:t>
      </w:r>
    </w:p>
    <w:p>
      <w:pPr>
        <w:pStyle w:val="BodyText"/>
        <w:spacing w:before="7"/>
        <w:rPr>
          <w:sz w:val="15"/>
        </w:rPr>
      </w:pPr>
    </w:p>
    <w:p>
      <w:pPr>
        <w:pStyle w:val="BodyText"/>
        <w:ind w:left="960"/>
      </w:pPr>
      <w:r>
        <w:rPr/>
        <w:t>由于各个国家</w:t>
      </w:r>
      <w:r>
        <w:rPr>
          <w:rFonts w:ascii="Calibri" w:eastAsia="Calibri"/>
        </w:rPr>
        <w:t>/</w:t>
      </w:r>
      <w:r>
        <w:rPr/>
        <w:t>地区对上市公司日常经营活动的会计处理、财务报表披露等会计核算标</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pPr>
      <w:r>
        <w:rPr>
          <w:spacing w:val="-8"/>
        </w:rPr>
        <w:t>准的规定存在一定差异，可能导致基金经理对公司盈利能力、投资价值的判断产生偏差，从</w:t>
      </w:r>
      <w:r>
        <w:rPr>
          <w:spacing w:val="-5"/>
        </w:rPr>
        <w:t>而给本基金投资带来潜在风险。</w:t>
      </w:r>
    </w:p>
    <w:p>
      <w:pPr>
        <w:pStyle w:val="ListParagraph"/>
        <w:numPr>
          <w:ilvl w:val="0"/>
          <w:numId w:val="1"/>
        </w:numPr>
        <w:tabs>
          <w:tab w:pos="1490" w:val="left" w:leader="none"/>
        </w:tabs>
        <w:spacing w:line="269" w:lineRule="exact" w:before="0" w:after="0"/>
        <w:ind w:left="1489" w:right="0" w:hanging="530"/>
        <w:jc w:val="left"/>
        <w:rPr>
          <w:sz w:val="21"/>
        </w:rPr>
      </w:pPr>
      <w:r>
        <w:rPr>
          <w:spacing w:val="-3"/>
          <w:sz w:val="21"/>
        </w:rPr>
        <w:t>税务风险</w:t>
      </w:r>
    </w:p>
    <w:p>
      <w:pPr>
        <w:pStyle w:val="BodyText"/>
        <w:spacing w:before="7"/>
        <w:rPr>
          <w:sz w:val="15"/>
        </w:rPr>
      </w:pPr>
    </w:p>
    <w:p>
      <w:pPr>
        <w:pStyle w:val="BodyText"/>
        <w:spacing w:line="417" w:lineRule="auto"/>
        <w:ind w:left="540" w:right="662" w:firstLine="419"/>
      </w:pPr>
      <w:r>
        <w:rPr>
          <w:spacing w:val="-2"/>
        </w:rPr>
        <w:t>由于各个国家</w:t>
      </w:r>
      <w:r>
        <w:rPr>
          <w:rFonts w:ascii="Calibri" w:eastAsia="Calibri"/>
          <w:spacing w:val="-3"/>
        </w:rPr>
        <w:t>/</w:t>
      </w:r>
      <w:r>
        <w:rPr>
          <w:spacing w:val="-6"/>
        </w:rPr>
        <w:t>地区在税务方面的法律法规存在一定差异，当投资某个国家</w:t>
      </w:r>
      <w:r>
        <w:rPr>
          <w:rFonts w:ascii="Calibri" w:eastAsia="Calibri"/>
          <w:spacing w:val="-3"/>
        </w:rPr>
        <w:t>/</w:t>
      </w:r>
      <w:r>
        <w:rPr>
          <w:spacing w:val="-3"/>
        </w:rPr>
        <w:t>地区市场时， 该国家</w:t>
      </w:r>
      <w:r>
        <w:rPr>
          <w:rFonts w:ascii="Calibri" w:eastAsia="Calibri"/>
          <w:spacing w:val="-3"/>
        </w:rPr>
        <w:t>/</w:t>
      </w:r>
      <w:r>
        <w:rPr>
          <w:spacing w:val="-3"/>
        </w:rPr>
        <w:t>地区可能会要求基金就利息、资本利得等收益向当地税务机构缴纳税金，该行为会 使基金收益受到一定影响。此外，各个国家</w:t>
      </w:r>
      <w:r>
        <w:rPr>
          <w:rFonts w:ascii="Calibri" w:eastAsia="Calibri"/>
        </w:rPr>
        <w:t>/</w:t>
      </w:r>
      <w:r>
        <w:rPr>
          <w:spacing w:val="-2"/>
        </w:rPr>
        <w:t>地区的税收规定可能发生变化，或者实施具有 </w:t>
      </w:r>
      <w:r>
        <w:rPr>
          <w:spacing w:val="-3"/>
        </w:rPr>
        <w:t>追溯力的修订，从而导致基金向该国家</w:t>
      </w:r>
      <w:r>
        <w:rPr>
          <w:rFonts w:ascii="Calibri" w:eastAsia="Calibri"/>
        </w:rPr>
        <w:t>/</w:t>
      </w:r>
      <w:r>
        <w:rPr>
          <w:spacing w:val="-2"/>
        </w:rPr>
        <w:t>地区缴纳在基金销售、估值或者出售投资当日并未 </w:t>
      </w:r>
      <w:r>
        <w:rPr>
          <w:spacing w:val="-3"/>
        </w:rPr>
        <w:t>预计的额外税项。</w:t>
      </w:r>
    </w:p>
    <w:p>
      <w:pPr>
        <w:pStyle w:val="BodyText"/>
        <w:spacing w:line="269" w:lineRule="exact"/>
        <w:ind w:left="960"/>
      </w:pPr>
      <w:r>
        <w:rPr>
          <w:rFonts w:ascii="Calibri" w:eastAsia="Calibri"/>
        </w:rPr>
        <w:t>2</w:t>
      </w:r>
      <w:r>
        <w:rPr/>
        <w:t>、投资工具的相关风险</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2"/>
          <w:sz w:val="21"/>
        </w:rPr>
        <w:t>债券</w:t>
      </w:r>
    </w:p>
    <w:p>
      <w:pPr>
        <w:pStyle w:val="BodyText"/>
        <w:spacing w:before="6"/>
        <w:rPr>
          <w:sz w:val="15"/>
        </w:rPr>
      </w:pPr>
    </w:p>
    <w:p>
      <w:pPr>
        <w:pStyle w:val="BodyText"/>
        <w:spacing w:before="1"/>
        <w:ind w:left="960"/>
      </w:pPr>
      <w:r>
        <w:rPr/>
        <w:t>债券投资风险主要包括：</w:t>
      </w:r>
    </w:p>
    <w:p>
      <w:pPr>
        <w:pStyle w:val="BodyText"/>
        <w:spacing w:before="6"/>
        <w:rPr>
          <w:sz w:val="15"/>
        </w:rPr>
      </w:pPr>
    </w:p>
    <w:p>
      <w:pPr>
        <w:pStyle w:val="BodyText"/>
        <w:ind w:left="960"/>
      </w:pPr>
      <w:r>
        <w:rPr/>
        <w:t>①信用风险</w:t>
      </w:r>
    </w:p>
    <w:p>
      <w:pPr>
        <w:pStyle w:val="BodyText"/>
        <w:spacing w:before="7"/>
        <w:rPr>
          <w:sz w:val="15"/>
        </w:rPr>
      </w:pPr>
    </w:p>
    <w:p>
      <w:pPr>
        <w:pStyle w:val="BodyText"/>
        <w:spacing w:line="417" w:lineRule="auto"/>
        <w:ind w:left="540" w:right="87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ind w:left="960"/>
      </w:pPr>
      <w:r>
        <w:rPr>
          <w:spacing w:val="-1"/>
        </w:rPr>
        <w:t>②利率风险</w:t>
      </w:r>
    </w:p>
    <w:p>
      <w:pPr>
        <w:pStyle w:val="BodyText"/>
        <w:spacing w:before="7"/>
        <w:rPr>
          <w:sz w:val="15"/>
        </w:rPr>
      </w:pPr>
    </w:p>
    <w:p>
      <w:pPr>
        <w:pStyle w:val="BodyText"/>
        <w:spacing w:line="417" w:lineRule="auto"/>
        <w:ind w:left="540" w:right="87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spacing w:line="269" w:lineRule="exact"/>
        <w:ind w:left="960"/>
      </w:pPr>
      <w:r>
        <w:rPr/>
        <w:t>③收益率曲线风险</w:t>
      </w:r>
    </w:p>
    <w:p>
      <w:pPr>
        <w:pStyle w:val="BodyText"/>
        <w:spacing w:before="6"/>
        <w:rPr>
          <w:sz w:val="15"/>
        </w:rPr>
      </w:pPr>
    </w:p>
    <w:p>
      <w:pPr>
        <w:pStyle w:val="BodyText"/>
        <w:spacing w:line="417" w:lineRule="auto" w:before="1"/>
        <w:ind w:left="540" w:right="87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ind w:left="960"/>
      </w:pPr>
      <w:r>
        <w:rPr/>
        <w:t>④利差风险</w:t>
      </w:r>
    </w:p>
    <w:p>
      <w:pPr>
        <w:pStyle w:val="BodyText"/>
        <w:spacing w:before="6"/>
        <w:rPr>
          <w:sz w:val="15"/>
        </w:rPr>
      </w:pPr>
    </w:p>
    <w:p>
      <w:pPr>
        <w:pStyle w:val="BodyText"/>
        <w:spacing w:line="417" w:lineRule="auto" w:before="1"/>
        <w:ind w:left="540" w:right="871" w:firstLine="419"/>
      </w:pPr>
      <w:r>
        <w:rPr>
          <w:spacing w:val="-12"/>
        </w:rPr>
        <w:t>债券市场不同期限、不同类属债券之间的利差变动导致相应期限和类属债券价格变化的风险。</w:t>
      </w:r>
    </w:p>
    <w:p>
      <w:pPr>
        <w:pStyle w:val="BodyText"/>
        <w:spacing w:line="269" w:lineRule="exact"/>
        <w:ind w:left="960"/>
      </w:pPr>
      <w:r>
        <w:rPr/>
        <w:t>⑤市场供需风险</w:t>
      </w:r>
    </w:p>
    <w:p>
      <w:pPr>
        <w:pStyle w:val="BodyText"/>
        <w:spacing w:before="6"/>
        <w:rPr>
          <w:sz w:val="15"/>
        </w:rPr>
      </w:pPr>
    </w:p>
    <w:p>
      <w:pPr>
        <w:pStyle w:val="BodyText"/>
        <w:spacing w:line="417" w:lineRule="auto"/>
        <w:ind w:left="540" w:right="87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BodyText"/>
        <w:ind w:left="960"/>
      </w:pPr>
      <w:r>
        <w:rPr/>
        <w:t>⑥购买力风险</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pPr>
      <w:r>
        <w:rPr>
          <w:spacing w:val="-8"/>
        </w:rPr>
        <w:t>基金投资所取得的收益率有可能低于通货膨胀率，从而导致投资者持有本基金资产实际</w:t>
      </w:r>
      <w:r>
        <w:rPr>
          <w:spacing w:val="-5"/>
        </w:rPr>
        <w:t>购买力下降。</w:t>
      </w:r>
    </w:p>
    <w:p>
      <w:pPr>
        <w:pStyle w:val="ListParagraph"/>
        <w:numPr>
          <w:ilvl w:val="0"/>
          <w:numId w:val="2"/>
        </w:numPr>
        <w:tabs>
          <w:tab w:pos="1490" w:val="left" w:leader="none"/>
        </w:tabs>
        <w:spacing w:line="269" w:lineRule="exact" w:before="0" w:after="0"/>
        <w:ind w:left="1489" w:right="0" w:hanging="530"/>
        <w:jc w:val="left"/>
        <w:rPr>
          <w:sz w:val="21"/>
        </w:rPr>
      </w:pPr>
      <w:r>
        <w:rPr>
          <w:spacing w:val="-2"/>
          <w:sz w:val="21"/>
        </w:rPr>
        <w:t>衍生品</w:t>
      </w:r>
    </w:p>
    <w:p>
      <w:pPr>
        <w:pStyle w:val="BodyText"/>
        <w:spacing w:before="7"/>
        <w:rPr>
          <w:sz w:val="15"/>
        </w:rPr>
      </w:pPr>
    </w:p>
    <w:p>
      <w:pPr>
        <w:pStyle w:val="BodyText"/>
        <w:spacing w:line="417" w:lineRule="auto"/>
        <w:ind w:left="540" w:right="871" w:firstLine="419"/>
        <w:jc w:val="both"/>
      </w:pPr>
      <w:r>
        <w:rPr>
          <w:spacing w:val="-9"/>
        </w:rPr>
        <w:t>由于金融衍生产品具有杠杆效应，价格波动较为剧烈，在市场面临突发事件时，可能会</w:t>
      </w:r>
      <w:r>
        <w:rPr>
          <w:spacing w:val="-10"/>
        </w:rPr>
        <w:t>导致投资亏损高于初始投资金额，从而对基金收益带来不利影响。衍生品的交易可能不够活</w:t>
      </w:r>
      <w:r>
        <w:rPr>
          <w:spacing w:val="-12"/>
        </w:rPr>
        <w:t>跃，在市场变化时，可能因无法及时找到交易对手或交易对手方压低报价，导致基金资产的</w:t>
      </w:r>
      <w:r>
        <w:rPr>
          <w:spacing w:val="-6"/>
        </w:rPr>
        <w:t>额外损失。此外，还可能存在交易对手违约的风险。</w:t>
      </w:r>
    </w:p>
    <w:p>
      <w:pPr>
        <w:pStyle w:val="ListParagraph"/>
        <w:numPr>
          <w:ilvl w:val="0"/>
          <w:numId w:val="2"/>
        </w:numPr>
        <w:tabs>
          <w:tab w:pos="1490" w:val="left" w:leader="none"/>
        </w:tabs>
        <w:spacing w:line="240" w:lineRule="auto" w:before="0" w:after="0"/>
        <w:ind w:left="1489" w:right="0" w:hanging="530"/>
        <w:jc w:val="left"/>
        <w:rPr>
          <w:sz w:val="21"/>
        </w:rPr>
      </w:pPr>
      <w:r>
        <w:rPr>
          <w:spacing w:val="-2"/>
          <w:sz w:val="21"/>
        </w:rPr>
        <w:t>正回购</w:t>
      </w:r>
      <w:r>
        <w:rPr>
          <w:rFonts w:ascii="Calibri" w:eastAsia="Calibri"/>
          <w:spacing w:val="-3"/>
          <w:sz w:val="21"/>
        </w:rPr>
        <w:t>/</w:t>
      </w:r>
      <w:r>
        <w:rPr>
          <w:spacing w:val="-2"/>
          <w:sz w:val="21"/>
        </w:rPr>
        <w:t>逆回购</w:t>
      </w:r>
    </w:p>
    <w:p>
      <w:pPr>
        <w:pStyle w:val="BodyText"/>
        <w:spacing w:before="7"/>
        <w:rPr>
          <w:sz w:val="15"/>
        </w:rPr>
      </w:pPr>
    </w:p>
    <w:p>
      <w:pPr>
        <w:pStyle w:val="BodyText"/>
        <w:spacing w:line="417" w:lineRule="auto"/>
        <w:ind w:left="540" w:right="871" w:firstLine="419"/>
      </w:pPr>
      <w:r>
        <w:rPr>
          <w:spacing w:val="-10"/>
        </w:rPr>
        <w:t>在回购交易中，交易对手方可能因财务状况或其他原因不能履行付款或结算的义务，从</w:t>
      </w:r>
      <w:r>
        <w:rPr>
          <w:spacing w:val="-5"/>
        </w:rPr>
        <w:t>而对基金资产价值造成不利影响。</w:t>
      </w:r>
    </w:p>
    <w:p>
      <w:pPr>
        <w:pStyle w:val="ListParagraph"/>
        <w:numPr>
          <w:ilvl w:val="0"/>
          <w:numId w:val="2"/>
        </w:numPr>
        <w:tabs>
          <w:tab w:pos="1490" w:val="left" w:leader="none"/>
        </w:tabs>
        <w:spacing w:line="269" w:lineRule="exact" w:before="0" w:after="0"/>
        <w:ind w:left="1489" w:right="0" w:hanging="530"/>
        <w:jc w:val="left"/>
        <w:rPr>
          <w:sz w:val="21"/>
        </w:rPr>
      </w:pPr>
      <w:r>
        <w:rPr>
          <w:spacing w:val="-3"/>
          <w:sz w:val="21"/>
        </w:rPr>
        <w:t>证券借贷</w:t>
      </w:r>
    </w:p>
    <w:p>
      <w:pPr>
        <w:pStyle w:val="BodyText"/>
        <w:spacing w:before="6"/>
        <w:rPr>
          <w:sz w:val="15"/>
        </w:rPr>
      </w:pPr>
    </w:p>
    <w:p>
      <w:pPr>
        <w:pStyle w:val="BodyText"/>
        <w:spacing w:line="417" w:lineRule="auto" w:before="1"/>
        <w:ind w:left="540" w:right="871" w:firstLine="419"/>
      </w:pPr>
      <w:r>
        <w:rPr>
          <w:spacing w:val="-8"/>
        </w:rPr>
        <w:t>作为证券借出方，如果交易对手方</w:t>
      </w:r>
      <w:r>
        <w:rPr>
          <w:spacing w:val="-3"/>
        </w:rPr>
        <w:t>（即证券借入方</w:t>
      </w:r>
      <w:r>
        <w:rPr>
          <w:spacing w:val="-25"/>
        </w:rPr>
        <w:t>）</w:t>
      </w:r>
      <w:r>
        <w:rPr>
          <w:spacing w:val="-7"/>
        </w:rPr>
        <w:t>违约，则基金可能面临到期无法获</w:t>
      </w:r>
      <w:r>
        <w:rPr>
          <w:spacing w:val="-5"/>
        </w:rPr>
        <w:t>得证券借贷收入甚至借出证券无法归还的风险，从而导致基金资产发生损失。</w:t>
      </w:r>
    </w:p>
    <w:p>
      <w:pPr>
        <w:pStyle w:val="BodyText"/>
        <w:spacing w:line="269" w:lineRule="exact"/>
        <w:ind w:left="960"/>
      </w:pPr>
      <w:r>
        <w:rPr>
          <w:rFonts w:ascii="Calibri" w:eastAsia="Calibri"/>
        </w:rPr>
        <w:t>3</w:t>
      </w:r>
      <w:r>
        <w:rPr/>
        <w:t>、基金投资的一般风险</w:t>
      </w:r>
    </w:p>
    <w:p>
      <w:pPr>
        <w:pStyle w:val="BodyText"/>
        <w:spacing w:before="6"/>
        <w:rPr>
          <w:sz w:val="15"/>
        </w:rPr>
      </w:pPr>
    </w:p>
    <w:p>
      <w:pPr>
        <w:pStyle w:val="ListParagraph"/>
        <w:numPr>
          <w:ilvl w:val="0"/>
          <w:numId w:val="3"/>
        </w:numPr>
        <w:tabs>
          <w:tab w:pos="1490" w:val="left" w:leader="none"/>
        </w:tabs>
        <w:spacing w:line="240" w:lineRule="auto" w:before="1" w:after="0"/>
        <w:ind w:left="1489" w:right="0" w:hanging="530"/>
        <w:jc w:val="left"/>
        <w:rPr>
          <w:sz w:val="21"/>
        </w:rPr>
      </w:pPr>
      <w:r>
        <w:rPr>
          <w:spacing w:val="-3"/>
          <w:sz w:val="21"/>
        </w:rPr>
        <w:t>积极管理风险</w:t>
      </w:r>
    </w:p>
    <w:p>
      <w:pPr>
        <w:pStyle w:val="BodyText"/>
        <w:spacing w:before="6"/>
        <w:rPr>
          <w:sz w:val="15"/>
        </w:rPr>
      </w:pPr>
    </w:p>
    <w:p>
      <w:pPr>
        <w:pStyle w:val="BodyText"/>
        <w:spacing w:line="417" w:lineRule="auto"/>
        <w:ind w:left="540" w:right="765" w:firstLine="419"/>
      </w:pPr>
      <w:r>
        <w:rPr>
          <w:spacing w:val="-12"/>
        </w:rPr>
        <w:t>指基金经理对基金的主动性操作导致的风险。在实际操作中，基金管理人可能限于知识、</w:t>
      </w:r>
      <w:r>
        <w:rPr>
          <w:spacing w:val="-11"/>
        </w:rPr>
        <w:t>技术、经验等因素而影响其对相关信息、经济形势和证券价格走势的判断，其精选出的投资</w:t>
      </w:r>
      <w:r>
        <w:rPr>
          <w:spacing w:val="-6"/>
        </w:rPr>
        <w:t>品种的业绩表现不一定持续优于其他品种。</w:t>
      </w:r>
    </w:p>
    <w:p>
      <w:pPr>
        <w:pStyle w:val="ListParagraph"/>
        <w:numPr>
          <w:ilvl w:val="0"/>
          <w:numId w:val="3"/>
        </w:numPr>
        <w:tabs>
          <w:tab w:pos="1490" w:val="left" w:leader="none"/>
        </w:tabs>
        <w:spacing w:line="269" w:lineRule="exact" w:before="0" w:after="0"/>
        <w:ind w:left="1489" w:right="0" w:hanging="530"/>
        <w:jc w:val="left"/>
        <w:rPr>
          <w:sz w:val="21"/>
        </w:rPr>
      </w:pPr>
      <w:r>
        <w:rPr>
          <w:spacing w:val="-3"/>
          <w:sz w:val="21"/>
        </w:rPr>
        <w:t>流动性风险</w:t>
      </w:r>
    </w:p>
    <w:p>
      <w:pPr>
        <w:pStyle w:val="BodyText"/>
        <w:spacing w:before="7"/>
        <w:rPr>
          <w:sz w:val="15"/>
        </w:rPr>
      </w:pPr>
    </w:p>
    <w:p>
      <w:pPr>
        <w:pStyle w:val="BodyText"/>
        <w:spacing w:line="417" w:lineRule="auto"/>
        <w:ind w:left="540" w:right="871" w:firstLine="419"/>
      </w:pPr>
      <w:r>
        <w:rPr>
          <w:spacing w:val="-8"/>
        </w:rPr>
        <w:t>在市场或者个券流动性不足的情况下，基金管理人可能无法迅速、低成本地调整基金投</w:t>
      </w:r>
      <w:r>
        <w:rPr>
          <w:spacing w:val="-5"/>
        </w:rPr>
        <w:t>资组合，从而对基金收益造成不利影响。</w:t>
      </w:r>
    </w:p>
    <w:p>
      <w:pPr>
        <w:pStyle w:val="BodyText"/>
        <w:spacing w:line="417" w:lineRule="auto"/>
        <w:ind w:left="540" w:right="871" w:firstLine="419"/>
      </w:pPr>
      <w:r>
        <w:rPr>
          <w:spacing w:val="-9"/>
        </w:rPr>
        <w:t>由于开放式基金的特殊要求，本基金必须保持一定的现金比例以应付赎回要求，在管理</w:t>
      </w:r>
      <w:r>
        <w:rPr>
          <w:spacing w:val="-5"/>
        </w:rPr>
        <w:t>现金头寸时，有可能存在现金不足的风险或现金过多所导致的收益下降风险。</w:t>
      </w:r>
    </w:p>
    <w:p>
      <w:pPr>
        <w:pStyle w:val="BodyText"/>
        <w:spacing w:line="417" w:lineRule="auto"/>
        <w:ind w:left="540" w:right="768" w:firstLine="419"/>
      </w:pPr>
      <w:r>
        <w:rPr>
          <w:spacing w:val="-3"/>
        </w:rPr>
        <w:t>此外，本基金主要投资全球市场，境外市场的交易日及交易时间与境内市场会有不同， </w:t>
      </w:r>
      <w:r>
        <w:rPr>
          <w:spacing w:val="-7"/>
        </w:rPr>
        <w:t>因此赎回款项的支付时间与境内基金不同，在境外市场休市、暂停交易或交收时，基金还可</w:t>
      </w:r>
      <w:r>
        <w:rPr>
          <w:spacing w:val="-5"/>
        </w:rPr>
        <w:t>能发生延迟支付赎回款项或暂停赎回等风险。</w:t>
      </w:r>
    </w:p>
    <w:p>
      <w:pPr>
        <w:pStyle w:val="BodyText"/>
        <w:spacing w:line="417" w:lineRule="auto"/>
        <w:ind w:left="540" w:right="871" w:firstLine="419"/>
        <w:jc w:val="both"/>
      </w:pPr>
      <w:r>
        <w:rPr>
          <w:spacing w:val="-11"/>
        </w:rPr>
        <w:t>在本基金发生流动性风险时，基金管理人可以综合利用备用的流动性风险管理工具以减</w:t>
      </w:r>
      <w:r>
        <w:rPr>
          <w:spacing w:val="-9"/>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spacing w:after="0" w:line="417" w:lineRule="auto"/>
        <w:jc w:val="both"/>
        <w:sectPr>
          <w:pgSz w:w="11910" w:h="16840"/>
          <w:pgMar w:header="872" w:footer="995" w:top="1100" w:bottom="1180" w:left="1260" w:right="920"/>
        </w:sectPr>
      </w:pPr>
    </w:p>
    <w:p>
      <w:pPr>
        <w:pStyle w:val="BodyText"/>
        <w:spacing w:before="2"/>
        <w:rPr>
          <w:sz w:val="26"/>
        </w:rPr>
      </w:pPr>
    </w:p>
    <w:p>
      <w:pPr>
        <w:pStyle w:val="ListParagraph"/>
        <w:numPr>
          <w:ilvl w:val="0"/>
          <w:numId w:val="4"/>
        </w:numPr>
        <w:tabs>
          <w:tab w:pos="1490" w:val="left" w:leader="none"/>
        </w:tabs>
        <w:spacing w:line="240" w:lineRule="auto" w:before="72" w:after="0"/>
        <w:ind w:left="1489" w:right="0" w:hanging="530"/>
        <w:jc w:val="left"/>
        <w:rPr>
          <w:sz w:val="21"/>
        </w:rPr>
      </w:pPr>
      <w:r>
        <w:rPr>
          <w:spacing w:val="-3"/>
          <w:sz w:val="21"/>
        </w:rPr>
        <w:t>基金申购、赎回安排</w:t>
      </w:r>
    </w:p>
    <w:p>
      <w:pPr>
        <w:pStyle w:val="BodyText"/>
        <w:spacing w:line="388" w:lineRule="auto" w:before="168"/>
        <w:ind w:left="540" w:right="874" w:firstLine="419"/>
      </w:pPr>
      <w:r>
        <w:rPr>
          <w:spacing w:val="-19"/>
        </w:rPr>
        <w:t>投资人具体请参见基金合同“第六部分、基金份额的申购与赎回”和本招募说明书“九、</w:t>
      </w:r>
      <w:r>
        <w:rPr>
          <w:spacing w:val="-15"/>
          <w:w w:val="100"/>
        </w:rPr>
        <w:t>基金份额的申购与赎回”，详细了解本基金的申购以及赎回安排。</w:t>
      </w:r>
    </w:p>
    <w:p>
      <w:pPr>
        <w:pStyle w:val="ListParagraph"/>
        <w:numPr>
          <w:ilvl w:val="0"/>
          <w:numId w:val="4"/>
        </w:numPr>
        <w:tabs>
          <w:tab w:pos="1490" w:val="left" w:leader="none"/>
        </w:tabs>
        <w:spacing w:line="240" w:lineRule="auto" w:before="1" w:after="0"/>
        <w:ind w:left="1489" w:right="0" w:hanging="530"/>
        <w:jc w:val="left"/>
        <w:rPr>
          <w:sz w:val="21"/>
        </w:rPr>
      </w:pPr>
      <w:r>
        <w:rPr>
          <w:spacing w:val="-3"/>
          <w:sz w:val="21"/>
        </w:rPr>
        <w:t>拟投资市场、行业及资产的流动性风险评估</w:t>
      </w:r>
    </w:p>
    <w:p>
      <w:pPr>
        <w:pStyle w:val="BodyText"/>
        <w:spacing w:line="417" w:lineRule="auto" w:before="182"/>
        <w:ind w:left="540" w:right="871" w:firstLine="419"/>
        <w:jc w:val="both"/>
      </w:pPr>
      <w:r>
        <w:rPr>
          <w:spacing w:val="-7"/>
        </w:rPr>
        <w:t>本基金可投资于境内市场和境外市场具有良好流动性的金融工具，境内市场投资工具包</w:t>
      </w:r>
      <w:r>
        <w:rPr>
          <w:spacing w:val="-4"/>
        </w:rPr>
        <w:t>括债券、货币市场工具</w:t>
      </w:r>
      <w:r>
        <w:rPr>
          <w:spacing w:val="-3"/>
        </w:rPr>
        <w:t>（</w:t>
      </w:r>
      <w:r>
        <w:rPr>
          <w:spacing w:val="-1"/>
        </w:rPr>
        <w:t>含同业存单</w:t>
      </w:r>
      <w:r>
        <w:rPr>
          <w:spacing w:val="-106"/>
        </w:rPr>
        <w:t>）</w:t>
      </w:r>
      <w:r>
        <w:rPr>
          <w:spacing w:val="-3"/>
        </w:rPr>
        <w:t>、权证、资产支持证券、国债期货以及法律法规或中</w:t>
      </w:r>
      <w:r>
        <w:rPr>
          <w:spacing w:val="-9"/>
        </w:rPr>
        <w:t>国证监会允许基金投资的其他金融工具。债券包括国债、央行票据、金融债、次级债、地方</w:t>
      </w:r>
      <w:r>
        <w:rPr>
          <w:spacing w:val="-12"/>
        </w:rPr>
        <w:t>政府债、企业债和公司债</w:t>
      </w:r>
      <w:r>
        <w:rPr>
          <w:spacing w:val="-3"/>
        </w:rPr>
        <w:t>（含中小企业私募债券</w:t>
      </w:r>
      <w:r>
        <w:rPr>
          <w:spacing w:val="-106"/>
        </w:rPr>
        <w:t>）</w:t>
      </w:r>
      <w:r>
        <w:rPr>
          <w:spacing w:val="-14"/>
        </w:rPr>
        <w:t>、中期票据、短期融资券、可转换债券</w:t>
      </w:r>
      <w:r>
        <w:rPr/>
        <w:t>（含</w:t>
      </w:r>
      <w:r>
        <w:rPr>
          <w:spacing w:val="-2"/>
        </w:rPr>
        <w:t>可分离交易可转债</w:t>
      </w:r>
      <w:r>
        <w:rPr>
          <w:spacing w:val="-108"/>
        </w:rPr>
        <w:t>）</w:t>
      </w:r>
      <w:r>
        <w:rPr>
          <w:spacing w:val="-3"/>
        </w:rPr>
        <w:t>、可交换债券、债券回购等。境外市场投资工具包括银行存款、可转让</w:t>
      </w:r>
      <w:r>
        <w:rPr>
          <w:spacing w:val="-12"/>
        </w:rPr>
        <w:t>存单、银行承兑汇票、银行票据、商业票据、回购协议、短期政府债券等货币市场工具；政府债券、公司债券、可转换债券、住房按揭支持证券、资产支持证券及经中国证监会认可的</w:t>
      </w:r>
      <w:r>
        <w:rPr>
          <w:spacing w:val="-13"/>
        </w:rPr>
        <w:t>国际金融组织发行的证券等；已与中国证监会签署双边监管合作谅解备忘录的国家或地区证</w:t>
      </w:r>
      <w:r>
        <w:rPr>
          <w:spacing w:val="-11"/>
        </w:rPr>
        <w:t>券市场挂牌交易的优先股、全球存托凭证和美国存托凭证、房地产信托凭证；在已与中国证</w:t>
      </w:r>
      <w:r>
        <w:rPr>
          <w:spacing w:val="-12"/>
        </w:rPr>
        <w:t>监会签署双边监管合作谅解备忘录的国家或地区证券监管机构登记注册的固定收益类公募</w:t>
      </w:r>
      <w:r>
        <w:rPr>
          <w:spacing w:val="-11"/>
        </w:rPr>
        <w:t>基金；与固定收益、股权、信用、商品指数、基金等标的物挂钩的结构性投资产品；远期合</w:t>
      </w:r>
      <w:r>
        <w:rPr>
          <w:spacing w:val="-10"/>
        </w:rPr>
        <w:t>约、互换及经中国证监会认可的境外交易所上市交易的权证、期权、期货等与固定收益类证</w:t>
      </w:r>
      <w:r>
        <w:rPr>
          <w:spacing w:val="-12"/>
        </w:rPr>
        <w:t>券相关的金融衍生产品。一般情况下本基金拟投资的资产类别具有较好的流动性，但是在特</w:t>
      </w:r>
      <w:r>
        <w:rPr>
          <w:spacing w:val="-10"/>
        </w:rPr>
        <w:t>殊市场环境下本基金仍有可能出现流动性不足的情形。本基金管理人将根据历史经验和现实</w:t>
      </w:r>
      <w:r>
        <w:rPr>
          <w:spacing w:val="-13"/>
        </w:rPr>
        <w:t>条件，制定出现金持有量的上下限计划，在该限制范围内进行现金比例调控或现金与证券的转化。同时，本基金管理人会进行标的的分散化投资并结合对各类标的资产的预期流动性合</w:t>
      </w:r>
      <w:r>
        <w:rPr>
          <w:spacing w:val="-6"/>
        </w:rPr>
        <w:t>理进行资产配置，以防范流动性风险。</w:t>
      </w:r>
    </w:p>
    <w:p>
      <w:pPr>
        <w:pStyle w:val="ListParagraph"/>
        <w:numPr>
          <w:ilvl w:val="0"/>
          <w:numId w:val="4"/>
        </w:numPr>
        <w:tabs>
          <w:tab w:pos="1490" w:val="left" w:leader="none"/>
        </w:tabs>
        <w:spacing w:line="253" w:lineRule="exact" w:before="0" w:after="0"/>
        <w:ind w:left="1489" w:right="0" w:hanging="530"/>
        <w:jc w:val="left"/>
        <w:rPr>
          <w:sz w:val="21"/>
        </w:rPr>
      </w:pPr>
      <w:r>
        <w:rPr>
          <w:spacing w:val="-3"/>
          <w:sz w:val="21"/>
        </w:rPr>
        <w:t>巨额赎回情形下的流动性风险管理措施</w:t>
      </w:r>
    </w:p>
    <w:p>
      <w:pPr>
        <w:pStyle w:val="BodyText"/>
        <w:spacing w:before="169"/>
        <w:ind w:left="960"/>
      </w:pPr>
      <w:r>
        <w:rPr/>
        <w:t>当本基金发生巨额赎回情形时，基金管理人可以采用以下流动性风险管理措施：</w:t>
      </w:r>
    </w:p>
    <w:p>
      <w:pPr>
        <w:pStyle w:val="BodyText"/>
        <w:spacing w:before="168"/>
        <w:ind w:left="960"/>
      </w:pPr>
      <w:r>
        <w:rPr/>
        <w:t>①延期办理巨额赎回申请；</w:t>
      </w:r>
    </w:p>
    <w:p>
      <w:pPr>
        <w:pStyle w:val="BodyText"/>
        <w:spacing w:before="167"/>
        <w:ind w:left="960"/>
      </w:pPr>
      <w:r>
        <w:rPr>
          <w:spacing w:val="-3"/>
        </w:rPr>
        <w:t>②暂停接受赎回申请；</w:t>
      </w:r>
    </w:p>
    <w:p>
      <w:pPr>
        <w:pStyle w:val="BodyText"/>
        <w:spacing w:before="168"/>
        <w:ind w:left="960"/>
      </w:pPr>
      <w:r>
        <w:rPr>
          <w:spacing w:val="-3"/>
        </w:rPr>
        <w:t>③延缓支付赎回款项；</w:t>
      </w:r>
    </w:p>
    <w:p>
      <w:pPr>
        <w:pStyle w:val="BodyText"/>
        <w:spacing w:before="168"/>
        <w:ind w:left="960"/>
      </w:pPr>
      <w:r>
        <w:rPr/>
        <w:t>④摆动定价；</w:t>
      </w:r>
    </w:p>
    <w:p>
      <w:pPr>
        <w:pStyle w:val="BodyText"/>
        <w:spacing w:before="168"/>
        <w:ind w:left="960"/>
      </w:pPr>
      <w:r>
        <w:rPr/>
        <w:t>⑤中国证监会认定的其他措施。</w:t>
      </w:r>
    </w:p>
    <w:p>
      <w:pPr>
        <w:pStyle w:val="ListParagraph"/>
        <w:numPr>
          <w:ilvl w:val="0"/>
          <w:numId w:val="4"/>
        </w:numPr>
        <w:tabs>
          <w:tab w:pos="1490" w:val="left" w:leader="none"/>
        </w:tabs>
        <w:spacing w:line="240" w:lineRule="auto" w:before="167" w:after="0"/>
        <w:ind w:left="1489" w:right="0" w:hanging="530"/>
        <w:jc w:val="left"/>
        <w:rPr>
          <w:sz w:val="21"/>
        </w:rPr>
      </w:pPr>
      <w:r>
        <w:rPr>
          <w:spacing w:val="-3"/>
          <w:sz w:val="21"/>
        </w:rPr>
        <w:t>实施备用的流动性风险管理工具的情形、程序及对投资者的潜在影响</w:t>
      </w:r>
    </w:p>
    <w:p>
      <w:pPr>
        <w:pStyle w:val="BodyText"/>
        <w:spacing w:before="168"/>
        <w:ind w:left="960"/>
      </w:pPr>
      <w:r>
        <w:rPr/>
        <w:t>基金管理人经与基金托管人协商，在确保投资者得到公平对待的前提下，可依照法律法</w:t>
      </w:r>
    </w:p>
    <w:p>
      <w:pPr>
        <w:spacing w:after="0"/>
        <w:sectPr>
          <w:pgSz w:w="11910" w:h="16840"/>
          <w:pgMar w:header="872" w:footer="995" w:top="1100" w:bottom="1180" w:left="1260" w:right="920"/>
        </w:sectPr>
      </w:pPr>
    </w:p>
    <w:p>
      <w:pPr>
        <w:pStyle w:val="BodyText"/>
        <w:spacing w:before="2"/>
        <w:rPr>
          <w:sz w:val="26"/>
        </w:rPr>
      </w:pPr>
    </w:p>
    <w:p>
      <w:pPr>
        <w:pStyle w:val="BodyText"/>
        <w:spacing w:line="388" w:lineRule="auto" w:before="72"/>
        <w:ind w:left="540" w:right="871"/>
      </w:pPr>
      <w:r>
        <w:rPr>
          <w:spacing w:val="-9"/>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before="2"/>
        <w:ind w:left="960"/>
      </w:pPr>
      <w:r>
        <w:rPr>
          <w:rFonts w:ascii="Calibri" w:hAnsi="Calibri" w:eastAsia="Calibri"/>
        </w:rPr>
        <w:t>① </w:t>
      </w:r>
      <w:r>
        <w:rPr/>
        <w:t>延期办理巨额赎回申请</w:t>
      </w:r>
    </w:p>
    <w:p>
      <w:pPr>
        <w:pStyle w:val="BodyText"/>
        <w:spacing w:line="388" w:lineRule="auto" w:before="167"/>
        <w:ind w:left="540" w:right="871" w:firstLine="419"/>
      </w:pPr>
      <w:r>
        <w:rPr>
          <w:spacing w:val="-12"/>
        </w:rPr>
        <w:t>当基金出现巨额赎回时，基金管理人可以根据基金当时的资产组合状况决定全额赎回或</w:t>
      </w:r>
      <w:r>
        <w:rPr>
          <w:spacing w:val="-6"/>
        </w:rPr>
        <w:t>部分延期赎回。</w:t>
      </w:r>
    </w:p>
    <w:p>
      <w:pPr>
        <w:pStyle w:val="BodyText"/>
        <w:spacing w:line="388" w:lineRule="auto" w:before="2"/>
        <w:ind w:left="540" w:right="87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spacing w:before="2"/>
        <w:ind w:left="960"/>
      </w:pPr>
      <w:r>
        <w:rPr/>
        <w:t>② 暂停接受赎回申请</w:t>
      </w:r>
    </w:p>
    <w:p>
      <w:pPr>
        <w:pStyle w:val="BodyText"/>
        <w:spacing w:line="388" w:lineRule="auto" w:before="168"/>
        <w:ind w:left="540" w:right="87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388" w:lineRule="auto" w:before="3"/>
        <w:ind w:left="540" w:right="87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before="2"/>
        <w:ind w:left="960"/>
      </w:pPr>
      <w:r>
        <w:rPr/>
        <w:t>③ 延缓支付赎回款项</w:t>
      </w:r>
    </w:p>
    <w:p>
      <w:pPr>
        <w:pStyle w:val="BodyText"/>
        <w:spacing w:line="388" w:lineRule="auto" w:before="168"/>
        <w:ind w:left="540" w:right="87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before="3"/>
        <w:ind w:left="960"/>
      </w:pPr>
      <w:r>
        <w:rPr/>
        <w:t>在此情形下，投资人接收赎回款项的时间将可能比一般正常情形下有所延迟。</w:t>
      </w:r>
    </w:p>
    <w:p>
      <w:pPr>
        <w:pStyle w:val="BodyText"/>
        <w:spacing w:before="168"/>
        <w:ind w:left="960"/>
      </w:pPr>
      <w:r>
        <w:rPr/>
        <w:t>④收取短期赎回费</w:t>
      </w:r>
    </w:p>
    <w:p>
      <w:pPr>
        <w:pStyle w:val="BodyText"/>
        <w:spacing w:line="388" w:lineRule="auto" w:before="167"/>
        <w:ind w:left="540" w:right="821" w:firstLine="419"/>
      </w:pPr>
      <w:r>
        <w:rPr/>
        <w:t>本基金对持续持有期少于 </w:t>
      </w:r>
      <w:r>
        <w:rPr>
          <w:rFonts w:ascii="Calibri" w:eastAsia="Calibri"/>
        </w:rPr>
        <w:t>7 </w:t>
      </w:r>
      <w:r>
        <w:rPr/>
        <w:t>日的投资者收取不低于 </w:t>
      </w:r>
      <w:r>
        <w:rPr>
          <w:rFonts w:ascii="Calibri" w:eastAsia="Calibri"/>
        </w:rPr>
        <w:t>1.5%</w:t>
      </w:r>
      <w:r>
        <w:rPr/>
        <w:t>的赎回费，并将上述赎回费全额计入基金财产。</w:t>
      </w:r>
    </w:p>
    <w:p>
      <w:pPr>
        <w:pStyle w:val="BodyText"/>
        <w:spacing w:before="2"/>
        <w:ind w:left="540"/>
      </w:pPr>
      <w:r>
        <w:rPr/>
        <w:t>⑤暂停基金估值</w:t>
      </w:r>
    </w:p>
    <w:p>
      <w:pPr>
        <w:pStyle w:val="BodyText"/>
        <w:spacing w:line="391" w:lineRule="auto" w:before="168"/>
        <w:ind w:left="540" w:right="87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266" w:lineRule="exact"/>
        <w:ind w:left="960"/>
      </w:pPr>
      <w:r>
        <w:rPr/>
        <w:t>在此情形下，投资人没有可供参考的基金份额净值，基金申购赎回申请或被暂停。</w:t>
      </w:r>
    </w:p>
    <w:p>
      <w:pPr>
        <w:pStyle w:val="BodyText"/>
        <w:spacing w:before="168"/>
        <w:ind w:left="960"/>
      </w:pPr>
      <w:r>
        <w:rPr>
          <w:spacing w:val="-1"/>
        </w:rPr>
        <w:t>⑥摆动定价</w:t>
      </w:r>
    </w:p>
    <w:p>
      <w:pPr>
        <w:pStyle w:val="BodyText"/>
        <w:spacing w:line="388" w:lineRule="auto" w:before="167"/>
        <w:ind w:left="540" w:right="871" w:firstLine="419"/>
      </w:pPr>
      <w:r>
        <w:rPr>
          <w:spacing w:val="-8"/>
        </w:rPr>
        <w:t>当本基金发生大额申购或赎回情形时，基金管理人可以采用摆动定价机制，以确保基金</w:t>
      </w:r>
      <w:r>
        <w:rPr>
          <w:spacing w:val="-5"/>
        </w:rPr>
        <w:t>估值的公平性。</w:t>
      </w:r>
    </w:p>
    <w:p>
      <w:pPr>
        <w:pStyle w:val="BodyText"/>
        <w:spacing w:line="388" w:lineRule="auto" w:before="2"/>
        <w:ind w:left="540" w:right="76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spacing w:after="0" w:line="388" w:lineRule="auto"/>
        <w:sectPr>
          <w:pgSz w:w="11910" w:h="16840"/>
          <w:pgMar w:header="872" w:footer="995" w:top="1100" w:bottom="1180" w:left="1260" w:right="920"/>
        </w:sectPr>
      </w:pPr>
    </w:p>
    <w:p>
      <w:pPr>
        <w:pStyle w:val="BodyText"/>
        <w:spacing w:before="4"/>
        <w:rPr>
          <w:sz w:val="27"/>
        </w:rPr>
      </w:pPr>
    </w:p>
    <w:p>
      <w:pPr>
        <w:pStyle w:val="BodyText"/>
        <w:spacing w:before="71"/>
        <w:ind w:left="960"/>
      </w:pPr>
      <w:r>
        <w:rPr/>
        <w:t>⑦中国证监会认定的其他措施。</w:t>
      </w:r>
    </w:p>
    <w:p>
      <w:pPr>
        <w:pStyle w:val="BodyText"/>
        <w:rPr>
          <w:sz w:val="20"/>
        </w:rPr>
      </w:pPr>
    </w:p>
    <w:p>
      <w:pPr>
        <w:pStyle w:val="BodyText"/>
        <w:rPr>
          <w:sz w:val="20"/>
        </w:rPr>
      </w:pPr>
    </w:p>
    <w:p>
      <w:pPr>
        <w:pStyle w:val="ListParagraph"/>
        <w:numPr>
          <w:ilvl w:val="0"/>
          <w:numId w:val="5"/>
        </w:numPr>
        <w:tabs>
          <w:tab w:pos="1490" w:val="left" w:leader="none"/>
        </w:tabs>
        <w:spacing w:line="240" w:lineRule="auto" w:before="155" w:after="0"/>
        <w:ind w:left="1489" w:right="0" w:hanging="530"/>
        <w:jc w:val="left"/>
        <w:rPr>
          <w:sz w:val="21"/>
        </w:rPr>
      </w:pPr>
      <w:r>
        <w:rPr>
          <w:spacing w:val="-3"/>
          <w:sz w:val="21"/>
        </w:rPr>
        <w:t>操作或技术风险</w:t>
      </w:r>
    </w:p>
    <w:p>
      <w:pPr>
        <w:pStyle w:val="BodyText"/>
        <w:spacing w:before="6"/>
        <w:rPr>
          <w:sz w:val="15"/>
        </w:rPr>
      </w:pPr>
    </w:p>
    <w:p>
      <w:pPr>
        <w:pStyle w:val="BodyText"/>
        <w:spacing w:line="417" w:lineRule="auto" w:before="1"/>
        <w:ind w:left="540" w:right="871" w:firstLine="419"/>
        <w:jc w:val="both"/>
      </w:pPr>
      <w:r>
        <w:rPr>
          <w:spacing w:val="-9"/>
        </w:rPr>
        <w:t>相关当事人在业务各环节操作过程中，因内部控制存在缺陷或者人为因素造成操作失误</w:t>
      </w:r>
      <w:r>
        <w:rPr>
          <w:spacing w:val="-8"/>
        </w:rPr>
        <w:t>或违反操作规程等原因可能引致风险，例如，越权违规交易、会计部门欺诈、交易错误、</w:t>
      </w:r>
      <w:r>
        <w:rPr>
          <w:rFonts w:ascii="Calibri" w:eastAsia="Calibri"/>
          <w:spacing w:val="-3"/>
        </w:rPr>
        <w:t>IT </w:t>
      </w:r>
      <w:r>
        <w:rPr>
          <w:spacing w:val="-3"/>
        </w:rPr>
        <w:t>系统故障等风险。</w:t>
      </w:r>
    </w:p>
    <w:p>
      <w:pPr>
        <w:pStyle w:val="BodyText"/>
        <w:spacing w:line="417" w:lineRule="auto"/>
        <w:ind w:left="540" w:right="871" w:firstLine="419"/>
        <w:jc w:val="both"/>
      </w:pPr>
      <w:r>
        <w:rPr>
          <w:spacing w:val="-8"/>
        </w:rPr>
        <w:t>在开放式基金的各种交易行为或者后台运作中，可能因为技术系统的故障或者差错而影</w:t>
      </w:r>
      <w:r>
        <w:rPr>
          <w:spacing w:val="-9"/>
        </w:rPr>
        <w:t>响交易的正常进行或者导致投资者的利益受到影响。这种技术风险可能来自基金管理人、基</w:t>
      </w:r>
      <w:r>
        <w:rPr>
          <w:spacing w:val="-12"/>
        </w:rPr>
        <w:t>金托管人、境外资产托管人、登记结算机构、销售机构、证券交易所、证券登记结算机构等等。</w:t>
      </w:r>
    </w:p>
    <w:p>
      <w:pPr>
        <w:pStyle w:val="BodyText"/>
        <w:spacing w:line="417" w:lineRule="auto"/>
        <w:ind w:left="540" w:right="87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ListParagraph"/>
        <w:numPr>
          <w:ilvl w:val="0"/>
          <w:numId w:val="5"/>
        </w:numPr>
        <w:tabs>
          <w:tab w:pos="1490" w:val="left" w:leader="none"/>
        </w:tabs>
        <w:spacing w:line="269" w:lineRule="exact" w:before="0" w:after="0"/>
        <w:ind w:left="1489" w:right="0" w:hanging="530"/>
        <w:jc w:val="left"/>
        <w:rPr>
          <w:sz w:val="21"/>
        </w:rPr>
      </w:pPr>
      <w:r>
        <w:rPr>
          <w:spacing w:val="-3"/>
          <w:sz w:val="21"/>
        </w:rPr>
        <w:t>政策变更风险</w:t>
      </w:r>
    </w:p>
    <w:p>
      <w:pPr>
        <w:pStyle w:val="BodyText"/>
        <w:spacing w:before="6"/>
        <w:rPr>
          <w:sz w:val="15"/>
        </w:rPr>
      </w:pPr>
    </w:p>
    <w:p>
      <w:pPr>
        <w:pStyle w:val="BodyText"/>
        <w:spacing w:line="417" w:lineRule="auto"/>
        <w:ind w:left="540" w:right="87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ListParagraph"/>
        <w:numPr>
          <w:ilvl w:val="0"/>
          <w:numId w:val="5"/>
        </w:numPr>
        <w:tabs>
          <w:tab w:pos="1490" w:val="left" w:leader="none"/>
        </w:tabs>
        <w:spacing w:line="268" w:lineRule="exact" w:before="0" w:after="0"/>
        <w:ind w:left="1489" w:right="0" w:hanging="530"/>
        <w:jc w:val="left"/>
        <w:rPr>
          <w:sz w:val="21"/>
        </w:rPr>
      </w:pPr>
      <w:r>
        <w:rPr>
          <w:spacing w:val="-3"/>
          <w:sz w:val="21"/>
        </w:rPr>
        <w:t>不可抗力风险</w:t>
      </w:r>
    </w:p>
    <w:p>
      <w:pPr>
        <w:pStyle w:val="BodyText"/>
        <w:spacing w:before="7"/>
        <w:rPr>
          <w:sz w:val="15"/>
        </w:rPr>
      </w:pPr>
    </w:p>
    <w:p>
      <w:pPr>
        <w:pStyle w:val="BodyText"/>
        <w:spacing w:line="417" w:lineRule="auto"/>
        <w:ind w:left="540" w:right="87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ind w:left="960"/>
      </w:pPr>
      <w:r>
        <w:rPr/>
        <w:t>（二）声明</w:t>
      </w:r>
    </w:p>
    <w:p>
      <w:pPr>
        <w:pStyle w:val="BodyText"/>
        <w:spacing w:before="7"/>
        <w:rPr>
          <w:sz w:val="15"/>
        </w:rPr>
      </w:pPr>
    </w:p>
    <w:p>
      <w:pPr>
        <w:pStyle w:val="BodyText"/>
        <w:spacing w:line="417" w:lineRule="auto"/>
        <w:ind w:left="540" w:right="874" w:firstLine="419"/>
      </w:pPr>
      <w:r>
        <w:rPr>
          <w:rFonts w:ascii="Calibri" w:eastAsia="Calibri"/>
        </w:rPr>
        <w:t>1</w:t>
      </w:r>
      <w:r>
        <w:rPr/>
        <w:t>、本基金未经任何一级政府、机构及部门担保。投资者自愿投资于本基金，须自行承担投资风险。</w:t>
      </w:r>
    </w:p>
    <w:p>
      <w:pPr>
        <w:pStyle w:val="BodyText"/>
        <w:spacing w:line="417" w:lineRule="auto"/>
        <w:ind w:left="540" w:right="871" w:firstLine="472"/>
        <w:jc w:val="both"/>
      </w:pPr>
      <w:r>
        <w:rPr>
          <w:rFonts w:ascii="Calibri" w:eastAsia="Calibri"/>
        </w:rPr>
        <w:t>2</w:t>
      </w:r>
      <w:r>
        <w:rPr>
          <w:spacing w:val="-8"/>
        </w:rPr>
        <w:t>、除基金管理人直接办理本基金的销售外，本基金还通过代销机构销售，但是，本基</w:t>
      </w:r>
      <w:r>
        <w:rPr>
          <w:spacing w:val="-10"/>
        </w:rPr>
        <w:t>金并不是代销机构的存款或负债，也没有经代销机构担保或者背书，代销机构并不能保证其</w:t>
      </w:r>
      <w:r>
        <w:rPr>
          <w:spacing w:val="-5"/>
        </w:rPr>
        <w:t>收益或本金安全。</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Heading1"/>
        <w:spacing w:before="71"/>
      </w:pPr>
      <w:bookmarkStart w:name="_bookmark3" w:id="4"/>
      <w:bookmarkEnd w:id="4"/>
      <w:r>
        <w:rPr>
          <w:b w:val="0"/>
        </w:rPr>
      </w:r>
      <w:r>
        <w:rPr/>
        <w:t>四、基金的投资</w:t>
      </w:r>
    </w:p>
    <w:p>
      <w:pPr>
        <w:pStyle w:val="BodyText"/>
        <w:rPr>
          <w:b/>
          <w:sz w:val="20"/>
        </w:rPr>
      </w:pPr>
    </w:p>
    <w:p>
      <w:pPr>
        <w:pStyle w:val="BodyText"/>
        <w:spacing w:before="8"/>
        <w:rPr>
          <w:b/>
          <w:sz w:val="15"/>
        </w:rPr>
      </w:pPr>
    </w:p>
    <w:p>
      <w:pPr>
        <w:pStyle w:val="BodyText"/>
        <w:spacing w:before="72"/>
        <w:ind w:left="960"/>
      </w:pPr>
      <w:r>
        <w:rPr/>
        <w:t>（一）投资目标</w:t>
      </w:r>
    </w:p>
    <w:p>
      <w:pPr>
        <w:pStyle w:val="BodyText"/>
        <w:spacing w:before="6"/>
        <w:rPr>
          <w:sz w:val="15"/>
        </w:rPr>
      </w:pPr>
    </w:p>
    <w:p>
      <w:pPr>
        <w:pStyle w:val="BodyText"/>
        <w:spacing w:line="417" w:lineRule="auto"/>
        <w:ind w:left="540" w:right="875" w:firstLine="472"/>
      </w:pPr>
      <w:r>
        <w:rPr/>
        <w:t>力争本金安全的基础上，发掘境内外中资企业信用债债券价值洼地，把握不同市场的轮动上涨规律，追求持续、稳定的收益。</w:t>
      </w:r>
    </w:p>
    <w:p>
      <w:pPr>
        <w:pStyle w:val="BodyText"/>
        <w:spacing w:line="269" w:lineRule="exact"/>
        <w:ind w:left="960"/>
      </w:pPr>
      <w:r>
        <w:rPr/>
        <w:t>（二）投资范围</w:t>
      </w:r>
    </w:p>
    <w:p>
      <w:pPr>
        <w:pStyle w:val="BodyText"/>
        <w:spacing w:before="7"/>
        <w:rPr>
          <w:sz w:val="15"/>
        </w:rPr>
      </w:pPr>
    </w:p>
    <w:p>
      <w:pPr>
        <w:pStyle w:val="BodyText"/>
        <w:spacing w:line="417" w:lineRule="auto"/>
        <w:ind w:left="540" w:right="871" w:firstLine="419"/>
        <w:jc w:val="both"/>
      </w:pPr>
      <w:r>
        <w:rPr>
          <w:spacing w:val="-7"/>
        </w:rPr>
        <w:t>本基金可投资于境内市场和境外市场具有良好流动性的金融工具，境内市场投资工具包</w:t>
      </w:r>
      <w:r>
        <w:rPr>
          <w:spacing w:val="-4"/>
        </w:rPr>
        <w:t>括债券、货币市场工具</w:t>
      </w:r>
      <w:r>
        <w:rPr>
          <w:spacing w:val="-3"/>
        </w:rPr>
        <w:t>（</w:t>
      </w:r>
      <w:r>
        <w:rPr>
          <w:spacing w:val="-1"/>
        </w:rPr>
        <w:t>含同业存单</w:t>
      </w:r>
      <w:r>
        <w:rPr>
          <w:spacing w:val="-106"/>
        </w:rPr>
        <w:t>）</w:t>
      </w:r>
      <w:r>
        <w:rPr>
          <w:spacing w:val="-3"/>
        </w:rPr>
        <w:t>、权证、资产支持证券、国债期货以及法律法规或中</w:t>
      </w:r>
      <w:r>
        <w:rPr>
          <w:spacing w:val="-9"/>
        </w:rPr>
        <w:t>国证监会允许基金投资的其他金融工具。债券包括国债、央行票据、金融债、次级债、地方</w:t>
      </w:r>
      <w:r>
        <w:rPr>
          <w:spacing w:val="-12"/>
        </w:rPr>
        <w:t>政府债、企业债和公司债</w:t>
      </w:r>
      <w:r>
        <w:rPr>
          <w:spacing w:val="-3"/>
        </w:rPr>
        <w:t>（含中小企业私募债券</w:t>
      </w:r>
      <w:r>
        <w:rPr>
          <w:spacing w:val="-106"/>
        </w:rPr>
        <w:t>）</w:t>
      </w:r>
      <w:r>
        <w:rPr>
          <w:spacing w:val="-14"/>
        </w:rPr>
        <w:t>、中期票据、短期融资券、可转换债券</w:t>
      </w:r>
      <w:r>
        <w:rPr/>
        <w:t>（含</w:t>
      </w:r>
      <w:r>
        <w:rPr>
          <w:spacing w:val="-3"/>
        </w:rPr>
        <w:t>可分离交易可转债</w:t>
      </w:r>
      <w:r>
        <w:rPr>
          <w:spacing w:val="-108"/>
        </w:rPr>
        <w:t>）</w:t>
      </w:r>
      <w:r>
        <w:rPr>
          <w:spacing w:val="-3"/>
        </w:rPr>
        <w:t>、可交换债券、债券回购等。</w:t>
      </w:r>
    </w:p>
    <w:p>
      <w:pPr>
        <w:pStyle w:val="BodyText"/>
        <w:spacing w:line="417" w:lineRule="auto"/>
        <w:ind w:left="540" w:right="768" w:firstLine="419"/>
      </w:pPr>
      <w:r>
        <w:rPr>
          <w:spacing w:val="-3"/>
        </w:rPr>
        <w:t>境外市场投资工具包括银行存款、可转让存单、银行承兑汇票、银行票据、商业票据、</w:t>
      </w:r>
      <w:r>
        <w:rPr>
          <w:spacing w:val="-10"/>
        </w:rPr>
        <w:t>回购协议、短期政府债券等货币市场工具；政府债券、公司债券、可转换债券、住房按揭支</w:t>
      </w:r>
      <w:r>
        <w:rPr>
          <w:spacing w:val="-12"/>
        </w:rPr>
        <w:t>持证券、资产支持证券及经中国证监会认可的国际金融组织发行的证券等；已与中国证监会</w:t>
      </w:r>
      <w:r>
        <w:rPr>
          <w:spacing w:val="-9"/>
        </w:rPr>
        <w:t>签署双边监管合作谅解备忘录的国家或地区证券市场挂牌交易的优先股、全球存托凭证和美</w:t>
      </w:r>
      <w:r>
        <w:rPr>
          <w:spacing w:val="-13"/>
        </w:rPr>
        <w:t>国存托凭证、房地产信托凭证；在已与中国证监会签署双边监管合作谅解备忘录的国家或地</w:t>
      </w:r>
      <w:r>
        <w:rPr>
          <w:spacing w:val="-11"/>
        </w:rPr>
        <w:t>区证券监管机构登记注册的固定收益类公募基金；与固定收益、股权、信用、商品指数、基金等标的物挂钩的结构性投资产品；远期合约、互换及经中国证监会认可的境外交易所上市</w:t>
      </w:r>
      <w:r>
        <w:rPr>
          <w:spacing w:val="-6"/>
        </w:rPr>
        <w:t>交易的权证、期权、期货等与固定收益类证券相关的金融衍生产品。</w:t>
      </w:r>
    </w:p>
    <w:p>
      <w:pPr>
        <w:pStyle w:val="BodyText"/>
        <w:spacing w:line="417" w:lineRule="auto"/>
        <w:ind w:left="540" w:right="871" w:firstLine="419"/>
      </w:pPr>
      <w:r>
        <w:rPr>
          <w:spacing w:val="-10"/>
        </w:rPr>
        <w:t>此外，如法律法规或监管机构以后允许基金投资其他品种，基金管理人在履行适当程序</w:t>
      </w:r>
      <w:r>
        <w:rPr>
          <w:spacing w:val="-5"/>
        </w:rPr>
        <w:t>后，可以将其纳入投资范围。本基金以大中华信用债为主要投资对象。</w:t>
      </w:r>
    </w:p>
    <w:p>
      <w:pPr>
        <w:pStyle w:val="BodyText"/>
        <w:spacing w:line="417" w:lineRule="auto"/>
        <w:ind w:left="540" w:right="871" w:firstLine="419"/>
      </w:pPr>
      <w:r>
        <w:rPr>
          <w:spacing w:val="-12"/>
          <w:w w:val="100"/>
        </w:rPr>
        <w:t>大中华信用债指：“大中华地区证券市场”和在其他证券市场发行的“大中华企业”信</w:t>
      </w:r>
      <w:r>
        <w:rPr>
          <w:spacing w:val="-6"/>
        </w:rPr>
        <w:t>用债。其中：</w:t>
      </w:r>
    </w:p>
    <w:p>
      <w:pPr>
        <w:pStyle w:val="BodyText"/>
        <w:spacing w:line="417" w:lineRule="auto"/>
        <w:ind w:left="960" w:right="768"/>
      </w:pPr>
      <w:r>
        <w:rPr>
          <w:spacing w:val="-16"/>
        </w:rPr>
        <w:t>“大中华地区证券市场”是指中国证监会允许投资的香港、台湾和中国内地证券市场等。</w:t>
      </w:r>
      <w:r>
        <w:rPr>
          <w:spacing w:val="-8"/>
        </w:rPr>
        <w:t>“大中华企业”是指满足以下三个条件之一的公司：</w:t>
      </w:r>
      <w:r>
        <w:rPr>
          <w:rFonts w:ascii="Times New Roman" w:hAnsi="Times New Roman" w:eastAsia="Times New Roman"/>
        </w:rPr>
        <w:t>1</w:t>
      </w:r>
      <w:r>
        <w:rPr/>
        <w:t>）</w:t>
      </w:r>
      <w:r>
        <w:rPr>
          <w:spacing w:val="-3"/>
        </w:rPr>
        <w:t>公司注册在大中华地区</w:t>
      </w:r>
      <w:r>
        <w:rPr/>
        <w:t>（</w:t>
      </w:r>
      <w:r>
        <w:rPr>
          <w:spacing w:val="-2"/>
        </w:rPr>
        <w:t>中国</w:t>
      </w:r>
    </w:p>
    <w:p>
      <w:pPr>
        <w:pStyle w:val="BodyText"/>
        <w:spacing w:line="417" w:lineRule="auto"/>
        <w:ind w:left="540" w:right="871"/>
        <w:jc w:val="both"/>
      </w:pPr>
      <w:r>
        <w:rPr>
          <w:spacing w:val="-7"/>
          <w:w w:val="100"/>
        </w:rPr>
        <w:t>内地、香港、台湾、澳门</w:t>
      </w:r>
      <w:r>
        <w:rPr>
          <w:spacing w:val="-108"/>
          <w:w w:val="100"/>
        </w:rPr>
        <w:t>）</w:t>
      </w:r>
      <w:r>
        <w:rPr>
          <w:spacing w:val="-12"/>
          <w:w w:val="100"/>
        </w:rPr>
        <w:t>；</w:t>
      </w:r>
      <w:r>
        <w:rPr>
          <w:rFonts w:ascii="Times New Roman" w:eastAsia="Times New Roman"/>
          <w:w w:val="100"/>
        </w:rPr>
        <w:t>2</w:t>
      </w:r>
      <w:r>
        <w:rPr>
          <w:spacing w:val="-15"/>
          <w:w w:val="100"/>
        </w:rPr>
        <w:t>）</w:t>
      </w:r>
      <w:r>
        <w:rPr>
          <w:spacing w:val="-6"/>
          <w:w w:val="100"/>
        </w:rPr>
        <w:t>公司中最少百分之五十之营业额、盈利、资产、或制造活动</w:t>
      </w:r>
      <w:r>
        <w:rPr>
          <w:spacing w:val="-4"/>
        </w:rPr>
        <w:t>来自大中华地区；</w:t>
      </w:r>
      <w:r>
        <w:rPr>
          <w:rFonts w:ascii="Times New Roman" w:eastAsia="Times New Roman"/>
        </w:rPr>
        <w:t>3</w:t>
      </w:r>
      <w:r>
        <w:rPr/>
        <w:t>）</w:t>
      </w:r>
      <w:r>
        <w:rPr>
          <w:spacing w:val="-3"/>
        </w:rPr>
        <w:t>控股公司，其子公司的注册办公室在大中华地区，且主要业务活动亦在大中华地区。</w:t>
      </w:r>
    </w:p>
    <w:p>
      <w:pPr>
        <w:pStyle w:val="BodyText"/>
        <w:spacing w:line="417" w:lineRule="auto"/>
        <w:ind w:left="540" w:right="871" w:firstLine="419"/>
        <w:jc w:val="both"/>
      </w:pPr>
      <w:r>
        <w:rPr/>
        <w:t>基金的投资组合比例为：对债券的投资比例不低于基金资产的 </w:t>
      </w:r>
      <w:r>
        <w:rPr>
          <w:rFonts w:ascii="Times New Roman" w:eastAsia="Times New Roman"/>
        </w:rPr>
        <w:t>80%</w:t>
      </w:r>
      <w:r>
        <w:rPr/>
        <w:t>。其中，投资于大中华信用债的比例不低于非现金基金资产的 </w:t>
      </w:r>
      <w:r>
        <w:rPr>
          <w:rFonts w:ascii="Times New Roman" w:eastAsia="Times New Roman"/>
        </w:rPr>
        <w:t>80%</w:t>
      </w:r>
      <w:r>
        <w:rPr/>
        <w:t>。现金或者到期日在 </w:t>
      </w:r>
      <w:r>
        <w:rPr>
          <w:rFonts w:ascii="Times New Roman" w:eastAsia="Times New Roman"/>
        </w:rPr>
        <w:t>1 </w:t>
      </w:r>
      <w:r>
        <w:rPr/>
        <w:t>年以内的政府债券</w:t>
      </w:r>
    </w:p>
    <w:p>
      <w:pPr>
        <w:spacing w:after="0" w:line="417" w:lineRule="auto"/>
        <w:jc w:val="both"/>
        <w:sectPr>
          <w:pgSz w:w="11910" w:h="16840"/>
          <w:pgMar w:header="872" w:footer="995" w:top="1100" w:bottom="1180" w:left="1260" w:right="920"/>
        </w:sectPr>
      </w:pPr>
    </w:p>
    <w:p>
      <w:pPr>
        <w:pStyle w:val="BodyText"/>
        <w:spacing w:before="10"/>
        <w:rPr>
          <w:sz w:val="26"/>
        </w:rPr>
      </w:pPr>
    </w:p>
    <w:p>
      <w:pPr>
        <w:pStyle w:val="BodyText"/>
        <w:spacing w:line="417" w:lineRule="auto" w:before="78"/>
        <w:ind w:left="540" w:right="873"/>
        <w:jc w:val="both"/>
      </w:pPr>
      <w:r>
        <w:rPr>
          <w:spacing w:val="-5"/>
        </w:rPr>
        <w:t>不低于基金资产净值的 </w:t>
      </w:r>
      <w:r>
        <w:rPr>
          <w:rFonts w:ascii="Times New Roman" w:eastAsia="Times New Roman"/>
        </w:rPr>
        <w:t>5%</w:t>
      </w:r>
      <w:r>
        <w:rPr>
          <w:spacing w:val="-3"/>
        </w:rPr>
        <w:t>。本基金可投资于境内市场及境外市场，其中本基金投资于境外</w:t>
      </w:r>
      <w:r>
        <w:rPr>
          <w:spacing w:val="-7"/>
        </w:rPr>
        <w:t>证券市场的比例为基金资产的 </w:t>
      </w:r>
      <w:r>
        <w:rPr>
          <w:rFonts w:ascii="Times New Roman" w:eastAsia="Times New Roman"/>
        </w:rPr>
        <w:t>10%--90%</w:t>
      </w:r>
      <w:r>
        <w:rPr/>
        <w:t>。</w:t>
      </w:r>
    </w:p>
    <w:p>
      <w:pPr>
        <w:pStyle w:val="BodyText"/>
        <w:spacing w:line="417" w:lineRule="auto"/>
        <w:ind w:left="540" w:right="871" w:firstLine="472"/>
        <w:jc w:val="both"/>
      </w:pPr>
      <w:r>
        <w:rPr>
          <w:spacing w:val="-1"/>
        </w:rPr>
        <w:t>此外，如法律规或监管机构以后允许基金投资其他品种，基金管理人在履行适当程序</w:t>
      </w:r>
      <w:r>
        <w:rPr>
          <w:spacing w:val="-11"/>
        </w:rPr>
        <w:t>后，可以将其纳入投资范围；如法律法规或中国证监会变更投资品种的比例限制，基金管理</w:t>
      </w:r>
      <w:r>
        <w:rPr>
          <w:spacing w:val="-6"/>
        </w:rPr>
        <w:t>人可依据相关规定履行适当程序后相应调整本基金的投资比例上限规定。</w:t>
      </w:r>
    </w:p>
    <w:p>
      <w:pPr>
        <w:pStyle w:val="BodyText"/>
        <w:spacing w:line="269" w:lineRule="exact"/>
        <w:ind w:left="960"/>
      </w:pPr>
      <w:r>
        <w:rPr/>
        <w:t>（三）投资策略</w:t>
      </w:r>
    </w:p>
    <w:p>
      <w:pPr>
        <w:pStyle w:val="BodyText"/>
        <w:spacing w:before="6"/>
        <w:rPr>
          <w:sz w:val="15"/>
        </w:rPr>
      </w:pPr>
    </w:p>
    <w:p>
      <w:pPr>
        <w:pStyle w:val="BodyText"/>
        <w:spacing w:before="1"/>
        <w:ind w:left="960"/>
      </w:pPr>
      <w:r>
        <w:rPr>
          <w:rFonts w:ascii="Calibri" w:eastAsia="Calibri"/>
          <w:spacing w:val="-1"/>
        </w:rPr>
        <w:t>1</w:t>
      </w:r>
      <w:r>
        <w:rPr>
          <w:spacing w:val="-2"/>
        </w:rPr>
        <w:t>、国家</w:t>
      </w:r>
      <w:r>
        <w:rPr>
          <w:rFonts w:ascii="Calibri" w:eastAsia="Calibri"/>
          <w:spacing w:val="-3"/>
        </w:rPr>
        <w:t>/</w:t>
      </w:r>
      <w:r>
        <w:rPr>
          <w:spacing w:val="-3"/>
        </w:rPr>
        <w:t>地区配置策略</w:t>
      </w:r>
    </w:p>
    <w:p>
      <w:pPr>
        <w:pStyle w:val="BodyText"/>
        <w:spacing w:before="7"/>
        <w:rPr>
          <w:sz w:val="15"/>
        </w:rPr>
      </w:pPr>
    </w:p>
    <w:p>
      <w:pPr>
        <w:pStyle w:val="BodyText"/>
        <w:spacing w:line="417" w:lineRule="auto"/>
        <w:ind w:left="540" w:right="871" w:firstLine="419"/>
        <w:jc w:val="both"/>
      </w:pPr>
      <w:r>
        <w:rPr>
          <w:spacing w:val="-8"/>
        </w:rPr>
        <w:t>本基金将根据对全球市场经济发展的判断，以及对不同国家和地区宏观经济、财政和货</w:t>
      </w:r>
      <w:r>
        <w:rPr>
          <w:spacing w:val="-21"/>
        </w:rPr>
        <w:t>币政策、证券市场走势、金融市场环境的分析，确定基金资产在不同国家和地区的配置比例。</w:t>
      </w:r>
      <w:r>
        <w:rPr>
          <w:spacing w:val="-13"/>
        </w:rPr>
        <w:t>根据全球宏观经济发展走向、中国大国战略部署、经济政策、法律法规等可能影响证券市场</w:t>
      </w:r>
      <w:r>
        <w:rPr>
          <w:spacing w:val="-6"/>
        </w:rPr>
        <w:t>的重要因素的分析和预测。</w:t>
      </w:r>
    </w:p>
    <w:p>
      <w:pPr>
        <w:pStyle w:val="BodyText"/>
        <w:spacing w:line="268" w:lineRule="exact"/>
        <w:ind w:left="960"/>
      </w:pPr>
      <w:r>
        <w:rPr>
          <w:rFonts w:ascii="Calibri" w:eastAsia="Calibri"/>
        </w:rPr>
        <w:t>2</w:t>
      </w:r>
      <w:r>
        <w:rPr/>
        <w:t>、债券类属配置策略</w:t>
      </w:r>
    </w:p>
    <w:p>
      <w:pPr>
        <w:pStyle w:val="BodyText"/>
        <w:spacing w:before="6"/>
        <w:rPr>
          <w:sz w:val="15"/>
        </w:rPr>
      </w:pPr>
    </w:p>
    <w:p>
      <w:pPr>
        <w:pStyle w:val="BodyText"/>
        <w:spacing w:line="417" w:lineRule="auto" w:before="1"/>
        <w:ind w:left="540" w:right="765" w:firstLine="419"/>
      </w:pPr>
      <w:r>
        <w:rPr>
          <w:spacing w:val="-10"/>
        </w:rPr>
        <w:t>本基金将基于对经济周期及其变化趋势等特征的研究和判断，根据对政府债券、信用债、可转债等不同债券板块之间的相对投资价值分析，确定不同经济周期阶段下的债券类属配置</w:t>
      </w:r>
      <w:r>
        <w:rPr>
          <w:spacing w:val="-18"/>
        </w:rPr>
        <w:t>策略，并根据经济周期阶段变化及时进行调整。从而有效把握经济不同发展阶段的投资机会， </w:t>
      </w:r>
      <w:r>
        <w:rPr>
          <w:spacing w:val="-7"/>
        </w:rPr>
        <w:t>实现基金资产的保值增值。</w:t>
      </w:r>
    </w:p>
    <w:p>
      <w:pPr>
        <w:pStyle w:val="BodyText"/>
        <w:spacing w:line="269" w:lineRule="exact"/>
        <w:ind w:left="960"/>
      </w:pPr>
      <w:r>
        <w:rPr>
          <w:rFonts w:ascii="Calibri" w:eastAsia="Calibri"/>
        </w:rPr>
        <w:t>3</w:t>
      </w:r>
      <w:r>
        <w:rPr/>
        <w:t>、信用债投资策略</w:t>
      </w:r>
    </w:p>
    <w:p>
      <w:pPr>
        <w:pStyle w:val="BodyText"/>
        <w:spacing w:before="6"/>
        <w:rPr>
          <w:sz w:val="15"/>
        </w:rPr>
      </w:pPr>
    </w:p>
    <w:p>
      <w:pPr>
        <w:pStyle w:val="BodyText"/>
        <w:spacing w:line="417" w:lineRule="auto"/>
        <w:ind w:left="540" w:right="662" w:firstLine="419"/>
      </w:pPr>
      <w:r>
        <w:rPr>
          <w:spacing w:val="-8"/>
        </w:rPr>
        <w:t>本基金将主要通过买入并持有信用风险可承担，期限与收益率相对合理的信用债券产品， </w:t>
      </w:r>
      <w:r>
        <w:rPr>
          <w:spacing w:val="-12"/>
        </w:rPr>
        <w:t>获取票息收益。此外，本基金还将通过对内外部评级、利差曲线研究和经济周期的判断，主 </w:t>
      </w:r>
      <w:r>
        <w:rPr>
          <w:spacing w:val="-6"/>
        </w:rPr>
        <w:t>动采用信用利差投资策略，获取利差收益。</w:t>
      </w:r>
    </w:p>
    <w:p>
      <w:pPr>
        <w:pStyle w:val="BodyText"/>
        <w:spacing w:line="269" w:lineRule="exact"/>
        <w:ind w:left="960"/>
      </w:pPr>
      <w:r>
        <w:rPr>
          <w:rFonts w:ascii="Calibri" w:eastAsia="Calibri"/>
        </w:rPr>
        <w:t>4</w:t>
      </w:r>
      <w:r>
        <w:rPr/>
        <w:t>、可转债投资策略</w:t>
      </w:r>
    </w:p>
    <w:p>
      <w:pPr>
        <w:pStyle w:val="BodyText"/>
        <w:spacing w:before="8"/>
        <w:rPr>
          <w:sz w:val="15"/>
        </w:rPr>
      </w:pPr>
    </w:p>
    <w:p>
      <w:pPr>
        <w:pStyle w:val="BodyText"/>
        <w:spacing w:line="417" w:lineRule="auto"/>
        <w:ind w:left="540" w:right="871" w:firstLine="419"/>
        <w:jc w:val="both"/>
      </w:pPr>
      <w:r>
        <w:rPr>
          <w:spacing w:val="-9"/>
        </w:rPr>
        <w:t>本基金将在充分研究的基础上，选择基本面良好、有着较好盈利能力和成长前景且具有一定安全边际的可转债进行重点投资，在严格控制风险的前提下获得稳定收益。同时，本基</w:t>
      </w:r>
      <w:r>
        <w:rPr>
          <w:spacing w:val="-20"/>
        </w:rPr>
        <w:t>金还将密切跟踪上市公司的经营状况，从财务压力、融资安排、未来的投资计划等方面推测， </w:t>
      </w:r>
      <w:r>
        <w:rPr>
          <w:spacing w:val="-11"/>
        </w:rPr>
        <w:t>并通过实地调研等方式确认上市公司对转股价的修正和转股意愿。本基金因可转债转换等原</w:t>
      </w:r>
      <w:r>
        <w:rPr>
          <w:spacing w:val="-9"/>
        </w:rPr>
        <w:t>因持有的股票需在其可交易之日起的 </w:t>
      </w:r>
      <w:r>
        <w:rPr>
          <w:rFonts w:ascii="Calibri" w:eastAsia="Calibri"/>
        </w:rPr>
        <w:t>3 </w:t>
      </w:r>
      <w:r>
        <w:rPr>
          <w:spacing w:val="-3"/>
        </w:rPr>
        <w:t>个月内卖出。</w:t>
      </w:r>
    </w:p>
    <w:p>
      <w:pPr>
        <w:pStyle w:val="BodyText"/>
        <w:spacing w:line="268" w:lineRule="exact"/>
        <w:ind w:left="960"/>
      </w:pPr>
      <w:r>
        <w:rPr>
          <w:rFonts w:ascii="Calibri" w:eastAsia="Calibri"/>
        </w:rPr>
        <w:t>5</w:t>
      </w:r>
      <w:r>
        <w:rPr/>
        <w:t>、中小企业私募债券投资策略</w:t>
      </w:r>
    </w:p>
    <w:p>
      <w:pPr>
        <w:pStyle w:val="BodyText"/>
        <w:spacing w:before="6"/>
        <w:rPr>
          <w:sz w:val="15"/>
        </w:rPr>
      </w:pPr>
    </w:p>
    <w:p>
      <w:pPr>
        <w:pStyle w:val="BodyText"/>
        <w:spacing w:line="417" w:lineRule="auto" w:before="1"/>
        <w:ind w:left="540" w:right="768" w:firstLine="419"/>
        <w:jc w:val="both"/>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w:t>
      </w:r>
      <w:r>
        <w:rPr>
          <w:spacing w:val="-6"/>
        </w:rPr>
        <w:t>投资。同时，由于中小企业私募债整体风险相对较高，本基金将采取更为谨慎的投资策略，</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pPr>
      <w:r>
        <w:rPr>
          <w:spacing w:val="-6"/>
        </w:rPr>
        <w:t>通过期限和品种的分散投资降低基金投资中小企业私募债券的信用风险、利率风险和流动性风险。</w:t>
      </w:r>
    </w:p>
    <w:p>
      <w:pPr>
        <w:pStyle w:val="BodyText"/>
        <w:spacing w:line="269" w:lineRule="exact"/>
        <w:ind w:left="960"/>
      </w:pPr>
      <w:r>
        <w:rPr>
          <w:rFonts w:ascii="Calibri" w:eastAsia="Calibri"/>
        </w:rPr>
        <w:t>6</w:t>
      </w:r>
      <w:r>
        <w:rPr/>
        <w:t>、资产支持证券投资策略</w:t>
      </w:r>
    </w:p>
    <w:p>
      <w:pPr>
        <w:pStyle w:val="BodyText"/>
        <w:spacing w:before="7"/>
        <w:rPr>
          <w:sz w:val="15"/>
        </w:rPr>
      </w:pPr>
    </w:p>
    <w:p>
      <w:pPr>
        <w:pStyle w:val="BodyText"/>
        <w:spacing w:line="417" w:lineRule="auto"/>
        <w:ind w:left="540" w:right="76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ind w:left="960"/>
      </w:pPr>
      <w:r>
        <w:rPr>
          <w:rFonts w:ascii="Calibri" w:eastAsia="Calibri"/>
        </w:rPr>
        <w:t>7</w:t>
      </w:r>
      <w:r>
        <w:rPr/>
        <w:t>、久期管理策略</w:t>
      </w:r>
    </w:p>
    <w:p>
      <w:pPr>
        <w:pStyle w:val="BodyText"/>
        <w:spacing w:before="7"/>
        <w:rPr>
          <w:sz w:val="15"/>
        </w:rPr>
      </w:pPr>
    </w:p>
    <w:p>
      <w:pPr>
        <w:pStyle w:val="BodyText"/>
        <w:spacing w:line="417" w:lineRule="auto"/>
        <w:ind w:left="540" w:right="770" w:firstLine="419"/>
      </w:pPr>
      <w:r>
        <w:rPr>
          <w:spacing w:val="-9"/>
        </w:rPr>
        <w:t>本基金将根据对利率水平的预期，在预期利率下降时，增加组合久期，以较多地获得债</w:t>
      </w:r>
      <w:r>
        <w:rPr>
          <w:spacing w:val="-5"/>
        </w:rPr>
        <w:t>券价格上升带来的收益，在预期利率上升时，减小组合久期，以规避债券价格下降的风险。</w:t>
      </w:r>
    </w:p>
    <w:p>
      <w:pPr>
        <w:pStyle w:val="BodyText"/>
        <w:spacing w:line="269" w:lineRule="exact"/>
        <w:ind w:left="960"/>
      </w:pPr>
      <w:r>
        <w:rPr>
          <w:rFonts w:ascii="Calibri" w:eastAsia="Calibri"/>
        </w:rPr>
        <w:t>8</w:t>
      </w:r>
      <w:r>
        <w:rPr/>
        <w:t>、国债期货投资策略</w:t>
      </w:r>
    </w:p>
    <w:p>
      <w:pPr>
        <w:pStyle w:val="BodyText"/>
        <w:spacing w:before="6"/>
        <w:rPr>
          <w:sz w:val="15"/>
        </w:rPr>
      </w:pPr>
    </w:p>
    <w:p>
      <w:pPr>
        <w:pStyle w:val="BodyText"/>
        <w:spacing w:line="417" w:lineRule="auto" w:before="1"/>
        <w:ind w:left="540" w:right="87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269" w:lineRule="exact"/>
        <w:ind w:left="960"/>
      </w:pPr>
      <w:r>
        <w:rPr>
          <w:rFonts w:ascii="Calibri" w:eastAsia="Calibri"/>
        </w:rPr>
        <w:t>9</w:t>
      </w:r>
      <w:r>
        <w:rPr/>
        <w:t>、汇率避险策略</w:t>
      </w:r>
    </w:p>
    <w:p>
      <w:pPr>
        <w:pStyle w:val="BodyText"/>
        <w:spacing w:before="6"/>
        <w:rPr>
          <w:sz w:val="15"/>
        </w:rPr>
      </w:pPr>
    </w:p>
    <w:p>
      <w:pPr>
        <w:pStyle w:val="BodyText"/>
        <w:spacing w:line="417" w:lineRule="auto" w:before="1"/>
        <w:ind w:left="540" w:right="871" w:firstLine="419"/>
        <w:jc w:val="both"/>
      </w:pPr>
      <w:r>
        <w:rPr>
          <w:spacing w:val="-1"/>
        </w:rPr>
        <w:t>紧密跟踪汇率动向，通过对各国</w:t>
      </w:r>
      <w:r>
        <w:rPr>
          <w:rFonts w:ascii="Calibri" w:eastAsia="Calibri"/>
        </w:rPr>
        <w:t>/</w:t>
      </w:r>
      <w:r>
        <w:rPr>
          <w:spacing w:val="-3"/>
        </w:rPr>
        <w:t>地区的宏观经济形势、货币政策、市场环境以及其他</w:t>
      </w:r>
      <w:r>
        <w:rPr>
          <w:spacing w:val="-8"/>
        </w:rPr>
        <w:t>可能影响汇率走势的因素进行深入分析，并结合相关外汇研究机构的成果，判研主要汇率走</w:t>
      </w:r>
      <w:r>
        <w:rPr>
          <w:spacing w:val="-5"/>
        </w:rPr>
        <w:t>势，并适度进行外汇远期、期货、期权等汇率衍生品投资，以降低外汇风险。</w:t>
      </w:r>
    </w:p>
    <w:p>
      <w:pPr>
        <w:pStyle w:val="BodyText"/>
        <w:spacing w:line="417" w:lineRule="auto"/>
        <w:ind w:left="540" w:right="875" w:firstLine="472"/>
      </w:pPr>
      <w:r>
        <w:rPr>
          <w:spacing w:val="-14"/>
        </w:rPr>
        <w:t>此外，在严格控制风险的前提下，本基金将适度参与证券借贷交易、回购交易等投资， </w:t>
      </w:r>
      <w:r>
        <w:rPr>
          <w:spacing w:val="-7"/>
        </w:rPr>
        <w:t>以增加收益。</w:t>
      </w:r>
    </w:p>
    <w:p>
      <w:pPr>
        <w:pStyle w:val="BodyText"/>
        <w:spacing w:line="417" w:lineRule="auto"/>
        <w:ind w:left="540" w:right="875" w:firstLine="472"/>
      </w:pPr>
      <w:r>
        <w:rPr/>
        <w:t>未来，随着全球证券市场投资工具的发展和丰富，本基金可相应调整和更新相关投资策略，并在招募说明书更新中公告。</w:t>
      </w:r>
    </w:p>
    <w:p>
      <w:pPr>
        <w:pStyle w:val="BodyText"/>
        <w:ind w:left="960"/>
      </w:pPr>
      <w:r>
        <w:rPr/>
        <w:t>（四）投资限制</w:t>
      </w:r>
    </w:p>
    <w:p>
      <w:pPr>
        <w:pStyle w:val="BodyText"/>
        <w:spacing w:before="6"/>
        <w:rPr>
          <w:sz w:val="15"/>
        </w:rPr>
      </w:pPr>
    </w:p>
    <w:p>
      <w:pPr>
        <w:pStyle w:val="BodyText"/>
        <w:ind w:left="1013"/>
      </w:pPr>
      <w:r>
        <w:rPr>
          <w:rFonts w:ascii="Calibri" w:eastAsia="Calibri"/>
        </w:rPr>
        <w:t>1</w:t>
      </w:r>
      <w:r>
        <w:rPr/>
        <w:t>、本基金境外投资组合应遵循以下限制：</w:t>
      </w:r>
    </w:p>
    <w:p>
      <w:pPr>
        <w:pStyle w:val="BodyText"/>
        <w:spacing w:before="6"/>
        <w:rPr>
          <w:sz w:val="15"/>
        </w:rPr>
      </w:pPr>
    </w:p>
    <w:p>
      <w:pPr>
        <w:pStyle w:val="ListParagraph"/>
        <w:numPr>
          <w:ilvl w:val="0"/>
          <w:numId w:val="6"/>
        </w:numPr>
        <w:tabs>
          <w:tab w:pos="1492" w:val="left" w:leader="none"/>
        </w:tabs>
        <w:spacing w:line="417" w:lineRule="auto" w:before="1" w:after="0"/>
        <w:ind w:left="540" w:right="874" w:firstLine="419"/>
        <w:jc w:val="both"/>
        <w:rPr>
          <w:sz w:val="21"/>
        </w:rPr>
      </w:pPr>
      <w:r>
        <w:rPr>
          <w:spacing w:val="-3"/>
          <w:sz w:val="21"/>
        </w:rPr>
        <w:t>本基金持有同一机构</w:t>
      </w:r>
      <w:r>
        <w:rPr>
          <w:sz w:val="21"/>
        </w:rPr>
        <w:t>（</w:t>
      </w:r>
      <w:r>
        <w:rPr>
          <w:spacing w:val="-3"/>
          <w:sz w:val="21"/>
        </w:rPr>
        <w:t>政府、国际金融组织除外</w:t>
      </w:r>
      <w:r>
        <w:rPr>
          <w:sz w:val="21"/>
        </w:rPr>
        <w:t>）</w:t>
      </w:r>
      <w:r>
        <w:rPr>
          <w:spacing w:val="-3"/>
          <w:sz w:val="21"/>
        </w:rPr>
        <w:t>发行的证券市值不得超过基金</w:t>
      </w:r>
      <w:r>
        <w:rPr>
          <w:spacing w:val="-12"/>
          <w:sz w:val="21"/>
        </w:rPr>
        <w:t>资产净值的 </w:t>
      </w:r>
      <w:r>
        <w:rPr>
          <w:rFonts w:ascii="Calibri" w:eastAsia="Calibri"/>
          <w:sz w:val="21"/>
        </w:rPr>
        <w:t>10%</w:t>
      </w:r>
      <w:r>
        <w:rPr>
          <w:sz w:val="21"/>
        </w:rPr>
        <w:t>。</w:t>
      </w:r>
    </w:p>
    <w:p>
      <w:pPr>
        <w:pStyle w:val="ListParagraph"/>
        <w:numPr>
          <w:ilvl w:val="0"/>
          <w:numId w:val="6"/>
        </w:numPr>
        <w:tabs>
          <w:tab w:pos="1492" w:val="left" w:leader="none"/>
        </w:tabs>
        <w:spacing w:line="417" w:lineRule="auto" w:before="0" w:after="0"/>
        <w:ind w:left="540" w:right="871" w:firstLine="419"/>
        <w:jc w:val="both"/>
        <w:rPr>
          <w:sz w:val="21"/>
        </w:rPr>
      </w:pPr>
      <w:r>
        <w:rPr>
          <w:spacing w:val="-3"/>
          <w:sz w:val="21"/>
        </w:rPr>
        <w:t>本基金不得购买证券用于控制或影响发行该证券的机构或其管理层。本基金管理</w:t>
      </w:r>
      <w:r>
        <w:rPr>
          <w:spacing w:val="-7"/>
          <w:sz w:val="21"/>
        </w:rPr>
        <w:t>人管理的全部基金</w:t>
      </w:r>
      <w:r>
        <w:rPr>
          <w:sz w:val="21"/>
        </w:rPr>
        <w:t>（</w:t>
      </w:r>
      <w:r>
        <w:rPr>
          <w:spacing w:val="-3"/>
          <w:sz w:val="21"/>
        </w:rPr>
        <w:t>含本基金</w:t>
      </w:r>
      <w:r>
        <w:rPr>
          <w:spacing w:val="-29"/>
          <w:sz w:val="21"/>
        </w:rPr>
        <w:t>）</w:t>
      </w:r>
      <w:r>
        <w:rPr>
          <w:spacing w:val="-6"/>
          <w:sz w:val="21"/>
        </w:rPr>
        <w:t>不得持有同一机构 </w:t>
      </w:r>
      <w:r>
        <w:rPr>
          <w:rFonts w:ascii="Calibri" w:eastAsia="Calibri"/>
          <w:sz w:val="21"/>
        </w:rPr>
        <w:t>10%</w:t>
      </w:r>
      <w:r>
        <w:rPr>
          <w:spacing w:val="-5"/>
          <w:sz w:val="21"/>
        </w:rPr>
        <w:t>以上具有投票权的证券发行总量。其</w:t>
      </w:r>
      <w:r>
        <w:rPr>
          <w:spacing w:val="-11"/>
          <w:sz w:val="21"/>
        </w:rPr>
        <w:t>中，此项投资比例限制应当合并计算同一机构境内外上市的总股本，同时应当一并计算全球</w:t>
      </w:r>
      <w:r>
        <w:rPr>
          <w:spacing w:val="-6"/>
          <w:sz w:val="21"/>
        </w:rPr>
        <w:t>存托凭证和美国存托凭证所代表的基础证券，并假设对持有的股本权证行使转换。</w:t>
      </w:r>
    </w:p>
    <w:p>
      <w:pPr>
        <w:pStyle w:val="ListParagraph"/>
        <w:numPr>
          <w:ilvl w:val="0"/>
          <w:numId w:val="6"/>
        </w:numPr>
        <w:tabs>
          <w:tab w:pos="1490" w:val="left" w:leader="none"/>
        </w:tabs>
        <w:spacing w:line="269" w:lineRule="exact" w:before="0" w:after="0"/>
        <w:ind w:left="1489" w:right="0" w:hanging="530"/>
        <w:jc w:val="both"/>
        <w:rPr>
          <w:sz w:val="21"/>
        </w:rPr>
      </w:pPr>
      <w:r>
        <w:rPr>
          <w:spacing w:val="-5"/>
          <w:sz w:val="21"/>
        </w:rPr>
        <w:t>本基金持有同一家银行的存款不得超过基金资产净值的 </w:t>
      </w:r>
      <w:r>
        <w:rPr>
          <w:rFonts w:ascii="Calibri" w:eastAsia="Calibri"/>
          <w:sz w:val="21"/>
        </w:rPr>
        <w:t>20%</w:t>
      </w:r>
      <w:r>
        <w:rPr>
          <w:spacing w:val="-3"/>
          <w:sz w:val="21"/>
        </w:rPr>
        <w:t>，其中银行应当是境</w:t>
      </w:r>
    </w:p>
    <w:p>
      <w:pPr>
        <w:spacing w:after="0" w:line="269" w:lineRule="exact"/>
        <w:jc w:val="both"/>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7"/>
      </w:pPr>
      <w:r>
        <w:rPr/>
        <w:t>内中资商业银行或其在境外设立的分行或在最近一个会计年度达到中国证监会认可的信用评级机构评级的境外银行，但在基金托管账户的存款不受此限制。</w:t>
      </w:r>
    </w:p>
    <w:p>
      <w:pPr>
        <w:pStyle w:val="ListParagraph"/>
        <w:numPr>
          <w:ilvl w:val="0"/>
          <w:numId w:val="6"/>
        </w:numPr>
        <w:tabs>
          <w:tab w:pos="1492" w:val="left" w:leader="none"/>
        </w:tabs>
        <w:spacing w:line="417" w:lineRule="auto" w:before="0" w:after="0"/>
        <w:ind w:left="540" w:right="871" w:firstLine="419"/>
        <w:jc w:val="both"/>
        <w:rPr>
          <w:sz w:val="21"/>
        </w:rPr>
      </w:pPr>
      <w:r>
        <w:rPr>
          <w:spacing w:val="-3"/>
          <w:sz w:val="21"/>
        </w:rPr>
        <w:t>本基金持有与中国证监会签署双边监管合作谅解备忘录国家或地区以外的其他国</w:t>
      </w:r>
      <w:r>
        <w:rPr>
          <w:spacing w:val="-3"/>
          <w:w w:val="100"/>
          <w:sz w:val="21"/>
        </w:rPr>
        <w:t>家或地区证券市场挂牌交易的证券资产不得超过基金资产净值的</w:t>
      </w:r>
      <w:r>
        <w:rPr>
          <w:spacing w:val="-55"/>
          <w:sz w:val="21"/>
        </w:rPr>
        <w:t> </w:t>
      </w:r>
      <w:r>
        <w:rPr>
          <w:rFonts w:ascii="Calibri" w:eastAsia="Calibri"/>
          <w:w w:val="100"/>
          <w:sz w:val="21"/>
        </w:rPr>
        <w:t>1</w:t>
      </w:r>
      <w:r>
        <w:rPr>
          <w:rFonts w:ascii="Calibri" w:eastAsia="Calibri"/>
          <w:spacing w:val="-2"/>
          <w:w w:val="100"/>
          <w:sz w:val="21"/>
        </w:rPr>
        <w:t>0%</w:t>
      </w:r>
      <w:r>
        <w:rPr>
          <w:spacing w:val="-12"/>
          <w:w w:val="100"/>
          <w:sz w:val="21"/>
        </w:rPr>
        <w:t>，其中持有任一国家或</w:t>
      </w:r>
      <w:r>
        <w:rPr>
          <w:spacing w:val="-9"/>
          <w:sz w:val="21"/>
        </w:rPr>
        <w:t>地区市场的证券资产不得超过基金资产净值的 </w:t>
      </w:r>
      <w:r>
        <w:rPr>
          <w:rFonts w:ascii="Calibri" w:eastAsia="Calibri"/>
          <w:sz w:val="21"/>
        </w:rPr>
        <w:t>3%</w:t>
      </w:r>
      <w:r>
        <w:rPr>
          <w:sz w:val="21"/>
        </w:rPr>
        <w:t>。</w:t>
      </w:r>
    </w:p>
    <w:p>
      <w:pPr>
        <w:pStyle w:val="ListParagraph"/>
        <w:numPr>
          <w:ilvl w:val="0"/>
          <w:numId w:val="6"/>
        </w:numPr>
        <w:tabs>
          <w:tab w:pos="1490" w:val="left" w:leader="none"/>
        </w:tabs>
        <w:spacing w:line="417" w:lineRule="auto" w:before="0" w:after="0"/>
        <w:ind w:left="540" w:right="871" w:firstLine="419"/>
        <w:jc w:val="both"/>
        <w:rPr>
          <w:sz w:val="21"/>
        </w:rPr>
      </w:pPr>
      <w:r>
        <w:rPr>
          <w:spacing w:val="-4"/>
          <w:sz w:val="21"/>
        </w:rPr>
        <w:t>基金持有非流动性资产市值不得超过基金资产净值的 </w:t>
      </w:r>
      <w:r>
        <w:rPr>
          <w:rFonts w:ascii="Calibri" w:eastAsia="Calibri"/>
          <w:sz w:val="21"/>
        </w:rPr>
        <w:t>10%</w:t>
      </w:r>
      <w:r>
        <w:rPr>
          <w:spacing w:val="-3"/>
          <w:sz w:val="21"/>
        </w:rPr>
        <w:t>。其中，非流动性资产是指法律或基金合同规定的流通受限证券以及中国证监会认定的其他资产。</w:t>
      </w:r>
    </w:p>
    <w:p>
      <w:pPr>
        <w:pStyle w:val="ListParagraph"/>
        <w:numPr>
          <w:ilvl w:val="0"/>
          <w:numId w:val="6"/>
        </w:numPr>
        <w:tabs>
          <w:tab w:pos="1490" w:val="left" w:leader="none"/>
        </w:tabs>
        <w:spacing w:line="417" w:lineRule="auto" w:before="0" w:after="0"/>
        <w:ind w:left="540" w:right="871" w:firstLine="419"/>
        <w:jc w:val="both"/>
        <w:rPr>
          <w:sz w:val="21"/>
        </w:rPr>
      </w:pPr>
      <w:r>
        <w:rPr>
          <w:spacing w:val="-4"/>
          <w:sz w:val="21"/>
        </w:rPr>
        <w:t>本基金持有境外基金的市值合计不得超过基金资产净值的 </w:t>
      </w:r>
      <w:r>
        <w:rPr>
          <w:rFonts w:ascii="Calibri" w:eastAsia="Calibri"/>
          <w:sz w:val="21"/>
        </w:rPr>
        <w:t>10%</w:t>
      </w:r>
      <w:r>
        <w:rPr>
          <w:spacing w:val="-3"/>
          <w:sz w:val="21"/>
        </w:rPr>
        <w:t>，但持有货币市场基金不受此限制。</w:t>
      </w:r>
    </w:p>
    <w:p>
      <w:pPr>
        <w:pStyle w:val="ListParagraph"/>
        <w:numPr>
          <w:ilvl w:val="0"/>
          <w:numId w:val="6"/>
        </w:numPr>
        <w:tabs>
          <w:tab w:pos="1492" w:val="left" w:leader="none"/>
        </w:tabs>
        <w:spacing w:line="417" w:lineRule="auto" w:before="0" w:after="0"/>
        <w:ind w:left="540" w:right="874" w:firstLine="419"/>
        <w:jc w:val="both"/>
        <w:rPr>
          <w:sz w:val="21"/>
        </w:rPr>
      </w:pPr>
      <w:r>
        <w:rPr>
          <w:spacing w:val="-3"/>
          <w:sz w:val="21"/>
        </w:rPr>
        <w:t>本基金管理人管理的全部基金</w:t>
      </w:r>
      <w:r>
        <w:rPr>
          <w:sz w:val="21"/>
        </w:rPr>
        <w:t>（</w:t>
      </w:r>
      <w:r>
        <w:rPr>
          <w:spacing w:val="-3"/>
          <w:sz w:val="21"/>
        </w:rPr>
        <w:t>含本基金</w:t>
      </w:r>
      <w:r>
        <w:rPr>
          <w:sz w:val="21"/>
        </w:rPr>
        <w:t>）</w:t>
      </w:r>
      <w:r>
        <w:rPr>
          <w:spacing w:val="-3"/>
          <w:sz w:val="21"/>
        </w:rPr>
        <w:t>持有任何一只境外基金，不得超过该</w:t>
      </w:r>
      <w:r>
        <w:rPr>
          <w:spacing w:val="-9"/>
          <w:sz w:val="21"/>
        </w:rPr>
        <w:t>境外基金总份额的 </w:t>
      </w:r>
      <w:r>
        <w:rPr>
          <w:rFonts w:ascii="Calibri" w:eastAsia="Calibri"/>
          <w:sz w:val="21"/>
        </w:rPr>
        <w:t>20%</w:t>
      </w:r>
      <w:r>
        <w:rPr>
          <w:sz w:val="21"/>
        </w:rPr>
        <w:t>。</w:t>
      </w:r>
    </w:p>
    <w:p>
      <w:pPr>
        <w:pStyle w:val="ListParagraph"/>
        <w:numPr>
          <w:ilvl w:val="0"/>
          <w:numId w:val="6"/>
        </w:numPr>
        <w:tabs>
          <w:tab w:pos="1490" w:val="left" w:leader="none"/>
        </w:tabs>
        <w:spacing w:line="269" w:lineRule="exact" w:before="0" w:after="0"/>
        <w:ind w:left="1489" w:right="0" w:hanging="530"/>
        <w:jc w:val="both"/>
        <w:rPr>
          <w:sz w:val="21"/>
        </w:rPr>
      </w:pPr>
      <w:r>
        <w:rPr>
          <w:spacing w:val="-6"/>
          <w:sz w:val="21"/>
        </w:rPr>
        <w:t>本基金的金融衍生品全部敞口不得高于基金资产净值的 </w:t>
      </w:r>
      <w:r>
        <w:rPr>
          <w:rFonts w:ascii="Calibri" w:eastAsia="Calibri"/>
          <w:sz w:val="21"/>
        </w:rPr>
        <w:t>100%</w:t>
      </w:r>
      <w:r>
        <w:rPr>
          <w:sz w:val="21"/>
        </w:rPr>
        <w:t>。</w:t>
      </w:r>
    </w:p>
    <w:p>
      <w:pPr>
        <w:pStyle w:val="BodyText"/>
        <w:spacing w:before="6"/>
        <w:rPr>
          <w:sz w:val="15"/>
        </w:rPr>
      </w:pPr>
    </w:p>
    <w:p>
      <w:pPr>
        <w:pStyle w:val="ListParagraph"/>
        <w:numPr>
          <w:ilvl w:val="0"/>
          <w:numId w:val="6"/>
        </w:numPr>
        <w:tabs>
          <w:tab w:pos="1492" w:val="left" w:leader="none"/>
        </w:tabs>
        <w:spacing w:line="417" w:lineRule="auto" w:before="0" w:after="0"/>
        <w:ind w:left="540" w:right="874" w:firstLine="419"/>
        <w:jc w:val="both"/>
        <w:rPr>
          <w:sz w:val="21"/>
        </w:rPr>
      </w:pPr>
      <w:r>
        <w:rPr>
          <w:spacing w:val="-3"/>
          <w:sz w:val="21"/>
        </w:rPr>
        <w:t>本基金投资期货支付的初始保证金、投资期权支付或收取的期权费、投资柜台交</w:t>
      </w:r>
      <w:r>
        <w:rPr>
          <w:spacing w:val="-5"/>
          <w:sz w:val="21"/>
        </w:rPr>
        <w:t>易衍生品支付的初始费用的总额不得高于基金资产净值的 </w:t>
      </w:r>
      <w:r>
        <w:rPr>
          <w:rFonts w:ascii="Calibri" w:eastAsia="Calibri"/>
          <w:sz w:val="21"/>
        </w:rPr>
        <w:t>10%</w:t>
      </w:r>
      <w:r>
        <w:rPr>
          <w:sz w:val="21"/>
        </w:rPr>
        <w:t>。</w:t>
      </w:r>
    </w:p>
    <w:p>
      <w:pPr>
        <w:pStyle w:val="ListParagraph"/>
        <w:numPr>
          <w:ilvl w:val="0"/>
          <w:numId w:val="6"/>
        </w:numPr>
        <w:tabs>
          <w:tab w:pos="1598" w:val="left" w:leader="none"/>
        </w:tabs>
        <w:spacing w:line="417" w:lineRule="auto" w:before="0" w:after="0"/>
        <w:ind w:left="540" w:right="871" w:firstLine="419"/>
        <w:jc w:val="both"/>
        <w:rPr>
          <w:sz w:val="21"/>
        </w:rPr>
      </w:pPr>
      <w:r>
        <w:rPr>
          <w:spacing w:val="-7"/>
          <w:sz w:val="21"/>
        </w:rPr>
        <w:t>本基金投资于远期合约、互换等柜台交易金融衍生品，应当符合以下要求：所 </w:t>
      </w:r>
      <w:r>
        <w:rPr>
          <w:spacing w:val="-8"/>
          <w:sz w:val="21"/>
        </w:rPr>
        <w:t>有参与交易的对手方</w:t>
      </w:r>
      <w:r>
        <w:rPr>
          <w:spacing w:val="-3"/>
          <w:sz w:val="21"/>
        </w:rPr>
        <w:t>（中资商业银行除外</w:t>
      </w:r>
      <w:r>
        <w:rPr>
          <w:spacing w:val="-51"/>
          <w:sz w:val="21"/>
        </w:rPr>
        <w:t>）</w:t>
      </w:r>
      <w:r>
        <w:rPr>
          <w:spacing w:val="-3"/>
          <w:sz w:val="21"/>
        </w:rPr>
        <w:t>应当具有不低于中国证监会认可的信用评级机构</w:t>
      </w:r>
      <w:r>
        <w:rPr>
          <w:spacing w:val="-11"/>
          <w:sz w:val="21"/>
        </w:rPr>
        <w:t>评级；交易对手方应当至少每个工作日对交易进行估值，并且基金可在任何时候以公允价值</w:t>
      </w:r>
      <w:r>
        <w:rPr>
          <w:spacing w:val="-9"/>
          <w:sz w:val="21"/>
        </w:rPr>
        <w:t>终止交易；任一交易对手方的市值计价敞口不得超过本资产净值的 </w:t>
      </w:r>
      <w:r>
        <w:rPr>
          <w:rFonts w:ascii="Calibri" w:eastAsia="Calibri"/>
          <w:sz w:val="21"/>
        </w:rPr>
        <w:t>20%</w:t>
      </w:r>
      <w:r>
        <w:rPr>
          <w:sz w:val="21"/>
        </w:rPr>
        <w:t>。</w:t>
      </w:r>
    </w:p>
    <w:p>
      <w:pPr>
        <w:pStyle w:val="ListParagraph"/>
        <w:numPr>
          <w:ilvl w:val="0"/>
          <w:numId w:val="6"/>
        </w:numPr>
        <w:tabs>
          <w:tab w:pos="1595" w:val="left" w:leader="none"/>
        </w:tabs>
        <w:spacing w:line="417" w:lineRule="auto" w:before="0" w:after="0"/>
        <w:ind w:left="540" w:right="871" w:firstLine="419"/>
        <w:jc w:val="both"/>
        <w:rPr>
          <w:sz w:val="21"/>
        </w:rPr>
      </w:pPr>
      <w:r>
        <w:rPr>
          <w:spacing w:val="-8"/>
          <w:sz w:val="21"/>
        </w:rPr>
        <w:t>本基金参与证券借贷交易、正回购交易，所有已借出而未归还证券总市值或所 </w:t>
      </w:r>
      <w:r>
        <w:rPr>
          <w:spacing w:val="-4"/>
          <w:sz w:val="21"/>
        </w:rPr>
        <w:t>有已售出而未回购证券总市值均不得超过本基金总资产的 </w:t>
      </w:r>
      <w:r>
        <w:rPr>
          <w:rFonts w:ascii="Calibri" w:eastAsia="Calibri"/>
          <w:sz w:val="21"/>
        </w:rPr>
        <w:t>50%</w:t>
      </w:r>
      <w:r>
        <w:rPr>
          <w:spacing w:val="-12"/>
          <w:sz w:val="21"/>
        </w:rPr>
        <w:t>。该比例限制计算，本基金因</w:t>
      </w:r>
      <w:r>
        <w:rPr>
          <w:spacing w:val="-7"/>
          <w:sz w:val="21"/>
        </w:rPr>
        <w:t>参与证券借贷交易、正回购交易而持有的担保物、现金不得计入基金、集合计划总资产。</w:t>
      </w:r>
    </w:p>
    <w:p>
      <w:pPr>
        <w:pStyle w:val="ListParagraph"/>
        <w:numPr>
          <w:ilvl w:val="0"/>
          <w:numId w:val="6"/>
        </w:numPr>
        <w:tabs>
          <w:tab w:pos="1605" w:val="left" w:leader="none"/>
        </w:tabs>
        <w:spacing w:line="240" w:lineRule="auto" w:before="0" w:after="0"/>
        <w:ind w:left="1604" w:right="0" w:hanging="645"/>
        <w:jc w:val="left"/>
        <w:rPr>
          <w:sz w:val="21"/>
        </w:rPr>
      </w:pPr>
      <w:r>
        <w:rPr>
          <w:sz w:val="21"/>
        </w:rPr>
        <w:t>为应付赎回、交易清算等临时用途，借入现金的比例不得超过基金资产净值的</w:t>
      </w:r>
    </w:p>
    <w:p>
      <w:pPr>
        <w:pStyle w:val="BodyText"/>
        <w:spacing w:before="6"/>
        <w:rPr>
          <w:sz w:val="15"/>
        </w:rPr>
      </w:pPr>
    </w:p>
    <w:p>
      <w:pPr>
        <w:pStyle w:val="BodyText"/>
        <w:ind w:left="540"/>
      </w:pPr>
      <w:r>
        <w:rPr>
          <w:rFonts w:ascii="Calibri" w:eastAsia="Calibri"/>
        </w:rPr>
        <w:t>10%</w:t>
      </w:r>
      <w:r>
        <w:rPr/>
        <w:t>。</w:t>
      </w:r>
    </w:p>
    <w:p>
      <w:pPr>
        <w:pStyle w:val="BodyText"/>
        <w:spacing w:before="7"/>
        <w:rPr>
          <w:sz w:val="15"/>
        </w:rPr>
      </w:pPr>
    </w:p>
    <w:p>
      <w:pPr>
        <w:pStyle w:val="BodyText"/>
        <w:ind w:left="960"/>
      </w:pPr>
      <w:r>
        <w:rPr>
          <w:rFonts w:ascii="Calibri" w:eastAsia="Calibri"/>
        </w:rPr>
        <w:t>2</w:t>
      </w:r>
      <w:r>
        <w:rPr/>
        <w:t>、本基金境内投资应遵循以下限制：</w:t>
      </w:r>
    </w:p>
    <w:p>
      <w:pPr>
        <w:pStyle w:val="BodyText"/>
        <w:spacing w:before="7"/>
        <w:rPr>
          <w:sz w:val="15"/>
        </w:rPr>
      </w:pPr>
    </w:p>
    <w:p>
      <w:pPr>
        <w:pStyle w:val="ListParagraph"/>
        <w:numPr>
          <w:ilvl w:val="0"/>
          <w:numId w:val="7"/>
        </w:numPr>
        <w:tabs>
          <w:tab w:pos="1490" w:val="left" w:leader="none"/>
        </w:tabs>
        <w:spacing w:line="240" w:lineRule="auto" w:before="0" w:after="0"/>
        <w:ind w:left="1489" w:right="0" w:hanging="530"/>
        <w:jc w:val="left"/>
        <w:rPr>
          <w:sz w:val="21"/>
        </w:rPr>
      </w:pPr>
      <w:r>
        <w:rPr>
          <w:spacing w:val="-5"/>
          <w:sz w:val="21"/>
        </w:rPr>
        <w:t>本基金持有一家公司发行的证券，其市值不超过基金资产净值的 </w:t>
      </w:r>
      <w:r>
        <w:rPr>
          <w:rFonts w:ascii="Calibri" w:eastAsia="Calibri"/>
          <w:sz w:val="21"/>
        </w:rPr>
        <w:t>10%</w:t>
      </w:r>
      <w:r>
        <w:rPr>
          <w:sz w:val="21"/>
        </w:rPr>
        <w:t>。</w:t>
      </w:r>
    </w:p>
    <w:p>
      <w:pPr>
        <w:pStyle w:val="BodyText"/>
        <w:spacing w:before="6"/>
        <w:rPr>
          <w:sz w:val="15"/>
        </w:rPr>
      </w:pPr>
    </w:p>
    <w:p>
      <w:pPr>
        <w:pStyle w:val="ListParagraph"/>
        <w:numPr>
          <w:ilvl w:val="0"/>
          <w:numId w:val="7"/>
        </w:numPr>
        <w:tabs>
          <w:tab w:pos="1496" w:val="left" w:leader="none"/>
        </w:tabs>
        <w:spacing w:line="240" w:lineRule="auto" w:before="1" w:after="0"/>
        <w:ind w:left="1495" w:right="0" w:hanging="536"/>
        <w:jc w:val="left"/>
        <w:rPr>
          <w:sz w:val="21"/>
        </w:rPr>
      </w:pPr>
      <w:r>
        <w:rPr>
          <w:spacing w:val="-9"/>
          <w:sz w:val="21"/>
        </w:rPr>
        <w:t>同一基金管理人管理的全部基金持有一家公司发行的证券，不超过该证券的 </w:t>
      </w:r>
      <w:r>
        <w:rPr>
          <w:rFonts w:ascii="Calibri" w:eastAsia="Calibri"/>
          <w:sz w:val="21"/>
        </w:rPr>
        <w:t>10%</w:t>
      </w:r>
      <w:r>
        <w:rPr>
          <w:sz w:val="21"/>
        </w:rPr>
        <w:t>。</w:t>
      </w:r>
    </w:p>
    <w:p>
      <w:pPr>
        <w:pStyle w:val="BodyText"/>
        <w:spacing w:before="6"/>
        <w:rPr>
          <w:sz w:val="15"/>
        </w:rPr>
      </w:pP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本基金持有单只中小企业私募债券，其市值不得超过基金资产净值的 </w:t>
      </w:r>
      <w:r>
        <w:rPr>
          <w:rFonts w:ascii="Calibri" w:eastAsia="Calibri"/>
          <w:sz w:val="21"/>
        </w:rPr>
        <w:t>10%</w:t>
      </w:r>
      <w:r>
        <w:rPr>
          <w:sz w:val="21"/>
        </w:rPr>
        <w:t>。</w:t>
      </w:r>
    </w:p>
    <w:p>
      <w:pPr>
        <w:pStyle w:val="BodyText"/>
        <w:spacing w:before="7"/>
        <w:rPr>
          <w:sz w:val="15"/>
        </w:rPr>
      </w:pPr>
    </w:p>
    <w:p>
      <w:pPr>
        <w:pStyle w:val="ListParagraph"/>
        <w:numPr>
          <w:ilvl w:val="0"/>
          <w:numId w:val="7"/>
        </w:numPr>
        <w:tabs>
          <w:tab w:pos="1492" w:val="left" w:leader="none"/>
        </w:tabs>
        <w:spacing w:line="417" w:lineRule="auto" w:before="0" w:after="0"/>
        <w:ind w:left="540" w:right="874" w:firstLine="419"/>
        <w:jc w:val="left"/>
        <w:rPr>
          <w:sz w:val="21"/>
        </w:rPr>
      </w:pPr>
      <w:r>
        <w:rPr>
          <w:spacing w:val="-3"/>
          <w:sz w:val="21"/>
        </w:rPr>
        <w:t>本基金进入全国银行间同业市场进行债券回购的资金余额不得超过基金资产净值</w:t>
      </w:r>
      <w:r>
        <w:rPr>
          <w:spacing w:val="-28"/>
          <w:sz w:val="21"/>
        </w:rPr>
        <w:t>的 </w:t>
      </w:r>
      <w:r>
        <w:rPr>
          <w:rFonts w:ascii="Calibri" w:eastAsia="Calibri"/>
          <w:sz w:val="21"/>
        </w:rPr>
        <w:t>40%</w:t>
      </w:r>
      <w:r>
        <w:rPr>
          <w:spacing w:val="-8"/>
          <w:sz w:val="21"/>
        </w:rPr>
        <w:t>；债券回购最长期限为 </w:t>
      </w:r>
      <w:r>
        <w:rPr>
          <w:rFonts w:ascii="Calibri" w:eastAsia="Calibri"/>
          <w:sz w:val="21"/>
        </w:rPr>
        <w:t>1</w:t>
      </w:r>
      <w:r>
        <w:rPr>
          <w:rFonts w:ascii="Calibri" w:eastAsia="Calibri"/>
          <w:spacing w:val="6"/>
          <w:sz w:val="21"/>
        </w:rPr>
        <w:t> </w:t>
      </w:r>
      <w:r>
        <w:rPr>
          <w:spacing w:val="-3"/>
          <w:sz w:val="21"/>
        </w:rPr>
        <w:t>年，债券回购到期后不得展期。</w:t>
      </w:r>
    </w:p>
    <w:p>
      <w:pPr>
        <w:pStyle w:val="ListParagraph"/>
        <w:numPr>
          <w:ilvl w:val="0"/>
          <w:numId w:val="7"/>
        </w:numPr>
        <w:tabs>
          <w:tab w:pos="1492" w:val="left" w:leader="none"/>
        </w:tabs>
        <w:spacing w:line="240" w:lineRule="auto" w:before="0" w:after="0"/>
        <w:ind w:left="1491" w:right="0" w:hanging="532"/>
        <w:jc w:val="left"/>
        <w:rPr>
          <w:sz w:val="21"/>
        </w:rPr>
      </w:pPr>
      <w:r>
        <w:rPr>
          <w:spacing w:val="-3"/>
          <w:sz w:val="21"/>
        </w:rPr>
        <w:t>本基金投资于同一原始权益人的各类资产支持证券的比例，不得超过基金资产净</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jc w:val="both"/>
      </w:pPr>
      <w:r>
        <w:rPr>
          <w:spacing w:val="-12"/>
        </w:rPr>
        <w:t>值的 </w:t>
      </w:r>
      <w:r>
        <w:rPr>
          <w:rFonts w:ascii="Calibri" w:eastAsia="Calibri"/>
          <w:spacing w:val="-9"/>
        </w:rPr>
        <w:t>10%</w:t>
      </w:r>
      <w:r>
        <w:rPr>
          <w:spacing w:val="-7"/>
        </w:rPr>
        <w:t>；本基金持有的全部资产支持证券，其市值不得超过基金资产净值的 </w:t>
      </w:r>
      <w:r>
        <w:rPr>
          <w:rFonts w:ascii="Calibri" w:eastAsia="Calibri"/>
          <w:spacing w:val="-9"/>
        </w:rPr>
        <w:t>20%</w:t>
      </w:r>
      <w:r>
        <w:rPr>
          <w:spacing w:val="-3"/>
        </w:rPr>
        <w:t>；本基金</w:t>
      </w:r>
      <w:r>
        <w:rPr>
          <w:spacing w:val="-24"/>
        </w:rPr>
        <w:t>持有的同一</w:t>
      </w:r>
      <w:r>
        <w:rPr/>
        <w:t>（</w:t>
      </w:r>
      <w:r>
        <w:rPr>
          <w:spacing w:val="-3"/>
        </w:rPr>
        <w:t>指同一信用级别</w:t>
      </w:r>
      <w:r>
        <w:rPr>
          <w:spacing w:val="-101"/>
        </w:rPr>
        <w:t>）</w:t>
      </w:r>
      <w:r>
        <w:rPr>
          <w:spacing w:val="-13"/>
        </w:rPr>
        <w:t>资产支持证券的比例，不得超过该资产支持证券规模的 </w:t>
      </w:r>
      <w:r>
        <w:rPr>
          <w:rFonts w:ascii="Calibri" w:eastAsia="Calibri"/>
        </w:rPr>
        <w:t>10%</w:t>
      </w:r>
      <w:r>
        <w:rPr/>
        <w:t>； </w:t>
      </w:r>
      <w:r>
        <w:rPr>
          <w:spacing w:val="-6"/>
        </w:rPr>
        <w:t>本基金管理人管理的全部基金投资于同一原始权益人的各类资产支持证券，不得超过其各类</w:t>
      </w:r>
      <w:r>
        <w:rPr>
          <w:spacing w:val="-9"/>
        </w:rPr>
        <w:t>资产支持证券合计规模的 </w:t>
      </w:r>
      <w:r>
        <w:rPr>
          <w:rFonts w:ascii="Calibri" w:eastAsia="Calibri"/>
        </w:rPr>
        <w:t>10%</w:t>
      </w:r>
      <w:r>
        <w:rPr/>
        <w:t>；</w:t>
      </w:r>
    </w:p>
    <w:p>
      <w:pPr>
        <w:pStyle w:val="ListParagraph"/>
        <w:numPr>
          <w:ilvl w:val="0"/>
          <w:numId w:val="7"/>
        </w:numPr>
        <w:tabs>
          <w:tab w:pos="1490" w:val="left" w:leader="none"/>
        </w:tabs>
        <w:spacing w:line="417" w:lineRule="auto" w:before="0" w:after="0"/>
        <w:ind w:left="540" w:right="871" w:firstLine="419"/>
        <w:jc w:val="both"/>
        <w:rPr>
          <w:sz w:val="21"/>
        </w:rPr>
      </w:pPr>
      <w:r>
        <w:rPr>
          <w:spacing w:val="-6"/>
          <w:sz w:val="21"/>
        </w:rPr>
        <w:t>本基金应投资于信用级别评级为 </w:t>
      </w:r>
      <w:r>
        <w:rPr>
          <w:rFonts w:ascii="Calibri" w:eastAsia="Calibri"/>
          <w:sz w:val="21"/>
        </w:rPr>
        <w:t>BBB</w:t>
      </w:r>
      <w:r>
        <w:rPr>
          <w:rFonts w:ascii="Calibri" w:eastAsia="Calibri"/>
          <w:spacing w:val="15"/>
          <w:sz w:val="21"/>
        </w:rPr>
        <w:t> </w:t>
      </w:r>
      <w:r>
        <w:rPr>
          <w:sz w:val="21"/>
        </w:rPr>
        <w:t>以上（</w:t>
      </w:r>
      <w:r>
        <w:rPr>
          <w:spacing w:val="-22"/>
          <w:sz w:val="21"/>
        </w:rPr>
        <w:t>含 </w:t>
      </w:r>
      <w:r>
        <w:rPr>
          <w:rFonts w:ascii="Calibri" w:eastAsia="Calibri"/>
          <w:sz w:val="21"/>
        </w:rPr>
        <w:t>BBB</w:t>
      </w:r>
      <w:r>
        <w:rPr>
          <w:sz w:val="21"/>
        </w:rPr>
        <w:t>）</w:t>
      </w:r>
      <w:r>
        <w:rPr>
          <w:spacing w:val="-3"/>
          <w:sz w:val="21"/>
        </w:rPr>
        <w:t>的资产支持证券。基金持有</w:t>
      </w:r>
      <w:r>
        <w:rPr>
          <w:spacing w:val="-8"/>
          <w:sz w:val="21"/>
        </w:rPr>
        <w:t>资产支持证券期间，如果其信用等级下降、不再符合投资标准，应在评级报告发布之日起 </w:t>
      </w:r>
      <w:r>
        <w:rPr>
          <w:rFonts w:ascii="Calibri" w:eastAsia="Calibri"/>
          <w:sz w:val="21"/>
        </w:rPr>
        <w:t>3 </w:t>
      </w:r>
      <w:r>
        <w:rPr>
          <w:spacing w:val="-3"/>
          <w:sz w:val="21"/>
        </w:rPr>
        <w:t>个月内予以全部卖出。</w:t>
      </w:r>
    </w:p>
    <w:p>
      <w:pPr>
        <w:pStyle w:val="ListParagraph"/>
        <w:numPr>
          <w:ilvl w:val="0"/>
          <w:numId w:val="7"/>
        </w:numPr>
        <w:tabs>
          <w:tab w:pos="1492" w:val="left" w:leader="none"/>
        </w:tabs>
        <w:spacing w:line="417" w:lineRule="auto" w:before="0" w:after="0"/>
        <w:ind w:left="540" w:right="768" w:firstLine="419"/>
        <w:jc w:val="left"/>
        <w:rPr>
          <w:sz w:val="21"/>
        </w:rPr>
      </w:pPr>
      <w:r>
        <w:rPr>
          <w:spacing w:val="-15"/>
          <w:sz w:val="21"/>
        </w:rPr>
        <w:t>在任何交易日日终，持有的买入国债期货合约价值，不得超过基金资产净值的 </w:t>
      </w:r>
      <w:r>
        <w:rPr>
          <w:rFonts w:ascii="Calibri" w:eastAsia="Calibri"/>
          <w:spacing w:val="-15"/>
          <w:sz w:val="21"/>
        </w:rPr>
        <w:t>15%</w:t>
      </w:r>
      <w:r>
        <w:rPr>
          <w:spacing w:val="-15"/>
          <w:sz w:val="21"/>
        </w:rPr>
        <w:t>；基金在任何交易日日终，持有的卖出国债期货合约价值不得超过基金持有的债券总 </w:t>
      </w:r>
      <w:r>
        <w:rPr>
          <w:sz w:val="21"/>
        </w:rPr>
        <w:t>市值的 </w:t>
      </w:r>
      <w:r>
        <w:rPr>
          <w:rFonts w:ascii="Calibri" w:eastAsia="Calibri"/>
          <w:spacing w:val="-5"/>
          <w:sz w:val="21"/>
        </w:rPr>
        <w:t>30%</w:t>
      </w:r>
      <w:r>
        <w:rPr>
          <w:spacing w:val="-4"/>
          <w:sz w:val="21"/>
        </w:rPr>
        <w:t>；基金在任何交易日内交易</w:t>
      </w:r>
      <w:r>
        <w:rPr>
          <w:sz w:val="21"/>
        </w:rPr>
        <w:t>（</w:t>
      </w:r>
      <w:r>
        <w:rPr>
          <w:spacing w:val="-3"/>
          <w:sz w:val="21"/>
        </w:rPr>
        <w:t>不包括平仓</w:t>
      </w:r>
      <w:r>
        <w:rPr>
          <w:spacing w:val="-13"/>
          <w:sz w:val="21"/>
        </w:rPr>
        <w:t>）</w:t>
      </w:r>
      <w:r>
        <w:rPr>
          <w:spacing w:val="-3"/>
          <w:sz w:val="21"/>
        </w:rPr>
        <w:t>的国债期货合约的成交金额不得超过</w:t>
      </w:r>
      <w:r>
        <w:rPr>
          <w:spacing w:val="-7"/>
          <w:sz w:val="21"/>
        </w:rPr>
        <w:t>上一交易日基金资产净值的 </w:t>
      </w:r>
      <w:r>
        <w:rPr>
          <w:rFonts w:ascii="Calibri" w:eastAsia="Calibri"/>
          <w:sz w:val="21"/>
        </w:rPr>
        <w:t>30%</w:t>
      </w:r>
      <w:r>
        <w:rPr>
          <w:sz w:val="21"/>
        </w:rPr>
        <w:t>。</w:t>
      </w:r>
    </w:p>
    <w:p>
      <w:pPr>
        <w:pStyle w:val="ListParagraph"/>
        <w:numPr>
          <w:ilvl w:val="0"/>
          <w:numId w:val="7"/>
        </w:numPr>
        <w:tabs>
          <w:tab w:pos="1490" w:val="left" w:leader="none"/>
        </w:tabs>
        <w:spacing w:line="417" w:lineRule="auto" w:before="0" w:after="0"/>
        <w:ind w:left="540" w:right="871" w:firstLine="419"/>
        <w:jc w:val="both"/>
        <w:rPr>
          <w:sz w:val="21"/>
        </w:rPr>
      </w:pPr>
      <w:r>
        <w:rPr>
          <w:spacing w:val="-4"/>
          <w:sz w:val="21"/>
        </w:rPr>
        <w:t>本基金主动投资于流动性受限资产的市值合计不得超过本基金资产净值的 </w:t>
      </w:r>
      <w:r>
        <w:rPr>
          <w:rFonts w:ascii="Calibri" w:eastAsia="Calibri"/>
          <w:sz w:val="21"/>
        </w:rPr>
        <w:t>15%</w:t>
      </w:r>
      <w:r>
        <w:rPr>
          <w:sz w:val="21"/>
        </w:rPr>
        <w:t>。</w:t>
      </w:r>
      <w:r>
        <w:rPr>
          <w:spacing w:val="-12"/>
          <w:sz w:val="21"/>
        </w:rPr>
        <w:t>因证券市场波动、上市公司股票停牌、基金规模变动等基金管理人之外的因素致使基金不符</w:t>
      </w:r>
      <w:r>
        <w:rPr>
          <w:spacing w:val="-6"/>
          <w:sz w:val="21"/>
        </w:rPr>
        <w:t>合前款所规定比例限制的，基金管理人不得主动新增流动性受限资产的投资。</w:t>
      </w:r>
    </w:p>
    <w:p>
      <w:pPr>
        <w:pStyle w:val="ListParagraph"/>
        <w:numPr>
          <w:ilvl w:val="0"/>
          <w:numId w:val="7"/>
        </w:numPr>
        <w:tabs>
          <w:tab w:pos="1492" w:val="left" w:leader="none"/>
        </w:tabs>
        <w:spacing w:line="417" w:lineRule="auto" w:before="0" w:after="0"/>
        <w:ind w:left="540" w:right="874"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BodyText"/>
        <w:spacing w:line="269" w:lineRule="exact"/>
        <w:ind w:left="960"/>
      </w:pPr>
      <w:r>
        <w:rPr>
          <w:rFonts w:ascii="Calibri" w:eastAsia="Calibri"/>
        </w:rPr>
        <w:t>3</w:t>
      </w:r>
      <w:r>
        <w:rPr/>
        <w:t>、本基金境内外投资均应遵循以下限制：</w:t>
      </w:r>
    </w:p>
    <w:p>
      <w:pPr>
        <w:pStyle w:val="BodyText"/>
        <w:spacing w:before="6"/>
        <w:rPr>
          <w:sz w:val="15"/>
        </w:rPr>
      </w:pPr>
    </w:p>
    <w:p>
      <w:pPr>
        <w:pStyle w:val="ListParagraph"/>
        <w:numPr>
          <w:ilvl w:val="0"/>
          <w:numId w:val="8"/>
        </w:numPr>
        <w:tabs>
          <w:tab w:pos="1492" w:val="left" w:leader="none"/>
        </w:tabs>
        <w:spacing w:line="417" w:lineRule="auto" w:before="0" w:after="0"/>
        <w:ind w:left="540" w:right="873" w:firstLine="419"/>
        <w:jc w:val="both"/>
        <w:rPr>
          <w:sz w:val="21"/>
        </w:rPr>
      </w:pPr>
      <w:r>
        <w:rPr>
          <w:spacing w:val="-8"/>
          <w:sz w:val="21"/>
        </w:rPr>
        <w:t>现金或者到期日在 </w:t>
      </w:r>
      <w:r>
        <w:rPr>
          <w:rFonts w:ascii="Calibri" w:eastAsia="Calibri"/>
          <w:sz w:val="21"/>
        </w:rPr>
        <w:t>1</w:t>
      </w:r>
      <w:r>
        <w:rPr>
          <w:rFonts w:ascii="Calibri" w:eastAsia="Calibri"/>
          <w:spacing w:val="11"/>
          <w:sz w:val="21"/>
        </w:rPr>
        <w:t> </w:t>
      </w:r>
      <w:r>
        <w:rPr>
          <w:spacing w:val="-6"/>
          <w:sz w:val="21"/>
        </w:rPr>
        <w:t>年以内的政府债券不低于基金资产净值的 </w:t>
      </w:r>
      <w:r>
        <w:rPr>
          <w:rFonts w:ascii="Calibri" w:eastAsia="Calibri"/>
          <w:sz w:val="21"/>
        </w:rPr>
        <w:t>5%</w:t>
      </w:r>
      <w:r>
        <w:rPr>
          <w:spacing w:val="-12"/>
          <w:sz w:val="21"/>
        </w:rPr>
        <w:t>。其中，现金不</w:t>
      </w:r>
      <w:r>
        <w:rPr>
          <w:spacing w:val="-6"/>
          <w:sz w:val="21"/>
        </w:rPr>
        <w:t>包括结算备付金、存出保证金、应收申购款等。</w:t>
      </w:r>
    </w:p>
    <w:p>
      <w:pPr>
        <w:pStyle w:val="ListParagraph"/>
        <w:numPr>
          <w:ilvl w:val="0"/>
          <w:numId w:val="8"/>
        </w:numPr>
        <w:tabs>
          <w:tab w:pos="1492" w:val="left" w:leader="none"/>
        </w:tabs>
        <w:spacing w:line="417" w:lineRule="auto" w:before="0" w:after="0"/>
        <w:ind w:left="540" w:right="873" w:firstLine="419"/>
        <w:jc w:val="both"/>
        <w:rPr>
          <w:sz w:val="21"/>
        </w:rPr>
      </w:pPr>
      <w:r>
        <w:rPr>
          <w:spacing w:val="-3"/>
          <w:sz w:val="21"/>
        </w:rPr>
        <w:t>本基金管理人管理的全部开放式基金持有一家上市公司发行的可流通股票，不得</w:t>
      </w:r>
      <w:r>
        <w:rPr>
          <w:spacing w:val="-7"/>
          <w:sz w:val="21"/>
        </w:rPr>
        <w:t>超过该上市公司可流通股票的 </w:t>
      </w:r>
      <w:r>
        <w:rPr>
          <w:rFonts w:ascii="Calibri" w:eastAsia="Calibri"/>
          <w:sz w:val="21"/>
        </w:rPr>
        <w:t>15%</w:t>
      </w:r>
      <w:r>
        <w:rPr>
          <w:sz w:val="21"/>
        </w:rPr>
        <w:t>。</w:t>
      </w:r>
    </w:p>
    <w:p>
      <w:pPr>
        <w:pStyle w:val="ListParagraph"/>
        <w:numPr>
          <w:ilvl w:val="0"/>
          <w:numId w:val="8"/>
        </w:numPr>
        <w:tabs>
          <w:tab w:pos="1492" w:val="left" w:leader="none"/>
        </w:tabs>
        <w:spacing w:line="417" w:lineRule="auto" w:before="0" w:after="0"/>
        <w:ind w:left="540" w:right="874" w:firstLine="419"/>
        <w:jc w:val="both"/>
        <w:rPr>
          <w:sz w:val="21"/>
        </w:rPr>
      </w:pPr>
      <w:r>
        <w:rPr>
          <w:spacing w:val="-3"/>
          <w:sz w:val="21"/>
        </w:rPr>
        <w:t>本基金管理人管理的全部投资组合持有一家上市公司发行的可流通股票，不得超</w:t>
      </w:r>
      <w:r>
        <w:rPr>
          <w:spacing w:val="-7"/>
          <w:sz w:val="21"/>
        </w:rPr>
        <w:t>过该上市公司可流通股票的 </w:t>
      </w:r>
      <w:r>
        <w:rPr>
          <w:rFonts w:ascii="Calibri" w:eastAsia="Calibri"/>
          <w:sz w:val="21"/>
        </w:rPr>
        <w:t>30%</w:t>
      </w:r>
      <w:r>
        <w:rPr>
          <w:sz w:val="21"/>
        </w:rPr>
        <w:t>。</w:t>
      </w:r>
    </w:p>
    <w:p>
      <w:pPr>
        <w:pStyle w:val="BodyText"/>
        <w:spacing w:line="417" w:lineRule="auto"/>
        <w:ind w:left="540" w:right="871" w:firstLine="419"/>
        <w:jc w:val="both"/>
      </w:pPr>
      <w:r>
        <w:rPr>
          <w:spacing w:val="-12"/>
        </w:rPr>
        <w:t>因证券市场波动、上市公司合并、基金规模变动等基金管理人之外的因素致使基金投资</w:t>
      </w:r>
      <w:r>
        <w:rPr>
          <w:spacing w:val="-7"/>
          <w:w w:val="100"/>
        </w:rPr>
        <w:t>比例不符合上述规定投资比例的，除第</w:t>
      </w:r>
      <w:r>
        <w:rPr>
          <w:spacing w:val="-7"/>
        </w:rPr>
        <w:t> </w:t>
      </w:r>
      <w:r>
        <w:rPr>
          <w:rFonts w:ascii="Calibri" w:eastAsia="Calibri"/>
          <w:w w:val="100"/>
        </w:rPr>
        <w:t>2</w:t>
      </w:r>
      <w:r>
        <w:rPr>
          <w:rFonts w:ascii="Calibri" w:eastAsia="Calibri"/>
        </w:rPr>
        <w:t> </w:t>
      </w:r>
      <w:r>
        <w:rPr>
          <w:spacing w:val="-15"/>
          <w:w w:val="100"/>
        </w:rPr>
        <w:t>项</w:t>
      </w:r>
      <w:r>
        <w:rPr>
          <w:w w:val="100"/>
        </w:rPr>
        <w:t>（</w:t>
      </w:r>
      <w:r>
        <w:rPr>
          <w:rFonts w:ascii="Calibri" w:eastAsia="Calibri"/>
          <w:w w:val="100"/>
        </w:rPr>
        <w:t>6</w:t>
      </w:r>
      <w:r>
        <w:rPr>
          <w:spacing w:val="-108"/>
          <w:w w:val="100"/>
        </w:rPr>
        <w:t>）</w:t>
      </w:r>
      <w:r>
        <w:rPr>
          <w:spacing w:val="-120"/>
          <w:w w:val="100"/>
        </w:rPr>
        <w:t>、</w:t>
      </w:r>
      <w:r>
        <w:rPr>
          <w:spacing w:val="-3"/>
          <w:w w:val="100"/>
        </w:rPr>
        <w:t>（</w:t>
      </w:r>
      <w:r>
        <w:rPr>
          <w:rFonts w:ascii="Calibri" w:eastAsia="Calibri"/>
          <w:w w:val="100"/>
        </w:rPr>
        <w:t>8</w:t>
      </w:r>
      <w:r>
        <w:rPr>
          <w:spacing w:val="-106"/>
          <w:w w:val="100"/>
        </w:rPr>
        <w:t>）</w:t>
      </w:r>
      <w:r>
        <w:rPr>
          <w:spacing w:val="-120"/>
          <w:w w:val="100"/>
        </w:rPr>
        <w:t>、</w:t>
      </w:r>
      <w:r>
        <w:rPr>
          <w:spacing w:val="-3"/>
          <w:w w:val="100"/>
        </w:rPr>
        <w:t>（</w:t>
      </w:r>
      <w:r>
        <w:rPr>
          <w:rFonts w:ascii="Calibri" w:eastAsia="Calibri"/>
          <w:w w:val="100"/>
        </w:rPr>
        <w:t>9</w:t>
      </w:r>
      <w:r>
        <w:rPr>
          <w:spacing w:val="-15"/>
          <w:w w:val="100"/>
        </w:rPr>
        <w:t>）</w:t>
      </w:r>
      <w:r>
        <w:rPr>
          <w:spacing w:val="-2"/>
          <w:w w:val="100"/>
        </w:rPr>
        <w:t>及第</w:t>
      </w:r>
      <w:r>
        <w:rPr>
          <w:spacing w:val="-53"/>
        </w:rPr>
        <w:t> </w:t>
      </w:r>
      <w:r>
        <w:rPr>
          <w:rFonts w:ascii="Calibri" w:eastAsia="Calibri"/>
          <w:w w:val="100"/>
        </w:rPr>
        <w:t>3</w:t>
      </w:r>
      <w:r>
        <w:rPr>
          <w:rFonts w:ascii="Calibri" w:eastAsia="Calibri"/>
        </w:rPr>
        <w:t> </w:t>
      </w:r>
      <w:r>
        <w:rPr>
          <w:spacing w:val="-15"/>
          <w:w w:val="100"/>
        </w:rPr>
        <w:t>项</w:t>
      </w:r>
      <w:r>
        <w:rPr>
          <w:w w:val="100"/>
        </w:rPr>
        <w:t>（</w:t>
      </w:r>
      <w:r>
        <w:rPr>
          <w:rFonts w:ascii="Calibri" w:eastAsia="Calibri"/>
          <w:spacing w:val="-2"/>
          <w:w w:val="100"/>
        </w:rPr>
        <w:t>1</w:t>
      </w:r>
      <w:r>
        <w:rPr>
          <w:spacing w:val="-15"/>
          <w:w w:val="100"/>
        </w:rPr>
        <w:t>）</w:t>
      </w:r>
      <w:r>
        <w:rPr>
          <w:spacing w:val="-5"/>
          <w:w w:val="100"/>
        </w:rPr>
        <w:t>外，基金管理人</w:t>
      </w:r>
      <w:r>
        <w:rPr>
          <w:spacing w:val="-16"/>
        </w:rPr>
        <w:t>应当在 </w:t>
      </w:r>
      <w:r>
        <w:rPr>
          <w:rFonts w:ascii="Calibri" w:eastAsia="Calibri"/>
        </w:rPr>
        <w:t>30 </w:t>
      </w:r>
      <w:r>
        <w:rPr>
          <w:spacing w:val="-3"/>
        </w:rPr>
        <w:t>个交易日内进行调整。</w:t>
      </w:r>
    </w:p>
    <w:p>
      <w:pPr>
        <w:pStyle w:val="BodyText"/>
        <w:spacing w:line="417" w:lineRule="auto"/>
        <w:ind w:left="540" w:right="871" w:firstLine="419"/>
        <w:jc w:val="both"/>
      </w:pPr>
      <w:r>
        <w:rPr/>
        <w:t>基金管理人应当自基金合同生效之日起六个月内使基金的投资组合比例符合基金合同</w:t>
      </w:r>
      <w:r>
        <w:rPr>
          <w:spacing w:val="-11"/>
        </w:rPr>
        <w:t>的有关约定。期间，基金的投资范围、投资策略应当符合基金合同的约定。基金托管人对基</w:t>
      </w:r>
      <w:r>
        <w:rPr>
          <w:spacing w:val="-6"/>
        </w:rPr>
        <w:t>金的投资的监督与检查自基金合同生效之日起开始。</w:t>
      </w:r>
    </w:p>
    <w:p>
      <w:pPr>
        <w:pStyle w:val="BodyText"/>
        <w:ind w:left="1013"/>
      </w:pPr>
      <w:r>
        <w:rPr/>
        <w:t>法律法规或监管部门取消上述限制，如适用于本基金，基金管理人在履行适当程序后，</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540"/>
      </w:pPr>
      <w:r>
        <w:rPr/>
        <w:t>则本基金投资不再受相关限制。</w:t>
      </w:r>
    </w:p>
    <w:p>
      <w:pPr>
        <w:pStyle w:val="BodyText"/>
        <w:spacing w:before="7"/>
        <w:rPr>
          <w:sz w:val="15"/>
        </w:rPr>
      </w:pPr>
    </w:p>
    <w:p>
      <w:pPr>
        <w:pStyle w:val="BodyText"/>
        <w:ind w:left="960"/>
      </w:pPr>
      <w:r>
        <w:rPr>
          <w:rFonts w:ascii="Calibri" w:eastAsia="Calibri"/>
        </w:rPr>
        <w:t>2</w:t>
      </w:r>
      <w:r>
        <w:rPr/>
        <w:t>、禁止行为</w:t>
      </w:r>
    </w:p>
    <w:p>
      <w:pPr>
        <w:pStyle w:val="BodyText"/>
        <w:spacing w:before="7"/>
        <w:rPr>
          <w:sz w:val="15"/>
        </w:rPr>
      </w:pPr>
    </w:p>
    <w:p>
      <w:pPr>
        <w:pStyle w:val="BodyText"/>
        <w:ind w:left="960"/>
      </w:pPr>
      <w:r>
        <w:rPr/>
        <w:t>为维护基金份额持有人的合法权益，基金财产不得用于下列投资或者活动：</w:t>
      </w:r>
    </w:p>
    <w:p>
      <w:pPr>
        <w:pStyle w:val="BodyText"/>
        <w:spacing w:before="6"/>
        <w:rPr>
          <w:sz w:val="15"/>
        </w:rPr>
      </w:pPr>
    </w:p>
    <w:p>
      <w:pPr>
        <w:pStyle w:val="ListParagraph"/>
        <w:numPr>
          <w:ilvl w:val="0"/>
          <w:numId w:val="9"/>
        </w:numPr>
        <w:tabs>
          <w:tab w:pos="1490" w:val="left" w:leader="none"/>
        </w:tabs>
        <w:spacing w:line="240" w:lineRule="auto" w:before="1" w:after="0"/>
        <w:ind w:left="1489" w:right="0" w:hanging="530"/>
        <w:jc w:val="left"/>
        <w:rPr>
          <w:sz w:val="21"/>
        </w:rPr>
      </w:pPr>
      <w:r>
        <w:rPr>
          <w:spacing w:val="-3"/>
          <w:sz w:val="21"/>
        </w:rPr>
        <w:t>购买不动产。</w:t>
      </w:r>
    </w:p>
    <w:p>
      <w:pPr>
        <w:pStyle w:val="BodyText"/>
        <w:spacing w:before="6"/>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购买房地产抵押按揭。</w:t>
      </w:r>
    </w:p>
    <w:p>
      <w:pPr>
        <w:pStyle w:val="BodyText"/>
        <w:spacing w:before="7"/>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购买贵重金属或代表贵重金属的凭证。</w:t>
      </w:r>
    </w:p>
    <w:p>
      <w:pPr>
        <w:pStyle w:val="BodyText"/>
        <w:spacing w:before="7"/>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购买实物商品。</w:t>
      </w:r>
    </w:p>
    <w:p>
      <w:pPr>
        <w:pStyle w:val="BodyText"/>
        <w:spacing w:before="7"/>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除应付赎回、交易清算等临时用途以外，借入现金。</w:t>
      </w:r>
    </w:p>
    <w:p>
      <w:pPr>
        <w:pStyle w:val="BodyText"/>
        <w:spacing w:before="7"/>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利用融资购买证券，但投资金融衍生品除外。</w:t>
      </w:r>
    </w:p>
    <w:p>
      <w:pPr>
        <w:pStyle w:val="BodyText"/>
        <w:spacing w:before="7"/>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参与未持有基础资产的卖空交易。</w:t>
      </w:r>
    </w:p>
    <w:p>
      <w:pPr>
        <w:pStyle w:val="BodyText"/>
        <w:spacing w:before="6"/>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直接投资与实物商品相关的衍生品。</w:t>
      </w:r>
    </w:p>
    <w:p>
      <w:pPr>
        <w:pStyle w:val="BodyText"/>
        <w:spacing w:before="7"/>
        <w:rPr>
          <w:sz w:val="15"/>
        </w:rPr>
      </w:pPr>
    </w:p>
    <w:p>
      <w:pPr>
        <w:pStyle w:val="ListParagraph"/>
        <w:numPr>
          <w:ilvl w:val="0"/>
          <w:numId w:val="9"/>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9"/>
        </w:numPr>
        <w:tabs>
          <w:tab w:pos="1598" w:val="left" w:leader="none"/>
        </w:tabs>
        <w:spacing w:line="240" w:lineRule="auto" w:before="0" w:after="0"/>
        <w:ind w:left="1597" w:right="0" w:hanging="638"/>
        <w:jc w:val="left"/>
        <w:rPr>
          <w:sz w:val="21"/>
        </w:rPr>
      </w:pPr>
      <w:r>
        <w:rPr>
          <w:spacing w:val="-3"/>
          <w:sz w:val="21"/>
        </w:rPr>
        <w:t>违反规定向他人贷款或者提供担保。</w:t>
      </w:r>
    </w:p>
    <w:p>
      <w:pPr>
        <w:pStyle w:val="BodyText"/>
        <w:spacing w:before="7"/>
        <w:rPr>
          <w:sz w:val="15"/>
        </w:rPr>
      </w:pPr>
    </w:p>
    <w:p>
      <w:pPr>
        <w:pStyle w:val="ListParagraph"/>
        <w:numPr>
          <w:ilvl w:val="0"/>
          <w:numId w:val="9"/>
        </w:numPr>
        <w:tabs>
          <w:tab w:pos="1598" w:val="left" w:leader="none"/>
        </w:tabs>
        <w:spacing w:line="240" w:lineRule="auto" w:before="0" w:after="0"/>
        <w:ind w:left="1597" w:right="0" w:hanging="638"/>
        <w:jc w:val="left"/>
        <w:rPr>
          <w:sz w:val="21"/>
        </w:rPr>
      </w:pPr>
      <w:r>
        <w:rPr>
          <w:spacing w:val="-3"/>
          <w:sz w:val="21"/>
        </w:rPr>
        <w:t>从事承担无限责任的投资。</w:t>
      </w:r>
    </w:p>
    <w:p>
      <w:pPr>
        <w:pStyle w:val="BodyText"/>
        <w:spacing w:before="7"/>
        <w:rPr>
          <w:sz w:val="15"/>
        </w:rPr>
      </w:pPr>
    </w:p>
    <w:p>
      <w:pPr>
        <w:pStyle w:val="ListParagraph"/>
        <w:numPr>
          <w:ilvl w:val="0"/>
          <w:numId w:val="9"/>
        </w:numPr>
        <w:tabs>
          <w:tab w:pos="1598" w:val="left" w:leader="none"/>
        </w:tabs>
        <w:spacing w:line="240" w:lineRule="auto" w:before="0" w:after="0"/>
        <w:ind w:left="1597" w:right="0" w:hanging="638"/>
        <w:jc w:val="left"/>
        <w:rPr>
          <w:sz w:val="21"/>
        </w:rPr>
      </w:pPr>
      <w:r>
        <w:rPr>
          <w:spacing w:val="-3"/>
          <w:sz w:val="21"/>
        </w:rPr>
        <w:t>向其基金管理人、基金托管人出资。</w:t>
      </w:r>
    </w:p>
    <w:p>
      <w:pPr>
        <w:pStyle w:val="BodyText"/>
        <w:spacing w:before="6"/>
        <w:rPr>
          <w:sz w:val="15"/>
        </w:rPr>
      </w:pPr>
    </w:p>
    <w:p>
      <w:pPr>
        <w:pStyle w:val="ListParagraph"/>
        <w:numPr>
          <w:ilvl w:val="0"/>
          <w:numId w:val="9"/>
        </w:numPr>
        <w:tabs>
          <w:tab w:pos="1598" w:val="left" w:leader="none"/>
        </w:tabs>
        <w:spacing w:line="240" w:lineRule="auto" w:before="1" w:after="0"/>
        <w:ind w:left="1597" w:right="0" w:hanging="638"/>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9"/>
        </w:numPr>
        <w:tabs>
          <w:tab w:pos="1598" w:val="left" w:leader="none"/>
        </w:tabs>
        <w:spacing w:line="240" w:lineRule="auto" w:before="0" w:after="0"/>
        <w:ind w:left="1597" w:right="0" w:hanging="638"/>
        <w:jc w:val="left"/>
        <w:rPr>
          <w:sz w:val="21"/>
        </w:rPr>
      </w:pPr>
      <w:r>
        <w:rPr>
          <w:spacing w:val="-3"/>
          <w:sz w:val="21"/>
        </w:rPr>
        <w:t>依照法律法规有关规定，由中国证监会规定禁止的其他活动。</w:t>
      </w:r>
    </w:p>
    <w:p>
      <w:pPr>
        <w:pStyle w:val="BodyText"/>
        <w:spacing w:before="7"/>
        <w:rPr>
          <w:sz w:val="15"/>
        </w:rPr>
      </w:pPr>
    </w:p>
    <w:p>
      <w:pPr>
        <w:pStyle w:val="BodyText"/>
        <w:spacing w:line="417" w:lineRule="auto"/>
        <w:ind w:left="540" w:right="662" w:firstLine="419"/>
      </w:pPr>
      <w:r>
        <w:rPr>
          <w:spacing w:val="-8"/>
        </w:rPr>
        <w:t>基金管理人运用基金财产买卖基金管理人、基金托管人及其控股股东、实际控制人或者 </w:t>
      </w:r>
      <w:r>
        <w:rPr>
          <w:spacing w:val="-9"/>
        </w:rPr>
        <w:t>与其有其他重大利害关系的公司发行的证券或者承销的证券，或者从事其他重大关联交易的， </w:t>
      </w:r>
      <w:r>
        <w:rPr>
          <w:spacing w:val="-5"/>
        </w:rPr>
        <w:t>应当符合基金的投资目标和投资策略，遵循基金份额持有人利益优先原则，防范利益冲突， </w:t>
      </w:r>
      <w:r>
        <w:rPr>
          <w:spacing w:val="-9"/>
        </w:rPr>
        <w:t>建立健全内部审批机制和评估机制，按照市场公平合理价格执行。相关交易必须事先得到基 </w:t>
      </w:r>
      <w:r>
        <w:rPr>
          <w:spacing w:val="-12"/>
        </w:rPr>
        <w:t>金托管人的同意，并按法律法规予以披露。重大关联交易应提交基金管理人董事会审议，并 经过三分之二以上的独立董事通过。基金管理人董事会应至少每半年对关联交易事项进行审 查。</w:t>
      </w:r>
    </w:p>
    <w:p>
      <w:pPr>
        <w:pStyle w:val="BodyText"/>
        <w:spacing w:line="268" w:lineRule="exact"/>
        <w:ind w:left="1013"/>
      </w:pPr>
      <w:r>
        <w:rPr/>
        <w:t>法律法规或监管部门取消上述限制，如适用于本基金，则本基金投资不再受相关限制。</w:t>
      </w:r>
    </w:p>
    <w:p>
      <w:pPr>
        <w:pStyle w:val="BodyText"/>
        <w:spacing w:before="7"/>
        <w:rPr>
          <w:sz w:val="15"/>
        </w:rPr>
      </w:pPr>
    </w:p>
    <w:p>
      <w:pPr>
        <w:pStyle w:val="BodyText"/>
        <w:ind w:left="960"/>
      </w:pPr>
      <w:r>
        <w:rPr/>
        <w:t>（五）业绩比较基准</w:t>
      </w:r>
    </w:p>
    <w:p>
      <w:pPr>
        <w:pStyle w:val="BodyText"/>
        <w:spacing w:before="6"/>
        <w:rPr>
          <w:sz w:val="15"/>
        </w:rPr>
      </w:pPr>
    </w:p>
    <w:p>
      <w:pPr>
        <w:pStyle w:val="BodyText"/>
        <w:spacing w:line="417" w:lineRule="auto" w:before="1"/>
        <w:ind w:left="540" w:right="873" w:firstLine="419"/>
      </w:pPr>
      <w:r>
        <w:rPr>
          <w:rFonts w:ascii="Calibri" w:eastAsia="Calibri"/>
        </w:rPr>
        <w:t>50%*</w:t>
      </w:r>
      <w:r>
        <w:rPr>
          <w:spacing w:val="-3"/>
        </w:rPr>
        <w:t>中债综合指数</w:t>
      </w:r>
      <w:r>
        <w:rPr>
          <w:rFonts w:ascii="Calibri" w:eastAsia="Calibri"/>
        </w:rPr>
        <w:t>+50%*</w:t>
      </w:r>
      <w:r>
        <w:rPr>
          <w:spacing w:val="-3"/>
        </w:rPr>
        <w:t>摩根大通亚洲信用债指数中国子指数</w:t>
      </w:r>
      <w:r>
        <w:rPr>
          <w:spacing w:val="-7"/>
        </w:rPr>
        <w:t>（</w:t>
      </w:r>
      <w:r>
        <w:rPr>
          <w:rFonts w:ascii="Calibri" w:eastAsia="Calibri"/>
          <w:spacing w:val="-7"/>
        </w:rPr>
        <w:t>J.P. </w:t>
      </w:r>
      <w:r>
        <w:rPr>
          <w:rFonts w:ascii="Calibri" w:eastAsia="Calibri"/>
          <w:spacing w:val="-2"/>
        </w:rPr>
        <w:t>Morgan </w:t>
      </w:r>
      <w:r>
        <w:rPr>
          <w:rFonts w:ascii="Calibri" w:eastAsia="Calibri"/>
        </w:rPr>
        <w:t>Asia Credit </w:t>
      </w:r>
      <w:r>
        <w:rPr>
          <w:rFonts w:ascii="Calibri" w:eastAsia="Calibri"/>
          <w:w w:val="100"/>
        </w:rPr>
        <w:t>I</w:t>
      </w:r>
      <w:r>
        <w:rPr>
          <w:rFonts w:ascii="Calibri" w:eastAsia="Calibri"/>
          <w:spacing w:val="-1"/>
          <w:w w:val="100"/>
        </w:rPr>
        <w:t>nd</w:t>
      </w:r>
      <w:r>
        <w:rPr>
          <w:rFonts w:ascii="Calibri" w:eastAsia="Calibri"/>
          <w:spacing w:val="-3"/>
          <w:w w:val="100"/>
        </w:rPr>
        <w:t>e</w:t>
      </w:r>
      <w:r>
        <w:rPr>
          <w:rFonts w:ascii="Calibri" w:eastAsia="Calibri"/>
          <w:w w:val="100"/>
        </w:rPr>
        <w:t>x</w:t>
      </w:r>
      <w:r>
        <w:rPr>
          <w:rFonts w:ascii="Calibri" w:eastAsia="Calibri"/>
        </w:rPr>
        <w:t> </w:t>
      </w:r>
      <w:r>
        <w:rPr>
          <w:rFonts w:ascii="Calibri" w:eastAsia="Calibri"/>
          <w:spacing w:val="-1"/>
          <w:w w:val="100"/>
        </w:rPr>
        <w:t>Chin</w:t>
      </w:r>
      <w:r>
        <w:rPr>
          <w:rFonts w:ascii="Calibri" w:eastAsia="Calibri"/>
          <w:spacing w:val="-4"/>
          <w:w w:val="100"/>
        </w:rPr>
        <w:t>a</w:t>
      </w:r>
      <w:r>
        <w:rPr>
          <w:spacing w:val="-106"/>
          <w:w w:val="100"/>
        </w:rPr>
        <w:t>）。</w:t>
      </w:r>
    </w:p>
    <w:p>
      <w:pPr>
        <w:pStyle w:val="BodyText"/>
        <w:spacing w:line="417" w:lineRule="auto"/>
        <w:ind w:left="540" w:right="871" w:firstLine="419"/>
      </w:pPr>
      <w:r>
        <w:rPr>
          <w:spacing w:val="-8"/>
        </w:rPr>
        <w:t>中债综合指数由中央国债登记结算有限公司编制，该指数旨在综合反映债券全市场整体</w:t>
      </w:r>
      <w:r>
        <w:rPr>
          <w:spacing w:val="-10"/>
        </w:rPr>
        <w:t>价格和投资回报情况。指数涵盖了银行间市场和交易所市场，具有广泛的市场代表性，适合</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540"/>
      </w:pPr>
      <w:r>
        <w:rPr>
          <w:spacing w:val="-3"/>
        </w:rPr>
        <w:t>作为本基金境内投资部分的业绩比较基准。</w:t>
      </w:r>
    </w:p>
    <w:p>
      <w:pPr>
        <w:pStyle w:val="BodyText"/>
        <w:spacing w:before="7"/>
        <w:rPr>
          <w:sz w:val="15"/>
        </w:rPr>
      </w:pPr>
    </w:p>
    <w:p>
      <w:pPr>
        <w:pStyle w:val="BodyText"/>
        <w:spacing w:line="417" w:lineRule="auto"/>
        <w:ind w:left="540" w:right="871" w:firstLine="419"/>
        <w:jc w:val="both"/>
      </w:pPr>
      <w:r>
        <w:rPr>
          <w:spacing w:val="-7"/>
        </w:rPr>
        <w:t>摩根大通亚洲信用债指数中国子指数由摩根大通集团编制，包括摩根大通亚洲信用债券</w:t>
      </w:r>
      <w:r>
        <w:rPr>
          <w:spacing w:val="-10"/>
        </w:rPr>
        <w:t>指数系列中中国主体发行的美元信用债券，成份券的选取充分考虑可投资性和流动性，适合</w:t>
      </w:r>
      <w:r>
        <w:rPr>
          <w:spacing w:val="-5"/>
        </w:rPr>
        <w:t>作为本基金境外投资部分的业绩比较基准。</w:t>
      </w:r>
    </w:p>
    <w:p>
      <w:pPr>
        <w:pStyle w:val="BodyText"/>
        <w:spacing w:line="417" w:lineRule="auto"/>
        <w:ind w:left="540" w:right="871" w:firstLine="472"/>
        <w:jc w:val="both"/>
      </w:pPr>
      <w:r>
        <w:rPr>
          <w:spacing w:val="-1"/>
        </w:rPr>
        <w:t>未来，如基金变更投资范围，或市场有其他更适合本基金的基准时，或原指数供应商</w:t>
      </w:r>
      <w:r>
        <w:rPr>
          <w:spacing w:val="-8"/>
        </w:rPr>
        <w:t>变更或停止原指数的编制及发布，本基金管理人可根据具体情况，依据维护基金份额持有人</w:t>
      </w:r>
      <w:r>
        <w:rPr>
          <w:spacing w:val="-12"/>
        </w:rPr>
        <w:t>合法权益的原则，取得基金托管人同意后，对业绩比较基准进行相应调整，不需召开持有人大会。</w:t>
      </w:r>
    </w:p>
    <w:p>
      <w:pPr>
        <w:pStyle w:val="BodyText"/>
        <w:ind w:left="960"/>
      </w:pPr>
      <w:r>
        <w:rPr/>
        <w:t>（六）风险收益特征</w:t>
      </w:r>
    </w:p>
    <w:p>
      <w:pPr>
        <w:pStyle w:val="BodyText"/>
        <w:spacing w:before="6"/>
        <w:rPr>
          <w:sz w:val="15"/>
        </w:rPr>
      </w:pPr>
    </w:p>
    <w:p>
      <w:pPr>
        <w:pStyle w:val="BodyText"/>
        <w:spacing w:line="417" w:lineRule="auto"/>
        <w:ind w:left="540" w:right="871" w:firstLine="472"/>
        <w:jc w:val="both"/>
      </w:pPr>
      <w:r>
        <w:rPr>
          <w:spacing w:val="-1"/>
        </w:rPr>
        <w:t>本基金为债券型基金，其长期平均风险和预期收益率低于股票基金、混合基金，高于</w:t>
      </w:r>
      <w:r>
        <w:rPr>
          <w:spacing w:val="-10"/>
        </w:rPr>
        <w:t>货币市场基金，属于较低风险、较低收益的品种。同时，本基金为全球证券投资的基金，除</w:t>
      </w:r>
      <w:r>
        <w:rPr>
          <w:spacing w:val="-9"/>
        </w:rPr>
        <w:t>了需要承担与境内证券投资基金类似的市场波动风险之外，本基金还面临汇率风险、国别风</w:t>
      </w:r>
      <w:r>
        <w:rPr>
          <w:spacing w:val="-5"/>
        </w:rPr>
        <w:t>险等海外市场投资所面临的特别投资风险。</w:t>
      </w:r>
    </w:p>
    <w:p>
      <w:pPr>
        <w:pStyle w:val="BodyText"/>
        <w:spacing w:line="268" w:lineRule="exact"/>
        <w:ind w:left="960"/>
      </w:pPr>
      <w:r>
        <w:rPr/>
        <w:t>（七）投资组合报告</w:t>
      </w:r>
    </w:p>
    <w:p>
      <w:pPr>
        <w:pStyle w:val="BodyText"/>
        <w:spacing w:before="7"/>
        <w:rPr>
          <w:sz w:val="15"/>
        </w:rPr>
      </w:pPr>
    </w:p>
    <w:p>
      <w:pPr>
        <w:pStyle w:val="BodyText"/>
        <w:ind w:left="962"/>
      </w:pPr>
      <w:r>
        <w:rPr/>
        <w:t>以下内容摘自本基金 </w:t>
      </w:r>
      <w:r>
        <w:rPr>
          <w:rFonts w:ascii="Calibri" w:eastAsia="Calibri"/>
        </w:rPr>
        <w:t>2020 </w:t>
      </w:r>
      <w:r>
        <w:rPr/>
        <w:t>年第 </w:t>
      </w:r>
      <w:r>
        <w:rPr>
          <w:rFonts w:ascii="Calibri" w:eastAsia="Calibri"/>
        </w:rPr>
        <w:t>2 </w:t>
      </w:r>
      <w:r>
        <w:rPr/>
        <w:t>季度报告：</w:t>
      </w:r>
    </w:p>
    <w:p>
      <w:pPr>
        <w:pStyle w:val="BodyText"/>
        <w:spacing w:before="7"/>
        <w:rPr>
          <w:sz w:val="15"/>
        </w:rPr>
      </w:pPr>
    </w:p>
    <w:p>
      <w:pPr>
        <w:pStyle w:val="ListParagraph"/>
        <w:numPr>
          <w:ilvl w:val="1"/>
          <w:numId w:val="10"/>
        </w:numPr>
        <w:tabs>
          <w:tab w:pos="913" w:val="left" w:leader="none"/>
        </w:tabs>
        <w:spacing w:line="240" w:lineRule="auto" w:before="0" w:after="0"/>
        <w:ind w:left="912" w:right="0" w:hanging="373"/>
        <w:jc w:val="left"/>
        <w:rPr>
          <w:sz w:val="21"/>
        </w:rPr>
      </w:pPr>
      <w:r>
        <w:rPr>
          <w:spacing w:val="-3"/>
          <w:sz w:val="21"/>
        </w:rPr>
        <w:t>报告期末基金资产组合情况</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685"/>
        <w:gridCol w:w="2410"/>
        <w:gridCol w:w="1985"/>
      </w:tblGrid>
      <w:tr>
        <w:trPr>
          <w:trHeight w:val="964" w:hRule="atLeast"/>
        </w:trPr>
        <w:tc>
          <w:tcPr>
            <w:tcW w:w="994" w:type="dxa"/>
          </w:tcPr>
          <w:p>
            <w:pPr>
              <w:pStyle w:val="TableParagraph"/>
              <w:spacing w:before="7"/>
              <w:rPr>
                <w:rFonts w:ascii="宋体"/>
                <w:sz w:val="28"/>
              </w:rPr>
            </w:pPr>
          </w:p>
          <w:p>
            <w:pPr>
              <w:pStyle w:val="TableParagraph"/>
              <w:ind w:left="276" w:right="248"/>
              <w:jc w:val="center"/>
              <w:rPr>
                <w:rFonts w:ascii="宋体" w:eastAsia="宋体" w:hint="eastAsia"/>
                <w:sz w:val="21"/>
              </w:rPr>
            </w:pPr>
            <w:r>
              <w:rPr>
                <w:rFonts w:ascii="宋体" w:eastAsia="宋体" w:hint="eastAsia"/>
                <w:sz w:val="21"/>
              </w:rPr>
              <w:t>序号</w:t>
            </w:r>
          </w:p>
        </w:tc>
        <w:tc>
          <w:tcPr>
            <w:tcW w:w="3685" w:type="dxa"/>
          </w:tcPr>
          <w:p>
            <w:pPr>
              <w:pStyle w:val="TableParagraph"/>
              <w:spacing w:before="7"/>
              <w:rPr>
                <w:rFonts w:ascii="宋体"/>
                <w:sz w:val="28"/>
              </w:rPr>
            </w:pPr>
          </w:p>
          <w:p>
            <w:pPr>
              <w:pStyle w:val="TableParagraph"/>
              <w:ind w:right="1611"/>
              <w:jc w:val="right"/>
              <w:rPr>
                <w:rFonts w:ascii="宋体" w:eastAsia="宋体" w:hint="eastAsia"/>
                <w:sz w:val="21"/>
              </w:rPr>
            </w:pPr>
            <w:r>
              <w:rPr>
                <w:rFonts w:ascii="宋体" w:eastAsia="宋体" w:hint="eastAsia"/>
                <w:sz w:val="21"/>
              </w:rPr>
              <w:t>项目</w:t>
            </w:r>
          </w:p>
        </w:tc>
        <w:tc>
          <w:tcPr>
            <w:tcW w:w="2410" w:type="dxa"/>
          </w:tcPr>
          <w:p>
            <w:pPr>
              <w:pStyle w:val="TableParagraph"/>
              <w:spacing w:before="7"/>
              <w:rPr>
                <w:rFonts w:ascii="宋体"/>
                <w:sz w:val="28"/>
              </w:rPr>
            </w:pPr>
          </w:p>
          <w:p>
            <w:pPr>
              <w:pStyle w:val="TableParagraph"/>
              <w:ind w:left="813" w:right="78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1985" w:type="dxa"/>
          </w:tcPr>
          <w:p>
            <w:pPr>
              <w:pStyle w:val="TableParagraph"/>
              <w:spacing w:before="130"/>
              <w:ind w:left="141" w:right="113"/>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37" w:right="113"/>
              <w:jc w:val="center"/>
              <w:rPr>
                <w:sz w:val="21"/>
              </w:rPr>
            </w:pPr>
            <w:r>
              <w:rPr>
                <w:rFonts w:ascii="宋体" w:eastAsia="宋体" w:hint="eastAsia"/>
                <w:sz w:val="21"/>
              </w:rPr>
              <w:t>例</w:t>
            </w:r>
            <w:r>
              <w:rPr>
                <w:sz w:val="21"/>
              </w:rPr>
              <w:t>(%)</w:t>
            </w:r>
          </w:p>
        </w:tc>
      </w:tr>
      <w:tr>
        <w:trPr>
          <w:trHeight w:val="496" w:hRule="atLeast"/>
        </w:trPr>
        <w:tc>
          <w:tcPr>
            <w:tcW w:w="994" w:type="dxa"/>
          </w:tcPr>
          <w:p>
            <w:pPr>
              <w:pStyle w:val="TableParagraph"/>
              <w:spacing w:before="136"/>
              <w:ind w:left="24"/>
              <w:jc w:val="center"/>
              <w:rPr>
                <w:sz w:val="21"/>
              </w:rPr>
            </w:pPr>
            <w:r>
              <w:rPr>
                <w:w w:val="100"/>
                <w:sz w:val="21"/>
              </w:rPr>
              <w:t>1</w:t>
            </w:r>
          </w:p>
        </w:tc>
        <w:tc>
          <w:tcPr>
            <w:tcW w:w="3685"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rPr>
                <w:rFonts w:ascii="Times New Roman"/>
                <w:sz w:val="20"/>
              </w:rPr>
            </w:pPr>
          </w:p>
        </w:tc>
        <w:tc>
          <w:tcPr>
            <w:tcW w:w="3685" w:type="dxa"/>
          </w:tcPr>
          <w:p>
            <w:pPr>
              <w:pStyle w:val="TableParagraph"/>
              <w:spacing w:before="133"/>
              <w:ind w:left="124"/>
              <w:rPr>
                <w:rFonts w:ascii="宋体" w:eastAsia="宋体" w:hint="eastAsia"/>
                <w:sz w:val="21"/>
              </w:rPr>
            </w:pPr>
            <w:r>
              <w:rPr>
                <w:rFonts w:ascii="宋体" w:eastAsia="宋体" w:hint="eastAsia"/>
                <w:sz w:val="21"/>
              </w:rPr>
              <w:t>其中：普通股</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存托凭证</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1"/>
              <w:ind w:left="755"/>
              <w:rPr>
                <w:rFonts w:ascii="宋体" w:eastAsia="宋体" w:hint="eastAsia"/>
                <w:sz w:val="21"/>
              </w:rPr>
            </w:pPr>
            <w:r>
              <w:rPr>
                <w:rFonts w:ascii="宋体" w:eastAsia="宋体" w:hint="eastAsia"/>
                <w:sz w:val="21"/>
              </w:rPr>
              <w:t>优先股</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left="755"/>
              <w:rPr>
                <w:rFonts w:ascii="宋体" w:eastAsia="宋体" w:hint="eastAsia"/>
                <w:sz w:val="21"/>
              </w:rPr>
            </w:pPr>
            <w:r>
              <w:rPr>
                <w:rFonts w:ascii="宋体" w:eastAsia="宋体" w:hint="eastAsia"/>
                <w:sz w:val="21"/>
              </w:rPr>
              <w:t>房地产信托</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spacing w:before="169"/>
              <w:ind w:left="10"/>
              <w:jc w:val="center"/>
              <w:rPr>
                <w:sz w:val="21"/>
              </w:rPr>
            </w:pPr>
            <w:r>
              <w:rPr>
                <w:w w:val="100"/>
                <w:sz w:val="21"/>
              </w:rPr>
              <w:t>2</w:t>
            </w:r>
          </w:p>
        </w:tc>
        <w:tc>
          <w:tcPr>
            <w:tcW w:w="3685" w:type="dxa"/>
          </w:tcPr>
          <w:p>
            <w:pPr>
              <w:pStyle w:val="TableParagraph"/>
              <w:spacing w:before="159"/>
              <w:ind w:left="107"/>
              <w:rPr>
                <w:rFonts w:ascii="宋体" w:eastAsia="宋体" w:hint="eastAsia"/>
                <w:sz w:val="21"/>
              </w:rPr>
            </w:pPr>
            <w:r>
              <w:rPr>
                <w:rFonts w:ascii="宋体" w:eastAsia="宋体" w:hint="eastAsia"/>
                <w:sz w:val="21"/>
              </w:rPr>
              <w:t>基金投资</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spacing w:before="136"/>
              <w:ind w:left="24"/>
              <w:jc w:val="center"/>
              <w:rPr>
                <w:sz w:val="21"/>
              </w:rPr>
            </w:pPr>
            <w:r>
              <w:rPr>
                <w:w w:val="100"/>
                <w:sz w:val="21"/>
              </w:rPr>
              <w:t>3</w:t>
            </w:r>
          </w:p>
        </w:tc>
        <w:tc>
          <w:tcPr>
            <w:tcW w:w="3685"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410" w:type="dxa"/>
          </w:tcPr>
          <w:p>
            <w:pPr>
              <w:pStyle w:val="TableParagraph"/>
              <w:spacing w:before="136"/>
              <w:ind w:right="97"/>
              <w:jc w:val="right"/>
              <w:rPr>
                <w:sz w:val="21"/>
              </w:rPr>
            </w:pPr>
            <w:r>
              <w:rPr>
                <w:sz w:val="21"/>
              </w:rPr>
              <w:t>411,420,236.18</w:t>
            </w:r>
          </w:p>
        </w:tc>
        <w:tc>
          <w:tcPr>
            <w:tcW w:w="1985" w:type="dxa"/>
          </w:tcPr>
          <w:p>
            <w:pPr>
              <w:pStyle w:val="TableParagraph"/>
              <w:spacing w:before="136"/>
              <w:ind w:right="95"/>
              <w:jc w:val="right"/>
              <w:rPr>
                <w:sz w:val="21"/>
              </w:rPr>
            </w:pPr>
            <w:r>
              <w:rPr>
                <w:sz w:val="21"/>
              </w:rPr>
              <w:t>94.00</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left="124"/>
              <w:rPr>
                <w:rFonts w:ascii="宋体" w:eastAsia="宋体" w:hint="eastAsia"/>
                <w:sz w:val="21"/>
              </w:rPr>
            </w:pPr>
            <w:r>
              <w:rPr>
                <w:rFonts w:ascii="宋体" w:eastAsia="宋体" w:hint="eastAsia"/>
                <w:sz w:val="21"/>
              </w:rPr>
              <w:t>其中：债券</w:t>
            </w:r>
          </w:p>
        </w:tc>
        <w:tc>
          <w:tcPr>
            <w:tcW w:w="2410" w:type="dxa"/>
          </w:tcPr>
          <w:p>
            <w:pPr>
              <w:pStyle w:val="TableParagraph"/>
              <w:spacing w:before="136"/>
              <w:ind w:right="97"/>
              <w:jc w:val="right"/>
              <w:rPr>
                <w:sz w:val="21"/>
              </w:rPr>
            </w:pPr>
            <w:r>
              <w:rPr>
                <w:sz w:val="21"/>
              </w:rPr>
              <w:t>411,420,236.18</w:t>
            </w:r>
          </w:p>
        </w:tc>
        <w:tc>
          <w:tcPr>
            <w:tcW w:w="1985" w:type="dxa"/>
          </w:tcPr>
          <w:p>
            <w:pPr>
              <w:pStyle w:val="TableParagraph"/>
              <w:spacing w:before="136"/>
              <w:ind w:right="95"/>
              <w:jc w:val="right"/>
              <w:rPr>
                <w:sz w:val="21"/>
              </w:rPr>
            </w:pPr>
            <w:r>
              <w:rPr>
                <w:sz w:val="21"/>
              </w:rPr>
              <w:t>94.00</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30"/>
              <w:ind w:right="1655"/>
              <w:jc w:val="right"/>
              <w:rPr>
                <w:rFonts w:ascii="宋体" w:eastAsia="宋体" w:hint="eastAsia"/>
                <w:sz w:val="21"/>
              </w:rPr>
            </w:pPr>
            <w:r>
              <w:rPr>
                <w:rFonts w:ascii="宋体" w:eastAsia="宋体" w:hint="eastAsia"/>
                <w:sz w:val="21"/>
              </w:rPr>
              <w:t>资产支持证券</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9" w:hRule="atLeast"/>
        </w:trPr>
        <w:tc>
          <w:tcPr>
            <w:tcW w:w="994" w:type="dxa"/>
          </w:tcPr>
          <w:p>
            <w:pPr>
              <w:pStyle w:val="TableParagraph"/>
              <w:spacing w:before="138"/>
              <w:ind w:left="24"/>
              <w:jc w:val="center"/>
              <w:rPr>
                <w:sz w:val="21"/>
              </w:rPr>
            </w:pPr>
            <w:r>
              <w:rPr>
                <w:w w:val="100"/>
                <w:sz w:val="21"/>
              </w:rPr>
              <w:t>4</w:t>
            </w:r>
          </w:p>
        </w:tc>
        <w:tc>
          <w:tcPr>
            <w:tcW w:w="3685" w:type="dxa"/>
          </w:tcPr>
          <w:p>
            <w:pPr>
              <w:pStyle w:val="TableParagraph"/>
              <w:spacing w:before="133"/>
              <w:ind w:left="124"/>
              <w:rPr>
                <w:rFonts w:ascii="宋体" w:eastAsia="宋体" w:hint="eastAsia"/>
                <w:sz w:val="21"/>
              </w:rPr>
            </w:pPr>
            <w:r>
              <w:rPr>
                <w:rFonts w:ascii="宋体" w:eastAsia="宋体" w:hint="eastAsia"/>
                <w:sz w:val="21"/>
              </w:rPr>
              <w:t>金融衍生品投资</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bl>
    <w:p>
      <w:pPr>
        <w:spacing w:after="0"/>
        <w:jc w:val="right"/>
        <w:rPr>
          <w:sz w:val="21"/>
        </w:rPr>
        <w:sectPr>
          <w:pgSz w:w="11910" w:h="16840"/>
          <w:pgMar w:header="872" w:footer="995" w:top="1100" w:bottom="1180" w:left="1260" w:right="920"/>
        </w:sectPr>
      </w:pPr>
    </w:p>
    <w:p>
      <w:pPr>
        <w:pStyle w:val="BodyText"/>
        <w:spacing w:before="1"/>
        <w:rPr>
          <w:sz w:val="25"/>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685"/>
        <w:gridCol w:w="2410"/>
        <w:gridCol w:w="1985"/>
      </w:tblGrid>
      <w:tr>
        <w:trPr>
          <w:trHeight w:val="496" w:hRule="atLeast"/>
        </w:trPr>
        <w:tc>
          <w:tcPr>
            <w:tcW w:w="994" w:type="dxa"/>
          </w:tcPr>
          <w:p>
            <w:pPr>
              <w:pStyle w:val="TableParagraph"/>
              <w:rPr>
                <w:rFonts w:ascii="Times New Roman"/>
                <w:sz w:val="20"/>
              </w:rPr>
            </w:pPr>
          </w:p>
        </w:tc>
        <w:tc>
          <w:tcPr>
            <w:tcW w:w="3685" w:type="dxa"/>
          </w:tcPr>
          <w:p>
            <w:pPr>
              <w:pStyle w:val="TableParagraph"/>
              <w:spacing w:before="157"/>
              <w:ind w:left="107"/>
              <w:rPr>
                <w:rFonts w:ascii="宋体" w:eastAsia="宋体" w:hint="eastAsia"/>
                <w:sz w:val="21"/>
              </w:rPr>
            </w:pPr>
            <w:r>
              <w:rPr>
                <w:rFonts w:ascii="宋体" w:eastAsia="宋体" w:hint="eastAsia"/>
                <w:sz w:val="21"/>
              </w:rPr>
              <w:t>其中：远期</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59"/>
              <w:ind w:left="738"/>
              <w:rPr>
                <w:rFonts w:ascii="宋体" w:eastAsia="宋体" w:hint="eastAsia"/>
                <w:sz w:val="21"/>
              </w:rPr>
            </w:pPr>
            <w:r>
              <w:rPr>
                <w:rFonts w:ascii="宋体" w:eastAsia="宋体" w:hint="eastAsia"/>
                <w:sz w:val="21"/>
              </w:rPr>
              <w:t>期货</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8" w:hRule="atLeast"/>
        </w:trPr>
        <w:tc>
          <w:tcPr>
            <w:tcW w:w="994" w:type="dxa"/>
          </w:tcPr>
          <w:p>
            <w:pPr>
              <w:pStyle w:val="TableParagraph"/>
              <w:rPr>
                <w:rFonts w:ascii="Times New Roman"/>
                <w:sz w:val="20"/>
              </w:rPr>
            </w:pPr>
          </w:p>
        </w:tc>
        <w:tc>
          <w:tcPr>
            <w:tcW w:w="3685" w:type="dxa"/>
          </w:tcPr>
          <w:p>
            <w:pPr>
              <w:pStyle w:val="TableParagraph"/>
              <w:spacing w:before="159"/>
              <w:ind w:left="738"/>
              <w:rPr>
                <w:rFonts w:ascii="宋体" w:eastAsia="宋体" w:hint="eastAsia"/>
                <w:sz w:val="21"/>
              </w:rPr>
            </w:pPr>
            <w:r>
              <w:rPr>
                <w:rFonts w:ascii="宋体" w:eastAsia="宋体" w:hint="eastAsia"/>
                <w:sz w:val="21"/>
              </w:rPr>
              <w:t>期权</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rPr>
                <w:rFonts w:ascii="Times New Roman"/>
                <w:sz w:val="20"/>
              </w:rPr>
            </w:pPr>
          </w:p>
        </w:tc>
        <w:tc>
          <w:tcPr>
            <w:tcW w:w="3685" w:type="dxa"/>
          </w:tcPr>
          <w:p>
            <w:pPr>
              <w:pStyle w:val="TableParagraph"/>
              <w:spacing w:before="157"/>
              <w:ind w:left="733"/>
              <w:rPr>
                <w:rFonts w:ascii="宋体" w:eastAsia="宋体" w:hint="eastAsia"/>
                <w:sz w:val="21"/>
              </w:rPr>
            </w:pPr>
            <w:r>
              <w:rPr>
                <w:rFonts w:ascii="宋体" w:eastAsia="宋体" w:hint="eastAsia"/>
                <w:sz w:val="21"/>
              </w:rPr>
              <w:t>权证</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496" w:hRule="atLeast"/>
        </w:trPr>
        <w:tc>
          <w:tcPr>
            <w:tcW w:w="994" w:type="dxa"/>
          </w:tcPr>
          <w:p>
            <w:pPr>
              <w:pStyle w:val="TableParagraph"/>
              <w:spacing w:before="136"/>
              <w:ind w:left="450"/>
              <w:rPr>
                <w:sz w:val="21"/>
              </w:rPr>
            </w:pPr>
            <w:r>
              <w:rPr>
                <w:w w:val="100"/>
                <w:sz w:val="21"/>
              </w:rPr>
              <w:t>5</w:t>
            </w:r>
          </w:p>
        </w:tc>
        <w:tc>
          <w:tcPr>
            <w:tcW w:w="3685" w:type="dxa"/>
          </w:tcPr>
          <w:p>
            <w:pPr>
              <w:pStyle w:val="TableParagraph"/>
              <w:spacing w:before="130"/>
              <w:ind w:left="124"/>
              <w:rPr>
                <w:rFonts w:ascii="宋体" w:eastAsia="宋体" w:hint="eastAsia"/>
                <w:sz w:val="21"/>
              </w:rPr>
            </w:pPr>
            <w:r>
              <w:rPr>
                <w:rFonts w:ascii="宋体" w:eastAsia="宋体" w:hint="eastAsia"/>
                <w:sz w:val="21"/>
              </w:rPr>
              <w:t>买入返售金融资产</w:t>
            </w:r>
          </w:p>
        </w:tc>
        <w:tc>
          <w:tcPr>
            <w:tcW w:w="2410" w:type="dxa"/>
          </w:tcPr>
          <w:p>
            <w:pPr>
              <w:pStyle w:val="TableParagraph"/>
              <w:spacing w:before="136"/>
              <w:ind w:right="97"/>
              <w:jc w:val="right"/>
              <w:rPr>
                <w:sz w:val="21"/>
              </w:rPr>
            </w:pPr>
            <w:r>
              <w:rPr>
                <w:w w:val="100"/>
                <w:sz w:val="21"/>
              </w:rPr>
              <w:t>-</w:t>
            </w:r>
          </w:p>
        </w:tc>
        <w:tc>
          <w:tcPr>
            <w:tcW w:w="1985" w:type="dxa"/>
          </w:tcPr>
          <w:p>
            <w:pPr>
              <w:pStyle w:val="TableParagraph"/>
              <w:spacing w:before="136"/>
              <w:ind w:right="96"/>
              <w:jc w:val="right"/>
              <w:rPr>
                <w:sz w:val="21"/>
              </w:rPr>
            </w:pPr>
            <w:r>
              <w:rPr>
                <w:w w:val="100"/>
                <w:sz w:val="21"/>
              </w:rPr>
              <w:t>-</w:t>
            </w:r>
          </w:p>
        </w:tc>
      </w:tr>
      <w:tr>
        <w:trPr>
          <w:trHeight w:val="965" w:hRule="atLeast"/>
        </w:trPr>
        <w:tc>
          <w:tcPr>
            <w:tcW w:w="994" w:type="dxa"/>
          </w:tcPr>
          <w:p>
            <w:pPr>
              <w:pStyle w:val="TableParagraph"/>
              <w:rPr>
                <w:rFonts w:ascii="Times New Roman"/>
                <w:sz w:val="20"/>
              </w:rPr>
            </w:pPr>
          </w:p>
        </w:tc>
        <w:tc>
          <w:tcPr>
            <w:tcW w:w="3685" w:type="dxa"/>
          </w:tcPr>
          <w:p>
            <w:pPr>
              <w:pStyle w:val="TableParagraph"/>
              <w:spacing w:before="130"/>
              <w:ind w:left="124"/>
              <w:rPr>
                <w:rFonts w:ascii="宋体" w:eastAsia="宋体" w:hint="eastAsia"/>
                <w:sz w:val="21"/>
              </w:rPr>
            </w:pPr>
            <w:r>
              <w:rPr>
                <w:rFonts w:ascii="宋体" w:eastAsia="宋体" w:hint="eastAsia"/>
                <w:sz w:val="21"/>
              </w:rPr>
              <w:t>其中：买断式回购的买入返售金融资</w:t>
            </w:r>
          </w:p>
          <w:p>
            <w:pPr>
              <w:pStyle w:val="TableParagraph"/>
              <w:spacing w:before="4"/>
              <w:rPr>
                <w:rFonts w:ascii="宋体"/>
                <w:sz w:val="15"/>
              </w:rPr>
            </w:pPr>
          </w:p>
          <w:p>
            <w:pPr>
              <w:pStyle w:val="TableParagraph"/>
              <w:spacing w:before="1"/>
              <w:ind w:left="124"/>
              <w:rPr>
                <w:rFonts w:ascii="宋体" w:eastAsia="宋体" w:hint="eastAsia"/>
                <w:sz w:val="21"/>
              </w:rPr>
            </w:pPr>
            <w:r>
              <w:rPr>
                <w:rFonts w:ascii="宋体" w:eastAsia="宋体" w:hint="eastAsia"/>
                <w:w w:val="100"/>
                <w:sz w:val="21"/>
              </w:rPr>
              <w:t>产</w:t>
            </w:r>
          </w:p>
        </w:tc>
        <w:tc>
          <w:tcPr>
            <w:tcW w:w="2410" w:type="dxa"/>
          </w:tcPr>
          <w:p>
            <w:pPr>
              <w:pStyle w:val="TableParagraph"/>
              <w:spacing w:before="12"/>
              <w:rPr>
                <w:rFonts w:ascii="宋体"/>
                <w:sz w:val="28"/>
              </w:rPr>
            </w:pPr>
          </w:p>
          <w:p>
            <w:pPr>
              <w:pStyle w:val="TableParagraph"/>
              <w:ind w:right="97"/>
              <w:jc w:val="right"/>
              <w:rPr>
                <w:sz w:val="21"/>
              </w:rPr>
            </w:pPr>
            <w:r>
              <w:rPr>
                <w:w w:val="100"/>
                <w:sz w:val="21"/>
              </w:rPr>
              <w:t>-</w:t>
            </w:r>
          </w:p>
        </w:tc>
        <w:tc>
          <w:tcPr>
            <w:tcW w:w="1985" w:type="dxa"/>
          </w:tcPr>
          <w:p>
            <w:pPr>
              <w:pStyle w:val="TableParagraph"/>
              <w:spacing w:before="12"/>
              <w:rPr>
                <w:rFonts w:ascii="宋体"/>
                <w:sz w:val="28"/>
              </w:rPr>
            </w:pPr>
          </w:p>
          <w:p>
            <w:pPr>
              <w:pStyle w:val="TableParagraph"/>
              <w:ind w:right="96"/>
              <w:jc w:val="right"/>
              <w:rPr>
                <w:sz w:val="21"/>
              </w:rPr>
            </w:pPr>
            <w:r>
              <w:rPr>
                <w:w w:val="100"/>
                <w:sz w:val="21"/>
              </w:rPr>
              <w:t>-</w:t>
            </w:r>
          </w:p>
        </w:tc>
      </w:tr>
      <w:tr>
        <w:trPr>
          <w:trHeight w:val="498" w:hRule="atLeast"/>
        </w:trPr>
        <w:tc>
          <w:tcPr>
            <w:tcW w:w="994" w:type="dxa"/>
          </w:tcPr>
          <w:p>
            <w:pPr>
              <w:pStyle w:val="TableParagraph"/>
              <w:spacing w:before="169"/>
              <w:ind w:left="443"/>
              <w:rPr>
                <w:sz w:val="21"/>
              </w:rPr>
            </w:pPr>
            <w:r>
              <w:rPr>
                <w:w w:val="100"/>
                <w:sz w:val="21"/>
              </w:rPr>
              <w:t>6</w:t>
            </w:r>
          </w:p>
        </w:tc>
        <w:tc>
          <w:tcPr>
            <w:tcW w:w="3685" w:type="dxa"/>
          </w:tcPr>
          <w:p>
            <w:pPr>
              <w:pStyle w:val="TableParagraph"/>
              <w:spacing w:before="159"/>
              <w:ind w:left="107"/>
              <w:rPr>
                <w:rFonts w:ascii="宋体" w:eastAsia="宋体" w:hint="eastAsia"/>
                <w:sz w:val="21"/>
              </w:rPr>
            </w:pPr>
            <w:r>
              <w:rPr>
                <w:rFonts w:ascii="宋体" w:eastAsia="宋体" w:hint="eastAsia"/>
                <w:sz w:val="21"/>
              </w:rPr>
              <w:t>货币市场工具</w:t>
            </w:r>
          </w:p>
        </w:tc>
        <w:tc>
          <w:tcPr>
            <w:tcW w:w="2410" w:type="dxa"/>
          </w:tcPr>
          <w:p>
            <w:pPr>
              <w:pStyle w:val="TableParagraph"/>
              <w:spacing w:before="138"/>
              <w:ind w:right="97"/>
              <w:jc w:val="right"/>
              <w:rPr>
                <w:sz w:val="21"/>
              </w:rPr>
            </w:pPr>
            <w:r>
              <w:rPr>
                <w:w w:val="100"/>
                <w:sz w:val="21"/>
              </w:rPr>
              <w:t>-</w:t>
            </w:r>
          </w:p>
        </w:tc>
        <w:tc>
          <w:tcPr>
            <w:tcW w:w="1985" w:type="dxa"/>
          </w:tcPr>
          <w:p>
            <w:pPr>
              <w:pStyle w:val="TableParagraph"/>
              <w:spacing w:before="138"/>
              <w:ind w:right="96"/>
              <w:jc w:val="right"/>
              <w:rPr>
                <w:sz w:val="21"/>
              </w:rPr>
            </w:pPr>
            <w:r>
              <w:rPr>
                <w:w w:val="100"/>
                <w:sz w:val="21"/>
              </w:rPr>
              <w:t>-</w:t>
            </w:r>
          </w:p>
        </w:tc>
      </w:tr>
      <w:tr>
        <w:trPr>
          <w:trHeight w:val="496" w:hRule="atLeast"/>
        </w:trPr>
        <w:tc>
          <w:tcPr>
            <w:tcW w:w="994" w:type="dxa"/>
          </w:tcPr>
          <w:p>
            <w:pPr>
              <w:pStyle w:val="TableParagraph"/>
              <w:spacing w:before="136"/>
              <w:ind w:left="450"/>
              <w:rPr>
                <w:sz w:val="21"/>
              </w:rPr>
            </w:pPr>
            <w:r>
              <w:rPr>
                <w:w w:val="100"/>
                <w:sz w:val="21"/>
              </w:rPr>
              <w:t>7</w:t>
            </w:r>
          </w:p>
        </w:tc>
        <w:tc>
          <w:tcPr>
            <w:tcW w:w="3685" w:type="dxa"/>
          </w:tcPr>
          <w:p>
            <w:pPr>
              <w:pStyle w:val="TableParagraph"/>
              <w:spacing w:before="130"/>
              <w:ind w:left="124"/>
              <w:rPr>
                <w:rFonts w:ascii="宋体" w:eastAsia="宋体" w:hint="eastAsia"/>
                <w:sz w:val="21"/>
              </w:rPr>
            </w:pPr>
            <w:r>
              <w:rPr>
                <w:rFonts w:ascii="宋体" w:eastAsia="宋体" w:hint="eastAsia"/>
                <w:sz w:val="21"/>
              </w:rPr>
              <w:t>银行存款和结算备付金合计</w:t>
            </w:r>
          </w:p>
        </w:tc>
        <w:tc>
          <w:tcPr>
            <w:tcW w:w="2410" w:type="dxa"/>
          </w:tcPr>
          <w:p>
            <w:pPr>
              <w:pStyle w:val="TableParagraph"/>
              <w:spacing w:before="136"/>
              <w:ind w:right="96"/>
              <w:jc w:val="right"/>
              <w:rPr>
                <w:sz w:val="21"/>
              </w:rPr>
            </w:pPr>
            <w:r>
              <w:rPr>
                <w:sz w:val="21"/>
              </w:rPr>
              <w:t>16,358,859.67</w:t>
            </w:r>
          </w:p>
        </w:tc>
        <w:tc>
          <w:tcPr>
            <w:tcW w:w="1985" w:type="dxa"/>
          </w:tcPr>
          <w:p>
            <w:pPr>
              <w:pStyle w:val="TableParagraph"/>
              <w:spacing w:before="136"/>
              <w:ind w:right="95"/>
              <w:jc w:val="right"/>
              <w:rPr>
                <w:sz w:val="21"/>
              </w:rPr>
            </w:pPr>
            <w:r>
              <w:rPr>
                <w:sz w:val="21"/>
              </w:rPr>
              <w:t>3.74</w:t>
            </w:r>
          </w:p>
        </w:tc>
      </w:tr>
      <w:tr>
        <w:trPr>
          <w:trHeight w:val="496" w:hRule="atLeast"/>
        </w:trPr>
        <w:tc>
          <w:tcPr>
            <w:tcW w:w="994" w:type="dxa"/>
          </w:tcPr>
          <w:p>
            <w:pPr>
              <w:pStyle w:val="TableParagraph"/>
              <w:spacing w:before="136"/>
              <w:ind w:left="450"/>
              <w:rPr>
                <w:sz w:val="21"/>
              </w:rPr>
            </w:pPr>
            <w:r>
              <w:rPr>
                <w:w w:val="100"/>
                <w:sz w:val="21"/>
              </w:rPr>
              <w:t>8</w:t>
            </w:r>
          </w:p>
        </w:tc>
        <w:tc>
          <w:tcPr>
            <w:tcW w:w="3685" w:type="dxa"/>
          </w:tcPr>
          <w:p>
            <w:pPr>
              <w:pStyle w:val="TableParagraph"/>
              <w:spacing w:before="116"/>
              <w:ind w:left="107"/>
              <w:rPr>
                <w:rFonts w:ascii="宋体" w:eastAsia="宋体" w:hint="eastAsia"/>
                <w:sz w:val="21"/>
              </w:rPr>
            </w:pPr>
            <w:r>
              <w:rPr>
                <w:rFonts w:ascii="宋体" w:eastAsia="宋体" w:hint="eastAsia"/>
                <w:sz w:val="21"/>
              </w:rPr>
              <w:t>其他各项资产</w:t>
            </w:r>
          </w:p>
        </w:tc>
        <w:tc>
          <w:tcPr>
            <w:tcW w:w="2410" w:type="dxa"/>
          </w:tcPr>
          <w:p>
            <w:pPr>
              <w:pStyle w:val="TableParagraph"/>
              <w:spacing w:before="121"/>
              <w:ind w:right="96"/>
              <w:jc w:val="right"/>
              <w:rPr>
                <w:sz w:val="21"/>
              </w:rPr>
            </w:pPr>
            <w:r>
              <w:rPr>
                <w:sz w:val="21"/>
              </w:rPr>
              <w:t>9,921,138.34</w:t>
            </w:r>
          </w:p>
        </w:tc>
        <w:tc>
          <w:tcPr>
            <w:tcW w:w="1985" w:type="dxa"/>
          </w:tcPr>
          <w:p>
            <w:pPr>
              <w:pStyle w:val="TableParagraph"/>
              <w:spacing w:before="121"/>
              <w:ind w:right="95"/>
              <w:jc w:val="right"/>
              <w:rPr>
                <w:sz w:val="21"/>
              </w:rPr>
            </w:pPr>
            <w:r>
              <w:rPr>
                <w:sz w:val="21"/>
              </w:rPr>
              <w:t>2.27</w:t>
            </w:r>
          </w:p>
        </w:tc>
      </w:tr>
      <w:tr>
        <w:trPr>
          <w:trHeight w:val="498" w:hRule="atLeast"/>
        </w:trPr>
        <w:tc>
          <w:tcPr>
            <w:tcW w:w="994" w:type="dxa"/>
          </w:tcPr>
          <w:p>
            <w:pPr>
              <w:pStyle w:val="TableParagraph"/>
              <w:spacing w:before="136"/>
              <w:ind w:left="450"/>
              <w:rPr>
                <w:sz w:val="21"/>
              </w:rPr>
            </w:pPr>
            <w:r>
              <w:rPr>
                <w:w w:val="100"/>
                <w:sz w:val="21"/>
              </w:rPr>
              <w:t>9</w:t>
            </w:r>
          </w:p>
        </w:tc>
        <w:tc>
          <w:tcPr>
            <w:tcW w:w="3685" w:type="dxa"/>
          </w:tcPr>
          <w:p>
            <w:pPr>
              <w:pStyle w:val="TableParagraph"/>
              <w:spacing w:before="116"/>
              <w:ind w:left="107"/>
              <w:rPr>
                <w:rFonts w:ascii="宋体" w:eastAsia="宋体" w:hint="eastAsia"/>
                <w:sz w:val="21"/>
              </w:rPr>
            </w:pPr>
            <w:r>
              <w:rPr>
                <w:rFonts w:ascii="宋体" w:eastAsia="宋体" w:hint="eastAsia"/>
                <w:sz w:val="21"/>
              </w:rPr>
              <w:t>合计</w:t>
            </w:r>
          </w:p>
        </w:tc>
        <w:tc>
          <w:tcPr>
            <w:tcW w:w="2410" w:type="dxa"/>
          </w:tcPr>
          <w:p>
            <w:pPr>
              <w:pStyle w:val="TableParagraph"/>
              <w:spacing w:before="121"/>
              <w:ind w:right="97"/>
              <w:jc w:val="right"/>
              <w:rPr>
                <w:sz w:val="21"/>
              </w:rPr>
            </w:pPr>
            <w:r>
              <w:rPr>
                <w:sz w:val="21"/>
              </w:rPr>
              <w:t>437,700,234.19</w:t>
            </w:r>
          </w:p>
        </w:tc>
        <w:tc>
          <w:tcPr>
            <w:tcW w:w="1985" w:type="dxa"/>
          </w:tcPr>
          <w:p>
            <w:pPr>
              <w:pStyle w:val="TableParagraph"/>
              <w:spacing w:before="121"/>
              <w:ind w:right="96"/>
              <w:jc w:val="right"/>
              <w:rPr>
                <w:sz w:val="21"/>
              </w:rPr>
            </w:pPr>
            <w:r>
              <w:rPr>
                <w:sz w:val="21"/>
              </w:rPr>
              <w:t>100.00</w:t>
            </w:r>
          </w:p>
        </w:tc>
      </w:tr>
    </w:tbl>
    <w:p>
      <w:pPr>
        <w:pStyle w:val="ListParagraph"/>
        <w:numPr>
          <w:ilvl w:val="1"/>
          <w:numId w:val="10"/>
        </w:numPr>
        <w:tabs>
          <w:tab w:pos="860" w:val="left" w:leader="none"/>
        </w:tabs>
        <w:spacing w:line="417" w:lineRule="auto" w:before="99" w:after="0"/>
        <w:ind w:left="960" w:right="2770" w:hanging="420"/>
        <w:jc w:val="left"/>
        <w:rPr>
          <w:sz w:val="21"/>
        </w:rPr>
      </w:pPr>
      <w:r>
        <w:rPr>
          <w:spacing w:val="-3"/>
          <w:sz w:val="21"/>
        </w:rPr>
        <w:t>报告期末在各个国家（</w:t>
      </w:r>
      <w:r>
        <w:rPr>
          <w:sz w:val="21"/>
        </w:rPr>
        <w:t>地区</w:t>
      </w:r>
      <w:r>
        <w:rPr>
          <w:spacing w:val="-3"/>
          <w:sz w:val="21"/>
        </w:rPr>
        <w:t>）证券市场的股票及存托凭证投资分布本基金本报告期末未持有股票及存托凭证。</w:t>
      </w:r>
    </w:p>
    <w:p>
      <w:pPr>
        <w:pStyle w:val="ListParagraph"/>
        <w:numPr>
          <w:ilvl w:val="1"/>
          <w:numId w:val="10"/>
        </w:numPr>
        <w:tabs>
          <w:tab w:pos="860" w:val="left" w:leader="none"/>
        </w:tabs>
        <w:spacing w:line="417" w:lineRule="auto" w:before="0" w:after="0"/>
        <w:ind w:left="960" w:right="4450" w:hanging="420"/>
        <w:jc w:val="left"/>
        <w:rPr>
          <w:sz w:val="21"/>
        </w:rPr>
      </w:pPr>
      <w:r>
        <w:rPr>
          <w:spacing w:val="-3"/>
          <w:sz w:val="21"/>
        </w:rPr>
        <w:t>报告期末按行业分类的股票及存托凭证投资组合本基金本报告期末未持有股票及存托凭证。</w:t>
      </w:r>
    </w:p>
    <w:p>
      <w:pPr>
        <w:pStyle w:val="ListParagraph"/>
        <w:numPr>
          <w:ilvl w:val="1"/>
          <w:numId w:val="10"/>
        </w:numPr>
        <w:tabs>
          <w:tab w:pos="860" w:val="left" w:leader="none"/>
        </w:tabs>
        <w:spacing w:line="417" w:lineRule="auto" w:before="0" w:after="0"/>
        <w:ind w:left="960" w:right="1087" w:hanging="420"/>
        <w:jc w:val="left"/>
        <w:rPr>
          <w:sz w:val="21"/>
        </w:rPr>
      </w:pPr>
      <w:r>
        <w:rPr>
          <w:spacing w:val="-3"/>
          <w:sz w:val="21"/>
        </w:rPr>
        <w:t>报告期末按公允价值占基金资产净值比例大小排序的前十名股票及存托凭证投资明细本基金本报告期末未持有股票及存托凭证。</w:t>
      </w:r>
    </w:p>
    <w:p>
      <w:pPr>
        <w:pStyle w:val="ListParagraph"/>
        <w:numPr>
          <w:ilvl w:val="1"/>
          <w:numId w:val="10"/>
        </w:numPr>
        <w:tabs>
          <w:tab w:pos="860" w:val="left" w:leader="none"/>
        </w:tabs>
        <w:spacing w:line="269" w:lineRule="exact" w:before="0" w:after="0"/>
        <w:ind w:left="859" w:right="0" w:hanging="320"/>
        <w:jc w:val="left"/>
        <w:rPr>
          <w:sz w:val="21"/>
        </w:rPr>
      </w:pPr>
      <w:r>
        <w:rPr>
          <w:spacing w:val="-3"/>
          <w:sz w:val="21"/>
        </w:rPr>
        <w:t>报告期末按债券信用等级分类的债券投资组合</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3063"/>
        <w:gridCol w:w="2794"/>
      </w:tblGrid>
      <w:tr>
        <w:trPr>
          <w:trHeight w:val="496" w:hRule="atLeast"/>
        </w:trPr>
        <w:tc>
          <w:tcPr>
            <w:tcW w:w="3217" w:type="dxa"/>
          </w:tcPr>
          <w:p>
            <w:pPr>
              <w:pStyle w:val="TableParagraph"/>
              <w:spacing w:before="130"/>
              <w:ind w:left="983"/>
              <w:rPr>
                <w:rFonts w:ascii="宋体" w:eastAsia="宋体" w:hint="eastAsia"/>
                <w:sz w:val="21"/>
              </w:rPr>
            </w:pPr>
            <w:r>
              <w:rPr>
                <w:rFonts w:ascii="宋体" w:eastAsia="宋体" w:hint="eastAsia"/>
                <w:sz w:val="21"/>
              </w:rPr>
              <w:t>债券信用等级</w:t>
            </w:r>
          </w:p>
        </w:tc>
        <w:tc>
          <w:tcPr>
            <w:tcW w:w="3063" w:type="dxa"/>
          </w:tcPr>
          <w:p>
            <w:pPr>
              <w:pStyle w:val="TableParagraph"/>
              <w:spacing w:before="130"/>
              <w:ind w:left="947"/>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2794" w:type="dxa"/>
          </w:tcPr>
          <w:p>
            <w:pPr>
              <w:pStyle w:val="TableParagraph"/>
              <w:spacing w:before="130"/>
              <w:ind w:right="118"/>
              <w:jc w:val="right"/>
              <w:rPr>
                <w:rFonts w:ascii="宋体" w:eastAsia="宋体" w:hint="eastAsia"/>
                <w:sz w:val="21"/>
              </w:rPr>
            </w:pPr>
            <w:r>
              <w:rPr>
                <w:rFonts w:ascii="宋体" w:eastAsia="宋体" w:hint="eastAsia"/>
                <w:sz w:val="21"/>
              </w:rPr>
              <w:t>占基金资产净值比例（％）</w:t>
            </w:r>
          </w:p>
        </w:tc>
      </w:tr>
      <w:tr>
        <w:trPr>
          <w:trHeight w:val="311" w:hRule="atLeast"/>
        </w:trPr>
        <w:tc>
          <w:tcPr>
            <w:tcW w:w="3217" w:type="dxa"/>
          </w:tcPr>
          <w:p>
            <w:pPr>
              <w:pStyle w:val="TableParagraph"/>
              <w:spacing w:before="22"/>
              <w:ind w:left="107"/>
              <w:rPr>
                <w:sz w:val="21"/>
              </w:rPr>
            </w:pPr>
            <w:r>
              <w:rPr>
                <w:sz w:val="21"/>
              </w:rPr>
              <w:t>AAA+</w:t>
            </w:r>
            <w:r>
              <w:rPr>
                <w:rFonts w:ascii="宋体" w:eastAsia="宋体" w:hint="eastAsia"/>
                <w:sz w:val="21"/>
              </w:rPr>
              <w:t>至</w:t>
            </w:r>
            <w:r>
              <w:rPr>
                <w:sz w:val="21"/>
              </w:rPr>
              <w:t>AAA-</w:t>
            </w:r>
          </w:p>
        </w:tc>
        <w:tc>
          <w:tcPr>
            <w:tcW w:w="3063" w:type="dxa"/>
          </w:tcPr>
          <w:p>
            <w:pPr>
              <w:pStyle w:val="TableParagraph"/>
              <w:spacing w:before="28"/>
              <w:ind w:right="96"/>
              <w:jc w:val="right"/>
              <w:rPr>
                <w:sz w:val="21"/>
              </w:rPr>
            </w:pPr>
            <w:r>
              <w:rPr>
                <w:sz w:val="21"/>
              </w:rPr>
              <w:t>2,123,592.08</w:t>
            </w:r>
          </w:p>
        </w:tc>
        <w:tc>
          <w:tcPr>
            <w:tcW w:w="2794" w:type="dxa"/>
          </w:tcPr>
          <w:p>
            <w:pPr>
              <w:pStyle w:val="TableParagraph"/>
              <w:spacing w:before="28"/>
              <w:ind w:right="95"/>
              <w:jc w:val="right"/>
              <w:rPr>
                <w:sz w:val="21"/>
              </w:rPr>
            </w:pPr>
            <w:r>
              <w:rPr>
                <w:sz w:val="21"/>
              </w:rPr>
              <w:t>0.51</w:t>
            </w:r>
          </w:p>
        </w:tc>
      </w:tr>
      <w:tr>
        <w:trPr>
          <w:trHeight w:val="311" w:hRule="atLeast"/>
        </w:trPr>
        <w:tc>
          <w:tcPr>
            <w:tcW w:w="3217" w:type="dxa"/>
          </w:tcPr>
          <w:p>
            <w:pPr>
              <w:pStyle w:val="TableParagraph"/>
              <w:spacing w:before="22"/>
              <w:ind w:left="107"/>
              <w:rPr>
                <w:sz w:val="21"/>
              </w:rPr>
            </w:pPr>
            <w:r>
              <w:rPr>
                <w:sz w:val="21"/>
              </w:rPr>
              <w:t>AA+</w:t>
            </w:r>
            <w:r>
              <w:rPr>
                <w:rFonts w:ascii="宋体" w:eastAsia="宋体" w:hint="eastAsia"/>
                <w:sz w:val="21"/>
              </w:rPr>
              <w:t>至 </w:t>
            </w:r>
            <w:r>
              <w:rPr>
                <w:sz w:val="21"/>
              </w:rPr>
              <w:t>AA-</w:t>
            </w:r>
          </w:p>
        </w:tc>
        <w:tc>
          <w:tcPr>
            <w:tcW w:w="3063" w:type="dxa"/>
          </w:tcPr>
          <w:p>
            <w:pPr>
              <w:pStyle w:val="TableParagraph"/>
              <w:spacing w:before="28"/>
              <w:ind w:right="96"/>
              <w:jc w:val="right"/>
              <w:rPr>
                <w:sz w:val="21"/>
              </w:rPr>
            </w:pPr>
            <w:r>
              <w:rPr>
                <w:sz w:val="21"/>
              </w:rPr>
              <w:t>3,010,400.00</w:t>
            </w:r>
          </w:p>
        </w:tc>
        <w:tc>
          <w:tcPr>
            <w:tcW w:w="2794" w:type="dxa"/>
          </w:tcPr>
          <w:p>
            <w:pPr>
              <w:pStyle w:val="TableParagraph"/>
              <w:spacing w:before="28"/>
              <w:ind w:right="95"/>
              <w:jc w:val="right"/>
              <w:rPr>
                <w:sz w:val="21"/>
              </w:rPr>
            </w:pPr>
            <w:r>
              <w:rPr>
                <w:sz w:val="21"/>
              </w:rPr>
              <w:t>0.72</w:t>
            </w:r>
          </w:p>
        </w:tc>
      </w:tr>
      <w:tr>
        <w:trPr>
          <w:trHeight w:val="312" w:hRule="atLeast"/>
        </w:trPr>
        <w:tc>
          <w:tcPr>
            <w:tcW w:w="3217" w:type="dxa"/>
          </w:tcPr>
          <w:p>
            <w:pPr>
              <w:pStyle w:val="TableParagraph"/>
              <w:spacing w:before="23"/>
              <w:ind w:left="107"/>
              <w:rPr>
                <w:sz w:val="21"/>
              </w:rPr>
            </w:pPr>
            <w:r>
              <w:rPr>
                <w:sz w:val="21"/>
              </w:rPr>
              <w:t>A+</w:t>
            </w:r>
            <w:r>
              <w:rPr>
                <w:rFonts w:ascii="宋体" w:eastAsia="宋体" w:hint="eastAsia"/>
                <w:sz w:val="21"/>
              </w:rPr>
              <w:t>至</w:t>
            </w:r>
            <w:r>
              <w:rPr>
                <w:sz w:val="21"/>
              </w:rPr>
              <w:t>A-</w:t>
            </w:r>
          </w:p>
        </w:tc>
        <w:tc>
          <w:tcPr>
            <w:tcW w:w="3063" w:type="dxa"/>
          </w:tcPr>
          <w:p>
            <w:pPr>
              <w:pStyle w:val="TableParagraph"/>
              <w:spacing w:before="28"/>
              <w:ind w:right="96"/>
              <w:jc w:val="right"/>
              <w:rPr>
                <w:sz w:val="21"/>
              </w:rPr>
            </w:pPr>
            <w:r>
              <w:rPr>
                <w:sz w:val="21"/>
              </w:rPr>
              <w:t>48,064,320.00</w:t>
            </w:r>
          </w:p>
        </w:tc>
        <w:tc>
          <w:tcPr>
            <w:tcW w:w="2794" w:type="dxa"/>
          </w:tcPr>
          <w:p>
            <w:pPr>
              <w:pStyle w:val="TableParagraph"/>
              <w:spacing w:before="28"/>
              <w:ind w:right="95"/>
              <w:jc w:val="right"/>
              <w:rPr>
                <w:sz w:val="21"/>
              </w:rPr>
            </w:pPr>
            <w:r>
              <w:rPr>
                <w:sz w:val="21"/>
              </w:rPr>
              <w:t>11.46</w:t>
            </w:r>
          </w:p>
        </w:tc>
      </w:tr>
      <w:tr>
        <w:trPr>
          <w:trHeight w:val="313" w:hRule="atLeast"/>
        </w:trPr>
        <w:tc>
          <w:tcPr>
            <w:tcW w:w="3217" w:type="dxa"/>
          </w:tcPr>
          <w:p>
            <w:pPr>
              <w:pStyle w:val="TableParagraph"/>
              <w:spacing w:before="25"/>
              <w:ind w:left="107"/>
              <w:rPr>
                <w:sz w:val="21"/>
              </w:rPr>
            </w:pPr>
            <w:r>
              <w:rPr>
                <w:sz w:val="21"/>
              </w:rPr>
              <w:t>BBB+</w:t>
            </w:r>
            <w:r>
              <w:rPr>
                <w:rFonts w:ascii="宋体" w:eastAsia="宋体" w:hint="eastAsia"/>
                <w:sz w:val="21"/>
              </w:rPr>
              <w:t>至</w:t>
            </w:r>
            <w:r>
              <w:rPr>
                <w:sz w:val="21"/>
              </w:rPr>
              <w:t>BBB-</w:t>
            </w:r>
          </w:p>
        </w:tc>
        <w:tc>
          <w:tcPr>
            <w:tcW w:w="3063" w:type="dxa"/>
          </w:tcPr>
          <w:p>
            <w:pPr>
              <w:pStyle w:val="TableParagraph"/>
              <w:spacing w:before="30"/>
              <w:ind w:right="96"/>
              <w:jc w:val="right"/>
              <w:rPr>
                <w:sz w:val="21"/>
              </w:rPr>
            </w:pPr>
            <w:r>
              <w:rPr>
                <w:sz w:val="21"/>
              </w:rPr>
              <w:t>45,525,997.64</w:t>
            </w:r>
          </w:p>
        </w:tc>
        <w:tc>
          <w:tcPr>
            <w:tcW w:w="2794" w:type="dxa"/>
          </w:tcPr>
          <w:p>
            <w:pPr>
              <w:pStyle w:val="TableParagraph"/>
              <w:spacing w:before="30"/>
              <w:ind w:right="95"/>
              <w:jc w:val="right"/>
              <w:rPr>
                <w:sz w:val="21"/>
              </w:rPr>
            </w:pPr>
            <w:r>
              <w:rPr>
                <w:sz w:val="21"/>
              </w:rPr>
              <w:t>10.86</w:t>
            </w:r>
          </w:p>
        </w:tc>
      </w:tr>
      <w:tr>
        <w:trPr>
          <w:trHeight w:val="311" w:hRule="atLeast"/>
        </w:trPr>
        <w:tc>
          <w:tcPr>
            <w:tcW w:w="3217" w:type="dxa"/>
          </w:tcPr>
          <w:p>
            <w:pPr>
              <w:pStyle w:val="TableParagraph"/>
              <w:spacing w:before="22"/>
              <w:ind w:left="107"/>
              <w:rPr>
                <w:sz w:val="21"/>
              </w:rPr>
            </w:pPr>
            <w:r>
              <w:rPr>
                <w:sz w:val="21"/>
              </w:rPr>
              <w:t>BB+</w:t>
            </w:r>
            <w:r>
              <w:rPr>
                <w:rFonts w:ascii="宋体" w:eastAsia="宋体" w:hint="eastAsia"/>
                <w:sz w:val="21"/>
              </w:rPr>
              <w:t>至 </w:t>
            </w:r>
            <w:r>
              <w:rPr>
                <w:sz w:val="21"/>
              </w:rPr>
              <w:t>BB-</w:t>
            </w:r>
          </w:p>
        </w:tc>
        <w:tc>
          <w:tcPr>
            <w:tcW w:w="3063" w:type="dxa"/>
          </w:tcPr>
          <w:p>
            <w:pPr>
              <w:pStyle w:val="TableParagraph"/>
              <w:spacing w:before="28"/>
              <w:ind w:right="97"/>
              <w:jc w:val="right"/>
              <w:rPr>
                <w:sz w:val="21"/>
              </w:rPr>
            </w:pPr>
            <w:r>
              <w:rPr>
                <w:sz w:val="21"/>
              </w:rPr>
              <w:t>111,511,774.36</w:t>
            </w:r>
          </w:p>
        </w:tc>
        <w:tc>
          <w:tcPr>
            <w:tcW w:w="2794" w:type="dxa"/>
          </w:tcPr>
          <w:p>
            <w:pPr>
              <w:pStyle w:val="TableParagraph"/>
              <w:spacing w:before="28"/>
              <w:ind w:right="95"/>
              <w:jc w:val="right"/>
              <w:rPr>
                <w:sz w:val="21"/>
              </w:rPr>
            </w:pPr>
            <w:r>
              <w:rPr>
                <w:sz w:val="21"/>
              </w:rPr>
              <w:t>26.59</w:t>
            </w:r>
          </w:p>
        </w:tc>
      </w:tr>
      <w:tr>
        <w:trPr>
          <w:trHeight w:val="311" w:hRule="atLeast"/>
        </w:trPr>
        <w:tc>
          <w:tcPr>
            <w:tcW w:w="3217" w:type="dxa"/>
          </w:tcPr>
          <w:p>
            <w:pPr>
              <w:pStyle w:val="TableParagraph"/>
              <w:spacing w:before="22"/>
              <w:ind w:left="107"/>
              <w:rPr>
                <w:sz w:val="21"/>
              </w:rPr>
            </w:pPr>
            <w:r>
              <w:rPr>
                <w:sz w:val="21"/>
              </w:rPr>
              <w:t>B+</w:t>
            </w:r>
            <w:r>
              <w:rPr>
                <w:rFonts w:ascii="宋体" w:eastAsia="宋体" w:hint="eastAsia"/>
                <w:sz w:val="21"/>
              </w:rPr>
              <w:t>至</w:t>
            </w:r>
            <w:r>
              <w:rPr>
                <w:sz w:val="21"/>
              </w:rPr>
              <w:t>B-</w:t>
            </w:r>
          </w:p>
        </w:tc>
        <w:tc>
          <w:tcPr>
            <w:tcW w:w="3063" w:type="dxa"/>
          </w:tcPr>
          <w:p>
            <w:pPr>
              <w:pStyle w:val="TableParagraph"/>
              <w:spacing w:before="28"/>
              <w:ind w:right="97"/>
              <w:jc w:val="right"/>
              <w:rPr>
                <w:sz w:val="21"/>
              </w:rPr>
            </w:pPr>
            <w:r>
              <w:rPr>
                <w:sz w:val="21"/>
              </w:rPr>
              <w:t>201,184,152.10</w:t>
            </w:r>
          </w:p>
        </w:tc>
        <w:tc>
          <w:tcPr>
            <w:tcW w:w="2794" w:type="dxa"/>
          </w:tcPr>
          <w:p>
            <w:pPr>
              <w:pStyle w:val="TableParagraph"/>
              <w:spacing w:before="28"/>
              <w:ind w:right="95"/>
              <w:jc w:val="right"/>
              <w:rPr>
                <w:sz w:val="21"/>
              </w:rPr>
            </w:pPr>
            <w:r>
              <w:rPr>
                <w:sz w:val="21"/>
              </w:rPr>
              <w:t>47.97</w:t>
            </w:r>
          </w:p>
        </w:tc>
      </w:tr>
    </w:tbl>
    <w:p>
      <w:pPr>
        <w:pStyle w:val="BodyText"/>
        <w:spacing w:line="417" w:lineRule="auto" w:before="100"/>
        <w:ind w:left="540" w:right="871" w:firstLine="419"/>
      </w:pPr>
      <w:r>
        <w:rPr>
          <w:spacing w:val="-10"/>
        </w:rPr>
        <w:t>注：本债券投资组合采用专业评级机构提供的债券信用评级信息，未提供评级信息的可</w:t>
      </w:r>
      <w:r>
        <w:rPr>
          <w:spacing w:val="-5"/>
        </w:rPr>
        <w:t>适用内部评级。</w:t>
      </w:r>
    </w:p>
    <w:p>
      <w:pPr>
        <w:pStyle w:val="ListParagraph"/>
        <w:numPr>
          <w:ilvl w:val="1"/>
          <w:numId w:val="10"/>
        </w:numPr>
        <w:tabs>
          <w:tab w:pos="860" w:val="left" w:leader="none"/>
        </w:tabs>
        <w:spacing w:line="269" w:lineRule="exact" w:before="0" w:after="0"/>
        <w:ind w:left="859" w:right="0" w:hanging="320"/>
        <w:jc w:val="left"/>
        <w:rPr>
          <w:sz w:val="21"/>
        </w:rPr>
      </w:pPr>
      <w:r>
        <w:rPr>
          <w:spacing w:val="-3"/>
          <w:sz w:val="21"/>
        </w:rPr>
        <w:t>报告期末按公允价值占基金资产净值比例大小排名的前五名债券投资明细</w:t>
      </w:r>
    </w:p>
    <w:p>
      <w:pPr>
        <w:pStyle w:val="BodyText"/>
        <w:spacing w:before="10"/>
        <w:rPr>
          <w:sz w:val="7"/>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7"/>
        <w:gridCol w:w="1484"/>
        <w:gridCol w:w="1387"/>
        <w:gridCol w:w="1231"/>
        <w:gridCol w:w="1439"/>
        <w:gridCol w:w="2013"/>
      </w:tblGrid>
      <w:tr>
        <w:trPr>
          <w:trHeight w:val="964" w:hRule="atLeast"/>
        </w:trPr>
        <w:tc>
          <w:tcPr>
            <w:tcW w:w="967" w:type="dxa"/>
          </w:tcPr>
          <w:p>
            <w:pPr>
              <w:pStyle w:val="TableParagraph"/>
              <w:spacing w:before="7"/>
              <w:rPr>
                <w:rFonts w:ascii="宋体"/>
                <w:sz w:val="28"/>
              </w:rPr>
            </w:pPr>
          </w:p>
          <w:p>
            <w:pPr>
              <w:pStyle w:val="TableParagraph"/>
              <w:ind w:left="280"/>
              <w:rPr>
                <w:rFonts w:ascii="宋体" w:eastAsia="宋体" w:hint="eastAsia"/>
                <w:sz w:val="21"/>
              </w:rPr>
            </w:pPr>
            <w:r>
              <w:rPr>
                <w:rFonts w:ascii="宋体" w:eastAsia="宋体" w:hint="eastAsia"/>
                <w:sz w:val="21"/>
              </w:rPr>
              <w:t>序号</w:t>
            </w:r>
          </w:p>
        </w:tc>
        <w:tc>
          <w:tcPr>
            <w:tcW w:w="1484" w:type="dxa"/>
          </w:tcPr>
          <w:p>
            <w:pPr>
              <w:pStyle w:val="TableParagraph"/>
              <w:spacing w:before="7"/>
              <w:rPr>
                <w:rFonts w:ascii="宋体"/>
                <w:sz w:val="28"/>
              </w:rPr>
            </w:pPr>
          </w:p>
          <w:p>
            <w:pPr>
              <w:pStyle w:val="TableParagraph"/>
              <w:ind w:left="326"/>
              <w:rPr>
                <w:rFonts w:ascii="宋体" w:eastAsia="宋体" w:hint="eastAsia"/>
                <w:sz w:val="21"/>
              </w:rPr>
            </w:pPr>
            <w:r>
              <w:rPr>
                <w:rFonts w:ascii="宋体" w:eastAsia="宋体" w:hint="eastAsia"/>
                <w:sz w:val="21"/>
              </w:rPr>
              <w:t>债券代码</w:t>
            </w:r>
          </w:p>
        </w:tc>
        <w:tc>
          <w:tcPr>
            <w:tcW w:w="1387" w:type="dxa"/>
          </w:tcPr>
          <w:p>
            <w:pPr>
              <w:pStyle w:val="TableParagraph"/>
              <w:spacing w:before="7"/>
              <w:rPr>
                <w:rFonts w:ascii="宋体"/>
                <w:sz w:val="28"/>
              </w:rPr>
            </w:pPr>
          </w:p>
          <w:p>
            <w:pPr>
              <w:pStyle w:val="TableParagraph"/>
              <w:ind w:left="280"/>
              <w:rPr>
                <w:rFonts w:ascii="宋体" w:eastAsia="宋体" w:hint="eastAsia"/>
                <w:sz w:val="21"/>
              </w:rPr>
            </w:pPr>
            <w:r>
              <w:rPr>
                <w:rFonts w:ascii="宋体" w:eastAsia="宋体" w:hint="eastAsia"/>
                <w:sz w:val="21"/>
              </w:rPr>
              <w:t>债券名称</w:t>
            </w:r>
          </w:p>
        </w:tc>
        <w:tc>
          <w:tcPr>
            <w:tcW w:w="1231" w:type="dxa"/>
          </w:tcPr>
          <w:p>
            <w:pPr>
              <w:pStyle w:val="TableParagraph"/>
              <w:spacing w:before="7"/>
              <w:rPr>
                <w:rFonts w:ascii="宋体"/>
                <w:sz w:val="28"/>
              </w:rPr>
            </w:pPr>
          </w:p>
          <w:p>
            <w:pPr>
              <w:pStyle w:val="TableParagraph"/>
              <w:ind w:left="412"/>
              <w:rPr>
                <w:rFonts w:ascii="宋体" w:eastAsia="宋体" w:hint="eastAsia"/>
                <w:sz w:val="21"/>
              </w:rPr>
            </w:pPr>
            <w:r>
              <w:rPr>
                <w:rFonts w:ascii="宋体" w:eastAsia="宋体" w:hint="eastAsia"/>
                <w:sz w:val="21"/>
              </w:rPr>
              <w:t>数量</w:t>
            </w:r>
          </w:p>
        </w:tc>
        <w:tc>
          <w:tcPr>
            <w:tcW w:w="1439" w:type="dxa"/>
          </w:tcPr>
          <w:p>
            <w:pPr>
              <w:pStyle w:val="TableParagraph"/>
              <w:spacing w:before="7"/>
              <w:rPr>
                <w:rFonts w:ascii="宋体"/>
                <w:sz w:val="28"/>
              </w:rPr>
            </w:pPr>
          </w:p>
          <w:p>
            <w:pPr>
              <w:pStyle w:val="TableParagraph"/>
              <w:ind w:left="139"/>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2013" w:type="dxa"/>
          </w:tcPr>
          <w:p>
            <w:pPr>
              <w:pStyle w:val="TableParagraph"/>
              <w:spacing w:before="130"/>
              <w:ind w:left="158" w:right="125"/>
              <w:jc w:val="center"/>
              <w:rPr>
                <w:rFonts w:ascii="宋体" w:eastAsia="宋体" w:hint="eastAsia"/>
                <w:sz w:val="21"/>
              </w:rPr>
            </w:pPr>
            <w:r>
              <w:rPr>
                <w:rFonts w:ascii="宋体" w:eastAsia="宋体" w:hint="eastAsia"/>
                <w:sz w:val="21"/>
              </w:rPr>
              <w:t>占基金资产净值比</w:t>
            </w:r>
          </w:p>
          <w:p>
            <w:pPr>
              <w:pStyle w:val="TableParagraph"/>
              <w:spacing w:before="5"/>
              <w:rPr>
                <w:rFonts w:ascii="宋体"/>
                <w:sz w:val="15"/>
              </w:rPr>
            </w:pPr>
          </w:p>
          <w:p>
            <w:pPr>
              <w:pStyle w:val="TableParagraph"/>
              <w:ind w:left="158" w:right="125"/>
              <w:jc w:val="center"/>
              <w:rPr>
                <w:sz w:val="21"/>
              </w:rPr>
            </w:pPr>
            <w:r>
              <w:rPr>
                <w:rFonts w:ascii="宋体" w:eastAsia="宋体" w:hint="eastAsia"/>
                <w:sz w:val="21"/>
              </w:rPr>
              <w:t>例</w:t>
            </w:r>
            <w:r>
              <w:rPr>
                <w:sz w:val="21"/>
              </w:rPr>
              <w:t>(</w:t>
            </w:r>
            <w:r>
              <w:rPr>
                <w:rFonts w:ascii="宋体" w:eastAsia="宋体" w:hint="eastAsia"/>
                <w:sz w:val="21"/>
              </w:rPr>
              <w:t>％</w:t>
            </w:r>
            <w:r>
              <w:rPr>
                <w:sz w:val="21"/>
              </w:rPr>
              <w:t>)</w:t>
            </w:r>
          </w:p>
        </w:tc>
      </w:tr>
    </w:tbl>
    <w:p>
      <w:pPr>
        <w:spacing w:after="0"/>
        <w:jc w:val="center"/>
        <w:rPr>
          <w:sz w:val="21"/>
        </w:rPr>
        <w:sectPr>
          <w:pgSz w:w="11910" w:h="16840"/>
          <w:pgMar w:header="872" w:footer="995" w:top="1100" w:bottom="1180" w:left="1260" w:right="920"/>
        </w:sectPr>
      </w:pPr>
    </w:p>
    <w:p>
      <w:pPr>
        <w:pStyle w:val="BodyText"/>
        <w:spacing w:before="1"/>
        <w:rPr>
          <w:sz w:val="25"/>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7"/>
        <w:gridCol w:w="1484"/>
        <w:gridCol w:w="1387"/>
        <w:gridCol w:w="1231"/>
        <w:gridCol w:w="1439"/>
        <w:gridCol w:w="2013"/>
      </w:tblGrid>
      <w:tr>
        <w:trPr>
          <w:trHeight w:val="624" w:hRule="atLeast"/>
        </w:trPr>
        <w:tc>
          <w:tcPr>
            <w:tcW w:w="967" w:type="dxa"/>
          </w:tcPr>
          <w:p>
            <w:pPr>
              <w:pStyle w:val="TableParagraph"/>
              <w:spacing w:before="4"/>
              <w:rPr>
                <w:rFonts w:ascii="宋体"/>
                <w:sz w:val="14"/>
              </w:rPr>
            </w:pPr>
          </w:p>
          <w:p>
            <w:pPr>
              <w:pStyle w:val="TableParagraph"/>
              <w:spacing w:before="1"/>
              <w:ind w:right="418"/>
              <w:jc w:val="right"/>
              <w:rPr>
                <w:sz w:val="21"/>
              </w:rPr>
            </w:pPr>
            <w:r>
              <w:rPr>
                <w:w w:val="100"/>
                <w:sz w:val="21"/>
              </w:rPr>
              <w:t>1</w:t>
            </w:r>
          </w:p>
        </w:tc>
        <w:tc>
          <w:tcPr>
            <w:tcW w:w="1484" w:type="dxa"/>
          </w:tcPr>
          <w:p>
            <w:pPr>
              <w:pStyle w:val="TableParagraph"/>
              <w:spacing w:before="4"/>
              <w:rPr>
                <w:rFonts w:ascii="宋体"/>
                <w:sz w:val="14"/>
              </w:rPr>
            </w:pPr>
          </w:p>
          <w:p>
            <w:pPr>
              <w:pStyle w:val="TableParagraph"/>
              <w:spacing w:before="1"/>
              <w:ind w:left="84" w:right="79"/>
              <w:jc w:val="center"/>
              <w:rPr>
                <w:sz w:val="21"/>
              </w:rPr>
            </w:pPr>
            <w:r>
              <w:rPr>
                <w:sz w:val="21"/>
              </w:rPr>
              <w:t>200004</w:t>
            </w:r>
          </w:p>
        </w:tc>
        <w:tc>
          <w:tcPr>
            <w:tcW w:w="1387" w:type="dxa"/>
          </w:tcPr>
          <w:p>
            <w:pPr>
              <w:pStyle w:val="TableParagraph"/>
              <w:spacing w:before="23"/>
              <w:ind w:left="102" w:right="93"/>
              <w:jc w:val="center"/>
              <w:rPr>
                <w:rFonts w:ascii="宋体" w:eastAsia="宋体" w:hint="eastAsia"/>
                <w:sz w:val="21"/>
              </w:rPr>
            </w:pPr>
            <w:r>
              <w:rPr>
                <w:sz w:val="21"/>
              </w:rPr>
              <w:t>20 </w:t>
            </w:r>
            <w:r>
              <w:rPr>
                <w:rFonts w:ascii="宋体" w:eastAsia="宋体" w:hint="eastAsia"/>
                <w:sz w:val="21"/>
              </w:rPr>
              <w:t>附息国债</w:t>
            </w:r>
          </w:p>
          <w:p>
            <w:pPr>
              <w:pStyle w:val="TableParagraph"/>
              <w:spacing w:before="48"/>
              <w:ind w:left="102" w:right="93"/>
              <w:jc w:val="center"/>
              <w:rPr>
                <w:sz w:val="21"/>
              </w:rPr>
            </w:pPr>
            <w:r>
              <w:rPr>
                <w:sz w:val="21"/>
              </w:rPr>
              <w:t>04</w:t>
            </w:r>
          </w:p>
        </w:tc>
        <w:tc>
          <w:tcPr>
            <w:tcW w:w="1231" w:type="dxa"/>
          </w:tcPr>
          <w:p>
            <w:pPr>
              <w:pStyle w:val="TableParagraph"/>
              <w:spacing w:before="4"/>
              <w:rPr>
                <w:rFonts w:ascii="宋体"/>
                <w:sz w:val="14"/>
              </w:rPr>
            </w:pPr>
          </w:p>
          <w:p>
            <w:pPr>
              <w:pStyle w:val="TableParagraph"/>
              <w:spacing w:before="1"/>
              <w:ind w:left="147" w:right="77"/>
              <w:jc w:val="center"/>
              <w:rPr>
                <w:sz w:val="21"/>
              </w:rPr>
            </w:pPr>
            <w:r>
              <w:rPr>
                <w:sz w:val="21"/>
              </w:rPr>
              <w:t>20,000,000</w:t>
            </w:r>
          </w:p>
        </w:tc>
        <w:tc>
          <w:tcPr>
            <w:tcW w:w="1439" w:type="dxa"/>
          </w:tcPr>
          <w:p>
            <w:pPr>
              <w:pStyle w:val="TableParagraph"/>
              <w:spacing w:before="4"/>
              <w:rPr>
                <w:rFonts w:ascii="宋体"/>
                <w:sz w:val="14"/>
              </w:rPr>
            </w:pPr>
          </w:p>
          <w:p>
            <w:pPr>
              <w:pStyle w:val="TableParagraph"/>
              <w:spacing w:before="1"/>
              <w:ind w:left="110"/>
              <w:rPr>
                <w:sz w:val="21"/>
              </w:rPr>
            </w:pPr>
            <w:r>
              <w:rPr>
                <w:sz w:val="21"/>
              </w:rPr>
              <w:t>19,396,000.00</w:t>
            </w:r>
          </w:p>
        </w:tc>
        <w:tc>
          <w:tcPr>
            <w:tcW w:w="2013" w:type="dxa"/>
          </w:tcPr>
          <w:p>
            <w:pPr>
              <w:pStyle w:val="TableParagraph"/>
              <w:spacing w:before="4"/>
              <w:rPr>
                <w:rFonts w:ascii="宋体"/>
                <w:sz w:val="14"/>
              </w:rPr>
            </w:pPr>
          </w:p>
          <w:p>
            <w:pPr>
              <w:pStyle w:val="TableParagraph"/>
              <w:spacing w:before="1"/>
              <w:ind w:right="92"/>
              <w:jc w:val="right"/>
              <w:rPr>
                <w:sz w:val="21"/>
              </w:rPr>
            </w:pPr>
            <w:r>
              <w:rPr>
                <w:sz w:val="21"/>
              </w:rPr>
              <w:t>4.62</w:t>
            </w:r>
          </w:p>
        </w:tc>
      </w:tr>
      <w:tr>
        <w:trPr>
          <w:trHeight w:val="1247" w:hRule="atLeast"/>
        </w:trPr>
        <w:tc>
          <w:tcPr>
            <w:tcW w:w="967" w:type="dxa"/>
          </w:tcPr>
          <w:p>
            <w:pPr>
              <w:pStyle w:val="TableParagraph"/>
              <w:rPr>
                <w:rFonts w:ascii="宋体"/>
                <w:sz w:val="20"/>
              </w:rPr>
            </w:pPr>
          </w:p>
          <w:p>
            <w:pPr>
              <w:pStyle w:val="TableParagraph"/>
              <w:spacing w:before="8"/>
              <w:rPr>
                <w:rFonts w:ascii="宋体"/>
                <w:sz w:val="18"/>
              </w:rPr>
            </w:pPr>
          </w:p>
          <w:p>
            <w:pPr>
              <w:pStyle w:val="TableParagraph"/>
              <w:spacing w:before="1"/>
              <w:ind w:right="418"/>
              <w:jc w:val="right"/>
              <w:rPr>
                <w:sz w:val="21"/>
              </w:rPr>
            </w:pPr>
            <w:r>
              <w:rPr>
                <w:w w:val="100"/>
                <w:sz w:val="21"/>
              </w:rPr>
              <w:t>2</w:t>
            </w:r>
          </w:p>
        </w:tc>
        <w:tc>
          <w:tcPr>
            <w:tcW w:w="1484" w:type="dxa"/>
          </w:tcPr>
          <w:p>
            <w:pPr>
              <w:pStyle w:val="TableParagraph"/>
              <w:rPr>
                <w:rFonts w:ascii="宋体"/>
                <w:sz w:val="20"/>
              </w:rPr>
            </w:pPr>
          </w:p>
          <w:p>
            <w:pPr>
              <w:pStyle w:val="TableParagraph"/>
              <w:spacing w:before="8"/>
              <w:rPr>
                <w:rFonts w:ascii="宋体"/>
                <w:sz w:val="18"/>
              </w:rPr>
            </w:pPr>
          </w:p>
          <w:p>
            <w:pPr>
              <w:pStyle w:val="TableParagraph"/>
              <w:spacing w:before="1"/>
              <w:ind w:left="84" w:right="80"/>
              <w:jc w:val="center"/>
              <w:rPr>
                <w:sz w:val="21"/>
              </w:rPr>
            </w:pPr>
            <w:r>
              <w:rPr>
                <w:sz w:val="21"/>
              </w:rPr>
              <w:t>XS1880442717</w:t>
            </w:r>
          </w:p>
        </w:tc>
        <w:tc>
          <w:tcPr>
            <w:tcW w:w="1387" w:type="dxa"/>
          </w:tcPr>
          <w:p>
            <w:pPr>
              <w:pStyle w:val="TableParagraph"/>
              <w:spacing w:line="292" w:lineRule="auto" w:before="28"/>
              <w:ind w:left="239" w:right="211" w:firstLine="86"/>
              <w:jc w:val="center"/>
              <w:rPr>
                <w:sz w:val="21"/>
              </w:rPr>
            </w:pPr>
            <w:r>
              <w:rPr>
                <w:sz w:val="21"/>
              </w:rPr>
              <w:t>COUNTRY GARDEN HOLDINGS</w:t>
            </w:r>
          </w:p>
          <w:p>
            <w:pPr>
              <w:pStyle w:val="TableParagraph"/>
              <w:spacing w:line="254" w:lineRule="exact"/>
              <w:ind w:left="100" w:right="93"/>
              <w:jc w:val="center"/>
              <w:rPr>
                <w:sz w:val="21"/>
              </w:rPr>
            </w:pPr>
            <w:r>
              <w:rPr>
                <w:sz w:val="21"/>
              </w:rPr>
              <w:t>CO LTD</w:t>
            </w:r>
          </w:p>
        </w:tc>
        <w:tc>
          <w:tcPr>
            <w:tcW w:w="1231" w:type="dxa"/>
          </w:tcPr>
          <w:p>
            <w:pPr>
              <w:pStyle w:val="TableParagraph"/>
              <w:rPr>
                <w:rFonts w:ascii="宋体"/>
                <w:sz w:val="20"/>
              </w:rPr>
            </w:pPr>
          </w:p>
          <w:p>
            <w:pPr>
              <w:pStyle w:val="TableParagraph"/>
              <w:spacing w:before="8"/>
              <w:rPr>
                <w:rFonts w:ascii="宋体"/>
                <w:sz w:val="18"/>
              </w:rPr>
            </w:pPr>
          </w:p>
          <w:p>
            <w:pPr>
              <w:pStyle w:val="TableParagraph"/>
              <w:spacing w:before="1"/>
              <w:ind w:left="147" w:right="77"/>
              <w:jc w:val="center"/>
              <w:rPr>
                <w:sz w:val="21"/>
              </w:rPr>
            </w:pPr>
            <w:r>
              <w:rPr>
                <w:sz w:val="21"/>
              </w:rPr>
              <w:t>14,159,000</w:t>
            </w:r>
          </w:p>
        </w:tc>
        <w:tc>
          <w:tcPr>
            <w:tcW w:w="1439" w:type="dxa"/>
          </w:tcPr>
          <w:p>
            <w:pPr>
              <w:pStyle w:val="TableParagraph"/>
              <w:rPr>
                <w:rFonts w:ascii="宋体"/>
                <w:sz w:val="20"/>
              </w:rPr>
            </w:pPr>
          </w:p>
          <w:p>
            <w:pPr>
              <w:pStyle w:val="TableParagraph"/>
              <w:spacing w:before="8"/>
              <w:rPr>
                <w:rFonts w:ascii="宋体"/>
                <w:sz w:val="18"/>
              </w:rPr>
            </w:pPr>
          </w:p>
          <w:p>
            <w:pPr>
              <w:pStyle w:val="TableParagraph"/>
              <w:spacing w:before="1"/>
              <w:ind w:left="110"/>
              <w:rPr>
                <w:sz w:val="21"/>
              </w:rPr>
            </w:pPr>
            <w:r>
              <w:rPr>
                <w:sz w:val="21"/>
              </w:rPr>
              <w:t>15,294,693.39</w:t>
            </w:r>
          </w:p>
        </w:tc>
        <w:tc>
          <w:tcPr>
            <w:tcW w:w="2013" w:type="dxa"/>
          </w:tcPr>
          <w:p>
            <w:pPr>
              <w:pStyle w:val="TableParagraph"/>
              <w:rPr>
                <w:rFonts w:ascii="宋体"/>
                <w:sz w:val="20"/>
              </w:rPr>
            </w:pPr>
          </w:p>
          <w:p>
            <w:pPr>
              <w:pStyle w:val="TableParagraph"/>
              <w:spacing w:before="8"/>
              <w:rPr>
                <w:rFonts w:ascii="宋体"/>
                <w:sz w:val="18"/>
              </w:rPr>
            </w:pPr>
          </w:p>
          <w:p>
            <w:pPr>
              <w:pStyle w:val="TableParagraph"/>
              <w:spacing w:before="1"/>
              <w:ind w:right="92"/>
              <w:jc w:val="right"/>
              <w:rPr>
                <w:sz w:val="21"/>
              </w:rPr>
            </w:pPr>
            <w:r>
              <w:rPr>
                <w:sz w:val="21"/>
              </w:rPr>
              <w:t>3.65</w:t>
            </w:r>
          </w:p>
        </w:tc>
      </w:tr>
      <w:tr>
        <w:trPr>
          <w:trHeight w:val="1247" w:hRule="atLeast"/>
        </w:trPr>
        <w:tc>
          <w:tcPr>
            <w:tcW w:w="967" w:type="dxa"/>
          </w:tcPr>
          <w:p>
            <w:pPr>
              <w:pStyle w:val="TableParagraph"/>
              <w:rPr>
                <w:rFonts w:ascii="宋体"/>
                <w:sz w:val="20"/>
              </w:rPr>
            </w:pPr>
          </w:p>
          <w:p>
            <w:pPr>
              <w:pStyle w:val="TableParagraph"/>
              <w:spacing w:before="8"/>
              <w:rPr>
                <w:rFonts w:ascii="宋体"/>
                <w:sz w:val="18"/>
              </w:rPr>
            </w:pPr>
          </w:p>
          <w:p>
            <w:pPr>
              <w:pStyle w:val="TableParagraph"/>
              <w:spacing w:before="1"/>
              <w:ind w:right="418"/>
              <w:jc w:val="right"/>
              <w:rPr>
                <w:sz w:val="21"/>
              </w:rPr>
            </w:pPr>
            <w:r>
              <w:rPr>
                <w:w w:val="100"/>
                <w:sz w:val="21"/>
              </w:rPr>
              <w:t>3</w:t>
            </w:r>
          </w:p>
        </w:tc>
        <w:tc>
          <w:tcPr>
            <w:tcW w:w="1484" w:type="dxa"/>
          </w:tcPr>
          <w:p>
            <w:pPr>
              <w:pStyle w:val="TableParagraph"/>
              <w:rPr>
                <w:rFonts w:ascii="宋体"/>
                <w:sz w:val="20"/>
              </w:rPr>
            </w:pPr>
          </w:p>
          <w:p>
            <w:pPr>
              <w:pStyle w:val="TableParagraph"/>
              <w:spacing w:before="8"/>
              <w:rPr>
                <w:rFonts w:ascii="宋体"/>
                <w:sz w:val="18"/>
              </w:rPr>
            </w:pPr>
          </w:p>
          <w:p>
            <w:pPr>
              <w:pStyle w:val="TableParagraph"/>
              <w:spacing w:before="1"/>
              <w:ind w:left="84" w:right="80"/>
              <w:jc w:val="center"/>
              <w:rPr>
                <w:sz w:val="21"/>
              </w:rPr>
            </w:pPr>
            <w:r>
              <w:rPr>
                <w:sz w:val="21"/>
              </w:rPr>
              <w:t>XS1602480334</w:t>
            </w:r>
          </w:p>
        </w:tc>
        <w:tc>
          <w:tcPr>
            <w:tcW w:w="1387" w:type="dxa"/>
          </w:tcPr>
          <w:p>
            <w:pPr>
              <w:pStyle w:val="TableParagraph"/>
              <w:spacing w:line="292" w:lineRule="auto" w:before="28"/>
              <w:ind w:left="239" w:right="227" w:firstLine="105"/>
              <w:jc w:val="center"/>
              <w:rPr>
                <w:sz w:val="21"/>
              </w:rPr>
            </w:pPr>
            <w:r>
              <w:rPr>
                <w:sz w:val="21"/>
              </w:rPr>
              <w:t>TIMES CHINA HOLDINGS</w:t>
            </w:r>
          </w:p>
          <w:p>
            <w:pPr>
              <w:pStyle w:val="TableParagraph"/>
              <w:spacing w:line="254" w:lineRule="exact"/>
              <w:ind w:left="102" w:right="93"/>
              <w:jc w:val="center"/>
              <w:rPr>
                <w:sz w:val="21"/>
              </w:rPr>
            </w:pPr>
            <w:r>
              <w:rPr>
                <w:sz w:val="21"/>
              </w:rPr>
              <w:t>LTD</w:t>
            </w:r>
          </w:p>
        </w:tc>
        <w:tc>
          <w:tcPr>
            <w:tcW w:w="1231" w:type="dxa"/>
          </w:tcPr>
          <w:p>
            <w:pPr>
              <w:pStyle w:val="TableParagraph"/>
              <w:rPr>
                <w:rFonts w:ascii="宋体"/>
                <w:sz w:val="20"/>
              </w:rPr>
            </w:pPr>
          </w:p>
          <w:p>
            <w:pPr>
              <w:pStyle w:val="TableParagraph"/>
              <w:spacing w:before="8"/>
              <w:rPr>
                <w:rFonts w:ascii="宋体"/>
                <w:sz w:val="18"/>
              </w:rPr>
            </w:pPr>
          </w:p>
          <w:p>
            <w:pPr>
              <w:pStyle w:val="TableParagraph"/>
              <w:spacing w:before="1"/>
              <w:ind w:left="147" w:right="77"/>
              <w:jc w:val="center"/>
              <w:rPr>
                <w:sz w:val="21"/>
              </w:rPr>
            </w:pPr>
            <w:r>
              <w:rPr>
                <w:sz w:val="21"/>
              </w:rPr>
              <w:t>14,159,000</w:t>
            </w:r>
          </w:p>
        </w:tc>
        <w:tc>
          <w:tcPr>
            <w:tcW w:w="1439" w:type="dxa"/>
          </w:tcPr>
          <w:p>
            <w:pPr>
              <w:pStyle w:val="TableParagraph"/>
              <w:rPr>
                <w:rFonts w:ascii="宋体"/>
                <w:sz w:val="20"/>
              </w:rPr>
            </w:pPr>
          </w:p>
          <w:p>
            <w:pPr>
              <w:pStyle w:val="TableParagraph"/>
              <w:spacing w:before="8"/>
              <w:rPr>
                <w:rFonts w:ascii="宋体"/>
                <w:sz w:val="18"/>
              </w:rPr>
            </w:pPr>
          </w:p>
          <w:p>
            <w:pPr>
              <w:pStyle w:val="TableParagraph"/>
              <w:spacing w:before="1"/>
              <w:ind w:left="110"/>
              <w:rPr>
                <w:sz w:val="21"/>
              </w:rPr>
            </w:pPr>
            <w:r>
              <w:rPr>
                <w:sz w:val="21"/>
              </w:rPr>
              <w:t>14,153,902.76</w:t>
            </w:r>
          </w:p>
        </w:tc>
        <w:tc>
          <w:tcPr>
            <w:tcW w:w="2013" w:type="dxa"/>
          </w:tcPr>
          <w:p>
            <w:pPr>
              <w:pStyle w:val="TableParagraph"/>
              <w:rPr>
                <w:rFonts w:ascii="宋体"/>
                <w:sz w:val="20"/>
              </w:rPr>
            </w:pPr>
          </w:p>
          <w:p>
            <w:pPr>
              <w:pStyle w:val="TableParagraph"/>
              <w:spacing w:before="8"/>
              <w:rPr>
                <w:rFonts w:ascii="宋体"/>
                <w:sz w:val="18"/>
              </w:rPr>
            </w:pPr>
          </w:p>
          <w:p>
            <w:pPr>
              <w:pStyle w:val="TableParagraph"/>
              <w:spacing w:before="1"/>
              <w:ind w:right="92"/>
              <w:jc w:val="right"/>
              <w:rPr>
                <w:sz w:val="21"/>
              </w:rPr>
            </w:pPr>
            <w:r>
              <w:rPr>
                <w:sz w:val="21"/>
              </w:rPr>
              <w:t>3.37</w:t>
            </w:r>
          </w:p>
        </w:tc>
      </w:tr>
      <w:tr>
        <w:trPr>
          <w:trHeight w:val="938" w:hRule="atLeast"/>
        </w:trPr>
        <w:tc>
          <w:tcPr>
            <w:tcW w:w="967" w:type="dxa"/>
          </w:tcPr>
          <w:p>
            <w:pPr>
              <w:pStyle w:val="TableParagraph"/>
              <w:spacing w:before="9"/>
              <w:rPr>
                <w:rFonts w:ascii="宋体"/>
                <w:sz w:val="26"/>
              </w:rPr>
            </w:pPr>
          </w:p>
          <w:p>
            <w:pPr>
              <w:pStyle w:val="TableParagraph"/>
              <w:ind w:right="418"/>
              <w:jc w:val="right"/>
              <w:rPr>
                <w:sz w:val="21"/>
              </w:rPr>
            </w:pPr>
            <w:r>
              <w:rPr>
                <w:w w:val="100"/>
                <w:sz w:val="21"/>
              </w:rPr>
              <w:t>4</w:t>
            </w:r>
          </w:p>
        </w:tc>
        <w:tc>
          <w:tcPr>
            <w:tcW w:w="1484" w:type="dxa"/>
          </w:tcPr>
          <w:p>
            <w:pPr>
              <w:pStyle w:val="TableParagraph"/>
              <w:spacing w:before="9"/>
              <w:rPr>
                <w:rFonts w:ascii="宋体"/>
                <w:sz w:val="26"/>
              </w:rPr>
            </w:pPr>
          </w:p>
          <w:p>
            <w:pPr>
              <w:pStyle w:val="TableParagraph"/>
              <w:ind w:left="84" w:right="80"/>
              <w:jc w:val="center"/>
              <w:rPr>
                <w:sz w:val="21"/>
              </w:rPr>
            </w:pPr>
            <w:r>
              <w:rPr>
                <w:sz w:val="21"/>
              </w:rPr>
              <w:t>XS1982036961</w:t>
            </w:r>
          </w:p>
        </w:tc>
        <w:tc>
          <w:tcPr>
            <w:tcW w:w="1387" w:type="dxa"/>
          </w:tcPr>
          <w:p>
            <w:pPr>
              <w:pStyle w:val="TableParagraph"/>
              <w:spacing w:before="30"/>
              <w:ind w:left="104" w:right="93"/>
              <w:jc w:val="center"/>
              <w:rPr>
                <w:sz w:val="21"/>
              </w:rPr>
            </w:pPr>
            <w:r>
              <w:rPr>
                <w:sz w:val="21"/>
              </w:rPr>
              <w:t>CHINA</w:t>
            </w:r>
          </w:p>
          <w:p>
            <w:pPr>
              <w:pStyle w:val="TableParagraph"/>
              <w:spacing w:line="310" w:lineRule="atLeast" w:before="3"/>
              <w:ind w:left="107" w:right="93"/>
              <w:jc w:val="center"/>
              <w:rPr>
                <w:sz w:val="21"/>
              </w:rPr>
            </w:pPr>
            <w:r>
              <w:rPr>
                <w:spacing w:val="-1"/>
                <w:sz w:val="21"/>
              </w:rPr>
              <w:t>EVERGRANDE </w:t>
            </w:r>
            <w:r>
              <w:rPr>
                <w:sz w:val="21"/>
              </w:rPr>
              <w:t>GROUP</w:t>
            </w:r>
          </w:p>
        </w:tc>
        <w:tc>
          <w:tcPr>
            <w:tcW w:w="1231" w:type="dxa"/>
          </w:tcPr>
          <w:p>
            <w:pPr>
              <w:pStyle w:val="TableParagraph"/>
              <w:spacing w:before="9"/>
              <w:rPr>
                <w:rFonts w:ascii="宋体"/>
                <w:sz w:val="26"/>
              </w:rPr>
            </w:pPr>
          </w:p>
          <w:p>
            <w:pPr>
              <w:pStyle w:val="TableParagraph"/>
              <w:ind w:left="147" w:right="77"/>
              <w:jc w:val="center"/>
              <w:rPr>
                <w:sz w:val="21"/>
              </w:rPr>
            </w:pPr>
            <w:r>
              <w:rPr>
                <w:sz w:val="21"/>
              </w:rPr>
              <w:t>14,159,000</w:t>
            </w:r>
          </w:p>
        </w:tc>
        <w:tc>
          <w:tcPr>
            <w:tcW w:w="1439" w:type="dxa"/>
          </w:tcPr>
          <w:p>
            <w:pPr>
              <w:pStyle w:val="TableParagraph"/>
              <w:spacing w:before="9"/>
              <w:rPr>
                <w:rFonts w:ascii="宋体"/>
                <w:sz w:val="26"/>
              </w:rPr>
            </w:pPr>
          </w:p>
          <w:p>
            <w:pPr>
              <w:pStyle w:val="TableParagraph"/>
              <w:ind w:left="110"/>
              <w:rPr>
                <w:sz w:val="21"/>
              </w:rPr>
            </w:pPr>
            <w:r>
              <w:rPr>
                <w:sz w:val="21"/>
              </w:rPr>
              <w:t>13,254,664.67</w:t>
            </w:r>
          </w:p>
        </w:tc>
        <w:tc>
          <w:tcPr>
            <w:tcW w:w="2013" w:type="dxa"/>
          </w:tcPr>
          <w:p>
            <w:pPr>
              <w:pStyle w:val="TableParagraph"/>
              <w:spacing w:before="9"/>
              <w:rPr>
                <w:rFonts w:ascii="宋体"/>
                <w:sz w:val="26"/>
              </w:rPr>
            </w:pPr>
          </w:p>
          <w:p>
            <w:pPr>
              <w:pStyle w:val="TableParagraph"/>
              <w:ind w:right="92"/>
              <w:jc w:val="right"/>
              <w:rPr>
                <w:sz w:val="21"/>
              </w:rPr>
            </w:pPr>
            <w:r>
              <w:rPr>
                <w:sz w:val="21"/>
              </w:rPr>
              <w:t>3.16</w:t>
            </w:r>
          </w:p>
        </w:tc>
      </w:tr>
      <w:tr>
        <w:trPr>
          <w:trHeight w:val="1247" w:hRule="atLeast"/>
        </w:trPr>
        <w:tc>
          <w:tcPr>
            <w:tcW w:w="967" w:type="dxa"/>
          </w:tcPr>
          <w:p>
            <w:pPr>
              <w:pStyle w:val="TableParagraph"/>
              <w:rPr>
                <w:rFonts w:ascii="宋体"/>
                <w:sz w:val="20"/>
              </w:rPr>
            </w:pPr>
          </w:p>
          <w:p>
            <w:pPr>
              <w:pStyle w:val="TableParagraph"/>
              <w:spacing w:before="8"/>
              <w:rPr>
                <w:rFonts w:ascii="宋体"/>
                <w:sz w:val="18"/>
              </w:rPr>
            </w:pPr>
          </w:p>
          <w:p>
            <w:pPr>
              <w:pStyle w:val="TableParagraph"/>
              <w:spacing w:before="1"/>
              <w:ind w:right="418"/>
              <w:jc w:val="right"/>
              <w:rPr>
                <w:sz w:val="21"/>
              </w:rPr>
            </w:pPr>
            <w:r>
              <w:rPr>
                <w:w w:val="100"/>
                <w:sz w:val="21"/>
              </w:rPr>
              <w:t>5</w:t>
            </w:r>
          </w:p>
        </w:tc>
        <w:tc>
          <w:tcPr>
            <w:tcW w:w="1484" w:type="dxa"/>
          </w:tcPr>
          <w:p>
            <w:pPr>
              <w:pStyle w:val="TableParagraph"/>
              <w:rPr>
                <w:rFonts w:ascii="宋体"/>
                <w:sz w:val="20"/>
              </w:rPr>
            </w:pPr>
          </w:p>
          <w:p>
            <w:pPr>
              <w:pStyle w:val="TableParagraph"/>
              <w:spacing w:before="8"/>
              <w:rPr>
                <w:rFonts w:ascii="宋体"/>
                <w:sz w:val="18"/>
              </w:rPr>
            </w:pPr>
          </w:p>
          <w:p>
            <w:pPr>
              <w:pStyle w:val="TableParagraph"/>
              <w:spacing w:before="1"/>
              <w:ind w:left="84" w:right="80"/>
              <w:jc w:val="center"/>
              <w:rPr>
                <w:sz w:val="21"/>
              </w:rPr>
            </w:pPr>
            <w:r>
              <w:rPr>
                <w:sz w:val="21"/>
              </w:rPr>
              <w:t>XS1795479291</w:t>
            </w:r>
          </w:p>
        </w:tc>
        <w:tc>
          <w:tcPr>
            <w:tcW w:w="1387" w:type="dxa"/>
          </w:tcPr>
          <w:p>
            <w:pPr>
              <w:pStyle w:val="TableParagraph"/>
              <w:spacing w:line="292" w:lineRule="auto" w:before="28"/>
              <w:ind w:left="239" w:right="172" w:firstLine="50"/>
              <w:jc w:val="center"/>
              <w:rPr>
                <w:sz w:val="21"/>
              </w:rPr>
            </w:pPr>
            <w:r>
              <w:rPr>
                <w:sz w:val="21"/>
              </w:rPr>
              <w:t>CHINA SCE GROUP HOLDINGS</w:t>
            </w:r>
          </w:p>
          <w:p>
            <w:pPr>
              <w:pStyle w:val="TableParagraph"/>
              <w:spacing w:line="254" w:lineRule="exact"/>
              <w:ind w:left="102" w:right="93"/>
              <w:jc w:val="center"/>
              <w:rPr>
                <w:sz w:val="21"/>
              </w:rPr>
            </w:pPr>
            <w:r>
              <w:rPr>
                <w:sz w:val="21"/>
              </w:rPr>
              <w:t>LTD</w:t>
            </w:r>
          </w:p>
        </w:tc>
        <w:tc>
          <w:tcPr>
            <w:tcW w:w="1231" w:type="dxa"/>
          </w:tcPr>
          <w:p>
            <w:pPr>
              <w:pStyle w:val="TableParagraph"/>
              <w:rPr>
                <w:rFonts w:ascii="宋体"/>
                <w:sz w:val="20"/>
              </w:rPr>
            </w:pPr>
          </w:p>
          <w:p>
            <w:pPr>
              <w:pStyle w:val="TableParagraph"/>
              <w:spacing w:before="8"/>
              <w:rPr>
                <w:rFonts w:ascii="宋体"/>
                <w:sz w:val="18"/>
              </w:rPr>
            </w:pPr>
          </w:p>
          <w:p>
            <w:pPr>
              <w:pStyle w:val="TableParagraph"/>
              <w:spacing w:before="1"/>
              <w:ind w:left="147" w:right="77"/>
              <w:jc w:val="center"/>
              <w:rPr>
                <w:sz w:val="21"/>
              </w:rPr>
            </w:pPr>
            <w:r>
              <w:rPr>
                <w:sz w:val="21"/>
              </w:rPr>
              <w:t>12,743,100</w:t>
            </w:r>
          </w:p>
        </w:tc>
        <w:tc>
          <w:tcPr>
            <w:tcW w:w="1439" w:type="dxa"/>
          </w:tcPr>
          <w:p>
            <w:pPr>
              <w:pStyle w:val="TableParagraph"/>
              <w:rPr>
                <w:rFonts w:ascii="宋体"/>
                <w:sz w:val="20"/>
              </w:rPr>
            </w:pPr>
          </w:p>
          <w:p>
            <w:pPr>
              <w:pStyle w:val="TableParagraph"/>
              <w:spacing w:before="8"/>
              <w:rPr>
                <w:rFonts w:ascii="宋体"/>
                <w:sz w:val="18"/>
              </w:rPr>
            </w:pPr>
          </w:p>
          <w:p>
            <w:pPr>
              <w:pStyle w:val="TableParagraph"/>
              <w:spacing w:before="1"/>
              <w:ind w:left="110"/>
              <w:rPr>
                <w:sz w:val="21"/>
              </w:rPr>
            </w:pPr>
            <w:r>
              <w:rPr>
                <w:sz w:val="21"/>
              </w:rPr>
              <w:t>12,829,625.65</w:t>
            </w:r>
          </w:p>
        </w:tc>
        <w:tc>
          <w:tcPr>
            <w:tcW w:w="2013" w:type="dxa"/>
          </w:tcPr>
          <w:p>
            <w:pPr>
              <w:pStyle w:val="TableParagraph"/>
              <w:rPr>
                <w:rFonts w:ascii="宋体"/>
                <w:sz w:val="20"/>
              </w:rPr>
            </w:pPr>
          </w:p>
          <w:p>
            <w:pPr>
              <w:pStyle w:val="TableParagraph"/>
              <w:spacing w:before="8"/>
              <w:rPr>
                <w:rFonts w:ascii="宋体"/>
                <w:sz w:val="18"/>
              </w:rPr>
            </w:pPr>
          </w:p>
          <w:p>
            <w:pPr>
              <w:pStyle w:val="TableParagraph"/>
              <w:spacing w:before="1"/>
              <w:ind w:right="92"/>
              <w:jc w:val="right"/>
              <w:rPr>
                <w:sz w:val="21"/>
              </w:rPr>
            </w:pPr>
            <w:r>
              <w:rPr>
                <w:sz w:val="21"/>
              </w:rPr>
              <w:t>3.06</w:t>
            </w:r>
          </w:p>
        </w:tc>
      </w:tr>
    </w:tbl>
    <w:p>
      <w:pPr>
        <w:pStyle w:val="BodyText"/>
        <w:spacing w:before="99"/>
        <w:ind w:left="960"/>
      </w:pPr>
      <w:r>
        <w:rPr/>
        <w:t>注：</w:t>
      </w:r>
      <w:r>
        <w:rPr>
          <w:rFonts w:ascii="Calibri" w:hAnsi="Calibri" w:eastAsia="Calibri"/>
        </w:rPr>
        <w:t>①</w:t>
      </w:r>
      <w:r>
        <w:rPr/>
        <w:t>债券代码为 </w:t>
      </w:r>
      <w:r>
        <w:rPr>
          <w:rFonts w:ascii="Calibri" w:hAnsi="Calibri" w:eastAsia="Calibri"/>
        </w:rPr>
        <w:t>ISIN </w:t>
      </w:r>
      <w:r>
        <w:rPr/>
        <w:t>或当地市场代码。</w:t>
      </w:r>
    </w:p>
    <w:p>
      <w:pPr>
        <w:pStyle w:val="BodyText"/>
        <w:spacing w:before="7"/>
        <w:rPr>
          <w:sz w:val="15"/>
        </w:rPr>
      </w:pPr>
    </w:p>
    <w:p>
      <w:pPr>
        <w:pStyle w:val="BodyText"/>
        <w:ind w:left="960"/>
      </w:pPr>
      <w:r>
        <w:rPr>
          <w:rFonts w:ascii="Calibri" w:hAnsi="Calibri" w:eastAsia="Calibri"/>
        </w:rPr>
        <w:t>②</w:t>
      </w:r>
      <w:r>
        <w:rPr/>
        <w:t>数量列示债券面值，外币按照期末估值汇率折为人民币，四舍五入保留整数。</w:t>
      </w:r>
    </w:p>
    <w:p>
      <w:pPr>
        <w:pStyle w:val="BodyText"/>
        <w:spacing w:before="7"/>
        <w:rPr>
          <w:sz w:val="15"/>
        </w:rPr>
      </w:pPr>
    </w:p>
    <w:p>
      <w:pPr>
        <w:pStyle w:val="ListParagraph"/>
        <w:numPr>
          <w:ilvl w:val="1"/>
          <w:numId w:val="10"/>
        </w:numPr>
        <w:tabs>
          <w:tab w:pos="860" w:val="left" w:leader="none"/>
        </w:tabs>
        <w:spacing w:line="417" w:lineRule="auto" w:before="0" w:after="0"/>
        <w:ind w:left="960" w:right="1298" w:hanging="420"/>
        <w:jc w:val="left"/>
        <w:rPr>
          <w:sz w:val="21"/>
        </w:rPr>
      </w:pPr>
      <w:r>
        <w:rPr>
          <w:spacing w:val="-3"/>
          <w:sz w:val="21"/>
        </w:rPr>
        <w:t>报告期末按公允价值占基金资产净值比例大小排名的前十名资产支持证券投资明细本基金本报告期末未持有资产支持证券。</w:t>
      </w:r>
    </w:p>
    <w:p>
      <w:pPr>
        <w:pStyle w:val="ListParagraph"/>
        <w:numPr>
          <w:ilvl w:val="1"/>
          <w:numId w:val="10"/>
        </w:numPr>
        <w:tabs>
          <w:tab w:pos="860" w:val="left" w:leader="none"/>
        </w:tabs>
        <w:spacing w:line="240" w:lineRule="auto" w:before="0" w:after="0"/>
        <w:ind w:left="859" w:right="0" w:hanging="320"/>
        <w:jc w:val="left"/>
        <w:rPr>
          <w:sz w:val="21"/>
        </w:rPr>
      </w:pPr>
      <w:r>
        <w:rPr>
          <w:spacing w:val="-3"/>
          <w:sz w:val="21"/>
        </w:rPr>
        <w:t>报告期末按公允价值占基金资产净值比例大小排名的前五名金融衍生品投资明细</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1735"/>
        <w:gridCol w:w="1735"/>
        <w:gridCol w:w="1823"/>
        <w:gridCol w:w="2107"/>
      </w:tblGrid>
      <w:tr>
        <w:trPr>
          <w:trHeight w:val="993" w:hRule="atLeast"/>
        </w:trPr>
        <w:tc>
          <w:tcPr>
            <w:tcW w:w="1670" w:type="dxa"/>
          </w:tcPr>
          <w:p>
            <w:pPr>
              <w:pStyle w:val="TableParagraph"/>
              <w:spacing w:before="8"/>
              <w:rPr>
                <w:rFonts w:ascii="宋体"/>
                <w:sz w:val="29"/>
              </w:rPr>
            </w:pPr>
          </w:p>
          <w:p>
            <w:pPr>
              <w:pStyle w:val="TableParagraph"/>
              <w:ind w:left="612" w:right="588"/>
              <w:jc w:val="center"/>
              <w:rPr>
                <w:rFonts w:ascii="宋体" w:eastAsia="宋体" w:hint="eastAsia"/>
                <w:sz w:val="21"/>
              </w:rPr>
            </w:pPr>
            <w:r>
              <w:rPr>
                <w:rFonts w:ascii="宋体" w:eastAsia="宋体" w:hint="eastAsia"/>
                <w:sz w:val="21"/>
              </w:rPr>
              <w:t>序号</w:t>
            </w:r>
          </w:p>
        </w:tc>
        <w:tc>
          <w:tcPr>
            <w:tcW w:w="1735" w:type="dxa"/>
          </w:tcPr>
          <w:p>
            <w:pPr>
              <w:pStyle w:val="TableParagraph"/>
              <w:spacing w:before="8"/>
              <w:rPr>
                <w:rFonts w:ascii="宋体"/>
                <w:sz w:val="29"/>
              </w:rPr>
            </w:pPr>
          </w:p>
          <w:p>
            <w:pPr>
              <w:pStyle w:val="TableParagraph"/>
              <w:ind w:left="114" w:right="88"/>
              <w:jc w:val="center"/>
              <w:rPr>
                <w:rFonts w:ascii="宋体" w:eastAsia="宋体" w:hint="eastAsia"/>
                <w:sz w:val="21"/>
              </w:rPr>
            </w:pPr>
            <w:r>
              <w:rPr>
                <w:rFonts w:ascii="宋体" w:eastAsia="宋体" w:hint="eastAsia"/>
                <w:sz w:val="21"/>
              </w:rPr>
              <w:t>衍生品类别</w:t>
            </w:r>
          </w:p>
        </w:tc>
        <w:tc>
          <w:tcPr>
            <w:tcW w:w="1735" w:type="dxa"/>
          </w:tcPr>
          <w:p>
            <w:pPr>
              <w:pStyle w:val="TableParagraph"/>
              <w:spacing w:before="8"/>
              <w:rPr>
                <w:rFonts w:ascii="宋体"/>
                <w:sz w:val="29"/>
              </w:rPr>
            </w:pPr>
          </w:p>
          <w:p>
            <w:pPr>
              <w:pStyle w:val="TableParagraph"/>
              <w:ind w:left="114" w:right="88"/>
              <w:jc w:val="center"/>
              <w:rPr>
                <w:rFonts w:ascii="宋体" w:eastAsia="宋体" w:hint="eastAsia"/>
                <w:sz w:val="21"/>
              </w:rPr>
            </w:pPr>
            <w:r>
              <w:rPr>
                <w:rFonts w:ascii="宋体" w:eastAsia="宋体" w:hint="eastAsia"/>
                <w:sz w:val="21"/>
              </w:rPr>
              <w:t>衍生品名称</w:t>
            </w:r>
          </w:p>
        </w:tc>
        <w:tc>
          <w:tcPr>
            <w:tcW w:w="1823" w:type="dxa"/>
          </w:tcPr>
          <w:p>
            <w:pPr>
              <w:pStyle w:val="TableParagraph"/>
              <w:spacing w:before="130"/>
              <w:ind w:left="481" w:right="451"/>
              <w:jc w:val="center"/>
              <w:rPr>
                <w:rFonts w:ascii="宋体" w:eastAsia="宋体" w:hint="eastAsia"/>
                <w:sz w:val="21"/>
              </w:rPr>
            </w:pPr>
            <w:r>
              <w:rPr>
                <w:rFonts w:ascii="宋体" w:eastAsia="宋体" w:hint="eastAsia"/>
                <w:sz w:val="21"/>
              </w:rPr>
              <w:t>公允价值</w:t>
            </w:r>
          </w:p>
          <w:p>
            <w:pPr>
              <w:pStyle w:val="TableParagraph"/>
              <w:spacing w:before="10"/>
              <w:rPr>
                <w:rFonts w:ascii="宋体"/>
                <w:sz w:val="17"/>
              </w:rPr>
            </w:pPr>
          </w:p>
          <w:p>
            <w:pPr>
              <w:pStyle w:val="TableParagraph"/>
              <w:ind w:left="478" w:right="451"/>
              <w:jc w:val="center"/>
              <w:rPr>
                <w:sz w:val="21"/>
              </w:rPr>
            </w:pPr>
            <w:r>
              <w:rPr>
                <w:sz w:val="21"/>
              </w:rPr>
              <w:t>(</w:t>
            </w:r>
            <w:r>
              <w:rPr>
                <w:rFonts w:ascii="宋体" w:eastAsia="宋体" w:hint="eastAsia"/>
                <w:sz w:val="21"/>
              </w:rPr>
              <w:t>元</w:t>
            </w:r>
            <w:r>
              <w:rPr>
                <w:sz w:val="21"/>
              </w:rPr>
              <w:t>)</w:t>
            </w:r>
          </w:p>
        </w:tc>
        <w:tc>
          <w:tcPr>
            <w:tcW w:w="2107" w:type="dxa"/>
          </w:tcPr>
          <w:p>
            <w:pPr>
              <w:pStyle w:val="TableParagraph"/>
              <w:spacing w:before="130"/>
              <w:ind w:left="339" w:right="306"/>
              <w:jc w:val="center"/>
              <w:rPr>
                <w:rFonts w:ascii="宋体" w:eastAsia="宋体" w:hint="eastAsia"/>
                <w:sz w:val="21"/>
              </w:rPr>
            </w:pPr>
            <w:r>
              <w:rPr>
                <w:rFonts w:ascii="宋体" w:eastAsia="宋体" w:hint="eastAsia"/>
                <w:sz w:val="21"/>
              </w:rPr>
              <w:t>占基金资产</w:t>
            </w:r>
          </w:p>
          <w:p>
            <w:pPr>
              <w:pStyle w:val="TableParagraph"/>
              <w:spacing w:before="10"/>
              <w:rPr>
                <w:rFonts w:ascii="宋体"/>
                <w:sz w:val="17"/>
              </w:rPr>
            </w:pPr>
          </w:p>
          <w:p>
            <w:pPr>
              <w:pStyle w:val="TableParagraph"/>
              <w:ind w:left="339" w:right="306"/>
              <w:jc w:val="center"/>
              <w:rPr>
                <w:rFonts w:ascii="宋体" w:eastAsia="宋体" w:hint="eastAsia"/>
                <w:sz w:val="21"/>
              </w:rPr>
            </w:pPr>
            <w:r>
              <w:rPr>
                <w:rFonts w:ascii="宋体" w:eastAsia="宋体" w:hint="eastAsia"/>
                <w:sz w:val="21"/>
              </w:rPr>
              <w:t>净值比例（</w:t>
            </w:r>
            <w:r>
              <w:rPr>
                <w:sz w:val="21"/>
              </w:rPr>
              <w:t>%</w:t>
            </w:r>
            <w:r>
              <w:rPr>
                <w:rFonts w:ascii="宋体" w:eastAsia="宋体" w:hint="eastAsia"/>
                <w:sz w:val="21"/>
              </w:rPr>
              <w:t>）</w:t>
            </w:r>
          </w:p>
        </w:tc>
      </w:tr>
      <w:tr>
        <w:trPr>
          <w:trHeight w:val="623" w:hRule="atLeast"/>
        </w:trPr>
        <w:tc>
          <w:tcPr>
            <w:tcW w:w="1670" w:type="dxa"/>
          </w:tcPr>
          <w:p>
            <w:pPr>
              <w:pStyle w:val="TableParagraph"/>
              <w:spacing w:before="4"/>
              <w:rPr>
                <w:rFonts w:ascii="宋体"/>
                <w:sz w:val="14"/>
              </w:rPr>
            </w:pPr>
          </w:p>
          <w:p>
            <w:pPr>
              <w:pStyle w:val="TableParagraph"/>
              <w:ind w:left="11"/>
              <w:jc w:val="center"/>
              <w:rPr>
                <w:sz w:val="21"/>
              </w:rPr>
            </w:pPr>
            <w:r>
              <w:rPr>
                <w:w w:val="100"/>
                <w:sz w:val="21"/>
              </w:rPr>
              <w:t>1</w:t>
            </w:r>
          </w:p>
        </w:tc>
        <w:tc>
          <w:tcPr>
            <w:tcW w:w="1735" w:type="dxa"/>
          </w:tcPr>
          <w:p>
            <w:pPr>
              <w:pStyle w:val="TableParagraph"/>
              <w:spacing w:before="178"/>
              <w:ind w:left="111" w:right="100"/>
              <w:jc w:val="center"/>
              <w:rPr>
                <w:rFonts w:ascii="宋体" w:eastAsia="宋体" w:hint="eastAsia"/>
                <w:sz w:val="21"/>
              </w:rPr>
            </w:pPr>
            <w:r>
              <w:rPr>
                <w:rFonts w:ascii="宋体" w:eastAsia="宋体" w:hint="eastAsia"/>
                <w:sz w:val="21"/>
              </w:rPr>
              <w:t>远期投资</w:t>
            </w:r>
          </w:p>
        </w:tc>
        <w:tc>
          <w:tcPr>
            <w:tcW w:w="1735" w:type="dxa"/>
          </w:tcPr>
          <w:p>
            <w:pPr>
              <w:pStyle w:val="TableParagraph"/>
              <w:spacing w:before="22"/>
              <w:ind w:left="114" w:right="100"/>
              <w:jc w:val="center"/>
              <w:rPr>
                <w:rFonts w:ascii="宋体" w:eastAsia="宋体" w:hint="eastAsia"/>
                <w:sz w:val="21"/>
              </w:rPr>
            </w:pPr>
            <w:r>
              <w:rPr>
                <w:rFonts w:ascii="宋体" w:eastAsia="宋体" w:hint="eastAsia"/>
                <w:sz w:val="21"/>
              </w:rPr>
              <w:t>外汇远期（美元</w:t>
            </w:r>
          </w:p>
          <w:p>
            <w:pPr>
              <w:pStyle w:val="TableParagraph"/>
              <w:spacing w:before="43"/>
              <w:ind w:left="112" w:right="100"/>
              <w:jc w:val="center"/>
              <w:rPr>
                <w:rFonts w:ascii="宋体" w:eastAsia="宋体" w:hint="eastAsia"/>
                <w:sz w:val="21"/>
              </w:rPr>
            </w:pPr>
            <w:r>
              <w:rPr>
                <w:rFonts w:ascii="宋体" w:eastAsia="宋体" w:hint="eastAsia"/>
                <w:sz w:val="21"/>
              </w:rPr>
              <w:t>兑人民币）</w:t>
            </w:r>
          </w:p>
        </w:tc>
        <w:tc>
          <w:tcPr>
            <w:tcW w:w="1823" w:type="dxa"/>
          </w:tcPr>
          <w:p>
            <w:pPr>
              <w:pStyle w:val="TableParagraph"/>
              <w:spacing w:before="4"/>
              <w:rPr>
                <w:rFonts w:ascii="宋体"/>
                <w:sz w:val="14"/>
              </w:rPr>
            </w:pPr>
          </w:p>
          <w:p>
            <w:pPr>
              <w:pStyle w:val="TableParagraph"/>
              <w:ind w:right="93"/>
              <w:jc w:val="right"/>
              <w:rPr>
                <w:sz w:val="21"/>
              </w:rPr>
            </w:pPr>
            <w:r>
              <w:rPr>
                <w:sz w:val="21"/>
              </w:rPr>
              <w:t>-267,331.99</w:t>
            </w:r>
          </w:p>
        </w:tc>
        <w:tc>
          <w:tcPr>
            <w:tcW w:w="2107" w:type="dxa"/>
          </w:tcPr>
          <w:p>
            <w:pPr>
              <w:pStyle w:val="TableParagraph"/>
              <w:spacing w:before="4"/>
              <w:rPr>
                <w:rFonts w:ascii="宋体"/>
                <w:sz w:val="14"/>
              </w:rPr>
            </w:pPr>
          </w:p>
          <w:p>
            <w:pPr>
              <w:pStyle w:val="TableParagraph"/>
              <w:ind w:right="91"/>
              <w:jc w:val="right"/>
              <w:rPr>
                <w:sz w:val="21"/>
              </w:rPr>
            </w:pPr>
            <w:r>
              <w:rPr>
                <w:sz w:val="21"/>
              </w:rPr>
              <w:t>-0.06</w:t>
            </w:r>
          </w:p>
        </w:tc>
      </w:tr>
      <w:tr>
        <w:trPr>
          <w:trHeight w:val="625" w:hRule="atLeast"/>
        </w:trPr>
        <w:tc>
          <w:tcPr>
            <w:tcW w:w="1670" w:type="dxa"/>
          </w:tcPr>
          <w:p>
            <w:pPr>
              <w:pStyle w:val="TableParagraph"/>
              <w:spacing w:before="6"/>
              <w:rPr>
                <w:rFonts w:ascii="宋体"/>
                <w:sz w:val="14"/>
              </w:rPr>
            </w:pPr>
          </w:p>
          <w:p>
            <w:pPr>
              <w:pStyle w:val="TableParagraph"/>
              <w:spacing w:before="1"/>
              <w:ind w:left="11"/>
              <w:jc w:val="center"/>
              <w:rPr>
                <w:sz w:val="21"/>
              </w:rPr>
            </w:pPr>
            <w:r>
              <w:rPr>
                <w:w w:val="100"/>
                <w:sz w:val="21"/>
              </w:rPr>
              <w:t>2</w:t>
            </w:r>
          </w:p>
        </w:tc>
        <w:tc>
          <w:tcPr>
            <w:tcW w:w="1735" w:type="dxa"/>
          </w:tcPr>
          <w:p>
            <w:pPr>
              <w:pStyle w:val="TableParagraph"/>
              <w:spacing w:before="1"/>
              <w:rPr>
                <w:rFonts w:ascii="宋体"/>
                <w:sz w:val="14"/>
              </w:rPr>
            </w:pPr>
          </w:p>
          <w:p>
            <w:pPr>
              <w:pStyle w:val="TableParagraph"/>
              <w:ind w:left="111" w:right="100"/>
              <w:jc w:val="center"/>
              <w:rPr>
                <w:rFonts w:ascii="宋体" w:eastAsia="宋体" w:hint="eastAsia"/>
                <w:sz w:val="21"/>
              </w:rPr>
            </w:pPr>
            <w:r>
              <w:rPr>
                <w:rFonts w:ascii="宋体" w:eastAsia="宋体" w:hint="eastAsia"/>
                <w:sz w:val="21"/>
              </w:rPr>
              <w:t>远期投资</w:t>
            </w:r>
          </w:p>
        </w:tc>
        <w:tc>
          <w:tcPr>
            <w:tcW w:w="1735" w:type="dxa"/>
          </w:tcPr>
          <w:p>
            <w:pPr>
              <w:pStyle w:val="TableParagraph"/>
              <w:spacing w:before="25"/>
              <w:ind w:left="114" w:right="100"/>
              <w:jc w:val="center"/>
              <w:rPr>
                <w:rFonts w:ascii="宋体" w:eastAsia="宋体" w:hint="eastAsia"/>
                <w:sz w:val="21"/>
              </w:rPr>
            </w:pPr>
            <w:r>
              <w:rPr>
                <w:rFonts w:ascii="宋体" w:eastAsia="宋体" w:hint="eastAsia"/>
                <w:sz w:val="21"/>
              </w:rPr>
              <w:t>外汇远期（美元</w:t>
            </w:r>
          </w:p>
          <w:p>
            <w:pPr>
              <w:pStyle w:val="TableParagraph"/>
              <w:spacing w:before="43"/>
              <w:ind w:left="112" w:right="100"/>
              <w:jc w:val="center"/>
              <w:rPr>
                <w:rFonts w:ascii="宋体" w:eastAsia="宋体" w:hint="eastAsia"/>
                <w:sz w:val="21"/>
              </w:rPr>
            </w:pPr>
            <w:r>
              <w:rPr>
                <w:rFonts w:ascii="宋体" w:eastAsia="宋体" w:hint="eastAsia"/>
                <w:sz w:val="21"/>
              </w:rPr>
              <w:t>兑人民币）</w:t>
            </w:r>
          </w:p>
        </w:tc>
        <w:tc>
          <w:tcPr>
            <w:tcW w:w="1823" w:type="dxa"/>
          </w:tcPr>
          <w:p>
            <w:pPr>
              <w:pStyle w:val="TableParagraph"/>
              <w:spacing w:before="6"/>
              <w:rPr>
                <w:rFonts w:ascii="宋体"/>
                <w:sz w:val="14"/>
              </w:rPr>
            </w:pPr>
          </w:p>
          <w:p>
            <w:pPr>
              <w:pStyle w:val="TableParagraph"/>
              <w:spacing w:before="1"/>
              <w:ind w:right="93"/>
              <w:jc w:val="right"/>
              <w:rPr>
                <w:sz w:val="21"/>
              </w:rPr>
            </w:pPr>
            <w:r>
              <w:rPr>
                <w:sz w:val="21"/>
              </w:rPr>
              <w:t>-9,202.45</w:t>
            </w:r>
          </w:p>
        </w:tc>
        <w:tc>
          <w:tcPr>
            <w:tcW w:w="2107" w:type="dxa"/>
          </w:tcPr>
          <w:p>
            <w:pPr>
              <w:pStyle w:val="TableParagraph"/>
              <w:spacing w:before="6"/>
              <w:rPr>
                <w:rFonts w:ascii="宋体"/>
                <w:sz w:val="14"/>
              </w:rPr>
            </w:pPr>
          </w:p>
          <w:p>
            <w:pPr>
              <w:pStyle w:val="TableParagraph"/>
              <w:spacing w:before="1"/>
              <w:ind w:right="91"/>
              <w:jc w:val="right"/>
              <w:rPr>
                <w:sz w:val="21"/>
              </w:rPr>
            </w:pPr>
            <w:r>
              <w:rPr>
                <w:sz w:val="21"/>
              </w:rPr>
              <w:t>0.00</w:t>
            </w:r>
          </w:p>
        </w:tc>
      </w:tr>
      <w:tr>
        <w:trPr>
          <w:trHeight w:val="312" w:hRule="atLeast"/>
        </w:trPr>
        <w:tc>
          <w:tcPr>
            <w:tcW w:w="1670" w:type="dxa"/>
          </w:tcPr>
          <w:p>
            <w:pPr>
              <w:pStyle w:val="TableParagraph"/>
              <w:spacing w:before="28"/>
              <w:ind w:left="11"/>
              <w:jc w:val="center"/>
              <w:rPr>
                <w:sz w:val="21"/>
              </w:rPr>
            </w:pPr>
            <w:r>
              <w:rPr>
                <w:w w:val="100"/>
                <w:sz w:val="21"/>
              </w:rPr>
              <w:t>3</w:t>
            </w:r>
          </w:p>
        </w:tc>
        <w:tc>
          <w:tcPr>
            <w:tcW w:w="1735" w:type="dxa"/>
          </w:tcPr>
          <w:p>
            <w:pPr>
              <w:pStyle w:val="TableParagraph"/>
              <w:spacing w:before="28"/>
              <w:ind w:left="11"/>
              <w:jc w:val="center"/>
              <w:rPr>
                <w:sz w:val="21"/>
              </w:rPr>
            </w:pPr>
            <w:r>
              <w:rPr>
                <w:w w:val="100"/>
                <w:sz w:val="21"/>
              </w:rPr>
              <w:t>-</w:t>
            </w:r>
          </w:p>
        </w:tc>
        <w:tc>
          <w:tcPr>
            <w:tcW w:w="1735" w:type="dxa"/>
          </w:tcPr>
          <w:p>
            <w:pPr>
              <w:pStyle w:val="TableParagraph"/>
              <w:spacing w:before="28"/>
              <w:ind w:left="11"/>
              <w:jc w:val="center"/>
              <w:rPr>
                <w:sz w:val="21"/>
              </w:rPr>
            </w:pPr>
            <w:r>
              <w:rPr>
                <w:w w:val="100"/>
                <w:sz w:val="21"/>
              </w:rPr>
              <w:t>-</w:t>
            </w:r>
          </w:p>
        </w:tc>
        <w:tc>
          <w:tcPr>
            <w:tcW w:w="1823" w:type="dxa"/>
          </w:tcPr>
          <w:p>
            <w:pPr>
              <w:pStyle w:val="TableParagraph"/>
              <w:spacing w:before="28"/>
              <w:ind w:right="93"/>
              <w:jc w:val="right"/>
              <w:rPr>
                <w:sz w:val="21"/>
              </w:rPr>
            </w:pPr>
            <w:r>
              <w:rPr>
                <w:w w:val="100"/>
                <w:sz w:val="21"/>
              </w:rPr>
              <w:t>-</w:t>
            </w:r>
          </w:p>
        </w:tc>
        <w:tc>
          <w:tcPr>
            <w:tcW w:w="2107" w:type="dxa"/>
          </w:tcPr>
          <w:p>
            <w:pPr>
              <w:pStyle w:val="TableParagraph"/>
              <w:spacing w:before="28"/>
              <w:ind w:right="92"/>
              <w:jc w:val="right"/>
              <w:rPr>
                <w:sz w:val="21"/>
              </w:rPr>
            </w:pPr>
            <w:r>
              <w:rPr>
                <w:w w:val="100"/>
                <w:sz w:val="21"/>
              </w:rPr>
              <w:t>-</w:t>
            </w:r>
          </w:p>
        </w:tc>
      </w:tr>
      <w:tr>
        <w:trPr>
          <w:trHeight w:val="311" w:hRule="atLeast"/>
        </w:trPr>
        <w:tc>
          <w:tcPr>
            <w:tcW w:w="1670" w:type="dxa"/>
          </w:tcPr>
          <w:p>
            <w:pPr>
              <w:pStyle w:val="TableParagraph"/>
              <w:spacing w:before="28"/>
              <w:ind w:left="11"/>
              <w:jc w:val="center"/>
              <w:rPr>
                <w:sz w:val="21"/>
              </w:rPr>
            </w:pPr>
            <w:r>
              <w:rPr>
                <w:w w:val="100"/>
                <w:sz w:val="21"/>
              </w:rPr>
              <w:t>4</w:t>
            </w:r>
          </w:p>
        </w:tc>
        <w:tc>
          <w:tcPr>
            <w:tcW w:w="1735" w:type="dxa"/>
          </w:tcPr>
          <w:p>
            <w:pPr>
              <w:pStyle w:val="TableParagraph"/>
              <w:spacing w:before="28"/>
              <w:ind w:left="11"/>
              <w:jc w:val="center"/>
              <w:rPr>
                <w:sz w:val="21"/>
              </w:rPr>
            </w:pPr>
            <w:r>
              <w:rPr>
                <w:w w:val="100"/>
                <w:sz w:val="21"/>
              </w:rPr>
              <w:t>-</w:t>
            </w:r>
          </w:p>
        </w:tc>
        <w:tc>
          <w:tcPr>
            <w:tcW w:w="1735" w:type="dxa"/>
          </w:tcPr>
          <w:p>
            <w:pPr>
              <w:pStyle w:val="TableParagraph"/>
              <w:spacing w:before="28"/>
              <w:ind w:left="11"/>
              <w:jc w:val="center"/>
              <w:rPr>
                <w:sz w:val="21"/>
              </w:rPr>
            </w:pPr>
            <w:r>
              <w:rPr>
                <w:w w:val="100"/>
                <w:sz w:val="21"/>
              </w:rPr>
              <w:t>-</w:t>
            </w:r>
          </w:p>
        </w:tc>
        <w:tc>
          <w:tcPr>
            <w:tcW w:w="1823" w:type="dxa"/>
          </w:tcPr>
          <w:p>
            <w:pPr>
              <w:pStyle w:val="TableParagraph"/>
              <w:spacing w:before="28"/>
              <w:ind w:right="93"/>
              <w:jc w:val="right"/>
              <w:rPr>
                <w:sz w:val="21"/>
              </w:rPr>
            </w:pPr>
            <w:r>
              <w:rPr>
                <w:w w:val="100"/>
                <w:sz w:val="21"/>
              </w:rPr>
              <w:t>-</w:t>
            </w:r>
          </w:p>
        </w:tc>
        <w:tc>
          <w:tcPr>
            <w:tcW w:w="2107" w:type="dxa"/>
          </w:tcPr>
          <w:p>
            <w:pPr>
              <w:pStyle w:val="TableParagraph"/>
              <w:spacing w:before="28"/>
              <w:ind w:right="92"/>
              <w:jc w:val="right"/>
              <w:rPr>
                <w:sz w:val="21"/>
              </w:rPr>
            </w:pPr>
            <w:r>
              <w:rPr>
                <w:w w:val="100"/>
                <w:sz w:val="21"/>
              </w:rPr>
              <w:t>-</w:t>
            </w:r>
          </w:p>
        </w:tc>
      </w:tr>
      <w:tr>
        <w:trPr>
          <w:trHeight w:val="311" w:hRule="atLeast"/>
        </w:trPr>
        <w:tc>
          <w:tcPr>
            <w:tcW w:w="1670" w:type="dxa"/>
          </w:tcPr>
          <w:p>
            <w:pPr>
              <w:pStyle w:val="TableParagraph"/>
              <w:spacing w:before="28"/>
              <w:ind w:left="11"/>
              <w:jc w:val="center"/>
              <w:rPr>
                <w:sz w:val="21"/>
              </w:rPr>
            </w:pPr>
            <w:r>
              <w:rPr>
                <w:w w:val="100"/>
                <w:sz w:val="21"/>
              </w:rPr>
              <w:t>5</w:t>
            </w:r>
          </w:p>
        </w:tc>
        <w:tc>
          <w:tcPr>
            <w:tcW w:w="1735" w:type="dxa"/>
          </w:tcPr>
          <w:p>
            <w:pPr>
              <w:pStyle w:val="TableParagraph"/>
              <w:spacing w:before="28"/>
              <w:ind w:left="11"/>
              <w:jc w:val="center"/>
              <w:rPr>
                <w:sz w:val="21"/>
              </w:rPr>
            </w:pPr>
            <w:r>
              <w:rPr>
                <w:w w:val="100"/>
                <w:sz w:val="21"/>
              </w:rPr>
              <w:t>-</w:t>
            </w:r>
          </w:p>
        </w:tc>
        <w:tc>
          <w:tcPr>
            <w:tcW w:w="1735" w:type="dxa"/>
          </w:tcPr>
          <w:p>
            <w:pPr>
              <w:pStyle w:val="TableParagraph"/>
              <w:spacing w:before="28"/>
              <w:ind w:left="11"/>
              <w:jc w:val="center"/>
              <w:rPr>
                <w:sz w:val="21"/>
              </w:rPr>
            </w:pPr>
            <w:r>
              <w:rPr>
                <w:w w:val="100"/>
                <w:sz w:val="21"/>
              </w:rPr>
              <w:t>-</w:t>
            </w:r>
          </w:p>
        </w:tc>
        <w:tc>
          <w:tcPr>
            <w:tcW w:w="1823" w:type="dxa"/>
          </w:tcPr>
          <w:p>
            <w:pPr>
              <w:pStyle w:val="TableParagraph"/>
              <w:spacing w:before="28"/>
              <w:ind w:right="93"/>
              <w:jc w:val="right"/>
              <w:rPr>
                <w:sz w:val="21"/>
              </w:rPr>
            </w:pPr>
            <w:r>
              <w:rPr>
                <w:w w:val="100"/>
                <w:sz w:val="21"/>
              </w:rPr>
              <w:t>-</w:t>
            </w:r>
          </w:p>
        </w:tc>
        <w:tc>
          <w:tcPr>
            <w:tcW w:w="2107" w:type="dxa"/>
          </w:tcPr>
          <w:p>
            <w:pPr>
              <w:pStyle w:val="TableParagraph"/>
              <w:spacing w:before="28"/>
              <w:ind w:right="92"/>
              <w:jc w:val="right"/>
              <w:rPr>
                <w:sz w:val="21"/>
              </w:rPr>
            </w:pPr>
            <w:r>
              <w:rPr>
                <w:w w:val="100"/>
                <w:sz w:val="21"/>
              </w:rPr>
              <w:t>-</w:t>
            </w:r>
          </w:p>
        </w:tc>
      </w:tr>
    </w:tbl>
    <w:p>
      <w:pPr>
        <w:pStyle w:val="ListParagraph"/>
        <w:numPr>
          <w:ilvl w:val="1"/>
          <w:numId w:val="10"/>
        </w:numPr>
        <w:tabs>
          <w:tab w:pos="860" w:val="left" w:leader="none"/>
        </w:tabs>
        <w:spacing w:line="417" w:lineRule="auto" w:before="100" w:after="0"/>
        <w:ind w:left="960" w:right="2138" w:hanging="420"/>
        <w:jc w:val="left"/>
        <w:rPr>
          <w:sz w:val="21"/>
        </w:rPr>
      </w:pPr>
      <w:r>
        <w:rPr>
          <w:spacing w:val="-3"/>
          <w:sz w:val="21"/>
        </w:rPr>
        <w:t>报告期末按公允价值占基金资产净值比例大小排序的前十名基金投资明细本基金本报告期末未持有基金。</w:t>
      </w:r>
    </w:p>
    <w:p>
      <w:pPr>
        <w:spacing w:after="0" w:line="417" w:lineRule="auto"/>
        <w:jc w:val="left"/>
        <w:rPr>
          <w:sz w:val="21"/>
        </w:rPr>
        <w:sectPr>
          <w:pgSz w:w="11910" w:h="16840"/>
          <w:pgMar w:header="872" w:footer="995" w:top="1100" w:bottom="1180" w:left="1260" w:right="920"/>
        </w:sectPr>
      </w:pPr>
    </w:p>
    <w:p>
      <w:pPr>
        <w:pStyle w:val="BodyText"/>
        <w:spacing w:before="4"/>
        <w:rPr>
          <w:sz w:val="27"/>
        </w:rPr>
      </w:pPr>
    </w:p>
    <w:p>
      <w:pPr>
        <w:pStyle w:val="ListParagraph"/>
        <w:numPr>
          <w:ilvl w:val="1"/>
          <w:numId w:val="10"/>
        </w:numPr>
        <w:tabs>
          <w:tab w:pos="968" w:val="left" w:leader="none"/>
        </w:tabs>
        <w:spacing w:line="240" w:lineRule="auto" w:before="71" w:after="0"/>
        <w:ind w:left="967" w:right="0" w:hanging="428"/>
        <w:jc w:val="left"/>
        <w:rPr>
          <w:sz w:val="21"/>
        </w:rPr>
      </w:pPr>
      <w:r>
        <w:rPr>
          <w:spacing w:val="-3"/>
          <w:sz w:val="21"/>
        </w:rPr>
        <w:t>投资组合报告附注</w:t>
      </w:r>
    </w:p>
    <w:p>
      <w:pPr>
        <w:pStyle w:val="BodyText"/>
        <w:spacing w:before="7"/>
        <w:rPr>
          <w:sz w:val="15"/>
        </w:rPr>
      </w:pPr>
    </w:p>
    <w:p>
      <w:pPr>
        <w:pStyle w:val="ListParagraph"/>
        <w:numPr>
          <w:ilvl w:val="2"/>
          <w:numId w:val="10"/>
        </w:numPr>
        <w:tabs>
          <w:tab w:pos="1126" w:val="left" w:leader="none"/>
        </w:tabs>
        <w:spacing w:line="417" w:lineRule="auto" w:before="0" w:after="0"/>
        <w:ind w:left="540" w:right="770" w:firstLine="0"/>
        <w:jc w:val="left"/>
        <w:rPr>
          <w:sz w:val="21"/>
        </w:rPr>
      </w:pPr>
      <w:r>
        <w:rPr>
          <w:spacing w:val="-8"/>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10"/>
        </w:numPr>
        <w:tabs>
          <w:tab w:pos="1126" w:val="left" w:leader="none"/>
        </w:tabs>
        <w:spacing w:line="269" w:lineRule="exact" w:before="0" w:after="0"/>
        <w:ind w:left="1126" w:right="0" w:hanging="586"/>
        <w:jc w:val="left"/>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10"/>
        </w:numPr>
        <w:tabs>
          <w:tab w:pos="1126" w:val="left" w:leader="none"/>
        </w:tabs>
        <w:spacing w:line="240" w:lineRule="auto" w:before="0" w:after="0"/>
        <w:ind w:left="1126" w:right="0" w:hanging="586"/>
        <w:jc w:val="left"/>
        <w:rPr>
          <w:sz w:val="21"/>
        </w:rPr>
      </w:pPr>
      <w:r>
        <w:rPr>
          <w:spacing w:val="-3"/>
          <w:sz w:val="21"/>
        </w:rPr>
        <w:t>其他资产构成</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05"/>
        <w:gridCol w:w="5461"/>
      </w:tblGrid>
      <w:tr>
        <w:trPr>
          <w:trHeight w:val="496" w:hRule="atLeast"/>
        </w:trPr>
        <w:tc>
          <w:tcPr>
            <w:tcW w:w="708" w:type="dxa"/>
          </w:tcPr>
          <w:p>
            <w:pPr>
              <w:pStyle w:val="TableParagraph"/>
              <w:spacing w:before="130"/>
              <w:ind w:left="132" w:right="106"/>
              <w:jc w:val="center"/>
              <w:rPr>
                <w:rFonts w:ascii="宋体" w:eastAsia="宋体" w:hint="eastAsia"/>
                <w:sz w:val="21"/>
              </w:rPr>
            </w:pPr>
            <w:r>
              <w:rPr>
                <w:rFonts w:ascii="宋体" w:eastAsia="宋体" w:hint="eastAsia"/>
                <w:sz w:val="21"/>
              </w:rPr>
              <w:t>序号</w:t>
            </w:r>
          </w:p>
        </w:tc>
        <w:tc>
          <w:tcPr>
            <w:tcW w:w="2905" w:type="dxa"/>
          </w:tcPr>
          <w:p>
            <w:pPr>
              <w:pStyle w:val="TableParagraph"/>
              <w:spacing w:before="130"/>
              <w:ind w:left="1231" w:right="1204"/>
              <w:jc w:val="center"/>
              <w:rPr>
                <w:rFonts w:ascii="宋体" w:eastAsia="宋体" w:hint="eastAsia"/>
                <w:sz w:val="21"/>
              </w:rPr>
            </w:pPr>
            <w:r>
              <w:rPr>
                <w:rFonts w:ascii="宋体" w:eastAsia="宋体" w:hint="eastAsia"/>
                <w:sz w:val="21"/>
              </w:rPr>
              <w:t>名称</w:t>
            </w:r>
          </w:p>
        </w:tc>
        <w:tc>
          <w:tcPr>
            <w:tcW w:w="5461" w:type="dxa"/>
          </w:tcPr>
          <w:p>
            <w:pPr>
              <w:pStyle w:val="TableParagraph"/>
              <w:spacing w:before="130"/>
              <w:ind w:left="2339" w:right="2313"/>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7" w:hRule="atLeast"/>
        </w:trPr>
        <w:tc>
          <w:tcPr>
            <w:tcW w:w="708" w:type="dxa"/>
          </w:tcPr>
          <w:p>
            <w:pPr>
              <w:pStyle w:val="TableParagraph"/>
              <w:spacing w:before="136"/>
              <w:ind w:left="22"/>
              <w:jc w:val="center"/>
              <w:rPr>
                <w:sz w:val="21"/>
              </w:rPr>
            </w:pPr>
            <w:r>
              <w:rPr>
                <w:w w:val="100"/>
                <w:sz w:val="21"/>
              </w:rPr>
              <w:t>1</w:t>
            </w:r>
          </w:p>
        </w:tc>
        <w:tc>
          <w:tcPr>
            <w:tcW w:w="2905" w:type="dxa"/>
          </w:tcPr>
          <w:p>
            <w:pPr>
              <w:pStyle w:val="TableParagraph"/>
              <w:spacing w:before="131"/>
              <w:ind w:left="122"/>
              <w:rPr>
                <w:rFonts w:ascii="宋体" w:eastAsia="宋体" w:hint="eastAsia"/>
                <w:sz w:val="21"/>
              </w:rPr>
            </w:pPr>
            <w:r>
              <w:rPr>
                <w:rFonts w:ascii="宋体" w:eastAsia="宋体" w:hint="eastAsia"/>
                <w:sz w:val="21"/>
              </w:rPr>
              <w:t>存出保证金</w:t>
            </w:r>
          </w:p>
        </w:tc>
        <w:tc>
          <w:tcPr>
            <w:tcW w:w="5461" w:type="dxa"/>
          </w:tcPr>
          <w:p>
            <w:pPr>
              <w:pStyle w:val="TableParagraph"/>
              <w:spacing w:before="136"/>
              <w:ind w:right="96"/>
              <w:jc w:val="right"/>
              <w:rPr>
                <w:sz w:val="21"/>
              </w:rPr>
            </w:pPr>
            <w:r>
              <w:rPr>
                <w:sz w:val="21"/>
              </w:rPr>
              <w:t>548,339.25</w:t>
            </w:r>
          </w:p>
        </w:tc>
      </w:tr>
      <w:tr>
        <w:trPr>
          <w:trHeight w:val="498" w:hRule="atLeast"/>
        </w:trPr>
        <w:tc>
          <w:tcPr>
            <w:tcW w:w="708" w:type="dxa"/>
          </w:tcPr>
          <w:p>
            <w:pPr>
              <w:pStyle w:val="TableParagraph"/>
              <w:spacing w:before="138"/>
              <w:ind w:left="22"/>
              <w:jc w:val="center"/>
              <w:rPr>
                <w:sz w:val="21"/>
              </w:rPr>
            </w:pPr>
            <w:r>
              <w:rPr>
                <w:w w:val="100"/>
                <w:sz w:val="21"/>
              </w:rPr>
              <w:t>2</w:t>
            </w:r>
          </w:p>
        </w:tc>
        <w:tc>
          <w:tcPr>
            <w:tcW w:w="2905" w:type="dxa"/>
          </w:tcPr>
          <w:p>
            <w:pPr>
              <w:pStyle w:val="TableParagraph"/>
              <w:spacing w:before="133"/>
              <w:ind w:left="122"/>
              <w:rPr>
                <w:rFonts w:ascii="宋体" w:eastAsia="宋体" w:hint="eastAsia"/>
                <w:sz w:val="21"/>
              </w:rPr>
            </w:pPr>
            <w:r>
              <w:rPr>
                <w:rFonts w:ascii="宋体" w:eastAsia="宋体" w:hint="eastAsia"/>
                <w:sz w:val="21"/>
              </w:rPr>
              <w:t>应收证券清算款</w:t>
            </w:r>
          </w:p>
        </w:tc>
        <w:tc>
          <w:tcPr>
            <w:tcW w:w="5461" w:type="dxa"/>
          </w:tcPr>
          <w:p>
            <w:pPr>
              <w:pStyle w:val="TableParagraph"/>
              <w:spacing w:before="138"/>
              <w:ind w:right="96"/>
              <w:jc w:val="right"/>
              <w:rPr>
                <w:sz w:val="21"/>
              </w:rPr>
            </w:pPr>
            <w:r>
              <w:rPr>
                <w:sz w:val="21"/>
              </w:rPr>
              <w:t>712,331.63</w:t>
            </w:r>
          </w:p>
        </w:tc>
      </w:tr>
      <w:tr>
        <w:trPr>
          <w:trHeight w:val="496" w:hRule="atLeast"/>
        </w:trPr>
        <w:tc>
          <w:tcPr>
            <w:tcW w:w="708" w:type="dxa"/>
          </w:tcPr>
          <w:p>
            <w:pPr>
              <w:pStyle w:val="TableParagraph"/>
              <w:spacing w:before="136"/>
              <w:ind w:left="22"/>
              <w:jc w:val="center"/>
              <w:rPr>
                <w:sz w:val="21"/>
              </w:rPr>
            </w:pPr>
            <w:r>
              <w:rPr>
                <w:w w:val="100"/>
                <w:sz w:val="21"/>
              </w:rPr>
              <w:t>3</w:t>
            </w:r>
          </w:p>
        </w:tc>
        <w:tc>
          <w:tcPr>
            <w:tcW w:w="2905" w:type="dxa"/>
          </w:tcPr>
          <w:p>
            <w:pPr>
              <w:pStyle w:val="TableParagraph"/>
              <w:spacing w:before="130"/>
              <w:ind w:left="122"/>
              <w:rPr>
                <w:rFonts w:ascii="宋体" w:eastAsia="宋体" w:hint="eastAsia"/>
                <w:sz w:val="21"/>
              </w:rPr>
            </w:pPr>
            <w:r>
              <w:rPr>
                <w:rFonts w:ascii="宋体" w:eastAsia="宋体" w:hint="eastAsia"/>
                <w:sz w:val="21"/>
              </w:rPr>
              <w:t>应收股利</w:t>
            </w:r>
          </w:p>
        </w:tc>
        <w:tc>
          <w:tcPr>
            <w:tcW w:w="5461" w:type="dxa"/>
          </w:tcPr>
          <w:p>
            <w:pPr>
              <w:pStyle w:val="TableParagraph"/>
              <w:spacing w:before="136"/>
              <w:ind w:right="96"/>
              <w:jc w:val="right"/>
              <w:rPr>
                <w:sz w:val="21"/>
              </w:rPr>
            </w:pPr>
            <w:r>
              <w:rPr>
                <w:w w:val="100"/>
                <w:sz w:val="21"/>
              </w:rPr>
              <w:t>-</w:t>
            </w:r>
          </w:p>
        </w:tc>
      </w:tr>
      <w:tr>
        <w:trPr>
          <w:trHeight w:val="496" w:hRule="atLeast"/>
        </w:trPr>
        <w:tc>
          <w:tcPr>
            <w:tcW w:w="708" w:type="dxa"/>
          </w:tcPr>
          <w:p>
            <w:pPr>
              <w:pStyle w:val="TableParagraph"/>
              <w:spacing w:before="136"/>
              <w:ind w:left="22"/>
              <w:jc w:val="center"/>
              <w:rPr>
                <w:sz w:val="21"/>
              </w:rPr>
            </w:pPr>
            <w:r>
              <w:rPr>
                <w:w w:val="100"/>
                <w:sz w:val="21"/>
              </w:rPr>
              <w:t>4</w:t>
            </w:r>
          </w:p>
        </w:tc>
        <w:tc>
          <w:tcPr>
            <w:tcW w:w="2905" w:type="dxa"/>
          </w:tcPr>
          <w:p>
            <w:pPr>
              <w:pStyle w:val="TableParagraph"/>
              <w:spacing w:before="130"/>
              <w:ind w:left="122"/>
              <w:rPr>
                <w:rFonts w:ascii="宋体" w:eastAsia="宋体" w:hint="eastAsia"/>
                <w:sz w:val="21"/>
              </w:rPr>
            </w:pPr>
            <w:r>
              <w:rPr>
                <w:rFonts w:ascii="宋体" w:eastAsia="宋体" w:hint="eastAsia"/>
                <w:sz w:val="21"/>
              </w:rPr>
              <w:t>应收利息</w:t>
            </w:r>
          </w:p>
        </w:tc>
        <w:tc>
          <w:tcPr>
            <w:tcW w:w="5461" w:type="dxa"/>
          </w:tcPr>
          <w:p>
            <w:pPr>
              <w:pStyle w:val="TableParagraph"/>
              <w:spacing w:before="136"/>
              <w:ind w:right="96"/>
              <w:jc w:val="right"/>
              <w:rPr>
                <w:sz w:val="21"/>
              </w:rPr>
            </w:pPr>
            <w:r>
              <w:rPr>
                <w:sz w:val="21"/>
              </w:rPr>
              <w:t>8,124,572.03</w:t>
            </w:r>
          </w:p>
        </w:tc>
      </w:tr>
      <w:tr>
        <w:trPr>
          <w:trHeight w:val="496" w:hRule="atLeast"/>
        </w:trPr>
        <w:tc>
          <w:tcPr>
            <w:tcW w:w="708" w:type="dxa"/>
          </w:tcPr>
          <w:p>
            <w:pPr>
              <w:pStyle w:val="TableParagraph"/>
              <w:spacing w:before="136"/>
              <w:ind w:left="22"/>
              <w:jc w:val="center"/>
              <w:rPr>
                <w:sz w:val="21"/>
              </w:rPr>
            </w:pPr>
            <w:r>
              <w:rPr>
                <w:w w:val="100"/>
                <w:sz w:val="21"/>
              </w:rPr>
              <w:t>5</w:t>
            </w:r>
          </w:p>
        </w:tc>
        <w:tc>
          <w:tcPr>
            <w:tcW w:w="2905" w:type="dxa"/>
          </w:tcPr>
          <w:p>
            <w:pPr>
              <w:pStyle w:val="TableParagraph"/>
              <w:spacing w:before="130"/>
              <w:ind w:left="122"/>
              <w:rPr>
                <w:rFonts w:ascii="宋体" w:eastAsia="宋体" w:hint="eastAsia"/>
                <w:sz w:val="21"/>
              </w:rPr>
            </w:pPr>
            <w:r>
              <w:rPr>
                <w:rFonts w:ascii="宋体" w:eastAsia="宋体" w:hint="eastAsia"/>
                <w:sz w:val="21"/>
              </w:rPr>
              <w:t>应收申购款</w:t>
            </w:r>
          </w:p>
        </w:tc>
        <w:tc>
          <w:tcPr>
            <w:tcW w:w="5461" w:type="dxa"/>
          </w:tcPr>
          <w:p>
            <w:pPr>
              <w:pStyle w:val="TableParagraph"/>
              <w:spacing w:before="136"/>
              <w:ind w:right="96"/>
              <w:jc w:val="right"/>
              <w:rPr>
                <w:sz w:val="21"/>
              </w:rPr>
            </w:pPr>
            <w:r>
              <w:rPr>
                <w:sz w:val="21"/>
              </w:rPr>
              <w:t>535,895.43</w:t>
            </w:r>
          </w:p>
        </w:tc>
      </w:tr>
      <w:tr>
        <w:trPr>
          <w:trHeight w:val="498" w:hRule="atLeast"/>
        </w:trPr>
        <w:tc>
          <w:tcPr>
            <w:tcW w:w="708" w:type="dxa"/>
          </w:tcPr>
          <w:p>
            <w:pPr>
              <w:pStyle w:val="TableParagraph"/>
              <w:spacing w:before="138"/>
              <w:ind w:left="22"/>
              <w:jc w:val="center"/>
              <w:rPr>
                <w:sz w:val="21"/>
              </w:rPr>
            </w:pPr>
            <w:r>
              <w:rPr>
                <w:w w:val="100"/>
                <w:sz w:val="21"/>
              </w:rPr>
              <w:t>6</w:t>
            </w:r>
          </w:p>
        </w:tc>
        <w:tc>
          <w:tcPr>
            <w:tcW w:w="2905" w:type="dxa"/>
          </w:tcPr>
          <w:p>
            <w:pPr>
              <w:pStyle w:val="TableParagraph"/>
              <w:spacing w:before="133"/>
              <w:ind w:left="122"/>
              <w:rPr>
                <w:rFonts w:ascii="宋体" w:eastAsia="宋体" w:hint="eastAsia"/>
                <w:sz w:val="21"/>
              </w:rPr>
            </w:pPr>
            <w:r>
              <w:rPr>
                <w:rFonts w:ascii="宋体" w:eastAsia="宋体" w:hint="eastAsia"/>
                <w:sz w:val="21"/>
              </w:rPr>
              <w:t>其他应收款</w:t>
            </w:r>
          </w:p>
        </w:tc>
        <w:tc>
          <w:tcPr>
            <w:tcW w:w="5461" w:type="dxa"/>
          </w:tcPr>
          <w:p>
            <w:pPr>
              <w:pStyle w:val="TableParagraph"/>
              <w:spacing w:before="138"/>
              <w:ind w:right="96"/>
              <w:jc w:val="right"/>
              <w:rPr>
                <w:sz w:val="21"/>
              </w:rPr>
            </w:pPr>
            <w:r>
              <w:rPr>
                <w:w w:val="100"/>
                <w:sz w:val="21"/>
              </w:rPr>
              <w:t>-</w:t>
            </w:r>
          </w:p>
        </w:tc>
      </w:tr>
      <w:tr>
        <w:trPr>
          <w:trHeight w:val="496" w:hRule="atLeast"/>
        </w:trPr>
        <w:tc>
          <w:tcPr>
            <w:tcW w:w="708" w:type="dxa"/>
          </w:tcPr>
          <w:p>
            <w:pPr>
              <w:pStyle w:val="TableParagraph"/>
              <w:spacing w:before="136"/>
              <w:ind w:left="22"/>
              <w:jc w:val="center"/>
              <w:rPr>
                <w:sz w:val="21"/>
              </w:rPr>
            </w:pPr>
            <w:r>
              <w:rPr>
                <w:w w:val="100"/>
                <w:sz w:val="21"/>
              </w:rPr>
              <w:t>7</w:t>
            </w:r>
          </w:p>
        </w:tc>
        <w:tc>
          <w:tcPr>
            <w:tcW w:w="2905" w:type="dxa"/>
          </w:tcPr>
          <w:p>
            <w:pPr>
              <w:pStyle w:val="TableParagraph"/>
              <w:spacing w:before="130"/>
              <w:ind w:left="122"/>
              <w:rPr>
                <w:rFonts w:ascii="宋体" w:eastAsia="宋体" w:hint="eastAsia"/>
                <w:sz w:val="21"/>
              </w:rPr>
            </w:pPr>
            <w:r>
              <w:rPr>
                <w:rFonts w:ascii="宋体" w:eastAsia="宋体" w:hint="eastAsia"/>
                <w:sz w:val="21"/>
              </w:rPr>
              <w:t>待摊费用</w:t>
            </w:r>
          </w:p>
        </w:tc>
        <w:tc>
          <w:tcPr>
            <w:tcW w:w="5461" w:type="dxa"/>
          </w:tcPr>
          <w:p>
            <w:pPr>
              <w:pStyle w:val="TableParagraph"/>
              <w:spacing w:before="136"/>
              <w:ind w:right="96"/>
              <w:jc w:val="right"/>
              <w:rPr>
                <w:sz w:val="21"/>
              </w:rPr>
            </w:pPr>
            <w:r>
              <w:rPr>
                <w:w w:val="100"/>
                <w:sz w:val="21"/>
              </w:rPr>
              <w:t>-</w:t>
            </w:r>
          </w:p>
        </w:tc>
      </w:tr>
      <w:tr>
        <w:trPr>
          <w:trHeight w:val="496" w:hRule="atLeast"/>
        </w:trPr>
        <w:tc>
          <w:tcPr>
            <w:tcW w:w="708" w:type="dxa"/>
          </w:tcPr>
          <w:p>
            <w:pPr>
              <w:pStyle w:val="TableParagraph"/>
              <w:spacing w:before="136"/>
              <w:ind w:left="22"/>
              <w:jc w:val="center"/>
              <w:rPr>
                <w:sz w:val="21"/>
              </w:rPr>
            </w:pPr>
            <w:r>
              <w:rPr>
                <w:w w:val="100"/>
                <w:sz w:val="21"/>
              </w:rPr>
              <w:t>8</w:t>
            </w:r>
          </w:p>
        </w:tc>
        <w:tc>
          <w:tcPr>
            <w:tcW w:w="2905" w:type="dxa"/>
          </w:tcPr>
          <w:p>
            <w:pPr>
              <w:pStyle w:val="TableParagraph"/>
              <w:spacing w:before="130"/>
              <w:ind w:left="122"/>
              <w:rPr>
                <w:rFonts w:ascii="宋体" w:eastAsia="宋体" w:hint="eastAsia"/>
                <w:sz w:val="21"/>
              </w:rPr>
            </w:pPr>
            <w:r>
              <w:rPr>
                <w:rFonts w:ascii="宋体" w:eastAsia="宋体" w:hint="eastAsia"/>
                <w:sz w:val="21"/>
              </w:rPr>
              <w:t>其他</w:t>
            </w:r>
          </w:p>
        </w:tc>
        <w:tc>
          <w:tcPr>
            <w:tcW w:w="5461" w:type="dxa"/>
          </w:tcPr>
          <w:p>
            <w:pPr>
              <w:pStyle w:val="TableParagraph"/>
              <w:spacing w:before="136"/>
              <w:ind w:right="96"/>
              <w:jc w:val="right"/>
              <w:rPr>
                <w:sz w:val="21"/>
              </w:rPr>
            </w:pPr>
            <w:r>
              <w:rPr>
                <w:w w:val="100"/>
                <w:sz w:val="21"/>
              </w:rPr>
              <w:t>-</w:t>
            </w:r>
          </w:p>
        </w:tc>
      </w:tr>
      <w:tr>
        <w:trPr>
          <w:trHeight w:val="498" w:hRule="atLeast"/>
        </w:trPr>
        <w:tc>
          <w:tcPr>
            <w:tcW w:w="708" w:type="dxa"/>
          </w:tcPr>
          <w:p>
            <w:pPr>
              <w:pStyle w:val="TableParagraph"/>
              <w:spacing w:before="136"/>
              <w:ind w:left="22"/>
              <w:jc w:val="center"/>
              <w:rPr>
                <w:sz w:val="21"/>
              </w:rPr>
            </w:pPr>
            <w:r>
              <w:rPr>
                <w:w w:val="100"/>
                <w:sz w:val="21"/>
              </w:rPr>
              <w:t>9</w:t>
            </w:r>
          </w:p>
        </w:tc>
        <w:tc>
          <w:tcPr>
            <w:tcW w:w="2905" w:type="dxa"/>
          </w:tcPr>
          <w:p>
            <w:pPr>
              <w:pStyle w:val="TableParagraph"/>
              <w:spacing w:before="130"/>
              <w:ind w:left="122"/>
              <w:rPr>
                <w:rFonts w:ascii="宋体" w:eastAsia="宋体" w:hint="eastAsia"/>
                <w:sz w:val="21"/>
              </w:rPr>
            </w:pPr>
            <w:r>
              <w:rPr>
                <w:rFonts w:ascii="宋体" w:eastAsia="宋体" w:hint="eastAsia"/>
                <w:sz w:val="21"/>
              </w:rPr>
              <w:t>合计</w:t>
            </w:r>
          </w:p>
        </w:tc>
        <w:tc>
          <w:tcPr>
            <w:tcW w:w="5461" w:type="dxa"/>
          </w:tcPr>
          <w:p>
            <w:pPr>
              <w:pStyle w:val="TableParagraph"/>
              <w:spacing w:before="136"/>
              <w:ind w:right="96"/>
              <w:jc w:val="right"/>
              <w:rPr>
                <w:sz w:val="21"/>
              </w:rPr>
            </w:pPr>
            <w:r>
              <w:rPr>
                <w:sz w:val="21"/>
              </w:rPr>
              <w:t>9,921,138.34</w:t>
            </w:r>
          </w:p>
        </w:tc>
      </w:tr>
    </w:tbl>
    <w:p>
      <w:pPr>
        <w:pStyle w:val="ListParagraph"/>
        <w:numPr>
          <w:ilvl w:val="2"/>
          <w:numId w:val="10"/>
        </w:numPr>
        <w:tabs>
          <w:tab w:pos="1126" w:val="left" w:leader="none"/>
        </w:tabs>
        <w:spacing w:line="240" w:lineRule="auto" w:before="100" w:after="0"/>
        <w:ind w:left="1126" w:right="0" w:hanging="586"/>
        <w:jc w:val="left"/>
        <w:rPr>
          <w:sz w:val="21"/>
        </w:rPr>
      </w:pPr>
      <w:r>
        <w:rPr>
          <w:spacing w:val="-3"/>
          <w:sz w:val="21"/>
        </w:rPr>
        <w:t>报告期末持有的处于转股期的可转换债券明细</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1729"/>
        <w:gridCol w:w="1659"/>
        <w:gridCol w:w="1697"/>
        <w:gridCol w:w="2274"/>
      </w:tblGrid>
      <w:tr>
        <w:trPr>
          <w:trHeight w:val="964" w:hRule="atLeast"/>
        </w:trPr>
        <w:tc>
          <w:tcPr>
            <w:tcW w:w="1716" w:type="dxa"/>
          </w:tcPr>
          <w:p>
            <w:pPr>
              <w:pStyle w:val="TableParagraph"/>
              <w:spacing w:before="4"/>
              <w:rPr>
                <w:rFonts w:ascii="宋体"/>
                <w:sz w:val="28"/>
              </w:rPr>
            </w:pPr>
          </w:p>
          <w:p>
            <w:pPr>
              <w:pStyle w:val="TableParagraph"/>
              <w:ind w:left="636" w:right="610"/>
              <w:jc w:val="center"/>
              <w:rPr>
                <w:rFonts w:ascii="宋体" w:eastAsia="宋体" w:hint="eastAsia"/>
                <w:sz w:val="21"/>
              </w:rPr>
            </w:pPr>
            <w:r>
              <w:rPr>
                <w:rFonts w:ascii="宋体" w:eastAsia="宋体" w:hint="eastAsia"/>
                <w:sz w:val="21"/>
              </w:rPr>
              <w:t>序号</w:t>
            </w:r>
          </w:p>
        </w:tc>
        <w:tc>
          <w:tcPr>
            <w:tcW w:w="1729" w:type="dxa"/>
          </w:tcPr>
          <w:p>
            <w:pPr>
              <w:pStyle w:val="TableParagraph"/>
              <w:spacing w:before="4"/>
              <w:rPr>
                <w:rFonts w:ascii="宋体"/>
                <w:sz w:val="28"/>
              </w:rPr>
            </w:pPr>
          </w:p>
          <w:p>
            <w:pPr>
              <w:pStyle w:val="TableParagraph"/>
              <w:ind w:left="432" w:right="406"/>
              <w:jc w:val="center"/>
              <w:rPr>
                <w:rFonts w:ascii="宋体" w:eastAsia="宋体" w:hint="eastAsia"/>
                <w:sz w:val="21"/>
              </w:rPr>
            </w:pPr>
            <w:r>
              <w:rPr>
                <w:rFonts w:ascii="宋体" w:eastAsia="宋体" w:hint="eastAsia"/>
                <w:sz w:val="21"/>
              </w:rPr>
              <w:t>债券代码</w:t>
            </w:r>
          </w:p>
        </w:tc>
        <w:tc>
          <w:tcPr>
            <w:tcW w:w="1659" w:type="dxa"/>
          </w:tcPr>
          <w:p>
            <w:pPr>
              <w:pStyle w:val="TableParagraph"/>
              <w:spacing w:before="4"/>
              <w:rPr>
                <w:rFonts w:ascii="宋体"/>
                <w:sz w:val="28"/>
              </w:rPr>
            </w:pPr>
          </w:p>
          <w:p>
            <w:pPr>
              <w:pStyle w:val="TableParagraph"/>
              <w:ind w:left="388" w:right="361"/>
              <w:jc w:val="center"/>
              <w:rPr>
                <w:rFonts w:ascii="宋体" w:eastAsia="宋体" w:hint="eastAsia"/>
                <w:sz w:val="21"/>
              </w:rPr>
            </w:pPr>
            <w:r>
              <w:rPr>
                <w:rFonts w:ascii="宋体" w:eastAsia="宋体" w:hint="eastAsia"/>
                <w:sz w:val="21"/>
              </w:rPr>
              <w:t>债券名称</w:t>
            </w:r>
          </w:p>
        </w:tc>
        <w:tc>
          <w:tcPr>
            <w:tcW w:w="1697" w:type="dxa"/>
          </w:tcPr>
          <w:p>
            <w:pPr>
              <w:pStyle w:val="TableParagraph"/>
              <w:spacing w:before="4"/>
              <w:rPr>
                <w:rFonts w:ascii="宋体"/>
                <w:sz w:val="28"/>
              </w:rPr>
            </w:pPr>
          </w:p>
          <w:p>
            <w:pPr>
              <w:pStyle w:val="TableParagraph"/>
              <w:ind w:left="265"/>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2274" w:type="dxa"/>
          </w:tcPr>
          <w:p>
            <w:pPr>
              <w:pStyle w:val="TableParagraph"/>
              <w:spacing w:before="130"/>
              <w:ind w:left="180" w:right="154"/>
              <w:jc w:val="center"/>
              <w:rPr>
                <w:rFonts w:ascii="宋体" w:eastAsia="宋体" w:hint="eastAsia"/>
                <w:sz w:val="21"/>
              </w:rPr>
            </w:pPr>
            <w:r>
              <w:rPr>
                <w:rFonts w:ascii="宋体" w:eastAsia="宋体" w:hint="eastAsia"/>
                <w:sz w:val="21"/>
              </w:rPr>
              <w:t>占基金资产净值比例</w:t>
            </w:r>
          </w:p>
          <w:p>
            <w:pPr>
              <w:pStyle w:val="TableParagraph"/>
              <w:spacing w:before="10"/>
              <w:rPr>
                <w:rFonts w:ascii="宋体"/>
                <w:sz w:val="15"/>
              </w:rPr>
            </w:pPr>
          </w:p>
          <w:p>
            <w:pPr>
              <w:pStyle w:val="TableParagraph"/>
              <w:ind w:left="179" w:right="154"/>
              <w:jc w:val="center"/>
              <w:rPr>
                <w:sz w:val="21"/>
              </w:rPr>
            </w:pPr>
            <w:r>
              <w:rPr>
                <w:sz w:val="21"/>
              </w:rPr>
              <w:t>(%)</w:t>
            </w:r>
          </w:p>
        </w:tc>
      </w:tr>
      <w:tr>
        <w:trPr>
          <w:trHeight w:val="311" w:hRule="atLeast"/>
        </w:trPr>
        <w:tc>
          <w:tcPr>
            <w:tcW w:w="1716" w:type="dxa"/>
          </w:tcPr>
          <w:p>
            <w:pPr>
              <w:pStyle w:val="TableParagraph"/>
              <w:spacing w:before="28"/>
              <w:ind w:left="8"/>
              <w:jc w:val="center"/>
              <w:rPr>
                <w:sz w:val="21"/>
              </w:rPr>
            </w:pPr>
            <w:r>
              <w:rPr>
                <w:w w:val="100"/>
                <w:sz w:val="21"/>
              </w:rPr>
              <w:t>1</w:t>
            </w:r>
          </w:p>
        </w:tc>
        <w:tc>
          <w:tcPr>
            <w:tcW w:w="1729" w:type="dxa"/>
          </w:tcPr>
          <w:p>
            <w:pPr>
              <w:pStyle w:val="TableParagraph"/>
              <w:spacing w:before="28"/>
              <w:ind w:left="416" w:right="406"/>
              <w:jc w:val="center"/>
              <w:rPr>
                <w:sz w:val="21"/>
              </w:rPr>
            </w:pPr>
            <w:r>
              <w:rPr>
                <w:sz w:val="21"/>
              </w:rPr>
              <w:t>128080</w:t>
            </w:r>
          </w:p>
        </w:tc>
        <w:tc>
          <w:tcPr>
            <w:tcW w:w="1659" w:type="dxa"/>
          </w:tcPr>
          <w:p>
            <w:pPr>
              <w:pStyle w:val="TableParagraph"/>
              <w:spacing w:before="22"/>
              <w:ind w:left="379" w:right="371"/>
              <w:jc w:val="center"/>
              <w:rPr>
                <w:rFonts w:ascii="宋体" w:eastAsia="宋体" w:hint="eastAsia"/>
                <w:sz w:val="21"/>
              </w:rPr>
            </w:pPr>
            <w:r>
              <w:rPr>
                <w:rFonts w:ascii="宋体" w:eastAsia="宋体" w:hint="eastAsia"/>
                <w:sz w:val="21"/>
              </w:rPr>
              <w:t>顺丰转债</w:t>
            </w:r>
          </w:p>
        </w:tc>
        <w:tc>
          <w:tcPr>
            <w:tcW w:w="1697" w:type="dxa"/>
          </w:tcPr>
          <w:p>
            <w:pPr>
              <w:pStyle w:val="TableParagraph"/>
              <w:spacing w:before="28"/>
              <w:ind w:left="471"/>
              <w:rPr>
                <w:sz w:val="21"/>
              </w:rPr>
            </w:pPr>
            <w:r>
              <w:rPr>
                <w:sz w:val="21"/>
              </w:rPr>
              <w:t>2,038,500.00</w:t>
            </w:r>
          </w:p>
        </w:tc>
        <w:tc>
          <w:tcPr>
            <w:tcW w:w="2274" w:type="dxa"/>
          </w:tcPr>
          <w:p>
            <w:pPr>
              <w:pStyle w:val="TableParagraph"/>
              <w:spacing w:before="28"/>
              <w:ind w:right="96"/>
              <w:jc w:val="right"/>
              <w:rPr>
                <w:sz w:val="21"/>
              </w:rPr>
            </w:pPr>
            <w:r>
              <w:rPr>
                <w:sz w:val="21"/>
              </w:rPr>
              <w:t>0.49</w:t>
            </w:r>
          </w:p>
        </w:tc>
      </w:tr>
    </w:tbl>
    <w:p>
      <w:pPr>
        <w:pStyle w:val="ListParagraph"/>
        <w:numPr>
          <w:ilvl w:val="2"/>
          <w:numId w:val="10"/>
        </w:numPr>
        <w:tabs>
          <w:tab w:pos="1179" w:val="left" w:leader="none"/>
        </w:tabs>
        <w:spacing w:line="417" w:lineRule="auto" w:before="99" w:after="0"/>
        <w:ind w:left="960" w:right="4133" w:hanging="420"/>
        <w:jc w:val="left"/>
        <w:rPr>
          <w:sz w:val="21"/>
        </w:rPr>
      </w:pPr>
      <w:r>
        <w:rPr>
          <w:spacing w:val="-3"/>
          <w:sz w:val="21"/>
        </w:rPr>
        <w:t>报告期末前十名股票中存在流通受限情况的说明本基金本报告期末未持有股票。</w:t>
      </w:r>
    </w:p>
    <w:p>
      <w:pPr>
        <w:pStyle w:val="ListParagraph"/>
        <w:numPr>
          <w:ilvl w:val="2"/>
          <w:numId w:val="10"/>
        </w:numPr>
        <w:tabs>
          <w:tab w:pos="1126" w:val="left" w:leader="none"/>
        </w:tabs>
        <w:spacing w:line="240" w:lineRule="auto" w:before="1" w:after="0"/>
        <w:ind w:left="1126" w:right="0" w:hanging="586"/>
        <w:jc w:val="left"/>
        <w:rPr>
          <w:sz w:val="21"/>
        </w:rPr>
      </w:pPr>
      <w:r>
        <w:rPr>
          <w:spacing w:val="-3"/>
          <w:sz w:val="21"/>
        </w:rPr>
        <w:t>投资组合报告附注的其他文字描述部分</w:t>
      </w:r>
    </w:p>
    <w:p>
      <w:pPr>
        <w:pStyle w:val="BodyText"/>
        <w:spacing w:before="6"/>
        <w:rPr>
          <w:sz w:val="15"/>
        </w:rPr>
      </w:pPr>
    </w:p>
    <w:p>
      <w:pPr>
        <w:pStyle w:val="BodyText"/>
        <w:ind w:left="960"/>
      </w:pPr>
      <w:r>
        <w:rPr/>
        <w:t>由于四舍五入的原因，分项之和与合计项之间可能存在尾差。</w:t>
      </w:r>
    </w:p>
    <w:p>
      <w:pPr>
        <w:pStyle w:val="BodyText"/>
        <w:rPr>
          <w:sz w:val="20"/>
        </w:rPr>
      </w:pPr>
    </w:p>
    <w:p>
      <w:pPr>
        <w:pStyle w:val="BodyText"/>
        <w:spacing w:before="6"/>
        <w:rPr>
          <w:sz w:val="20"/>
        </w:rPr>
      </w:pPr>
    </w:p>
    <w:p>
      <w:pPr>
        <w:pStyle w:val="Heading1"/>
      </w:pPr>
      <w:bookmarkStart w:name="_bookmark4" w:id="5"/>
      <w:bookmarkEnd w:id="5"/>
      <w:r>
        <w:rPr>
          <w:b w:val="0"/>
        </w:rPr>
      </w:r>
      <w:r>
        <w:rPr/>
        <w:t>五、基金的业绩</w:t>
      </w:r>
    </w:p>
    <w:p>
      <w:pPr>
        <w:pStyle w:val="BodyText"/>
        <w:rPr>
          <w:b/>
          <w:sz w:val="20"/>
        </w:rPr>
      </w:pPr>
    </w:p>
    <w:p>
      <w:pPr>
        <w:pStyle w:val="BodyText"/>
        <w:spacing w:before="9"/>
        <w:rPr>
          <w:b/>
          <w:sz w:val="19"/>
        </w:rPr>
      </w:pPr>
    </w:p>
    <w:p>
      <w:pPr>
        <w:pStyle w:val="BodyText"/>
        <w:spacing w:line="417" w:lineRule="auto"/>
        <w:ind w:left="540" w:right="87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pPr>
      <w:r>
        <w:rPr>
          <w:spacing w:val="-7"/>
        </w:rPr>
        <w:t>下述基金业绩指标不包括持有人认购或交易基金的各项费用，计入费用后实际收益水平</w:t>
      </w:r>
      <w:r>
        <w:rPr>
          <w:spacing w:val="-5"/>
        </w:rPr>
        <w:t>要低于所列数字。</w:t>
      </w:r>
    </w:p>
    <w:p>
      <w:pPr>
        <w:pStyle w:val="BodyText"/>
        <w:spacing w:line="269" w:lineRule="exact"/>
        <w:ind w:left="960"/>
      </w:pPr>
      <w:r>
        <w:rPr>
          <w:spacing w:val="-3"/>
        </w:rPr>
        <w:t>华夏大中华信用债券</w:t>
      </w:r>
      <w:r>
        <w:rPr/>
        <w:t>（</w:t>
      </w:r>
      <w:r>
        <w:rPr>
          <w:rFonts w:ascii="Calibri" w:eastAsia="Calibri"/>
        </w:rPr>
        <w:t>QDII</w:t>
      </w:r>
      <w:r>
        <w:rPr/>
        <w:t>）</w:t>
      </w:r>
      <w:r>
        <w:rPr>
          <w:rFonts w:ascii="Calibri" w:eastAsia="Calibri"/>
        </w:rPr>
        <w:t>A</w:t>
      </w:r>
      <w:r>
        <w:rPr/>
        <w:t>：</w:t>
      </w:r>
    </w:p>
    <w:p>
      <w:pPr>
        <w:pStyle w:val="BodyText"/>
        <w:spacing w:before="10"/>
        <w:rPr>
          <w:sz w:val="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1134"/>
        <w:gridCol w:w="1277"/>
        <w:gridCol w:w="1275"/>
        <w:gridCol w:w="1277"/>
        <w:gridCol w:w="992"/>
        <w:gridCol w:w="886"/>
      </w:tblGrid>
      <w:tr>
        <w:trPr>
          <w:trHeight w:val="935" w:hRule="atLeast"/>
        </w:trPr>
        <w:tc>
          <w:tcPr>
            <w:tcW w:w="1985" w:type="dxa"/>
          </w:tcPr>
          <w:p>
            <w:pPr>
              <w:pStyle w:val="TableParagraph"/>
              <w:spacing w:before="1"/>
              <w:rPr>
                <w:rFonts w:ascii="宋体"/>
                <w:sz w:val="26"/>
              </w:rPr>
            </w:pPr>
          </w:p>
          <w:p>
            <w:pPr>
              <w:pStyle w:val="TableParagraph"/>
              <w:ind w:left="124" w:right="113"/>
              <w:jc w:val="center"/>
              <w:rPr>
                <w:rFonts w:ascii="宋体" w:eastAsia="宋体" w:hint="eastAsia"/>
                <w:sz w:val="21"/>
              </w:rPr>
            </w:pPr>
            <w:r>
              <w:rPr>
                <w:rFonts w:ascii="宋体" w:eastAsia="宋体" w:hint="eastAsia"/>
                <w:sz w:val="21"/>
              </w:rPr>
              <w:t>阶段</w:t>
            </w:r>
          </w:p>
        </w:tc>
        <w:tc>
          <w:tcPr>
            <w:tcW w:w="1134" w:type="dxa"/>
          </w:tcPr>
          <w:p>
            <w:pPr>
              <w:pStyle w:val="TableParagraph"/>
              <w:spacing w:line="278" w:lineRule="auto" w:before="178"/>
              <w:ind w:left="145" w:right="133" w:firstLine="208"/>
              <w:rPr>
                <w:rFonts w:ascii="宋体" w:hAnsi="宋体" w:eastAsia="宋体" w:hint="eastAsia"/>
                <w:sz w:val="21"/>
              </w:rPr>
            </w:pPr>
            <w:r>
              <w:rPr>
                <w:rFonts w:ascii="宋体" w:hAnsi="宋体" w:eastAsia="宋体" w:hint="eastAsia"/>
                <w:sz w:val="21"/>
              </w:rPr>
              <w:t>净 值 增长率①</w:t>
            </w:r>
          </w:p>
        </w:tc>
        <w:tc>
          <w:tcPr>
            <w:tcW w:w="1277" w:type="dxa"/>
          </w:tcPr>
          <w:p>
            <w:pPr>
              <w:pStyle w:val="TableParagraph"/>
              <w:spacing w:line="278" w:lineRule="auto" w:before="178"/>
              <w:ind w:left="214" w:right="102" w:hanging="106"/>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line="278" w:lineRule="auto" w:before="178"/>
              <w:ind w:left="109" w:right="99"/>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spacing w:before="22"/>
              <w:ind w:left="111"/>
              <w:rPr>
                <w:rFonts w:ascii="宋体" w:eastAsia="宋体" w:hint="eastAsia"/>
                <w:sz w:val="21"/>
              </w:rPr>
            </w:pPr>
            <w:r>
              <w:rPr>
                <w:rFonts w:ascii="宋体" w:eastAsia="宋体" w:hint="eastAsia"/>
                <w:sz w:val="21"/>
              </w:rPr>
              <w:t>业绩比较基</w:t>
            </w:r>
          </w:p>
          <w:p>
            <w:pPr>
              <w:pStyle w:val="TableParagraph"/>
              <w:spacing w:line="310" w:lineRule="atLeast" w:before="2"/>
              <w:ind w:left="320" w:right="100" w:hanging="209"/>
              <w:rPr>
                <w:rFonts w:ascii="宋体" w:hAnsi="宋体" w:eastAsia="宋体" w:hint="eastAsia"/>
                <w:sz w:val="21"/>
              </w:rPr>
            </w:pPr>
            <w:r>
              <w:rPr>
                <w:rFonts w:ascii="宋体" w:hAnsi="宋体" w:eastAsia="宋体" w:hint="eastAsia"/>
                <w:sz w:val="21"/>
              </w:rPr>
              <w:t>准收益率标准差④</w:t>
            </w:r>
          </w:p>
        </w:tc>
        <w:tc>
          <w:tcPr>
            <w:tcW w:w="992" w:type="dxa"/>
          </w:tcPr>
          <w:p>
            <w:pPr>
              <w:pStyle w:val="TableParagraph"/>
              <w:spacing w:before="1"/>
              <w:rPr>
                <w:rFonts w:ascii="宋体"/>
                <w:sz w:val="26"/>
              </w:rPr>
            </w:pPr>
          </w:p>
          <w:p>
            <w:pPr>
              <w:pStyle w:val="TableParagraph"/>
              <w:ind w:left="178"/>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1"/>
              <w:rPr>
                <w:rFonts w:ascii="宋体"/>
                <w:sz w:val="26"/>
              </w:rPr>
            </w:pPr>
          </w:p>
          <w:p>
            <w:pPr>
              <w:pStyle w:val="TableParagraph"/>
              <w:ind w:right="117"/>
              <w:jc w:val="right"/>
              <w:rPr>
                <w:rFonts w:ascii="宋体" w:hAnsi="宋体" w:eastAsia="宋体" w:hint="eastAsia"/>
                <w:sz w:val="21"/>
              </w:rPr>
            </w:pPr>
            <w:r>
              <w:rPr>
                <w:rFonts w:ascii="宋体" w:hAnsi="宋体" w:eastAsia="宋体" w:hint="eastAsia"/>
                <w:sz w:val="21"/>
              </w:rPr>
              <w:t>②－④</w:t>
            </w:r>
          </w:p>
        </w:tc>
      </w:tr>
      <w:tr>
        <w:trPr>
          <w:trHeight w:val="623" w:hRule="atLeast"/>
        </w:trPr>
        <w:tc>
          <w:tcPr>
            <w:tcW w:w="1985" w:type="dxa"/>
          </w:tcPr>
          <w:p>
            <w:pPr>
              <w:pStyle w:val="TableParagraph"/>
              <w:spacing w:before="22"/>
              <w:ind w:left="107"/>
              <w:rPr>
                <w:rFonts w:ascii="宋体" w:eastAsia="宋体" w:hint="eastAsia"/>
                <w:sz w:val="21"/>
              </w:rPr>
            </w:pPr>
            <w:r>
              <w:rPr>
                <w:rFonts w:ascii="Times New Roman" w:eastAsia="Times New Roman"/>
                <w:sz w:val="21"/>
              </w:rPr>
              <w:t>2016</w:t>
            </w:r>
            <w:r>
              <w:rPr>
                <w:rFonts w:ascii="Times New Roman" w:eastAsia="Times New Roman"/>
                <w:spacing w:val="-14"/>
                <w:sz w:val="21"/>
              </w:rPr>
              <w:t> </w:t>
            </w:r>
            <w:r>
              <w:rPr>
                <w:rFonts w:ascii="宋体" w:eastAsia="宋体" w:hint="eastAsia"/>
                <w:spacing w:val="-33"/>
                <w:sz w:val="21"/>
              </w:rPr>
              <w:t>年 </w:t>
            </w:r>
            <w:r>
              <w:rPr>
                <w:rFonts w:ascii="Times New Roman" w:eastAsia="Times New Roman"/>
                <w:sz w:val="21"/>
              </w:rPr>
              <w:t>7</w:t>
            </w:r>
            <w:r>
              <w:rPr>
                <w:rFonts w:ascii="Times New Roman" w:eastAsia="Times New Roman"/>
                <w:spacing w:val="-15"/>
                <w:sz w:val="21"/>
              </w:rPr>
              <w:t> </w:t>
            </w:r>
            <w:r>
              <w:rPr>
                <w:rFonts w:ascii="宋体" w:eastAsia="宋体" w:hint="eastAsia"/>
                <w:spacing w:val="-33"/>
                <w:sz w:val="21"/>
              </w:rPr>
              <w:t>月 </w:t>
            </w:r>
            <w:r>
              <w:rPr>
                <w:rFonts w:ascii="Times New Roman" w:eastAsia="Times New Roman"/>
                <w:sz w:val="21"/>
              </w:rPr>
              <w:t>27</w:t>
            </w:r>
            <w:r>
              <w:rPr>
                <w:rFonts w:ascii="Times New Roman" w:eastAsia="Times New Roman"/>
                <w:spacing w:val="-15"/>
                <w:sz w:val="21"/>
              </w:rPr>
              <w:t>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2016</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0"/>
              <w:ind w:left="258"/>
              <w:rPr>
                <w:rFonts w:ascii="Times New Roman"/>
                <w:sz w:val="21"/>
              </w:rPr>
            </w:pPr>
            <w:r>
              <w:rPr>
                <w:rFonts w:ascii="Times New Roman"/>
                <w:sz w:val="21"/>
              </w:rPr>
              <w:t>-2.40%</w:t>
            </w:r>
          </w:p>
        </w:tc>
        <w:tc>
          <w:tcPr>
            <w:tcW w:w="1277" w:type="dxa"/>
          </w:tcPr>
          <w:p>
            <w:pPr>
              <w:pStyle w:val="TableParagraph"/>
              <w:spacing w:before="190"/>
              <w:ind w:left="363"/>
              <w:rPr>
                <w:rFonts w:ascii="Times New Roman"/>
                <w:sz w:val="21"/>
              </w:rPr>
            </w:pPr>
            <w:r>
              <w:rPr>
                <w:rFonts w:ascii="Times New Roman"/>
                <w:sz w:val="21"/>
              </w:rPr>
              <w:t>0.13%</w:t>
            </w:r>
          </w:p>
        </w:tc>
        <w:tc>
          <w:tcPr>
            <w:tcW w:w="1275" w:type="dxa"/>
          </w:tcPr>
          <w:p>
            <w:pPr>
              <w:pStyle w:val="TableParagraph"/>
              <w:spacing w:before="190"/>
              <w:ind w:left="363"/>
              <w:rPr>
                <w:rFonts w:ascii="Times New Roman"/>
                <w:sz w:val="21"/>
              </w:rPr>
            </w:pPr>
            <w:r>
              <w:rPr>
                <w:rFonts w:ascii="Times New Roman"/>
                <w:sz w:val="21"/>
              </w:rPr>
              <w:t>0.43%</w:t>
            </w:r>
          </w:p>
        </w:tc>
        <w:tc>
          <w:tcPr>
            <w:tcW w:w="1277" w:type="dxa"/>
          </w:tcPr>
          <w:p>
            <w:pPr>
              <w:pStyle w:val="TableParagraph"/>
              <w:spacing w:before="190"/>
              <w:ind w:left="365"/>
              <w:rPr>
                <w:rFonts w:ascii="Times New Roman"/>
                <w:sz w:val="21"/>
              </w:rPr>
            </w:pPr>
            <w:r>
              <w:rPr>
                <w:rFonts w:ascii="Times New Roman"/>
                <w:sz w:val="21"/>
              </w:rPr>
              <w:t>0.14%</w:t>
            </w:r>
          </w:p>
        </w:tc>
        <w:tc>
          <w:tcPr>
            <w:tcW w:w="992" w:type="dxa"/>
          </w:tcPr>
          <w:p>
            <w:pPr>
              <w:pStyle w:val="TableParagraph"/>
              <w:spacing w:before="190"/>
              <w:ind w:left="187"/>
              <w:rPr>
                <w:rFonts w:ascii="Times New Roman"/>
                <w:sz w:val="21"/>
              </w:rPr>
            </w:pPr>
            <w:r>
              <w:rPr>
                <w:rFonts w:ascii="Times New Roman"/>
                <w:sz w:val="21"/>
              </w:rPr>
              <w:t>-2.83%</w:t>
            </w:r>
          </w:p>
        </w:tc>
        <w:tc>
          <w:tcPr>
            <w:tcW w:w="886" w:type="dxa"/>
          </w:tcPr>
          <w:p>
            <w:pPr>
              <w:pStyle w:val="TableParagraph"/>
              <w:spacing w:before="190"/>
              <w:ind w:right="128"/>
              <w:jc w:val="right"/>
              <w:rPr>
                <w:rFonts w:ascii="Times New Roman"/>
                <w:sz w:val="21"/>
              </w:rPr>
            </w:pPr>
            <w:r>
              <w:rPr>
                <w:rFonts w:ascii="Times New Roman"/>
                <w:sz w:val="21"/>
              </w:rPr>
              <w:t>-0.01%</w:t>
            </w:r>
          </w:p>
        </w:tc>
      </w:tr>
      <w:tr>
        <w:trPr>
          <w:trHeight w:val="624" w:hRule="atLeast"/>
        </w:trPr>
        <w:tc>
          <w:tcPr>
            <w:tcW w:w="1985" w:type="dxa"/>
          </w:tcPr>
          <w:p>
            <w:pPr>
              <w:pStyle w:val="TableParagraph"/>
              <w:spacing w:before="22"/>
              <w:ind w:left="107"/>
              <w:rPr>
                <w:rFonts w:ascii="宋体" w:eastAsia="宋体" w:hint="eastAsia"/>
                <w:sz w:val="21"/>
              </w:rPr>
            </w:pPr>
            <w:r>
              <w:rPr>
                <w:rFonts w:ascii="Times New Roman" w:eastAsia="Times New Roman"/>
                <w:sz w:val="21"/>
              </w:rPr>
              <w:t>2017</w:t>
            </w:r>
            <w:r>
              <w:rPr>
                <w:rFonts w:ascii="Times New Roman" w:eastAsia="Times New Roman"/>
                <w:spacing w:val="6"/>
                <w:sz w:val="21"/>
              </w:rPr>
              <w:t> </w:t>
            </w:r>
            <w:r>
              <w:rPr>
                <w:rFonts w:ascii="宋体" w:eastAsia="宋体" w:hint="eastAsia"/>
                <w:spacing w:val="-22"/>
                <w:sz w:val="21"/>
              </w:rPr>
              <w:t>年 </w:t>
            </w:r>
            <w:r>
              <w:rPr>
                <w:rFonts w:ascii="Times New Roman" w:eastAsia="Times New Roman"/>
                <w:sz w:val="21"/>
              </w:rPr>
              <w:t>1</w:t>
            </w:r>
            <w:r>
              <w:rPr>
                <w:rFonts w:ascii="Times New Roman" w:eastAsia="Times New Roman"/>
                <w:spacing w:val="7"/>
                <w:sz w:val="21"/>
              </w:rPr>
              <w:t> </w:t>
            </w:r>
            <w:r>
              <w:rPr>
                <w:rFonts w:ascii="宋体" w:eastAsia="宋体" w:hint="eastAsia"/>
                <w:spacing w:val="-22"/>
                <w:sz w:val="21"/>
              </w:rPr>
              <w:t>月 </w:t>
            </w:r>
            <w:r>
              <w:rPr>
                <w:rFonts w:ascii="Times New Roman" w:eastAsia="Times New Roman"/>
                <w:sz w:val="21"/>
              </w:rPr>
              <w:t>1</w:t>
            </w:r>
            <w:r>
              <w:rPr>
                <w:rFonts w:ascii="Times New Roman" w:eastAsia="Times New Roman"/>
                <w:spacing w:val="7"/>
                <w:sz w:val="21"/>
              </w:rPr>
              <w:t> </w:t>
            </w:r>
            <w:r>
              <w:rPr>
                <w:rFonts w:ascii="宋体" w:eastAsia="宋体" w:hint="eastAsia"/>
                <w:sz w:val="21"/>
              </w:rPr>
              <w:t>日至</w:t>
            </w:r>
          </w:p>
          <w:p>
            <w:pPr>
              <w:pStyle w:val="TableParagraph"/>
              <w:spacing w:before="44"/>
              <w:ind w:left="107"/>
              <w:rPr>
                <w:rFonts w:ascii="宋体" w:eastAsia="宋体" w:hint="eastAsia"/>
                <w:sz w:val="21"/>
              </w:rPr>
            </w:pPr>
            <w:r>
              <w:rPr>
                <w:rFonts w:ascii="Times New Roman" w:eastAsia="Times New Roman"/>
                <w:sz w:val="21"/>
              </w:rPr>
              <w:t>2017</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0"/>
              <w:ind w:left="294"/>
              <w:rPr>
                <w:rFonts w:ascii="Times New Roman"/>
                <w:sz w:val="21"/>
              </w:rPr>
            </w:pPr>
            <w:r>
              <w:rPr>
                <w:rFonts w:ascii="Times New Roman"/>
                <w:sz w:val="21"/>
              </w:rPr>
              <w:t>1.95%</w:t>
            </w:r>
          </w:p>
        </w:tc>
        <w:tc>
          <w:tcPr>
            <w:tcW w:w="1277" w:type="dxa"/>
          </w:tcPr>
          <w:p>
            <w:pPr>
              <w:pStyle w:val="TableParagraph"/>
              <w:spacing w:before="190"/>
              <w:ind w:left="363"/>
              <w:rPr>
                <w:rFonts w:ascii="Times New Roman"/>
                <w:sz w:val="21"/>
              </w:rPr>
            </w:pPr>
            <w:r>
              <w:rPr>
                <w:rFonts w:ascii="Times New Roman"/>
                <w:sz w:val="21"/>
              </w:rPr>
              <w:t>0.15%</w:t>
            </w:r>
          </w:p>
        </w:tc>
        <w:tc>
          <w:tcPr>
            <w:tcW w:w="1275" w:type="dxa"/>
          </w:tcPr>
          <w:p>
            <w:pPr>
              <w:pStyle w:val="TableParagraph"/>
              <w:spacing w:before="190"/>
              <w:ind w:left="327"/>
              <w:rPr>
                <w:rFonts w:ascii="Times New Roman"/>
                <w:sz w:val="21"/>
              </w:rPr>
            </w:pPr>
            <w:r>
              <w:rPr>
                <w:rFonts w:ascii="Times New Roman"/>
                <w:sz w:val="21"/>
              </w:rPr>
              <w:t>-2.16%</w:t>
            </w:r>
          </w:p>
        </w:tc>
        <w:tc>
          <w:tcPr>
            <w:tcW w:w="1277" w:type="dxa"/>
          </w:tcPr>
          <w:p>
            <w:pPr>
              <w:pStyle w:val="TableParagraph"/>
              <w:spacing w:before="190"/>
              <w:ind w:left="365"/>
              <w:rPr>
                <w:rFonts w:ascii="Times New Roman"/>
                <w:sz w:val="21"/>
              </w:rPr>
            </w:pPr>
            <w:r>
              <w:rPr>
                <w:rFonts w:ascii="Times New Roman"/>
                <w:sz w:val="21"/>
              </w:rPr>
              <w:t>0.10%</w:t>
            </w:r>
          </w:p>
        </w:tc>
        <w:tc>
          <w:tcPr>
            <w:tcW w:w="992" w:type="dxa"/>
          </w:tcPr>
          <w:p>
            <w:pPr>
              <w:pStyle w:val="TableParagraph"/>
              <w:spacing w:before="190"/>
              <w:ind w:left="226"/>
              <w:rPr>
                <w:rFonts w:ascii="Times New Roman"/>
                <w:sz w:val="21"/>
              </w:rPr>
            </w:pPr>
            <w:r>
              <w:rPr>
                <w:rFonts w:ascii="Times New Roman"/>
                <w:sz w:val="21"/>
              </w:rPr>
              <w:t>4.11%</w:t>
            </w:r>
          </w:p>
        </w:tc>
        <w:tc>
          <w:tcPr>
            <w:tcW w:w="886" w:type="dxa"/>
          </w:tcPr>
          <w:p>
            <w:pPr>
              <w:pStyle w:val="TableParagraph"/>
              <w:spacing w:before="190"/>
              <w:ind w:left="168"/>
              <w:rPr>
                <w:rFonts w:ascii="Times New Roman"/>
                <w:sz w:val="21"/>
              </w:rPr>
            </w:pPr>
            <w:r>
              <w:rPr>
                <w:rFonts w:ascii="Times New Roman"/>
                <w:sz w:val="21"/>
              </w:rPr>
              <w:t>0.05%</w:t>
            </w:r>
          </w:p>
        </w:tc>
      </w:tr>
      <w:tr>
        <w:trPr>
          <w:trHeight w:val="625" w:hRule="atLeast"/>
        </w:trPr>
        <w:tc>
          <w:tcPr>
            <w:tcW w:w="1985" w:type="dxa"/>
          </w:tcPr>
          <w:p>
            <w:pPr>
              <w:pStyle w:val="TableParagraph"/>
              <w:spacing w:before="25"/>
              <w:ind w:left="107"/>
              <w:rPr>
                <w:rFonts w:ascii="宋体" w:eastAsia="宋体" w:hint="eastAsia"/>
                <w:sz w:val="21"/>
              </w:rPr>
            </w:pPr>
            <w:r>
              <w:rPr>
                <w:rFonts w:ascii="Times New Roman" w:eastAsia="Times New Roman"/>
                <w:sz w:val="21"/>
              </w:rPr>
              <w:t>2018</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w:t>
            </w:r>
            <w:r>
              <w:rPr>
                <w:rFonts w:ascii="Times New Roman" w:eastAsia="Times New Roman"/>
                <w:spacing w:val="-1"/>
                <w:sz w:val="21"/>
              </w:rPr>
              <w:t> </w:t>
            </w:r>
            <w:r>
              <w:rPr>
                <w:rFonts w:ascii="宋体" w:eastAsia="宋体" w:hint="eastAsia"/>
                <w:spacing w:val="-26"/>
                <w:sz w:val="21"/>
              </w:rPr>
              <w:t>月 </w:t>
            </w:r>
            <w:r>
              <w:rPr>
                <w:rFonts w:ascii="Times New Roman" w:eastAsia="Times New Roman"/>
                <w:sz w:val="21"/>
              </w:rPr>
              <w:t>1</w:t>
            </w:r>
            <w:r>
              <w:rPr>
                <w:rFonts w:ascii="Times New Roman" w:eastAsia="Times New Roman"/>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2018</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2"/>
              <w:ind w:left="294"/>
              <w:rPr>
                <w:rFonts w:ascii="Times New Roman"/>
                <w:sz w:val="21"/>
              </w:rPr>
            </w:pPr>
            <w:r>
              <w:rPr>
                <w:rFonts w:ascii="Times New Roman"/>
                <w:sz w:val="21"/>
              </w:rPr>
              <w:t>2.31%</w:t>
            </w:r>
          </w:p>
        </w:tc>
        <w:tc>
          <w:tcPr>
            <w:tcW w:w="1277" w:type="dxa"/>
          </w:tcPr>
          <w:p>
            <w:pPr>
              <w:pStyle w:val="TableParagraph"/>
              <w:spacing w:before="192"/>
              <w:ind w:left="363"/>
              <w:rPr>
                <w:rFonts w:ascii="Times New Roman"/>
                <w:sz w:val="21"/>
              </w:rPr>
            </w:pPr>
            <w:r>
              <w:rPr>
                <w:rFonts w:ascii="Times New Roman"/>
                <w:sz w:val="21"/>
              </w:rPr>
              <w:t>0.17%</w:t>
            </w:r>
          </w:p>
        </w:tc>
        <w:tc>
          <w:tcPr>
            <w:tcW w:w="1275" w:type="dxa"/>
          </w:tcPr>
          <w:p>
            <w:pPr>
              <w:pStyle w:val="TableParagraph"/>
              <w:spacing w:before="192"/>
              <w:ind w:left="363"/>
              <w:rPr>
                <w:rFonts w:ascii="Times New Roman"/>
                <w:sz w:val="21"/>
              </w:rPr>
            </w:pPr>
            <w:r>
              <w:rPr>
                <w:rFonts w:ascii="Times New Roman"/>
                <w:sz w:val="21"/>
              </w:rPr>
              <w:t>4.62%</w:t>
            </w:r>
          </w:p>
        </w:tc>
        <w:tc>
          <w:tcPr>
            <w:tcW w:w="1277" w:type="dxa"/>
          </w:tcPr>
          <w:p>
            <w:pPr>
              <w:pStyle w:val="TableParagraph"/>
              <w:spacing w:before="192"/>
              <w:ind w:left="365"/>
              <w:rPr>
                <w:rFonts w:ascii="Times New Roman"/>
                <w:sz w:val="21"/>
              </w:rPr>
            </w:pPr>
            <w:r>
              <w:rPr>
                <w:rFonts w:ascii="Times New Roman"/>
                <w:sz w:val="21"/>
              </w:rPr>
              <w:t>0.14%</w:t>
            </w:r>
          </w:p>
        </w:tc>
        <w:tc>
          <w:tcPr>
            <w:tcW w:w="992" w:type="dxa"/>
          </w:tcPr>
          <w:p>
            <w:pPr>
              <w:pStyle w:val="TableParagraph"/>
              <w:spacing w:before="192"/>
              <w:ind w:left="187"/>
              <w:rPr>
                <w:rFonts w:ascii="Times New Roman"/>
                <w:sz w:val="21"/>
              </w:rPr>
            </w:pPr>
            <w:r>
              <w:rPr>
                <w:rFonts w:ascii="Times New Roman"/>
                <w:sz w:val="21"/>
              </w:rPr>
              <w:t>-2.31%</w:t>
            </w:r>
          </w:p>
        </w:tc>
        <w:tc>
          <w:tcPr>
            <w:tcW w:w="886" w:type="dxa"/>
          </w:tcPr>
          <w:p>
            <w:pPr>
              <w:pStyle w:val="TableParagraph"/>
              <w:spacing w:before="192"/>
              <w:ind w:left="168"/>
              <w:rPr>
                <w:rFonts w:ascii="Times New Roman"/>
                <w:sz w:val="21"/>
              </w:rPr>
            </w:pPr>
            <w:r>
              <w:rPr>
                <w:rFonts w:ascii="Times New Roman"/>
                <w:sz w:val="21"/>
              </w:rPr>
              <w:t>0.03%</w:t>
            </w:r>
          </w:p>
        </w:tc>
      </w:tr>
      <w:tr>
        <w:trPr>
          <w:trHeight w:val="623" w:hRule="atLeast"/>
        </w:trPr>
        <w:tc>
          <w:tcPr>
            <w:tcW w:w="1985" w:type="dxa"/>
          </w:tcPr>
          <w:p>
            <w:pPr>
              <w:pStyle w:val="TableParagraph"/>
              <w:spacing w:before="22"/>
              <w:ind w:left="107"/>
              <w:rPr>
                <w:rFonts w:ascii="宋体" w:eastAsia="宋体" w:hint="eastAsia"/>
                <w:sz w:val="21"/>
              </w:rPr>
            </w:pPr>
            <w:r>
              <w:rPr>
                <w:rFonts w:ascii="Times New Roman" w:eastAsia="Times New Roman"/>
                <w:sz w:val="21"/>
              </w:rPr>
              <w:t>2019</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w:t>
            </w:r>
            <w:r>
              <w:rPr>
                <w:rFonts w:ascii="Times New Roman" w:eastAsia="Times New Roman"/>
                <w:spacing w:val="-1"/>
                <w:sz w:val="21"/>
              </w:rPr>
              <w:t> </w:t>
            </w:r>
            <w:r>
              <w:rPr>
                <w:rFonts w:ascii="宋体" w:eastAsia="宋体" w:hint="eastAsia"/>
                <w:spacing w:val="-26"/>
                <w:sz w:val="21"/>
              </w:rPr>
              <w:t>月 </w:t>
            </w:r>
            <w:r>
              <w:rPr>
                <w:rFonts w:ascii="Times New Roman" w:eastAsia="Times New Roman"/>
                <w:sz w:val="21"/>
              </w:rPr>
              <w:t>1</w:t>
            </w:r>
            <w:r>
              <w:rPr>
                <w:rFonts w:ascii="Times New Roman" w:eastAsia="Times New Roman"/>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2019</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0"/>
              <w:ind w:right="94"/>
              <w:jc w:val="right"/>
              <w:rPr>
                <w:rFonts w:ascii="Times New Roman"/>
                <w:sz w:val="21"/>
              </w:rPr>
            </w:pPr>
            <w:r>
              <w:rPr>
                <w:rFonts w:ascii="Times New Roman"/>
                <w:sz w:val="21"/>
              </w:rPr>
              <w:t>10.03%</w:t>
            </w:r>
          </w:p>
        </w:tc>
        <w:tc>
          <w:tcPr>
            <w:tcW w:w="1277" w:type="dxa"/>
          </w:tcPr>
          <w:p>
            <w:pPr>
              <w:pStyle w:val="TableParagraph"/>
              <w:spacing w:before="190"/>
              <w:ind w:right="96"/>
              <w:jc w:val="right"/>
              <w:rPr>
                <w:rFonts w:ascii="Times New Roman"/>
                <w:sz w:val="21"/>
              </w:rPr>
            </w:pPr>
            <w:r>
              <w:rPr>
                <w:rFonts w:ascii="Times New Roman"/>
                <w:sz w:val="21"/>
              </w:rPr>
              <w:t>0.14%</w:t>
            </w:r>
          </w:p>
        </w:tc>
        <w:tc>
          <w:tcPr>
            <w:tcW w:w="1275" w:type="dxa"/>
          </w:tcPr>
          <w:p>
            <w:pPr>
              <w:pStyle w:val="TableParagraph"/>
              <w:spacing w:before="190"/>
              <w:ind w:right="94"/>
              <w:jc w:val="right"/>
              <w:rPr>
                <w:rFonts w:ascii="Times New Roman"/>
                <w:sz w:val="21"/>
              </w:rPr>
            </w:pPr>
            <w:r>
              <w:rPr>
                <w:rFonts w:ascii="Times New Roman"/>
                <w:sz w:val="21"/>
              </w:rPr>
              <w:t>6.62%</w:t>
            </w:r>
          </w:p>
        </w:tc>
        <w:tc>
          <w:tcPr>
            <w:tcW w:w="1277" w:type="dxa"/>
          </w:tcPr>
          <w:p>
            <w:pPr>
              <w:pStyle w:val="TableParagraph"/>
              <w:spacing w:before="190"/>
              <w:ind w:right="94"/>
              <w:jc w:val="right"/>
              <w:rPr>
                <w:rFonts w:ascii="Times New Roman"/>
                <w:sz w:val="21"/>
              </w:rPr>
            </w:pPr>
            <w:r>
              <w:rPr>
                <w:rFonts w:ascii="Times New Roman"/>
                <w:sz w:val="21"/>
              </w:rPr>
              <w:t>0.11%</w:t>
            </w:r>
          </w:p>
        </w:tc>
        <w:tc>
          <w:tcPr>
            <w:tcW w:w="992" w:type="dxa"/>
          </w:tcPr>
          <w:p>
            <w:pPr>
              <w:pStyle w:val="TableParagraph"/>
              <w:spacing w:before="190"/>
              <w:ind w:right="95"/>
              <w:jc w:val="right"/>
              <w:rPr>
                <w:rFonts w:ascii="Times New Roman"/>
                <w:sz w:val="21"/>
              </w:rPr>
            </w:pPr>
            <w:r>
              <w:rPr>
                <w:rFonts w:ascii="Times New Roman"/>
                <w:sz w:val="21"/>
              </w:rPr>
              <w:t>3.41%</w:t>
            </w:r>
          </w:p>
        </w:tc>
        <w:tc>
          <w:tcPr>
            <w:tcW w:w="886" w:type="dxa"/>
          </w:tcPr>
          <w:p>
            <w:pPr>
              <w:pStyle w:val="TableParagraph"/>
              <w:spacing w:before="190"/>
              <w:ind w:right="97"/>
              <w:jc w:val="right"/>
              <w:rPr>
                <w:rFonts w:ascii="Times New Roman"/>
                <w:sz w:val="21"/>
              </w:rPr>
            </w:pPr>
            <w:r>
              <w:rPr>
                <w:rFonts w:ascii="Times New Roman"/>
                <w:sz w:val="21"/>
              </w:rPr>
              <w:t>0.03%</w:t>
            </w:r>
          </w:p>
        </w:tc>
      </w:tr>
      <w:tr>
        <w:trPr>
          <w:trHeight w:val="623" w:hRule="atLeast"/>
        </w:trPr>
        <w:tc>
          <w:tcPr>
            <w:tcW w:w="1985" w:type="dxa"/>
          </w:tcPr>
          <w:p>
            <w:pPr>
              <w:pStyle w:val="TableParagraph"/>
              <w:spacing w:before="22"/>
              <w:ind w:left="107"/>
              <w:rPr>
                <w:rFonts w:ascii="宋体" w:eastAsia="宋体" w:hint="eastAsia"/>
                <w:sz w:val="21"/>
              </w:rPr>
            </w:pPr>
            <w:r>
              <w:rPr>
                <w:rFonts w:ascii="Times New Roman" w:eastAsia="Times New Roman"/>
                <w:sz w:val="21"/>
              </w:rPr>
              <w:t>2020 </w:t>
            </w:r>
            <w:r>
              <w:rPr>
                <w:rFonts w:ascii="宋体" w:eastAsia="宋体" w:hint="eastAsia"/>
                <w:sz w:val="21"/>
              </w:rPr>
              <w:t>年 </w:t>
            </w:r>
            <w:r>
              <w:rPr>
                <w:rFonts w:ascii="Times New Roman" w:eastAsia="Times New Roman"/>
                <w:sz w:val="21"/>
              </w:rPr>
              <w:t>1 </w:t>
            </w:r>
            <w:r>
              <w:rPr>
                <w:rFonts w:ascii="宋体" w:eastAsia="宋体" w:hint="eastAsia"/>
                <w:sz w:val="21"/>
              </w:rPr>
              <w:t>月 </w:t>
            </w:r>
            <w:r>
              <w:rPr>
                <w:rFonts w:ascii="Times New Roman" w:eastAsia="Times New Roman"/>
                <w:sz w:val="21"/>
              </w:rPr>
              <w:t>1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2020 </w:t>
            </w:r>
            <w:r>
              <w:rPr>
                <w:rFonts w:ascii="宋体" w:eastAsia="宋体" w:hint="eastAsia"/>
                <w:sz w:val="21"/>
              </w:rPr>
              <w:t>年 </w:t>
            </w:r>
            <w:r>
              <w:rPr>
                <w:rFonts w:ascii="Times New Roman" w:eastAsia="Times New Roman"/>
                <w:sz w:val="21"/>
              </w:rPr>
              <w:t>6 </w:t>
            </w:r>
            <w:r>
              <w:rPr>
                <w:rFonts w:ascii="宋体" w:eastAsia="宋体" w:hint="eastAsia"/>
                <w:sz w:val="21"/>
              </w:rPr>
              <w:t>月 </w:t>
            </w:r>
            <w:r>
              <w:rPr>
                <w:rFonts w:ascii="Times New Roman" w:eastAsia="Times New Roman"/>
                <w:sz w:val="21"/>
              </w:rPr>
              <w:t>30 </w:t>
            </w:r>
            <w:r>
              <w:rPr>
                <w:rFonts w:ascii="宋体" w:eastAsia="宋体" w:hint="eastAsia"/>
                <w:sz w:val="21"/>
              </w:rPr>
              <w:t>日</w:t>
            </w:r>
          </w:p>
        </w:tc>
        <w:tc>
          <w:tcPr>
            <w:tcW w:w="1134" w:type="dxa"/>
          </w:tcPr>
          <w:p>
            <w:pPr>
              <w:pStyle w:val="TableParagraph"/>
              <w:spacing w:before="190"/>
              <w:ind w:right="96"/>
              <w:jc w:val="right"/>
              <w:rPr>
                <w:rFonts w:ascii="Times New Roman"/>
                <w:sz w:val="21"/>
              </w:rPr>
            </w:pPr>
            <w:r>
              <w:rPr>
                <w:rFonts w:ascii="Times New Roman"/>
                <w:sz w:val="21"/>
              </w:rPr>
              <w:t>-3.09%</w:t>
            </w:r>
          </w:p>
        </w:tc>
        <w:tc>
          <w:tcPr>
            <w:tcW w:w="1277" w:type="dxa"/>
          </w:tcPr>
          <w:p>
            <w:pPr>
              <w:pStyle w:val="TableParagraph"/>
              <w:spacing w:before="190"/>
              <w:ind w:right="96"/>
              <w:jc w:val="right"/>
              <w:rPr>
                <w:rFonts w:ascii="Times New Roman"/>
                <w:sz w:val="21"/>
              </w:rPr>
            </w:pPr>
            <w:r>
              <w:rPr>
                <w:rFonts w:ascii="Times New Roman"/>
                <w:sz w:val="21"/>
              </w:rPr>
              <w:t>0.55%</w:t>
            </w:r>
          </w:p>
        </w:tc>
        <w:tc>
          <w:tcPr>
            <w:tcW w:w="1275" w:type="dxa"/>
          </w:tcPr>
          <w:p>
            <w:pPr>
              <w:pStyle w:val="TableParagraph"/>
              <w:spacing w:before="190"/>
              <w:ind w:right="94"/>
              <w:jc w:val="right"/>
              <w:rPr>
                <w:rFonts w:ascii="Times New Roman"/>
                <w:sz w:val="21"/>
              </w:rPr>
            </w:pPr>
            <w:r>
              <w:rPr>
                <w:rFonts w:ascii="Times New Roman"/>
                <w:sz w:val="21"/>
              </w:rPr>
              <w:t>2.77%</w:t>
            </w:r>
          </w:p>
        </w:tc>
        <w:tc>
          <w:tcPr>
            <w:tcW w:w="1277" w:type="dxa"/>
          </w:tcPr>
          <w:p>
            <w:pPr>
              <w:pStyle w:val="TableParagraph"/>
              <w:spacing w:before="190"/>
              <w:ind w:right="94"/>
              <w:jc w:val="right"/>
              <w:rPr>
                <w:rFonts w:ascii="Times New Roman"/>
                <w:sz w:val="21"/>
              </w:rPr>
            </w:pPr>
            <w:r>
              <w:rPr>
                <w:rFonts w:ascii="Times New Roman"/>
                <w:sz w:val="21"/>
              </w:rPr>
              <w:t>0.19%</w:t>
            </w:r>
          </w:p>
        </w:tc>
        <w:tc>
          <w:tcPr>
            <w:tcW w:w="992" w:type="dxa"/>
          </w:tcPr>
          <w:p>
            <w:pPr>
              <w:pStyle w:val="TableParagraph"/>
              <w:spacing w:before="190"/>
              <w:ind w:right="97"/>
              <w:jc w:val="right"/>
              <w:rPr>
                <w:rFonts w:ascii="Times New Roman"/>
                <w:sz w:val="21"/>
              </w:rPr>
            </w:pPr>
            <w:r>
              <w:rPr>
                <w:rFonts w:ascii="Times New Roman"/>
                <w:sz w:val="21"/>
              </w:rPr>
              <w:t>-5.86%</w:t>
            </w:r>
          </w:p>
        </w:tc>
        <w:tc>
          <w:tcPr>
            <w:tcW w:w="886" w:type="dxa"/>
          </w:tcPr>
          <w:p>
            <w:pPr>
              <w:pStyle w:val="TableParagraph"/>
              <w:spacing w:before="190"/>
              <w:ind w:right="97"/>
              <w:jc w:val="right"/>
              <w:rPr>
                <w:rFonts w:ascii="Times New Roman"/>
                <w:sz w:val="21"/>
              </w:rPr>
            </w:pPr>
            <w:r>
              <w:rPr>
                <w:rFonts w:ascii="Times New Roman"/>
                <w:sz w:val="21"/>
              </w:rPr>
              <w:t>0.36%</w:t>
            </w:r>
          </w:p>
        </w:tc>
      </w:tr>
    </w:tbl>
    <w:p>
      <w:pPr>
        <w:pStyle w:val="BodyText"/>
        <w:spacing w:before="99"/>
        <w:ind w:left="960"/>
      </w:pPr>
      <w:r>
        <w:rPr>
          <w:spacing w:val="-3"/>
        </w:rPr>
        <w:t>华夏大中华信用债券</w:t>
      </w:r>
      <w:r>
        <w:rPr/>
        <w:t>（</w:t>
      </w:r>
      <w:r>
        <w:rPr>
          <w:rFonts w:ascii="Calibri" w:eastAsia="Calibri"/>
        </w:rPr>
        <w:t>QDII</w:t>
      </w:r>
      <w:r>
        <w:rPr/>
        <w:t>）</w:t>
      </w:r>
      <w:r>
        <w:rPr>
          <w:rFonts w:ascii="Calibri" w:eastAsia="Calibri"/>
        </w:rPr>
        <w:t>C</w:t>
      </w:r>
      <w:r>
        <w:rPr/>
        <w:t>：</w:t>
      </w:r>
    </w:p>
    <w:p>
      <w:pPr>
        <w:pStyle w:val="BodyText"/>
        <w:spacing w:before="10"/>
        <w:rPr>
          <w:sz w:val="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1134"/>
        <w:gridCol w:w="1277"/>
        <w:gridCol w:w="1275"/>
        <w:gridCol w:w="1277"/>
        <w:gridCol w:w="992"/>
        <w:gridCol w:w="886"/>
      </w:tblGrid>
      <w:tr>
        <w:trPr>
          <w:trHeight w:val="935" w:hRule="atLeast"/>
        </w:trPr>
        <w:tc>
          <w:tcPr>
            <w:tcW w:w="1985" w:type="dxa"/>
          </w:tcPr>
          <w:p>
            <w:pPr>
              <w:pStyle w:val="TableParagraph"/>
              <w:spacing w:before="1"/>
              <w:rPr>
                <w:rFonts w:ascii="宋体"/>
                <w:sz w:val="26"/>
              </w:rPr>
            </w:pPr>
          </w:p>
          <w:p>
            <w:pPr>
              <w:pStyle w:val="TableParagraph"/>
              <w:ind w:left="124" w:right="113"/>
              <w:jc w:val="center"/>
              <w:rPr>
                <w:rFonts w:ascii="宋体" w:eastAsia="宋体" w:hint="eastAsia"/>
                <w:sz w:val="21"/>
              </w:rPr>
            </w:pPr>
            <w:r>
              <w:rPr>
                <w:rFonts w:ascii="宋体" w:eastAsia="宋体" w:hint="eastAsia"/>
                <w:sz w:val="21"/>
              </w:rPr>
              <w:t>阶段</w:t>
            </w:r>
          </w:p>
        </w:tc>
        <w:tc>
          <w:tcPr>
            <w:tcW w:w="1134" w:type="dxa"/>
          </w:tcPr>
          <w:p>
            <w:pPr>
              <w:pStyle w:val="TableParagraph"/>
              <w:spacing w:line="278" w:lineRule="auto" w:before="178"/>
              <w:ind w:left="145" w:right="133" w:firstLine="208"/>
              <w:rPr>
                <w:rFonts w:ascii="宋体" w:hAnsi="宋体" w:eastAsia="宋体" w:hint="eastAsia"/>
                <w:sz w:val="21"/>
              </w:rPr>
            </w:pPr>
            <w:r>
              <w:rPr>
                <w:rFonts w:ascii="宋体" w:hAnsi="宋体" w:eastAsia="宋体" w:hint="eastAsia"/>
                <w:sz w:val="21"/>
              </w:rPr>
              <w:t>净 值 增长率①</w:t>
            </w:r>
          </w:p>
        </w:tc>
        <w:tc>
          <w:tcPr>
            <w:tcW w:w="1277" w:type="dxa"/>
          </w:tcPr>
          <w:p>
            <w:pPr>
              <w:pStyle w:val="TableParagraph"/>
              <w:spacing w:line="278" w:lineRule="auto" w:before="178"/>
              <w:ind w:left="214" w:right="102" w:hanging="106"/>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line="278" w:lineRule="auto" w:before="178"/>
              <w:ind w:left="109" w:right="99"/>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spacing w:line="278" w:lineRule="auto" w:before="22"/>
              <w:ind w:left="111" w:right="100"/>
              <w:jc w:val="center"/>
              <w:rPr>
                <w:rFonts w:ascii="宋体" w:eastAsia="宋体" w:hint="eastAsia"/>
                <w:sz w:val="21"/>
              </w:rPr>
            </w:pPr>
            <w:r>
              <w:rPr>
                <w:rFonts w:ascii="宋体" w:eastAsia="宋体" w:hint="eastAsia"/>
                <w:sz w:val="21"/>
              </w:rPr>
              <w:t>业绩比较基准收益率标</w:t>
            </w:r>
          </w:p>
          <w:p>
            <w:pPr>
              <w:pStyle w:val="TableParagraph"/>
              <w:ind w:left="106" w:right="100"/>
              <w:jc w:val="center"/>
              <w:rPr>
                <w:rFonts w:ascii="宋体" w:hAnsi="宋体" w:eastAsia="宋体" w:hint="eastAsia"/>
                <w:sz w:val="21"/>
              </w:rPr>
            </w:pPr>
            <w:r>
              <w:rPr>
                <w:rFonts w:ascii="宋体" w:hAnsi="宋体" w:eastAsia="宋体" w:hint="eastAsia"/>
                <w:sz w:val="21"/>
              </w:rPr>
              <w:t>准差④</w:t>
            </w:r>
          </w:p>
        </w:tc>
        <w:tc>
          <w:tcPr>
            <w:tcW w:w="992" w:type="dxa"/>
          </w:tcPr>
          <w:p>
            <w:pPr>
              <w:pStyle w:val="TableParagraph"/>
              <w:spacing w:before="1"/>
              <w:rPr>
                <w:rFonts w:ascii="宋体"/>
                <w:sz w:val="26"/>
              </w:rPr>
            </w:pPr>
          </w:p>
          <w:p>
            <w:pPr>
              <w:pStyle w:val="TableParagraph"/>
              <w:ind w:left="178"/>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1"/>
              <w:rPr>
                <w:rFonts w:ascii="宋体"/>
                <w:sz w:val="26"/>
              </w:rPr>
            </w:pPr>
          </w:p>
          <w:p>
            <w:pPr>
              <w:pStyle w:val="TableParagraph"/>
              <w:ind w:right="117"/>
              <w:jc w:val="right"/>
              <w:rPr>
                <w:rFonts w:ascii="宋体" w:hAnsi="宋体" w:eastAsia="宋体" w:hint="eastAsia"/>
                <w:sz w:val="21"/>
              </w:rPr>
            </w:pPr>
            <w:r>
              <w:rPr>
                <w:rFonts w:ascii="宋体" w:hAnsi="宋体" w:eastAsia="宋体" w:hint="eastAsia"/>
                <w:sz w:val="21"/>
              </w:rPr>
              <w:t>②－④</w:t>
            </w:r>
          </w:p>
        </w:tc>
      </w:tr>
      <w:tr>
        <w:trPr>
          <w:trHeight w:val="623" w:hRule="atLeast"/>
        </w:trPr>
        <w:tc>
          <w:tcPr>
            <w:tcW w:w="1985" w:type="dxa"/>
          </w:tcPr>
          <w:p>
            <w:pPr>
              <w:pStyle w:val="TableParagraph"/>
              <w:spacing w:before="22"/>
              <w:ind w:left="107"/>
              <w:rPr>
                <w:rFonts w:ascii="宋体" w:eastAsia="宋体" w:hint="eastAsia"/>
                <w:sz w:val="21"/>
              </w:rPr>
            </w:pPr>
            <w:r>
              <w:rPr>
                <w:rFonts w:ascii="Times New Roman" w:eastAsia="Times New Roman"/>
                <w:sz w:val="21"/>
              </w:rPr>
              <w:t>2016</w:t>
            </w:r>
            <w:r>
              <w:rPr>
                <w:rFonts w:ascii="Times New Roman" w:eastAsia="Times New Roman"/>
                <w:spacing w:val="-14"/>
                <w:sz w:val="21"/>
              </w:rPr>
              <w:t> </w:t>
            </w:r>
            <w:r>
              <w:rPr>
                <w:rFonts w:ascii="宋体" w:eastAsia="宋体" w:hint="eastAsia"/>
                <w:spacing w:val="-33"/>
                <w:sz w:val="21"/>
              </w:rPr>
              <w:t>年 </w:t>
            </w:r>
            <w:r>
              <w:rPr>
                <w:rFonts w:ascii="Times New Roman" w:eastAsia="Times New Roman"/>
                <w:sz w:val="21"/>
              </w:rPr>
              <w:t>7</w:t>
            </w:r>
            <w:r>
              <w:rPr>
                <w:rFonts w:ascii="Times New Roman" w:eastAsia="Times New Roman"/>
                <w:spacing w:val="-15"/>
                <w:sz w:val="21"/>
              </w:rPr>
              <w:t> </w:t>
            </w:r>
            <w:r>
              <w:rPr>
                <w:rFonts w:ascii="宋体" w:eastAsia="宋体" w:hint="eastAsia"/>
                <w:spacing w:val="-33"/>
                <w:sz w:val="21"/>
              </w:rPr>
              <w:t>月 </w:t>
            </w:r>
            <w:r>
              <w:rPr>
                <w:rFonts w:ascii="Times New Roman" w:eastAsia="Times New Roman"/>
                <w:sz w:val="21"/>
              </w:rPr>
              <w:t>27</w:t>
            </w:r>
            <w:r>
              <w:rPr>
                <w:rFonts w:ascii="Times New Roman" w:eastAsia="Times New Roman"/>
                <w:spacing w:val="-15"/>
                <w:sz w:val="21"/>
              </w:rPr>
              <w:t>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2016</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0"/>
              <w:ind w:left="258"/>
              <w:rPr>
                <w:rFonts w:ascii="Times New Roman"/>
                <w:sz w:val="21"/>
              </w:rPr>
            </w:pPr>
            <w:r>
              <w:rPr>
                <w:rFonts w:ascii="Times New Roman"/>
                <w:sz w:val="21"/>
              </w:rPr>
              <w:t>-2.60%</w:t>
            </w:r>
          </w:p>
        </w:tc>
        <w:tc>
          <w:tcPr>
            <w:tcW w:w="1277" w:type="dxa"/>
          </w:tcPr>
          <w:p>
            <w:pPr>
              <w:pStyle w:val="TableParagraph"/>
              <w:spacing w:before="190"/>
              <w:ind w:left="363"/>
              <w:rPr>
                <w:rFonts w:ascii="Times New Roman"/>
                <w:sz w:val="21"/>
              </w:rPr>
            </w:pPr>
            <w:r>
              <w:rPr>
                <w:rFonts w:ascii="Times New Roman"/>
                <w:sz w:val="21"/>
              </w:rPr>
              <w:t>0.13%</w:t>
            </w:r>
          </w:p>
        </w:tc>
        <w:tc>
          <w:tcPr>
            <w:tcW w:w="1275" w:type="dxa"/>
          </w:tcPr>
          <w:p>
            <w:pPr>
              <w:pStyle w:val="TableParagraph"/>
              <w:spacing w:before="190"/>
              <w:ind w:left="363"/>
              <w:rPr>
                <w:rFonts w:ascii="Times New Roman"/>
                <w:sz w:val="21"/>
              </w:rPr>
            </w:pPr>
            <w:r>
              <w:rPr>
                <w:rFonts w:ascii="Times New Roman"/>
                <w:sz w:val="21"/>
              </w:rPr>
              <w:t>0.43%</w:t>
            </w:r>
          </w:p>
        </w:tc>
        <w:tc>
          <w:tcPr>
            <w:tcW w:w="1277" w:type="dxa"/>
          </w:tcPr>
          <w:p>
            <w:pPr>
              <w:pStyle w:val="TableParagraph"/>
              <w:spacing w:before="190"/>
              <w:ind w:left="365"/>
              <w:rPr>
                <w:rFonts w:ascii="Times New Roman"/>
                <w:sz w:val="21"/>
              </w:rPr>
            </w:pPr>
            <w:r>
              <w:rPr>
                <w:rFonts w:ascii="Times New Roman"/>
                <w:sz w:val="21"/>
              </w:rPr>
              <w:t>0.14%</w:t>
            </w:r>
          </w:p>
        </w:tc>
        <w:tc>
          <w:tcPr>
            <w:tcW w:w="992" w:type="dxa"/>
          </w:tcPr>
          <w:p>
            <w:pPr>
              <w:pStyle w:val="TableParagraph"/>
              <w:spacing w:before="190"/>
              <w:ind w:left="187"/>
              <w:rPr>
                <w:rFonts w:ascii="Times New Roman"/>
                <w:sz w:val="21"/>
              </w:rPr>
            </w:pPr>
            <w:r>
              <w:rPr>
                <w:rFonts w:ascii="Times New Roman"/>
                <w:sz w:val="21"/>
              </w:rPr>
              <w:t>-3.03%</w:t>
            </w:r>
          </w:p>
        </w:tc>
        <w:tc>
          <w:tcPr>
            <w:tcW w:w="886" w:type="dxa"/>
          </w:tcPr>
          <w:p>
            <w:pPr>
              <w:pStyle w:val="TableParagraph"/>
              <w:spacing w:before="190"/>
              <w:ind w:right="128"/>
              <w:jc w:val="right"/>
              <w:rPr>
                <w:rFonts w:ascii="Times New Roman"/>
                <w:sz w:val="21"/>
              </w:rPr>
            </w:pPr>
            <w:r>
              <w:rPr>
                <w:rFonts w:ascii="Times New Roman"/>
                <w:sz w:val="21"/>
              </w:rPr>
              <w:t>-0.01%</w:t>
            </w:r>
          </w:p>
        </w:tc>
      </w:tr>
      <w:tr>
        <w:trPr>
          <w:trHeight w:val="625" w:hRule="atLeast"/>
        </w:trPr>
        <w:tc>
          <w:tcPr>
            <w:tcW w:w="1985" w:type="dxa"/>
          </w:tcPr>
          <w:p>
            <w:pPr>
              <w:pStyle w:val="TableParagraph"/>
              <w:spacing w:before="25"/>
              <w:ind w:left="107"/>
              <w:rPr>
                <w:rFonts w:ascii="宋体" w:eastAsia="宋体" w:hint="eastAsia"/>
                <w:sz w:val="21"/>
              </w:rPr>
            </w:pPr>
            <w:r>
              <w:rPr>
                <w:rFonts w:ascii="Times New Roman" w:eastAsia="Times New Roman"/>
                <w:sz w:val="21"/>
              </w:rPr>
              <w:t>2017</w:t>
            </w:r>
            <w:r>
              <w:rPr>
                <w:rFonts w:ascii="Times New Roman" w:eastAsia="Times New Roman"/>
                <w:spacing w:val="6"/>
                <w:sz w:val="21"/>
              </w:rPr>
              <w:t> </w:t>
            </w:r>
            <w:r>
              <w:rPr>
                <w:rFonts w:ascii="宋体" w:eastAsia="宋体" w:hint="eastAsia"/>
                <w:spacing w:val="-22"/>
                <w:sz w:val="21"/>
              </w:rPr>
              <w:t>年 </w:t>
            </w:r>
            <w:r>
              <w:rPr>
                <w:rFonts w:ascii="Times New Roman" w:eastAsia="Times New Roman"/>
                <w:sz w:val="21"/>
              </w:rPr>
              <w:t>1</w:t>
            </w:r>
            <w:r>
              <w:rPr>
                <w:rFonts w:ascii="Times New Roman" w:eastAsia="Times New Roman"/>
                <w:spacing w:val="7"/>
                <w:sz w:val="21"/>
              </w:rPr>
              <w:t> </w:t>
            </w:r>
            <w:r>
              <w:rPr>
                <w:rFonts w:ascii="宋体" w:eastAsia="宋体" w:hint="eastAsia"/>
                <w:spacing w:val="-22"/>
                <w:sz w:val="21"/>
              </w:rPr>
              <w:t>月 </w:t>
            </w:r>
            <w:r>
              <w:rPr>
                <w:rFonts w:ascii="Times New Roman" w:eastAsia="Times New Roman"/>
                <w:sz w:val="21"/>
              </w:rPr>
              <w:t>1</w:t>
            </w:r>
            <w:r>
              <w:rPr>
                <w:rFonts w:ascii="Times New Roman" w:eastAsia="Times New Roman"/>
                <w:spacing w:val="7"/>
                <w:sz w:val="21"/>
              </w:rPr>
              <w:t>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2017</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2"/>
              <w:ind w:left="294"/>
              <w:rPr>
                <w:rFonts w:ascii="Times New Roman"/>
                <w:sz w:val="21"/>
              </w:rPr>
            </w:pPr>
            <w:r>
              <w:rPr>
                <w:rFonts w:ascii="Times New Roman"/>
                <w:sz w:val="21"/>
              </w:rPr>
              <w:t>1.44%</w:t>
            </w:r>
          </w:p>
        </w:tc>
        <w:tc>
          <w:tcPr>
            <w:tcW w:w="1277" w:type="dxa"/>
          </w:tcPr>
          <w:p>
            <w:pPr>
              <w:pStyle w:val="TableParagraph"/>
              <w:spacing w:before="192"/>
              <w:ind w:left="363"/>
              <w:rPr>
                <w:rFonts w:ascii="Times New Roman"/>
                <w:sz w:val="21"/>
              </w:rPr>
            </w:pPr>
            <w:r>
              <w:rPr>
                <w:rFonts w:ascii="Times New Roman"/>
                <w:sz w:val="21"/>
              </w:rPr>
              <w:t>0.15%</w:t>
            </w:r>
          </w:p>
        </w:tc>
        <w:tc>
          <w:tcPr>
            <w:tcW w:w="1275" w:type="dxa"/>
          </w:tcPr>
          <w:p>
            <w:pPr>
              <w:pStyle w:val="TableParagraph"/>
              <w:spacing w:before="192"/>
              <w:ind w:left="327"/>
              <w:rPr>
                <w:rFonts w:ascii="Times New Roman"/>
                <w:sz w:val="21"/>
              </w:rPr>
            </w:pPr>
            <w:r>
              <w:rPr>
                <w:rFonts w:ascii="Times New Roman"/>
                <w:sz w:val="21"/>
              </w:rPr>
              <w:t>-2.16%</w:t>
            </w:r>
          </w:p>
        </w:tc>
        <w:tc>
          <w:tcPr>
            <w:tcW w:w="1277" w:type="dxa"/>
          </w:tcPr>
          <w:p>
            <w:pPr>
              <w:pStyle w:val="TableParagraph"/>
              <w:spacing w:before="192"/>
              <w:ind w:left="365"/>
              <w:rPr>
                <w:rFonts w:ascii="Times New Roman"/>
                <w:sz w:val="21"/>
              </w:rPr>
            </w:pPr>
            <w:r>
              <w:rPr>
                <w:rFonts w:ascii="Times New Roman"/>
                <w:sz w:val="21"/>
              </w:rPr>
              <w:t>0.10%</w:t>
            </w:r>
          </w:p>
        </w:tc>
        <w:tc>
          <w:tcPr>
            <w:tcW w:w="992" w:type="dxa"/>
          </w:tcPr>
          <w:p>
            <w:pPr>
              <w:pStyle w:val="TableParagraph"/>
              <w:spacing w:before="192"/>
              <w:ind w:left="221"/>
              <w:rPr>
                <w:rFonts w:ascii="Times New Roman"/>
                <w:sz w:val="21"/>
              </w:rPr>
            </w:pPr>
            <w:r>
              <w:rPr>
                <w:rFonts w:ascii="Times New Roman"/>
                <w:sz w:val="21"/>
              </w:rPr>
              <w:t>3.60%</w:t>
            </w:r>
          </w:p>
        </w:tc>
        <w:tc>
          <w:tcPr>
            <w:tcW w:w="886" w:type="dxa"/>
          </w:tcPr>
          <w:p>
            <w:pPr>
              <w:pStyle w:val="TableParagraph"/>
              <w:spacing w:before="192"/>
              <w:ind w:left="168"/>
              <w:rPr>
                <w:rFonts w:ascii="Times New Roman"/>
                <w:sz w:val="21"/>
              </w:rPr>
            </w:pPr>
            <w:r>
              <w:rPr>
                <w:rFonts w:ascii="Times New Roman"/>
                <w:sz w:val="21"/>
              </w:rPr>
              <w:t>0.05%</w:t>
            </w:r>
          </w:p>
        </w:tc>
      </w:tr>
      <w:tr>
        <w:trPr>
          <w:trHeight w:val="623" w:hRule="atLeast"/>
        </w:trPr>
        <w:tc>
          <w:tcPr>
            <w:tcW w:w="1985" w:type="dxa"/>
          </w:tcPr>
          <w:p>
            <w:pPr>
              <w:pStyle w:val="TableParagraph"/>
              <w:spacing w:before="22"/>
              <w:ind w:left="107"/>
              <w:rPr>
                <w:rFonts w:ascii="宋体" w:eastAsia="宋体" w:hint="eastAsia"/>
                <w:sz w:val="21"/>
              </w:rPr>
            </w:pPr>
            <w:r>
              <w:rPr>
                <w:rFonts w:ascii="Times New Roman" w:eastAsia="Times New Roman"/>
                <w:sz w:val="21"/>
              </w:rPr>
              <w:t>2018</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w:t>
            </w:r>
            <w:r>
              <w:rPr>
                <w:rFonts w:ascii="Times New Roman" w:eastAsia="Times New Roman"/>
                <w:spacing w:val="-1"/>
                <w:sz w:val="21"/>
              </w:rPr>
              <w:t> </w:t>
            </w:r>
            <w:r>
              <w:rPr>
                <w:rFonts w:ascii="宋体" w:eastAsia="宋体" w:hint="eastAsia"/>
                <w:spacing w:val="-26"/>
                <w:sz w:val="21"/>
              </w:rPr>
              <w:t>月 </w:t>
            </w:r>
            <w:r>
              <w:rPr>
                <w:rFonts w:ascii="Times New Roman" w:eastAsia="Times New Roman"/>
                <w:sz w:val="21"/>
              </w:rPr>
              <w:t>1</w:t>
            </w:r>
            <w:r>
              <w:rPr>
                <w:rFonts w:ascii="Times New Roman" w:eastAsia="Times New Roman"/>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rFonts w:ascii="Times New Roman" w:eastAsia="Times New Roman"/>
                <w:sz w:val="21"/>
              </w:rPr>
              <w:t>2018</w:t>
            </w:r>
            <w:r>
              <w:rPr>
                <w:rFonts w:ascii="Times New Roman" w:eastAsia="Times New Roman"/>
                <w:spacing w:val="-2"/>
                <w:sz w:val="21"/>
              </w:rPr>
              <w:t> </w:t>
            </w:r>
            <w:r>
              <w:rPr>
                <w:rFonts w:ascii="宋体" w:eastAsia="宋体" w:hint="eastAsia"/>
                <w:spacing w:val="-26"/>
                <w:sz w:val="21"/>
              </w:rPr>
              <w:t>年 </w:t>
            </w:r>
            <w:r>
              <w:rPr>
                <w:rFonts w:ascii="Times New Roman" w:eastAsia="Times New Roman"/>
                <w:sz w:val="21"/>
              </w:rPr>
              <w:t>12</w:t>
            </w:r>
            <w:r>
              <w:rPr>
                <w:rFonts w:ascii="Times New Roman" w:eastAsia="Times New Roman"/>
                <w:spacing w:val="-2"/>
                <w:sz w:val="21"/>
              </w:rPr>
              <w:t> </w:t>
            </w:r>
            <w:r>
              <w:rPr>
                <w:rFonts w:ascii="宋体" w:eastAsia="宋体" w:hint="eastAsia"/>
                <w:spacing w:val="-26"/>
                <w:sz w:val="21"/>
              </w:rPr>
              <w:t>月 </w:t>
            </w:r>
            <w:r>
              <w:rPr>
                <w:rFonts w:ascii="Times New Roman" w:eastAsia="Times New Roman"/>
                <w:sz w:val="21"/>
              </w:rPr>
              <w:t>31</w:t>
            </w:r>
            <w:r>
              <w:rPr>
                <w:rFonts w:ascii="Times New Roman" w:eastAsia="Times New Roman"/>
                <w:spacing w:val="1"/>
                <w:sz w:val="21"/>
              </w:rPr>
              <w:t> </w:t>
            </w:r>
            <w:r>
              <w:rPr>
                <w:rFonts w:ascii="宋体" w:eastAsia="宋体" w:hint="eastAsia"/>
                <w:sz w:val="21"/>
              </w:rPr>
              <w:t>日</w:t>
            </w:r>
          </w:p>
        </w:tc>
        <w:tc>
          <w:tcPr>
            <w:tcW w:w="1134" w:type="dxa"/>
          </w:tcPr>
          <w:p>
            <w:pPr>
              <w:pStyle w:val="TableParagraph"/>
              <w:spacing w:before="190"/>
              <w:ind w:left="294"/>
              <w:rPr>
                <w:rFonts w:ascii="Times New Roman"/>
                <w:sz w:val="21"/>
              </w:rPr>
            </w:pPr>
            <w:r>
              <w:rPr>
                <w:rFonts w:ascii="Times New Roman"/>
                <w:sz w:val="21"/>
              </w:rPr>
              <w:t>1.82%</w:t>
            </w:r>
          </w:p>
        </w:tc>
        <w:tc>
          <w:tcPr>
            <w:tcW w:w="1277" w:type="dxa"/>
          </w:tcPr>
          <w:p>
            <w:pPr>
              <w:pStyle w:val="TableParagraph"/>
              <w:spacing w:before="190"/>
              <w:ind w:left="363"/>
              <w:rPr>
                <w:rFonts w:ascii="Times New Roman"/>
                <w:sz w:val="21"/>
              </w:rPr>
            </w:pPr>
            <w:r>
              <w:rPr>
                <w:rFonts w:ascii="Times New Roman"/>
                <w:sz w:val="21"/>
              </w:rPr>
              <w:t>0.17%</w:t>
            </w:r>
          </w:p>
        </w:tc>
        <w:tc>
          <w:tcPr>
            <w:tcW w:w="1275" w:type="dxa"/>
          </w:tcPr>
          <w:p>
            <w:pPr>
              <w:pStyle w:val="TableParagraph"/>
              <w:spacing w:before="190"/>
              <w:ind w:left="363"/>
              <w:rPr>
                <w:rFonts w:ascii="Times New Roman"/>
                <w:sz w:val="21"/>
              </w:rPr>
            </w:pPr>
            <w:r>
              <w:rPr>
                <w:rFonts w:ascii="Times New Roman"/>
                <w:sz w:val="21"/>
              </w:rPr>
              <w:t>4.62%</w:t>
            </w:r>
          </w:p>
        </w:tc>
        <w:tc>
          <w:tcPr>
            <w:tcW w:w="1277" w:type="dxa"/>
          </w:tcPr>
          <w:p>
            <w:pPr>
              <w:pStyle w:val="TableParagraph"/>
              <w:spacing w:before="190"/>
              <w:ind w:left="365"/>
              <w:rPr>
                <w:rFonts w:ascii="Times New Roman"/>
                <w:sz w:val="21"/>
              </w:rPr>
            </w:pPr>
            <w:r>
              <w:rPr>
                <w:rFonts w:ascii="Times New Roman"/>
                <w:sz w:val="21"/>
              </w:rPr>
              <w:t>0.14%</w:t>
            </w:r>
          </w:p>
        </w:tc>
        <w:tc>
          <w:tcPr>
            <w:tcW w:w="992" w:type="dxa"/>
          </w:tcPr>
          <w:p>
            <w:pPr>
              <w:pStyle w:val="TableParagraph"/>
              <w:spacing w:before="190"/>
              <w:ind w:left="187"/>
              <w:rPr>
                <w:rFonts w:ascii="Times New Roman"/>
                <w:sz w:val="21"/>
              </w:rPr>
            </w:pPr>
            <w:r>
              <w:rPr>
                <w:rFonts w:ascii="Times New Roman"/>
                <w:sz w:val="21"/>
              </w:rPr>
              <w:t>-2.80%</w:t>
            </w:r>
          </w:p>
        </w:tc>
        <w:tc>
          <w:tcPr>
            <w:tcW w:w="886" w:type="dxa"/>
          </w:tcPr>
          <w:p>
            <w:pPr>
              <w:pStyle w:val="TableParagraph"/>
              <w:spacing w:before="190"/>
              <w:ind w:left="168"/>
              <w:rPr>
                <w:rFonts w:ascii="Times New Roman"/>
                <w:sz w:val="21"/>
              </w:rPr>
            </w:pPr>
            <w:r>
              <w:rPr>
                <w:rFonts w:ascii="Times New Roman"/>
                <w:sz w:val="21"/>
              </w:rPr>
              <w:t>0.03%</w:t>
            </w:r>
          </w:p>
        </w:tc>
      </w:tr>
      <w:tr>
        <w:trPr>
          <w:trHeight w:val="935" w:hRule="atLeast"/>
        </w:trPr>
        <w:tc>
          <w:tcPr>
            <w:tcW w:w="1985" w:type="dxa"/>
          </w:tcPr>
          <w:p>
            <w:pPr>
              <w:pStyle w:val="TableParagraph"/>
              <w:spacing w:before="99"/>
              <w:ind w:left="107"/>
              <w:rPr>
                <w:rFonts w:ascii="宋体" w:eastAsia="宋体" w:hint="eastAsia"/>
                <w:sz w:val="21"/>
              </w:rPr>
            </w:pPr>
            <w:r>
              <w:rPr>
                <w:rFonts w:ascii="Times New Roman" w:eastAsia="Times New Roman"/>
                <w:sz w:val="21"/>
              </w:rPr>
              <w:t>2019</w:t>
            </w:r>
            <w:r>
              <w:rPr>
                <w:rFonts w:ascii="宋体" w:eastAsia="宋体" w:hint="eastAsia"/>
                <w:spacing w:val="-3"/>
                <w:sz w:val="21"/>
              </w:rPr>
              <w:t>年</w:t>
            </w:r>
            <w:r>
              <w:rPr>
                <w:rFonts w:ascii="Times New Roman" w:eastAsia="Times New Roman"/>
                <w:sz w:val="21"/>
              </w:rPr>
              <w:t>1</w:t>
            </w:r>
            <w:r>
              <w:rPr>
                <w:rFonts w:ascii="宋体" w:eastAsia="宋体" w:hint="eastAsia"/>
                <w:sz w:val="21"/>
              </w:rPr>
              <w:t>月</w:t>
            </w:r>
            <w:r>
              <w:rPr>
                <w:rFonts w:ascii="Times New Roman" w:eastAsia="Times New Roman"/>
                <w:spacing w:val="-3"/>
                <w:sz w:val="21"/>
              </w:rPr>
              <w:t>1</w:t>
            </w:r>
            <w:r>
              <w:rPr>
                <w:rFonts w:ascii="宋体" w:eastAsia="宋体" w:hint="eastAsia"/>
                <w:sz w:val="21"/>
              </w:rPr>
              <w:t>日至</w:t>
            </w:r>
          </w:p>
          <w:p>
            <w:pPr>
              <w:pStyle w:val="TableParagraph"/>
              <w:spacing w:before="7"/>
              <w:rPr>
                <w:rFonts w:ascii="宋体"/>
                <w:sz w:val="15"/>
              </w:rPr>
            </w:pPr>
          </w:p>
          <w:p>
            <w:pPr>
              <w:pStyle w:val="TableParagraph"/>
              <w:ind w:left="107"/>
              <w:rPr>
                <w:rFonts w:ascii="宋体" w:eastAsia="宋体" w:hint="eastAsia"/>
                <w:sz w:val="21"/>
              </w:rPr>
            </w:pPr>
            <w:r>
              <w:rPr>
                <w:rFonts w:ascii="Times New Roman" w:eastAsia="Times New Roman"/>
                <w:sz w:val="21"/>
              </w:rPr>
              <w:t>2019</w:t>
            </w:r>
            <w:r>
              <w:rPr>
                <w:rFonts w:ascii="宋体" w:eastAsia="宋体" w:hint="eastAsia"/>
                <w:spacing w:val="-3"/>
                <w:sz w:val="21"/>
              </w:rPr>
              <w:t>年</w:t>
            </w:r>
            <w:r>
              <w:rPr>
                <w:rFonts w:ascii="Times New Roman" w:eastAsia="Times New Roman"/>
                <w:sz w:val="21"/>
              </w:rPr>
              <w:t>12</w:t>
            </w:r>
            <w:r>
              <w:rPr>
                <w:rFonts w:ascii="宋体" w:eastAsia="宋体" w:hint="eastAsia"/>
                <w:spacing w:val="-3"/>
                <w:sz w:val="21"/>
              </w:rPr>
              <w:t>月</w:t>
            </w:r>
            <w:r>
              <w:rPr>
                <w:rFonts w:ascii="Times New Roman" w:eastAsia="Times New Roman"/>
                <w:sz w:val="21"/>
              </w:rPr>
              <w:t>31</w:t>
            </w:r>
            <w:r>
              <w:rPr>
                <w:rFonts w:ascii="宋体" w:eastAsia="宋体" w:hint="eastAsia"/>
                <w:sz w:val="21"/>
              </w:rPr>
              <w:t>日</w:t>
            </w:r>
          </w:p>
        </w:tc>
        <w:tc>
          <w:tcPr>
            <w:tcW w:w="1134" w:type="dxa"/>
          </w:tcPr>
          <w:p>
            <w:pPr>
              <w:pStyle w:val="TableParagraph"/>
              <w:rPr>
                <w:rFonts w:ascii="宋体"/>
                <w:sz w:val="27"/>
              </w:rPr>
            </w:pPr>
          </w:p>
          <w:p>
            <w:pPr>
              <w:pStyle w:val="TableParagraph"/>
              <w:ind w:right="93"/>
              <w:jc w:val="right"/>
              <w:rPr>
                <w:rFonts w:ascii="Times New Roman"/>
                <w:sz w:val="21"/>
              </w:rPr>
            </w:pPr>
            <w:r>
              <w:rPr>
                <w:rFonts w:ascii="Times New Roman"/>
                <w:sz w:val="21"/>
              </w:rPr>
              <w:t>9.45%</w:t>
            </w:r>
          </w:p>
        </w:tc>
        <w:tc>
          <w:tcPr>
            <w:tcW w:w="1277" w:type="dxa"/>
          </w:tcPr>
          <w:p>
            <w:pPr>
              <w:pStyle w:val="TableParagraph"/>
              <w:rPr>
                <w:rFonts w:ascii="宋体"/>
                <w:sz w:val="27"/>
              </w:rPr>
            </w:pPr>
          </w:p>
          <w:p>
            <w:pPr>
              <w:pStyle w:val="TableParagraph"/>
              <w:ind w:right="96"/>
              <w:jc w:val="right"/>
              <w:rPr>
                <w:rFonts w:ascii="Times New Roman"/>
                <w:sz w:val="21"/>
              </w:rPr>
            </w:pPr>
            <w:r>
              <w:rPr>
                <w:rFonts w:ascii="Times New Roman"/>
                <w:sz w:val="21"/>
              </w:rPr>
              <w:t>0.15%</w:t>
            </w:r>
          </w:p>
        </w:tc>
        <w:tc>
          <w:tcPr>
            <w:tcW w:w="1275" w:type="dxa"/>
          </w:tcPr>
          <w:p>
            <w:pPr>
              <w:pStyle w:val="TableParagraph"/>
              <w:rPr>
                <w:rFonts w:ascii="宋体"/>
                <w:sz w:val="27"/>
              </w:rPr>
            </w:pPr>
          </w:p>
          <w:p>
            <w:pPr>
              <w:pStyle w:val="TableParagraph"/>
              <w:ind w:right="94"/>
              <w:jc w:val="right"/>
              <w:rPr>
                <w:rFonts w:ascii="Times New Roman"/>
                <w:sz w:val="21"/>
              </w:rPr>
            </w:pPr>
            <w:r>
              <w:rPr>
                <w:rFonts w:ascii="Times New Roman"/>
                <w:sz w:val="21"/>
              </w:rPr>
              <w:t>6.62%</w:t>
            </w:r>
          </w:p>
        </w:tc>
        <w:tc>
          <w:tcPr>
            <w:tcW w:w="1277" w:type="dxa"/>
          </w:tcPr>
          <w:p>
            <w:pPr>
              <w:pStyle w:val="TableParagraph"/>
              <w:rPr>
                <w:rFonts w:ascii="宋体"/>
                <w:sz w:val="27"/>
              </w:rPr>
            </w:pPr>
          </w:p>
          <w:p>
            <w:pPr>
              <w:pStyle w:val="TableParagraph"/>
              <w:ind w:right="94"/>
              <w:jc w:val="right"/>
              <w:rPr>
                <w:rFonts w:ascii="Times New Roman"/>
                <w:sz w:val="21"/>
              </w:rPr>
            </w:pPr>
            <w:r>
              <w:rPr>
                <w:rFonts w:ascii="Times New Roman"/>
                <w:sz w:val="21"/>
              </w:rPr>
              <w:t>0.11%</w:t>
            </w:r>
          </w:p>
        </w:tc>
        <w:tc>
          <w:tcPr>
            <w:tcW w:w="992" w:type="dxa"/>
          </w:tcPr>
          <w:p>
            <w:pPr>
              <w:pStyle w:val="TableParagraph"/>
              <w:rPr>
                <w:rFonts w:ascii="宋体"/>
                <w:sz w:val="27"/>
              </w:rPr>
            </w:pPr>
          </w:p>
          <w:p>
            <w:pPr>
              <w:pStyle w:val="TableParagraph"/>
              <w:ind w:right="95"/>
              <w:jc w:val="right"/>
              <w:rPr>
                <w:rFonts w:ascii="Times New Roman"/>
                <w:sz w:val="21"/>
              </w:rPr>
            </w:pPr>
            <w:r>
              <w:rPr>
                <w:rFonts w:ascii="Times New Roman"/>
                <w:sz w:val="21"/>
              </w:rPr>
              <w:t>2.83%</w:t>
            </w:r>
          </w:p>
        </w:tc>
        <w:tc>
          <w:tcPr>
            <w:tcW w:w="886" w:type="dxa"/>
          </w:tcPr>
          <w:p>
            <w:pPr>
              <w:pStyle w:val="TableParagraph"/>
              <w:rPr>
                <w:rFonts w:ascii="宋体"/>
                <w:sz w:val="27"/>
              </w:rPr>
            </w:pPr>
          </w:p>
          <w:p>
            <w:pPr>
              <w:pStyle w:val="TableParagraph"/>
              <w:ind w:right="97"/>
              <w:jc w:val="right"/>
              <w:rPr>
                <w:rFonts w:ascii="Times New Roman"/>
                <w:sz w:val="21"/>
              </w:rPr>
            </w:pPr>
            <w:r>
              <w:rPr>
                <w:rFonts w:ascii="Times New Roman"/>
                <w:sz w:val="21"/>
              </w:rPr>
              <w:t>0.04%</w:t>
            </w:r>
          </w:p>
        </w:tc>
      </w:tr>
      <w:tr>
        <w:trPr>
          <w:trHeight w:val="936" w:hRule="atLeast"/>
        </w:trPr>
        <w:tc>
          <w:tcPr>
            <w:tcW w:w="1985" w:type="dxa"/>
          </w:tcPr>
          <w:p>
            <w:pPr>
              <w:pStyle w:val="TableParagraph"/>
              <w:spacing w:before="100"/>
              <w:ind w:left="107"/>
              <w:rPr>
                <w:rFonts w:ascii="宋体" w:eastAsia="宋体" w:hint="eastAsia"/>
                <w:sz w:val="21"/>
              </w:rPr>
            </w:pPr>
            <w:r>
              <w:rPr>
                <w:rFonts w:ascii="Times New Roman" w:eastAsia="Times New Roman"/>
                <w:sz w:val="21"/>
              </w:rPr>
              <w:t>2020</w:t>
            </w:r>
            <w:r>
              <w:rPr>
                <w:rFonts w:ascii="宋体" w:eastAsia="宋体" w:hint="eastAsia"/>
                <w:sz w:val="21"/>
              </w:rPr>
              <w:t>年</w:t>
            </w:r>
            <w:r>
              <w:rPr>
                <w:rFonts w:ascii="Times New Roman" w:eastAsia="Times New Roman"/>
                <w:sz w:val="21"/>
              </w:rPr>
              <w:t>1</w:t>
            </w:r>
            <w:r>
              <w:rPr>
                <w:rFonts w:ascii="宋体" w:eastAsia="宋体" w:hint="eastAsia"/>
                <w:sz w:val="21"/>
              </w:rPr>
              <w:t>月</w:t>
            </w:r>
            <w:r>
              <w:rPr>
                <w:rFonts w:ascii="Times New Roman" w:eastAsia="Times New Roman"/>
                <w:sz w:val="21"/>
              </w:rPr>
              <w:t>1</w:t>
            </w:r>
            <w:r>
              <w:rPr>
                <w:rFonts w:ascii="宋体" w:eastAsia="宋体" w:hint="eastAsia"/>
                <w:sz w:val="21"/>
              </w:rPr>
              <w:t>日至</w:t>
            </w:r>
          </w:p>
          <w:p>
            <w:pPr>
              <w:pStyle w:val="TableParagraph"/>
              <w:spacing w:before="6"/>
              <w:rPr>
                <w:rFonts w:ascii="宋体"/>
                <w:sz w:val="15"/>
              </w:rPr>
            </w:pPr>
          </w:p>
          <w:p>
            <w:pPr>
              <w:pStyle w:val="TableParagraph"/>
              <w:ind w:left="107"/>
              <w:rPr>
                <w:rFonts w:ascii="宋体" w:eastAsia="宋体" w:hint="eastAsia"/>
                <w:sz w:val="21"/>
              </w:rPr>
            </w:pPr>
            <w:r>
              <w:rPr>
                <w:rFonts w:ascii="Times New Roman" w:eastAsia="Times New Roman"/>
                <w:sz w:val="21"/>
              </w:rPr>
              <w:t>2020</w:t>
            </w:r>
            <w:r>
              <w:rPr>
                <w:rFonts w:ascii="宋体" w:eastAsia="宋体" w:hint="eastAsia"/>
                <w:sz w:val="21"/>
              </w:rPr>
              <w:t>年</w:t>
            </w:r>
            <w:r>
              <w:rPr>
                <w:rFonts w:ascii="Times New Roman" w:eastAsia="Times New Roman"/>
                <w:sz w:val="21"/>
              </w:rPr>
              <w:t>6</w:t>
            </w:r>
            <w:r>
              <w:rPr>
                <w:rFonts w:ascii="宋体" w:eastAsia="宋体" w:hint="eastAsia"/>
                <w:sz w:val="21"/>
              </w:rPr>
              <w:t>月</w:t>
            </w:r>
            <w:r>
              <w:rPr>
                <w:rFonts w:ascii="Times New Roman" w:eastAsia="Times New Roman"/>
                <w:sz w:val="21"/>
              </w:rPr>
              <w:t>30</w:t>
            </w:r>
            <w:r>
              <w:rPr>
                <w:rFonts w:ascii="宋体" w:eastAsia="宋体" w:hint="eastAsia"/>
                <w:sz w:val="21"/>
              </w:rPr>
              <w:t>日</w:t>
            </w:r>
          </w:p>
        </w:tc>
        <w:tc>
          <w:tcPr>
            <w:tcW w:w="1134" w:type="dxa"/>
          </w:tcPr>
          <w:p>
            <w:pPr>
              <w:pStyle w:val="TableParagraph"/>
              <w:rPr>
                <w:rFonts w:ascii="宋体"/>
                <w:sz w:val="27"/>
              </w:rPr>
            </w:pPr>
          </w:p>
          <w:p>
            <w:pPr>
              <w:pStyle w:val="TableParagraph"/>
              <w:spacing w:before="1"/>
              <w:ind w:right="96"/>
              <w:jc w:val="right"/>
              <w:rPr>
                <w:rFonts w:ascii="Times New Roman"/>
                <w:sz w:val="21"/>
              </w:rPr>
            </w:pPr>
            <w:r>
              <w:rPr>
                <w:rFonts w:ascii="Times New Roman"/>
                <w:sz w:val="21"/>
              </w:rPr>
              <w:t>-3.23%</w:t>
            </w:r>
          </w:p>
        </w:tc>
        <w:tc>
          <w:tcPr>
            <w:tcW w:w="1277" w:type="dxa"/>
          </w:tcPr>
          <w:p>
            <w:pPr>
              <w:pStyle w:val="TableParagraph"/>
              <w:rPr>
                <w:rFonts w:ascii="宋体"/>
                <w:sz w:val="27"/>
              </w:rPr>
            </w:pPr>
          </w:p>
          <w:p>
            <w:pPr>
              <w:pStyle w:val="TableParagraph"/>
              <w:spacing w:before="1"/>
              <w:ind w:right="96"/>
              <w:jc w:val="right"/>
              <w:rPr>
                <w:rFonts w:ascii="Times New Roman"/>
                <w:sz w:val="21"/>
              </w:rPr>
            </w:pPr>
            <w:r>
              <w:rPr>
                <w:rFonts w:ascii="Times New Roman"/>
                <w:sz w:val="21"/>
              </w:rPr>
              <w:t>0.55%</w:t>
            </w:r>
          </w:p>
        </w:tc>
        <w:tc>
          <w:tcPr>
            <w:tcW w:w="1275" w:type="dxa"/>
          </w:tcPr>
          <w:p>
            <w:pPr>
              <w:pStyle w:val="TableParagraph"/>
              <w:rPr>
                <w:rFonts w:ascii="宋体"/>
                <w:sz w:val="27"/>
              </w:rPr>
            </w:pPr>
          </w:p>
          <w:p>
            <w:pPr>
              <w:pStyle w:val="TableParagraph"/>
              <w:spacing w:before="1"/>
              <w:ind w:right="94"/>
              <w:jc w:val="right"/>
              <w:rPr>
                <w:rFonts w:ascii="Times New Roman"/>
                <w:sz w:val="21"/>
              </w:rPr>
            </w:pPr>
            <w:r>
              <w:rPr>
                <w:rFonts w:ascii="Times New Roman"/>
                <w:sz w:val="21"/>
              </w:rPr>
              <w:t>2.77%</w:t>
            </w:r>
          </w:p>
        </w:tc>
        <w:tc>
          <w:tcPr>
            <w:tcW w:w="1277" w:type="dxa"/>
          </w:tcPr>
          <w:p>
            <w:pPr>
              <w:pStyle w:val="TableParagraph"/>
              <w:rPr>
                <w:rFonts w:ascii="宋体"/>
                <w:sz w:val="27"/>
              </w:rPr>
            </w:pPr>
          </w:p>
          <w:p>
            <w:pPr>
              <w:pStyle w:val="TableParagraph"/>
              <w:spacing w:before="1"/>
              <w:ind w:right="94"/>
              <w:jc w:val="right"/>
              <w:rPr>
                <w:rFonts w:ascii="Times New Roman"/>
                <w:sz w:val="21"/>
              </w:rPr>
            </w:pPr>
            <w:r>
              <w:rPr>
                <w:rFonts w:ascii="Times New Roman"/>
                <w:sz w:val="21"/>
              </w:rPr>
              <w:t>0.19%</w:t>
            </w:r>
          </w:p>
        </w:tc>
        <w:tc>
          <w:tcPr>
            <w:tcW w:w="992" w:type="dxa"/>
          </w:tcPr>
          <w:p>
            <w:pPr>
              <w:pStyle w:val="TableParagraph"/>
              <w:rPr>
                <w:rFonts w:ascii="宋体"/>
                <w:sz w:val="27"/>
              </w:rPr>
            </w:pPr>
          </w:p>
          <w:p>
            <w:pPr>
              <w:pStyle w:val="TableParagraph"/>
              <w:spacing w:before="1"/>
              <w:ind w:right="97"/>
              <w:jc w:val="right"/>
              <w:rPr>
                <w:rFonts w:ascii="Times New Roman"/>
                <w:sz w:val="21"/>
              </w:rPr>
            </w:pPr>
            <w:r>
              <w:rPr>
                <w:rFonts w:ascii="Times New Roman"/>
                <w:sz w:val="21"/>
              </w:rPr>
              <w:t>-6.00%</w:t>
            </w:r>
          </w:p>
        </w:tc>
        <w:tc>
          <w:tcPr>
            <w:tcW w:w="886" w:type="dxa"/>
          </w:tcPr>
          <w:p>
            <w:pPr>
              <w:pStyle w:val="TableParagraph"/>
              <w:rPr>
                <w:rFonts w:ascii="宋体"/>
                <w:sz w:val="27"/>
              </w:rPr>
            </w:pPr>
          </w:p>
          <w:p>
            <w:pPr>
              <w:pStyle w:val="TableParagraph"/>
              <w:spacing w:before="1"/>
              <w:ind w:right="97"/>
              <w:jc w:val="right"/>
              <w:rPr>
                <w:rFonts w:ascii="Times New Roman"/>
                <w:sz w:val="21"/>
              </w:rPr>
            </w:pPr>
            <w:r>
              <w:rPr>
                <w:rFonts w:ascii="Times New Roman"/>
                <w:sz w:val="21"/>
              </w:rPr>
              <w:t>0.36%</w:t>
            </w:r>
          </w:p>
        </w:tc>
      </w:tr>
    </w:tbl>
    <w:p>
      <w:pPr>
        <w:pStyle w:val="BodyText"/>
        <w:rPr>
          <w:sz w:val="22"/>
        </w:rPr>
      </w:pPr>
    </w:p>
    <w:p>
      <w:pPr>
        <w:pStyle w:val="Heading1"/>
        <w:spacing w:before="158"/>
      </w:pPr>
      <w:bookmarkStart w:name="_bookmark5" w:id="6"/>
      <w:bookmarkEnd w:id="6"/>
      <w:r>
        <w:rPr>
          <w:b w:val="0"/>
        </w:rPr>
      </w:r>
      <w:r>
        <w:rPr/>
        <w:t>六、基金管理人</w:t>
      </w:r>
    </w:p>
    <w:p>
      <w:pPr>
        <w:pStyle w:val="BodyText"/>
        <w:rPr>
          <w:b/>
          <w:sz w:val="20"/>
        </w:rPr>
      </w:pPr>
    </w:p>
    <w:p>
      <w:pPr>
        <w:pStyle w:val="BodyText"/>
        <w:spacing w:before="3"/>
        <w:rPr>
          <w:b/>
        </w:rPr>
      </w:pPr>
    </w:p>
    <w:p>
      <w:pPr>
        <w:pStyle w:val="BodyText"/>
        <w:ind w:left="960"/>
      </w:pPr>
      <w:r>
        <w:rPr/>
        <w:t>（一）基金管理人概况</w:t>
      </w:r>
    </w:p>
    <w:p>
      <w:pPr>
        <w:pStyle w:val="BodyText"/>
        <w:spacing w:before="6"/>
        <w:rPr>
          <w:sz w:val="15"/>
        </w:rPr>
      </w:pPr>
    </w:p>
    <w:p>
      <w:pPr>
        <w:pStyle w:val="BodyText"/>
        <w:spacing w:before="1"/>
        <w:ind w:left="960"/>
      </w:pPr>
      <w:r>
        <w:rPr/>
        <w:t>名称：华夏基金管理有限公司</w:t>
      </w:r>
    </w:p>
    <w:p>
      <w:pPr>
        <w:pStyle w:val="BodyText"/>
        <w:spacing w:before="6"/>
        <w:rPr>
          <w:sz w:val="15"/>
        </w:rPr>
      </w:pPr>
    </w:p>
    <w:p>
      <w:pPr>
        <w:pStyle w:val="BodyText"/>
        <w:ind w:left="960"/>
      </w:pPr>
      <w:r>
        <w:rPr/>
        <w:t>住所：北京市顺义区安庆大街甲 </w:t>
      </w:r>
      <w:r>
        <w:rPr>
          <w:rFonts w:ascii="Calibri" w:eastAsia="Calibri"/>
        </w:rPr>
        <w:t>3 </w:t>
      </w:r>
      <w:r>
        <w:rPr/>
        <w:t>号院</w:t>
      </w:r>
    </w:p>
    <w:p>
      <w:pPr>
        <w:pStyle w:val="BodyText"/>
        <w:spacing w:before="7"/>
        <w:rPr>
          <w:sz w:val="15"/>
        </w:rPr>
      </w:pPr>
    </w:p>
    <w:p>
      <w:pPr>
        <w:pStyle w:val="BodyText"/>
        <w:spacing w:before="1"/>
        <w:ind w:left="960"/>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181"/>
      </w:pPr>
      <w:r>
        <w:rPr>
          <w:spacing w:val="-1"/>
        </w:rPr>
        <w:t>设立日期：</w:t>
      </w:r>
      <w:r>
        <w:rPr>
          <w:rFonts w:ascii="Calibri" w:eastAsia="Calibri"/>
        </w:rPr>
        <w:t>1998 </w:t>
      </w:r>
      <w:r>
        <w:rPr>
          <w:spacing w:val="-27"/>
        </w:rPr>
        <w:t>年 </w:t>
      </w:r>
      <w:r>
        <w:rPr>
          <w:rFonts w:ascii="Calibri" w:eastAsia="Calibri"/>
        </w:rPr>
        <w:t>4 </w:t>
      </w:r>
      <w:r>
        <w:rPr>
          <w:spacing w:val="-27"/>
        </w:rPr>
        <w:t>月 </w:t>
      </w:r>
      <w:r>
        <w:rPr>
          <w:rFonts w:ascii="Calibri" w:eastAsia="Calibri"/>
        </w:rPr>
        <w:t>9 </w:t>
      </w:r>
      <w:r>
        <w:rPr>
          <w:spacing w:val="-13"/>
        </w:rPr>
        <w:t>日</w:t>
      </w:r>
      <w:r>
        <w:rPr>
          <w:spacing w:val="-3"/>
        </w:rPr>
        <w:t>法定代表人：杨明辉</w:t>
      </w:r>
    </w:p>
    <w:p>
      <w:pPr>
        <w:pStyle w:val="BodyText"/>
        <w:spacing w:line="269" w:lineRule="exact"/>
        <w:ind w:left="960"/>
      </w:pPr>
      <w:r>
        <w:rPr/>
        <w:t>联系人：邱曦</w:t>
      </w:r>
    </w:p>
    <w:p>
      <w:pPr>
        <w:pStyle w:val="BodyText"/>
        <w:spacing w:before="7"/>
        <w:rPr>
          <w:sz w:val="15"/>
        </w:rPr>
      </w:pPr>
    </w:p>
    <w:p>
      <w:pPr>
        <w:pStyle w:val="BodyText"/>
        <w:spacing w:line="417" w:lineRule="auto"/>
        <w:ind w:left="960" w:right="6098"/>
        <w:rPr>
          <w:rFonts w:ascii="Calibri" w:eastAsia="Calibri"/>
        </w:rPr>
      </w:pPr>
      <w:r>
        <w:rPr/>
        <w:t>客户服务电话：</w:t>
      </w:r>
      <w:r>
        <w:rPr>
          <w:rFonts w:ascii="Calibri" w:eastAsia="Calibri"/>
        </w:rPr>
        <w:t>400-818-6666 </w:t>
      </w:r>
      <w:r>
        <w:rPr/>
        <w:t>传真：</w:t>
      </w:r>
      <w:r>
        <w:rPr>
          <w:rFonts w:ascii="Calibri" w:eastAsia="Calibri"/>
        </w:rPr>
        <w:t>010-63136700</w:t>
      </w:r>
    </w:p>
    <w:p>
      <w:pPr>
        <w:pStyle w:val="BodyText"/>
        <w:spacing w:line="269" w:lineRule="exact"/>
        <w:ind w:left="960"/>
      </w:pPr>
      <w:r>
        <w:rPr/>
        <w:pict>
          <v:group style="position:absolute;margin-left:137.899994pt;margin-top:19.843096pt;width:319.55pt;height:120.55pt;mso-position-horizontal-relative:page;mso-position-vertical-relative:paragraph;z-index:-257613824" coordorigin="2758,397" coordsize="6391,2411">
            <v:shape style="position:absolute;left:6536;top:396;width:10;height:3" type="#_x0000_t75" stroked="false">
              <v:imagedata r:id="rId7" o:title=""/>
            </v:shape>
            <v:shape style="position:absolute;left:2758;top:399;width:6391;height:2408" type="#_x0000_t75" stroked="false">
              <v:imagedata r:id="rId8" o:title=""/>
            </v:shape>
            <w10:wrap type="none"/>
          </v:group>
        </w:pict>
      </w:r>
      <w:r>
        <w:rPr/>
        <w:t>华夏基金管理有限公司注册资本为 </w:t>
      </w:r>
      <w:r>
        <w:rPr>
          <w:rFonts w:ascii="Calibri" w:eastAsia="Calibri"/>
        </w:rPr>
        <w:t>23800 </w:t>
      </w:r>
      <w:r>
        <w:rPr/>
        <w:t>万元，公司股权结构如下：</w:t>
      </w:r>
    </w:p>
    <w:p>
      <w:pPr>
        <w:pStyle w:val="BodyText"/>
        <w:spacing w:before="11"/>
        <w:rPr>
          <w:sz w:val="8"/>
        </w:rPr>
      </w:pPr>
    </w:p>
    <w:tbl>
      <w:tblPr>
        <w:tblW w:w="0" w:type="auto"/>
        <w:jc w:val="left"/>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2607"/>
      </w:tblGrid>
      <w:tr>
        <w:trPr>
          <w:trHeight w:val="990" w:hRule="atLeast"/>
        </w:trPr>
        <w:tc>
          <w:tcPr>
            <w:tcW w:w="3791" w:type="dxa"/>
            <w:tcBorders>
              <w:top w:val="single" w:sz="12" w:space="0" w:color="000000"/>
            </w:tcBorders>
          </w:tcPr>
          <w:p>
            <w:pPr>
              <w:pStyle w:val="TableParagraph"/>
              <w:spacing w:before="99"/>
              <w:ind w:left="1457" w:right="1450"/>
              <w:jc w:val="center"/>
              <w:rPr>
                <w:rFonts w:ascii="宋体" w:eastAsia="宋体" w:hint="eastAsia"/>
                <w:b/>
                <w:sz w:val="21"/>
              </w:rPr>
            </w:pPr>
            <w:r>
              <w:rPr>
                <w:rFonts w:ascii="宋体" w:eastAsia="宋体" w:hint="eastAsia"/>
                <w:b/>
                <w:sz w:val="21"/>
              </w:rPr>
              <w:t>持股单位</w:t>
            </w:r>
          </w:p>
          <w:p>
            <w:pPr>
              <w:pStyle w:val="TableParagraph"/>
              <w:rPr>
                <w:rFonts w:ascii="宋体"/>
                <w:sz w:val="18"/>
              </w:rPr>
            </w:pPr>
          </w:p>
          <w:p>
            <w:pPr>
              <w:pStyle w:val="TableParagraph"/>
              <w:ind w:left="115"/>
              <w:rPr>
                <w:rFonts w:ascii="宋体" w:eastAsia="宋体" w:hint="eastAsia"/>
                <w:sz w:val="21"/>
              </w:rPr>
            </w:pPr>
            <w:r>
              <w:rPr>
                <w:rFonts w:ascii="宋体" w:eastAsia="宋体" w:hint="eastAsia"/>
                <w:sz w:val="21"/>
              </w:rPr>
              <w:t>中信证券股份有限公司</w:t>
            </w:r>
          </w:p>
        </w:tc>
        <w:tc>
          <w:tcPr>
            <w:tcW w:w="2607" w:type="dxa"/>
            <w:tcBorders>
              <w:top w:val="single" w:sz="12" w:space="0" w:color="000000"/>
            </w:tcBorders>
          </w:tcPr>
          <w:p>
            <w:pPr>
              <w:pStyle w:val="TableParagraph"/>
              <w:spacing w:before="99"/>
              <w:ind w:left="439" w:right="440"/>
              <w:jc w:val="center"/>
              <w:rPr>
                <w:rFonts w:ascii="宋体" w:eastAsia="宋体" w:hint="eastAsia"/>
                <w:b/>
                <w:sz w:val="21"/>
              </w:rPr>
            </w:pPr>
            <w:r>
              <w:rPr>
                <w:rFonts w:ascii="宋体" w:eastAsia="宋体" w:hint="eastAsia"/>
                <w:b/>
                <w:sz w:val="21"/>
              </w:rPr>
              <w:t>持股占总股本比例</w:t>
            </w:r>
          </w:p>
          <w:p>
            <w:pPr>
              <w:pStyle w:val="TableParagraph"/>
              <w:spacing w:before="5"/>
              <w:rPr>
                <w:rFonts w:ascii="宋体"/>
                <w:sz w:val="18"/>
              </w:rPr>
            </w:pPr>
          </w:p>
          <w:p>
            <w:pPr>
              <w:pStyle w:val="TableParagraph"/>
              <w:ind w:left="439" w:right="439"/>
              <w:jc w:val="center"/>
              <w:rPr>
                <w:sz w:val="21"/>
              </w:rPr>
            </w:pPr>
            <w:r>
              <w:rPr>
                <w:sz w:val="21"/>
              </w:rPr>
              <w:t>62.2%</w:t>
            </w:r>
          </w:p>
        </w:tc>
      </w:tr>
      <w:tr>
        <w:trPr>
          <w:trHeight w:val="477" w:hRule="atLeast"/>
        </w:trPr>
        <w:tc>
          <w:tcPr>
            <w:tcW w:w="3791" w:type="dxa"/>
          </w:tcPr>
          <w:p>
            <w:pPr>
              <w:pStyle w:val="TableParagraph"/>
              <w:spacing w:before="91"/>
              <w:ind w:left="115"/>
              <w:rPr>
                <w:sz w:val="21"/>
              </w:rPr>
            </w:pPr>
            <w:r>
              <w:rPr>
                <w:sz w:val="21"/>
              </w:rPr>
              <w:t>POWER CORPORATION OF CANADA</w:t>
            </w:r>
          </w:p>
        </w:tc>
        <w:tc>
          <w:tcPr>
            <w:tcW w:w="2607" w:type="dxa"/>
          </w:tcPr>
          <w:p>
            <w:pPr>
              <w:pStyle w:val="TableParagraph"/>
              <w:spacing w:before="91"/>
              <w:ind w:left="439" w:right="439"/>
              <w:jc w:val="center"/>
              <w:rPr>
                <w:sz w:val="21"/>
              </w:rPr>
            </w:pPr>
            <w:r>
              <w:rPr>
                <w:sz w:val="21"/>
              </w:rPr>
              <w:t>13.9%</w:t>
            </w:r>
          </w:p>
        </w:tc>
      </w:tr>
      <w:tr>
        <w:trPr>
          <w:trHeight w:val="468" w:hRule="atLeast"/>
        </w:trPr>
        <w:tc>
          <w:tcPr>
            <w:tcW w:w="3791" w:type="dxa"/>
          </w:tcPr>
          <w:p>
            <w:pPr>
              <w:pStyle w:val="TableParagraph"/>
              <w:spacing w:before="110"/>
              <w:ind w:left="115"/>
              <w:rPr>
                <w:sz w:val="18"/>
              </w:rPr>
            </w:pPr>
            <w:r>
              <w:rPr>
                <w:sz w:val="18"/>
              </w:rPr>
              <w:t>MACKENZIE FINANCIAL CORPORATION</w:t>
            </w:r>
          </w:p>
        </w:tc>
        <w:tc>
          <w:tcPr>
            <w:tcW w:w="2607" w:type="dxa"/>
          </w:tcPr>
          <w:p>
            <w:pPr>
              <w:pStyle w:val="TableParagraph"/>
              <w:spacing w:before="91"/>
              <w:ind w:left="439" w:right="439"/>
              <w:jc w:val="center"/>
              <w:rPr>
                <w:sz w:val="21"/>
              </w:rPr>
            </w:pPr>
            <w:r>
              <w:rPr>
                <w:sz w:val="21"/>
              </w:rPr>
              <w:t>13.9%</w:t>
            </w:r>
          </w:p>
        </w:tc>
      </w:tr>
      <w:tr>
        <w:trPr>
          <w:trHeight w:val="473" w:hRule="atLeast"/>
        </w:trPr>
        <w:tc>
          <w:tcPr>
            <w:tcW w:w="3791" w:type="dxa"/>
          </w:tcPr>
          <w:p>
            <w:pPr>
              <w:pStyle w:val="TableParagraph"/>
              <w:spacing w:before="95"/>
              <w:ind w:left="115"/>
              <w:rPr>
                <w:rFonts w:ascii="宋体" w:eastAsia="宋体" w:hint="eastAsia"/>
                <w:sz w:val="21"/>
              </w:rPr>
            </w:pPr>
            <w:r>
              <w:rPr>
                <w:rFonts w:ascii="宋体" w:eastAsia="宋体" w:hint="eastAsia"/>
                <w:sz w:val="21"/>
              </w:rPr>
              <w:t>天津海鹏科技咨询有限公司</w:t>
            </w:r>
          </w:p>
        </w:tc>
        <w:tc>
          <w:tcPr>
            <w:tcW w:w="2607" w:type="dxa"/>
          </w:tcPr>
          <w:p>
            <w:pPr>
              <w:pStyle w:val="TableParagraph"/>
              <w:spacing w:before="100"/>
              <w:ind w:left="439" w:right="440"/>
              <w:jc w:val="center"/>
              <w:rPr>
                <w:sz w:val="21"/>
              </w:rPr>
            </w:pPr>
            <w:r>
              <w:rPr>
                <w:sz w:val="21"/>
              </w:rPr>
              <w:t>10%</w:t>
            </w:r>
          </w:p>
          <w:p>
            <w:pPr>
              <w:pStyle w:val="TableParagraph"/>
              <w:spacing w:before="5"/>
              <w:rPr>
                <w:rFonts w:ascii="宋体"/>
                <w:sz w:val="8"/>
              </w:rPr>
            </w:pPr>
          </w:p>
          <w:p>
            <w:pPr>
              <w:pStyle w:val="TableParagraph"/>
              <w:spacing w:line="20" w:lineRule="exact"/>
              <w:ind w:left="-6" w:right="-44"/>
              <w:rPr>
                <w:rFonts w:ascii="宋体"/>
                <w:sz w:val="2"/>
              </w:rPr>
            </w:pPr>
            <w:r>
              <w:rPr>
                <w:rFonts w:ascii="宋体"/>
                <w:sz w:val="2"/>
              </w:rPr>
              <w:drawing>
                <wp:inline distT="0" distB="0" distL="0" distR="0">
                  <wp:extent cx="1658458" cy="6096"/>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1658458" cy="6096"/>
                          </a:xfrm>
                          <a:prstGeom prst="rect">
                            <a:avLst/>
                          </a:prstGeom>
                        </pic:spPr>
                      </pic:pic>
                    </a:graphicData>
                  </a:graphic>
                </wp:inline>
              </w:drawing>
            </w:r>
            <w:r>
              <w:rPr>
                <w:rFonts w:ascii="宋体"/>
                <w:sz w:val="2"/>
              </w:rPr>
            </w:r>
          </w:p>
        </w:tc>
      </w:tr>
      <w:tr>
        <w:trPr>
          <w:trHeight w:val="459" w:hRule="atLeast"/>
        </w:trPr>
        <w:tc>
          <w:tcPr>
            <w:tcW w:w="3791" w:type="dxa"/>
            <w:tcBorders>
              <w:bottom w:val="single" w:sz="12" w:space="0" w:color="000000"/>
              <w:right w:val="single" w:sz="4" w:space="0" w:color="000000"/>
            </w:tcBorders>
          </w:tcPr>
          <w:p>
            <w:pPr>
              <w:pStyle w:val="TableParagraph"/>
              <w:spacing w:before="91"/>
              <w:ind w:left="1668" w:right="1656"/>
              <w:jc w:val="center"/>
              <w:rPr>
                <w:rFonts w:ascii="宋体" w:eastAsia="宋体" w:hint="eastAsia"/>
                <w:b/>
                <w:sz w:val="21"/>
              </w:rPr>
            </w:pPr>
            <w:r>
              <w:rPr>
                <w:rFonts w:ascii="宋体" w:eastAsia="宋体" w:hint="eastAsia"/>
                <w:b/>
                <w:sz w:val="21"/>
              </w:rPr>
              <w:t>合计</w:t>
            </w:r>
          </w:p>
        </w:tc>
        <w:tc>
          <w:tcPr>
            <w:tcW w:w="2607" w:type="dxa"/>
            <w:tcBorders>
              <w:left w:val="single" w:sz="4" w:space="0" w:color="000000"/>
              <w:bottom w:val="single" w:sz="12" w:space="0" w:color="000000"/>
            </w:tcBorders>
          </w:tcPr>
          <w:p>
            <w:pPr>
              <w:pStyle w:val="TableParagraph"/>
              <w:spacing w:before="97"/>
              <w:ind w:left="1042" w:right="1046"/>
              <w:jc w:val="center"/>
              <w:rPr>
                <w:b/>
                <w:sz w:val="21"/>
              </w:rPr>
            </w:pPr>
            <w:r>
              <w:rPr>
                <w:b/>
                <w:sz w:val="21"/>
              </w:rPr>
              <w:t>100%</w:t>
            </w:r>
          </w:p>
        </w:tc>
      </w:tr>
    </w:tbl>
    <w:p>
      <w:pPr>
        <w:pStyle w:val="BodyText"/>
        <w:spacing w:before="85"/>
        <w:ind w:left="960"/>
      </w:pPr>
      <w:r>
        <w:rPr/>
        <w:t>（二）主要人员情况</w:t>
      </w:r>
    </w:p>
    <w:p>
      <w:pPr>
        <w:pStyle w:val="BodyText"/>
        <w:spacing w:before="6"/>
        <w:rPr>
          <w:sz w:val="15"/>
        </w:rPr>
      </w:pPr>
    </w:p>
    <w:p>
      <w:pPr>
        <w:pStyle w:val="BodyText"/>
        <w:spacing w:before="1"/>
        <w:ind w:left="960"/>
      </w:pPr>
      <w:r>
        <w:rPr>
          <w:rFonts w:ascii="Calibri" w:eastAsia="Calibri"/>
        </w:rPr>
        <w:t>1</w:t>
      </w:r>
      <w:r>
        <w:rPr/>
        <w:t>、基金管理人董事、监事、经理及其他高级管理人员基本情况</w:t>
      </w:r>
    </w:p>
    <w:p>
      <w:pPr>
        <w:pStyle w:val="BodyText"/>
        <w:spacing w:before="7"/>
        <w:rPr>
          <w:sz w:val="15"/>
        </w:rPr>
      </w:pPr>
    </w:p>
    <w:p>
      <w:pPr>
        <w:pStyle w:val="BodyText"/>
        <w:spacing w:line="417" w:lineRule="auto"/>
        <w:ind w:left="540" w:right="87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540" w:right="875" w:firstLine="419"/>
        <w:jc w:val="both"/>
      </w:pPr>
      <w:r>
        <w:rPr>
          <w:rFonts w:ascii="Calibri" w:eastAsia="Calibri"/>
        </w:rPr>
        <w:t>Barry Sean McInerney</w:t>
      </w:r>
      <w:r>
        <w:rPr/>
        <w:t>先生：董事，硕士。现任万信投资公司（</w:t>
      </w:r>
      <w:r>
        <w:rPr>
          <w:rFonts w:ascii="Calibri" w:eastAsia="Calibri"/>
        </w:rPr>
        <w:t>Mackenzie Financial Corporation</w:t>
      </w:r>
      <w:r>
        <w:rPr/>
        <w:t>）总裁兼首席执行官。曾在多家北美领先的金融机构担任高级管理职位。</w:t>
      </w:r>
    </w:p>
    <w:p>
      <w:pPr>
        <w:pStyle w:val="BodyText"/>
        <w:spacing w:line="417" w:lineRule="auto"/>
        <w:ind w:left="540" w:right="87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540" w:right="87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540" w:right="76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jc w:val="both"/>
      </w:pPr>
      <w:r>
        <w:rPr>
          <w:spacing w:val="-8"/>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87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87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87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76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960"/>
      </w:pPr>
      <w:r>
        <w:rPr/>
        <w:t>杨一夫先生：监事长，硕士。现任鲍尔太平有限公司总裁，负责总部加拿大鲍尔公司</w:t>
      </w:r>
    </w:p>
    <w:p>
      <w:pPr>
        <w:pStyle w:val="BodyText"/>
        <w:spacing w:before="6"/>
        <w:rPr>
          <w:sz w:val="15"/>
        </w:rPr>
      </w:pPr>
    </w:p>
    <w:p>
      <w:pPr>
        <w:pStyle w:val="BodyText"/>
        <w:spacing w:line="417" w:lineRule="auto"/>
        <w:ind w:left="540" w:right="871"/>
        <w:jc w:val="both"/>
      </w:pPr>
      <w:r>
        <w:rPr/>
        <w:t>（</w:t>
      </w:r>
      <w:r>
        <w:rPr>
          <w:rFonts w:ascii="Calibri" w:eastAsia="Calibri"/>
        </w:rPr>
        <w:t>Power Corporation of </w:t>
      </w:r>
      <w:r>
        <w:rPr>
          <w:rFonts w:ascii="Calibri" w:eastAsia="Calibri"/>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540" w:right="87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Calibri" w:eastAsia="Calibri"/>
        </w:rPr>
        <w:t>B</w:t>
      </w:r>
      <w:r>
        <w:rPr>
          <w:spacing w:val="-3"/>
        </w:rPr>
        <w:t>角</w:t>
      </w:r>
      <w:r>
        <w:rPr/>
        <w:t>（</w:t>
      </w:r>
      <w:r>
        <w:rPr>
          <w:spacing w:val="-3"/>
        </w:rPr>
        <w:t>主持工作</w:t>
      </w:r>
      <w:r>
        <w:rPr>
          <w:spacing w:val="-108"/>
        </w:rPr>
        <w:t>）</w:t>
      </w:r>
      <w:r>
        <w:rPr>
          <w:spacing w:val="-3"/>
        </w:rPr>
        <w:t>、总监等。</w:t>
      </w:r>
    </w:p>
    <w:p>
      <w:pPr>
        <w:pStyle w:val="BodyText"/>
        <w:spacing w:line="417" w:lineRule="auto"/>
        <w:ind w:left="540" w:right="87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Calibri" w:eastAsia="Calibri"/>
          <w:spacing w:val="-3"/>
        </w:rPr>
        <w:t>B</w:t>
      </w:r>
      <w:r>
        <w:rPr>
          <w:spacing w:val="-3"/>
        </w:rPr>
        <w:t>角、总监等。</w:t>
      </w:r>
    </w:p>
    <w:p>
      <w:pPr>
        <w:pStyle w:val="BodyText"/>
        <w:spacing w:line="417" w:lineRule="auto"/>
        <w:ind w:left="540" w:right="87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871" w:firstLine="419"/>
      </w:pPr>
      <w:r>
        <w:rPr>
          <w:spacing w:val="-12"/>
        </w:rPr>
        <w:t>朱威先生：监事，硕士。现任华夏基金管理有限公司基金运作部执行总经理、行政负责</w:t>
      </w:r>
      <w:r>
        <w:rPr>
          <w:spacing w:val="-6"/>
        </w:rPr>
        <w:t>人。曾任基金运作部</w:t>
      </w:r>
      <w:r>
        <w:rPr>
          <w:rFonts w:ascii="Calibri" w:eastAsia="Calibri"/>
        </w:rPr>
        <w:t>B</w:t>
      </w:r>
      <w:r>
        <w:rPr>
          <w:spacing w:val="-3"/>
        </w:rPr>
        <w:t>角等。</w:t>
      </w:r>
    </w:p>
    <w:p>
      <w:pPr>
        <w:pStyle w:val="BodyText"/>
        <w:spacing w:line="417" w:lineRule="auto"/>
        <w:ind w:left="540" w:right="87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76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76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76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960"/>
      </w:pPr>
      <w:r>
        <w:rPr>
          <w:rFonts w:ascii="Calibri" w:eastAsia="Calibri"/>
        </w:rPr>
        <w:t>2</w:t>
      </w:r>
      <w:r>
        <w:rPr/>
        <w:t>、本基金基金经理</w:t>
      </w:r>
    </w:p>
    <w:p>
      <w:pPr>
        <w:pStyle w:val="BodyText"/>
        <w:spacing w:line="417" w:lineRule="auto" w:before="198"/>
        <w:ind w:left="540" w:right="871" w:firstLine="419"/>
        <w:jc w:val="both"/>
        <w:rPr>
          <w:rFonts w:ascii="Calibri" w:eastAsia="Calibri"/>
        </w:rPr>
      </w:pPr>
      <w:r>
        <w:rPr>
          <w:spacing w:val="-11"/>
        </w:rPr>
        <w:t>邓思聪先生，理学硕士。曾任新加坡华新投资有限公司新兴市场宏观研究员、债券和外</w:t>
      </w:r>
      <w:r>
        <w:rPr>
          <w:spacing w:val="-6"/>
        </w:rPr>
        <w:t>汇交易主管等。</w:t>
      </w:r>
      <w:r>
        <w:rPr>
          <w:rFonts w:ascii="Calibri" w:eastAsia="Calibri"/>
        </w:rPr>
        <w:t>2016</w:t>
      </w:r>
      <w:r>
        <w:rPr>
          <w:rFonts w:ascii="Calibri" w:eastAsia="Calibri"/>
          <w:spacing w:val="35"/>
        </w:rPr>
        <w:t> </w:t>
      </w:r>
      <w:r>
        <w:rPr>
          <w:spacing w:val="-11"/>
        </w:rPr>
        <w:t>年 </w:t>
      </w:r>
      <w:r>
        <w:rPr>
          <w:rFonts w:ascii="Calibri" w:eastAsia="Calibri"/>
        </w:rPr>
        <w:t>4</w:t>
      </w:r>
      <w:r>
        <w:rPr>
          <w:rFonts w:ascii="Calibri" w:eastAsia="Calibri"/>
          <w:spacing w:val="36"/>
        </w:rPr>
        <w:t> </w:t>
      </w:r>
      <w:r>
        <w:rPr>
          <w:spacing w:val="-3"/>
        </w:rPr>
        <w:t>月加入华夏基金管理有限公司，曾任机构债券投资部研究员、基</w:t>
      </w:r>
      <w:r>
        <w:rPr>
          <w:spacing w:val="-6"/>
        </w:rPr>
        <w:t>金经理助理等，现任华夏大中华信用精选债券型证券投资基金</w:t>
      </w:r>
      <w:r>
        <w:rPr>
          <w:spacing w:val="-4"/>
        </w:rPr>
        <w:t>（</w:t>
      </w:r>
      <w:r>
        <w:rPr>
          <w:rFonts w:ascii="Calibri" w:eastAsia="Calibri"/>
          <w:spacing w:val="-4"/>
        </w:rPr>
        <w:t>QDII</w:t>
      </w:r>
      <w:r>
        <w:rPr>
          <w:spacing w:val="-4"/>
        </w:rPr>
        <w:t>）</w:t>
      </w:r>
      <w:r>
        <w:rPr>
          <w:spacing w:val="-6"/>
        </w:rPr>
        <w:t>基金经理</w:t>
      </w:r>
      <w:r>
        <w:rPr/>
        <w:t>（</w:t>
      </w:r>
      <w:r>
        <w:rPr>
          <w:rFonts w:ascii="Calibri" w:eastAsia="Calibri"/>
        </w:rPr>
        <w:t>2019</w:t>
      </w:r>
      <w:r>
        <w:rPr>
          <w:rFonts w:ascii="Calibri" w:eastAsia="Calibri"/>
          <w:spacing w:val="28"/>
        </w:rPr>
        <w:t> </w:t>
      </w:r>
      <w:r>
        <w:rPr>
          <w:spacing w:val="-17"/>
        </w:rPr>
        <w:t>年 </w:t>
      </w:r>
      <w:r>
        <w:rPr>
          <w:rFonts w:ascii="Calibri" w:eastAsia="Calibri"/>
        </w:rPr>
        <w:t>1</w:t>
      </w:r>
    </w:p>
    <w:p>
      <w:pPr>
        <w:pStyle w:val="BodyText"/>
        <w:ind w:left="540"/>
        <w:jc w:val="both"/>
      </w:pPr>
      <w:r>
        <w:rPr>
          <w:spacing w:val="-24"/>
        </w:rPr>
        <w:t>月 </w:t>
      </w:r>
      <w:r>
        <w:rPr>
          <w:rFonts w:ascii="Calibri" w:eastAsia="Calibri"/>
        </w:rPr>
        <w:t>14</w:t>
      </w:r>
      <w:r>
        <w:rPr>
          <w:rFonts w:ascii="Calibri" w:eastAsia="Calibri"/>
          <w:spacing w:val="9"/>
        </w:rPr>
        <w:t> </w:t>
      </w:r>
      <w:r>
        <w:rPr>
          <w:spacing w:val="-2"/>
        </w:rPr>
        <w:t>日起任职</w:t>
      </w:r>
      <w:r>
        <w:rPr>
          <w:spacing w:val="-108"/>
        </w:rPr>
        <w:t>）</w:t>
      </w:r>
      <w:r>
        <w:rPr>
          <w:spacing w:val="-15"/>
        </w:rPr>
        <w:t>、华夏海外收益债券型证券投资基金基金经理</w:t>
      </w:r>
      <w:r>
        <w:rPr/>
        <w:t>（</w:t>
      </w:r>
      <w:r>
        <w:rPr>
          <w:rFonts w:ascii="Calibri" w:eastAsia="Calibri"/>
        </w:rPr>
        <w:t>2019</w:t>
      </w:r>
      <w:r>
        <w:rPr>
          <w:rFonts w:ascii="Calibri" w:eastAsia="Calibri"/>
          <w:spacing w:val="9"/>
        </w:rPr>
        <w:t> </w:t>
      </w:r>
      <w:r>
        <w:rPr>
          <w:spacing w:val="-25"/>
        </w:rPr>
        <w:t>年 </w:t>
      </w:r>
      <w:r>
        <w:rPr>
          <w:rFonts w:ascii="Calibri" w:eastAsia="Calibri"/>
        </w:rPr>
        <w:t>1</w:t>
      </w:r>
      <w:r>
        <w:rPr>
          <w:rFonts w:ascii="Calibri" w:eastAsia="Calibri"/>
          <w:spacing w:val="12"/>
        </w:rPr>
        <w:t> </w:t>
      </w:r>
      <w:r>
        <w:rPr>
          <w:spacing w:val="-25"/>
        </w:rPr>
        <w:t>月 </w:t>
      </w:r>
      <w:r>
        <w:rPr>
          <w:rFonts w:ascii="Calibri" w:eastAsia="Calibri"/>
        </w:rPr>
        <w:t>14</w:t>
      </w:r>
      <w:r>
        <w:rPr>
          <w:rFonts w:ascii="Calibri" w:eastAsia="Calibri"/>
          <w:spacing w:val="10"/>
        </w:rPr>
        <w:t> </w:t>
      </w:r>
      <w:r>
        <w:rPr>
          <w:spacing w:val="-1"/>
        </w:rPr>
        <w:t>日起任职</w:t>
      </w:r>
      <w:r>
        <w:rPr>
          <w:spacing w:val="-108"/>
        </w:rPr>
        <w:t>）</w:t>
      </w:r>
      <w:r>
        <w:rPr/>
        <w:t>。</w:t>
      </w:r>
    </w:p>
    <w:p>
      <w:pPr>
        <w:pStyle w:val="BodyText"/>
        <w:spacing w:before="6"/>
        <w:rPr>
          <w:sz w:val="15"/>
        </w:rPr>
      </w:pPr>
    </w:p>
    <w:p>
      <w:pPr>
        <w:pStyle w:val="BodyText"/>
        <w:ind w:left="960"/>
      </w:pPr>
      <w:r>
        <w:rPr>
          <w:spacing w:val="-2"/>
        </w:rPr>
        <w:t>历任基金经理：</w:t>
      </w:r>
      <w:r>
        <w:rPr>
          <w:rFonts w:ascii="Calibri" w:eastAsia="Calibri"/>
        </w:rPr>
        <w:t>2016</w:t>
      </w:r>
      <w:r>
        <w:rPr>
          <w:rFonts w:ascii="Calibri" w:eastAsia="Calibri"/>
          <w:spacing w:val="11"/>
        </w:rPr>
        <w:t> </w:t>
      </w:r>
      <w:r>
        <w:rPr>
          <w:spacing w:val="-24"/>
        </w:rPr>
        <w:t>年 </w:t>
      </w:r>
      <w:r>
        <w:rPr>
          <w:rFonts w:ascii="Calibri" w:eastAsia="Calibri"/>
        </w:rPr>
        <w:t>7</w:t>
      </w:r>
      <w:r>
        <w:rPr>
          <w:rFonts w:ascii="Calibri" w:eastAsia="Calibri"/>
          <w:spacing w:val="10"/>
        </w:rPr>
        <w:t> </w:t>
      </w:r>
      <w:r>
        <w:rPr>
          <w:spacing w:val="-24"/>
        </w:rPr>
        <w:t>月 </w:t>
      </w:r>
      <w:r>
        <w:rPr>
          <w:rFonts w:ascii="Calibri" w:eastAsia="Calibri"/>
        </w:rPr>
        <w:t>27</w:t>
      </w:r>
      <w:r>
        <w:rPr>
          <w:rFonts w:ascii="Calibri" w:eastAsia="Calibri"/>
          <w:spacing w:val="14"/>
        </w:rPr>
        <w:t> </w:t>
      </w:r>
      <w:r>
        <w:rPr>
          <w:spacing w:val="-18"/>
        </w:rPr>
        <w:t>日至 </w:t>
      </w:r>
      <w:r>
        <w:rPr>
          <w:rFonts w:ascii="Calibri" w:eastAsia="Calibri"/>
        </w:rPr>
        <w:t>2017</w:t>
      </w:r>
      <w:r>
        <w:rPr>
          <w:rFonts w:ascii="Calibri" w:eastAsia="Calibri"/>
          <w:spacing w:val="11"/>
        </w:rPr>
        <w:t> </w:t>
      </w:r>
      <w:r>
        <w:rPr>
          <w:spacing w:val="-24"/>
        </w:rPr>
        <w:t>年 </w:t>
      </w:r>
      <w:r>
        <w:rPr>
          <w:rFonts w:ascii="Calibri" w:eastAsia="Calibri"/>
        </w:rPr>
        <w:t>9</w:t>
      </w:r>
      <w:r>
        <w:rPr>
          <w:rFonts w:ascii="Calibri" w:eastAsia="Calibri"/>
          <w:spacing w:val="11"/>
        </w:rPr>
        <w:t> </w:t>
      </w:r>
      <w:r>
        <w:rPr>
          <w:spacing w:val="-24"/>
        </w:rPr>
        <w:t>月 </w:t>
      </w:r>
      <w:r>
        <w:rPr>
          <w:rFonts w:ascii="Calibri" w:eastAsia="Calibri"/>
        </w:rPr>
        <w:t>8</w:t>
      </w:r>
      <w:r>
        <w:rPr>
          <w:rFonts w:ascii="Calibri" w:eastAsia="Calibri"/>
          <w:spacing w:val="11"/>
        </w:rPr>
        <w:t> </w:t>
      </w:r>
      <w:r>
        <w:rPr>
          <w:spacing w:val="-3"/>
        </w:rPr>
        <w:t>日期间，刘鲁旦先生任基金经理；</w:t>
      </w:r>
    </w:p>
    <w:p>
      <w:pPr>
        <w:pStyle w:val="BodyText"/>
        <w:spacing w:before="7"/>
        <w:rPr>
          <w:sz w:val="15"/>
        </w:rPr>
      </w:pPr>
    </w:p>
    <w:p>
      <w:pPr>
        <w:pStyle w:val="BodyText"/>
        <w:ind w:left="540"/>
        <w:jc w:val="both"/>
      </w:pPr>
      <w:r>
        <w:rPr>
          <w:rFonts w:ascii="Calibri" w:eastAsia="Calibri"/>
        </w:rPr>
        <w:t>2017 </w:t>
      </w:r>
      <w:r>
        <w:rPr/>
        <w:t>年 </w:t>
      </w:r>
      <w:r>
        <w:rPr>
          <w:rFonts w:ascii="Calibri" w:eastAsia="Calibri"/>
        </w:rPr>
        <w:t>9 </w:t>
      </w:r>
      <w:r>
        <w:rPr/>
        <w:t>月 </w:t>
      </w:r>
      <w:r>
        <w:rPr>
          <w:rFonts w:ascii="Calibri" w:eastAsia="Calibri"/>
        </w:rPr>
        <w:t>8 </w:t>
      </w:r>
      <w:r>
        <w:rPr/>
        <w:t>日至 </w:t>
      </w:r>
      <w:r>
        <w:rPr>
          <w:rFonts w:ascii="Calibri" w:eastAsia="Calibri"/>
        </w:rPr>
        <w:t>2019 </w:t>
      </w:r>
      <w:r>
        <w:rPr/>
        <w:t>年 </w:t>
      </w:r>
      <w:r>
        <w:rPr>
          <w:rFonts w:ascii="Calibri" w:eastAsia="Calibri"/>
        </w:rPr>
        <w:t>1 </w:t>
      </w:r>
      <w:r>
        <w:rPr/>
        <w:t>月 </w:t>
      </w:r>
      <w:r>
        <w:rPr>
          <w:rFonts w:ascii="Calibri" w:eastAsia="Calibri"/>
        </w:rPr>
        <w:t>24 </w:t>
      </w:r>
      <w:r>
        <w:rPr/>
        <w:t>日期间，祝灿先生任基金经理。</w:t>
      </w:r>
    </w:p>
    <w:p>
      <w:pPr>
        <w:pStyle w:val="BodyText"/>
        <w:spacing w:before="7"/>
        <w:rPr>
          <w:sz w:val="15"/>
        </w:rPr>
      </w:pPr>
    </w:p>
    <w:p>
      <w:pPr>
        <w:pStyle w:val="BodyText"/>
        <w:ind w:left="960"/>
      </w:pPr>
      <w:r>
        <w:rPr>
          <w:rFonts w:ascii="Calibri" w:eastAsia="Calibri"/>
        </w:rPr>
        <w:t>3</w:t>
      </w:r>
      <w:r>
        <w:rPr/>
        <w:t>、本公司固收投资决策委员会</w:t>
      </w:r>
    </w:p>
    <w:p>
      <w:pPr>
        <w:pStyle w:val="BodyText"/>
        <w:spacing w:before="7"/>
        <w:rPr>
          <w:sz w:val="15"/>
        </w:rPr>
      </w:pPr>
    </w:p>
    <w:p>
      <w:pPr>
        <w:pStyle w:val="BodyText"/>
        <w:spacing w:line="417" w:lineRule="auto"/>
        <w:ind w:left="960" w:right="1195"/>
      </w:pPr>
      <w:r>
        <w:rPr/>
        <w:t>主任：范义先生，华夏基金管理有限公司固定收益总监，董事总经理，投资经理。成员：李一梅女士，华夏基金管理有限公司董事、总经理。</w:t>
      </w:r>
    </w:p>
    <w:p>
      <w:pPr>
        <w:pStyle w:val="BodyText"/>
        <w:ind w:left="960"/>
      </w:pPr>
      <w:r>
        <w:rPr/>
        <w:t>阳琨先生，华夏基金管理有限公司副总经理、投资总监，基金经理。</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2038"/>
      </w:pPr>
      <w:r>
        <w:rPr/>
        <w:t>孙彬先生，华夏基金管理有限公司总经理助理，董事总经理，投资经理。曲波先生，华夏基金管理有限公司董事总经理，基金经理。</w:t>
      </w:r>
    </w:p>
    <w:p>
      <w:pPr>
        <w:pStyle w:val="BodyText"/>
        <w:spacing w:line="269" w:lineRule="exact"/>
        <w:ind w:left="960"/>
      </w:pPr>
      <w:r>
        <w:rPr/>
        <w:t>刘明宇先生，华夏基金管理有限公司董事总经理，基金经理。</w:t>
      </w:r>
    </w:p>
    <w:p>
      <w:pPr>
        <w:pStyle w:val="BodyText"/>
        <w:spacing w:before="7"/>
        <w:rPr>
          <w:sz w:val="15"/>
        </w:rPr>
      </w:pPr>
    </w:p>
    <w:p>
      <w:pPr>
        <w:pStyle w:val="BodyText"/>
        <w:spacing w:line="417" w:lineRule="auto"/>
        <w:ind w:left="960" w:right="2038"/>
      </w:pPr>
      <w:r>
        <w:rPr/>
        <w:t>柳万军先生，华夏基金管理有限公司固定收益部执行总经理，基金经理。张驰先生，华夏基金管理有限公司机构债券投资部总监。</w:t>
      </w:r>
    </w:p>
    <w:p>
      <w:pPr>
        <w:pStyle w:val="BodyText"/>
        <w:spacing w:line="269" w:lineRule="exact"/>
        <w:ind w:left="960"/>
      </w:pPr>
      <w:r>
        <w:rPr>
          <w:rFonts w:ascii="Calibri" w:eastAsia="Calibri"/>
        </w:rPr>
        <w:t>4</w:t>
      </w:r>
      <w:r>
        <w:rPr/>
        <w:t>、上述人员之间不存在近亲属关系。</w:t>
      </w:r>
    </w:p>
    <w:p>
      <w:pPr>
        <w:pStyle w:val="BodyText"/>
        <w:spacing w:before="7"/>
        <w:rPr>
          <w:sz w:val="15"/>
        </w:rPr>
      </w:pPr>
    </w:p>
    <w:p>
      <w:pPr>
        <w:pStyle w:val="BodyText"/>
        <w:ind w:left="960"/>
      </w:pPr>
      <w:r>
        <w:rPr/>
        <w:t>（三）基金管理人的职责</w:t>
      </w:r>
    </w:p>
    <w:p>
      <w:pPr>
        <w:pStyle w:val="BodyText"/>
        <w:spacing w:before="7"/>
        <w:rPr>
          <w:sz w:val="15"/>
        </w:rPr>
      </w:pPr>
    </w:p>
    <w:p>
      <w:pPr>
        <w:pStyle w:val="BodyText"/>
        <w:spacing w:line="417" w:lineRule="auto"/>
        <w:ind w:left="540" w:right="874" w:firstLine="419"/>
      </w:pPr>
      <w:r>
        <w:rPr>
          <w:rFonts w:ascii="Calibri" w:eastAsia="Calibri"/>
        </w:rPr>
        <w:t>1</w:t>
      </w:r>
      <w:r>
        <w:rPr/>
        <w:t>、依法募集资金，办理或者委托经国务院证券监督管理机构认定的其他机构代为办理基金份额的发售、申购、赎回和登记事宜。</w:t>
      </w:r>
    </w:p>
    <w:p>
      <w:pPr>
        <w:pStyle w:val="BodyText"/>
        <w:spacing w:line="269" w:lineRule="exact"/>
        <w:ind w:left="960"/>
      </w:pPr>
      <w:r>
        <w:rPr>
          <w:rFonts w:ascii="Calibri" w:eastAsia="Calibri"/>
        </w:rPr>
        <w:t>2</w:t>
      </w:r>
      <w:r>
        <w:rPr/>
        <w:t>、办理基金备案手续。</w:t>
      </w:r>
    </w:p>
    <w:p>
      <w:pPr>
        <w:pStyle w:val="BodyText"/>
        <w:spacing w:before="7"/>
        <w:rPr>
          <w:sz w:val="15"/>
        </w:rPr>
      </w:pPr>
    </w:p>
    <w:p>
      <w:pPr>
        <w:pStyle w:val="BodyText"/>
        <w:ind w:left="960"/>
      </w:pPr>
      <w:r>
        <w:rPr>
          <w:rFonts w:ascii="Calibri" w:eastAsia="Calibri"/>
        </w:rPr>
        <w:t>3</w:t>
      </w:r>
      <w:r>
        <w:rPr/>
        <w:t>、对所管理的不同基金财产分别管理、分别记账，进行证券投资。</w:t>
      </w:r>
    </w:p>
    <w:p>
      <w:pPr>
        <w:pStyle w:val="BodyText"/>
        <w:spacing w:before="7"/>
        <w:rPr>
          <w:sz w:val="15"/>
        </w:rPr>
      </w:pPr>
    </w:p>
    <w:p>
      <w:pPr>
        <w:pStyle w:val="BodyText"/>
        <w:ind w:left="960"/>
      </w:pPr>
      <w:r>
        <w:rPr>
          <w:rFonts w:ascii="Calibri" w:eastAsia="Calibri"/>
        </w:rPr>
        <w:t>4</w:t>
      </w:r>
      <w:r>
        <w:rPr/>
        <w:t>、按照基金合同的约定确定基金收益分配方案，及时向基金份额持有人分配收益。</w:t>
      </w:r>
    </w:p>
    <w:p>
      <w:pPr>
        <w:pStyle w:val="BodyText"/>
        <w:spacing w:before="6"/>
        <w:rPr>
          <w:sz w:val="15"/>
        </w:rPr>
      </w:pPr>
    </w:p>
    <w:p>
      <w:pPr>
        <w:pStyle w:val="BodyText"/>
        <w:ind w:left="960"/>
      </w:pPr>
      <w:r>
        <w:rPr>
          <w:rFonts w:ascii="Calibri" w:eastAsia="Calibri"/>
        </w:rPr>
        <w:t>5</w:t>
      </w:r>
      <w:r>
        <w:rPr/>
        <w:t>、进行基金会计核算并编制基金财务会计报告。</w:t>
      </w:r>
    </w:p>
    <w:p>
      <w:pPr>
        <w:pStyle w:val="BodyText"/>
        <w:spacing w:before="7"/>
        <w:rPr>
          <w:sz w:val="15"/>
        </w:rPr>
      </w:pPr>
    </w:p>
    <w:p>
      <w:pPr>
        <w:pStyle w:val="BodyText"/>
        <w:ind w:left="960"/>
      </w:pPr>
      <w:r>
        <w:rPr>
          <w:rFonts w:ascii="Calibri" w:eastAsia="Calibri"/>
        </w:rPr>
        <w:t>6</w:t>
      </w:r>
      <w:r>
        <w:rPr/>
        <w:t>、编制中期和年度基金报告。</w:t>
      </w:r>
    </w:p>
    <w:p>
      <w:pPr>
        <w:pStyle w:val="BodyText"/>
        <w:spacing w:before="7"/>
        <w:rPr>
          <w:sz w:val="15"/>
        </w:rPr>
      </w:pPr>
    </w:p>
    <w:p>
      <w:pPr>
        <w:pStyle w:val="BodyText"/>
        <w:ind w:left="960"/>
      </w:pPr>
      <w:r>
        <w:rPr>
          <w:rFonts w:ascii="Calibri" w:eastAsia="Calibri"/>
        </w:rPr>
        <w:t>7</w:t>
      </w:r>
      <w:r>
        <w:rPr/>
        <w:t>、计算并公告基金净值信息，确定基金份额申购、赎回价格。</w:t>
      </w:r>
    </w:p>
    <w:p>
      <w:pPr>
        <w:pStyle w:val="BodyText"/>
        <w:spacing w:before="7"/>
        <w:rPr>
          <w:sz w:val="15"/>
        </w:rPr>
      </w:pPr>
    </w:p>
    <w:p>
      <w:pPr>
        <w:pStyle w:val="BodyText"/>
        <w:ind w:left="960"/>
      </w:pPr>
      <w:r>
        <w:rPr>
          <w:rFonts w:ascii="Calibri" w:eastAsia="Calibri"/>
        </w:rPr>
        <w:t>8</w:t>
      </w:r>
      <w:r>
        <w:rPr/>
        <w:t>、办理与基金财产管理业务活动有关的信息披露事项。</w:t>
      </w:r>
    </w:p>
    <w:p>
      <w:pPr>
        <w:pStyle w:val="BodyText"/>
        <w:spacing w:before="7"/>
        <w:rPr>
          <w:sz w:val="15"/>
        </w:rPr>
      </w:pPr>
    </w:p>
    <w:p>
      <w:pPr>
        <w:pStyle w:val="BodyText"/>
        <w:ind w:left="960"/>
      </w:pPr>
      <w:r>
        <w:rPr>
          <w:rFonts w:ascii="Calibri" w:eastAsia="Calibri"/>
        </w:rPr>
        <w:t>9</w:t>
      </w:r>
      <w:r>
        <w:rPr/>
        <w:t>、召集基金份额持有人大会。</w:t>
      </w:r>
    </w:p>
    <w:p>
      <w:pPr>
        <w:pStyle w:val="BodyText"/>
        <w:spacing w:before="6"/>
        <w:rPr>
          <w:sz w:val="15"/>
        </w:rPr>
      </w:pPr>
    </w:p>
    <w:p>
      <w:pPr>
        <w:pStyle w:val="BodyText"/>
        <w:spacing w:before="1"/>
        <w:ind w:left="960"/>
      </w:pPr>
      <w:r>
        <w:rPr>
          <w:rFonts w:ascii="Calibri" w:eastAsia="Calibri"/>
        </w:rPr>
        <w:t>10</w:t>
      </w:r>
      <w:r>
        <w:rPr/>
        <w:t>、保存基金财产管理业务活动的记录、账册、报表和其他相关资料。</w:t>
      </w:r>
    </w:p>
    <w:p>
      <w:pPr>
        <w:pStyle w:val="BodyText"/>
        <w:spacing w:before="6"/>
        <w:rPr>
          <w:sz w:val="15"/>
        </w:rPr>
      </w:pPr>
    </w:p>
    <w:p>
      <w:pPr>
        <w:pStyle w:val="BodyText"/>
        <w:ind w:left="960"/>
      </w:pPr>
      <w:r>
        <w:rPr>
          <w:rFonts w:ascii="Calibri" w:eastAsia="Calibri"/>
        </w:rPr>
        <w:t>11</w:t>
      </w:r>
      <w:r>
        <w:rPr/>
        <w:t>、以基金管理人名义，代表基金份额持有人利益行使诉讼权利或者实施其他法律行为。</w:t>
      </w:r>
    </w:p>
    <w:p>
      <w:pPr>
        <w:pStyle w:val="BodyText"/>
        <w:spacing w:before="7"/>
        <w:rPr>
          <w:sz w:val="15"/>
        </w:rPr>
      </w:pPr>
    </w:p>
    <w:p>
      <w:pPr>
        <w:pStyle w:val="BodyText"/>
        <w:ind w:left="960"/>
      </w:pPr>
      <w:r>
        <w:rPr>
          <w:rFonts w:ascii="Calibri" w:eastAsia="Calibri"/>
        </w:rPr>
        <w:t>12</w:t>
      </w:r>
      <w:r>
        <w:rPr/>
        <w:t>、国务院证券监督管理机构规定的其他职责。</w:t>
      </w:r>
    </w:p>
    <w:p>
      <w:pPr>
        <w:pStyle w:val="BodyText"/>
        <w:spacing w:before="7"/>
        <w:rPr>
          <w:sz w:val="15"/>
        </w:rPr>
      </w:pPr>
    </w:p>
    <w:p>
      <w:pPr>
        <w:pStyle w:val="BodyText"/>
        <w:ind w:left="960"/>
      </w:pPr>
      <w:r>
        <w:rPr/>
        <w:t>（四）基金管理人承诺</w:t>
      </w:r>
    </w:p>
    <w:p>
      <w:pPr>
        <w:pStyle w:val="BodyText"/>
        <w:spacing w:before="7"/>
        <w:rPr>
          <w:sz w:val="15"/>
        </w:rPr>
      </w:pPr>
    </w:p>
    <w:p>
      <w:pPr>
        <w:pStyle w:val="BodyText"/>
        <w:spacing w:line="417" w:lineRule="auto"/>
        <w:ind w:left="540" w:right="874" w:firstLine="419"/>
      </w:pPr>
      <w:r>
        <w:rPr>
          <w:rFonts w:ascii="Calibri" w:eastAsia="Calibri"/>
        </w:rPr>
        <w:t>1</w:t>
      </w:r>
      <w:r>
        <w:rPr/>
        <w:t>、本基金管理人将根据基金合同的规定，按照招募说明书列明的投资目标、策略及限制等全权处理本基金的投资。</w:t>
      </w:r>
    </w:p>
    <w:p>
      <w:pPr>
        <w:pStyle w:val="BodyText"/>
        <w:spacing w:line="417" w:lineRule="auto"/>
        <w:ind w:left="540" w:right="873" w:firstLine="419"/>
      </w:pPr>
      <w:r>
        <w:rPr>
          <w:rFonts w:ascii="Calibri" w:eastAsia="Calibri"/>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540" w:right="873" w:firstLine="419"/>
      </w:pPr>
      <w:r>
        <w:rPr>
          <w:rFonts w:ascii="Calibri" w:eastAsia="Calibri"/>
        </w:rPr>
        <w:t>3</w:t>
      </w:r>
      <w:r>
        <w:rPr/>
        <w:t>、本基金管理人不从事违反《基金法》的行为，并建立健全内部控制制度，采取有效措施，保证基金财产不用于下列投资或者活动：</w:t>
      </w:r>
    </w:p>
    <w:p>
      <w:pPr>
        <w:pStyle w:val="ListParagraph"/>
        <w:numPr>
          <w:ilvl w:val="3"/>
          <w:numId w:val="10"/>
        </w:numPr>
        <w:tabs>
          <w:tab w:pos="1490" w:val="left" w:leader="none"/>
        </w:tabs>
        <w:spacing w:line="269" w:lineRule="exact" w:before="0" w:after="0"/>
        <w:ind w:left="1489" w:right="0" w:hanging="530"/>
        <w:jc w:val="left"/>
        <w:rPr>
          <w:sz w:val="21"/>
        </w:rPr>
      </w:pPr>
      <w:r>
        <w:rPr>
          <w:spacing w:val="-3"/>
          <w:sz w:val="21"/>
        </w:rPr>
        <w:t>购买不动产。</w:t>
      </w:r>
    </w:p>
    <w:p>
      <w:pPr>
        <w:pStyle w:val="BodyText"/>
        <w:spacing w:before="6"/>
        <w:rPr>
          <w:sz w:val="15"/>
        </w:rPr>
      </w:pPr>
    </w:p>
    <w:p>
      <w:pPr>
        <w:pStyle w:val="ListParagraph"/>
        <w:numPr>
          <w:ilvl w:val="3"/>
          <w:numId w:val="10"/>
        </w:numPr>
        <w:tabs>
          <w:tab w:pos="1490" w:val="left" w:leader="none"/>
        </w:tabs>
        <w:spacing w:line="240" w:lineRule="auto" w:before="1" w:after="0"/>
        <w:ind w:left="1489" w:right="0" w:hanging="530"/>
        <w:jc w:val="left"/>
        <w:rPr>
          <w:sz w:val="21"/>
        </w:rPr>
      </w:pPr>
      <w:r>
        <w:rPr>
          <w:spacing w:val="-3"/>
          <w:sz w:val="21"/>
        </w:rPr>
        <w:t>购买房地产抵押按揭。</w:t>
      </w:r>
    </w:p>
    <w:p>
      <w:pPr>
        <w:pStyle w:val="BodyText"/>
        <w:spacing w:before="6"/>
        <w:rPr>
          <w:sz w:val="15"/>
        </w:rPr>
      </w:pPr>
    </w:p>
    <w:p>
      <w:pPr>
        <w:pStyle w:val="ListParagraph"/>
        <w:numPr>
          <w:ilvl w:val="3"/>
          <w:numId w:val="10"/>
        </w:numPr>
        <w:tabs>
          <w:tab w:pos="1490" w:val="left" w:leader="none"/>
        </w:tabs>
        <w:spacing w:line="240" w:lineRule="auto" w:before="0" w:after="0"/>
        <w:ind w:left="1489" w:right="0" w:hanging="530"/>
        <w:jc w:val="left"/>
        <w:rPr>
          <w:sz w:val="21"/>
        </w:rPr>
      </w:pPr>
      <w:r>
        <w:rPr>
          <w:spacing w:val="-3"/>
          <w:sz w:val="21"/>
        </w:rPr>
        <w:t>购买贵重金属或代表贵重金属的凭证。</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ListParagraph"/>
        <w:numPr>
          <w:ilvl w:val="3"/>
          <w:numId w:val="10"/>
        </w:numPr>
        <w:tabs>
          <w:tab w:pos="1490" w:val="left" w:leader="none"/>
        </w:tabs>
        <w:spacing w:line="240" w:lineRule="auto" w:before="71" w:after="0"/>
        <w:ind w:left="1489" w:right="0" w:hanging="530"/>
        <w:jc w:val="left"/>
        <w:rPr>
          <w:sz w:val="21"/>
        </w:rPr>
      </w:pPr>
      <w:r>
        <w:rPr>
          <w:spacing w:val="-3"/>
          <w:sz w:val="21"/>
        </w:rPr>
        <w:t>购买实物商品。</w:t>
      </w:r>
    </w:p>
    <w:p>
      <w:pPr>
        <w:pStyle w:val="BodyText"/>
        <w:spacing w:before="7"/>
        <w:rPr>
          <w:sz w:val="15"/>
        </w:rPr>
      </w:pPr>
    </w:p>
    <w:p>
      <w:pPr>
        <w:pStyle w:val="ListParagraph"/>
        <w:numPr>
          <w:ilvl w:val="3"/>
          <w:numId w:val="10"/>
        </w:numPr>
        <w:tabs>
          <w:tab w:pos="1490" w:val="left" w:leader="none"/>
        </w:tabs>
        <w:spacing w:line="240" w:lineRule="auto" w:before="0" w:after="0"/>
        <w:ind w:left="1489" w:right="0" w:hanging="530"/>
        <w:jc w:val="left"/>
        <w:rPr>
          <w:sz w:val="21"/>
        </w:rPr>
      </w:pPr>
      <w:r>
        <w:rPr>
          <w:spacing w:val="-3"/>
          <w:sz w:val="21"/>
        </w:rPr>
        <w:t>除应付赎回、交易清算等临时用途以外，借入现金。</w:t>
      </w:r>
    </w:p>
    <w:p>
      <w:pPr>
        <w:pStyle w:val="BodyText"/>
        <w:spacing w:before="7"/>
        <w:rPr>
          <w:sz w:val="15"/>
        </w:rPr>
      </w:pPr>
    </w:p>
    <w:p>
      <w:pPr>
        <w:pStyle w:val="ListParagraph"/>
        <w:numPr>
          <w:ilvl w:val="3"/>
          <w:numId w:val="10"/>
        </w:numPr>
        <w:tabs>
          <w:tab w:pos="1490" w:val="left" w:leader="none"/>
        </w:tabs>
        <w:spacing w:line="240" w:lineRule="auto" w:before="0" w:after="0"/>
        <w:ind w:left="1489" w:right="0" w:hanging="530"/>
        <w:jc w:val="left"/>
        <w:rPr>
          <w:sz w:val="21"/>
        </w:rPr>
      </w:pPr>
      <w:r>
        <w:rPr>
          <w:spacing w:val="-3"/>
          <w:sz w:val="21"/>
        </w:rPr>
        <w:t>利用融资购买证券，但投资金融衍生品除外。</w:t>
      </w:r>
    </w:p>
    <w:p>
      <w:pPr>
        <w:pStyle w:val="BodyText"/>
        <w:spacing w:before="6"/>
        <w:rPr>
          <w:sz w:val="15"/>
        </w:rPr>
      </w:pPr>
    </w:p>
    <w:p>
      <w:pPr>
        <w:pStyle w:val="ListParagraph"/>
        <w:numPr>
          <w:ilvl w:val="3"/>
          <w:numId w:val="10"/>
        </w:numPr>
        <w:tabs>
          <w:tab w:pos="1490" w:val="left" w:leader="none"/>
        </w:tabs>
        <w:spacing w:line="240" w:lineRule="auto" w:before="1" w:after="0"/>
        <w:ind w:left="1489" w:right="0" w:hanging="530"/>
        <w:jc w:val="left"/>
        <w:rPr>
          <w:sz w:val="21"/>
        </w:rPr>
      </w:pPr>
      <w:r>
        <w:rPr>
          <w:spacing w:val="-3"/>
          <w:sz w:val="21"/>
        </w:rPr>
        <w:t>参与未持有基础资产的卖空交易。</w:t>
      </w:r>
    </w:p>
    <w:p>
      <w:pPr>
        <w:pStyle w:val="BodyText"/>
        <w:spacing w:before="6"/>
        <w:rPr>
          <w:sz w:val="15"/>
        </w:rPr>
      </w:pPr>
    </w:p>
    <w:p>
      <w:pPr>
        <w:pStyle w:val="ListParagraph"/>
        <w:numPr>
          <w:ilvl w:val="3"/>
          <w:numId w:val="10"/>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3"/>
          <w:numId w:val="10"/>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3"/>
          <w:numId w:val="10"/>
        </w:numPr>
        <w:tabs>
          <w:tab w:pos="1598" w:val="left" w:leader="none"/>
        </w:tabs>
        <w:spacing w:line="240" w:lineRule="auto" w:before="0" w:after="0"/>
        <w:ind w:left="1597" w:right="0" w:hanging="638"/>
        <w:jc w:val="left"/>
        <w:rPr>
          <w:sz w:val="21"/>
        </w:rPr>
      </w:pPr>
      <w:r>
        <w:rPr>
          <w:spacing w:val="-3"/>
          <w:sz w:val="21"/>
        </w:rPr>
        <w:t>从事承担无限责任的投资。</w:t>
      </w:r>
    </w:p>
    <w:p>
      <w:pPr>
        <w:pStyle w:val="BodyText"/>
        <w:spacing w:before="7"/>
        <w:rPr>
          <w:sz w:val="15"/>
        </w:rPr>
      </w:pPr>
    </w:p>
    <w:p>
      <w:pPr>
        <w:pStyle w:val="ListParagraph"/>
        <w:numPr>
          <w:ilvl w:val="3"/>
          <w:numId w:val="10"/>
        </w:numPr>
        <w:tabs>
          <w:tab w:pos="1598" w:val="left" w:leader="none"/>
        </w:tabs>
        <w:spacing w:line="240" w:lineRule="auto" w:before="0" w:after="0"/>
        <w:ind w:left="1597" w:right="0" w:hanging="638"/>
        <w:jc w:val="left"/>
        <w:rPr>
          <w:sz w:val="21"/>
        </w:rPr>
      </w:pPr>
      <w:r>
        <w:rPr>
          <w:spacing w:val="-3"/>
          <w:sz w:val="21"/>
        </w:rPr>
        <w:t>向其基金管理人、基金托管人出资。</w:t>
      </w:r>
    </w:p>
    <w:p>
      <w:pPr>
        <w:pStyle w:val="BodyText"/>
        <w:spacing w:before="7"/>
        <w:rPr>
          <w:sz w:val="15"/>
        </w:rPr>
      </w:pPr>
    </w:p>
    <w:p>
      <w:pPr>
        <w:pStyle w:val="ListParagraph"/>
        <w:numPr>
          <w:ilvl w:val="3"/>
          <w:numId w:val="10"/>
        </w:numPr>
        <w:tabs>
          <w:tab w:pos="1598" w:val="left" w:leader="none"/>
        </w:tabs>
        <w:spacing w:line="240" w:lineRule="auto" w:before="0" w:after="0"/>
        <w:ind w:left="1597" w:right="0" w:hanging="638"/>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3"/>
          <w:numId w:val="10"/>
        </w:numPr>
        <w:tabs>
          <w:tab w:pos="1598" w:val="left" w:leader="none"/>
        </w:tabs>
        <w:spacing w:line="240" w:lineRule="auto" w:before="0" w:after="0"/>
        <w:ind w:left="1597" w:right="0" w:hanging="638"/>
        <w:jc w:val="left"/>
        <w:rPr>
          <w:sz w:val="21"/>
        </w:rPr>
      </w:pPr>
      <w:r>
        <w:rPr>
          <w:spacing w:val="-3"/>
          <w:sz w:val="21"/>
        </w:rPr>
        <w:t>依照法律法规有关规定，由中国证监会规定禁止的其他活动。</w:t>
      </w:r>
    </w:p>
    <w:p>
      <w:pPr>
        <w:pStyle w:val="BodyText"/>
        <w:spacing w:before="6"/>
        <w:rPr>
          <w:sz w:val="15"/>
        </w:rPr>
      </w:pPr>
    </w:p>
    <w:p>
      <w:pPr>
        <w:pStyle w:val="BodyText"/>
        <w:ind w:left="960"/>
      </w:pPr>
      <w:r>
        <w:rPr/>
        <w:t>法律法规或监管部门取消上述限制，如适用于本基金，则本基金投资不再受相关限制。</w:t>
      </w:r>
    </w:p>
    <w:p>
      <w:pPr>
        <w:pStyle w:val="BodyText"/>
        <w:spacing w:before="7"/>
        <w:rPr>
          <w:sz w:val="15"/>
        </w:rPr>
      </w:pPr>
    </w:p>
    <w:p>
      <w:pPr>
        <w:pStyle w:val="BodyText"/>
        <w:spacing w:line="417" w:lineRule="auto"/>
        <w:ind w:left="540" w:right="873" w:firstLine="419"/>
      </w:pPr>
      <w:r>
        <w:rPr>
          <w:rFonts w:ascii="Calibri" w:eastAsia="Calibri"/>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11"/>
        </w:numPr>
        <w:tabs>
          <w:tab w:pos="1490" w:val="left" w:leader="none"/>
        </w:tabs>
        <w:spacing w:line="269" w:lineRule="exact" w:before="0" w:after="0"/>
        <w:ind w:left="1489" w:right="0" w:hanging="530"/>
        <w:jc w:val="left"/>
        <w:rPr>
          <w:sz w:val="21"/>
        </w:rPr>
      </w:pPr>
      <w:r>
        <w:rPr>
          <w:spacing w:val="-3"/>
          <w:sz w:val="21"/>
        </w:rPr>
        <w:t>将其固有财产或者他人财产混同于基金财产从事证券投资。</w:t>
      </w:r>
    </w:p>
    <w:p>
      <w:pPr>
        <w:pStyle w:val="BodyText"/>
        <w:spacing w:before="7"/>
        <w:rPr>
          <w:sz w:val="15"/>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11"/>
        </w:numPr>
        <w:tabs>
          <w:tab w:pos="1490" w:val="left" w:leader="none"/>
        </w:tabs>
        <w:spacing w:line="240" w:lineRule="auto" w:before="0" w:after="0"/>
        <w:ind w:left="1489" w:right="0" w:hanging="530"/>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11"/>
        </w:numPr>
        <w:tabs>
          <w:tab w:pos="1492" w:val="left" w:leader="none"/>
        </w:tabs>
        <w:spacing w:line="240" w:lineRule="auto" w:before="1" w:after="0"/>
        <w:ind w:left="1491" w:right="0" w:hanging="532"/>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ind w:left="960"/>
      </w:pPr>
      <w:r>
        <w:rPr>
          <w:rFonts w:ascii="Calibri" w:eastAsia="Calibri"/>
        </w:rPr>
        <w:t>5</w:t>
      </w:r>
      <w:r>
        <w:rPr/>
        <w:t>、基金经理承诺</w:t>
      </w:r>
    </w:p>
    <w:p>
      <w:pPr>
        <w:pStyle w:val="BodyText"/>
        <w:spacing w:before="7"/>
        <w:rPr>
          <w:sz w:val="15"/>
        </w:rPr>
      </w:pPr>
    </w:p>
    <w:p>
      <w:pPr>
        <w:pStyle w:val="ListParagraph"/>
        <w:numPr>
          <w:ilvl w:val="0"/>
          <w:numId w:val="12"/>
        </w:numPr>
        <w:tabs>
          <w:tab w:pos="1492" w:val="left" w:leader="none"/>
        </w:tabs>
        <w:spacing w:line="417" w:lineRule="auto" w:before="0" w:after="0"/>
        <w:ind w:left="540" w:right="874" w:firstLine="419"/>
        <w:jc w:val="left"/>
        <w:rPr>
          <w:sz w:val="21"/>
        </w:rPr>
      </w:pPr>
      <w:r>
        <w:rPr>
          <w:spacing w:val="-3"/>
          <w:sz w:val="21"/>
        </w:rPr>
        <w:t>依照有关法律、法规和基金合同的规定，本着谨慎的原则为基金份额持有人谋取利益。</w:t>
      </w:r>
    </w:p>
    <w:p>
      <w:pPr>
        <w:pStyle w:val="ListParagraph"/>
        <w:numPr>
          <w:ilvl w:val="0"/>
          <w:numId w:val="12"/>
        </w:numPr>
        <w:tabs>
          <w:tab w:pos="1492" w:val="left" w:leader="none"/>
        </w:tabs>
        <w:spacing w:line="417" w:lineRule="auto" w:before="0" w:after="0"/>
        <w:ind w:left="540" w:right="874" w:firstLine="419"/>
        <w:jc w:val="left"/>
        <w:rPr>
          <w:sz w:val="21"/>
        </w:rPr>
      </w:pPr>
      <w:r>
        <w:rPr>
          <w:spacing w:val="-3"/>
          <w:sz w:val="21"/>
        </w:rPr>
        <w:t>不利用职务之便为自己、被代理人、被代表人、受雇人或任何其他第三人谋取不当利益。</w:t>
      </w:r>
    </w:p>
    <w:p>
      <w:pPr>
        <w:pStyle w:val="ListParagraph"/>
        <w:numPr>
          <w:ilvl w:val="0"/>
          <w:numId w:val="12"/>
        </w:numPr>
        <w:tabs>
          <w:tab w:pos="1492" w:val="left" w:leader="none"/>
        </w:tabs>
        <w:spacing w:line="429" w:lineRule="auto" w:before="10" w:after="0"/>
        <w:ind w:left="540" w:right="87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974"/>
      </w:pPr>
      <w:r>
        <w:rPr/>
        <w:t>（五）基金管理人的内部控制制度</w:t>
      </w:r>
    </w:p>
    <w:p>
      <w:pPr>
        <w:pStyle w:val="BodyText"/>
        <w:spacing w:before="8"/>
        <w:rPr>
          <w:sz w:val="16"/>
        </w:rPr>
      </w:pPr>
    </w:p>
    <w:p>
      <w:pPr>
        <w:pStyle w:val="BodyText"/>
        <w:spacing w:line="432" w:lineRule="auto"/>
        <w:ind w:left="540" w:right="768" w:firstLine="419"/>
        <w:jc w:val="both"/>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p>
    <w:p>
      <w:pPr>
        <w:spacing w:after="0" w:line="432" w:lineRule="auto"/>
        <w:jc w:val="both"/>
        <w:sectPr>
          <w:pgSz w:w="11910" w:h="16840"/>
          <w:pgMar w:header="872" w:footer="995" w:top="1100" w:bottom="1180" w:left="1260" w:right="920"/>
        </w:sectPr>
      </w:pPr>
    </w:p>
    <w:p>
      <w:pPr>
        <w:pStyle w:val="BodyText"/>
        <w:rPr>
          <w:sz w:val="28"/>
        </w:rPr>
      </w:pPr>
    </w:p>
    <w:p>
      <w:pPr>
        <w:pStyle w:val="BodyText"/>
        <w:spacing w:line="429" w:lineRule="auto" w:before="72"/>
        <w:ind w:left="540" w:right="818"/>
      </w:pPr>
      <w:r>
        <w:rPr>
          <w:spacing w:val="-3"/>
          <w:w w:val="100"/>
        </w:rPr>
        <w:t>内部监控等要素。公司已经通过了</w:t>
      </w:r>
      <w:r>
        <w:rPr>
          <w:spacing w:val="-3"/>
        </w:rPr>
        <w:t> </w:t>
      </w:r>
      <w:r>
        <w:rPr>
          <w:rFonts w:ascii="Calibri" w:eastAsia="Calibri"/>
          <w:w w:val="100"/>
        </w:rPr>
        <w:t>I</w:t>
      </w:r>
      <w:r>
        <w:rPr>
          <w:rFonts w:ascii="Calibri" w:eastAsia="Calibri"/>
          <w:spacing w:val="-4"/>
          <w:w w:val="100"/>
        </w:rPr>
        <w:t>S</w:t>
      </w:r>
      <w:r>
        <w:rPr>
          <w:rFonts w:ascii="Calibri" w:eastAsia="Calibri"/>
          <w:w w:val="100"/>
        </w:rPr>
        <w:t>A</w:t>
      </w:r>
      <w:r>
        <w:rPr>
          <w:rFonts w:ascii="Calibri" w:eastAsia="Calibri"/>
          <w:spacing w:val="-3"/>
          <w:w w:val="100"/>
        </w:rPr>
        <w:t>E</w:t>
      </w:r>
      <w:r>
        <w:rPr>
          <w:rFonts w:ascii="Calibri" w:eastAsia="Calibri"/>
          <w:w w:val="100"/>
        </w:rPr>
        <w:t>3</w:t>
      </w:r>
      <w:r>
        <w:rPr>
          <w:rFonts w:ascii="Calibri" w:eastAsia="Calibri"/>
          <w:spacing w:val="-2"/>
          <w:w w:val="100"/>
        </w:rPr>
        <w:t>402</w:t>
      </w:r>
      <w:r>
        <w:rPr>
          <w:spacing w:val="-106"/>
          <w:w w:val="100"/>
        </w:rPr>
        <w:t>（</w:t>
      </w:r>
      <w:r>
        <w:rPr>
          <w:spacing w:val="-3"/>
          <w:w w:val="100"/>
        </w:rPr>
        <w:t>《鉴证业务国际准则第</w:t>
      </w:r>
      <w:r>
        <w:rPr>
          <w:spacing w:val="-3"/>
        </w:rPr>
        <w:t> </w:t>
      </w:r>
      <w:r>
        <w:rPr>
          <w:rFonts w:ascii="Calibri" w:eastAsia="Calibri"/>
          <w:spacing w:val="-2"/>
          <w:w w:val="100"/>
        </w:rPr>
        <w:t>34</w:t>
      </w:r>
      <w:r>
        <w:rPr>
          <w:rFonts w:ascii="Calibri" w:eastAsia="Calibri"/>
          <w:w w:val="100"/>
        </w:rPr>
        <w:t>02</w:t>
      </w:r>
      <w:r>
        <w:rPr>
          <w:rFonts w:ascii="Calibri" w:eastAsia="Calibri"/>
        </w:rPr>
        <w:t> </w:t>
      </w:r>
      <w:r>
        <w:rPr>
          <w:spacing w:val="-54"/>
          <w:w w:val="100"/>
        </w:rPr>
        <w:t>号》</w:t>
      </w:r>
      <w:r>
        <w:rPr>
          <w:spacing w:val="-3"/>
          <w:w w:val="100"/>
        </w:rPr>
        <w:t>）</w:t>
      </w:r>
      <w:r>
        <w:rPr>
          <w:spacing w:val="-2"/>
          <w:w w:val="100"/>
        </w:rPr>
        <w:t>认证，获得</w:t>
      </w:r>
      <w:r>
        <w:rPr>
          <w:spacing w:val="-3"/>
        </w:rPr>
        <w:t>无保留意见的控制设计合理性及运行有效性的报告。</w:t>
      </w:r>
    </w:p>
    <w:p>
      <w:pPr>
        <w:pStyle w:val="BodyText"/>
        <w:spacing w:before="4"/>
        <w:ind w:left="960"/>
      </w:pPr>
      <w:r>
        <w:rPr>
          <w:rFonts w:ascii="Calibri" w:eastAsia="Calibri"/>
        </w:rPr>
        <w:t>1</w:t>
      </w:r>
      <w:r>
        <w:rPr/>
        <w:t>、控制环境</w:t>
      </w:r>
    </w:p>
    <w:p>
      <w:pPr>
        <w:pStyle w:val="BodyText"/>
        <w:spacing w:before="8"/>
        <w:rPr>
          <w:sz w:val="16"/>
        </w:rPr>
      </w:pPr>
    </w:p>
    <w:p>
      <w:pPr>
        <w:pStyle w:val="BodyText"/>
        <w:spacing w:line="432" w:lineRule="auto"/>
        <w:ind w:left="540" w:right="884" w:firstLine="434"/>
      </w:pPr>
      <w:r>
        <w:rPr/>
        <w:t>良好的控制环境包括科学的公司治理、有效的监督管理、合理的组织结构和有力的控制文化。</w:t>
      </w:r>
    </w:p>
    <w:p>
      <w:pPr>
        <w:pStyle w:val="ListParagraph"/>
        <w:numPr>
          <w:ilvl w:val="0"/>
          <w:numId w:val="13"/>
        </w:numPr>
        <w:tabs>
          <w:tab w:pos="1504" w:val="left" w:leader="none"/>
        </w:tabs>
        <w:spacing w:line="432" w:lineRule="auto" w:before="0" w:after="0"/>
        <w:ind w:left="540" w:right="873" w:firstLine="434"/>
        <w:jc w:val="left"/>
        <w:rPr>
          <w:sz w:val="21"/>
        </w:rPr>
      </w:pPr>
      <w:r>
        <w:rPr>
          <w:spacing w:val="-6"/>
          <w:sz w:val="21"/>
        </w:rPr>
        <w:t>公司引入了独立董事制度，目前有独立董事 </w:t>
      </w:r>
      <w:r>
        <w:rPr>
          <w:rFonts w:ascii="Calibri" w:eastAsia="Calibri"/>
          <w:sz w:val="21"/>
        </w:rPr>
        <w:t>3</w:t>
      </w:r>
      <w:r>
        <w:rPr>
          <w:rFonts w:ascii="Calibri" w:eastAsia="Calibri"/>
          <w:spacing w:val="21"/>
          <w:sz w:val="21"/>
        </w:rPr>
        <w:t> </w:t>
      </w:r>
      <w:r>
        <w:rPr>
          <w:spacing w:val="-3"/>
          <w:sz w:val="21"/>
        </w:rPr>
        <w:t>名。董事会下设审计委员会等专门委员会。公司管理层设立了投资决策委员会、风险管理委员会等专业委员会。</w:t>
      </w:r>
    </w:p>
    <w:p>
      <w:pPr>
        <w:pStyle w:val="ListParagraph"/>
        <w:numPr>
          <w:ilvl w:val="0"/>
          <w:numId w:val="13"/>
        </w:numPr>
        <w:tabs>
          <w:tab w:pos="1507" w:val="left" w:leader="none"/>
        </w:tabs>
        <w:spacing w:line="432" w:lineRule="auto" w:before="0" w:after="0"/>
        <w:ind w:left="540" w:right="876" w:firstLine="434"/>
        <w:jc w:val="left"/>
        <w:rPr>
          <w:sz w:val="21"/>
        </w:rPr>
      </w:pPr>
      <w:r>
        <w:rPr>
          <w:spacing w:val="-5"/>
          <w:sz w:val="21"/>
        </w:rPr>
        <w:t>公司各部门之间有明确的授权分工，既互相合作，又互相核对和制衡，形成了合</w:t>
      </w:r>
      <w:r>
        <w:rPr>
          <w:spacing w:val="-4"/>
          <w:sz w:val="21"/>
        </w:rPr>
        <w:t>理的组织结构。</w:t>
      </w:r>
    </w:p>
    <w:p>
      <w:pPr>
        <w:pStyle w:val="ListParagraph"/>
        <w:numPr>
          <w:ilvl w:val="0"/>
          <w:numId w:val="13"/>
        </w:numPr>
        <w:tabs>
          <w:tab w:pos="1507" w:val="left" w:leader="none"/>
        </w:tabs>
        <w:spacing w:line="432" w:lineRule="auto" w:before="0" w:after="0"/>
        <w:ind w:left="540" w:right="87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974"/>
      </w:pPr>
      <w:r>
        <w:rPr>
          <w:rFonts w:ascii="Calibri" w:eastAsia="Calibri"/>
        </w:rPr>
        <w:t>2</w:t>
      </w:r>
      <w:r>
        <w:rPr/>
        <w:t>、风险评估</w:t>
      </w:r>
    </w:p>
    <w:p>
      <w:pPr>
        <w:pStyle w:val="BodyText"/>
        <w:spacing w:before="7"/>
        <w:rPr>
          <w:sz w:val="16"/>
        </w:rPr>
      </w:pPr>
    </w:p>
    <w:p>
      <w:pPr>
        <w:pStyle w:val="BodyText"/>
        <w:spacing w:line="432" w:lineRule="auto" w:before="1"/>
        <w:ind w:left="540" w:right="76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5" w:lineRule="exact"/>
        <w:ind w:left="974"/>
      </w:pPr>
      <w:r>
        <w:rPr>
          <w:rFonts w:ascii="Calibri" w:eastAsia="Calibri"/>
        </w:rPr>
        <w:t>3</w:t>
      </w:r>
      <w:r>
        <w:rPr/>
        <w:t>、控制活动</w:t>
      </w:r>
    </w:p>
    <w:p>
      <w:pPr>
        <w:pStyle w:val="BodyText"/>
        <w:spacing w:before="10"/>
        <w:rPr>
          <w:sz w:val="16"/>
        </w:rPr>
      </w:pPr>
    </w:p>
    <w:p>
      <w:pPr>
        <w:pStyle w:val="BodyText"/>
        <w:spacing w:line="432" w:lineRule="auto"/>
        <w:ind w:left="540" w:right="87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14"/>
        </w:numPr>
        <w:tabs>
          <w:tab w:pos="1504" w:val="left" w:leader="none"/>
        </w:tabs>
        <w:spacing w:line="267" w:lineRule="exact" w:before="0" w:after="0"/>
        <w:ind w:left="1503" w:right="0" w:hanging="530"/>
        <w:jc w:val="left"/>
        <w:rPr>
          <w:sz w:val="21"/>
        </w:rPr>
      </w:pPr>
      <w:r>
        <w:rPr>
          <w:spacing w:val="-3"/>
          <w:sz w:val="21"/>
        </w:rPr>
        <w:t>投资控制制度</w:t>
      </w:r>
    </w:p>
    <w:p>
      <w:pPr>
        <w:pStyle w:val="BodyText"/>
        <w:spacing w:before="8"/>
        <w:rPr>
          <w:sz w:val="16"/>
        </w:rPr>
      </w:pPr>
    </w:p>
    <w:p>
      <w:pPr>
        <w:pStyle w:val="BodyText"/>
        <w:spacing w:line="432" w:lineRule="auto" w:before="1"/>
        <w:ind w:left="540" w:right="66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429" w:lineRule="auto"/>
        <w:ind w:left="540" w:right="88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264" w:lineRule="exact"/>
        <w:ind w:left="974"/>
      </w:pPr>
      <w:r>
        <w:rPr/>
        <w:t>②投资授权控制。建立明确的投资决策授权制度，防止越权决策。投资决策委员会负</w:t>
      </w:r>
    </w:p>
    <w:p>
      <w:pPr>
        <w:spacing w:after="0" w:line="264" w:lineRule="exact"/>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jc w:val="both"/>
      </w:pP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540" w:right="88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540" w:right="87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40" w:right="88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14"/>
        </w:numPr>
        <w:tabs>
          <w:tab w:pos="1504" w:val="left" w:leader="none"/>
        </w:tabs>
        <w:spacing w:line="269" w:lineRule="exact" w:before="0" w:after="0"/>
        <w:ind w:left="1503" w:right="0" w:hanging="530"/>
        <w:jc w:val="left"/>
        <w:rPr>
          <w:sz w:val="21"/>
        </w:rPr>
      </w:pPr>
      <w:r>
        <w:rPr>
          <w:spacing w:val="-3"/>
          <w:sz w:val="21"/>
        </w:rPr>
        <w:t>会计控制制度</w:t>
      </w:r>
    </w:p>
    <w:p>
      <w:pPr>
        <w:pStyle w:val="BodyText"/>
        <w:spacing w:before="6"/>
        <w:rPr>
          <w:sz w:val="15"/>
        </w:rPr>
      </w:pPr>
    </w:p>
    <w:p>
      <w:pPr>
        <w:pStyle w:val="BodyText"/>
        <w:ind w:left="960"/>
      </w:pPr>
      <w:r>
        <w:rPr/>
        <w:t>①建立了基金会计的工作制度及相应的操作和控制规程，确保会计业务有章可循。</w:t>
      </w:r>
    </w:p>
    <w:p>
      <w:pPr>
        <w:pStyle w:val="BodyText"/>
        <w:spacing w:before="7"/>
        <w:rPr>
          <w:sz w:val="15"/>
        </w:rPr>
      </w:pPr>
    </w:p>
    <w:p>
      <w:pPr>
        <w:pStyle w:val="BodyText"/>
        <w:spacing w:line="417" w:lineRule="auto"/>
        <w:ind w:left="540" w:right="871" w:firstLine="419"/>
      </w:pPr>
      <w:r>
        <w:rPr>
          <w:spacing w:val="-12"/>
        </w:rPr>
        <w:t>②按照相互制约原则，建立了基金会计业务的复核制度以及与托管人相关业务的相互核</w:t>
      </w:r>
      <w:r>
        <w:rPr>
          <w:spacing w:val="-6"/>
        </w:rPr>
        <w:t>查监督制度。</w:t>
      </w:r>
    </w:p>
    <w:p>
      <w:pPr>
        <w:pStyle w:val="BodyText"/>
        <w:ind w:left="960"/>
      </w:pPr>
      <w:r>
        <w:rPr/>
        <w:t>③为了防范基金会计在资金头寸管理上出现透支风险，制定了资金头寸管理制度。</w:t>
      </w:r>
    </w:p>
    <w:p>
      <w:pPr>
        <w:pStyle w:val="BodyText"/>
        <w:spacing w:before="7"/>
        <w:rPr>
          <w:sz w:val="15"/>
        </w:rPr>
      </w:pPr>
    </w:p>
    <w:p>
      <w:pPr>
        <w:pStyle w:val="BodyText"/>
        <w:ind w:left="974"/>
      </w:pPr>
      <w:r>
        <w:rPr/>
        <w:t>④制定了完善的档案保管和财务交接制度。</w:t>
      </w:r>
    </w:p>
    <w:p>
      <w:pPr>
        <w:pStyle w:val="BodyText"/>
        <w:spacing w:before="6"/>
        <w:rPr>
          <w:sz w:val="15"/>
        </w:rPr>
      </w:pPr>
    </w:p>
    <w:p>
      <w:pPr>
        <w:pStyle w:val="ListParagraph"/>
        <w:numPr>
          <w:ilvl w:val="0"/>
          <w:numId w:val="14"/>
        </w:numPr>
        <w:tabs>
          <w:tab w:pos="1504" w:val="left" w:leader="none"/>
        </w:tabs>
        <w:spacing w:line="240" w:lineRule="auto" w:before="1" w:after="0"/>
        <w:ind w:left="1503" w:right="0" w:hanging="530"/>
        <w:jc w:val="left"/>
        <w:rPr>
          <w:sz w:val="21"/>
        </w:rPr>
      </w:pPr>
      <w:r>
        <w:rPr>
          <w:spacing w:val="-3"/>
          <w:sz w:val="21"/>
        </w:rPr>
        <w:t>技术系统控制制度</w:t>
      </w:r>
    </w:p>
    <w:p>
      <w:pPr>
        <w:pStyle w:val="BodyText"/>
        <w:spacing w:before="6"/>
        <w:rPr>
          <w:sz w:val="15"/>
        </w:rPr>
      </w:pPr>
    </w:p>
    <w:p>
      <w:pPr>
        <w:pStyle w:val="BodyText"/>
        <w:spacing w:line="417" w:lineRule="auto"/>
        <w:ind w:left="540" w:right="87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14"/>
        </w:numPr>
        <w:tabs>
          <w:tab w:pos="1504" w:val="left" w:leader="none"/>
        </w:tabs>
        <w:spacing w:line="269" w:lineRule="exact" w:before="0" w:after="0"/>
        <w:ind w:left="1503" w:right="0" w:hanging="530"/>
        <w:jc w:val="left"/>
        <w:rPr>
          <w:sz w:val="21"/>
        </w:rPr>
      </w:pPr>
      <w:r>
        <w:rPr>
          <w:spacing w:val="-3"/>
          <w:sz w:val="21"/>
        </w:rPr>
        <w:t>人力资源管理制度</w:t>
      </w:r>
    </w:p>
    <w:p>
      <w:pPr>
        <w:pStyle w:val="BodyText"/>
        <w:spacing w:before="12"/>
        <w:rPr>
          <w:sz w:val="16"/>
        </w:rPr>
      </w:pPr>
    </w:p>
    <w:p>
      <w:pPr>
        <w:pStyle w:val="BodyText"/>
        <w:spacing w:line="446" w:lineRule="auto"/>
        <w:ind w:left="540" w:right="884" w:firstLine="434"/>
      </w:pPr>
      <w:r>
        <w:rPr/>
        <w:t>公司建立了科学的招聘解聘制度、培训制度、考核制度、薪酬制度等人事管理制度， 确保人力资源的有效管理。</w:t>
      </w:r>
    </w:p>
    <w:p>
      <w:pPr>
        <w:pStyle w:val="ListParagraph"/>
        <w:numPr>
          <w:ilvl w:val="0"/>
          <w:numId w:val="14"/>
        </w:numPr>
        <w:tabs>
          <w:tab w:pos="1504" w:val="left" w:leader="none"/>
        </w:tabs>
        <w:spacing w:line="267" w:lineRule="exact" w:before="0" w:after="0"/>
        <w:ind w:left="1503" w:right="0" w:hanging="530"/>
        <w:jc w:val="left"/>
        <w:rPr>
          <w:sz w:val="21"/>
        </w:rPr>
      </w:pPr>
      <w:r>
        <w:rPr>
          <w:spacing w:val="-3"/>
          <w:sz w:val="21"/>
        </w:rPr>
        <w:t>监察制度</w:t>
      </w:r>
    </w:p>
    <w:p>
      <w:pPr>
        <w:pStyle w:val="BodyText"/>
        <w:spacing w:before="12"/>
        <w:rPr>
          <w:sz w:val="17"/>
        </w:rPr>
      </w:pPr>
    </w:p>
    <w:p>
      <w:pPr>
        <w:pStyle w:val="BodyText"/>
        <w:spacing w:line="446" w:lineRule="auto"/>
        <w:ind w:left="540" w:right="879" w:firstLine="434"/>
      </w:pPr>
      <w:r>
        <w:rPr/>
        <w:t>公司设立了监察部门，负责公司的法律事务和监察工作。监察制度包括违规行为的调查程序和处理制度，以及对员工行为的监察。</w:t>
      </w:r>
    </w:p>
    <w:p>
      <w:pPr>
        <w:pStyle w:val="ListParagraph"/>
        <w:numPr>
          <w:ilvl w:val="0"/>
          <w:numId w:val="14"/>
        </w:numPr>
        <w:tabs>
          <w:tab w:pos="1504" w:val="left" w:leader="none"/>
        </w:tabs>
        <w:spacing w:line="250" w:lineRule="exact" w:before="0" w:after="0"/>
        <w:ind w:left="1503" w:right="0" w:hanging="530"/>
        <w:jc w:val="left"/>
        <w:rPr>
          <w:sz w:val="21"/>
        </w:rPr>
      </w:pPr>
      <w:r>
        <w:rPr>
          <w:spacing w:val="-3"/>
          <w:sz w:val="21"/>
        </w:rPr>
        <w:t>反洗钱制度</w:t>
      </w:r>
    </w:p>
    <w:p>
      <w:pPr>
        <w:pStyle w:val="BodyText"/>
        <w:spacing w:before="7"/>
        <w:rPr>
          <w:sz w:val="15"/>
        </w:rPr>
      </w:pPr>
    </w:p>
    <w:p>
      <w:pPr>
        <w:pStyle w:val="BodyText"/>
        <w:spacing w:line="417" w:lineRule="auto"/>
        <w:ind w:left="540" w:right="871" w:firstLine="434"/>
      </w:pPr>
      <w:r>
        <w:rPr/>
        <w:t>公司设立了反洗钱工作小组作为反洗钱工作的专门机构，指定专门人员负责反洗钱和</w:t>
      </w:r>
      <w:r>
        <w:rPr>
          <w:spacing w:val="-9"/>
        </w:rPr>
        <w:t>反恐融资合规管理工作；各相关部门设立了反洗钱岗位，配备反洗钱负责人员。除建立健全</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pPr>
      <w:r>
        <w:rPr>
          <w:spacing w:val="-10"/>
        </w:rPr>
        <w:t>反洗钱组织体系外，公司还制定了《反洗钱工作内部控制制度》及相关业务操作规程，确保</w:t>
      </w:r>
      <w:r>
        <w:rPr>
          <w:spacing w:val="-5"/>
        </w:rPr>
        <w:t>依法切实履行金融机构反洗钱义务。</w:t>
      </w:r>
    </w:p>
    <w:p>
      <w:pPr>
        <w:pStyle w:val="BodyText"/>
        <w:spacing w:before="17"/>
        <w:ind w:left="974"/>
      </w:pPr>
      <w:r>
        <w:rPr>
          <w:rFonts w:ascii="Calibri" w:eastAsia="Calibri"/>
        </w:rPr>
        <w:t>4</w:t>
      </w:r>
      <w:r>
        <w:rPr/>
        <w:t>、信息沟通</w:t>
      </w:r>
    </w:p>
    <w:p>
      <w:pPr>
        <w:pStyle w:val="BodyText"/>
        <w:spacing w:before="12"/>
        <w:rPr>
          <w:sz w:val="17"/>
        </w:rPr>
      </w:pPr>
    </w:p>
    <w:p>
      <w:pPr>
        <w:pStyle w:val="BodyText"/>
        <w:spacing w:line="446" w:lineRule="auto"/>
        <w:ind w:left="540" w:right="89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5" w:lineRule="exact"/>
        <w:ind w:left="974"/>
      </w:pPr>
      <w:r>
        <w:rPr>
          <w:rFonts w:ascii="Calibri" w:eastAsia="Calibri"/>
        </w:rPr>
        <w:t>5</w:t>
      </w:r>
      <w:r>
        <w:rPr/>
        <w:t>、内部监控</w:t>
      </w:r>
    </w:p>
    <w:p>
      <w:pPr>
        <w:pStyle w:val="BodyText"/>
        <w:spacing w:before="12"/>
        <w:rPr>
          <w:sz w:val="17"/>
        </w:rPr>
      </w:pPr>
    </w:p>
    <w:p>
      <w:pPr>
        <w:pStyle w:val="BodyText"/>
        <w:spacing w:line="446" w:lineRule="auto"/>
        <w:ind w:left="540" w:right="87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960"/>
      </w:pPr>
      <w:r>
        <w:rPr>
          <w:rFonts w:ascii="Times New Roman" w:eastAsia="Times New Roman"/>
        </w:rPr>
        <w:t>6</w:t>
      </w:r>
      <w:r>
        <w:rPr/>
        <w:t>、基金管理人关于内部控制的声明</w:t>
      </w:r>
    </w:p>
    <w:p>
      <w:pPr>
        <w:pStyle w:val="BodyText"/>
        <w:rPr>
          <w:sz w:val="18"/>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本公司确知建立、实施和维持内部控制制度是本公司董事会及管理层的责任。</w:t>
      </w:r>
    </w:p>
    <w:p>
      <w:pPr>
        <w:pStyle w:val="BodyText"/>
        <w:rPr>
          <w:sz w:val="18"/>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上述关于内部控制的披露真实、准确。</w:t>
      </w:r>
    </w:p>
    <w:p>
      <w:pPr>
        <w:pStyle w:val="BodyText"/>
        <w:spacing w:before="12"/>
        <w:rPr>
          <w:sz w:val="17"/>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4"/>
        <w:rPr>
          <w:sz w:val="32"/>
        </w:rPr>
      </w:pPr>
    </w:p>
    <w:p>
      <w:pPr>
        <w:pStyle w:val="Heading1"/>
      </w:pPr>
      <w:bookmarkStart w:name="_bookmark6" w:id="7"/>
      <w:bookmarkEnd w:id="7"/>
      <w:r>
        <w:rPr>
          <w:b w:val="0"/>
        </w:rPr>
      </w:r>
      <w:r>
        <w:rPr/>
        <w:t>七、基金的募集</w:t>
      </w:r>
    </w:p>
    <w:p>
      <w:pPr>
        <w:pStyle w:val="BodyText"/>
        <w:rPr>
          <w:b/>
          <w:sz w:val="20"/>
        </w:rPr>
      </w:pPr>
    </w:p>
    <w:p>
      <w:pPr>
        <w:pStyle w:val="BodyText"/>
        <w:rPr>
          <w:b/>
          <w:sz w:val="20"/>
        </w:rPr>
      </w:pPr>
    </w:p>
    <w:p>
      <w:pPr>
        <w:pStyle w:val="BodyText"/>
        <w:spacing w:before="157"/>
        <w:ind w:left="960"/>
      </w:pPr>
      <w:r>
        <w:rPr/>
        <w:t>（一）募集情况</w:t>
      </w:r>
    </w:p>
    <w:p>
      <w:pPr>
        <w:pStyle w:val="BodyText"/>
        <w:spacing w:before="6"/>
        <w:rPr>
          <w:sz w:val="15"/>
        </w:rPr>
      </w:pPr>
    </w:p>
    <w:p>
      <w:pPr>
        <w:pStyle w:val="BodyText"/>
        <w:spacing w:line="417" w:lineRule="auto" w:before="1"/>
        <w:ind w:left="540" w:right="767" w:firstLine="419"/>
      </w:pPr>
      <w:r>
        <w:rPr>
          <w:spacing w:val="-27"/>
        </w:rPr>
        <w:t>本基金由基金管理人依照《基金法》、《运作办法》、《销售办法》、基金合同及其他有关</w:t>
      </w:r>
      <w:r>
        <w:rPr>
          <w:spacing w:val="-18"/>
        </w:rPr>
        <w:t>规定募集。本基金募集申请已经中国证监会 </w:t>
      </w:r>
      <w:r>
        <w:rPr>
          <w:rFonts w:ascii="Calibri" w:eastAsia="Calibri"/>
        </w:rPr>
        <w:t>2016 </w:t>
      </w:r>
      <w:r>
        <w:rPr>
          <w:spacing w:val="-32"/>
        </w:rPr>
        <w:t>年 </w:t>
      </w:r>
      <w:r>
        <w:rPr>
          <w:rFonts w:ascii="Calibri" w:eastAsia="Calibri"/>
        </w:rPr>
        <w:t>5 </w:t>
      </w:r>
      <w:r>
        <w:rPr>
          <w:spacing w:val="-31"/>
        </w:rPr>
        <w:t>月 </w:t>
      </w:r>
      <w:r>
        <w:rPr>
          <w:rFonts w:ascii="Calibri" w:eastAsia="Calibri"/>
        </w:rPr>
        <w:t>26 </w:t>
      </w:r>
      <w:r>
        <w:rPr>
          <w:spacing w:val="-3"/>
        </w:rPr>
        <w:t>日证监许可</w:t>
      </w:r>
      <w:r>
        <w:rPr>
          <w:rFonts w:ascii="Calibri" w:eastAsia="Calibri"/>
        </w:rPr>
        <w:t>[2016]1130 </w:t>
      </w:r>
      <w:r>
        <w:rPr>
          <w:spacing w:val="-3"/>
        </w:rPr>
        <w:t>号文注册。</w:t>
      </w:r>
    </w:p>
    <w:p>
      <w:pPr>
        <w:pStyle w:val="BodyText"/>
        <w:ind w:left="960"/>
      </w:pPr>
      <w:r>
        <w:rPr/>
        <w:t>本基金为契约型开放式基金，基金存续期间为不定期。</w:t>
      </w:r>
    </w:p>
    <w:p>
      <w:pPr>
        <w:pStyle w:val="BodyText"/>
        <w:spacing w:before="6"/>
        <w:rPr>
          <w:sz w:val="15"/>
        </w:rPr>
      </w:pPr>
    </w:p>
    <w:p>
      <w:pPr>
        <w:pStyle w:val="BodyText"/>
        <w:spacing w:line="417" w:lineRule="auto" w:before="1"/>
        <w:ind w:left="540" w:right="871" w:firstLine="419"/>
        <w:jc w:val="both"/>
      </w:pPr>
      <w:r>
        <w:rPr>
          <w:spacing w:val="-12"/>
        </w:rPr>
        <w:t>本基金 </w:t>
      </w:r>
      <w:r>
        <w:rPr>
          <w:rFonts w:ascii="Calibri" w:eastAsia="Calibri"/>
        </w:rPr>
        <w:t>A </w:t>
      </w:r>
      <w:r>
        <w:rPr>
          <w:spacing w:val="-4"/>
        </w:rPr>
        <w:t>类份额采用人民币和美元发售，</w:t>
      </w:r>
      <w:r>
        <w:rPr>
          <w:rFonts w:ascii="Calibri" w:eastAsia="Calibri"/>
          <w:spacing w:val="-17"/>
        </w:rPr>
        <w:t>C </w:t>
      </w:r>
      <w:r>
        <w:rPr>
          <w:spacing w:val="-6"/>
        </w:rPr>
        <w:t>类份额采用人民币发售。人民币发售价格为</w:t>
      </w:r>
      <w:r>
        <w:rPr>
          <w:spacing w:val="-9"/>
        </w:rPr>
        <w:t>基金份额初始面值 </w:t>
      </w:r>
      <w:r>
        <w:rPr>
          <w:rFonts w:ascii="Calibri" w:eastAsia="Calibri"/>
        </w:rPr>
        <w:t>1.00 </w:t>
      </w:r>
      <w:r>
        <w:rPr>
          <w:spacing w:val="-8"/>
        </w:rPr>
        <w:t>元；美元发售价格为 </w:t>
      </w:r>
      <w:r>
        <w:rPr>
          <w:rFonts w:ascii="Calibri" w:eastAsia="Calibri"/>
        </w:rPr>
        <w:t>1.00 </w:t>
      </w:r>
      <w:r>
        <w:rPr>
          <w:spacing w:val="-3"/>
        </w:rPr>
        <w:t>元除以募集期最后一日中国人民银行最新公布的人民币对美元汇率中间价，计算结果按照四舍五入方法，保留小数点后四位。</w:t>
      </w:r>
    </w:p>
    <w:p>
      <w:pPr>
        <w:pStyle w:val="BodyText"/>
        <w:spacing w:line="269" w:lineRule="exact"/>
        <w:ind w:left="960"/>
        <w:jc w:val="both"/>
      </w:pPr>
      <w:r>
        <w:rPr/>
        <w:t>本基金于 </w:t>
      </w:r>
      <w:r>
        <w:rPr>
          <w:rFonts w:ascii="Calibri" w:eastAsia="Calibri"/>
        </w:rPr>
        <w:t>2016 </w:t>
      </w:r>
      <w:r>
        <w:rPr/>
        <w:t>年 </w:t>
      </w:r>
      <w:r>
        <w:rPr>
          <w:rFonts w:ascii="Calibri" w:eastAsia="Calibri"/>
        </w:rPr>
        <w:t>7 </w:t>
      </w:r>
      <w:r>
        <w:rPr/>
        <w:t>月 </w:t>
      </w:r>
      <w:r>
        <w:rPr>
          <w:rFonts w:ascii="Calibri" w:eastAsia="Calibri"/>
        </w:rPr>
        <w:t>25 </w:t>
      </w:r>
      <w:r>
        <w:rPr/>
        <w:t>日进行发售。募集期间，本基金共募集 </w:t>
      </w:r>
      <w:r>
        <w:rPr>
          <w:rFonts w:ascii="Calibri" w:eastAsia="Calibri"/>
        </w:rPr>
        <w:t>1,933,143,644.32 </w:t>
      </w:r>
      <w:r>
        <w:rPr/>
        <w:t>份基</w:t>
      </w:r>
    </w:p>
    <w:p>
      <w:pPr>
        <w:pStyle w:val="BodyText"/>
        <w:spacing w:before="6"/>
        <w:rPr>
          <w:sz w:val="15"/>
        </w:rPr>
      </w:pPr>
    </w:p>
    <w:p>
      <w:pPr>
        <w:pStyle w:val="BodyText"/>
        <w:ind w:left="540"/>
      </w:pPr>
      <w:r>
        <w:rPr/>
        <w:t>金份额，有效认购户数为 </w:t>
      </w:r>
      <w:r>
        <w:rPr>
          <w:rFonts w:ascii="Calibri" w:eastAsia="Calibri"/>
        </w:rPr>
        <w:t>5,756 </w:t>
      </w:r>
      <w:r>
        <w:rPr/>
        <w:t>户。</w:t>
      </w:r>
    </w:p>
    <w:p>
      <w:pPr>
        <w:pStyle w:val="BodyText"/>
        <w:spacing w:before="7"/>
        <w:rPr>
          <w:sz w:val="15"/>
        </w:rPr>
      </w:pPr>
    </w:p>
    <w:p>
      <w:pPr>
        <w:pStyle w:val="BodyText"/>
        <w:spacing w:before="1"/>
        <w:ind w:left="960"/>
      </w:pPr>
      <w:r>
        <w:rPr/>
        <w:t>（二）基金的份额类别及销售币种</w:t>
      </w:r>
    </w:p>
    <w:p>
      <w:pPr>
        <w:pStyle w:val="BodyText"/>
        <w:spacing w:before="6"/>
        <w:rPr>
          <w:sz w:val="15"/>
        </w:rPr>
      </w:pPr>
    </w:p>
    <w:p>
      <w:pPr>
        <w:pStyle w:val="BodyText"/>
        <w:ind w:left="960"/>
      </w:pPr>
      <w:r>
        <w:rPr/>
        <w:t>本基金根据认购费、申购费、销售服务费收取方式的不同，将基金份额分为不同的类别。</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5"/>
      </w:pPr>
      <w:r>
        <w:rPr>
          <w:spacing w:val="-2"/>
        </w:rPr>
        <w:t>在投资者认购</w:t>
      </w:r>
      <w:r>
        <w:rPr>
          <w:rFonts w:ascii="Calibri" w:eastAsia="Calibri"/>
          <w:spacing w:val="-3"/>
        </w:rPr>
        <w:t>/</w:t>
      </w:r>
      <w:r>
        <w:rPr>
          <w:spacing w:val="-3"/>
        </w:rPr>
        <w:t>申购时收取前端认购</w:t>
      </w:r>
      <w:r>
        <w:rPr>
          <w:rFonts w:ascii="Calibri" w:eastAsia="Calibri"/>
          <w:spacing w:val="-3"/>
        </w:rPr>
        <w:t>/</w:t>
      </w:r>
      <w:r>
        <w:rPr>
          <w:spacing w:val="-4"/>
        </w:rPr>
        <w:t>申购费的，称为 </w:t>
      </w:r>
      <w:r>
        <w:rPr>
          <w:rFonts w:ascii="Calibri" w:eastAsia="Calibri"/>
        </w:rPr>
        <w:t>A </w:t>
      </w:r>
      <w:r>
        <w:rPr>
          <w:spacing w:val="-3"/>
        </w:rPr>
        <w:t>类；不收取前后端认购</w:t>
      </w:r>
      <w:r>
        <w:rPr>
          <w:rFonts w:ascii="Calibri" w:eastAsia="Calibri"/>
        </w:rPr>
        <w:t>/</w:t>
      </w:r>
      <w:r>
        <w:rPr>
          <w:spacing w:val="-3"/>
        </w:rPr>
        <w:t>申购费，而</w:t>
      </w:r>
      <w:r>
        <w:rPr>
          <w:spacing w:val="-5"/>
        </w:rPr>
        <w:t>从本类别基金资产中计提销售服务费的，称为 </w:t>
      </w:r>
      <w:r>
        <w:rPr>
          <w:rFonts w:ascii="Calibri" w:eastAsia="Calibri"/>
        </w:rPr>
        <w:t>C </w:t>
      </w:r>
      <w:r>
        <w:rPr>
          <w:spacing w:val="-3"/>
        </w:rPr>
        <w:t>类。在相应份额类别内，根据认购、申购、</w:t>
      </w:r>
      <w:r>
        <w:rPr>
          <w:spacing w:val="-18"/>
        </w:rPr>
        <w:t>赎回计价币种的不同，分为人民币销售和美元销售。本基金 </w:t>
      </w:r>
      <w:r>
        <w:rPr>
          <w:rFonts w:ascii="Calibri" w:eastAsia="Calibri"/>
        </w:rPr>
        <w:t>C </w:t>
      </w:r>
      <w:r>
        <w:rPr>
          <w:spacing w:val="-3"/>
        </w:rPr>
        <w:t>类份额目前暂不开通美元销售， </w:t>
      </w:r>
      <w:r>
        <w:rPr>
          <w:spacing w:val="8"/>
        </w:rPr>
        <w:t>将来若开通</w:t>
      </w:r>
      <w:r>
        <w:rPr>
          <w:rFonts w:ascii="Calibri" w:eastAsia="Calibri"/>
        </w:rPr>
        <w:t>C </w:t>
      </w:r>
      <w:r>
        <w:rPr>
          <w:spacing w:val="-3"/>
        </w:rPr>
        <w:t>类份额的美元销售，基金管理人将另行公告。</w:t>
      </w:r>
    </w:p>
    <w:p>
      <w:pPr>
        <w:pStyle w:val="BodyText"/>
        <w:spacing w:line="417" w:lineRule="auto"/>
        <w:ind w:left="540" w:right="871" w:firstLine="419"/>
      </w:pPr>
      <w:r>
        <w:rPr>
          <w:spacing w:val="-8"/>
        </w:rPr>
        <w:t>各份额类别及销售币种分别设置代码和简称。美元销售可以使用现钞账户或现汇账户进</w:t>
      </w:r>
      <w:r>
        <w:rPr>
          <w:spacing w:val="-5"/>
        </w:rPr>
        <w:t>行，为了以示区别将采用不同的代码和简称。</w:t>
      </w:r>
    </w:p>
    <w:p>
      <w:pPr>
        <w:pStyle w:val="BodyText"/>
        <w:spacing w:line="417" w:lineRule="auto"/>
        <w:ind w:left="540" w:right="871" w:firstLine="419"/>
        <w:jc w:val="both"/>
      </w:pPr>
      <w:r>
        <w:rPr>
          <w:spacing w:val="-11"/>
        </w:rPr>
        <w:t>根据基金销售情况，基金管理人可在不违反法律法规、对已有基金份额持有人利益无实</w:t>
      </w:r>
      <w:r>
        <w:rPr>
          <w:spacing w:val="-12"/>
        </w:rPr>
        <w:t>质性不利影响的前提下，经与基金托管人协商，增加新的基金份额类别、或者停止现有基金份额类别的销售、或者增加新的销售币种、或者调整现有基金销售币种设置、或者停止现有币种的销售等，不需召开基金份额持有人大会，调整前基金管理人需及时公告并报中国证监</w:t>
      </w:r>
      <w:r>
        <w:rPr>
          <w:spacing w:val="-7"/>
        </w:rPr>
        <w:t>会备案。</w:t>
      </w:r>
    </w:p>
    <w:p>
      <w:pPr>
        <w:pStyle w:val="BodyText"/>
        <w:rPr>
          <w:sz w:val="20"/>
        </w:rPr>
      </w:pPr>
    </w:p>
    <w:p>
      <w:pPr>
        <w:pStyle w:val="BodyText"/>
        <w:rPr>
          <w:sz w:val="16"/>
        </w:rPr>
      </w:pPr>
    </w:p>
    <w:p>
      <w:pPr>
        <w:pStyle w:val="Heading1"/>
      </w:pPr>
      <w:bookmarkStart w:name="_bookmark7" w:id="8"/>
      <w:bookmarkEnd w:id="8"/>
      <w:r>
        <w:rPr>
          <w:b w:val="0"/>
        </w:rPr>
      </w:r>
      <w:r>
        <w:rPr>
          <w:sz w:val="24"/>
        </w:rPr>
        <w:t>八</w:t>
      </w:r>
      <w:r>
        <w:rPr/>
        <w:t>、基金合同的生效</w:t>
      </w:r>
    </w:p>
    <w:p>
      <w:pPr>
        <w:pStyle w:val="BodyText"/>
        <w:rPr>
          <w:b/>
          <w:sz w:val="24"/>
        </w:rPr>
      </w:pPr>
    </w:p>
    <w:p>
      <w:pPr>
        <w:pStyle w:val="BodyText"/>
        <w:spacing w:before="11"/>
        <w:rPr>
          <w:b/>
          <w:sz w:val="26"/>
        </w:rPr>
      </w:pPr>
    </w:p>
    <w:p>
      <w:pPr>
        <w:pStyle w:val="BodyText"/>
        <w:spacing w:line="417" w:lineRule="auto"/>
        <w:ind w:left="540" w:right="874" w:firstLine="419"/>
        <w:jc w:val="both"/>
      </w:pPr>
      <w:r>
        <w:rPr>
          <w:spacing w:val="-16"/>
        </w:rPr>
        <w:t>根据有关规定，本基金满足基金合同生效条件，基金合同于</w:t>
      </w:r>
      <w:r>
        <w:rPr>
          <w:rFonts w:ascii="Calibri" w:eastAsia="Calibri"/>
        </w:rPr>
        <w:t>2016 </w:t>
      </w:r>
      <w:r>
        <w:rPr>
          <w:spacing w:val="33"/>
        </w:rPr>
        <w:t>年</w:t>
      </w:r>
      <w:r>
        <w:rPr>
          <w:rFonts w:ascii="Calibri" w:eastAsia="Calibri"/>
        </w:rPr>
        <w:t>7 </w:t>
      </w:r>
      <w:r>
        <w:rPr>
          <w:spacing w:val="33"/>
        </w:rPr>
        <w:t>月</w:t>
      </w:r>
      <w:r>
        <w:rPr>
          <w:rFonts w:ascii="Calibri" w:eastAsia="Calibri"/>
        </w:rPr>
        <w:t>27 </w:t>
      </w:r>
      <w:r>
        <w:rPr>
          <w:spacing w:val="-3"/>
        </w:rPr>
        <w:t>日正式生效。自基金合同生效日起，本基金管理人正式开始管理本基金。</w:t>
      </w:r>
    </w:p>
    <w:p>
      <w:pPr>
        <w:pStyle w:val="BodyText"/>
        <w:spacing w:line="269" w:lineRule="exact"/>
        <w:ind w:left="960"/>
        <w:jc w:val="both"/>
      </w:pPr>
      <w:r>
        <w:rPr/>
        <w:t>《基金合同》生效后，连续 </w:t>
      </w:r>
      <w:r>
        <w:rPr>
          <w:rFonts w:ascii="Calibri" w:eastAsia="Calibri"/>
        </w:rPr>
        <w:t>20 </w:t>
      </w:r>
      <w:r>
        <w:rPr/>
        <w:t>个工作日出现基金份额持有人数量不满 </w:t>
      </w:r>
      <w:r>
        <w:rPr>
          <w:rFonts w:ascii="Calibri" w:eastAsia="Calibri"/>
        </w:rPr>
        <w:t>200 </w:t>
      </w:r>
      <w:r>
        <w:rPr/>
        <w:t>人或者基金</w:t>
      </w:r>
    </w:p>
    <w:p>
      <w:pPr>
        <w:pStyle w:val="BodyText"/>
        <w:spacing w:before="6"/>
        <w:rPr>
          <w:sz w:val="15"/>
        </w:rPr>
      </w:pPr>
    </w:p>
    <w:p>
      <w:pPr>
        <w:pStyle w:val="BodyText"/>
        <w:spacing w:line="417" w:lineRule="auto" w:before="1"/>
        <w:ind w:left="540" w:right="871"/>
        <w:jc w:val="both"/>
      </w:pPr>
      <w:r>
        <w:rPr>
          <w:spacing w:val="-9"/>
        </w:rPr>
        <w:t>资产净值低于 </w:t>
      </w:r>
      <w:r>
        <w:rPr>
          <w:rFonts w:ascii="Calibri" w:eastAsia="Calibri"/>
        </w:rPr>
        <w:t>5000 </w:t>
      </w:r>
      <w:r>
        <w:rPr>
          <w:spacing w:val="-13"/>
        </w:rPr>
        <w:t>万元情形的，基金管理人应当在定期报告中予以披露；连续 </w:t>
      </w:r>
      <w:r>
        <w:rPr>
          <w:rFonts w:ascii="Calibri" w:eastAsia="Calibri"/>
        </w:rPr>
        <w:t>60 </w:t>
      </w:r>
      <w:r>
        <w:rPr>
          <w:spacing w:val="-2"/>
        </w:rPr>
        <w:t>个工作日</w:t>
      </w:r>
      <w:r>
        <w:rPr>
          <w:spacing w:val="-9"/>
        </w:rPr>
        <w:t>出现前述情形的，基金管理人应当向中国证监会报告并提出解决方案，如转换运作方式、与</w:t>
      </w:r>
      <w:r>
        <w:rPr>
          <w:spacing w:val="-5"/>
        </w:rPr>
        <w:t>其他基金合并或者终止基金合同等，并召开基金份额持有人大会进行表决。</w:t>
      </w:r>
    </w:p>
    <w:p>
      <w:pPr>
        <w:pStyle w:val="BodyText"/>
        <w:spacing w:line="269" w:lineRule="exact"/>
        <w:ind w:left="960"/>
      </w:pPr>
      <w:r>
        <w:rPr/>
        <w:t>法律法规另有规定时，从其规定。</w:t>
      </w:r>
    </w:p>
    <w:p>
      <w:pPr>
        <w:pStyle w:val="BodyText"/>
        <w:rPr>
          <w:sz w:val="20"/>
        </w:rPr>
      </w:pPr>
    </w:p>
    <w:p>
      <w:pPr>
        <w:pStyle w:val="BodyText"/>
        <w:spacing w:before="2"/>
        <w:rPr>
          <w:sz w:val="22"/>
        </w:rPr>
      </w:pPr>
    </w:p>
    <w:p>
      <w:pPr>
        <w:pStyle w:val="Heading1"/>
        <w:ind w:left="408"/>
      </w:pPr>
      <w:bookmarkStart w:name="_bookmark8" w:id="9"/>
      <w:bookmarkEnd w:id="9"/>
      <w:r>
        <w:rPr>
          <w:b w:val="0"/>
        </w:rPr>
      </w:r>
      <w:r>
        <w:rPr/>
        <w:t>九、基金份额的申购与赎回</w:t>
      </w:r>
    </w:p>
    <w:p>
      <w:pPr>
        <w:pStyle w:val="BodyText"/>
        <w:rPr>
          <w:b/>
          <w:sz w:val="20"/>
        </w:rPr>
      </w:pPr>
    </w:p>
    <w:p>
      <w:pPr>
        <w:pStyle w:val="BodyText"/>
        <w:spacing w:before="2"/>
        <w:rPr>
          <w:b/>
        </w:rPr>
      </w:pPr>
    </w:p>
    <w:p>
      <w:pPr>
        <w:pStyle w:val="BodyText"/>
        <w:ind w:left="960"/>
      </w:pPr>
      <w:r>
        <w:rPr/>
        <w:t>（一）申购和赎回场所</w:t>
      </w:r>
    </w:p>
    <w:p>
      <w:pPr>
        <w:pStyle w:val="BodyText"/>
        <w:spacing w:before="7"/>
        <w:rPr>
          <w:sz w:val="15"/>
        </w:rPr>
      </w:pPr>
    </w:p>
    <w:p>
      <w:pPr>
        <w:pStyle w:val="BodyText"/>
        <w:spacing w:line="417" w:lineRule="auto"/>
        <w:ind w:left="540" w:right="871" w:firstLine="419"/>
        <w:jc w:val="both"/>
      </w:pPr>
      <w:r>
        <w:rPr>
          <w:spacing w:val="-8"/>
        </w:rPr>
        <w:t>本基金的申购与赎回将通过销售机构进行。具体的销售网点将由基金管理人在招募说明</w:t>
      </w:r>
      <w:r>
        <w:rPr>
          <w:spacing w:val="-11"/>
        </w:rPr>
        <w:t>书或基金管理人官网中列明。基金管理人可根据情况变更或增减销售机构。基金投资者应当在销售机构办理基金销售业务的营业场所或按销售机构提供的其他方式办理基金份额的申</w:t>
      </w:r>
      <w:r>
        <w:rPr>
          <w:spacing w:val="-6"/>
        </w:rPr>
        <w:t>购与赎回。</w:t>
      </w:r>
    </w:p>
    <w:p>
      <w:pPr>
        <w:pStyle w:val="BodyText"/>
        <w:spacing w:line="269" w:lineRule="exact"/>
        <w:ind w:left="960"/>
      </w:pPr>
      <w:r>
        <w:rPr>
          <w:rFonts w:ascii="Calibri" w:eastAsia="Calibri"/>
        </w:rPr>
        <w:t>1</w:t>
      </w:r>
      <w:r>
        <w:rPr/>
        <w:t>、直销机构</w:t>
      </w:r>
    </w:p>
    <w:p>
      <w:pPr>
        <w:spacing w:after="0" w:line="269" w:lineRule="exact"/>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6"/>
        </w:numPr>
        <w:tabs>
          <w:tab w:pos="1490" w:val="left" w:leader="none"/>
        </w:tabs>
        <w:spacing w:line="269" w:lineRule="exact" w:before="0" w:after="0"/>
        <w:ind w:left="1489" w:right="0" w:hanging="530"/>
        <w:jc w:val="left"/>
        <w:rPr>
          <w:sz w:val="21"/>
        </w:rPr>
      </w:pPr>
      <w:r>
        <w:rPr>
          <w:spacing w:val="-3"/>
          <w:sz w:val="21"/>
        </w:rPr>
        <w:t>北京分公司</w:t>
      </w:r>
    </w:p>
    <w:p>
      <w:pPr>
        <w:pStyle w:val="BodyText"/>
        <w:spacing w:before="7"/>
        <w:rPr>
          <w:sz w:val="15"/>
        </w:rPr>
      </w:pPr>
    </w:p>
    <w:p>
      <w:pPr>
        <w:pStyle w:val="BodyText"/>
        <w:spacing w:line="417" w:lineRule="auto"/>
        <w:ind w:left="960" w:right="2751"/>
        <w:rPr>
          <w:rFonts w:ascii="Calibri" w:eastAsia="Calibri"/>
        </w:rPr>
      </w:pPr>
      <w:r>
        <w:rPr>
          <w:spacing w:val="-7"/>
        </w:rPr>
        <w:t>地址：北京市西城区金融大街 </w:t>
      </w:r>
      <w:r>
        <w:rPr>
          <w:rFonts w:ascii="Calibri" w:eastAsia="Calibri"/>
        </w:rPr>
        <w:t>33</w:t>
      </w:r>
      <w:r>
        <w:rPr>
          <w:rFonts w:ascii="Calibri" w:eastAsia="Calibri"/>
          <w:spacing w:val="10"/>
        </w:rPr>
        <w:t> </w:t>
      </w:r>
      <w:r>
        <w:rPr>
          <w:spacing w:val="7"/>
        </w:rPr>
        <w:t>号通泰大厦</w:t>
      </w:r>
      <w:r>
        <w:rPr>
          <w:rFonts w:ascii="Calibri" w:eastAsia="Calibri"/>
        </w:rPr>
        <w:t>B</w:t>
      </w:r>
      <w:r>
        <w:rPr>
          <w:rFonts w:ascii="Calibri" w:eastAsia="Calibri"/>
          <w:spacing w:val="9"/>
        </w:rPr>
        <w:t> </w:t>
      </w:r>
      <w:r>
        <w:rPr>
          <w:spacing w:val="-26"/>
        </w:rPr>
        <w:t>座 </w:t>
      </w:r>
      <w:r>
        <w:rPr>
          <w:rFonts w:ascii="Calibri" w:eastAsia="Calibri"/>
        </w:rPr>
        <w:t>1</w:t>
      </w:r>
      <w:r>
        <w:rPr>
          <w:rFonts w:ascii="Calibri" w:eastAsia="Calibri"/>
          <w:spacing w:val="7"/>
        </w:rPr>
        <w:t> </w:t>
      </w:r>
      <w:r>
        <w:rPr/>
        <w:t>层（</w:t>
      </w:r>
      <w:r>
        <w:rPr>
          <w:rFonts w:ascii="Calibri" w:eastAsia="Calibri"/>
        </w:rPr>
        <w:t>100033</w:t>
      </w:r>
      <w:r>
        <w:rPr/>
        <w:t>） 电话：</w:t>
      </w:r>
      <w:r>
        <w:rPr>
          <w:rFonts w:ascii="Calibri" w:eastAsia="Calibri"/>
        </w:rPr>
        <w:t>010-88087226</w:t>
      </w:r>
    </w:p>
    <w:p>
      <w:pPr>
        <w:pStyle w:val="BodyText"/>
        <w:spacing w:line="269" w:lineRule="exact"/>
        <w:ind w:left="960"/>
        <w:rPr>
          <w:rFonts w:ascii="Calibri" w:eastAsia="Calibri"/>
        </w:rPr>
      </w:pPr>
      <w:r>
        <w:rPr>
          <w:spacing w:val="-2"/>
        </w:rPr>
        <w:t>传真：</w:t>
      </w:r>
      <w:r>
        <w:rPr>
          <w:rFonts w:ascii="Calibri" w:eastAsia="Calibri"/>
          <w:spacing w:val="-1"/>
        </w:rPr>
        <w:t>010-88066028</w:t>
      </w:r>
    </w:p>
    <w:p>
      <w:pPr>
        <w:pStyle w:val="BodyText"/>
        <w:spacing w:before="4"/>
        <w:rPr>
          <w:rFonts w:ascii="Calibri"/>
          <w:sz w:val="16"/>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960" w:right="2964"/>
        <w:rPr>
          <w:rFonts w:ascii="Calibri" w:eastAsia="Calibri"/>
        </w:rPr>
      </w:pPr>
      <w:r>
        <w:rPr>
          <w:spacing w:val="-7"/>
        </w:rPr>
        <w:t>地址：北京市东城区东中街 </w:t>
      </w:r>
      <w:r>
        <w:rPr>
          <w:rFonts w:ascii="Calibri" w:eastAsia="Calibri"/>
        </w:rPr>
        <w:t>29</w:t>
      </w:r>
      <w:r>
        <w:rPr>
          <w:rFonts w:ascii="Calibri" w:eastAsia="Calibri"/>
          <w:spacing w:val="8"/>
        </w:rPr>
        <w:t> </w:t>
      </w:r>
      <w:r>
        <w:rPr>
          <w:spacing w:val="-11"/>
        </w:rPr>
        <w:t>号东环广场 </w:t>
      </w:r>
      <w:r>
        <w:rPr>
          <w:rFonts w:ascii="Calibri" w:eastAsia="Calibri"/>
        </w:rPr>
        <w:t>B</w:t>
      </w:r>
      <w:r>
        <w:rPr>
          <w:rFonts w:ascii="Calibri" w:eastAsia="Calibri"/>
          <w:spacing w:val="9"/>
        </w:rPr>
        <w:t> </w:t>
      </w:r>
      <w:r>
        <w:rPr>
          <w:spacing w:val="-3"/>
        </w:rPr>
        <w:t>座一层</w:t>
      </w:r>
      <w:r>
        <w:rPr/>
        <w:t>（</w:t>
      </w:r>
      <w:r>
        <w:rPr>
          <w:rFonts w:ascii="Calibri" w:eastAsia="Calibri"/>
        </w:rPr>
        <w:t>100027</w:t>
      </w:r>
      <w:r>
        <w:rPr/>
        <w:t>） 电话：</w:t>
      </w:r>
      <w:r>
        <w:rPr>
          <w:rFonts w:ascii="Calibri" w:eastAsia="Calibri"/>
        </w:rPr>
        <w:t>010-64185183</w:t>
      </w:r>
    </w:p>
    <w:p>
      <w:pPr>
        <w:pStyle w:val="BodyText"/>
        <w:spacing w:line="269" w:lineRule="exact"/>
        <w:ind w:left="960"/>
        <w:rPr>
          <w:rFonts w:ascii="Calibri" w:eastAsia="Calibri"/>
        </w:rPr>
      </w:pPr>
      <w:r>
        <w:rPr>
          <w:spacing w:val="-2"/>
        </w:rPr>
        <w:t>传真：</w:t>
      </w:r>
      <w:r>
        <w:rPr>
          <w:rFonts w:ascii="Calibri" w:eastAsia="Calibri"/>
          <w:spacing w:val="-1"/>
        </w:rPr>
        <w:t>010-64185180</w:t>
      </w:r>
    </w:p>
    <w:p>
      <w:pPr>
        <w:pStyle w:val="BodyText"/>
        <w:spacing w:before="4"/>
        <w:rPr>
          <w:rFonts w:ascii="Calibri"/>
          <w:sz w:val="16"/>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北京科学院南路投资理财中心</w:t>
      </w:r>
    </w:p>
    <w:p>
      <w:pPr>
        <w:pStyle w:val="BodyText"/>
        <w:spacing w:before="6"/>
        <w:rPr>
          <w:sz w:val="15"/>
        </w:rPr>
      </w:pPr>
    </w:p>
    <w:p>
      <w:pPr>
        <w:pStyle w:val="BodyText"/>
        <w:spacing w:line="417" w:lineRule="auto"/>
        <w:ind w:left="960" w:right="1082"/>
        <w:rPr>
          <w:rFonts w:ascii="Calibri" w:eastAsia="Calibri"/>
        </w:rPr>
      </w:pPr>
      <w:r>
        <w:rPr>
          <w:spacing w:val="-3"/>
          <w:w w:val="100"/>
        </w:rPr>
        <w:t>地址：北京市海淀区中关村科学院南路</w:t>
      </w:r>
      <w:r>
        <w:rPr>
          <w:spacing w:val="-55"/>
        </w:rPr>
        <w:t> </w:t>
      </w:r>
      <w:r>
        <w:rPr>
          <w:rFonts w:ascii="Calibri" w:eastAsia="Calibri"/>
          <w:w w:val="100"/>
        </w:rPr>
        <w:t>9</w:t>
      </w:r>
      <w:r>
        <w:rPr>
          <w:rFonts w:ascii="Calibri" w:eastAsia="Calibri"/>
          <w:spacing w:val="6"/>
        </w:rPr>
        <w:t> </w:t>
      </w:r>
      <w:r>
        <w:rPr>
          <w:spacing w:val="-3"/>
          <w:w w:val="100"/>
        </w:rPr>
        <w:t>号</w:t>
      </w:r>
      <w:r>
        <w:rPr>
          <w:w w:val="100"/>
        </w:rPr>
        <w:t>（</w:t>
      </w:r>
      <w:r>
        <w:rPr>
          <w:spacing w:val="-3"/>
          <w:w w:val="100"/>
        </w:rPr>
        <w:t>新科祥园小区大门口一层</w:t>
      </w:r>
      <w:r>
        <w:rPr>
          <w:spacing w:val="-106"/>
          <w:w w:val="100"/>
        </w:rPr>
        <w:t>）</w:t>
      </w:r>
      <w:r>
        <w:rPr>
          <w:spacing w:val="-2"/>
          <w:w w:val="100"/>
        </w:rPr>
        <w:t>（</w:t>
      </w:r>
      <w:r>
        <w:rPr>
          <w:rFonts w:ascii="Calibri" w:eastAsia="Calibri"/>
          <w:w w:val="100"/>
        </w:rPr>
        <w:t>1</w:t>
      </w:r>
      <w:r>
        <w:rPr>
          <w:rFonts w:ascii="Calibri" w:eastAsia="Calibri"/>
          <w:spacing w:val="-2"/>
          <w:w w:val="100"/>
        </w:rPr>
        <w:t>0</w:t>
      </w:r>
      <w:r>
        <w:rPr>
          <w:rFonts w:ascii="Calibri" w:eastAsia="Calibri"/>
          <w:w w:val="100"/>
        </w:rPr>
        <w:t>0</w:t>
      </w:r>
      <w:r>
        <w:rPr>
          <w:rFonts w:ascii="Calibri" w:eastAsia="Calibri"/>
          <w:spacing w:val="-2"/>
          <w:w w:val="100"/>
        </w:rPr>
        <w:t>19</w:t>
      </w:r>
      <w:r>
        <w:rPr>
          <w:rFonts w:ascii="Calibri" w:eastAsia="Calibri"/>
          <w:spacing w:val="1"/>
          <w:w w:val="100"/>
        </w:rPr>
        <w:t>0</w:t>
      </w:r>
      <w:r>
        <w:rPr>
          <w:w w:val="100"/>
        </w:rPr>
        <w:t>）</w:t>
      </w:r>
      <w:r>
        <w:rPr/>
        <w:t>电话：</w:t>
      </w:r>
      <w:r>
        <w:rPr>
          <w:rFonts w:ascii="Calibri" w:eastAsia="Calibri"/>
        </w:rPr>
        <w:t>010-82523198</w:t>
      </w:r>
    </w:p>
    <w:p>
      <w:pPr>
        <w:pStyle w:val="BodyText"/>
        <w:spacing w:line="269" w:lineRule="exact"/>
        <w:ind w:left="960"/>
        <w:rPr>
          <w:rFonts w:ascii="Calibri" w:eastAsia="Calibri"/>
        </w:rPr>
      </w:pPr>
      <w:r>
        <w:rPr>
          <w:spacing w:val="-2"/>
        </w:rPr>
        <w:t>传真：</w:t>
      </w:r>
      <w:r>
        <w:rPr>
          <w:rFonts w:ascii="Calibri" w:eastAsia="Calibri"/>
          <w:spacing w:val="-1"/>
        </w:rPr>
        <w:t>010-82523196</w:t>
      </w:r>
    </w:p>
    <w:p>
      <w:pPr>
        <w:pStyle w:val="BodyText"/>
        <w:spacing w:before="4"/>
        <w:rPr>
          <w:rFonts w:ascii="Calibri"/>
          <w:sz w:val="16"/>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960" w:right="1281"/>
        <w:rPr>
          <w:rFonts w:ascii="Calibri" w:eastAsia="Calibri"/>
        </w:rPr>
      </w:pPr>
      <w:r>
        <w:rPr>
          <w:spacing w:val="-7"/>
        </w:rPr>
        <w:t>地址：北京市朝阳区八里庄西里 </w:t>
      </w:r>
      <w:r>
        <w:rPr>
          <w:rFonts w:ascii="Calibri" w:eastAsia="Calibri"/>
        </w:rPr>
        <w:t>100</w:t>
      </w:r>
      <w:r>
        <w:rPr>
          <w:rFonts w:ascii="Calibri" w:eastAsia="Calibri"/>
          <w:spacing w:val="10"/>
        </w:rPr>
        <w:t> </w:t>
      </w:r>
      <w:r>
        <w:rPr>
          <w:spacing w:val="-15"/>
        </w:rPr>
        <w:t>号住邦 </w:t>
      </w:r>
      <w:r>
        <w:rPr>
          <w:rFonts w:ascii="Calibri" w:eastAsia="Calibri"/>
        </w:rPr>
        <w:t>2000</w:t>
      </w:r>
      <w:r>
        <w:rPr>
          <w:rFonts w:ascii="Calibri" w:eastAsia="Calibri"/>
          <w:spacing w:val="10"/>
        </w:rPr>
        <w:t> </w:t>
      </w:r>
      <w:r>
        <w:rPr>
          <w:spacing w:val="-13"/>
        </w:rPr>
        <w:t>商务中心 </w:t>
      </w:r>
      <w:r>
        <w:rPr>
          <w:rFonts w:ascii="Calibri" w:eastAsia="Calibri"/>
        </w:rPr>
        <w:t>1</w:t>
      </w:r>
      <w:r>
        <w:rPr>
          <w:rFonts w:ascii="Calibri" w:eastAsia="Calibri"/>
          <w:spacing w:val="7"/>
        </w:rPr>
        <w:t> </w:t>
      </w:r>
      <w:r>
        <w:rPr>
          <w:spacing w:val="-3"/>
        </w:rPr>
        <w:t>号楼一层</w:t>
      </w:r>
      <w:r>
        <w:rPr/>
        <w:t>（</w:t>
      </w:r>
      <w:r>
        <w:rPr>
          <w:rFonts w:ascii="Calibri" w:eastAsia="Calibri"/>
        </w:rPr>
        <w:t>100025</w:t>
      </w:r>
      <w:r>
        <w:rPr/>
        <w:t>） 电话：</w:t>
      </w:r>
      <w:r>
        <w:rPr>
          <w:rFonts w:ascii="Calibri" w:eastAsia="Calibri"/>
        </w:rPr>
        <w:t>010-85869755</w:t>
      </w:r>
    </w:p>
    <w:p>
      <w:pPr>
        <w:pStyle w:val="BodyText"/>
        <w:spacing w:line="269" w:lineRule="exact"/>
        <w:ind w:left="960"/>
        <w:rPr>
          <w:rFonts w:ascii="Calibri" w:eastAsia="Calibri"/>
        </w:rPr>
      </w:pPr>
      <w:r>
        <w:rPr>
          <w:spacing w:val="-2"/>
        </w:rPr>
        <w:t>传真：</w:t>
      </w:r>
      <w:r>
        <w:rPr>
          <w:rFonts w:ascii="Calibri" w:eastAsia="Calibri"/>
          <w:spacing w:val="-1"/>
        </w:rPr>
        <w:t>010-85869575</w:t>
      </w:r>
    </w:p>
    <w:p>
      <w:pPr>
        <w:pStyle w:val="BodyText"/>
        <w:spacing w:before="4"/>
        <w:rPr>
          <w:rFonts w:ascii="Calibri"/>
          <w:sz w:val="16"/>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6"/>
        <w:rPr>
          <w:sz w:val="15"/>
        </w:rPr>
      </w:pPr>
    </w:p>
    <w:p>
      <w:pPr>
        <w:pStyle w:val="BodyText"/>
        <w:spacing w:line="417" w:lineRule="auto" w:before="1"/>
        <w:ind w:left="960" w:right="3130"/>
        <w:rPr>
          <w:rFonts w:ascii="Calibri" w:eastAsia="Calibri"/>
        </w:rPr>
      </w:pPr>
      <w:r>
        <w:rPr>
          <w:spacing w:val="-5"/>
        </w:rPr>
        <w:t>地址：北京市朝阳区望京宏泰东街绿地中国锦 </w:t>
      </w:r>
      <w:r>
        <w:rPr>
          <w:rFonts w:ascii="Calibri" w:eastAsia="Calibri"/>
        </w:rPr>
        <w:t>103</w:t>
      </w:r>
      <w:r>
        <w:rPr/>
        <w:t>（</w:t>
      </w:r>
      <w:r>
        <w:rPr>
          <w:rFonts w:ascii="Calibri" w:eastAsia="Calibri"/>
        </w:rPr>
        <w:t>100102</w:t>
      </w:r>
      <w:r>
        <w:rPr/>
        <w:t>） 电话：</w:t>
      </w:r>
      <w:r>
        <w:rPr>
          <w:rFonts w:ascii="Calibri" w:eastAsia="Calibri"/>
        </w:rPr>
        <w:t>010</w:t>
      </w:r>
      <w:r>
        <w:rPr>
          <w:rFonts w:ascii="Calibri" w:eastAsia="Calibri"/>
          <w:spacing w:val="-1"/>
        </w:rPr>
        <w:t>- </w:t>
      </w:r>
      <w:r>
        <w:rPr>
          <w:rFonts w:ascii="Calibri" w:eastAsia="Calibri"/>
        </w:rPr>
        <w:t>64709882</w:t>
      </w:r>
    </w:p>
    <w:p>
      <w:pPr>
        <w:pStyle w:val="BodyText"/>
        <w:ind w:left="960"/>
        <w:rPr>
          <w:rFonts w:ascii="Calibri" w:eastAsia="Calibri"/>
        </w:rPr>
      </w:pPr>
      <w:r>
        <w:rPr/>
        <w:t>传真：</w:t>
      </w:r>
      <w:r>
        <w:rPr>
          <w:rFonts w:ascii="Calibri" w:eastAsia="Calibri"/>
        </w:rPr>
        <w:t>010</w:t>
      </w:r>
      <w:r>
        <w:rPr>
          <w:rFonts w:ascii="Calibri" w:eastAsia="Calibri"/>
          <w:spacing w:val="-4"/>
        </w:rPr>
        <w:t>- </w:t>
      </w:r>
      <w:r>
        <w:rPr>
          <w:rFonts w:ascii="Calibri" w:eastAsia="Calibri"/>
        </w:rPr>
        <w:t>64702330</w:t>
      </w:r>
    </w:p>
    <w:p>
      <w:pPr>
        <w:pStyle w:val="BodyText"/>
        <w:spacing w:before="3"/>
        <w:rPr>
          <w:rFonts w:ascii="Calibri"/>
          <w:sz w:val="16"/>
        </w:rPr>
      </w:pPr>
    </w:p>
    <w:p>
      <w:pPr>
        <w:pStyle w:val="ListParagraph"/>
        <w:numPr>
          <w:ilvl w:val="0"/>
          <w:numId w:val="16"/>
        </w:numPr>
        <w:tabs>
          <w:tab w:pos="1490" w:val="left" w:leader="none"/>
        </w:tabs>
        <w:spacing w:line="240" w:lineRule="auto" w:before="1" w:after="0"/>
        <w:ind w:left="1489" w:right="0" w:hanging="530"/>
        <w:jc w:val="left"/>
        <w:rPr>
          <w:sz w:val="21"/>
        </w:rPr>
      </w:pPr>
      <w:r>
        <w:rPr>
          <w:spacing w:val="-3"/>
          <w:sz w:val="21"/>
        </w:rPr>
        <w:t>上海分公司</w:t>
      </w:r>
    </w:p>
    <w:p>
      <w:pPr>
        <w:pStyle w:val="BodyText"/>
        <w:spacing w:before="6"/>
        <w:rPr>
          <w:sz w:val="15"/>
        </w:rPr>
      </w:pPr>
    </w:p>
    <w:p>
      <w:pPr>
        <w:pStyle w:val="BodyText"/>
        <w:spacing w:line="417" w:lineRule="auto"/>
        <w:ind w:left="960" w:right="1807"/>
        <w:rPr>
          <w:rFonts w:ascii="Calibri" w:eastAsia="Calibri"/>
        </w:rPr>
      </w:pPr>
      <w:r>
        <w:rPr>
          <w:spacing w:val="-2"/>
        </w:rPr>
        <w:t>地址：中国</w:t>
      </w:r>
      <w:r>
        <w:rPr/>
        <w:t>（</w:t>
      </w:r>
      <w:r>
        <w:rPr>
          <w:spacing w:val="-2"/>
        </w:rPr>
        <w:t>上海</w:t>
      </w:r>
      <w:r>
        <w:rPr>
          <w:spacing w:val="-3"/>
        </w:rPr>
        <w:t>）</w:t>
      </w:r>
      <w:r>
        <w:rPr>
          <w:spacing w:val="-7"/>
        </w:rPr>
        <w:t>自由贸易试验区陆家嘴环路 </w:t>
      </w:r>
      <w:r>
        <w:rPr>
          <w:rFonts w:ascii="Calibri" w:eastAsia="Calibri"/>
        </w:rPr>
        <w:t>1318</w:t>
      </w:r>
      <w:r>
        <w:rPr>
          <w:rFonts w:ascii="Calibri" w:eastAsia="Calibri"/>
          <w:spacing w:val="10"/>
        </w:rPr>
        <w:t> </w:t>
      </w:r>
      <w:r>
        <w:rPr>
          <w:spacing w:val="-25"/>
        </w:rPr>
        <w:t>号 </w:t>
      </w:r>
      <w:r>
        <w:rPr>
          <w:rFonts w:ascii="Calibri" w:eastAsia="Calibri"/>
        </w:rPr>
        <w:t>1902</w:t>
      </w:r>
      <w:r>
        <w:rPr>
          <w:rFonts w:ascii="Calibri" w:eastAsia="Calibri"/>
          <w:spacing w:val="12"/>
        </w:rPr>
        <w:t> </w:t>
      </w:r>
      <w:r>
        <w:rPr>
          <w:spacing w:val="-3"/>
        </w:rPr>
        <w:t>室</w:t>
      </w:r>
      <w:r>
        <w:rPr/>
        <w:t>（</w:t>
      </w:r>
      <w:r>
        <w:rPr>
          <w:rFonts w:ascii="Calibri" w:eastAsia="Calibri"/>
        </w:rPr>
        <w:t>200120</w:t>
      </w:r>
      <w:r>
        <w:rPr/>
        <w:t>） 电话：</w:t>
      </w:r>
      <w:r>
        <w:rPr>
          <w:rFonts w:ascii="Calibri" w:eastAsia="Calibri"/>
        </w:rPr>
        <w:t>021-58771599</w:t>
      </w:r>
    </w:p>
    <w:p>
      <w:pPr>
        <w:pStyle w:val="BodyText"/>
        <w:spacing w:line="269" w:lineRule="exact"/>
        <w:ind w:left="960"/>
        <w:rPr>
          <w:rFonts w:ascii="Calibri" w:eastAsia="Calibri"/>
        </w:rPr>
      </w:pPr>
      <w:r>
        <w:rPr>
          <w:spacing w:val="-2"/>
        </w:rPr>
        <w:t>传真：</w:t>
      </w:r>
      <w:r>
        <w:rPr>
          <w:rFonts w:ascii="Calibri" w:eastAsia="Calibri"/>
          <w:spacing w:val="-1"/>
        </w:rPr>
        <w:t>021-58771998</w:t>
      </w:r>
    </w:p>
    <w:p>
      <w:pPr>
        <w:pStyle w:val="BodyText"/>
        <w:spacing w:before="4"/>
        <w:rPr>
          <w:rFonts w:ascii="Calibri"/>
          <w:sz w:val="16"/>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6"/>
        <w:rPr>
          <w:sz w:val="15"/>
        </w:rPr>
      </w:pPr>
    </w:p>
    <w:p>
      <w:pPr>
        <w:pStyle w:val="BodyText"/>
        <w:spacing w:line="417" w:lineRule="auto" w:before="1"/>
        <w:ind w:left="960" w:right="1281"/>
        <w:rPr>
          <w:rFonts w:ascii="Calibri" w:eastAsia="Calibri"/>
        </w:rPr>
      </w:pPr>
      <w:r>
        <w:rPr>
          <w:spacing w:val="-6"/>
        </w:rPr>
        <w:t>地址：深圳市福田区莲花街道益田路 </w:t>
      </w:r>
      <w:r>
        <w:rPr>
          <w:rFonts w:ascii="Calibri" w:eastAsia="Calibri"/>
        </w:rPr>
        <w:t>6001</w:t>
      </w:r>
      <w:r>
        <w:rPr>
          <w:rFonts w:ascii="Calibri" w:eastAsia="Calibri"/>
          <w:spacing w:val="8"/>
        </w:rPr>
        <w:t> </w:t>
      </w:r>
      <w:r>
        <w:rPr>
          <w:spacing w:val="-9"/>
        </w:rPr>
        <w:t>号太平金融大厦 </w:t>
      </w:r>
      <w:r>
        <w:rPr>
          <w:rFonts w:ascii="Calibri" w:eastAsia="Calibri"/>
        </w:rPr>
        <w:t>40</w:t>
      </w:r>
      <w:r>
        <w:rPr>
          <w:rFonts w:ascii="Calibri" w:eastAsia="Calibri"/>
          <w:spacing w:val="7"/>
        </w:rPr>
        <w:t> </w:t>
      </w:r>
      <w:r>
        <w:rPr>
          <w:spacing w:val="-25"/>
        </w:rPr>
        <w:t>层 </w:t>
      </w:r>
      <w:r>
        <w:rPr>
          <w:rFonts w:ascii="Calibri" w:eastAsia="Calibri"/>
        </w:rPr>
        <w:t>02</w:t>
      </w:r>
      <w:r>
        <w:rPr>
          <w:rFonts w:ascii="Calibri" w:eastAsia="Calibri"/>
          <w:spacing w:val="6"/>
        </w:rPr>
        <w:t> </w:t>
      </w:r>
      <w:r>
        <w:rPr/>
        <w:t>室（</w:t>
      </w:r>
      <w:r>
        <w:rPr>
          <w:rFonts w:ascii="Calibri" w:eastAsia="Calibri"/>
        </w:rPr>
        <w:t>518038</w:t>
      </w:r>
      <w:r>
        <w:rPr/>
        <w:t>） 电话：</w:t>
      </w:r>
      <w:r>
        <w:rPr>
          <w:rFonts w:ascii="Calibri" w:eastAsia="Calibri"/>
        </w:rPr>
        <w:t>0755-82033033</w:t>
      </w:r>
    </w:p>
    <w:p>
      <w:pPr>
        <w:pStyle w:val="BodyText"/>
        <w:ind w:left="960"/>
        <w:rPr>
          <w:rFonts w:ascii="Calibri" w:eastAsia="Calibri"/>
        </w:rPr>
      </w:pPr>
      <w:r>
        <w:rPr>
          <w:spacing w:val="-2"/>
        </w:rPr>
        <w:t>传真：</w:t>
      </w:r>
      <w:r>
        <w:rPr>
          <w:rFonts w:ascii="Calibri" w:eastAsia="Calibri"/>
          <w:spacing w:val="-1"/>
        </w:rPr>
        <w:t>0755-82031949</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16"/>
        </w:numPr>
        <w:tabs>
          <w:tab w:pos="1490" w:val="left" w:leader="none"/>
        </w:tabs>
        <w:spacing w:line="240" w:lineRule="auto" w:before="72" w:after="0"/>
        <w:ind w:left="1489" w:right="0" w:hanging="530"/>
        <w:jc w:val="left"/>
        <w:rPr>
          <w:sz w:val="21"/>
        </w:rPr>
      </w:pPr>
      <w:r>
        <w:rPr>
          <w:spacing w:val="-3"/>
          <w:sz w:val="21"/>
        </w:rPr>
        <w:t>南京分公司</w:t>
      </w:r>
    </w:p>
    <w:p>
      <w:pPr>
        <w:pStyle w:val="BodyText"/>
        <w:spacing w:before="6"/>
        <w:rPr>
          <w:sz w:val="15"/>
        </w:rPr>
      </w:pPr>
    </w:p>
    <w:p>
      <w:pPr>
        <w:pStyle w:val="BodyText"/>
        <w:spacing w:line="417" w:lineRule="auto"/>
        <w:ind w:left="960" w:right="1913"/>
        <w:rPr>
          <w:rFonts w:ascii="Calibri" w:eastAsia="Calibri"/>
        </w:rPr>
      </w:pPr>
      <w:r>
        <w:rPr>
          <w:spacing w:val="-7"/>
        </w:rPr>
        <w:t>地址：南京市鼓楼区汉中路 </w:t>
      </w:r>
      <w:r>
        <w:rPr>
          <w:rFonts w:ascii="Calibri" w:eastAsia="Calibri"/>
        </w:rPr>
        <w:t>2</w:t>
      </w:r>
      <w:r>
        <w:rPr>
          <w:rFonts w:ascii="Calibri" w:eastAsia="Calibri"/>
          <w:spacing w:val="6"/>
        </w:rPr>
        <w:t> </w:t>
      </w:r>
      <w:r>
        <w:rPr>
          <w:spacing w:val="-8"/>
        </w:rPr>
        <w:t>号金陵饭店亚太商务楼 </w:t>
      </w:r>
      <w:r>
        <w:rPr>
          <w:rFonts w:ascii="Calibri" w:eastAsia="Calibri"/>
        </w:rPr>
        <w:t>30</w:t>
      </w:r>
      <w:r>
        <w:rPr>
          <w:rFonts w:ascii="Calibri" w:eastAsia="Calibri"/>
          <w:spacing w:val="7"/>
        </w:rPr>
        <w:t> </w:t>
      </w:r>
      <w:r>
        <w:rPr>
          <w:spacing w:val="-25"/>
        </w:rPr>
        <w:t>层 </w:t>
      </w:r>
      <w:r>
        <w:rPr>
          <w:rFonts w:ascii="Calibri" w:eastAsia="Calibri"/>
        </w:rPr>
        <w:t>B</w:t>
      </w:r>
      <w:r>
        <w:rPr>
          <w:rFonts w:ascii="Calibri" w:eastAsia="Calibri"/>
          <w:spacing w:val="7"/>
        </w:rPr>
        <w:t> </w:t>
      </w:r>
      <w:r>
        <w:rPr/>
        <w:t>区（</w:t>
      </w:r>
      <w:r>
        <w:rPr>
          <w:rFonts w:ascii="Calibri" w:eastAsia="Calibri"/>
        </w:rPr>
        <w:t>210005</w:t>
      </w:r>
      <w:r>
        <w:rPr/>
        <w:t>） 电话：</w:t>
      </w:r>
      <w:r>
        <w:rPr>
          <w:rFonts w:ascii="Calibri" w:eastAsia="Calibri"/>
        </w:rPr>
        <w:t>025-84733916</w:t>
      </w:r>
    </w:p>
    <w:p>
      <w:pPr>
        <w:pStyle w:val="BodyText"/>
        <w:spacing w:line="269" w:lineRule="exact"/>
        <w:ind w:left="960"/>
        <w:rPr>
          <w:rFonts w:ascii="Calibri" w:eastAsia="Calibri"/>
        </w:rPr>
      </w:pPr>
      <w:r>
        <w:rPr>
          <w:spacing w:val="-2"/>
        </w:rPr>
        <w:t>传真：</w:t>
      </w:r>
      <w:r>
        <w:rPr>
          <w:rFonts w:ascii="Calibri" w:eastAsia="Calibri"/>
          <w:spacing w:val="-1"/>
        </w:rPr>
        <w:t>025-84733928</w:t>
      </w:r>
    </w:p>
    <w:p>
      <w:pPr>
        <w:pStyle w:val="BodyText"/>
        <w:spacing w:before="4"/>
        <w:rPr>
          <w:rFonts w:ascii="Calibri"/>
          <w:sz w:val="16"/>
        </w:rPr>
      </w:pPr>
    </w:p>
    <w:p>
      <w:pPr>
        <w:pStyle w:val="ListParagraph"/>
        <w:numPr>
          <w:ilvl w:val="0"/>
          <w:numId w:val="16"/>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6"/>
        <w:rPr>
          <w:sz w:val="15"/>
        </w:rPr>
      </w:pPr>
    </w:p>
    <w:p>
      <w:pPr>
        <w:pStyle w:val="BodyText"/>
        <w:spacing w:line="417" w:lineRule="auto" w:before="1"/>
        <w:ind w:left="960" w:right="770"/>
        <w:rPr>
          <w:rFonts w:ascii="Calibri" w:eastAsia="Calibri"/>
        </w:rPr>
      </w:pPr>
      <w:r>
        <w:rPr>
          <w:spacing w:val="-6"/>
        </w:rPr>
        <w:t>地址：浙江省杭州市西湖区杭大路 </w:t>
      </w:r>
      <w:r>
        <w:rPr>
          <w:rFonts w:ascii="Calibri" w:eastAsia="Calibri"/>
        </w:rPr>
        <w:t>1</w:t>
      </w:r>
      <w:r>
        <w:rPr>
          <w:rFonts w:ascii="Calibri" w:eastAsia="Calibri"/>
          <w:spacing w:val="13"/>
        </w:rPr>
        <w:t> </w:t>
      </w:r>
      <w:r>
        <w:rPr>
          <w:spacing w:val="-9"/>
        </w:rPr>
        <w:t>号黄龙世纪广场 </w:t>
      </w:r>
      <w:r>
        <w:rPr>
          <w:rFonts w:ascii="Calibri" w:eastAsia="Calibri"/>
        </w:rPr>
        <w:t>B</w:t>
      </w:r>
      <w:r>
        <w:rPr>
          <w:rFonts w:ascii="Calibri" w:eastAsia="Calibri"/>
          <w:spacing w:val="10"/>
        </w:rPr>
        <w:t> </w:t>
      </w:r>
      <w:r>
        <w:rPr>
          <w:spacing w:val="-24"/>
        </w:rPr>
        <w:t>区 </w:t>
      </w:r>
      <w:r>
        <w:rPr>
          <w:rFonts w:ascii="Calibri" w:eastAsia="Calibri"/>
        </w:rPr>
        <w:t>4</w:t>
      </w:r>
      <w:r>
        <w:rPr>
          <w:rFonts w:ascii="Calibri" w:eastAsia="Calibri"/>
          <w:spacing w:val="13"/>
        </w:rPr>
        <w:t> </w:t>
      </w:r>
      <w:r>
        <w:rPr>
          <w:spacing w:val="50"/>
        </w:rPr>
        <w:t>层</w:t>
      </w:r>
      <w:r>
        <w:rPr>
          <w:rFonts w:ascii="Calibri" w:eastAsia="Calibri"/>
        </w:rPr>
        <w:t>G05</w:t>
      </w:r>
      <w:r>
        <w:rPr/>
        <w:t>、</w:t>
      </w:r>
      <w:r>
        <w:rPr>
          <w:rFonts w:ascii="Calibri" w:eastAsia="Calibri"/>
        </w:rPr>
        <w:t>G06</w:t>
      </w:r>
      <w:r>
        <w:rPr>
          <w:rFonts w:ascii="Calibri" w:eastAsia="Calibri"/>
          <w:spacing w:val="17"/>
        </w:rPr>
        <w:t> </w:t>
      </w:r>
      <w:r>
        <w:rPr/>
        <w:t>室（</w:t>
      </w:r>
      <w:r>
        <w:rPr>
          <w:rFonts w:ascii="Calibri" w:eastAsia="Calibri"/>
        </w:rPr>
        <w:t>310007</w:t>
      </w:r>
      <w:r>
        <w:rPr/>
        <w:t>） 电话：</w:t>
      </w:r>
      <w:r>
        <w:rPr>
          <w:rFonts w:ascii="Calibri" w:eastAsia="Calibri"/>
        </w:rPr>
        <w:t>0571-89716606</w:t>
      </w:r>
    </w:p>
    <w:p>
      <w:pPr>
        <w:pStyle w:val="BodyText"/>
        <w:ind w:left="960"/>
        <w:rPr>
          <w:rFonts w:ascii="Calibri" w:eastAsia="Calibri"/>
        </w:rPr>
      </w:pPr>
      <w:r>
        <w:rPr>
          <w:spacing w:val="-2"/>
        </w:rPr>
        <w:t>传真：</w:t>
      </w:r>
      <w:r>
        <w:rPr>
          <w:rFonts w:ascii="Calibri" w:eastAsia="Calibri"/>
          <w:spacing w:val="-1"/>
        </w:rPr>
        <w:t>0571-89716611</w:t>
      </w:r>
    </w:p>
    <w:p>
      <w:pPr>
        <w:pStyle w:val="BodyText"/>
        <w:spacing w:before="3"/>
        <w:rPr>
          <w:rFonts w:ascii="Calibri"/>
          <w:sz w:val="16"/>
        </w:rPr>
      </w:pPr>
    </w:p>
    <w:p>
      <w:pPr>
        <w:pStyle w:val="ListParagraph"/>
        <w:numPr>
          <w:ilvl w:val="0"/>
          <w:numId w:val="16"/>
        </w:numPr>
        <w:tabs>
          <w:tab w:pos="1598" w:val="left" w:leader="none"/>
        </w:tabs>
        <w:spacing w:line="240" w:lineRule="auto" w:before="1" w:after="0"/>
        <w:ind w:left="1597" w:right="0" w:hanging="638"/>
        <w:jc w:val="left"/>
        <w:rPr>
          <w:sz w:val="21"/>
        </w:rPr>
      </w:pPr>
      <w:r>
        <w:rPr>
          <w:spacing w:val="-3"/>
          <w:sz w:val="21"/>
        </w:rPr>
        <w:t>广州分公司</w:t>
      </w:r>
    </w:p>
    <w:p>
      <w:pPr>
        <w:pStyle w:val="BodyText"/>
        <w:spacing w:before="6"/>
        <w:rPr>
          <w:sz w:val="15"/>
        </w:rPr>
      </w:pPr>
    </w:p>
    <w:p>
      <w:pPr>
        <w:pStyle w:val="BodyText"/>
        <w:spacing w:line="417" w:lineRule="auto"/>
        <w:ind w:left="960" w:right="1077"/>
        <w:rPr>
          <w:rFonts w:ascii="Calibri" w:eastAsia="Calibri"/>
        </w:rPr>
      </w:pPr>
      <w:r>
        <w:rPr>
          <w:spacing w:val="-7"/>
        </w:rPr>
        <w:t>地址：广州市天河区珠江西路 </w:t>
      </w:r>
      <w:r>
        <w:rPr>
          <w:rFonts w:ascii="Calibri" w:eastAsia="Calibri"/>
        </w:rPr>
        <w:t>5</w:t>
      </w:r>
      <w:r>
        <w:rPr>
          <w:rFonts w:ascii="Calibri" w:eastAsia="Calibri"/>
          <w:spacing w:val="14"/>
        </w:rPr>
        <w:t> </w:t>
      </w:r>
      <w:r>
        <w:rPr>
          <w:spacing w:val="-6"/>
        </w:rPr>
        <w:t>号广州国际金融中心主塔写字楼 </w:t>
      </w:r>
      <w:r>
        <w:rPr>
          <w:rFonts w:ascii="Calibri" w:eastAsia="Calibri"/>
        </w:rPr>
        <w:t>5305</w:t>
      </w:r>
      <w:r>
        <w:rPr>
          <w:rFonts w:ascii="Calibri" w:eastAsia="Calibri"/>
          <w:spacing w:val="13"/>
        </w:rPr>
        <w:t> </w:t>
      </w:r>
      <w:r>
        <w:rPr>
          <w:spacing w:val="-3"/>
        </w:rPr>
        <w:t>房</w:t>
      </w:r>
      <w:r>
        <w:rPr/>
        <w:t>（</w:t>
      </w:r>
      <w:r>
        <w:rPr>
          <w:rFonts w:ascii="Calibri" w:eastAsia="Calibri"/>
        </w:rPr>
        <w:t>510623</w:t>
      </w:r>
      <w:r>
        <w:rPr/>
        <w:t>） 电话：</w:t>
      </w:r>
      <w:r>
        <w:rPr>
          <w:rFonts w:ascii="Calibri" w:eastAsia="Calibri"/>
        </w:rPr>
        <w:t>020-38461058</w:t>
      </w:r>
    </w:p>
    <w:p>
      <w:pPr>
        <w:pStyle w:val="BodyText"/>
        <w:spacing w:line="269" w:lineRule="exact"/>
        <w:ind w:left="960"/>
        <w:rPr>
          <w:rFonts w:ascii="Calibri" w:eastAsia="Calibri"/>
        </w:rPr>
      </w:pPr>
      <w:r>
        <w:rPr>
          <w:spacing w:val="-2"/>
        </w:rPr>
        <w:t>传真：</w:t>
      </w:r>
      <w:r>
        <w:rPr>
          <w:rFonts w:ascii="Calibri" w:eastAsia="Calibri"/>
          <w:spacing w:val="-1"/>
        </w:rPr>
        <w:t>020-38067182</w:t>
      </w:r>
    </w:p>
    <w:p>
      <w:pPr>
        <w:pStyle w:val="BodyText"/>
        <w:spacing w:before="4"/>
        <w:rPr>
          <w:rFonts w:ascii="Calibri"/>
          <w:sz w:val="16"/>
        </w:rPr>
      </w:pPr>
    </w:p>
    <w:p>
      <w:pPr>
        <w:pStyle w:val="ListParagraph"/>
        <w:numPr>
          <w:ilvl w:val="0"/>
          <w:numId w:val="16"/>
        </w:numPr>
        <w:tabs>
          <w:tab w:pos="1598" w:val="left" w:leader="none"/>
        </w:tabs>
        <w:spacing w:line="240" w:lineRule="auto" w:before="0" w:after="0"/>
        <w:ind w:left="1597" w:right="0" w:hanging="638"/>
        <w:jc w:val="left"/>
        <w:rPr>
          <w:sz w:val="21"/>
        </w:rPr>
      </w:pPr>
      <w:r>
        <w:rPr>
          <w:spacing w:val="-3"/>
          <w:sz w:val="21"/>
        </w:rPr>
        <w:t>广州天河投资理财中心</w:t>
      </w:r>
    </w:p>
    <w:p>
      <w:pPr>
        <w:pStyle w:val="BodyText"/>
        <w:spacing w:before="6"/>
        <w:rPr>
          <w:sz w:val="15"/>
        </w:rPr>
      </w:pPr>
    </w:p>
    <w:p>
      <w:pPr>
        <w:pStyle w:val="BodyText"/>
        <w:spacing w:line="417" w:lineRule="auto" w:before="1"/>
        <w:ind w:left="960" w:right="3809"/>
        <w:rPr>
          <w:rFonts w:ascii="Calibri" w:eastAsia="Calibri"/>
        </w:rPr>
      </w:pPr>
      <w:r>
        <w:rPr>
          <w:spacing w:val="-7"/>
        </w:rPr>
        <w:t>地址：广州市天河区珠江西路 </w:t>
      </w:r>
      <w:r>
        <w:rPr>
          <w:rFonts w:ascii="Calibri" w:eastAsia="Calibri"/>
        </w:rPr>
        <w:t>5</w:t>
      </w:r>
      <w:r>
        <w:rPr>
          <w:rFonts w:ascii="Calibri" w:eastAsia="Calibri"/>
          <w:spacing w:val="10"/>
        </w:rPr>
        <w:t> </w:t>
      </w:r>
      <w:r>
        <w:rPr>
          <w:spacing w:val="-26"/>
        </w:rPr>
        <w:t>号 </w:t>
      </w:r>
      <w:r>
        <w:rPr>
          <w:rFonts w:ascii="Calibri" w:eastAsia="Calibri"/>
        </w:rPr>
        <w:t>5306</w:t>
      </w:r>
      <w:r>
        <w:rPr>
          <w:rFonts w:ascii="Calibri" w:eastAsia="Calibri"/>
          <w:spacing w:val="7"/>
        </w:rPr>
        <w:t> </w:t>
      </w:r>
      <w:r>
        <w:rPr/>
        <w:t>房（</w:t>
      </w:r>
      <w:r>
        <w:rPr>
          <w:rFonts w:ascii="Calibri" w:eastAsia="Calibri"/>
        </w:rPr>
        <w:t>510623</w:t>
      </w:r>
      <w:r>
        <w:rPr/>
        <w:t>） 电话：</w:t>
      </w:r>
      <w:r>
        <w:rPr>
          <w:rFonts w:ascii="Calibri" w:eastAsia="Calibri"/>
        </w:rPr>
        <w:t>020-38460001</w:t>
      </w:r>
    </w:p>
    <w:p>
      <w:pPr>
        <w:pStyle w:val="BodyText"/>
        <w:ind w:left="960"/>
        <w:rPr>
          <w:rFonts w:ascii="Calibri" w:eastAsia="Calibri"/>
        </w:rPr>
      </w:pPr>
      <w:r>
        <w:rPr>
          <w:spacing w:val="-2"/>
        </w:rPr>
        <w:t>传真：</w:t>
      </w:r>
      <w:r>
        <w:rPr>
          <w:rFonts w:ascii="Calibri" w:eastAsia="Calibri"/>
          <w:spacing w:val="-1"/>
        </w:rPr>
        <w:t>020-38067182</w:t>
      </w:r>
    </w:p>
    <w:p>
      <w:pPr>
        <w:pStyle w:val="BodyText"/>
        <w:spacing w:before="3"/>
        <w:rPr>
          <w:rFonts w:ascii="Calibri"/>
          <w:sz w:val="16"/>
        </w:rPr>
      </w:pPr>
    </w:p>
    <w:p>
      <w:pPr>
        <w:pStyle w:val="ListParagraph"/>
        <w:numPr>
          <w:ilvl w:val="0"/>
          <w:numId w:val="16"/>
        </w:numPr>
        <w:tabs>
          <w:tab w:pos="1598" w:val="left" w:leader="none"/>
        </w:tabs>
        <w:spacing w:line="240" w:lineRule="auto" w:before="0" w:after="0"/>
        <w:ind w:left="1597" w:right="0" w:hanging="638"/>
        <w:jc w:val="left"/>
        <w:rPr>
          <w:sz w:val="21"/>
        </w:rPr>
      </w:pPr>
      <w:r>
        <w:rPr>
          <w:spacing w:val="-3"/>
          <w:sz w:val="21"/>
        </w:rPr>
        <w:t>成都分公司</w:t>
      </w:r>
    </w:p>
    <w:p>
      <w:pPr>
        <w:pStyle w:val="BodyText"/>
        <w:spacing w:before="7"/>
        <w:rPr>
          <w:sz w:val="15"/>
        </w:rPr>
      </w:pPr>
    </w:p>
    <w:p>
      <w:pPr>
        <w:pStyle w:val="BodyText"/>
        <w:ind w:left="960"/>
      </w:pPr>
      <w:r>
        <w:rPr/>
        <w:t>地址：成都市高新区交子大道 </w:t>
      </w:r>
      <w:r>
        <w:rPr>
          <w:rFonts w:ascii="Calibri" w:eastAsia="Calibri"/>
        </w:rPr>
        <w:t>177 </w:t>
      </w:r>
      <w:r>
        <w:rPr/>
        <w:t>号中海国际中心 </w:t>
      </w:r>
      <w:r>
        <w:rPr>
          <w:rFonts w:ascii="Calibri" w:eastAsia="Calibri"/>
        </w:rPr>
        <w:t>B </w:t>
      </w:r>
      <w:r>
        <w:rPr/>
        <w:t>座 </w:t>
      </w:r>
      <w:r>
        <w:rPr>
          <w:rFonts w:ascii="Calibri" w:eastAsia="Calibri"/>
        </w:rPr>
        <w:t>1 </w:t>
      </w:r>
      <w:r>
        <w:rPr/>
        <w:t>栋 </w:t>
      </w:r>
      <w:r>
        <w:rPr>
          <w:rFonts w:ascii="Calibri" w:eastAsia="Calibri"/>
        </w:rPr>
        <w:t>1 </w:t>
      </w:r>
      <w:r>
        <w:rPr/>
        <w:t>单元 </w:t>
      </w:r>
      <w:r>
        <w:rPr>
          <w:rFonts w:ascii="Calibri" w:eastAsia="Calibri"/>
        </w:rPr>
        <w:t>14 </w:t>
      </w:r>
      <w:r>
        <w:rPr/>
        <w:t>层 </w:t>
      </w:r>
      <w:r>
        <w:rPr>
          <w:rFonts w:ascii="Calibri" w:eastAsia="Calibri"/>
        </w:rPr>
        <w:t>1406-1407 </w:t>
      </w:r>
      <w:r>
        <w:rPr/>
        <w:t>号</w:t>
      </w:r>
    </w:p>
    <w:p>
      <w:pPr>
        <w:pStyle w:val="BodyText"/>
        <w:spacing w:before="7"/>
        <w:rPr>
          <w:sz w:val="15"/>
        </w:rPr>
      </w:pPr>
    </w:p>
    <w:p>
      <w:pPr>
        <w:pStyle w:val="BodyText"/>
        <w:ind w:left="540"/>
      </w:pPr>
      <w:r>
        <w:rPr/>
        <w:t>（</w:t>
      </w:r>
      <w:r>
        <w:rPr>
          <w:rFonts w:ascii="Calibri" w:eastAsia="Calibri"/>
        </w:rPr>
        <w:t>610000</w:t>
      </w:r>
      <w:r>
        <w:rPr/>
        <w:t>）</w:t>
      </w:r>
    </w:p>
    <w:p>
      <w:pPr>
        <w:pStyle w:val="BodyText"/>
        <w:spacing w:before="6"/>
        <w:rPr>
          <w:sz w:val="15"/>
        </w:rPr>
      </w:pPr>
    </w:p>
    <w:p>
      <w:pPr>
        <w:pStyle w:val="BodyText"/>
        <w:spacing w:line="417" w:lineRule="auto" w:before="1"/>
        <w:ind w:left="960" w:right="6898"/>
        <w:rPr>
          <w:rFonts w:ascii="Calibri" w:eastAsia="Calibri"/>
        </w:rPr>
      </w:pPr>
      <w:r>
        <w:rPr/>
        <w:t>电话：</w:t>
      </w:r>
      <w:r>
        <w:rPr>
          <w:rFonts w:ascii="Calibri" w:eastAsia="Calibri"/>
        </w:rPr>
        <w:t>028-65730073 </w:t>
      </w:r>
      <w:r>
        <w:rPr/>
        <w:t>传真：</w:t>
      </w:r>
      <w:r>
        <w:rPr>
          <w:rFonts w:ascii="Calibri" w:eastAsia="Calibri"/>
        </w:rPr>
        <w:t>028-86725411</w:t>
      </w:r>
    </w:p>
    <w:p>
      <w:pPr>
        <w:pStyle w:val="ListParagraph"/>
        <w:numPr>
          <w:ilvl w:val="0"/>
          <w:numId w:val="16"/>
        </w:numPr>
        <w:tabs>
          <w:tab w:pos="1598" w:val="left" w:leader="none"/>
        </w:tabs>
        <w:spacing w:line="240" w:lineRule="auto" w:before="0" w:after="0"/>
        <w:ind w:left="1597" w:right="0" w:hanging="638"/>
        <w:jc w:val="left"/>
        <w:rPr>
          <w:sz w:val="21"/>
        </w:rPr>
      </w:pPr>
      <w:r>
        <w:rPr>
          <w:spacing w:val="-2"/>
          <w:sz w:val="21"/>
        </w:rPr>
        <w:t>电子交易</w:t>
      </w:r>
    </w:p>
    <w:p>
      <w:pPr>
        <w:pStyle w:val="BodyText"/>
        <w:spacing w:before="6"/>
        <w:rPr>
          <w:sz w:val="15"/>
        </w:rPr>
      </w:pPr>
    </w:p>
    <w:p>
      <w:pPr>
        <w:pStyle w:val="BodyText"/>
        <w:spacing w:line="417" w:lineRule="auto" w:before="1"/>
        <w:ind w:left="540" w:right="87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0">
        <w:r>
          <w:rPr>
            <w:rFonts w:ascii="Calibri" w:eastAsia="Calibri"/>
          </w:rPr>
          <w:t>www.ChinaAMC.com</w:t>
        </w:r>
      </w:hyperlink>
      <w:r>
        <w:rPr/>
        <w:t>。</w:t>
      </w:r>
    </w:p>
    <w:p>
      <w:pPr>
        <w:pStyle w:val="BodyText"/>
        <w:spacing w:line="269" w:lineRule="exact"/>
        <w:ind w:left="960"/>
      </w:pPr>
      <w:r>
        <w:rPr>
          <w:rFonts w:ascii="Calibri" w:eastAsia="Calibri"/>
        </w:rPr>
        <w:t>2</w:t>
      </w:r>
      <w:r>
        <w:rPr/>
        <w:t>、代销机构</w:t>
      </w:r>
    </w:p>
    <w:p>
      <w:pPr>
        <w:pStyle w:val="BodyText"/>
        <w:spacing w:before="6"/>
        <w:rPr>
          <w:sz w:val="15"/>
        </w:rPr>
      </w:pPr>
    </w:p>
    <w:p>
      <w:pPr>
        <w:pStyle w:val="BodyText"/>
        <w:spacing w:line="417" w:lineRule="auto"/>
        <w:ind w:left="540" w:right="662" w:firstLine="419"/>
      </w:pPr>
      <w:r>
        <w:rPr>
          <w:spacing w:val="-16"/>
        </w:rPr>
        <w:t>本基金代销机构的名称、住所等信息请详见本招募说明书“十九、相关服务机构”中“</w:t>
      </w:r>
      <w:r>
        <w:rPr>
          <w:rFonts w:ascii="Calibri" w:hAnsi="Calibri" w:eastAsia="Calibri"/>
        </w:rPr>
        <w:t>2</w:t>
      </w:r>
      <w:r>
        <w:rPr/>
        <w:t>、</w:t>
      </w:r>
      <w:r>
        <w:rPr>
          <w:spacing w:val="-3"/>
        </w:rPr>
        <w:t>人民币代销机构”及“</w:t>
      </w:r>
      <w:r>
        <w:rPr>
          <w:rFonts w:ascii="Calibri" w:hAnsi="Calibri" w:eastAsia="Calibri"/>
        </w:rPr>
        <w:t>3</w:t>
      </w:r>
      <w:r>
        <w:rPr>
          <w:spacing w:val="-3"/>
        </w:rPr>
        <w:t>、美元代销机构”的相关描述。</w:t>
      </w:r>
    </w:p>
    <w:p>
      <w:pPr>
        <w:pStyle w:val="BodyText"/>
        <w:spacing w:line="417" w:lineRule="auto"/>
        <w:ind w:left="540" w:right="871" w:firstLine="419"/>
      </w:pPr>
      <w:r>
        <w:rPr>
          <w:spacing w:val="-7"/>
        </w:rPr>
        <w:t>基金管理人可根据情况变更或增减申购赎回的销售机构，并在基金管理人网站公示。销</w:t>
      </w:r>
      <w:r>
        <w:rPr>
          <w:spacing w:val="-5"/>
        </w:rPr>
        <w:t>售机构可以根据情况增加或者减少其销售城市、网点。</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960"/>
      </w:pPr>
      <w:r>
        <w:rPr/>
        <w:t>（二）申购和赎回的开放日及时间</w:t>
      </w:r>
    </w:p>
    <w:p>
      <w:pPr>
        <w:pStyle w:val="BodyText"/>
        <w:spacing w:before="7"/>
        <w:rPr>
          <w:sz w:val="15"/>
        </w:rPr>
      </w:pPr>
    </w:p>
    <w:p>
      <w:pPr>
        <w:pStyle w:val="BodyText"/>
        <w:ind w:left="960"/>
      </w:pPr>
      <w:r>
        <w:rPr>
          <w:rFonts w:ascii="Calibri" w:eastAsia="Calibri"/>
        </w:rPr>
        <w:t>1</w:t>
      </w:r>
      <w:r>
        <w:rPr/>
        <w:t>、开放日及开放时间</w:t>
      </w:r>
    </w:p>
    <w:p>
      <w:pPr>
        <w:pStyle w:val="BodyText"/>
        <w:spacing w:before="7"/>
        <w:rPr>
          <w:sz w:val="15"/>
        </w:rPr>
      </w:pPr>
    </w:p>
    <w:p>
      <w:pPr>
        <w:pStyle w:val="BodyText"/>
        <w:spacing w:line="417" w:lineRule="auto"/>
        <w:ind w:left="540" w:right="871" w:firstLine="419"/>
        <w:jc w:val="both"/>
      </w:pPr>
      <w:r>
        <w:rPr>
          <w:spacing w:val="-9"/>
        </w:rPr>
        <w:t>本基金的开放日为上海证券交易所、深圳证券交易所以及境外主要投资场所的共同交易</w:t>
      </w:r>
      <w:r>
        <w:rPr>
          <w:spacing w:val="-10"/>
        </w:rPr>
        <w:t>日，但基金管理人根据法律法规、中国证监会的要求或基金合同的规定公告暂停申购、赎回</w:t>
      </w:r>
      <w:r>
        <w:rPr>
          <w:spacing w:val="-5"/>
        </w:rPr>
        <w:t>时除外。开放日的具体业务办理时间以销售机构公布时间为准。</w:t>
      </w:r>
    </w:p>
    <w:p>
      <w:pPr>
        <w:pStyle w:val="BodyText"/>
        <w:spacing w:line="417" w:lineRule="auto"/>
        <w:ind w:left="540" w:right="768" w:firstLine="419"/>
      </w:pPr>
      <w:r>
        <w:rPr>
          <w:spacing w:val="-10"/>
        </w:rPr>
        <w:t>基金合同生效后，若出现新的证券交易市场、证券交易所交易时间变更、境外重要投资</w:t>
      </w:r>
      <w:r>
        <w:rPr>
          <w:spacing w:val="-5"/>
        </w:rPr>
        <w:t>市场休市或其他特殊情况，基金管理人将视情况对前述开放日及开放时间进行相应的调整， </w:t>
      </w:r>
      <w:r>
        <w:rPr>
          <w:spacing w:val="-4"/>
        </w:rPr>
        <w:t>但应在实施日前依照《信息披露办法》的有关规定在指定媒介上公告。</w:t>
      </w:r>
    </w:p>
    <w:p>
      <w:pPr>
        <w:pStyle w:val="BodyText"/>
        <w:ind w:left="960"/>
      </w:pPr>
      <w:r>
        <w:rPr>
          <w:rFonts w:ascii="Calibri" w:eastAsia="Calibri"/>
        </w:rPr>
        <w:t>2</w:t>
      </w:r>
      <w:r>
        <w:rPr/>
        <w:t>、申购、赎回开始日及业务办理时间</w:t>
      </w:r>
    </w:p>
    <w:p>
      <w:pPr>
        <w:pStyle w:val="BodyText"/>
        <w:spacing w:before="6"/>
        <w:rPr>
          <w:sz w:val="15"/>
        </w:rPr>
      </w:pPr>
    </w:p>
    <w:p>
      <w:pPr>
        <w:pStyle w:val="BodyText"/>
        <w:spacing w:line="417" w:lineRule="auto"/>
        <w:ind w:left="540" w:right="876" w:firstLine="419"/>
        <w:jc w:val="both"/>
      </w:pPr>
      <w:r>
        <w:rPr>
          <w:spacing w:val="-11"/>
        </w:rPr>
        <w:t>本基金已于 </w:t>
      </w:r>
      <w:r>
        <w:rPr>
          <w:rFonts w:ascii="Calibri" w:eastAsia="Calibri"/>
        </w:rPr>
        <w:t>2016 </w:t>
      </w:r>
      <w:r>
        <w:rPr>
          <w:spacing w:val="-26"/>
        </w:rPr>
        <w:t>年 </w:t>
      </w:r>
      <w:r>
        <w:rPr>
          <w:rFonts w:ascii="Calibri" w:eastAsia="Calibri"/>
        </w:rPr>
        <w:t>9 </w:t>
      </w:r>
      <w:r>
        <w:rPr>
          <w:spacing w:val="-26"/>
        </w:rPr>
        <w:t>月 </w:t>
      </w:r>
      <w:r>
        <w:rPr>
          <w:rFonts w:ascii="Calibri" w:eastAsia="Calibri"/>
        </w:rPr>
        <w:t>19 </w:t>
      </w:r>
      <w:r>
        <w:rPr>
          <w:spacing w:val="-17"/>
        </w:rPr>
        <w:t>日开放日常赎回业务，于 </w:t>
      </w:r>
      <w:r>
        <w:rPr>
          <w:rFonts w:ascii="Calibri" w:eastAsia="Calibri"/>
        </w:rPr>
        <w:t>2017 </w:t>
      </w:r>
      <w:r>
        <w:rPr>
          <w:spacing w:val="-27"/>
        </w:rPr>
        <w:t>年 </w:t>
      </w:r>
      <w:r>
        <w:rPr>
          <w:rFonts w:ascii="Calibri" w:eastAsia="Calibri"/>
        </w:rPr>
        <w:t>11 </w:t>
      </w:r>
      <w:r>
        <w:rPr>
          <w:spacing w:val="-27"/>
        </w:rPr>
        <w:t>月 </w:t>
      </w:r>
      <w:r>
        <w:rPr>
          <w:rFonts w:ascii="Calibri" w:eastAsia="Calibri"/>
        </w:rPr>
        <w:t>3 </w:t>
      </w:r>
      <w:r>
        <w:rPr>
          <w:spacing w:val="-3"/>
        </w:rPr>
        <w:t>日开放日常申购、定期定额申购业务。</w:t>
      </w:r>
    </w:p>
    <w:p>
      <w:pPr>
        <w:pStyle w:val="BodyText"/>
        <w:spacing w:line="417" w:lineRule="auto"/>
        <w:ind w:left="540" w:right="871" w:firstLine="419"/>
        <w:jc w:val="both"/>
      </w:pPr>
      <w:r>
        <w:rPr>
          <w:spacing w:val="-6"/>
        </w:rPr>
        <w:t>基金管理人不得在基金合同约定之外的日期或者时间办理基金份额的申购、赎回或转换</w:t>
      </w:r>
      <w:r>
        <w:rPr>
          <w:spacing w:val="-11"/>
        </w:rPr>
        <w:t>业务。投资人在基金合同约定之外的日期和时间提出申购、赎回或转换申请且登记机构确认</w:t>
      </w:r>
      <w:r>
        <w:rPr>
          <w:spacing w:val="-6"/>
        </w:rPr>
        <w:t>接受的，其基金份额申购、赎回价格为下一开放日基金份额申购、赎回的价格。</w:t>
      </w:r>
    </w:p>
    <w:p>
      <w:pPr>
        <w:pStyle w:val="BodyText"/>
        <w:ind w:left="960"/>
      </w:pPr>
      <w:r>
        <w:rPr/>
        <w:t>（三）申购和赎回的原则</w:t>
      </w:r>
    </w:p>
    <w:p>
      <w:pPr>
        <w:pStyle w:val="BodyText"/>
        <w:spacing w:before="6"/>
        <w:rPr>
          <w:sz w:val="15"/>
        </w:rPr>
      </w:pPr>
    </w:p>
    <w:p>
      <w:pPr>
        <w:pStyle w:val="BodyText"/>
        <w:spacing w:line="417" w:lineRule="auto" w:before="1"/>
        <w:ind w:left="540" w:right="874" w:firstLine="419"/>
      </w:pPr>
      <w:r>
        <w:rPr>
          <w:rFonts w:ascii="Calibri" w:eastAsia="Calibri"/>
        </w:rPr>
        <w:t>1</w:t>
      </w:r>
      <w:r>
        <w:rPr/>
        <w:t>、本基金采用多币种销售，投资者在申购时可自行选择申购币种，赎回币种与其对应份额的认购</w:t>
      </w:r>
      <w:r>
        <w:rPr>
          <w:rFonts w:ascii="Calibri" w:eastAsia="Calibri"/>
        </w:rPr>
        <w:t>/</w:t>
      </w:r>
      <w:r>
        <w:rPr/>
        <w:t>申购币种相同。</w:t>
      </w:r>
    </w:p>
    <w:p>
      <w:pPr>
        <w:pStyle w:val="BodyText"/>
        <w:spacing w:line="417" w:lineRule="auto"/>
        <w:ind w:left="540" w:right="874" w:firstLine="419"/>
      </w:pPr>
      <w:r>
        <w:rPr>
          <w:rFonts w:ascii="Calibri" w:hAnsi="Calibri" w:eastAsia="Calibri"/>
        </w:rPr>
        <w:t>2</w:t>
      </w:r>
      <w:r>
        <w:rPr/>
        <w:t>、</w:t>
      </w:r>
      <w:r>
        <w:rPr>
          <w:rFonts w:ascii="Calibri" w:hAnsi="Calibri" w:eastAsia="Calibri"/>
        </w:rPr>
        <w:t>“</w:t>
      </w:r>
      <w:r>
        <w:rPr/>
        <w:t>未知价</w:t>
      </w:r>
      <w:r>
        <w:rPr>
          <w:rFonts w:ascii="Calibri" w:hAnsi="Calibri" w:eastAsia="Calibri"/>
        </w:rPr>
        <w:t>”</w:t>
      </w:r>
      <w:r>
        <w:rPr/>
        <w:t>原则，人民币申购与赎回价格以受理申请当日的基金份额净值为基准进行计算；美元申购与赎回价格以受理申请当日的美元折算净值为基准计算。</w:t>
      </w:r>
    </w:p>
    <w:p>
      <w:pPr>
        <w:pStyle w:val="BodyText"/>
        <w:spacing w:line="269" w:lineRule="exact"/>
        <w:ind w:left="960"/>
      </w:pPr>
      <w:r>
        <w:rPr>
          <w:rFonts w:ascii="Calibri" w:hAnsi="Calibri" w:eastAsia="Calibri"/>
        </w:rPr>
        <w:t>3</w:t>
      </w:r>
      <w:r>
        <w:rPr/>
        <w:t>、“金额申购、份额赎回”原则，即申购以金额申请，赎回以份额申请。</w:t>
      </w:r>
    </w:p>
    <w:p>
      <w:pPr>
        <w:pStyle w:val="BodyText"/>
        <w:spacing w:before="6"/>
        <w:rPr>
          <w:sz w:val="15"/>
        </w:rPr>
      </w:pPr>
    </w:p>
    <w:p>
      <w:pPr>
        <w:pStyle w:val="BodyText"/>
        <w:spacing w:line="417" w:lineRule="auto"/>
        <w:ind w:left="540" w:right="874" w:firstLine="419"/>
      </w:pPr>
      <w:r>
        <w:rPr>
          <w:rFonts w:ascii="Calibri" w:eastAsia="Calibri"/>
        </w:rPr>
        <w:t>4</w:t>
      </w:r>
      <w:r>
        <w:rPr/>
        <w:t>、投资者办理申购、赎回等业务时应提交的文件和办理手续、办理时间、处理规则等在遵守基金合同和招募说明书规定的前提下，以各销售机构的具体规定为准。</w:t>
      </w:r>
    </w:p>
    <w:p>
      <w:pPr>
        <w:pStyle w:val="BodyText"/>
        <w:ind w:left="960"/>
      </w:pPr>
      <w:r>
        <w:rPr>
          <w:rFonts w:ascii="Calibri" w:eastAsia="Calibri"/>
        </w:rPr>
        <w:t>5</w:t>
      </w:r>
      <w:r>
        <w:rPr/>
        <w:t>、当日的申购与赎回申请可以在基金管理人规定的时间以内撤销。</w:t>
      </w:r>
    </w:p>
    <w:p>
      <w:pPr>
        <w:pStyle w:val="BodyText"/>
        <w:spacing w:before="7"/>
        <w:rPr>
          <w:sz w:val="15"/>
        </w:rPr>
      </w:pPr>
    </w:p>
    <w:p>
      <w:pPr>
        <w:pStyle w:val="BodyText"/>
        <w:spacing w:line="417" w:lineRule="auto"/>
        <w:ind w:left="960" w:right="806"/>
      </w:pPr>
      <w:r>
        <w:rPr>
          <w:rFonts w:ascii="Calibri" w:hAnsi="Calibri" w:eastAsia="Calibri"/>
        </w:rPr>
        <w:t>6</w:t>
      </w:r>
      <w:r>
        <w:rPr/>
        <w:t>、赎回遵循</w:t>
      </w:r>
      <w:r>
        <w:rPr>
          <w:rFonts w:ascii="Calibri" w:hAnsi="Calibri" w:eastAsia="Calibri"/>
        </w:rPr>
        <w:t>“</w:t>
      </w:r>
      <w:r>
        <w:rPr/>
        <w:t>先进先出</w:t>
      </w:r>
      <w:r>
        <w:rPr>
          <w:rFonts w:ascii="Calibri" w:hAnsi="Calibri" w:eastAsia="Calibri"/>
        </w:rPr>
        <w:t>”</w:t>
      </w:r>
      <w:r>
        <w:rPr/>
        <w:t>原则，即按照投资人认购、申购的先后次序进行顺序赎回。 基金管理人可在不违反法律法规的情况下，对上述原则进行调整。基金管理人必须在新</w:t>
      </w:r>
    </w:p>
    <w:p>
      <w:pPr>
        <w:pStyle w:val="BodyText"/>
        <w:spacing w:line="269" w:lineRule="exact"/>
        <w:ind w:left="540"/>
      </w:pPr>
      <w:r>
        <w:rPr/>
        <w:t>规则开始实施前依照《信息披露办法》的有关规定在指定媒介上公告。</w:t>
      </w:r>
    </w:p>
    <w:p>
      <w:pPr>
        <w:pStyle w:val="BodyText"/>
        <w:spacing w:before="6"/>
        <w:rPr>
          <w:sz w:val="15"/>
        </w:rPr>
      </w:pPr>
    </w:p>
    <w:p>
      <w:pPr>
        <w:pStyle w:val="BodyText"/>
        <w:spacing w:before="1"/>
        <w:ind w:left="960"/>
      </w:pPr>
      <w:r>
        <w:rPr/>
        <w:t>（四）申购和赎回的数额限制</w:t>
      </w:r>
    </w:p>
    <w:p>
      <w:pPr>
        <w:pStyle w:val="BodyText"/>
        <w:spacing w:before="6"/>
        <w:rPr>
          <w:sz w:val="15"/>
        </w:rPr>
      </w:pPr>
    </w:p>
    <w:p>
      <w:pPr>
        <w:pStyle w:val="BodyText"/>
        <w:spacing w:line="417" w:lineRule="auto"/>
        <w:ind w:left="540" w:right="871" w:firstLine="419"/>
        <w:jc w:val="both"/>
      </w:pPr>
      <w:r>
        <w:rPr>
          <w:rFonts w:ascii="Times New Roman" w:eastAsia="Times New Roman"/>
        </w:rPr>
        <w:t>1</w:t>
      </w:r>
      <w:r>
        <w:rPr>
          <w:spacing w:val="-3"/>
        </w:rPr>
        <w:t>、投资者通过直销机构或华夏财富办理本基金的申购业务，人民币每次最低申购金额</w:t>
      </w:r>
      <w:r>
        <w:rPr>
          <w:spacing w:val="2"/>
          <w:w w:val="100"/>
        </w:rPr>
        <w:t>为</w:t>
      </w:r>
      <w:r>
        <w:rPr>
          <w:rFonts w:ascii="Times New Roman" w:eastAsia="Times New Roman"/>
          <w:w w:val="100"/>
        </w:rPr>
        <w:t>1.</w:t>
      </w:r>
      <w:r>
        <w:rPr>
          <w:rFonts w:ascii="Times New Roman" w:eastAsia="Times New Roman"/>
          <w:spacing w:val="-3"/>
          <w:w w:val="100"/>
        </w:rPr>
        <w:t>0</w:t>
      </w:r>
      <w:r>
        <w:rPr>
          <w:rFonts w:ascii="Times New Roman" w:eastAsia="Times New Roman"/>
          <w:spacing w:val="-1"/>
          <w:w w:val="100"/>
        </w:rPr>
        <w:t>0</w:t>
      </w:r>
      <w:r>
        <w:rPr>
          <w:w w:val="100"/>
        </w:rPr>
        <w:t>元</w:t>
      </w:r>
      <w:r>
        <w:rPr>
          <w:spacing w:val="2"/>
          <w:w w:val="100"/>
        </w:rPr>
        <w:t>（</w:t>
      </w:r>
      <w:r>
        <w:rPr>
          <w:w w:val="100"/>
        </w:rPr>
        <w:t>含申购费</w:t>
      </w:r>
      <w:r>
        <w:rPr>
          <w:spacing w:val="-106"/>
          <w:w w:val="100"/>
        </w:rPr>
        <w:t>）</w:t>
      </w:r>
      <w:r>
        <w:rPr>
          <w:w w:val="100"/>
        </w:rPr>
        <w:t>，通过其他代销机构办理本基金的申购业务，人民币每次最低申购金</w:t>
      </w:r>
      <w:r>
        <w:rPr>
          <w:spacing w:val="-10"/>
        </w:rPr>
        <w:t>额、美元每次最低申购金额以各代销机构的规定为准。具体业务办理请遵循各销售机构的相</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before="71"/>
        <w:ind w:left="540"/>
      </w:pPr>
      <w:r>
        <w:rPr/>
        <w:t>关规定。</w:t>
      </w:r>
    </w:p>
    <w:p>
      <w:pPr>
        <w:pStyle w:val="BodyText"/>
        <w:spacing w:before="7"/>
        <w:rPr>
          <w:sz w:val="15"/>
        </w:rPr>
      </w:pPr>
    </w:p>
    <w:p>
      <w:pPr>
        <w:pStyle w:val="BodyText"/>
        <w:spacing w:line="417" w:lineRule="auto"/>
        <w:ind w:left="540" w:right="768" w:firstLine="419"/>
      </w:pPr>
      <w:r>
        <w:rPr>
          <w:rFonts w:ascii="Times New Roman" w:eastAsia="Times New Roman"/>
        </w:rPr>
        <w:t>2</w:t>
      </w:r>
      <w:r>
        <w:rPr>
          <w:spacing w:val="-14"/>
        </w:rPr>
        <w:t>、投资者通过直销机构或华夏财富办理本基金的赎回业务，每次赎回申请不得低于</w:t>
      </w:r>
      <w:r>
        <w:rPr>
          <w:rFonts w:ascii="Times New Roman" w:eastAsia="Times New Roman"/>
        </w:rPr>
        <w:t>1.00 </w:t>
      </w:r>
      <w:r>
        <w:rPr>
          <w:spacing w:val="-12"/>
        </w:rPr>
        <w:t>份基金份额，基金份额持有人赎回时或赎回后在直销机构或华夏财富保留的基金份额余额不足</w:t>
      </w:r>
      <w:r>
        <w:rPr>
          <w:rFonts w:ascii="Times New Roman" w:eastAsia="Times New Roman"/>
          <w:spacing w:val="-12"/>
        </w:rPr>
        <w:t>1.00</w:t>
      </w:r>
      <w:r>
        <w:rPr>
          <w:spacing w:val="-12"/>
        </w:rPr>
        <w:t>份的，在赎回时需一次全部赎回。投资者通过其他代销机构办理本基金的赎回业务， </w:t>
      </w:r>
      <w:r>
        <w:rPr>
          <w:spacing w:val="-8"/>
        </w:rPr>
        <w:t>每次最低赎回份额、基金份额持有人赎回时或赎回后在该代销机构</w:t>
      </w:r>
      <w:r>
        <w:rPr/>
        <w:t>（</w:t>
      </w:r>
      <w:r>
        <w:rPr>
          <w:spacing w:val="-3"/>
        </w:rPr>
        <w:t>网点</w:t>
      </w:r>
      <w:r>
        <w:rPr>
          <w:spacing w:val="-34"/>
        </w:rPr>
        <w:t>）</w:t>
      </w:r>
      <w:r>
        <w:rPr>
          <w:spacing w:val="-1"/>
        </w:rPr>
        <w:t>保留的最低基金</w:t>
      </w:r>
      <w:r>
        <w:rPr>
          <w:spacing w:val="-3"/>
        </w:rPr>
        <w:t>份额余额以各代销机构的规定为准。具体业务办理请遵循各销售机构的相关规定。</w:t>
      </w:r>
    </w:p>
    <w:p>
      <w:pPr>
        <w:pStyle w:val="BodyText"/>
        <w:spacing w:line="417" w:lineRule="auto"/>
        <w:ind w:left="540" w:right="874" w:firstLine="419"/>
      </w:pPr>
      <w:r>
        <w:rPr>
          <w:rFonts w:ascii="Calibri" w:eastAsia="Calibri"/>
        </w:rPr>
        <w:t>3</w:t>
      </w:r>
      <w:r>
        <w:rPr/>
        <w:t>、基金管理人可以对基金的总规模及单个投资人累计持有的基金份额上限进行限制， 并在招募说明书或相关公告中列明。</w:t>
      </w:r>
    </w:p>
    <w:p>
      <w:pPr>
        <w:pStyle w:val="BodyText"/>
        <w:spacing w:line="417" w:lineRule="auto"/>
        <w:ind w:left="540" w:right="871" w:firstLine="419"/>
        <w:jc w:val="both"/>
      </w:pPr>
      <w:r>
        <w:rPr>
          <w:rFonts w:ascii="Calibri" w:eastAsia="Calibri"/>
        </w:rPr>
        <w:t>4</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540" w:right="873" w:firstLine="419"/>
      </w:pPr>
      <w:r>
        <w:rPr>
          <w:rFonts w:ascii="Calibri" w:eastAsia="Calibri"/>
        </w:rPr>
        <w:t>5</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960"/>
      </w:pPr>
      <w:r>
        <w:rPr/>
        <w:t>（五）申购和赎回的程序</w:t>
      </w:r>
    </w:p>
    <w:p>
      <w:pPr>
        <w:pStyle w:val="BodyText"/>
        <w:spacing w:before="6"/>
        <w:rPr>
          <w:sz w:val="15"/>
        </w:rPr>
      </w:pPr>
    </w:p>
    <w:p>
      <w:pPr>
        <w:pStyle w:val="BodyText"/>
        <w:ind w:left="960"/>
      </w:pPr>
      <w:r>
        <w:rPr>
          <w:rFonts w:ascii="Calibri" w:eastAsia="Calibri"/>
        </w:rPr>
        <w:t>1</w:t>
      </w:r>
      <w:r>
        <w:rPr/>
        <w:t>、申购和赎回的申请方式</w:t>
      </w:r>
    </w:p>
    <w:p>
      <w:pPr>
        <w:pStyle w:val="BodyText"/>
        <w:spacing w:before="7"/>
        <w:rPr>
          <w:sz w:val="15"/>
        </w:rPr>
      </w:pPr>
    </w:p>
    <w:p>
      <w:pPr>
        <w:pStyle w:val="BodyText"/>
        <w:spacing w:line="417" w:lineRule="auto"/>
        <w:ind w:left="540" w:right="87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960"/>
      </w:pPr>
      <w:r>
        <w:rPr>
          <w:rFonts w:ascii="Calibri" w:eastAsia="Calibri"/>
        </w:rPr>
        <w:t>2</w:t>
      </w:r>
      <w:r>
        <w:rPr/>
        <w:t>、申购和赎回的款项支付</w:t>
      </w:r>
    </w:p>
    <w:p>
      <w:pPr>
        <w:pStyle w:val="BodyText"/>
        <w:spacing w:before="6"/>
        <w:rPr>
          <w:sz w:val="15"/>
        </w:rPr>
      </w:pPr>
    </w:p>
    <w:p>
      <w:pPr>
        <w:pStyle w:val="BodyText"/>
        <w:spacing w:line="417" w:lineRule="auto" w:before="1"/>
        <w:ind w:left="540" w:right="87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540" w:right="871" w:firstLine="419"/>
        <w:jc w:val="both"/>
      </w:pPr>
      <w:r>
        <w:rPr>
          <w:spacing w:val="-9"/>
        </w:rPr>
        <w:t>基金份额持有人递交赎回申请，赎回成立，赎回是否生效以基金登记机构确认为准。基金份额持有人赎回申请成功后，基金管理人将在 </w:t>
      </w:r>
      <w:r>
        <w:rPr>
          <w:rFonts w:ascii="Calibri" w:eastAsia="Calibri"/>
        </w:rPr>
        <w:t>T</w:t>
      </w:r>
      <w:r>
        <w:rPr/>
        <w:t>＋</w:t>
      </w:r>
      <w:r>
        <w:rPr>
          <w:rFonts w:ascii="Calibri" w:eastAsia="Calibri"/>
        </w:rPr>
        <w:t>10 </w:t>
      </w:r>
      <w:r>
        <w:rPr>
          <w:spacing w:val="-24"/>
        </w:rPr>
        <w:t>日</w:t>
      </w:r>
      <w:r>
        <w:rPr>
          <w:spacing w:val="-3"/>
        </w:rPr>
        <w:t>（</w:t>
      </w:r>
      <w:r>
        <w:rPr>
          <w:spacing w:val="-2"/>
        </w:rPr>
        <w:t>包括该日</w:t>
      </w:r>
      <w:r>
        <w:rPr>
          <w:spacing w:val="-27"/>
        </w:rPr>
        <w:t>）</w:t>
      </w:r>
      <w:r>
        <w:rPr>
          <w:spacing w:val="-6"/>
        </w:rPr>
        <w:t>内支付赎回款项。若</w:t>
      </w:r>
      <w:r>
        <w:rPr>
          <w:spacing w:val="-10"/>
        </w:rPr>
        <w:t>遇特殊情况，如基金投资主要市场暂停交易、交易清算规则发生较大变化等，赎回款项支付</w:t>
      </w:r>
      <w:r>
        <w:rPr>
          <w:spacing w:val="-5"/>
        </w:rPr>
        <w:t>的时间可相应调整。在发生巨额赎回时，款项的支付办法参照基金合同有关条款处理。</w:t>
      </w:r>
    </w:p>
    <w:p>
      <w:pPr>
        <w:pStyle w:val="BodyText"/>
        <w:ind w:left="960"/>
      </w:pPr>
      <w:r>
        <w:rPr>
          <w:rFonts w:ascii="Calibri" w:eastAsia="Calibri"/>
        </w:rPr>
        <w:t>3</w:t>
      </w:r>
      <w:r>
        <w:rPr/>
        <w:t>、申购和赎回申请的确认</w:t>
      </w:r>
    </w:p>
    <w:p>
      <w:pPr>
        <w:pStyle w:val="BodyText"/>
        <w:spacing w:before="6"/>
        <w:rPr>
          <w:sz w:val="15"/>
        </w:rPr>
      </w:pPr>
    </w:p>
    <w:p>
      <w:pPr>
        <w:pStyle w:val="BodyText"/>
        <w:spacing w:line="417" w:lineRule="auto"/>
        <w:ind w:left="540" w:right="871" w:firstLine="419"/>
        <w:jc w:val="both"/>
      </w:pPr>
      <w:r>
        <w:rPr/>
        <w:t>基金管理人应以交易时间结束前受理有效申购和赎回申请的当天作为申购或赎回申请</w:t>
      </w:r>
      <w:r>
        <w:rPr>
          <w:spacing w:val="-22"/>
          <w:w w:val="100"/>
        </w:rPr>
        <w:t>日</w:t>
      </w:r>
      <w:r>
        <w:rPr>
          <w:spacing w:val="-3"/>
          <w:w w:val="100"/>
        </w:rPr>
        <w:t>（</w:t>
      </w:r>
      <w:r>
        <w:rPr>
          <w:rFonts w:ascii="Calibri" w:eastAsia="Calibri"/>
          <w:w w:val="100"/>
        </w:rPr>
        <w:t>T</w:t>
      </w:r>
      <w:r>
        <w:rPr>
          <w:rFonts w:ascii="Calibri" w:eastAsia="Calibri"/>
        </w:rPr>
        <w:t> </w:t>
      </w:r>
      <w:r>
        <w:rPr>
          <w:w w:val="100"/>
        </w:rPr>
        <w:t>日</w:t>
      </w:r>
      <w:r>
        <w:rPr>
          <w:spacing w:val="-108"/>
          <w:w w:val="100"/>
        </w:rPr>
        <w:t>）</w:t>
      </w:r>
      <w:r>
        <w:rPr>
          <w:spacing w:val="-9"/>
          <w:w w:val="100"/>
        </w:rPr>
        <w:t>，在正常情况下，本基金登记机构在</w:t>
      </w:r>
      <w:r>
        <w:rPr>
          <w:spacing w:val="-9"/>
        </w:rPr>
        <w:t> </w:t>
      </w:r>
      <w:r>
        <w:rPr>
          <w:rFonts w:ascii="Calibri" w:eastAsia="Calibri"/>
          <w:w w:val="100"/>
        </w:rPr>
        <w:t>T</w:t>
      </w:r>
      <w:r>
        <w:rPr>
          <w:rFonts w:ascii="Calibri" w:eastAsia="Calibri"/>
          <w:spacing w:val="-2"/>
          <w:w w:val="100"/>
        </w:rPr>
        <w:t>+</w:t>
      </w:r>
      <w:r>
        <w:rPr>
          <w:rFonts w:ascii="Calibri" w:eastAsia="Calibri"/>
          <w:w w:val="100"/>
        </w:rPr>
        <w:t>2</w:t>
      </w:r>
      <w:r>
        <w:rPr>
          <w:rFonts w:ascii="Calibri" w:eastAsia="Calibri"/>
        </w:rPr>
        <w:t> </w:t>
      </w:r>
      <w:r>
        <w:rPr>
          <w:spacing w:val="-5"/>
          <w:w w:val="100"/>
        </w:rPr>
        <w:t>日内对该交易的有效性进行确认。</w:t>
      </w:r>
      <w:r>
        <w:rPr>
          <w:rFonts w:ascii="Calibri" w:eastAsia="Calibri"/>
          <w:w w:val="100"/>
        </w:rPr>
        <w:t>T</w:t>
      </w:r>
      <w:r>
        <w:rPr>
          <w:rFonts w:ascii="Calibri" w:eastAsia="Calibri"/>
        </w:rPr>
        <w:t> </w:t>
      </w:r>
      <w:r>
        <w:rPr>
          <w:spacing w:val="-3"/>
          <w:w w:val="100"/>
        </w:rPr>
        <w:t>日提</w:t>
      </w:r>
      <w:r>
        <w:rPr>
          <w:spacing w:val="-9"/>
        </w:rPr>
        <w:t>交的有效申请，投资人可在 </w:t>
      </w:r>
      <w:r>
        <w:rPr>
          <w:rFonts w:ascii="Calibri" w:eastAsia="Calibri"/>
        </w:rPr>
        <w:t>T+3 </w:t>
      </w:r>
      <w:r>
        <w:rPr>
          <w:spacing w:val="-16"/>
        </w:rPr>
        <w:t>日后</w:t>
      </w:r>
      <w:r>
        <w:rPr>
          <w:spacing w:val="-3"/>
        </w:rPr>
        <w:t>（包括该日</w:t>
      </w:r>
      <w:r>
        <w:rPr>
          <w:spacing w:val="-34"/>
        </w:rPr>
        <w:t>）</w:t>
      </w:r>
      <w:r>
        <w:rPr>
          <w:spacing w:val="-3"/>
        </w:rPr>
        <w:t>到销售网点柜台或以销售机构规定的其他</w:t>
      </w:r>
      <w:r>
        <w:rPr>
          <w:spacing w:val="-9"/>
        </w:rPr>
        <w:t>方式查询申请的确认情况。销售机构对申购、赎回申请的受理并不代表申请一定成功，而仅代表销售机构确实接收到申请。申购、赎回的确认以登记机的确认结果为准。对于申请的确</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before="71"/>
        <w:ind w:left="540"/>
      </w:pPr>
      <w:r>
        <w:rPr/>
        <w:t>认情况，投资者应及时查询。若申购不成功或无效，则申购款项退还给投资人。</w:t>
      </w:r>
    </w:p>
    <w:p>
      <w:pPr>
        <w:pStyle w:val="BodyText"/>
        <w:spacing w:before="7"/>
        <w:rPr>
          <w:sz w:val="15"/>
        </w:rPr>
      </w:pPr>
    </w:p>
    <w:p>
      <w:pPr>
        <w:pStyle w:val="BodyText"/>
        <w:spacing w:line="417" w:lineRule="auto"/>
        <w:ind w:left="540" w:right="873" w:firstLine="419"/>
      </w:pPr>
      <w:r>
        <w:rPr>
          <w:rFonts w:ascii="Calibri" w:eastAsia="Calibri"/>
        </w:rPr>
        <w:t>4</w:t>
      </w:r>
      <w:r>
        <w:rPr/>
        <w:t>、在法律法规允许的范围内，基金管理人可根据业务规则，对上述业务办理时间进行调整，并提前公告。</w:t>
      </w:r>
    </w:p>
    <w:p>
      <w:pPr>
        <w:pStyle w:val="BodyText"/>
        <w:spacing w:line="269" w:lineRule="exact"/>
        <w:ind w:left="960"/>
      </w:pPr>
      <w:r>
        <w:rPr/>
        <w:t>（六）申购费与赎回费</w:t>
      </w:r>
    </w:p>
    <w:p>
      <w:pPr>
        <w:pStyle w:val="BodyText"/>
        <w:spacing w:before="7"/>
        <w:rPr>
          <w:sz w:val="15"/>
        </w:rPr>
      </w:pPr>
    </w:p>
    <w:p>
      <w:pPr>
        <w:pStyle w:val="BodyText"/>
        <w:ind w:left="960"/>
      </w:pPr>
      <w:r>
        <w:rPr>
          <w:rFonts w:ascii="Times New Roman" w:eastAsia="Times New Roman"/>
        </w:rPr>
        <w:t>1</w:t>
      </w:r>
      <w:r>
        <w:rPr/>
        <w:t>、投资者在认购 </w:t>
      </w:r>
      <w:r>
        <w:rPr>
          <w:rFonts w:ascii="Times New Roman" w:eastAsia="Times New Roman"/>
        </w:rPr>
        <w:t>A </w:t>
      </w:r>
      <w:r>
        <w:rPr/>
        <w:t>类基金份额时需交纳前端申购费，</w:t>
      </w:r>
      <w:r>
        <w:rPr>
          <w:rFonts w:ascii="Times New Roman" w:eastAsia="Times New Roman"/>
        </w:rPr>
        <w:t>A </w:t>
      </w:r>
      <w:r>
        <w:rPr/>
        <w:t>类份额各币种申购费率如下：</w:t>
      </w:r>
    </w:p>
    <w:p>
      <w:pPr>
        <w:pStyle w:val="BodyText"/>
        <w:spacing w:before="6"/>
        <w:rPr>
          <w:sz w:val="15"/>
        </w:rPr>
      </w:pPr>
    </w:p>
    <w:p>
      <w:pPr>
        <w:pStyle w:val="ListParagraph"/>
        <w:numPr>
          <w:ilvl w:val="0"/>
          <w:numId w:val="17"/>
        </w:numPr>
        <w:tabs>
          <w:tab w:pos="1490" w:val="left" w:leader="none"/>
        </w:tabs>
        <w:spacing w:line="240" w:lineRule="auto" w:before="1" w:after="0"/>
        <w:ind w:left="1489" w:right="0" w:hanging="530"/>
        <w:jc w:val="left"/>
        <w:rPr>
          <w:sz w:val="21"/>
        </w:rPr>
      </w:pPr>
      <w:r>
        <w:rPr/>
        <w:pict>
          <v:group style="position:absolute;margin-left:158.419998pt;margin-top:18.469982pt;width:277.850pt;height:146.450pt;mso-position-horizontal-relative:page;mso-position-vertical-relative:paragraph;z-index:-251649024;mso-wrap-distance-left:0;mso-wrap-distance-right:0" coordorigin="3168,369" coordsize="5557,2929">
            <v:line style="position:absolute" from="3183,384" to="7139,384" stroked="true" strokeweight="1.44pt" strokecolor="#000000">
              <v:stroke dashstyle="solid"/>
            </v:line>
            <v:shape style="position:absolute;left:7139;top:398;width:10;height:3" type="#_x0000_t75" stroked="false">
              <v:imagedata r:id="rId7" o:title=""/>
            </v:shape>
            <v:rect style="position:absolute;left:7139;top:369;width:29;height:29" filled="true" fillcolor="#000000" stroked="false">
              <v:fill type="solid"/>
            </v:rect>
            <v:line style="position:absolute" from="7168,384" to="8725,384" stroked="true" strokeweight="1.44pt" strokecolor="#000000">
              <v:stroke dashstyle="solid"/>
            </v:line>
            <v:shape style="position:absolute;left:7139;top:400;width:10;height:466" type="#_x0000_t75" stroked="false">
              <v:imagedata r:id="rId11" o:title=""/>
            </v:shape>
            <v:line style="position:absolute" from="3183,881" to="7139,881" stroked="true" strokeweight="1.44pt" strokecolor="#000000">
              <v:stroke dashstyle="solid"/>
            </v:line>
            <v:shape style="position:absolute;left:7139;top:866;width:10;height:32" type="#_x0000_t75" stroked="false">
              <v:imagedata r:id="rId12" o:title=""/>
            </v:shape>
            <v:line style="position:absolute" from="7149,881" to="8725,881" stroked="true" strokeweight="1.44pt" strokecolor="#000000">
              <v:stroke dashstyle="solid"/>
            </v:line>
            <v:shape style="position:absolute;left:3182;top:897;width:3966;height:479" type="#_x0000_t75" stroked="false">
              <v:imagedata r:id="rId13" o:title=""/>
            </v:shape>
            <v:rect style="position:absolute;left:7119;top:1366;width:20;height:10" filled="true" fillcolor="#000000" stroked="false">
              <v:fill type="solid"/>
            </v:rect>
            <v:rect style="position:absolute;left:7139;top:1366;width:10;height:10" filled="true" fillcolor="#000000" stroked="false">
              <v:fill type="solid"/>
            </v:rect>
            <v:rect style="position:absolute;left:7148;top:1366;width:48;height:10" filled="true" fillcolor="#000000" stroked="false">
              <v:fill type="solid"/>
            </v:rect>
            <v:rect style="position:absolute;left:7196;top:1366;width:48;height:10" filled="true" fillcolor="#000000" stroked="false">
              <v:fill type="solid"/>
            </v:rect>
            <v:rect style="position:absolute;left:7244;top:1366;width:48;height:10" filled="true" fillcolor="#000000" stroked="false">
              <v:fill type="solid"/>
            </v:rect>
            <v:rect style="position:absolute;left:7292;top:1366;width:48;height:10" filled="true" fillcolor="#000000" stroked="false">
              <v:fill type="solid"/>
            </v:rect>
            <v:rect style="position:absolute;left:7340;top:1366;width:48;height:10" filled="true" fillcolor="#000000" stroked="false">
              <v:fill type="solid"/>
            </v:rect>
            <v:rect style="position:absolute;left:7388;top:1366;width:48;height:10" filled="true" fillcolor="#000000" stroked="false">
              <v:fill type="solid"/>
            </v:rect>
            <v:rect style="position:absolute;left:7436;top:1366;width:48;height:10" filled="true" fillcolor="#000000" stroked="false">
              <v:fill type="solid"/>
            </v:rect>
            <v:rect style="position:absolute;left:7484;top:1366;width:48;height:10" filled="true" fillcolor="#000000" stroked="false">
              <v:fill type="solid"/>
            </v:rect>
            <v:rect style="position:absolute;left:7532;top:1366;width:48;height:10" filled="true" fillcolor="#000000" stroked="false">
              <v:fill type="solid"/>
            </v:rect>
            <v:rect style="position:absolute;left:7580;top:1366;width:48;height:10" filled="true" fillcolor="#000000" stroked="false">
              <v:fill type="solid"/>
            </v:rect>
            <v:rect style="position:absolute;left:7628;top:1366;width:48;height:10" filled="true" fillcolor="#000000" stroked="false">
              <v:fill type="solid"/>
            </v:rect>
            <v:rect style="position:absolute;left:7676;top:1366;width:48;height:10" filled="true" fillcolor="#000000" stroked="false">
              <v:fill type="solid"/>
            </v:rect>
            <v:rect style="position:absolute;left:7724;top:1366;width:48;height:10" filled="true" fillcolor="#000000" stroked="false">
              <v:fill type="solid"/>
            </v:rect>
            <v:rect style="position:absolute;left:7772;top:1366;width:48;height:10" filled="true" fillcolor="#000000" stroked="false">
              <v:fill type="solid"/>
            </v:rect>
            <v:rect style="position:absolute;left:7820;top:1366;width:48;height:10" filled="true" fillcolor="#000000" stroked="false">
              <v:fill type="solid"/>
            </v:rect>
            <v:rect style="position:absolute;left:7868;top:1366;width:48;height:10" filled="true" fillcolor="#000000" stroked="false">
              <v:fill type="solid"/>
            </v:rect>
            <v:rect style="position:absolute;left:7916;top:1366;width:48;height:10" filled="true" fillcolor="#000000" stroked="false">
              <v:fill type="solid"/>
            </v:rect>
            <v:rect style="position:absolute;left:7964;top:1366;width:48;height:10" filled="true" fillcolor="#000000" stroked="false">
              <v:fill type="solid"/>
            </v:rect>
            <v:rect style="position:absolute;left:8012;top:1366;width:48;height:10" filled="true" fillcolor="#000000" stroked="false">
              <v:fill type="solid"/>
            </v:rect>
            <v:rect style="position:absolute;left:8060;top:1366;width:48;height:10" filled="true" fillcolor="#000000" stroked="false">
              <v:fill type="solid"/>
            </v:rect>
            <v:rect style="position:absolute;left:8108;top:1366;width:48;height:10" filled="true" fillcolor="#000000" stroked="false">
              <v:fill type="solid"/>
            </v:rect>
            <v:rect style="position:absolute;left:8156;top:1366;width:48;height:10" filled="true" fillcolor="#000000" stroked="false">
              <v:fill type="solid"/>
            </v:rect>
            <v:rect style="position:absolute;left:8204;top:1366;width:48;height:10" filled="true" fillcolor="#000000" stroked="false">
              <v:fill type="solid"/>
            </v:rect>
            <v:rect style="position:absolute;left:8252;top:1366;width:48;height:10" filled="true" fillcolor="#000000" stroked="false">
              <v:fill type="solid"/>
            </v:rect>
            <v:rect style="position:absolute;left:8300;top:1366;width:48;height:10" filled="true" fillcolor="#000000" stroked="false">
              <v:fill type="solid"/>
            </v:rect>
            <v:rect style="position:absolute;left:8348;top:1366;width:48;height:10" filled="true" fillcolor="#000000" stroked="false">
              <v:fill type="solid"/>
            </v:rect>
            <v:rect style="position:absolute;left:8396;top:1366;width:48;height:10" filled="true" fillcolor="#000000" stroked="false">
              <v:fill type="solid"/>
            </v:rect>
            <v:rect style="position:absolute;left:8444;top:1366;width:48;height:10" filled="true" fillcolor="#000000" stroked="false">
              <v:fill type="solid"/>
            </v:rect>
            <v:rect style="position:absolute;left:8492;top:1366;width:48;height:10" filled="true" fillcolor="#000000" stroked="false">
              <v:fill type="solid"/>
            </v:rect>
            <v:rect style="position:absolute;left:8540;top:1366;width:48;height:10" filled="true" fillcolor="#000000" stroked="false">
              <v:fill type="solid"/>
            </v:rect>
            <v:rect style="position:absolute;left:8588;top:1366;width:48;height:10" filled="true" fillcolor="#000000" stroked="false">
              <v:fill type="solid"/>
            </v:rect>
            <v:rect style="position:absolute;left:8636;top:1366;width:48;height:10" filled="true" fillcolor="#000000" stroked="false">
              <v:fill type="solid"/>
            </v:rect>
            <v:rect style="position:absolute;left:8684;top:1366;width:41;height:10" filled="true" fillcolor="#000000" stroked="false">
              <v:fill type="solid"/>
            </v:rect>
            <v:shape style="position:absolute;left:3182;top:1375;width:3966;height:478" type="#_x0000_t75" stroked="false">
              <v:imagedata r:id="rId14" o:title=""/>
            </v:shape>
            <v:line style="position:absolute" from="7120,1848" to="8725,1848" stroked="true" strokeweight=".47998pt" strokecolor="#000000">
              <v:stroke dashstyle="solid"/>
            </v:line>
            <v:shape style="position:absolute;left:3182;top:1853;width:3966;height:478" type="#_x0000_t75" stroked="false">
              <v:imagedata r:id="rId14" o:title=""/>
            </v:shape>
            <v:line style="position:absolute" from="7120,2326" to="8725,2326" stroked="true" strokeweight=".47998pt" strokecolor="#000000">
              <v:stroke dashstyle="solid"/>
            </v:line>
            <v:line style="position:absolute" from="3168,3284" to="7139,3284" stroked="true" strokeweight="1.44pt" strokecolor="#000000">
              <v:stroke dashstyle="solid"/>
            </v:line>
            <v:shape style="position:absolute;left:7139;top:2330;width:10;height:939" type="#_x0000_t75" stroked="false">
              <v:imagedata r:id="rId15" o:title=""/>
            </v:shape>
            <v:rect style="position:absolute;left:7139;top:3269;width:29;height:29" filled="true" fillcolor="#000000" stroked="false">
              <v:fill type="solid"/>
            </v:rect>
            <v:line style="position:absolute" from="7168,3284" to="8725,3284" stroked="true" strokeweight="1.44pt" strokecolor="#000000">
              <v:stroke dashstyle="solid"/>
            </v:line>
            <v:shape style="position:absolute;left:4109;top:526;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302;top:526;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635;top:1026;width:1077;height:235" type="#_x0000_t202" filled="false" stroked="false">
              <v:textbox inset="0,0,0,0">
                <w:txbxContent>
                  <w:p>
                    <w:pPr>
                      <w:spacing w:line="234" w:lineRule="exact" w:before="0"/>
                      <w:ind w:left="0" w:right="0" w:firstLine="0"/>
                      <w:jc w:val="left"/>
                      <w:rPr>
                        <w:sz w:val="21"/>
                      </w:rPr>
                    </w:pPr>
                    <w:r>
                      <w:rPr>
                        <w:rFonts w:ascii="Calibri" w:eastAsia="Calibri"/>
                        <w:sz w:val="21"/>
                      </w:rPr>
                      <w:t>50</w:t>
                    </w:r>
                    <w:r>
                      <w:rPr>
                        <w:sz w:val="21"/>
                      </w:rPr>
                      <w:t>万元以下</w:t>
                    </w:r>
                  </w:p>
                </w:txbxContent>
              </v:textbox>
              <w10:wrap type="none"/>
            </v:shape>
            <v:shape style="position:absolute;left:7671;top:1044;width:546;height:212" type="#_x0000_t202" filled="false" stroked="false">
              <v:textbox inset="0,0,0,0">
                <w:txbxContent>
                  <w:p>
                    <w:pPr>
                      <w:spacing w:line="211" w:lineRule="exact" w:before="0"/>
                      <w:ind w:left="0" w:right="0" w:firstLine="0"/>
                      <w:jc w:val="left"/>
                      <w:rPr>
                        <w:rFonts w:ascii="Calibri"/>
                        <w:sz w:val="21"/>
                      </w:rPr>
                    </w:pPr>
                    <w:r>
                      <w:rPr>
                        <w:rFonts w:ascii="Calibri"/>
                        <w:sz w:val="21"/>
                      </w:rPr>
                      <w:t>0.80%</w:t>
                    </w:r>
                  </w:p>
                </w:txbxContent>
              </v:textbox>
              <w10:wrap type="none"/>
            </v:shape>
            <v:shape style="position:absolute;left:3391;top:1503;width:3564;height:235" type="#_x0000_t202" filled="false" stroked="false">
              <v:textbox inset="0,0,0,0">
                <w:txbxContent>
                  <w:p>
                    <w:pPr>
                      <w:spacing w:line="234" w:lineRule="exact" w:before="0"/>
                      <w:ind w:left="0" w:right="0" w:firstLine="0"/>
                      <w:jc w:val="left"/>
                      <w:rPr>
                        <w:sz w:val="21"/>
                      </w:rPr>
                    </w:pPr>
                    <w:r>
                      <w:rPr>
                        <w:rFonts w:ascii="Calibri" w:eastAsia="Calibri"/>
                        <w:sz w:val="21"/>
                      </w:rPr>
                      <w:t>50</w:t>
                    </w:r>
                    <w:r>
                      <w:rPr>
                        <w:sz w:val="21"/>
                      </w:rPr>
                      <w:t>万元以上（含</w:t>
                    </w:r>
                    <w:r>
                      <w:rPr>
                        <w:rFonts w:ascii="Calibri" w:eastAsia="Calibri"/>
                        <w:sz w:val="21"/>
                      </w:rPr>
                      <w:t>50</w:t>
                    </w:r>
                    <w:r>
                      <w:rPr>
                        <w:sz w:val="21"/>
                      </w:rPr>
                      <w:t>万元）</w:t>
                    </w:r>
                    <w:r>
                      <w:rPr>
                        <w:rFonts w:ascii="Calibri" w:eastAsia="Calibri"/>
                        <w:sz w:val="21"/>
                      </w:rPr>
                      <w:t>-200</w:t>
                    </w:r>
                    <w:r>
                      <w:rPr>
                        <w:sz w:val="21"/>
                      </w:rPr>
                      <w:t>万元以下</w:t>
                    </w:r>
                  </w:p>
                </w:txbxContent>
              </v:textbox>
              <w10:wrap type="none"/>
            </v:shape>
            <v:shape style="position:absolute;left:7671;top:1522;width:546;height:212" type="#_x0000_t202" filled="false" stroked="false">
              <v:textbox inset="0,0,0,0">
                <w:txbxContent>
                  <w:p>
                    <w:pPr>
                      <w:spacing w:line="211" w:lineRule="exact" w:before="0"/>
                      <w:ind w:left="0" w:right="0" w:firstLine="0"/>
                      <w:jc w:val="left"/>
                      <w:rPr>
                        <w:rFonts w:ascii="Calibri"/>
                        <w:sz w:val="21"/>
                      </w:rPr>
                    </w:pPr>
                    <w:r>
                      <w:rPr>
                        <w:rFonts w:ascii="Calibri"/>
                        <w:sz w:val="21"/>
                      </w:rPr>
                      <w:t>0.60%</w:t>
                    </w:r>
                  </w:p>
                </w:txbxContent>
              </v:textbox>
              <w10:wrap type="none"/>
            </v:shape>
            <v:shape style="position:absolute;left:3290;top:1981;width:5247;height:1157" type="#_x0000_t202" filled="false" stroked="false">
              <v:textbox inset="0,0,0,0">
                <w:txbxContent>
                  <w:p>
                    <w:pPr>
                      <w:tabs>
                        <w:tab w:pos="4380" w:val="left" w:leader="none"/>
                      </w:tabs>
                      <w:spacing w:line="241" w:lineRule="exact" w:before="0"/>
                      <w:ind w:left="0" w:right="0" w:firstLine="0"/>
                      <w:jc w:val="left"/>
                      <w:rPr>
                        <w:rFonts w:ascii="Calibri" w:eastAsia="Calibri"/>
                        <w:sz w:val="21"/>
                      </w:rPr>
                    </w:pPr>
                    <w:r>
                      <w:rPr>
                        <w:rFonts w:ascii="Calibri" w:eastAsia="Calibri"/>
                        <w:sz w:val="21"/>
                      </w:rPr>
                      <w:t>200</w:t>
                    </w:r>
                    <w:r>
                      <w:rPr>
                        <w:spacing w:val="-3"/>
                        <w:sz w:val="21"/>
                      </w:rPr>
                      <w:t>万</w:t>
                    </w:r>
                    <w:r>
                      <w:rPr>
                        <w:sz w:val="21"/>
                      </w:rPr>
                      <w:t>元</w:t>
                    </w:r>
                    <w:r>
                      <w:rPr>
                        <w:spacing w:val="-3"/>
                        <w:sz w:val="21"/>
                      </w:rPr>
                      <w:t>以</w:t>
                    </w:r>
                    <w:r>
                      <w:rPr>
                        <w:spacing w:val="-5"/>
                        <w:sz w:val="21"/>
                      </w:rPr>
                      <w:t>上</w:t>
                    </w:r>
                    <w:r>
                      <w:rPr>
                        <w:sz w:val="21"/>
                      </w:rPr>
                      <w:t>（</w:t>
                    </w:r>
                    <w:r>
                      <w:rPr>
                        <w:spacing w:val="-3"/>
                        <w:sz w:val="21"/>
                      </w:rPr>
                      <w:t>含</w:t>
                    </w:r>
                    <w:r>
                      <w:rPr>
                        <w:rFonts w:ascii="Calibri" w:eastAsia="Calibri"/>
                        <w:sz w:val="21"/>
                      </w:rPr>
                      <w:t>200</w:t>
                    </w:r>
                    <w:r>
                      <w:rPr>
                        <w:sz w:val="21"/>
                      </w:rPr>
                      <w:t>万</w:t>
                    </w:r>
                    <w:r>
                      <w:rPr>
                        <w:spacing w:val="-3"/>
                        <w:sz w:val="21"/>
                      </w:rPr>
                      <w:t>元</w:t>
                    </w:r>
                    <w:r>
                      <w:rPr>
                        <w:sz w:val="21"/>
                      </w:rPr>
                      <w:t>）</w:t>
                    </w:r>
                    <w:r>
                      <w:rPr>
                        <w:rFonts w:ascii="Calibri" w:eastAsia="Calibri"/>
                        <w:sz w:val="21"/>
                      </w:rPr>
                      <w:t>-500</w:t>
                    </w:r>
                    <w:r>
                      <w:rPr>
                        <w:sz w:val="21"/>
                      </w:rPr>
                      <w:t>万</w:t>
                    </w:r>
                    <w:r>
                      <w:rPr>
                        <w:spacing w:val="-3"/>
                        <w:sz w:val="21"/>
                      </w:rPr>
                      <w:t>元以</w:t>
                    </w:r>
                    <w:r>
                      <w:rPr>
                        <w:sz w:val="21"/>
                      </w:rPr>
                      <w:t>下</w:t>
                      <w:tab/>
                    </w:r>
                    <w:r>
                      <w:rPr>
                        <w:rFonts w:ascii="Calibri" w:eastAsia="Calibri"/>
                        <w:sz w:val="21"/>
                      </w:rPr>
                      <w:t>0.40%</w:t>
                    </w:r>
                  </w:p>
                  <w:p>
                    <w:pPr>
                      <w:spacing w:line="240" w:lineRule="auto" w:before="3"/>
                      <w:rPr>
                        <w:sz w:val="16"/>
                      </w:rPr>
                    </w:pPr>
                  </w:p>
                  <w:p>
                    <w:pPr>
                      <w:spacing w:line="252" w:lineRule="exact" w:before="0"/>
                      <w:ind w:left="4041" w:right="0" w:firstLine="0"/>
                      <w:jc w:val="center"/>
                      <w:rPr>
                        <w:rFonts w:ascii="Calibri" w:eastAsia="Calibri"/>
                        <w:sz w:val="21"/>
                      </w:rPr>
                    </w:pPr>
                    <w:r>
                      <w:rPr>
                        <w:sz w:val="21"/>
                      </w:rPr>
                      <w:t>每笔</w:t>
                    </w:r>
                    <w:r>
                      <w:rPr>
                        <w:rFonts w:ascii="Calibri" w:eastAsia="Calibri"/>
                        <w:sz w:val="21"/>
                      </w:rPr>
                      <w:t>1,000.00</w:t>
                    </w:r>
                  </w:p>
                  <w:p>
                    <w:pPr>
                      <w:spacing w:line="234" w:lineRule="exact" w:before="0"/>
                      <w:ind w:left="607" w:right="0" w:firstLine="0"/>
                      <w:jc w:val="left"/>
                      <w:rPr>
                        <w:sz w:val="21"/>
                      </w:rPr>
                    </w:pPr>
                    <w:r>
                      <w:rPr>
                        <w:rFonts w:ascii="Calibri" w:eastAsia="Calibri"/>
                        <w:sz w:val="21"/>
                      </w:rPr>
                      <w:t>500</w:t>
                    </w:r>
                    <w:r>
                      <w:rPr>
                        <w:sz w:val="21"/>
                      </w:rPr>
                      <w:t>万元以上（含</w:t>
                    </w:r>
                    <w:r>
                      <w:rPr>
                        <w:rFonts w:ascii="Calibri" w:eastAsia="Calibri"/>
                        <w:sz w:val="21"/>
                      </w:rPr>
                      <w:t>500</w:t>
                    </w:r>
                    <w:r>
                      <w:rPr>
                        <w:sz w:val="21"/>
                      </w:rPr>
                      <w:t>万元）</w:t>
                    </w:r>
                  </w:p>
                  <w:p>
                    <w:pPr>
                      <w:spacing w:line="222" w:lineRule="exact" w:before="0"/>
                      <w:ind w:left="4038" w:right="0" w:firstLine="0"/>
                      <w:jc w:val="center"/>
                      <w:rPr>
                        <w:sz w:val="21"/>
                      </w:rPr>
                    </w:pPr>
                    <w:r>
                      <w:rPr>
                        <w:w w:val="100"/>
                        <w:sz w:val="21"/>
                      </w:rPr>
                      <w:t>元</w:t>
                    </w:r>
                  </w:p>
                </w:txbxContent>
              </v:textbox>
              <w10:wrap type="none"/>
            </v:shape>
            <w10:wrap type="topAndBottom"/>
          </v:group>
        </w:pict>
      </w:r>
      <w:r>
        <w:rPr>
          <w:spacing w:val="-3"/>
          <w:sz w:val="21"/>
        </w:rPr>
        <w:t>人民币申购费率</w:t>
      </w:r>
    </w:p>
    <w:p>
      <w:pPr>
        <w:pStyle w:val="ListParagraph"/>
        <w:numPr>
          <w:ilvl w:val="0"/>
          <w:numId w:val="17"/>
        </w:numPr>
        <w:tabs>
          <w:tab w:pos="1490" w:val="left" w:leader="none"/>
        </w:tabs>
        <w:spacing w:line="240" w:lineRule="auto" w:before="70" w:after="0"/>
        <w:ind w:left="1489" w:right="0" w:hanging="530"/>
        <w:jc w:val="left"/>
        <w:rPr>
          <w:sz w:val="21"/>
        </w:rPr>
      </w:pPr>
      <w:r>
        <w:rPr>
          <w:spacing w:val="-3"/>
          <w:sz w:val="21"/>
        </w:rPr>
        <w:t>美元申购费率</w:t>
      </w:r>
    </w:p>
    <w:p>
      <w:pPr>
        <w:pStyle w:val="BodyText"/>
        <w:spacing w:before="6"/>
        <w:rPr>
          <w:sz w:val="15"/>
        </w:rPr>
      </w:pPr>
    </w:p>
    <w:p>
      <w:pPr>
        <w:pStyle w:val="BodyText"/>
        <w:spacing w:line="417" w:lineRule="auto"/>
        <w:ind w:left="540" w:right="871" w:firstLine="419"/>
      </w:pPr>
      <w:r>
        <w:rPr/>
        <w:pict>
          <v:group style="position:absolute;margin-left:178.100006pt;margin-top:41.840004pt;width:238.5pt;height:146.450pt;mso-position-horizontal-relative:page;mso-position-vertical-relative:paragraph;z-index:-257598464" coordorigin="3562,837" coordsize="4770,2929">
            <v:line style="position:absolute" from="3576,851" to="6693,851" stroked="true" strokeweight="1.44pt" strokecolor="#000000">
              <v:stroke dashstyle="solid"/>
            </v:line>
            <v:shape style="position:absolute;left:6692;top:865;width:10;height:3" type="#_x0000_t75" stroked="false">
              <v:imagedata r:id="rId7" o:title=""/>
            </v:shape>
            <v:rect style="position:absolute;left:6692;top:836;width:29;height:29" filled="true" fillcolor="#000000" stroked="false">
              <v:fill type="solid"/>
            </v:rect>
            <v:line style="position:absolute" from="6721,851" to="8332,851" stroked="true" strokeweight="1.44pt" strokecolor="#000000">
              <v:stroke dashstyle="solid"/>
            </v:line>
            <v:shape style="position:absolute;left:6692;top:868;width:10;height:466" type="#_x0000_t75" stroked="false">
              <v:imagedata r:id="rId16" o:title=""/>
            </v:shape>
            <v:line style="position:absolute" from="3576,1348" to="6693,1348" stroked="true" strokeweight="1.44pt" strokecolor="#000000">
              <v:stroke dashstyle="solid"/>
            </v:line>
            <v:shape style="position:absolute;left:6692;top:1333;width:10;height:32" type="#_x0000_t75" stroked="false">
              <v:imagedata r:id="rId17" o:title=""/>
            </v:shape>
            <v:line style="position:absolute" from="6702,1348" to="8332,1348" stroked="true" strokeweight="1.44pt" strokecolor="#000000">
              <v:stroke dashstyle="solid"/>
            </v:line>
            <v:shape style="position:absolute;left:3576;top:1364;width:3126;height:478" type="#_x0000_t75" stroked="false">
              <v:imagedata r:id="rId18" o:title=""/>
            </v:shape>
            <v:line style="position:absolute" from="6649,1838" to="8332,1838" stroked="true" strokeweight=".47998pt" strokecolor="#000000">
              <v:stroke dashstyle="solid"/>
            </v:line>
            <v:shape style="position:absolute;left:3576;top:1842;width:3126;height:478" type="#_x0000_t75" stroked="false">
              <v:imagedata r:id="rId18" o:title=""/>
            </v:shape>
            <v:shape style="position:absolute;left:6649;top:2310;width:1683;height:478" coordorigin="6649,2310" coordsize="1683,478" path="m6702,2704l6693,2704,6693,2752,6693,2788,6702,2788,6702,2752,6702,2704m6702,2608l6693,2608,6693,2656,6693,2704,6702,2704,6702,2656,6702,2608m6702,2464l6693,2464,6693,2512,6693,2560,6693,2608,6702,2608,6702,2560,6702,2512,6702,2464m6702,2368l6693,2368,6693,2416,6693,2464,6702,2464,6702,2416,6702,2368m6798,2310l6750,2310,6702,2310,6693,2310,6649,2310,6649,2320,6693,2320,6693,2368,6702,2368,6702,2320,6750,2320,6798,2320,6798,2310m6942,2310l6894,2310,6846,2310,6798,2310,6798,2320,6846,2320,6894,2320,6942,2320,6942,2310m7038,2310l6990,2310,6942,2310,6942,2320,6990,2320,7038,2320,7038,2310m7182,2310l7134,2310,7086,2310,7038,2310,7038,2320,7086,2320,7134,2320,7182,2320,7182,2310m7278,2310l7230,2310,7182,2310,7182,2320,7230,2320,7278,2320,7278,2310m7422,2310l7374,2310,7326,2310,7278,2310,7278,2320,7326,2320,7374,2320,7422,2320,7422,2310m7518,2310l7470,2310,7422,2310,7422,2320,7470,2320,7518,2320,7518,2310m7662,2310l7614,2310,7566,2310,7518,2310,7518,2320,7566,2320,7614,2320,7662,2320,7662,2310m7758,2310l7710,2310,7662,2310,7662,2320,7710,2320,7758,2320,7758,2310m7902,2310l7854,2310,7806,2310,7758,2310,7758,2320,7806,2320,7854,2320,7902,2320,7902,2310m7998,2310l7950,2310,7902,2310,7902,2320,7950,2320,7998,2320,7998,2310m8142,2310l8094,2310,8046,2310,7998,2310,7998,2320,8046,2320,8094,2320,8142,2320,8142,2310m8238,2310l8190,2310,8142,2310,8142,2320,8190,2320,8238,2320,8238,2310m8332,2310l8286,2310,8238,2310,8238,2320,8286,2320,8332,2320,8332,2310e" filled="true" fillcolor="#000000" stroked="false">
              <v:path arrowok="t"/>
              <v:fill type="solid"/>
            </v:shape>
            <v:shape style="position:absolute;left:3576;top:2788;width:3073;height:10" type="#_x0000_t75" stroked="false">
              <v:imagedata r:id="rId19" o:title=""/>
            </v:shape>
            <v:shape style="position:absolute;left:6649;top:2788;width:1683;height:10" coordorigin="6649,2788" coordsize="1683,10" path="m6798,2788l6750,2788,6702,2788,6693,2788,6649,2788,6649,2798,6693,2798,6702,2798,6750,2798,6798,2798,6798,2788m6942,2788l6894,2788,6846,2788,6798,2788,6798,2798,6846,2798,6894,2798,6942,2798,6942,2788m7038,2788l6990,2788,6942,2788,6942,2798,6990,2798,7038,2798,7038,2788m7182,2788l7134,2788,7086,2788,7038,2788,7038,2798,7086,2798,7134,2798,7182,2798,7182,2788m7278,2788l7230,2788,7182,2788,7182,2798,7230,2798,7278,2798,7278,2788m7422,2788l7374,2788,7326,2788,7278,2788,7278,2798,7326,2798,7374,2798,7422,2798,7422,2788m7518,2788l7470,2788,7422,2788,7422,2798,7470,2798,7518,2798,7518,2788m7662,2788l7614,2788,7566,2788,7518,2788,7518,2798,7566,2798,7614,2798,7662,2798,7662,2788m7758,2788l7710,2788,7662,2788,7662,2798,7710,2798,7758,2798,7758,2788m7902,2788l7854,2788,7806,2788,7758,2788,7758,2798,7806,2798,7854,2798,7902,2798,7902,2788m7998,2788l7950,2788,7902,2788,7902,2798,7950,2798,7998,2798,7998,2788m8142,2788l8094,2788,8046,2788,7998,2788,7998,2798,8046,2798,8094,2798,8142,2798,8142,2788m8238,2788l8190,2788,8142,2788,8142,2798,8190,2798,8238,2798,8238,2788m8332,2788l8286,2788,8238,2788,8238,2798,8286,2798,8332,2798,8332,2788e" filled="true" fillcolor="#000000" stroked="false">
              <v:path arrowok="t"/>
              <v:fill type="solid"/>
            </v:shape>
            <v:line style="position:absolute" from="3562,3751" to="6693,3751" stroked="true" strokeweight="1.44pt" strokecolor="#000000">
              <v:stroke dashstyle="solid"/>
            </v:line>
            <v:line style="position:absolute" from="6707,2798" to="6707,3765" stroked="true" strokeweight=".48001pt" strokecolor="#000000">
              <v:stroke dashstyle="solid"/>
            </v:line>
            <v:line style="position:absolute" from="6721,3751" to="8332,3751" stroked="true" strokeweight="1.44pt" strokecolor="#000000">
              <v:stroke dashstyle="solid"/>
            </v:line>
            <v:shape style="position:absolute;left:3766;top:993;width:4404;height:212" type="#_x0000_t202" filled="false" stroked="false">
              <v:textbox inset="0,0,0,0">
                <w:txbxContent>
                  <w:p>
                    <w:pPr>
                      <w:tabs>
                        <w:tab w:pos="3116" w:val="left" w:leader="none"/>
                      </w:tabs>
                      <w:spacing w:line="211" w:lineRule="exact" w:before="0"/>
                      <w:ind w:left="0" w:right="0" w:firstLine="0"/>
                      <w:jc w:val="left"/>
                      <w:rPr>
                        <w:b/>
                        <w:sz w:val="21"/>
                      </w:rPr>
                    </w:pPr>
                    <w:r>
                      <w:rPr>
                        <w:b/>
                        <w:sz w:val="21"/>
                      </w:rPr>
                      <w:t>申购金额（美元，</w:t>
                    </w:r>
                    <w:r>
                      <w:rPr>
                        <w:b/>
                        <w:spacing w:val="-3"/>
                        <w:sz w:val="21"/>
                      </w:rPr>
                      <w:t>含</w:t>
                    </w:r>
                    <w:r>
                      <w:rPr>
                        <w:b/>
                        <w:sz w:val="21"/>
                      </w:rPr>
                      <w:t>申</w:t>
                    </w:r>
                    <w:r>
                      <w:rPr>
                        <w:b/>
                        <w:spacing w:val="-3"/>
                        <w:sz w:val="21"/>
                      </w:rPr>
                      <w:t>购</w:t>
                    </w:r>
                    <w:r>
                      <w:rPr>
                        <w:b/>
                        <w:sz w:val="21"/>
                      </w:rPr>
                      <w:t>费）</w:t>
                      <w:tab/>
                      <w:t>前端申购费率</w:t>
                    </w:r>
                  </w:p>
                </w:txbxContent>
              </v:textbox>
              <w10:wrap type="none"/>
            </v:shape>
            <v:shape style="position:absolute;left:4714;top:1492;width:865;height:235" type="#_x0000_t202" filled="false" stroked="false">
              <v:textbox inset="0,0,0,0">
                <w:txbxContent>
                  <w:p>
                    <w:pPr>
                      <w:spacing w:line="234" w:lineRule="exact" w:before="0"/>
                      <w:ind w:left="0" w:right="0" w:firstLine="0"/>
                      <w:jc w:val="left"/>
                      <w:rPr>
                        <w:sz w:val="21"/>
                      </w:rPr>
                    </w:pPr>
                    <w:r>
                      <w:rPr>
                        <w:rFonts w:ascii="Calibri" w:eastAsia="Calibri"/>
                        <w:sz w:val="21"/>
                      </w:rPr>
                      <w:t>10</w:t>
                    </w:r>
                    <w:r>
                      <w:rPr>
                        <w:sz w:val="21"/>
                      </w:rPr>
                      <w:t>万以下</w:t>
                    </w:r>
                  </w:p>
                </w:txbxContent>
              </v:textbox>
              <w10:wrap type="none"/>
            </v:shape>
            <v:shape style="position:absolute;left:7251;top:1511;width:546;height:212" type="#_x0000_t202" filled="false" stroked="false">
              <v:textbox inset="0,0,0,0">
                <w:txbxContent>
                  <w:p>
                    <w:pPr>
                      <w:spacing w:line="211" w:lineRule="exact" w:before="0"/>
                      <w:ind w:left="0" w:right="0" w:firstLine="0"/>
                      <w:jc w:val="left"/>
                      <w:rPr>
                        <w:rFonts w:ascii="Calibri"/>
                        <w:sz w:val="21"/>
                      </w:rPr>
                    </w:pPr>
                    <w:r>
                      <w:rPr>
                        <w:rFonts w:ascii="Calibri"/>
                        <w:sz w:val="21"/>
                      </w:rPr>
                      <w:t>0.80%</w:t>
                    </w:r>
                  </w:p>
                </w:txbxContent>
              </v:textbox>
              <w10:wrap type="none"/>
            </v:shape>
            <v:shape style="position:absolute;left:3734;top:1970;width:2827;height:235" type="#_x0000_t202" filled="false" stroked="false">
              <v:textbox inset="0,0,0,0">
                <w:txbxContent>
                  <w:p>
                    <w:pPr>
                      <w:spacing w:line="234" w:lineRule="exact" w:before="0"/>
                      <w:ind w:left="0" w:right="0" w:firstLine="0"/>
                      <w:jc w:val="left"/>
                      <w:rPr>
                        <w:sz w:val="21"/>
                      </w:rPr>
                    </w:pPr>
                    <w:r>
                      <w:rPr>
                        <w:rFonts w:ascii="Calibri" w:eastAsia="Calibri"/>
                        <w:sz w:val="21"/>
                      </w:rPr>
                      <w:t>10</w:t>
                    </w:r>
                    <w:r>
                      <w:rPr>
                        <w:sz w:val="21"/>
                      </w:rPr>
                      <w:t>万以上（含</w:t>
                    </w:r>
                    <w:r>
                      <w:rPr>
                        <w:rFonts w:ascii="Calibri" w:eastAsia="Calibri"/>
                        <w:sz w:val="21"/>
                      </w:rPr>
                      <w:t>10</w:t>
                    </w:r>
                    <w:r>
                      <w:rPr>
                        <w:sz w:val="21"/>
                      </w:rPr>
                      <w:t>万）</w:t>
                    </w:r>
                    <w:r>
                      <w:rPr>
                        <w:rFonts w:ascii="Calibri" w:eastAsia="Calibri"/>
                        <w:sz w:val="21"/>
                      </w:rPr>
                      <w:t>-40</w:t>
                    </w:r>
                    <w:r>
                      <w:rPr>
                        <w:sz w:val="21"/>
                      </w:rPr>
                      <w:t>万以下</w:t>
                    </w:r>
                  </w:p>
                </w:txbxContent>
              </v:textbox>
              <w10:wrap type="none"/>
            </v:shape>
            <v:shape style="position:absolute;left:7251;top:1988;width:546;height:212" type="#_x0000_t202" filled="false" stroked="false">
              <v:textbox inset="0,0,0,0">
                <w:txbxContent>
                  <w:p>
                    <w:pPr>
                      <w:spacing w:line="211" w:lineRule="exact" w:before="0"/>
                      <w:ind w:left="0" w:right="0" w:firstLine="0"/>
                      <w:jc w:val="left"/>
                      <w:rPr>
                        <w:rFonts w:ascii="Calibri"/>
                        <w:sz w:val="21"/>
                      </w:rPr>
                    </w:pPr>
                    <w:r>
                      <w:rPr>
                        <w:rFonts w:ascii="Calibri"/>
                        <w:sz w:val="21"/>
                      </w:rPr>
                      <w:t>0.60%</w:t>
                    </w:r>
                  </w:p>
                </w:txbxContent>
              </v:textbox>
              <w10:wrap type="none"/>
            </v:shape>
            <v:shape style="position:absolute;left:3684;top:2448;width:4459;height:1157" type="#_x0000_t202" filled="false" stroked="false">
              <v:textbox inset="0,0,0,0">
                <w:txbxContent>
                  <w:p>
                    <w:pPr>
                      <w:tabs>
                        <w:tab w:pos="3567" w:val="left" w:leader="none"/>
                      </w:tabs>
                      <w:spacing w:line="241" w:lineRule="exact" w:before="0"/>
                      <w:ind w:left="0" w:right="0" w:firstLine="0"/>
                      <w:jc w:val="left"/>
                      <w:rPr>
                        <w:rFonts w:ascii="Calibri" w:eastAsia="Calibri"/>
                        <w:sz w:val="21"/>
                      </w:rPr>
                    </w:pPr>
                    <w:r>
                      <w:rPr>
                        <w:rFonts w:ascii="Calibri" w:eastAsia="Calibri"/>
                        <w:sz w:val="21"/>
                      </w:rPr>
                      <w:t>40</w:t>
                    </w:r>
                    <w:r>
                      <w:rPr>
                        <w:sz w:val="21"/>
                      </w:rPr>
                      <w:t>万</w:t>
                    </w:r>
                    <w:r>
                      <w:rPr>
                        <w:spacing w:val="-3"/>
                        <w:sz w:val="21"/>
                      </w:rPr>
                      <w:t>以上（</w:t>
                    </w:r>
                    <w:r>
                      <w:rPr>
                        <w:sz w:val="21"/>
                      </w:rPr>
                      <w:t>含</w:t>
                    </w:r>
                    <w:r>
                      <w:rPr>
                        <w:rFonts w:ascii="Calibri" w:eastAsia="Calibri"/>
                        <w:sz w:val="21"/>
                      </w:rPr>
                      <w:t>40</w:t>
                    </w:r>
                    <w:r>
                      <w:rPr>
                        <w:spacing w:val="-3"/>
                        <w:sz w:val="21"/>
                      </w:rPr>
                      <w:t>万</w:t>
                    </w:r>
                    <w:r>
                      <w:rPr>
                        <w:sz w:val="21"/>
                      </w:rPr>
                      <w:t>）</w:t>
                    </w:r>
                    <w:r>
                      <w:rPr>
                        <w:rFonts w:ascii="Calibri" w:eastAsia="Calibri"/>
                        <w:sz w:val="21"/>
                      </w:rPr>
                      <w:t>-100</w:t>
                    </w:r>
                    <w:r>
                      <w:rPr>
                        <w:sz w:val="21"/>
                      </w:rPr>
                      <w:t>万</w:t>
                    </w:r>
                    <w:r>
                      <w:rPr>
                        <w:spacing w:val="-3"/>
                        <w:sz w:val="21"/>
                      </w:rPr>
                      <w:t>以</w:t>
                    </w:r>
                    <w:r>
                      <w:rPr>
                        <w:sz w:val="21"/>
                      </w:rPr>
                      <w:t>下</w:t>
                      <w:tab/>
                    </w:r>
                    <w:r>
                      <w:rPr>
                        <w:rFonts w:ascii="Calibri" w:eastAsia="Calibri"/>
                        <w:sz w:val="21"/>
                      </w:rPr>
                      <w:t>0.40%</w:t>
                    </w:r>
                  </w:p>
                  <w:p>
                    <w:pPr>
                      <w:spacing w:line="240" w:lineRule="auto" w:before="3"/>
                      <w:rPr>
                        <w:sz w:val="16"/>
                      </w:rPr>
                    </w:pPr>
                  </w:p>
                  <w:p>
                    <w:pPr>
                      <w:spacing w:line="252" w:lineRule="exact" w:before="0"/>
                      <w:ind w:left="3202" w:right="1" w:firstLine="0"/>
                      <w:jc w:val="center"/>
                      <w:rPr>
                        <w:sz w:val="21"/>
                      </w:rPr>
                    </w:pPr>
                    <w:r>
                      <w:rPr>
                        <w:sz w:val="21"/>
                      </w:rPr>
                      <w:t>每笔</w:t>
                    </w:r>
                    <w:r>
                      <w:rPr>
                        <w:rFonts w:ascii="Calibri" w:eastAsia="Calibri"/>
                        <w:sz w:val="21"/>
                      </w:rPr>
                      <w:t>200.00</w:t>
                    </w:r>
                    <w:r>
                      <w:rPr>
                        <w:sz w:val="21"/>
                      </w:rPr>
                      <w:t>美</w:t>
                    </w:r>
                  </w:p>
                  <w:p>
                    <w:pPr>
                      <w:spacing w:line="234" w:lineRule="exact" w:before="0"/>
                      <w:ind w:left="396" w:right="0" w:firstLine="0"/>
                      <w:jc w:val="left"/>
                      <w:rPr>
                        <w:sz w:val="21"/>
                      </w:rPr>
                    </w:pPr>
                    <w:r>
                      <w:rPr>
                        <w:rFonts w:ascii="Calibri" w:eastAsia="Calibri"/>
                        <w:sz w:val="21"/>
                      </w:rPr>
                      <w:t>100</w:t>
                    </w:r>
                    <w:r>
                      <w:rPr>
                        <w:sz w:val="21"/>
                      </w:rPr>
                      <w:t>万以上（含</w:t>
                    </w:r>
                    <w:r>
                      <w:rPr>
                        <w:rFonts w:ascii="Calibri" w:eastAsia="Calibri"/>
                        <w:sz w:val="21"/>
                      </w:rPr>
                      <w:t>100</w:t>
                    </w:r>
                    <w:r>
                      <w:rPr>
                        <w:sz w:val="21"/>
                      </w:rPr>
                      <w:t>万）</w:t>
                    </w:r>
                  </w:p>
                  <w:p>
                    <w:pPr>
                      <w:spacing w:line="222" w:lineRule="exact" w:before="0"/>
                      <w:ind w:left="3199" w:right="0" w:firstLine="0"/>
                      <w:jc w:val="center"/>
                      <w:rPr>
                        <w:sz w:val="21"/>
                      </w:rPr>
                    </w:pPr>
                    <w:r>
                      <w:rPr>
                        <w:w w:val="100"/>
                        <w:sz w:val="21"/>
                      </w:rPr>
                      <w:t>元</w:t>
                    </w:r>
                  </w:p>
                </w:txbxContent>
              </v:textbox>
              <w10:wrap type="none"/>
            </v:shape>
            <w10:wrap type="none"/>
          </v:group>
        </w:pict>
      </w:r>
      <w:r>
        <w:rPr/>
        <w:t>本基金 </w:t>
      </w:r>
      <w:r>
        <w:rPr>
          <w:rFonts w:ascii="Calibri" w:eastAsia="Calibri"/>
        </w:rPr>
        <w:t>A </w:t>
      </w:r>
      <w:r>
        <w:rPr/>
        <w:t>类份额的美元申购费率应参照人民币申购费率制定。美元申购将收取前端申购费，具体费率如下：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BodyText"/>
        <w:spacing w:before="72"/>
        <w:ind w:left="960"/>
      </w:pPr>
      <w:r>
        <w:rPr/>
        <w:t>如未来调整费率水平，基金管理人将在招募说明书或相关公告中披露。</w:t>
      </w:r>
    </w:p>
    <w:p>
      <w:pPr>
        <w:pStyle w:val="BodyText"/>
        <w:spacing w:before="6"/>
        <w:rPr>
          <w:sz w:val="15"/>
        </w:rPr>
      </w:pPr>
    </w:p>
    <w:p>
      <w:pPr>
        <w:pStyle w:val="BodyText"/>
        <w:spacing w:before="1"/>
        <w:ind w:left="960"/>
      </w:pPr>
      <w:r>
        <w:rPr>
          <w:rFonts w:ascii="Times New Roman" w:eastAsia="Times New Roman"/>
        </w:rPr>
        <w:t>2</w:t>
      </w:r>
      <w:r>
        <w:rPr/>
        <w:t>、投资者申购</w:t>
      </w:r>
      <w:r>
        <w:rPr>
          <w:rFonts w:ascii="Times New Roman" w:eastAsia="Times New Roman"/>
        </w:rPr>
        <w:t>C </w:t>
      </w:r>
      <w:r>
        <w:rPr/>
        <w:t>类基金份额时，不收取申购费。</w:t>
      </w:r>
    </w:p>
    <w:p>
      <w:pPr>
        <w:pStyle w:val="BodyText"/>
        <w:spacing w:before="6"/>
        <w:rPr>
          <w:sz w:val="15"/>
        </w:rPr>
      </w:pPr>
    </w:p>
    <w:p>
      <w:pPr>
        <w:pStyle w:val="BodyText"/>
        <w:spacing w:line="417" w:lineRule="auto"/>
        <w:ind w:left="540" w:right="874" w:firstLine="419"/>
      </w:pPr>
      <w:r>
        <w:rPr>
          <w:rFonts w:ascii="Times New Roman" w:eastAsia="Times New Roman"/>
        </w:rPr>
        <w:t>3</w:t>
      </w:r>
      <w:r>
        <w:rPr/>
        <w:t>、本基金申购费由申购人承担，申购费不列入基金财产，主要用于基金的市场推广、销售、登记结算等募集期间发生的各项费用。</w:t>
      </w:r>
    </w:p>
    <w:p>
      <w:pPr>
        <w:pStyle w:val="BodyText"/>
        <w:spacing w:line="417" w:lineRule="auto"/>
        <w:ind w:left="540" w:right="871" w:firstLine="419"/>
      </w:pPr>
      <w:r>
        <w:rPr>
          <w:rFonts w:ascii="Times New Roman" w:eastAsia="Times New Roman"/>
        </w:rPr>
        <w:t>4</w:t>
      </w:r>
      <w:r>
        <w:rPr>
          <w:spacing w:val="10"/>
        </w:rPr>
        <w:t>、本基金</w:t>
      </w:r>
      <w:r>
        <w:rPr>
          <w:rFonts w:ascii="Times New Roman" w:eastAsia="Times New Roman"/>
        </w:rPr>
        <w:t>A </w:t>
      </w:r>
      <w:r>
        <w:rPr>
          <w:spacing w:val="-4"/>
        </w:rPr>
        <w:t>类、</w:t>
      </w:r>
      <w:r>
        <w:rPr>
          <w:rFonts w:ascii="Times New Roman" w:eastAsia="Times New Roman"/>
        </w:rPr>
        <w:t>C </w:t>
      </w:r>
      <w:r>
        <w:rPr>
          <w:spacing w:val="-5"/>
        </w:rPr>
        <w:t>类基金份额收取赎回费，赎回费由赎回人承担，在投资者赎回基金</w:t>
      </w:r>
      <w:r>
        <w:rPr>
          <w:spacing w:val="-7"/>
        </w:rPr>
        <w:t>份额时收取。赎回时份额持有不满 </w:t>
      </w:r>
      <w:r>
        <w:rPr>
          <w:rFonts w:ascii="Times New Roman" w:eastAsia="Times New Roman"/>
        </w:rPr>
        <w:t>7 </w:t>
      </w:r>
      <w:r>
        <w:rPr>
          <w:spacing w:val="-10"/>
        </w:rPr>
        <w:t>天的，收取 </w:t>
      </w:r>
      <w:r>
        <w:rPr>
          <w:rFonts w:ascii="Times New Roman" w:eastAsia="Times New Roman"/>
        </w:rPr>
        <w:t>1.5%</w:t>
      </w:r>
      <w:r>
        <w:rPr>
          <w:spacing w:val="-8"/>
        </w:rPr>
        <w:t>的赎回费；持有满 </w:t>
      </w:r>
      <w:r>
        <w:rPr>
          <w:rFonts w:ascii="Times New Roman" w:eastAsia="Times New Roman"/>
        </w:rPr>
        <w:t>7 </w:t>
      </w:r>
      <w:r>
        <w:rPr>
          <w:spacing w:val="-3"/>
        </w:rPr>
        <w:t>天</w:t>
      </w:r>
      <w:r>
        <w:rPr/>
        <w:t>（</w:t>
      </w:r>
      <w:r>
        <w:rPr>
          <w:spacing w:val="-21"/>
        </w:rPr>
        <w:t>含 </w:t>
      </w:r>
      <w:r>
        <w:rPr>
          <w:rFonts w:ascii="Times New Roman" w:eastAsia="Times New Roman"/>
        </w:rPr>
        <w:t>7 </w:t>
      </w:r>
      <w:r>
        <w:rPr>
          <w:spacing w:val="-3"/>
        </w:rPr>
        <w:t>天</w:t>
      </w:r>
      <w:r>
        <w:rPr/>
        <w:t>）不</w:t>
      </w:r>
    </w:p>
    <w:p>
      <w:pPr>
        <w:pStyle w:val="BodyText"/>
        <w:spacing w:line="269" w:lineRule="exact"/>
        <w:ind w:left="540"/>
      </w:pPr>
      <w:r>
        <w:rPr/>
        <w:t>满 </w:t>
      </w:r>
      <w:r>
        <w:rPr>
          <w:rFonts w:ascii="Times New Roman" w:eastAsia="Times New Roman"/>
        </w:rPr>
        <w:t>30 </w:t>
      </w:r>
      <w:r>
        <w:rPr/>
        <w:t>天的，收取 </w:t>
      </w:r>
      <w:r>
        <w:rPr>
          <w:rFonts w:ascii="Times New Roman" w:eastAsia="Times New Roman"/>
        </w:rPr>
        <w:t>0.1%</w:t>
      </w:r>
      <w:r>
        <w:rPr/>
        <w:t>的赎回费；持有满 </w:t>
      </w:r>
      <w:r>
        <w:rPr>
          <w:rFonts w:ascii="Times New Roman" w:eastAsia="Times New Roman"/>
        </w:rPr>
        <w:t>30 </w:t>
      </w:r>
      <w:r>
        <w:rPr/>
        <w:t>天以上（含 </w:t>
      </w:r>
      <w:r>
        <w:rPr>
          <w:rFonts w:ascii="Times New Roman" w:eastAsia="Times New Roman"/>
        </w:rPr>
        <w:t>30 </w:t>
      </w:r>
      <w:r>
        <w:rPr/>
        <w:t>天）的，赎回费为 </w:t>
      </w:r>
      <w:r>
        <w:rPr>
          <w:rFonts w:ascii="Times New Roman" w:eastAsia="Times New Roman"/>
        </w:rPr>
        <w:t>0</w:t>
      </w:r>
      <w:r>
        <w:rPr/>
        <w:t>。</w:t>
      </w:r>
    </w:p>
    <w:p>
      <w:pPr>
        <w:pStyle w:val="BodyText"/>
        <w:spacing w:before="7"/>
        <w:rPr>
          <w:sz w:val="15"/>
        </w:rPr>
      </w:pPr>
    </w:p>
    <w:p>
      <w:pPr>
        <w:pStyle w:val="BodyText"/>
        <w:ind w:left="960"/>
      </w:pPr>
      <w:r>
        <w:rPr/>
        <w:t>对于赎回时份额持有不满 </w:t>
      </w:r>
      <w:r>
        <w:rPr>
          <w:rFonts w:ascii="Times New Roman" w:eastAsia="Times New Roman"/>
        </w:rPr>
        <w:t>7 </w:t>
      </w:r>
      <w:r>
        <w:rPr/>
        <w:t>天的，收取的赎回费全额计入基金财产。对赎回时份额持有</w:t>
      </w:r>
    </w:p>
    <w:p>
      <w:pPr>
        <w:spacing w:after="0"/>
        <w:sectPr>
          <w:pgSz w:w="11910" w:h="16840"/>
          <w:pgMar w:header="872" w:footer="995" w:top="1100" w:bottom="1180" w:left="1260" w:right="920"/>
        </w:sectPr>
      </w:pPr>
    </w:p>
    <w:p>
      <w:pPr>
        <w:pStyle w:val="BodyText"/>
        <w:spacing w:before="10"/>
        <w:rPr>
          <w:sz w:val="26"/>
        </w:rPr>
      </w:pPr>
    </w:p>
    <w:p>
      <w:pPr>
        <w:pStyle w:val="BodyText"/>
        <w:spacing w:line="417" w:lineRule="auto" w:before="78"/>
        <w:ind w:left="540" w:right="809"/>
      </w:pPr>
      <w:r>
        <w:rPr/>
        <w:t>满 </w:t>
      </w:r>
      <w:r>
        <w:rPr>
          <w:rFonts w:ascii="Times New Roman" w:eastAsia="Times New Roman"/>
        </w:rPr>
        <w:t>7 </w:t>
      </w:r>
      <w:r>
        <w:rPr/>
        <w:t>天以上（含 </w:t>
      </w:r>
      <w:r>
        <w:rPr>
          <w:rFonts w:ascii="Times New Roman" w:eastAsia="Times New Roman"/>
        </w:rPr>
        <w:t>7 </w:t>
      </w:r>
      <w:r>
        <w:rPr/>
        <w:t>天）收取的赎回费，其中，所收取赎回费总额的 </w:t>
      </w:r>
      <w:r>
        <w:rPr>
          <w:rFonts w:ascii="Times New Roman" w:eastAsia="Times New Roman"/>
        </w:rPr>
        <w:t>25%</w:t>
      </w:r>
      <w:r>
        <w:rPr/>
        <w:t>归入基金资产，其余用于支付登记结算费、销售手续费等各项费用。</w:t>
      </w:r>
    </w:p>
    <w:p>
      <w:pPr>
        <w:pStyle w:val="BodyText"/>
        <w:spacing w:line="269" w:lineRule="exact"/>
        <w:ind w:left="960"/>
      </w:pPr>
      <w:r>
        <w:rPr>
          <w:rFonts w:ascii="Calibri" w:eastAsia="Calibri"/>
        </w:rPr>
        <w:t>5</w:t>
      </w:r>
      <w:r>
        <w:rPr/>
        <w:t>、投资者重复申购时，需按单笔申购金额对应的费率分别计算申购费用。</w:t>
      </w:r>
    </w:p>
    <w:p>
      <w:pPr>
        <w:pStyle w:val="BodyText"/>
        <w:spacing w:before="7"/>
        <w:rPr>
          <w:sz w:val="15"/>
        </w:rPr>
      </w:pPr>
    </w:p>
    <w:p>
      <w:pPr>
        <w:pStyle w:val="BodyText"/>
        <w:spacing w:line="417" w:lineRule="auto"/>
        <w:ind w:left="540" w:right="874" w:firstLine="419"/>
      </w:pPr>
      <w:r>
        <w:rPr>
          <w:rFonts w:ascii="Calibri" w:eastAsia="Calibri"/>
        </w:rPr>
        <w:t>6</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40" w:right="871" w:firstLine="419"/>
        <w:jc w:val="both"/>
      </w:pPr>
      <w:r>
        <w:rPr>
          <w:rFonts w:ascii="Calibri" w:eastAsia="Calibri"/>
        </w:rPr>
        <w:t>7</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spacing w:line="417" w:lineRule="auto"/>
        <w:ind w:left="540" w:right="770" w:firstLine="419"/>
      </w:pPr>
      <w:r>
        <w:rPr>
          <w:rFonts w:ascii="Calibri" w:eastAsia="Calibri"/>
        </w:rPr>
        <w:t>8</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960"/>
      </w:pPr>
      <w:r>
        <w:rPr/>
        <w:t>（七）申购份额与赎回金额的计算方式</w:t>
      </w:r>
    </w:p>
    <w:p>
      <w:pPr>
        <w:pStyle w:val="BodyText"/>
        <w:spacing w:before="6"/>
        <w:rPr>
          <w:sz w:val="15"/>
        </w:rPr>
      </w:pPr>
    </w:p>
    <w:p>
      <w:pPr>
        <w:pStyle w:val="BodyText"/>
        <w:ind w:left="960"/>
      </w:pPr>
      <w:r>
        <w:rPr>
          <w:rFonts w:ascii="Calibri" w:eastAsia="Calibri"/>
        </w:rPr>
        <w:t>1</w:t>
      </w:r>
      <w:r>
        <w:rPr/>
        <w:t>、申购份额的计算</w:t>
      </w:r>
    </w:p>
    <w:p>
      <w:pPr>
        <w:pStyle w:val="BodyText"/>
        <w:spacing w:before="7"/>
        <w:rPr>
          <w:sz w:val="15"/>
        </w:rPr>
      </w:pPr>
    </w:p>
    <w:p>
      <w:pPr>
        <w:pStyle w:val="ListParagraph"/>
        <w:numPr>
          <w:ilvl w:val="0"/>
          <w:numId w:val="18"/>
        </w:numPr>
        <w:tabs>
          <w:tab w:pos="1490" w:val="left" w:leader="none"/>
        </w:tabs>
        <w:spacing w:line="240" w:lineRule="auto" w:before="0" w:after="0"/>
        <w:ind w:left="1489" w:right="0" w:hanging="530"/>
        <w:jc w:val="left"/>
        <w:rPr>
          <w:sz w:val="21"/>
        </w:rPr>
      </w:pPr>
      <w:r>
        <w:rPr>
          <w:spacing w:val="-3"/>
          <w:sz w:val="21"/>
        </w:rPr>
        <w:t>当投资者选择申购</w:t>
      </w:r>
      <w:r>
        <w:rPr>
          <w:rFonts w:ascii="Calibri" w:eastAsia="Calibri"/>
          <w:spacing w:val="-3"/>
          <w:position w:val="1"/>
          <w:sz w:val="21"/>
        </w:rPr>
        <w:t>A</w:t>
      </w:r>
      <w:r>
        <w:rPr>
          <w:spacing w:val="-3"/>
          <w:sz w:val="21"/>
        </w:rPr>
        <w:t>类基金份额时，申购份额的计算方法如下：</w:t>
      </w:r>
    </w:p>
    <w:p>
      <w:pPr>
        <w:pStyle w:val="BodyText"/>
        <w:spacing w:before="7"/>
        <w:rPr>
          <w:sz w:val="15"/>
        </w:rPr>
      </w:pPr>
    </w:p>
    <w:p>
      <w:pPr>
        <w:pStyle w:val="BodyText"/>
        <w:ind w:left="960"/>
      </w:pPr>
      <w:r>
        <w:rPr/>
        <w:t>①人民币申购份额的计算</w:t>
      </w:r>
    </w:p>
    <w:p>
      <w:pPr>
        <w:pStyle w:val="BodyText"/>
        <w:spacing w:before="7"/>
        <w:rPr>
          <w:sz w:val="15"/>
        </w:rPr>
      </w:pPr>
    </w:p>
    <w:p>
      <w:pPr>
        <w:pStyle w:val="BodyText"/>
        <w:spacing w:line="417" w:lineRule="auto"/>
        <w:ind w:left="1380" w:right="3533" w:hanging="420"/>
      </w:pPr>
      <w:r>
        <w:rPr>
          <w:spacing w:val="-3"/>
        </w:rPr>
        <w:t>申购费用适用比例费率时，申购份额的计算方法如下： 净申购金额</w:t>
      </w:r>
      <w:r>
        <w:rPr/>
        <w:t>＝</w:t>
      </w:r>
      <w:r>
        <w:rPr>
          <w:spacing w:val="-3"/>
        </w:rPr>
        <w:t>申购金额</w:t>
      </w:r>
      <w:r>
        <w:rPr>
          <w:rFonts w:ascii="Calibri" w:eastAsia="Calibri"/>
          <w:spacing w:val="-3"/>
          <w:position w:val="1"/>
        </w:rPr>
        <w:t>/</w:t>
      </w:r>
      <w:r>
        <w:rPr>
          <w:spacing w:val="-3"/>
        </w:rPr>
        <w:t>（</w:t>
      </w:r>
      <w:r>
        <w:rPr>
          <w:rFonts w:ascii="Calibri" w:eastAsia="Calibri"/>
          <w:spacing w:val="-3"/>
          <w:position w:val="1"/>
        </w:rPr>
        <w:t>1</w:t>
      </w:r>
      <w:r>
        <w:rPr>
          <w:spacing w:val="-3"/>
        </w:rPr>
        <w:t>＋人民币前端申购费率</w:t>
      </w:r>
      <w:r>
        <w:rPr/>
        <w:t>） </w:t>
      </w:r>
      <w:r>
        <w:rPr>
          <w:spacing w:val="-3"/>
        </w:rPr>
        <w:t>人民币前端申购费用</w:t>
      </w:r>
      <w:r>
        <w:rPr/>
        <w:t>＝</w:t>
      </w:r>
      <w:r>
        <w:rPr>
          <w:spacing w:val="-3"/>
        </w:rPr>
        <w:t>申购金额－净申购金额</w:t>
      </w:r>
    </w:p>
    <w:p>
      <w:pPr>
        <w:pStyle w:val="BodyText"/>
        <w:spacing w:line="269" w:lineRule="exact"/>
        <w:ind w:left="1380"/>
      </w:pPr>
      <w:r>
        <w:rPr/>
        <w:t>申购份额＝净申购金额</w:t>
      </w:r>
      <w:r>
        <w:rPr>
          <w:rFonts w:ascii="Calibri" w:eastAsia="Calibri"/>
          <w:position w:val="1"/>
        </w:rPr>
        <w:t>/T</w:t>
      </w:r>
      <w:r>
        <w:rPr/>
        <w:t>日</w:t>
      </w:r>
      <w:r>
        <w:rPr>
          <w:rFonts w:ascii="Calibri" w:eastAsia="Calibri"/>
          <w:position w:val="1"/>
        </w:rPr>
        <w:t>A</w:t>
      </w:r>
      <w:r>
        <w:rPr/>
        <w:t>类基金份额净值</w:t>
      </w:r>
    </w:p>
    <w:p>
      <w:pPr>
        <w:pStyle w:val="BodyText"/>
        <w:spacing w:before="6"/>
        <w:rPr>
          <w:sz w:val="15"/>
        </w:rPr>
      </w:pPr>
    </w:p>
    <w:p>
      <w:pPr>
        <w:pStyle w:val="BodyText"/>
        <w:spacing w:line="417" w:lineRule="auto" w:before="1"/>
        <w:ind w:left="1380" w:right="3929" w:hanging="420"/>
      </w:pPr>
      <w:r>
        <w:rPr/>
        <w:t>申购费用为固定金额时，申购份额的计算方法如下： 人民币前端申购费用＝固定金额</w:t>
      </w:r>
    </w:p>
    <w:p>
      <w:pPr>
        <w:pStyle w:val="BodyText"/>
        <w:spacing w:line="417" w:lineRule="auto"/>
        <w:ind w:left="1380" w:right="4246"/>
      </w:pPr>
      <w:r>
        <w:rPr/>
        <w:t>净申购金额</w:t>
      </w:r>
      <w:r>
        <w:rPr>
          <w:rFonts w:ascii="Calibri" w:eastAsia="Calibri"/>
        </w:rPr>
        <w:t>=</w:t>
      </w:r>
      <w:r>
        <w:rPr/>
        <w:t>申购金额－人民币前端申购费用申购份额＝净申购金额</w:t>
      </w:r>
      <w:r>
        <w:rPr>
          <w:rFonts w:ascii="Calibri" w:eastAsia="Calibri"/>
        </w:rPr>
        <w:t>/T</w:t>
      </w:r>
      <w:r>
        <w:rPr/>
        <w:t>日</w:t>
      </w:r>
      <w:r>
        <w:rPr>
          <w:rFonts w:ascii="Calibri" w:eastAsia="Calibri"/>
        </w:rPr>
        <w:t>A</w:t>
      </w:r>
      <w:r>
        <w:rPr/>
        <w:t>类基金份额净值</w:t>
      </w:r>
    </w:p>
    <w:p>
      <w:pPr>
        <w:pStyle w:val="BodyText"/>
        <w:spacing w:line="269" w:lineRule="exact"/>
        <w:ind w:left="960"/>
      </w:pPr>
      <w:r>
        <w:rPr/>
        <w:t>②美元申购份额的计算</w:t>
      </w:r>
    </w:p>
    <w:p>
      <w:pPr>
        <w:pStyle w:val="BodyText"/>
        <w:spacing w:before="6"/>
        <w:rPr>
          <w:sz w:val="15"/>
        </w:rPr>
      </w:pPr>
    </w:p>
    <w:p>
      <w:pPr>
        <w:pStyle w:val="BodyText"/>
        <w:spacing w:line="417" w:lineRule="auto" w:before="1"/>
        <w:ind w:left="1380" w:right="3718" w:hanging="420"/>
        <w:jc w:val="both"/>
      </w:pPr>
      <w:r>
        <w:rPr/>
        <w:t>申购费用适用比例费率时，申购份额的计算方法如下： 净申购金额＝申购金额</w:t>
      </w:r>
      <w:r>
        <w:rPr>
          <w:rFonts w:ascii="Calibri" w:eastAsia="Calibri"/>
          <w:position w:val="1"/>
        </w:rPr>
        <w:t>/</w:t>
      </w:r>
      <w:r>
        <w:rPr/>
        <w:t>（</w:t>
      </w:r>
      <w:r>
        <w:rPr>
          <w:rFonts w:ascii="Calibri" w:eastAsia="Calibri"/>
          <w:position w:val="1"/>
        </w:rPr>
        <w:t>1</w:t>
      </w:r>
      <w:r>
        <w:rPr/>
        <w:t>＋美元前端申购费率） 美元前端申购费用＝申购金额－净申购金额</w:t>
      </w:r>
    </w:p>
    <w:p>
      <w:pPr>
        <w:pStyle w:val="BodyText"/>
        <w:spacing w:line="417" w:lineRule="auto"/>
        <w:ind w:left="960" w:right="3418" w:firstLine="420"/>
      </w:pPr>
      <w:r>
        <w:rPr/>
        <w:t>申购份额＝净申购金额</w:t>
      </w:r>
      <w:r>
        <w:rPr>
          <w:rFonts w:ascii="Calibri" w:eastAsia="Calibri"/>
          <w:position w:val="1"/>
        </w:rPr>
        <w:t>/T</w:t>
      </w:r>
      <w:r>
        <w:rPr/>
        <w:t>日</w:t>
      </w:r>
      <w:r>
        <w:rPr>
          <w:rFonts w:ascii="Calibri" w:eastAsia="Calibri"/>
          <w:position w:val="1"/>
        </w:rPr>
        <w:t>A</w:t>
      </w:r>
      <w:r>
        <w:rPr/>
        <w:t>类基金份额美元折算净值申购费用为固定金额时，申购份额的计算方法如下：</w:t>
      </w:r>
    </w:p>
    <w:p>
      <w:pPr>
        <w:pStyle w:val="BodyText"/>
        <w:ind w:left="1380"/>
      </w:pPr>
      <w:r>
        <w:rPr/>
        <w:t>美元前端申购费用＝固定金额</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1380"/>
      </w:pPr>
      <w:r>
        <w:rPr/>
        <w:t>净申购金额</w:t>
      </w:r>
      <w:r>
        <w:rPr>
          <w:rFonts w:ascii="Calibri" w:eastAsia="Calibri"/>
        </w:rPr>
        <w:t>=</w:t>
      </w:r>
      <w:r>
        <w:rPr/>
        <w:t>申购金额－美元前端申购费用</w:t>
      </w:r>
    </w:p>
    <w:p>
      <w:pPr>
        <w:pStyle w:val="BodyText"/>
        <w:spacing w:before="7"/>
        <w:rPr>
          <w:sz w:val="15"/>
        </w:rPr>
      </w:pPr>
    </w:p>
    <w:p>
      <w:pPr>
        <w:pStyle w:val="BodyText"/>
        <w:ind w:left="1380"/>
      </w:pPr>
      <w:r>
        <w:rPr/>
        <w:t>申购份额＝净申购金额</w:t>
      </w:r>
      <w:r>
        <w:rPr>
          <w:rFonts w:ascii="Calibri" w:eastAsia="Calibri"/>
        </w:rPr>
        <w:t>/T</w:t>
      </w:r>
      <w:r>
        <w:rPr/>
        <w:t>日</w:t>
      </w:r>
      <w:r>
        <w:rPr>
          <w:rFonts w:ascii="Calibri" w:eastAsia="Calibri"/>
        </w:rPr>
        <w:t>A</w:t>
      </w:r>
      <w:r>
        <w:rPr/>
        <w:t>类基金份额美元折算净值</w:t>
      </w:r>
    </w:p>
    <w:p>
      <w:pPr>
        <w:pStyle w:val="BodyText"/>
        <w:spacing w:before="7"/>
        <w:rPr>
          <w:sz w:val="15"/>
        </w:rPr>
      </w:pPr>
    </w:p>
    <w:p>
      <w:pPr>
        <w:pStyle w:val="BodyText"/>
        <w:spacing w:line="417" w:lineRule="auto"/>
        <w:ind w:left="540" w:right="871" w:firstLine="419"/>
        <w:jc w:val="both"/>
      </w:pPr>
      <w:r>
        <w:rPr>
          <w:rFonts w:ascii="Calibri" w:eastAsia="Calibri"/>
        </w:rPr>
        <w:t>T</w:t>
      </w:r>
      <w:r>
        <w:rPr/>
        <w:t>日</w:t>
      </w:r>
      <w:r>
        <w:rPr>
          <w:rFonts w:ascii="Calibri" w:eastAsia="Calibri"/>
        </w:rPr>
        <w:t>A</w:t>
      </w:r>
      <w:r>
        <w:rPr>
          <w:spacing w:val="-3"/>
        </w:rPr>
        <w:t>类基金份额的美元折算净值</w:t>
      </w:r>
      <w:r>
        <w:rPr>
          <w:rFonts w:ascii="Calibri" w:eastAsia="Calibri"/>
        </w:rPr>
        <w:t>=T</w:t>
      </w:r>
      <w:r>
        <w:rPr/>
        <w:t>日</w:t>
      </w:r>
      <w:r>
        <w:rPr>
          <w:rFonts w:ascii="Calibri" w:eastAsia="Calibri"/>
          <w:spacing w:val="-3"/>
        </w:rPr>
        <w:t>A</w:t>
      </w:r>
      <w:r>
        <w:rPr>
          <w:spacing w:val="-3"/>
        </w:rPr>
        <w:t>类基金份额净值</w:t>
      </w:r>
      <w:r>
        <w:rPr>
          <w:rFonts w:ascii="Calibri" w:eastAsia="Calibri"/>
        </w:rPr>
        <w:t>/T</w:t>
      </w:r>
      <w:r>
        <w:rPr>
          <w:spacing w:val="-3"/>
        </w:rPr>
        <w:t>日中国人民银行最新公布的人</w:t>
      </w:r>
      <w:r>
        <w:rPr>
          <w:spacing w:val="-9"/>
        </w:rPr>
        <w:t>民币对美元汇率中间价，计算结果按照四舍五入方法，保留小数点后四位，由此产生的误差</w:t>
      </w:r>
      <w:r>
        <w:rPr>
          <w:spacing w:val="-5"/>
        </w:rPr>
        <w:t>计入基金资产。</w:t>
      </w:r>
    </w:p>
    <w:p>
      <w:pPr>
        <w:pStyle w:val="ListParagraph"/>
        <w:numPr>
          <w:ilvl w:val="0"/>
          <w:numId w:val="18"/>
        </w:numPr>
        <w:tabs>
          <w:tab w:pos="1490" w:val="left" w:leader="none"/>
        </w:tabs>
        <w:spacing w:line="417" w:lineRule="auto" w:before="0" w:after="0"/>
        <w:ind w:left="1380" w:right="2450" w:hanging="420"/>
        <w:jc w:val="left"/>
        <w:rPr>
          <w:sz w:val="21"/>
        </w:rPr>
      </w:pPr>
      <w:r>
        <w:rPr>
          <w:spacing w:val="-3"/>
          <w:sz w:val="21"/>
        </w:rPr>
        <w:t>当投资者选择申购</w:t>
      </w:r>
      <w:r>
        <w:rPr>
          <w:rFonts w:ascii="Calibri" w:eastAsia="Calibri"/>
          <w:spacing w:val="-3"/>
          <w:position w:val="1"/>
          <w:sz w:val="21"/>
        </w:rPr>
        <w:t>C</w:t>
      </w:r>
      <w:r>
        <w:rPr>
          <w:spacing w:val="-3"/>
          <w:sz w:val="21"/>
        </w:rPr>
        <w:t>类基金份额时，申购份额的计算方法如下： 申购份额＝申购金额</w:t>
      </w:r>
      <w:r>
        <w:rPr>
          <w:rFonts w:ascii="Calibri" w:eastAsia="Calibri"/>
          <w:sz w:val="21"/>
        </w:rPr>
        <w:t>/T</w:t>
      </w:r>
      <w:r>
        <w:rPr>
          <w:spacing w:val="-3"/>
          <w:sz w:val="21"/>
        </w:rPr>
        <w:t>日</w:t>
      </w:r>
      <w:r>
        <w:rPr>
          <w:rFonts w:ascii="Calibri" w:eastAsia="Calibri"/>
          <w:spacing w:val="-3"/>
          <w:sz w:val="21"/>
        </w:rPr>
        <w:t>C</w:t>
      </w:r>
      <w:r>
        <w:rPr>
          <w:spacing w:val="-2"/>
          <w:sz w:val="21"/>
        </w:rPr>
        <w:t>类基金份额净值</w:t>
      </w:r>
    </w:p>
    <w:p>
      <w:pPr>
        <w:pStyle w:val="ListParagraph"/>
        <w:numPr>
          <w:ilvl w:val="0"/>
          <w:numId w:val="18"/>
        </w:numPr>
        <w:tabs>
          <w:tab w:pos="1492" w:val="left" w:leader="none"/>
        </w:tabs>
        <w:spacing w:line="417" w:lineRule="auto" w:before="0" w:after="0"/>
        <w:ind w:left="540" w:right="87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417" w:lineRule="auto"/>
        <w:ind w:left="540" w:right="832" w:firstLine="419"/>
      </w:pPr>
      <w:r>
        <w:rPr/>
        <w:pict>
          <v:group style="position:absolute;margin-left:102.739998pt;margin-top:91.619965pt;width:127.6pt;height:24.4pt;mso-position-horizontal-relative:page;mso-position-vertical-relative:paragraph;z-index:-257597440" coordorigin="2055,1832" coordsize="2552,488">
            <v:shape style="position:absolute;left:2054;top:1832;width:2543;height:10" type="#_x0000_t75" stroked="false">
              <v:imagedata r:id="rId20" o:title=""/>
            </v:shape>
            <v:shape style="position:absolute;left:2054;top:1842;width:2552;height:478" type="#_x0000_t75" stroked="false">
              <v:imagedata r:id="rId21" o:title=""/>
            </v:shape>
            <w10:wrap type="none"/>
          </v:group>
        </w:pict>
      </w:r>
      <w:r>
        <w:rPr/>
        <w:drawing>
          <wp:anchor distT="0" distB="0" distL="0" distR="0" allowOverlap="1" layoutInCell="1" locked="0" behindDoc="1" simplePos="0" relativeHeight="245720064">
            <wp:simplePos x="0" y="0"/>
            <wp:positionH relativeFrom="page">
              <wp:posOffset>4030345</wp:posOffset>
            </wp:positionH>
            <wp:positionV relativeFrom="paragraph">
              <wp:posOffset>1163573</wp:posOffset>
            </wp:positionV>
            <wp:extent cx="1122705" cy="304800"/>
            <wp:effectExtent l="0" t="0" r="0" b="0"/>
            <wp:wrapNone/>
            <wp:docPr id="3" name="image15.png"/>
            <wp:cNvGraphicFramePr>
              <a:graphicFrameLocks noChangeAspect="1"/>
            </wp:cNvGraphicFramePr>
            <a:graphic>
              <a:graphicData uri="http://schemas.openxmlformats.org/drawingml/2006/picture">
                <pic:pic>
                  <pic:nvPicPr>
                    <pic:cNvPr id="4" name="image15.png"/>
                    <pic:cNvPicPr/>
                  </pic:nvPicPr>
                  <pic:blipFill>
                    <a:blip r:embed="rId22" cstate="print"/>
                    <a:stretch>
                      <a:fillRect/>
                    </a:stretch>
                  </pic:blipFill>
                  <pic:spPr>
                    <a:xfrm>
                      <a:off x="0" y="0"/>
                      <a:ext cx="1122705" cy="304800"/>
                    </a:xfrm>
                    <a:prstGeom prst="rect">
                      <a:avLst/>
                    </a:prstGeom>
                  </pic:spPr>
                </pic:pic>
              </a:graphicData>
            </a:graphic>
          </wp:anchor>
        </w:drawing>
      </w:r>
      <w:r>
        <w:rPr/>
        <w:pict>
          <v:group style="position:absolute;margin-left:317.350006pt;margin-top:115.499969pt;width:88pt;height:95.7pt;mso-position-horizontal-relative:page;mso-position-vertical-relative:paragraph;z-index:-257595392" coordorigin="6347,2310" coordsize="1760,1914">
            <v:shape style="position:absolute;left:6347;top:2310;width:1760;height:488" type="#_x0000_t75" stroked="false">
              <v:imagedata r:id="rId23" o:title=""/>
            </v:shape>
            <v:shape style="position:absolute;left:6347;top:2797;width:10;height:468" type="#_x0000_t75" stroked="false">
              <v:imagedata r:id="rId11" o:title=""/>
            </v:shape>
            <v:shape style="position:absolute;left:6356;top:2797;width:1750;height:478" type="#_x0000_t75" stroked="false">
              <v:imagedata r:id="rId24" o:title=""/>
            </v:shape>
            <v:shape style="position:absolute;left:6347;top:3275;width:10;height:471" type="#_x0000_t75" stroked="false">
              <v:imagedata r:id="rId11" o:title=""/>
            </v:shape>
            <v:shape style="position:absolute;left:6356;top:3275;width:1750;height:480" type="#_x0000_t75" stroked="false">
              <v:imagedata r:id="rId25" o:title=""/>
            </v:shape>
            <v:shape style="position:absolute;left:6347;top:3755;width:10;height:468" type="#_x0000_t75" stroked="false">
              <v:imagedata r:id="rId11" o:title=""/>
            </v:shape>
            <v:shape style="position:absolute;left:8096;top:3755;width:10;height:468" type="#_x0000_t75" stroked="false">
              <v:imagedata r:id="rId11" o:title=""/>
            </v:shape>
            <w10:wrap type="none"/>
          </v:group>
        </w:pict>
      </w:r>
      <w:r>
        <w:rPr/>
        <w:pict>
          <v:group style="position:absolute;margin-left:102.739998pt;margin-top:115.97998pt;width:127.6pt;height:95.2pt;mso-position-horizontal-relative:page;mso-position-vertical-relative:paragraph;z-index:-257594368" coordorigin="2055,2320" coordsize="2552,1904">
            <v:shape style="position:absolute;left:2054;top:2319;width:2552;height:478" type="#_x0000_t75" stroked="false">
              <v:imagedata r:id="rId21" o:title=""/>
            </v:shape>
            <v:shape style="position:absolute;left:2054;top:2797;width:2552;height:478" type="#_x0000_t75" stroked="false">
              <v:imagedata r:id="rId21" o:title=""/>
            </v:shape>
            <v:shape style="position:absolute;left:2054;top:3275;width:2552;height:480" type="#_x0000_t75" stroked="false">
              <v:imagedata r:id="rId26" o:title=""/>
            </v:shape>
            <v:shape style="position:absolute;left:4597;top:3755;width:10;height:468" type="#_x0000_t75" stroked="false">
              <v:imagedata r:id="rId11" o:title=""/>
            </v:shape>
            <w10:wrap type="none"/>
          </v:group>
        </w:pict>
      </w:r>
      <w:r>
        <w:rPr/>
        <w:pict>
          <v:shape style="position:absolute;margin-left:102.019997pt;margin-top:41.819977pt;width:392.15pt;height:50.8pt;mso-position-horizontal-relative:page;mso-position-vertical-relative:paragraph;z-index:25168076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47"/>
                    <w:gridCol w:w="1750"/>
                    <w:gridCol w:w="1750"/>
                    <w:gridCol w:w="1753"/>
                  </w:tblGrid>
                  <w:tr>
                    <w:trPr>
                      <w:trHeight w:val="466" w:hRule="atLeast"/>
                    </w:trPr>
                    <w:tc>
                      <w:tcPr>
                        <w:tcW w:w="2547" w:type="dxa"/>
                        <w:tcBorders>
                          <w:left w:val="nil"/>
                          <w:right w:val="single" w:sz="4" w:space="0" w:color="000000"/>
                        </w:tcBorders>
                      </w:tcPr>
                      <w:p>
                        <w:pPr>
                          <w:pStyle w:val="TableParagraph"/>
                          <w:rPr>
                            <w:rFonts w:ascii="宋体"/>
                            <w:sz w:val="20"/>
                          </w:rPr>
                        </w:pPr>
                      </w:p>
                      <w:p>
                        <w:pPr>
                          <w:pStyle w:val="TableParagraph"/>
                          <w:spacing w:before="6"/>
                          <w:rPr>
                            <w:rFonts w:ascii="宋体"/>
                            <w:sz w:val="16"/>
                          </w:rPr>
                        </w:pPr>
                      </w:p>
                      <w:p>
                        <w:pPr>
                          <w:pStyle w:val="TableParagraph"/>
                          <w:spacing w:line="31" w:lineRule="exact"/>
                          <w:ind w:left="2556" w:right="-72"/>
                          <w:rPr>
                            <w:rFonts w:ascii="宋体"/>
                            <w:sz w:val="3"/>
                          </w:rPr>
                        </w:pPr>
                        <w:r>
                          <w:rPr>
                            <w:rFonts w:ascii="宋体"/>
                            <w:position w:val="0"/>
                            <w:sz w:val="3"/>
                          </w:rPr>
                          <w:drawing>
                            <wp:inline distT="0" distB="0" distL="0" distR="0">
                              <wp:extent cx="6095" cy="19812"/>
                              <wp:effectExtent l="0" t="0" r="0" b="0"/>
                              <wp:docPr id="5" name="image10.png"/>
                              <wp:cNvGraphicFramePr>
                                <a:graphicFrameLocks noChangeAspect="1"/>
                              </wp:cNvGraphicFramePr>
                              <a:graphic>
                                <a:graphicData uri="http://schemas.openxmlformats.org/drawingml/2006/picture">
                                  <pic:pic>
                                    <pic:nvPicPr>
                                      <pic:cNvPr id="6" name="image10.png"/>
                                      <pic:cNvPicPr/>
                                    </pic:nvPicPr>
                                    <pic:blipFill>
                                      <a:blip r:embed="rId17" cstate="print"/>
                                      <a:stretch>
                                        <a:fillRect/>
                                      </a:stretch>
                                    </pic:blipFill>
                                    <pic:spPr>
                                      <a:xfrm>
                                        <a:off x="0" y="0"/>
                                        <a:ext cx="6095" cy="19812"/>
                                      </a:xfrm>
                                      <a:prstGeom prst="rect">
                                        <a:avLst/>
                                      </a:prstGeom>
                                    </pic:spPr>
                                  </pic:pic>
                                </a:graphicData>
                              </a:graphic>
                            </wp:inline>
                          </w:drawing>
                        </w:r>
                        <w:r>
                          <w:rPr>
                            <w:rFonts w:ascii="宋体"/>
                            <w:position w:val="0"/>
                            <w:sz w:val="3"/>
                          </w:rPr>
                        </w:r>
                      </w:p>
                    </w:tc>
                    <w:tc>
                      <w:tcPr>
                        <w:tcW w:w="1750" w:type="dxa"/>
                        <w:tcBorders>
                          <w:left w:val="single" w:sz="4" w:space="0" w:color="000000"/>
                          <w:right w:val="single" w:sz="4" w:space="0" w:color="000000"/>
                        </w:tcBorders>
                      </w:tcPr>
                      <w:p>
                        <w:pPr>
                          <w:pStyle w:val="TableParagraph"/>
                          <w:spacing w:before="99"/>
                          <w:ind w:left="599" w:right="574"/>
                          <w:jc w:val="center"/>
                          <w:rPr>
                            <w:sz w:val="21"/>
                          </w:rPr>
                        </w:pPr>
                        <w:r>
                          <w:rPr>
                            <w:rFonts w:ascii="宋体" w:eastAsia="宋体" w:hint="eastAsia"/>
                            <w:sz w:val="21"/>
                          </w:rPr>
                          <w:t>申购</w:t>
                        </w:r>
                        <w:r>
                          <w:rPr>
                            <w:sz w:val="21"/>
                          </w:rPr>
                          <w:t>1</w:t>
                        </w:r>
                      </w:p>
                      <w:p>
                        <w:pPr>
                          <w:pStyle w:val="TableParagraph"/>
                          <w:spacing w:before="9"/>
                          <w:rPr>
                            <w:rFonts w:ascii="宋体"/>
                            <w:sz w:val="7"/>
                          </w:rPr>
                        </w:pPr>
                      </w:p>
                      <w:p>
                        <w:pPr>
                          <w:pStyle w:val="TableParagraph"/>
                          <w:spacing w:line="31" w:lineRule="exact"/>
                          <w:ind w:left="1754" w:right="-72"/>
                          <w:rPr>
                            <w:rFonts w:ascii="宋体"/>
                            <w:sz w:val="3"/>
                          </w:rPr>
                        </w:pPr>
                        <w:r>
                          <w:rPr>
                            <w:rFonts w:ascii="宋体"/>
                            <w:position w:val="0"/>
                            <w:sz w:val="3"/>
                          </w:rPr>
                          <w:drawing>
                            <wp:inline distT="0" distB="0" distL="0" distR="0">
                              <wp:extent cx="6096" cy="19812"/>
                              <wp:effectExtent l="0" t="0" r="0" b="0"/>
                              <wp:docPr id="7" name="image10.png"/>
                              <wp:cNvGraphicFramePr>
                                <a:graphicFrameLocks noChangeAspect="1"/>
                              </wp:cNvGraphicFramePr>
                              <a:graphic>
                                <a:graphicData uri="http://schemas.openxmlformats.org/drawingml/2006/picture">
                                  <pic:pic>
                                    <pic:nvPicPr>
                                      <pic:cNvPr id="8" name="image10.png"/>
                                      <pic:cNvPicPr/>
                                    </pic:nvPicPr>
                                    <pic:blipFill>
                                      <a:blip r:embed="rId17" cstate="print"/>
                                      <a:stretch>
                                        <a:fillRect/>
                                      </a:stretch>
                                    </pic:blipFill>
                                    <pic:spPr>
                                      <a:xfrm>
                                        <a:off x="0" y="0"/>
                                        <a:ext cx="6096" cy="19812"/>
                                      </a:xfrm>
                                      <a:prstGeom prst="rect">
                                        <a:avLst/>
                                      </a:prstGeom>
                                    </pic:spPr>
                                  </pic:pic>
                                </a:graphicData>
                              </a:graphic>
                            </wp:inline>
                          </w:drawing>
                        </w:r>
                        <w:r>
                          <w:rPr>
                            <w:rFonts w:ascii="宋体"/>
                            <w:position w:val="0"/>
                            <w:sz w:val="3"/>
                          </w:rPr>
                        </w:r>
                      </w:p>
                    </w:tc>
                    <w:tc>
                      <w:tcPr>
                        <w:tcW w:w="1750" w:type="dxa"/>
                        <w:tcBorders>
                          <w:left w:val="single" w:sz="4" w:space="0" w:color="000000"/>
                          <w:right w:val="single" w:sz="4" w:space="0" w:color="000000"/>
                        </w:tcBorders>
                      </w:tcPr>
                      <w:p>
                        <w:pPr>
                          <w:pStyle w:val="TableParagraph"/>
                          <w:spacing w:before="99"/>
                          <w:ind w:left="599" w:right="574"/>
                          <w:jc w:val="center"/>
                          <w:rPr>
                            <w:sz w:val="21"/>
                          </w:rPr>
                        </w:pPr>
                        <w:r>
                          <w:rPr>
                            <w:rFonts w:ascii="宋体" w:eastAsia="宋体" w:hint="eastAsia"/>
                            <w:sz w:val="21"/>
                          </w:rPr>
                          <w:t>申购</w:t>
                        </w:r>
                        <w:r>
                          <w:rPr>
                            <w:sz w:val="21"/>
                          </w:rPr>
                          <w:t>2</w:t>
                        </w:r>
                      </w:p>
                      <w:p>
                        <w:pPr>
                          <w:pStyle w:val="TableParagraph"/>
                          <w:spacing w:before="9"/>
                          <w:rPr>
                            <w:rFonts w:ascii="宋体"/>
                            <w:sz w:val="7"/>
                          </w:rPr>
                        </w:pPr>
                      </w:p>
                      <w:p>
                        <w:pPr>
                          <w:pStyle w:val="TableParagraph"/>
                          <w:spacing w:line="31" w:lineRule="exact"/>
                          <w:ind w:left="1754" w:right="-72"/>
                          <w:rPr>
                            <w:rFonts w:ascii="宋体"/>
                            <w:sz w:val="3"/>
                          </w:rPr>
                        </w:pPr>
                        <w:r>
                          <w:rPr>
                            <w:rFonts w:ascii="宋体"/>
                            <w:position w:val="0"/>
                            <w:sz w:val="3"/>
                          </w:rPr>
                          <w:drawing>
                            <wp:inline distT="0" distB="0" distL="0" distR="0">
                              <wp:extent cx="6096" cy="19812"/>
                              <wp:effectExtent l="0" t="0" r="0" b="0"/>
                              <wp:docPr id="9" name="image10.png"/>
                              <wp:cNvGraphicFramePr>
                                <a:graphicFrameLocks noChangeAspect="1"/>
                              </wp:cNvGraphicFramePr>
                              <a:graphic>
                                <a:graphicData uri="http://schemas.openxmlformats.org/drawingml/2006/picture">
                                  <pic:pic>
                                    <pic:nvPicPr>
                                      <pic:cNvPr id="10" name="image10.png"/>
                                      <pic:cNvPicPr/>
                                    </pic:nvPicPr>
                                    <pic:blipFill>
                                      <a:blip r:embed="rId17" cstate="print"/>
                                      <a:stretch>
                                        <a:fillRect/>
                                      </a:stretch>
                                    </pic:blipFill>
                                    <pic:spPr>
                                      <a:xfrm>
                                        <a:off x="0" y="0"/>
                                        <a:ext cx="6096" cy="19812"/>
                                      </a:xfrm>
                                      <a:prstGeom prst="rect">
                                        <a:avLst/>
                                      </a:prstGeom>
                                    </pic:spPr>
                                  </pic:pic>
                                </a:graphicData>
                              </a:graphic>
                            </wp:inline>
                          </w:drawing>
                        </w:r>
                        <w:r>
                          <w:rPr>
                            <w:rFonts w:ascii="宋体"/>
                            <w:position w:val="0"/>
                            <w:sz w:val="3"/>
                          </w:rPr>
                        </w:r>
                      </w:p>
                    </w:tc>
                    <w:tc>
                      <w:tcPr>
                        <w:tcW w:w="1753" w:type="dxa"/>
                        <w:tcBorders>
                          <w:left w:val="single" w:sz="4" w:space="0" w:color="000000"/>
                          <w:right w:val="nil"/>
                        </w:tcBorders>
                      </w:tcPr>
                      <w:p>
                        <w:pPr>
                          <w:pStyle w:val="TableParagraph"/>
                          <w:spacing w:before="99"/>
                          <w:ind w:left="623"/>
                          <w:rPr>
                            <w:sz w:val="21"/>
                          </w:rPr>
                        </w:pPr>
                        <w:r>
                          <w:rPr>
                            <w:rFonts w:ascii="宋体" w:eastAsia="宋体" w:hint="eastAsia"/>
                            <w:sz w:val="21"/>
                          </w:rPr>
                          <w:t>申购</w:t>
                        </w:r>
                        <w:r>
                          <w:rPr>
                            <w:sz w:val="21"/>
                          </w:rPr>
                          <w:t>3</w:t>
                        </w:r>
                      </w:p>
                    </w:tc>
                  </w:tr>
                  <w:tr>
                    <w:trPr>
                      <w:trHeight w:val="437" w:hRule="atLeast"/>
                    </w:trPr>
                    <w:tc>
                      <w:tcPr>
                        <w:tcW w:w="2547" w:type="dxa"/>
                        <w:tcBorders>
                          <w:left w:val="nil"/>
                          <w:bottom w:val="nil"/>
                          <w:right w:val="single" w:sz="4" w:space="0" w:color="000000"/>
                        </w:tcBorders>
                      </w:tcPr>
                      <w:p>
                        <w:pPr>
                          <w:pStyle w:val="TableParagraph"/>
                          <w:spacing w:before="70"/>
                          <w:ind w:left="45"/>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750" w:type="dxa"/>
                        <w:tcBorders>
                          <w:left w:val="single" w:sz="4" w:space="0" w:color="000000"/>
                          <w:bottom w:val="single" w:sz="4" w:space="0" w:color="000000"/>
                          <w:right w:val="single" w:sz="4" w:space="0" w:color="000000"/>
                        </w:tcBorders>
                      </w:tcPr>
                      <w:p>
                        <w:pPr>
                          <w:pStyle w:val="TableParagraph"/>
                          <w:spacing w:before="75"/>
                          <w:ind w:left="983"/>
                          <w:rPr>
                            <w:sz w:val="21"/>
                          </w:rPr>
                        </w:pPr>
                        <w:r>
                          <w:rPr>
                            <w:sz w:val="21"/>
                          </w:rPr>
                          <w:t>1,000.00</w:t>
                        </w:r>
                      </w:p>
                    </w:tc>
                    <w:tc>
                      <w:tcPr>
                        <w:tcW w:w="1750" w:type="dxa"/>
                        <w:tcBorders>
                          <w:left w:val="single" w:sz="4" w:space="0" w:color="000000"/>
                          <w:bottom w:val="nil"/>
                          <w:right w:val="single" w:sz="4" w:space="0" w:color="000000"/>
                        </w:tcBorders>
                      </w:tcPr>
                      <w:p>
                        <w:pPr>
                          <w:pStyle w:val="TableParagraph"/>
                          <w:spacing w:before="75"/>
                          <w:ind w:left="770"/>
                          <w:rPr>
                            <w:sz w:val="21"/>
                          </w:rPr>
                        </w:pPr>
                        <w:r>
                          <w:rPr>
                            <w:sz w:val="21"/>
                          </w:rPr>
                          <w:t>500,000.00</w:t>
                        </w:r>
                      </w:p>
                    </w:tc>
                    <w:tc>
                      <w:tcPr>
                        <w:tcW w:w="1753" w:type="dxa"/>
                        <w:tcBorders>
                          <w:left w:val="single" w:sz="4" w:space="0" w:color="000000"/>
                          <w:bottom w:val="single" w:sz="4" w:space="0" w:color="000000"/>
                          <w:right w:val="nil"/>
                        </w:tcBorders>
                      </w:tcPr>
                      <w:p>
                        <w:pPr>
                          <w:pStyle w:val="TableParagraph"/>
                          <w:spacing w:before="75"/>
                          <w:ind w:left="616"/>
                          <w:rPr>
                            <w:sz w:val="21"/>
                          </w:rPr>
                        </w:pPr>
                        <w:r>
                          <w:rPr>
                            <w:sz w:val="21"/>
                          </w:rPr>
                          <w:t>2,000,000.00</w:t>
                        </w:r>
                      </w:p>
                    </w:tc>
                  </w:tr>
                </w:tbl>
                <w:p>
                  <w:pPr>
                    <w:pStyle w:val="BodyText"/>
                  </w:pPr>
                </w:p>
              </w:txbxContent>
            </v:textbox>
            <w10:wrap type="none"/>
          </v:shape>
        </w:pict>
      </w:r>
      <w:r>
        <w:rPr/>
        <w:t>例一：假定</w:t>
      </w:r>
      <w:r>
        <w:rPr>
          <w:rFonts w:ascii="Calibri" w:eastAsia="Calibri"/>
        </w:rPr>
        <w:t>T</w:t>
      </w:r>
      <w:r>
        <w:rPr/>
        <w:t>日基金的</w:t>
      </w:r>
      <w:r>
        <w:rPr>
          <w:rFonts w:ascii="Calibri" w:eastAsia="Calibri"/>
        </w:rPr>
        <w:t>A</w:t>
      </w:r>
      <w:r>
        <w:rPr/>
        <w:t>类基金份额净值为</w:t>
      </w:r>
      <w:r>
        <w:rPr>
          <w:rFonts w:ascii="Calibri" w:eastAsia="Calibri"/>
        </w:rPr>
        <w:t>1.230</w:t>
      </w:r>
      <w:r>
        <w:rPr/>
        <w:t>元，若三笔人民币申购金额分别为</w:t>
      </w:r>
      <w:r>
        <w:rPr>
          <w:rFonts w:ascii="Calibri" w:eastAsia="Calibri"/>
        </w:rPr>
        <w:t>1,000 </w:t>
      </w:r>
      <w:r>
        <w:rPr/>
        <w:t>元、</w:t>
      </w:r>
      <w:r>
        <w:rPr>
          <w:rFonts w:ascii="Calibri" w:eastAsia="Calibri"/>
        </w:rPr>
        <w:t>50</w:t>
      </w:r>
      <w:r>
        <w:rPr/>
        <w:t>万元和</w:t>
      </w:r>
      <w:r>
        <w:rPr>
          <w:rFonts w:ascii="Calibri" w:eastAsia="Calibri"/>
        </w:rPr>
        <w:t>200</w:t>
      </w:r>
      <w:r>
        <w:rPr/>
        <w:t>万元，则申购负担的前端申购费用和获得的基金份额计算如下：</w:t>
      </w:r>
    </w:p>
    <w:p>
      <w:pPr>
        <w:pStyle w:val="BodyText"/>
        <w:rPr>
          <w:sz w:val="20"/>
        </w:rPr>
      </w:pPr>
    </w:p>
    <w:p>
      <w:pPr>
        <w:pStyle w:val="BodyText"/>
        <w:rPr>
          <w:sz w:val="20"/>
        </w:rPr>
      </w:pPr>
    </w:p>
    <w:p>
      <w:pPr>
        <w:pStyle w:val="BodyText"/>
        <w:rPr>
          <w:sz w:val="20"/>
        </w:rPr>
      </w:pPr>
    </w:p>
    <w:p>
      <w:pPr>
        <w:pStyle w:val="BodyText"/>
        <w:spacing w:before="8"/>
        <w:rPr>
          <w:sz w:val="20"/>
        </w:rPr>
      </w:pPr>
    </w:p>
    <w:tbl>
      <w:tblPr>
        <w:tblW w:w="0" w:type="auto"/>
        <w:jc w:val="left"/>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7"/>
        <w:gridCol w:w="1760"/>
        <w:gridCol w:w="1728"/>
        <w:gridCol w:w="1769"/>
      </w:tblGrid>
      <w:tr>
        <w:trPr>
          <w:trHeight w:val="321" w:hRule="atLeast"/>
        </w:trPr>
        <w:tc>
          <w:tcPr>
            <w:tcW w:w="2557" w:type="dxa"/>
          </w:tcPr>
          <w:p>
            <w:pPr>
              <w:pStyle w:val="TableParagraph"/>
              <w:spacing w:line="241" w:lineRule="exact"/>
              <w:ind w:left="45"/>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760" w:type="dxa"/>
            <w:tcBorders>
              <w:bottom w:val="single" w:sz="4" w:space="0" w:color="000000"/>
            </w:tcBorders>
          </w:tcPr>
          <w:p>
            <w:pPr>
              <w:pStyle w:val="TableParagraph"/>
              <w:spacing w:line="233" w:lineRule="exact"/>
              <w:ind w:right="33"/>
              <w:jc w:val="right"/>
              <w:rPr>
                <w:sz w:val="21"/>
              </w:rPr>
            </w:pPr>
            <w:r>
              <w:rPr>
                <w:sz w:val="21"/>
              </w:rPr>
              <w:t>0.8%</w:t>
            </w:r>
          </w:p>
        </w:tc>
        <w:tc>
          <w:tcPr>
            <w:tcW w:w="1728" w:type="dxa"/>
          </w:tcPr>
          <w:p>
            <w:pPr>
              <w:pStyle w:val="TableParagraph"/>
              <w:spacing w:line="233" w:lineRule="exact"/>
              <w:ind w:right="11"/>
              <w:jc w:val="right"/>
              <w:rPr>
                <w:sz w:val="21"/>
              </w:rPr>
            </w:pPr>
            <w:r>
              <w:rPr>
                <w:sz w:val="21"/>
              </w:rPr>
              <w:t>0.6%</w:t>
            </w:r>
          </w:p>
        </w:tc>
        <w:tc>
          <w:tcPr>
            <w:tcW w:w="1769" w:type="dxa"/>
            <w:tcBorders>
              <w:bottom w:val="single" w:sz="4" w:space="0" w:color="000000"/>
            </w:tcBorders>
          </w:tcPr>
          <w:p>
            <w:pPr>
              <w:pStyle w:val="TableParagraph"/>
              <w:spacing w:line="233" w:lineRule="exact"/>
              <w:ind w:right="25"/>
              <w:jc w:val="right"/>
              <w:rPr>
                <w:sz w:val="21"/>
              </w:rPr>
            </w:pPr>
            <w:r>
              <w:rPr>
                <w:sz w:val="21"/>
              </w:rPr>
              <w:t>0.4%</w:t>
            </w:r>
          </w:p>
        </w:tc>
      </w:tr>
      <w:tr>
        <w:trPr>
          <w:trHeight w:val="468" w:hRule="atLeast"/>
        </w:trPr>
        <w:tc>
          <w:tcPr>
            <w:tcW w:w="2557" w:type="dxa"/>
          </w:tcPr>
          <w:p>
            <w:pPr>
              <w:pStyle w:val="TableParagraph"/>
              <w:spacing w:before="118"/>
              <w:ind w:left="45"/>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w w:val="100"/>
                <w:sz w:val="21"/>
              </w:rPr>
              <w:t>c=</w:t>
            </w:r>
            <w:r>
              <w:rPr>
                <w:spacing w:val="-3"/>
                <w:w w:val="100"/>
                <w:sz w:val="21"/>
              </w:rPr>
              <w:t>a</w:t>
            </w:r>
            <w:r>
              <w:rPr>
                <w:w w:val="100"/>
                <w:sz w:val="21"/>
              </w:rPr>
              <w:t>/</w:t>
            </w:r>
            <w:r>
              <w:rPr>
                <w:rFonts w:ascii="宋体" w:eastAsia="宋体" w:hint="eastAsia"/>
                <w:spacing w:val="-2"/>
                <w:w w:val="100"/>
                <w:sz w:val="21"/>
              </w:rPr>
              <w:t>（</w:t>
            </w:r>
            <w:r>
              <w:rPr>
                <w:w w:val="100"/>
                <w:sz w:val="21"/>
              </w:rPr>
              <w:t>1+b</w:t>
            </w:r>
            <w:r>
              <w:rPr>
                <w:rFonts w:ascii="宋体" w:eastAsia="宋体" w:hint="eastAsia"/>
                <w:spacing w:val="-108"/>
                <w:w w:val="100"/>
                <w:sz w:val="21"/>
              </w:rPr>
              <w:t>））</w:t>
            </w:r>
          </w:p>
        </w:tc>
        <w:tc>
          <w:tcPr>
            <w:tcW w:w="1760" w:type="dxa"/>
            <w:tcBorders>
              <w:top w:val="single" w:sz="4" w:space="0" w:color="000000"/>
              <w:bottom w:val="single" w:sz="4" w:space="0" w:color="000000"/>
            </w:tcBorders>
          </w:tcPr>
          <w:p>
            <w:pPr>
              <w:pStyle w:val="TableParagraph"/>
              <w:spacing w:before="105"/>
              <w:ind w:right="34"/>
              <w:jc w:val="right"/>
              <w:rPr>
                <w:sz w:val="21"/>
              </w:rPr>
            </w:pPr>
            <w:r>
              <w:rPr>
                <w:sz w:val="21"/>
              </w:rPr>
              <w:t>992.06</w:t>
            </w:r>
          </w:p>
        </w:tc>
        <w:tc>
          <w:tcPr>
            <w:tcW w:w="1728" w:type="dxa"/>
          </w:tcPr>
          <w:p>
            <w:pPr>
              <w:pStyle w:val="TableParagraph"/>
              <w:spacing w:before="123"/>
              <w:ind w:right="13"/>
              <w:jc w:val="right"/>
              <w:rPr>
                <w:sz w:val="21"/>
              </w:rPr>
            </w:pPr>
            <w:r>
              <w:rPr>
                <w:sz w:val="21"/>
              </w:rPr>
              <w:t>497,017.89</w:t>
            </w:r>
          </w:p>
        </w:tc>
        <w:tc>
          <w:tcPr>
            <w:tcW w:w="1769" w:type="dxa"/>
            <w:tcBorders>
              <w:top w:val="single" w:sz="4" w:space="0" w:color="000000"/>
              <w:bottom w:val="single" w:sz="4" w:space="0" w:color="000000"/>
            </w:tcBorders>
          </w:tcPr>
          <w:p>
            <w:pPr>
              <w:pStyle w:val="TableParagraph"/>
              <w:spacing w:before="123"/>
              <w:ind w:right="27"/>
              <w:jc w:val="right"/>
              <w:rPr>
                <w:sz w:val="21"/>
              </w:rPr>
            </w:pPr>
            <w:r>
              <w:rPr>
                <w:sz w:val="21"/>
              </w:rPr>
              <w:t>1,992,031.87</w:t>
            </w:r>
          </w:p>
        </w:tc>
      </w:tr>
      <w:tr>
        <w:trPr>
          <w:trHeight w:val="467" w:hRule="atLeast"/>
        </w:trPr>
        <w:tc>
          <w:tcPr>
            <w:tcW w:w="2557" w:type="dxa"/>
          </w:tcPr>
          <w:p>
            <w:pPr>
              <w:pStyle w:val="TableParagraph"/>
              <w:spacing w:before="117"/>
              <w:ind w:left="45"/>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760" w:type="dxa"/>
            <w:tcBorders>
              <w:top w:val="single" w:sz="4" w:space="0" w:color="000000"/>
              <w:bottom w:val="single" w:sz="4" w:space="0" w:color="000000"/>
            </w:tcBorders>
          </w:tcPr>
          <w:p>
            <w:pPr>
              <w:pStyle w:val="TableParagraph"/>
              <w:spacing w:before="104"/>
              <w:ind w:right="34"/>
              <w:jc w:val="right"/>
              <w:rPr>
                <w:sz w:val="21"/>
              </w:rPr>
            </w:pPr>
            <w:r>
              <w:rPr>
                <w:sz w:val="21"/>
              </w:rPr>
              <w:t>7.94</w:t>
            </w:r>
          </w:p>
        </w:tc>
        <w:tc>
          <w:tcPr>
            <w:tcW w:w="1728" w:type="dxa"/>
          </w:tcPr>
          <w:p>
            <w:pPr>
              <w:pStyle w:val="TableParagraph"/>
              <w:spacing w:before="122"/>
              <w:ind w:right="12"/>
              <w:jc w:val="right"/>
              <w:rPr>
                <w:sz w:val="21"/>
              </w:rPr>
            </w:pPr>
            <w:r>
              <w:rPr>
                <w:sz w:val="21"/>
              </w:rPr>
              <w:t>2,982.11</w:t>
            </w:r>
          </w:p>
        </w:tc>
        <w:tc>
          <w:tcPr>
            <w:tcW w:w="1769" w:type="dxa"/>
            <w:tcBorders>
              <w:top w:val="single" w:sz="4" w:space="0" w:color="000000"/>
              <w:bottom w:val="single" w:sz="4" w:space="0" w:color="000000"/>
            </w:tcBorders>
          </w:tcPr>
          <w:p>
            <w:pPr>
              <w:pStyle w:val="TableParagraph"/>
              <w:spacing w:before="122"/>
              <w:ind w:right="26"/>
              <w:jc w:val="right"/>
              <w:rPr>
                <w:sz w:val="21"/>
              </w:rPr>
            </w:pPr>
            <w:r>
              <w:rPr>
                <w:sz w:val="21"/>
              </w:rPr>
              <w:t>7,968.13</w:t>
            </w:r>
          </w:p>
        </w:tc>
      </w:tr>
      <w:tr>
        <w:trPr>
          <w:trHeight w:val="468" w:hRule="atLeast"/>
        </w:trPr>
        <w:tc>
          <w:tcPr>
            <w:tcW w:w="2557" w:type="dxa"/>
          </w:tcPr>
          <w:p>
            <w:pPr>
              <w:pStyle w:val="TableParagraph"/>
              <w:spacing w:before="120"/>
              <w:ind w:left="45"/>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760" w:type="dxa"/>
            <w:tcBorders>
              <w:top w:val="single" w:sz="4" w:space="0" w:color="000000"/>
              <w:bottom w:val="single" w:sz="4" w:space="0" w:color="000000"/>
            </w:tcBorders>
          </w:tcPr>
          <w:p>
            <w:pPr>
              <w:pStyle w:val="TableParagraph"/>
              <w:spacing w:before="107"/>
              <w:ind w:right="34"/>
              <w:jc w:val="right"/>
              <w:rPr>
                <w:sz w:val="21"/>
              </w:rPr>
            </w:pPr>
            <w:r>
              <w:rPr>
                <w:sz w:val="21"/>
              </w:rPr>
              <w:t>1.230</w:t>
            </w:r>
          </w:p>
        </w:tc>
        <w:tc>
          <w:tcPr>
            <w:tcW w:w="1728" w:type="dxa"/>
          </w:tcPr>
          <w:p>
            <w:pPr>
              <w:pStyle w:val="TableParagraph"/>
              <w:spacing w:before="125"/>
              <w:ind w:right="12"/>
              <w:jc w:val="right"/>
              <w:rPr>
                <w:sz w:val="21"/>
              </w:rPr>
            </w:pPr>
            <w:r>
              <w:rPr>
                <w:sz w:val="21"/>
              </w:rPr>
              <w:t>1.230</w:t>
            </w:r>
          </w:p>
        </w:tc>
        <w:tc>
          <w:tcPr>
            <w:tcW w:w="1769" w:type="dxa"/>
            <w:tcBorders>
              <w:top w:val="single" w:sz="4" w:space="0" w:color="000000"/>
              <w:bottom w:val="single" w:sz="4" w:space="0" w:color="000000"/>
            </w:tcBorders>
          </w:tcPr>
          <w:p>
            <w:pPr>
              <w:pStyle w:val="TableParagraph"/>
              <w:spacing w:before="125"/>
              <w:ind w:right="26"/>
              <w:jc w:val="right"/>
              <w:rPr>
                <w:sz w:val="21"/>
              </w:rPr>
            </w:pPr>
            <w:r>
              <w:rPr>
                <w:sz w:val="21"/>
              </w:rPr>
              <w:t>1.230</w:t>
            </w:r>
          </w:p>
        </w:tc>
      </w:tr>
      <w:tr>
        <w:trPr>
          <w:trHeight w:val="486" w:hRule="atLeast"/>
        </w:trPr>
        <w:tc>
          <w:tcPr>
            <w:tcW w:w="2557" w:type="dxa"/>
            <w:tcBorders>
              <w:bottom w:val="single" w:sz="12" w:space="0" w:color="000000"/>
            </w:tcBorders>
          </w:tcPr>
          <w:p>
            <w:pPr>
              <w:pStyle w:val="TableParagraph"/>
              <w:spacing w:before="118"/>
              <w:ind w:left="45"/>
              <w:rPr>
                <w:rFonts w:ascii="宋体" w:eastAsia="宋体" w:hint="eastAsia"/>
                <w:sz w:val="21"/>
              </w:rPr>
            </w:pPr>
            <w:r>
              <w:rPr>
                <w:rFonts w:ascii="宋体" w:eastAsia="宋体" w:hint="eastAsia"/>
                <w:sz w:val="21"/>
              </w:rPr>
              <w:t>申购份额（</w:t>
            </w:r>
            <w:r>
              <w:rPr>
                <w:sz w:val="21"/>
              </w:rPr>
              <w:t>=c/e</w:t>
            </w:r>
            <w:r>
              <w:rPr>
                <w:rFonts w:ascii="宋体" w:eastAsia="宋体" w:hint="eastAsia"/>
                <w:sz w:val="21"/>
              </w:rPr>
              <w:t>）</w:t>
            </w:r>
          </w:p>
        </w:tc>
        <w:tc>
          <w:tcPr>
            <w:tcW w:w="1760" w:type="dxa"/>
            <w:tcBorders>
              <w:top w:val="single" w:sz="4" w:space="0" w:color="000000"/>
              <w:bottom w:val="single" w:sz="12" w:space="0" w:color="000000"/>
            </w:tcBorders>
          </w:tcPr>
          <w:p>
            <w:pPr>
              <w:pStyle w:val="TableParagraph"/>
              <w:spacing w:before="104"/>
              <w:ind w:right="34"/>
              <w:jc w:val="right"/>
              <w:rPr>
                <w:sz w:val="21"/>
              </w:rPr>
            </w:pPr>
            <w:r>
              <w:rPr>
                <w:sz w:val="21"/>
              </w:rPr>
              <w:t>806.55</w:t>
            </w:r>
          </w:p>
        </w:tc>
        <w:tc>
          <w:tcPr>
            <w:tcW w:w="1728" w:type="dxa"/>
            <w:tcBorders>
              <w:bottom w:val="single" w:sz="12" w:space="0" w:color="000000"/>
            </w:tcBorders>
          </w:tcPr>
          <w:p>
            <w:pPr>
              <w:pStyle w:val="TableParagraph"/>
              <w:spacing w:before="124"/>
              <w:ind w:right="13"/>
              <w:jc w:val="right"/>
              <w:rPr>
                <w:sz w:val="21"/>
              </w:rPr>
            </w:pPr>
            <w:r>
              <w:rPr>
                <w:sz w:val="21"/>
              </w:rPr>
              <w:t>404,079.59</w:t>
            </w:r>
          </w:p>
        </w:tc>
        <w:tc>
          <w:tcPr>
            <w:tcW w:w="1769" w:type="dxa"/>
            <w:tcBorders>
              <w:top w:val="single" w:sz="4" w:space="0" w:color="000000"/>
              <w:bottom w:val="single" w:sz="12" w:space="0" w:color="000000"/>
            </w:tcBorders>
          </w:tcPr>
          <w:p>
            <w:pPr>
              <w:pStyle w:val="TableParagraph"/>
              <w:spacing w:before="124"/>
              <w:ind w:right="27"/>
              <w:jc w:val="right"/>
              <w:rPr>
                <w:sz w:val="21"/>
              </w:rPr>
            </w:pPr>
            <w:r>
              <w:rPr>
                <w:sz w:val="21"/>
              </w:rPr>
              <w:t>1,619,538.11</w:t>
            </w:r>
          </w:p>
        </w:tc>
      </w:tr>
    </w:tbl>
    <w:p>
      <w:pPr>
        <w:pStyle w:val="BodyText"/>
        <w:spacing w:before="85"/>
        <w:ind w:left="960"/>
      </w:pPr>
      <w:r>
        <w:rPr/>
        <w:pict>
          <v:group style="position:absolute;margin-left:211.25pt;margin-top:24.229992pt;width:172.95pt;height:143.950pt;mso-position-horizontal-relative:page;mso-position-vertical-relative:paragraph;z-index:-257593344" coordorigin="4225,485" coordsize="3459,2879">
            <v:shape style="position:absolute;left:6411;top:484;width:10;height:468" type="#_x0000_t75" stroked="false">
              <v:imagedata r:id="rId27" o:title=""/>
            </v:shape>
            <v:shape style="position:absolute;left:4225;top:952;width:3459;height:2411" type="#_x0000_t75" stroked="false">
              <v:imagedata r:id="rId28" o:title=""/>
            </v:shape>
            <w10:wrap type="none"/>
          </v:group>
        </w:pict>
      </w:r>
      <w:r>
        <w:rPr/>
        <w:t>若人民币申购金额为</w:t>
      </w:r>
      <w:r>
        <w:rPr>
          <w:rFonts w:ascii="Calibri" w:eastAsia="Calibri"/>
        </w:rPr>
        <w:t>500</w:t>
      </w:r>
      <w:r>
        <w:rPr/>
        <w:t>万元，则申购负担的前端申购费用和获得的基金份额计算如下：</w:t>
      </w:r>
    </w:p>
    <w:p>
      <w:pPr>
        <w:pStyle w:val="BodyText"/>
        <w:spacing w:before="11"/>
        <w:rPr>
          <w:sz w:val="8"/>
        </w:rPr>
      </w:pPr>
    </w:p>
    <w:tbl>
      <w:tblPr>
        <w:tblW w:w="0" w:type="auto"/>
        <w:jc w:val="left"/>
        <w:tblInd w:w="2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3"/>
        <w:gridCol w:w="1184"/>
      </w:tblGrid>
      <w:tr>
        <w:trPr>
          <w:trHeight w:val="469" w:hRule="atLeast"/>
        </w:trPr>
        <w:tc>
          <w:tcPr>
            <w:tcW w:w="2283" w:type="dxa"/>
            <w:tcBorders>
              <w:top w:val="single" w:sz="12" w:space="0" w:color="000000"/>
              <w:bottom w:val="single" w:sz="12" w:space="0" w:color="000000"/>
            </w:tcBorders>
          </w:tcPr>
          <w:p>
            <w:pPr>
              <w:pStyle w:val="TableParagraph"/>
              <w:rPr>
                <w:rFonts w:ascii="Times New Roman"/>
                <w:sz w:val="20"/>
              </w:rPr>
            </w:pPr>
          </w:p>
        </w:tc>
        <w:tc>
          <w:tcPr>
            <w:tcW w:w="1184" w:type="dxa"/>
            <w:tcBorders>
              <w:top w:val="single" w:sz="12" w:space="0" w:color="000000"/>
              <w:bottom w:val="single" w:sz="12" w:space="0" w:color="000000"/>
            </w:tcBorders>
          </w:tcPr>
          <w:p>
            <w:pPr>
              <w:pStyle w:val="TableParagraph"/>
              <w:spacing w:before="101"/>
              <w:ind w:left="285"/>
              <w:rPr>
                <w:sz w:val="21"/>
              </w:rPr>
            </w:pPr>
            <w:r>
              <w:rPr>
                <w:rFonts w:ascii="宋体" w:eastAsia="宋体" w:hint="eastAsia"/>
                <w:sz w:val="21"/>
              </w:rPr>
              <w:t>申购</w:t>
            </w:r>
            <w:r>
              <w:rPr>
                <w:sz w:val="21"/>
              </w:rPr>
              <w:t>4</w:t>
            </w:r>
          </w:p>
        </w:tc>
      </w:tr>
      <w:tr>
        <w:trPr>
          <w:trHeight w:val="483" w:hRule="atLeast"/>
        </w:trPr>
        <w:tc>
          <w:tcPr>
            <w:tcW w:w="2283" w:type="dxa"/>
            <w:tcBorders>
              <w:top w:val="single" w:sz="12" w:space="0" w:color="000000"/>
            </w:tcBorders>
          </w:tcPr>
          <w:p>
            <w:pPr>
              <w:pStyle w:val="TableParagraph"/>
              <w:spacing w:before="99"/>
              <w:ind w:left="36"/>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184" w:type="dxa"/>
            <w:tcBorders>
              <w:top w:val="single" w:sz="12" w:space="0" w:color="000000"/>
            </w:tcBorders>
          </w:tcPr>
          <w:p>
            <w:pPr>
              <w:pStyle w:val="TableParagraph"/>
              <w:spacing w:before="104"/>
              <w:ind w:right="29"/>
              <w:jc w:val="right"/>
              <w:rPr>
                <w:sz w:val="21"/>
              </w:rPr>
            </w:pPr>
            <w:r>
              <w:rPr>
                <w:sz w:val="21"/>
              </w:rPr>
              <w:t>5,000,000.00</w:t>
            </w:r>
          </w:p>
        </w:tc>
      </w:tr>
      <w:tr>
        <w:trPr>
          <w:trHeight w:val="479" w:hRule="atLeast"/>
        </w:trPr>
        <w:tc>
          <w:tcPr>
            <w:tcW w:w="2283" w:type="dxa"/>
          </w:tcPr>
          <w:p>
            <w:pPr>
              <w:pStyle w:val="TableParagraph"/>
              <w:spacing w:before="93"/>
              <w:ind w:left="36"/>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184" w:type="dxa"/>
          </w:tcPr>
          <w:p>
            <w:pPr>
              <w:pStyle w:val="TableParagraph"/>
              <w:spacing w:before="98"/>
              <w:ind w:right="29"/>
              <w:jc w:val="right"/>
              <w:rPr>
                <w:sz w:val="21"/>
              </w:rPr>
            </w:pPr>
            <w:r>
              <w:rPr>
                <w:sz w:val="21"/>
              </w:rPr>
              <w:t>1,000.00</w:t>
            </w:r>
          </w:p>
        </w:tc>
      </w:tr>
      <w:tr>
        <w:trPr>
          <w:trHeight w:val="478" w:hRule="atLeast"/>
        </w:trPr>
        <w:tc>
          <w:tcPr>
            <w:tcW w:w="2283" w:type="dxa"/>
          </w:tcPr>
          <w:p>
            <w:pPr>
              <w:pStyle w:val="TableParagraph"/>
              <w:spacing w:before="94"/>
              <w:ind w:left="36"/>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184" w:type="dxa"/>
          </w:tcPr>
          <w:p>
            <w:pPr>
              <w:pStyle w:val="TableParagraph"/>
              <w:spacing w:before="99"/>
              <w:ind w:right="32"/>
              <w:jc w:val="right"/>
              <w:rPr>
                <w:sz w:val="21"/>
              </w:rPr>
            </w:pPr>
            <w:r>
              <w:rPr>
                <w:sz w:val="21"/>
              </w:rPr>
              <w:t>4,999,000.00</w:t>
            </w:r>
          </w:p>
        </w:tc>
      </w:tr>
      <w:tr>
        <w:trPr>
          <w:trHeight w:val="477" w:hRule="atLeast"/>
        </w:trPr>
        <w:tc>
          <w:tcPr>
            <w:tcW w:w="2283" w:type="dxa"/>
          </w:tcPr>
          <w:p>
            <w:pPr>
              <w:pStyle w:val="TableParagraph"/>
              <w:spacing w:before="93"/>
              <w:ind w:left="36"/>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184" w:type="dxa"/>
          </w:tcPr>
          <w:p>
            <w:pPr>
              <w:pStyle w:val="TableParagraph"/>
              <w:spacing w:before="98"/>
              <w:ind w:right="29"/>
              <w:jc w:val="right"/>
              <w:rPr>
                <w:sz w:val="21"/>
              </w:rPr>
            </w:pPr>
            <w:r>
              <w:rPr>
                <w:sz w:val="21"/>
              </w:rPr>
              <w:t>1.230</w:t>
            </w:r>
          </w:p>
        </w:tc>
      </w:tr>
      <w:tr>
        <w:trPr>
          <w:trHeight w:val="460" w:hRule="atLeast"/>
        </w:trPr>
        <w:tc>
          <w:tcPr>
            <w:tcW w:w="2283" w:type="dxa"/>
            <w:tcBorders>
              <w:bottom w:val="single" w:sz="12" w:space="0" w:color="000000"/>
            </w:tcBorders>
          </w:tcPr>
          <w:p>
            <w:pPr>
              <w:pStyle w:val="TableParagraph"/>
              <w:spacing w:before="93"/>
              <w:ind w:left="36"/>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184" w:type="dxa"/>
            <w:tcBorders>
              <w:bottom w:val="single" w:sz="12" w:space="0" w:color="000000"/>
            </w:tcBorders>
          </w:tcPr>
          <w:p>
            <w:pPr>
              <w:pStyle w:val="TableParagraph"/>
              <w:spacing w:before="98"/>
              <w:ind w:right="32"/>
              <w:jc w:val="right"/>
              <w:rPr>
                <w:sz w:val="21"/>
              </w:rPr>
            </w:pPr>
            <w:r>
              <w:rPr>
                <w:sz w:val="21"/>
              </w:rPr>
              <w:t>4,064,227.64</w:t>
            </w:r>
          </w:p>
        </w:tc>
      </w:tr>
    </w:tbl>
    <w:p>
      <w:pPr>
        <w:pStyle w:val="BodyText"/>
        <w:spacing w:line="417" w:lineRule="auto" w:before="85"/>
        <w:ind w:left="540" w:right="874" w:firstLine="419"/>
      </w:pPr>
      <w:r>
        <w:rPr/>
        <w:t>例二：假定</w:t>
      </w:r>
      <w:r>
        <w:rPr>
          <w:rFonts w:ascii="Calibri" w:eastAsia="Calibri"/>
          <w:position w:val="1"/>
        </w:rPr>
        <w:t>T</w:t>
      </w:r>
      <w:r>
        <w:rPr/>
        <w:t>日基金的</w:t>
      </w:r>
      <w:r>
        <w:rPr>
          <w:rFonts w:ascii="Calibri" w:eastAsia="Calibri"/>
          <w:position w:val="1"/>
        </w:rPr>
        <w:t>C</w:t>
      </w:r>
      <w:r>
        <w:rPr/>
        <w:t>类基金份额净值为</w:t>
      </w:r>
      <w:r>
        <w:rPr>
          <w:rFonts w:ascii="Calibri" w:eastAsia="Calibri"/>
          <w:position w:val="1"/>
        </w:rPr>
        <w:t>1.200</w:t>
      </w:r>
      <w:r>
        <w:rPr/>
        <w:t>元，人民币申购金额为</w:t>
      </w:r>
      <w:r>
        <w:rPr>
          <w:rFonts w:ascii="Calibri" w:eastAsia="Calibri"/>
          <w:position w:val="1"/>
        </w:rPr>
        <w:t>10</w:t>
      </w:r>
      <w:r>
        <w:rPr/>
        <w:t>万元，则申购获得的基金份额计算如下：</w:t>
      </w:r>
    </w:p>
    <w:p>
      <w:pPr>
        <w:pStyle w:val="BodyText"/>
        <w:spacing w:line="269" w:lineRule="exact"/>
        <w:ind w:left="960"/>
      </w:pPr>
      <w:r>
        <w:rPr/>
        <w:t>申购份额＝</w:t>
      </w:r>
      <w:r>
        <w:rPr>
          <w:rFonts w:ascii="Calibri" w:eastAsia="Calibri"/>
          <w:position w:val="1"/>
        </w:rPr>
        <w:t>100,000.00/1.200=83,333.33</w:t>
      </w:r>
      <w:r>
        <w:rPr/>
        <w:t>份</w:t>
      </w:r>
    </w:p>
    <w:p>
      <w:pPr>
        <w:pStyle w:val="BodyText"/>
        <w:spacing w:before="7"/>
        <w:rPr>
          <w:sz w:val="15"/>
        </w:rPr>
      </w:pPr>
    </w:p>
    <w:p>
      <w:pPr>
        <w:pStyle w:val="BodyText"/>
        <w:ind w:left="960"/>
      </w:pPr>
      <w:r>
        <w:rPr/>
        <w:t>例三：假定</w:t>
      </w:r>
      <w:r>
        <w:rPr>
          <w:rFonts w:ascii="Calibri" w:eastAsia="Calibri"/>
          <w:position w:val="1"/>
        </w:rPr>
        <w:t>T</w:t>
      </w:r>
      <w:r>
        <w:rPr/>
        <w:t>日</w:t>
      </w:r>
      <w:r>
        <w:rPr>
          <w:rFonts w:ascii="Calibri" w:eastAsia="Calibri"/>
          <w:position w:val="1"/>
        </w:rPr>
        <w:t>A</w:t>
      </w:r>
      <w:r>
        <w:rPr/>
        <w:t>类份额美元折算净值为</w:t>
      </w:r>
      <w:r>
        <w:rPr>
          <w:rFonts w:ascii="Calibri" w:eastAsia="Calibri"/>
          <w:position w:val="1"/>
        </w:rPr>
        <w:t>0.1671</w:t>
      </w:r>
      <w:r>
        <w:rPr/>
        <w:t>美元，投资者以美元申购本基金</w:t>
      </w:r>
      <w:r>
        <w:rPr>
          <w:rFonts w:ascii="Calibri" w:eastAsia="Calibri"/>
          <w:position w:val="1"/>
        </w:rPr>
        <w:t>A</w:t>
      </w:r>
      <w:r>
        <w:rPr/>
        <w:t>类份额</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4171" w:hanging="420"/>
      </w:pPr>
      <w:r>
        <w:rPr>
          <w:rFonts w:ascii="Calibri" w:eastAsia="Calibri"/>
          <w:position w:val="1"/>
        </w:rPr>
        <w:t>5,000.00</w:t>
      </w:r>
      <w:r>
        <w:rPr>
          <w:spacing w:val="-3"/>
        </w:rPr>
        <w:t>美元，则申购获得的</w:t>
      </w:r>
      <w:r>
        <w:rPr>
          <w:rFonts w:ascii="Calibri" w:eastAsia="Calibri"/>
          <w:position w:val="1"/>
        </w:rPr>
        <w:t>A</w:t>
      </w:r>
      <w:r>
        <w:rPr>
          <w:spacing w:val="-3"/>
        </w:rPr>
        <w:t>类基金份额计算如下： 净申购金额</w:t>
      </w:r>
      <w:r>
        <w:rPr/>
        <w:t>＝</w:t>
      </w:r>
      <w:r>
        <w:rPr>
          <w:rFonts w:ascii="Calibri" w:eastAsia="Calibri"/>
          <w:position w:val="1"/>
        </w:rPr>
        <w:t>5,000.00/</w:t>
      </w:r>
      <w:r>
        <w:rPr/>
        <w:t>（</w:t>
      </w:r>
      <w:r>
        <w:rPr>
          <w:rFonts w:ascii="Calibri" w:eastAsia="Calibri"/>
          <w:position w:val="1"/>
        </w:rPr>
        <w:t>1</w:t>
      </w:r>
      <w:r>
        <w:rPr/>
        <w:t>＋</w:t>
      </w:r>
      <w:r>
        <w:rPr>
          <w:rFonts w:ascii="Calibri" w:eastAsia="Calibri"/>
          <w:position w:val="1"/>
        </w:rPr>
        <w:t>0.8%</w:t>
      </w:r>
      <w:r>
        <w:rPr/>
        <w:t>）</w:t>
      </w:r>
      <w:r>
        <w:rPr>
          <w:rFonts w:ascii="Calibri" w:eastAsia="Calibri"/>
          <w:position w:val="1"/>
        </w:rPr>
        <w:t>=4,960.32</w:t>
      </w:r>
      <w:r>
        <w:rPr/>
        <w:t>美元</w:t>
      </w:r>
      <w:r>
        <w:rPr>
          <w:spacing w:val="-3"/>
        </w:rPr>
        <w:t>美元前端申购费用</w:t>
      </w:r>
      <w:r>
        <w:rPr>
          <w:spacing w:val="-1"/>
        </w:rPr>
        <w:t>＝</w:t>
      </w:r>
      <w:r>
        <w:rPr>
          <w:rFonts w:ascii="Calibri" w:eastAsia="Calibri"/>
          <w:spacing w:val="-1"/>
          <w:position w:val="1"/>
        </w:rPr>
        <w:t>5,000.00</w:t>
      </w:r>
      <w:r>
        <w:rPr>
          <w:spacing w:val="-1"/>
        </w:rPr>
        <w:t>－</w:t>
      </w:r>
      <w:r>
        <w:rPr>
          <w:rFonts w:ascii="Calibri" w:eastAsia="Calibri"/>
          <w:spacing w:val="-1"/>
          <w:position w:val="1"/>
        </w:rPr>
        <w:t>4,960.32=39.68</w:t>
      </w:r>
      <w:r>
        <w:rPr>
          <w:spacing w:val="-3"/>
        </w:rPr>
        <w:t>美元</w:t>
      </w:r>
      <w:r>
        <w:rPr>
          <w:spacing w:val="-1"/>
        </w:rPr>
        <w:t>申购份额</w:t>
      </w:r>
      <w:r>
        <w:rPr/>
        <w:t>＝</w:t>
      </w:r>
      <w:r>
        <w:rPr>
          <w:rFonts w:ascii="Calibri" w:eastAsia="Calibri"/>
          <w:position w:val="1"/>
        </w:rPr>
        <w:t>4,960.32/0.1671=29,684.74</w:t>
      </w:r>
      <w:r>
        <w:rPr/>
        <w:t>份</w:t>
      </w:r>
    </w:p>
    <w:p>
      <w:pPr>
        <w:pStyle w:val="BodyText"/>
        <w:spacing w:line="268" w:lineRule="exact"/>
        <w:ind w:left="960"/>
      </w:pPr>
      <w:r>
        <w:rPr>
          <w:rFonts w:ascii="Calibri" w:eastAsia="Calibri"/>
        </w:rPr>
        <w:t>2</w:t>
      </w:r>
      <w:r>
        <w:rPr/>
        <w:t>、赎回金额的计算</w:t>
      </w:r>
    </w:p>
    <w:p>
      <w:pPr>
        <w:pStyle w:val="BodyText"/>
        <w:spacing w:before="7"/>
        <w:rPr>
          <w:sz w:val="15"/>
        </w:rPr>
      </w:pPr>
    </w:p>
    <w:p>
      <w:pPr>
        <w:pStyle w:val="BodyText"/>
        <w:ind w:left="960"/>
      </w:pPr>
      <w:r>
        <w:rPr/>
        <w:t>（</w:t>
      </w:r>
      <w:r>
        <w:rPr>
          <w:rFonts w:ascii="Calibri" w:eastAsia="Calibri"/>
          <w:position w:val="1"/>
        </w:rPr>
        <w:t>1</w:t>
      </w:r>
      <w:r>
        <w:rPr/>
        <w:t>）当投资者赎回</w:t>
      </w:r>
      <w:r>
        <w:rPr>
          <w:rFonts w:ascii="Calibri" w:eastAsia="Calibri"/>
          <w:position w:val="1"/>
        </w:rPr>
        <w:t>A</w:t>
      </w:r>
      <w:r>
        <w:rPr/>
        <w:t>类基金份额时，赎回金额的计算方法如下：</w:t>
      </w:r>
    </w:p>
    <w:p>
      <w:pPr>
        <w:pStyle w:val="BodyText"/>
        <w:spacing w:before="7"/>
        <w:rPr>
          <w:sz w:val="15"/>
        </w:rPr>
      </w:pPr>
    </w:p>
    <w:p>
      <w:pPr>
        <w:pStyle w:val="BodyText"/>
        <w:ind w:left="960"/>
      </w:pPr>
      <w:r>
        <w:rPr/>
        <w:t>①人民币赎回金额的计算</w:t>
      </w:r>
    </w:p>
    <w:p>
      <w:pPr>
        <w:pStyle w:val="BodyText"/>
        <w:spacing w:before="7"/>
        <w:rPr>
          <w:sz w:val="15"/>
        </w:rPr>
      </w:pPr>
    </w:p>
    <w:p>
      <w:pPr>
        <w:pStyle w:val="BodyText"/>
        <w:spacing w:line="417" w:lineRule="auto"/>
        <w:ind w:left="1380" w:right="4440"/>
      </w:pPr>
      <w:r>
        <w:rPr/>
        <w:t>赎回金额＝赎回份额</w:t>
      </w:r>
      <w:r>
        <w:rPr>
          <w:rFonts w:ascii="Calibri" w:hAnsi="Calibri" w:eastAsia="Calibri"/>
        </w:rPr>
        <w:t>×T</w:t>
      </w:r>
      <w:r>
        <w:rPr/>
        <w:t>日</w:t>
      </w:r>
      <w:r>
        <w:rPr>
          <w:rFonts w:ascii="Calibri" w:hAnsi="Calibri" w:eastAsia="Calibri"/>
        </w:rPr>
        <w:t>A</w:t>
      </w:r>
      <w:r>
        <w:rPr/>
        <w:t>类基金份额净值赎回费用＝赎回金额</w:t>
      </w:r>
      <w:r>
        <w:rPr>
          <w:rFonts w:ascii="Calibri" w:hAnsi="Calibri" w:eastAsia="Calibri"/>
        </w:rPr>
        <w:t>×</w:t>
      </w:r>
      <w:r>
        <w:rPr/>
        <w:t>赎回费率</w:t>
      </w:r>
    </w:p>
    <w:p>
      <w:pPr>
        <w:pStyle w:val="BodyText"/>
        <w:spacing w:line="269" w:lineRule="exact"/>
        <w:ind w:left="1380"/>
      </w:pPr>
      <w:r>
        <w:rPr/>
        <w:t>净赎回金额</w:t>
      </w:r>
      <w:r>
        <w:rPr>
          <w:rFonts w:ascii="Calibri" w:eastAsia="Calibri"/>
        </w:rPr>
        <w:t>=</w:t>
      </w:r>
      <w:r>
        <w:rPr/>
        <w:t>赎回金额</w:t>
      </w:r>
      <w:r>
        <w:rPr>
          <w:rFonts w:ascii="Calibri" w:eastAsia="Calibri"/>
        </w:rPr>
        <w:t>-</w:t>
      </w:r>
      <w:r>
        <w:rPr/>
        <w:t>赎回费用</w:t>
      </w:r>
    </w:p>
    <w:p>
      <w:pPr>
        <w:pStyle w:val="BodyText"/>
        <w:spacing w:before="7"/>
        <w:rPr>
          <w:sz w:val="15"/>
        </w:rPr>
      </w:pPr>
    </w:p>
    <w:p>
      <w:pPr>
        <w:pStyle w:val="BodyText"/>
        <w:ind w:left="960"/>
      </w:pPr>
      <w:r>
        <w:rPr/>
        <w:t>②美元赎回金额的计算</w:t>
      </w:r>
    </w:p>
    <w:p>
      <w:pPr>
        <w:pStyle w:val="BodyText"/>
        <w:spacing w:before="7"/>
        <w:rPr>
          <w:sz w:val="15"/>
        </w:rPr>
      </w:pPr>
    </w:p>
    <w:p>
      <w:pPr>
        <w:pStyle w:val="BodyText"/>
        <w:spacing w:line="417" w:lineRule="auto"/>
        <w:ind w:left="1440" w:right="3540"/>
      </w:pPr>
      <w:r>
        <w:rPr/>
        <w:t>赎回金额＝赎回份额</w:t>
      </w:r>
      <w:r>
        <w:rPr>
          <w:rFonts w:ascii="Calibri" w:hAnsi="Calibri" w:eastAsia="Calibri"/>
        </w:rPr>
        <w:t>×T</w:t>
      </w:r>
      <w:r>
        <w:rPr/>
        <w:t>日</w:t>
      </w:r>
      <w:r>
        <w:rPr>
          <w:rFonts w:ascii="Calibri" w:hAnsi="Calibri" w:eastAsia="Calibri"/>
        </w:rPr>
        <w:t>A</w:t>
      </w:r>
      <w:r>
        <w:rPr/>
        <w:t>类基金份额美元折算净值赎回费用＝赎回金额</w:t>
      </w:r>
      <w:r>
        <w:rPr>
          <w:rFonts w:ascii="Calibri" w:hAnsi="Calibri" w:eastAsia="Calibri"/>
        </w:rPr>
        <w:t>×</w:t>
      </w:r>
      <w:r>
        <w:rPr/>
        <w:t>赎回费率</w:t>
      </w:r>
    </w:p>
    <w:p>
      <w:pPr>
        <w:pStyle w:val="BodyText"/>
        <w:spacing w:line="269" w:lineRule="exact"/>
        <w:ind w:left="1440"/>
      </w:pPr>
      <w:r>
        <w:rPr/>
        <w:t>净赎回金额</w:t>
      </w:r>
      <w:r>
        <w:rPr>
          <w:rFonts w:ascii="Calibri" w:eastAsia="Calibri"/>
        </w:rPr>
        <w:t>=</w:t>
      </w:r>
      <w:r>
        <w:rPr/>
        <w:t>赎回金额</w:t>
      </w:r>
      <w:r>
        <w:rPr>
          <w:rFonts w:ascii="Calibri" w:eastAsia="Calibri"/>
        </w:rPr>
        <w:t>-</w:t>
      </w:r>
      <w:r>
        <w:rPr/>
        <w:t>赎回费用</w:t>
      </w:r>
    </w:p>
    <w:p>
      <w:pPr>
        <w:pStyle w:val="BodyText"/>
        <w:spacing w:before="7"/>
        <w:rPr>
          <w:sz w:val="15"/>
        </w:rPr>
      </w:pPr>
    </w:p>
    <w:p>
      <w:pPr>
        <w:pStyle w:val="BodyText"/>
        <w:spacing w:line="417" w:lineRule="auto"/>
        <w:ind w:left="1380" w:right="2976" w:hanging="526"/>
      </w:pPr>
      <w:r>
        <w:rPr/>
        <w:t>（</w:t>
      </w:r>
      <w:r>
        <w:rPr>
          <w:rFonts w:ascii="Calibri" w:hAnsi="Calibri" w:eastAsia="Calibri"/>
        </w:rPr>
        <w:t>2</w:t>
      </w:r>
      <w:r>
        <w:rPr/>
        <w:t>）当投资者赎回</w:t>
      </w:r>
      <w:r>
        <w:rPr>
          <w:rFonts w:ascii="Calibri" w:hAnsi="Calibri" w:eastAsia="Calibri"/>
        </w:rPr>
        <w:t>C</w:t>
      </w:r>
      <w:r>
        <w:rPr/>
        <w:t>类基金份额时，赎回金额的计算方法如下： 赎回金额＝赎回份额</w:t>
      </w:r>
      <w:r>
        <w:rPr>
          <w:rFonts w:ascii="Calibri" w:hAnsi="Calibri" w:eastAsia="Calibri"/>
        </w:rPr>
        <w:t>×T</w:t>
      </w:r>
      <w:r>
        <w:rPr/>
        <w:t>日</w:t>
      </w:r>
      <w:r>
        <w:rPr>
          <w:rFonts w:ascii="Calibri" w:hAnsi="Calibri" w:eastAsia="Calibri"/>
        </w:rPr>
        <w:t>C</w:t>
      </w:r>
      <w:r>
        <w:rPr/>
        <w:t>类基金份额净值</w:t>
      </w:r>
    </w:p>
    <w:p>
      <w:pPr>
        <w:pStyle w:val="BodyText"/>
        <w:spacing w:line="417" w:lineRule="auto"/>
        <w:ind w:left="1380" w:right="5441"/>
      </w:pPr>
      <w:r>
        <w:rPr/>
        <w:t>赎回费用＝赎回金额</w:t>
      </w:r>
      <w:r>
        <w:rPr>
          <w:rFonts w:ascii="Calibri" w:hAnsi="Calibri" w:eastAsia="Calibri"/>
        </w:rPr>
        <w:t>×</w:t>
      </w:r>
      <w:r>
        <w:rPr/>
        <w:t>赎回费率净赎回金额</w:t>
      </w:r>
      <w:r>
        <w:rPr>
          <w:rFonts w:ascii="Calibri" w:hAnsi="Calibri" w:eastAsia="Calibri"/>
        </w:rPr>
        <w:t>=</w:t>
      </w:r>
      <w:r>
        <w:rPr/>
        <w:t>赎回金额</w:t>
      </w:r>
      <w:r>
        <w:rPr>
          <w:rFonts w:ascii="Calibri" w:hAnsi="Calibri" w:eastAsia="Calibri"/>
        </w:rPr>
        <w:t>-</w:t>
      </w:r>
      <w:r>
        <w:rPr/>
        <w:t>赎回费用</w:t>
      </w:r>
    </w:p>
    <w:p>
      <w:pPr>
        <w:pStyle w:val="BodyText"/>
        <w:spacing w:line="417" w:lineRule="auto"/>
        <w:ind w:left="540" w:right="813" w:firstLine="419"/>
      </w:pPr>
      <w:r>
        <w:rPr/>
        <w:t>例四：假定某投资者在</w:t>
      </w:r>
      <w:r>
        <w:rPr>
          <w:rFonts w:ascii="Calibri" w:eastAsia="Calibri"/>
        </w:rPr>
        <w:t>T</w:t>
      </w:r>
      <w:r>
        <w:rPr/>
        <w:t>日赎回</w:t>
      </w:r>
      <w:r>
        <w:rPr>
          <w:rFonts w:ascii="Calibri" w:eastAsia="Calibri"/>
        </w:rPr>
        <w:t>10,000</w:t>
      </w:r>
      <w:r>
        <w:rPr/>
        <w:t>份人民币申购的</w:t>
      </w:r>
      <w:r>
        <w:rPr>
          <w:rFonts w:ascii="Calibri" w:eastAsia="Calibri"/>
        </w:rPr>
        <w:t>A</w:t>
      </w:r>
      <w:r>
        <w:rPr/>
        <w:t>类基金份额，持有期限</w:t>
      </w:r>
      <w:r>
        <w:rPr>
          <w:rFonts w:ascii="Calibri" w:eastAsia="Calibri"/>
        </w:rPr>
        <w:t>10</w:t>
      </w:r>
      <w:r>
        <w:rPr/>
        <w:t>天，该日</w:t>
      </w:r>
      <w:r>
        <w:rPr>
          <w:rFonts w:ascii="Calibri" w:eastAsia="Calibri"/>
        </w:rPr>
        <w:t>A</w:t>
      </w:r>
      <w:r>
        <w:rPr/>
        <w:t>类基金份额净值为</w:t>
      </w:r>
      <w:r>
        <w:rPr>
          <w:rFonts w:ascii="Calibri" w:eastAsia="Calibri"/>
        </w:rPr>
        <w:t>1.250</w:t>
      </w:r>
      <w:r>
        <w:rPr/>
        <w:t>元，则其获得的赎回金额计算如下：</w:t>
      </w:r>
    </w:p>
    <w:p>
      <w:pPr>
        <w:pStyle w:val="BodyText"/>
        <w:spacing w:line="417" w:lineRule="auto"/>
        <w:ind w:left="1380" w:right="4587"/>
      </w:pPr>
      <w:r>
        <w:rPr/>
        <w:t>赎回总金额</w:t>
      </w:r>
      <w:r>
        <w:rPr>
          <w:rFonts w:ascii="Calibri" w:hAnsi="Calibri" w:eastAsia="Calibri"/>
        </w:rPr>
        <w:t>=10,000.00×1.250=12,500.00</w:t>
      </w:r>
      <w:r>
        <w:rPr/>
        <w:t>元赎回费用＝</w:t>
      </w:r>
      <w:r>
        <w:rPr>
          <w:rFonts w:ascii="Calibri" w:hAnsi="Calibri" w:eastAsia="Calibri"/>
        </w:rPr>
        <w:t>12,500.00×0.1%</w:t>
      </w:r>
      <w:r>
        <w:rPr/>
        <w:t>＝</w:t>
      </w:r>
      <w:r>
        <w:rPr>
          <w:rFonts w:ascii="Calibri" w:hAnsi="Calibri" w:eastAsia="Calibri"/>
        </w:rPr>
        <w:t>12.50</w:t>
      </w:r>
      <w:r>
        <w:rPr/>
        <w:t>元</w:t>
      </w:r>
    </w:p>
    <w:p>
      <w:pPr>
        <w:pStyle w:val="BodyText"/>
        <w:ind w:left="1380"/>
      </w:pPr>
      <w:r>
        <w:rPr/>
        <w:t>净赎回金额</w:t>
      </w:r>
      <w:r>
        <w:rPr>
          <w:rFonts w:ascii="Calibri" w:eastAsia="Calibri"/>
        </w:rPr>
        <w:t>=12,500.00-12.50</w:t>
      </w:r>
      <w:r>
        <w:rPr/>
        <w:t>＝</w:t>
      </w:r>
      <w:r>
        <w:rPr>
          <w:rFonts w:ascii="Calibri" w:eastAsia="Calibri"/>
        </w:rPr>
        <w:t>12,487.50</w:t>
      </w:r>
      <w:r>
        <w:rPr/>
        <w:t>元</w:t>
      </w:r>
    </w:p>
    <w:p>
      <w:pPr>
        <w:pStyle w:val="BodyText"/>
        <w:spacing w:before="6"/>
        <w:rPr>
          <w:sz w:val="15"/>
        </w:rPr>
      </w:pPr>
    </w:p>
    <w:p>
      <w:pPr>
        <w:pStyle w:val="BodyText"/>
        <w:spacing w:line="417" w:lineRule="auto"/>
        <w:ind w:left="540" w:right="876" w:firstLine="419"/>
      </w:pPr>
      <w:r>
        <w:rPr/>
        <w:t>例五：假定某投资者在</w:t>
      </w:r>
      <w:r>
        <w:rPr>
          <w:rFonts w:ascii="Calibri" w:eastAsia="Calibri"/>
        </w:rPr>
        <w:t>T</w:t>
      </w:r>
      <w:r>
        <w:rPr/>
        <w:t>日赎回</w:t>
      </w:r>
      <w:r>
        <w:rPr>
          <w:rFonts w:ascii="Calibri" w:eastAsia="Calibri"/>
        </w:rPr>
        <w:t>10,000</w:t>
      </w:r>
      <w:r>
        <w:rPr/>
        <w:t>份</w:t>
      </w:r>
      <w:r>
        <w:rPr>
          <w:rFonts w:ascii="Calibri" w:eastAsia="Calibri"/>
        </w:rPr>
        <w:t>C</w:t>
      </w:r>
      <w:r>
        <w:rPr/>
        <w:t>类基金份额，持有</w:t>
      </w:r>
      <w:r>
        <w:rPr>
          <w:rFonts w:ascii="Calibri" w:eastAsia="Calibri"/>
        </w:rPr>
        <w:t>80</w:t>
      </w:r>
      <w:r>
        <w:rPr/>
        <w:t>天，该日</w:t>
      </w:r>
      <w:r>
        <w:rPr>
          <w:rFonts w:ascii="Calibri" w:eastAsia="Calibri"/>
        </w:rPr>
        <w:t>C</w:t>
      </w:r>
      <w:r>
        <w:rPr/>
        <w:t>类基金份额净值为</w:t>
      </w:r>
      <w:r>
        <w:rPr>
          <w:rFonts w:ascii="Calibri" w:eastAsia="Calibri"/>
        </w:rPr>
        <w:t>1.225</w:t>
      </w:r>
      <w:r>
        <w:rPr/>
        <w:t>元，则其获得的赎回金额计算如下：</w:t>
      </w:r>
    </w:p>
    <w:p>
      <w:pPr>
        <w:pStyle w:val="BodyText"/>
        <w:spacing w:line="269" w:lineRule="exact"/>
        <w:ind w:left="1380"/>
      </w:pPr>
      <w:r>
        <w:rPr/>
        <w:t>赎回金额</w:t>
      </w:r>
      <w:r>
        <w:rPr>
          <w:rFonts w:ascii="Calibri" w:hAnsi="Calibri" w:eastAsia="Calibri"/>
          <w:position w:val="1"/>
        </w:rPr>
        <w:t>=10,000.00×1.225=12,250.00</w:t>
      </w:r>
      <w:r>
        <w:rPr/>
        <w:t>元</w:t>
      </w:r>
    </w:p>
    <w:p>
      <w:pPr>
        <w:pStyle w:val="BodyText"/>
        <w:spacing w:before="6"/>
        <w:rPr>
          <w:sz w:val="15"/>
        </w:rPr>
      </w:pPr>
    </w:p>
    <w:p>
      <w:pPr>
        <w:pStyle w:val="BodyText"/>
        <w:spacing w:line="417" w:lineRule="auto" w:before="1"/>
        <w:ind w:left="540" w:right="800" w:firstLine="419"/>
      </w:pPr>
      <w:r>
        <w:rPr/>
        <w:t>例六：假定某投资者在</w:t>
      </w:r>
      <w:r>
        <w:rPr>
          <w:rFonts w:ascii="Calibri" w:eastAsia="Calibri"/>
        </w:rPr>
        <w:t>T</w:t>
      </w:r>
      <w:r>
        <w:rPr/>
        <w:t>日赎回</w:t>
      </w:r>
      <w:r>
        <w:rPr>
          <w:rFonts w:ascii="Calibri" w:eastAsia="Calibri"/>
        </w:rPr>
        <w:t>5,000</w:t>
      </w:r>
      <w:r>
        <w:rPr/>
        <w:t>份美元申购的</w:t>
      </w:r>
      <w:r>
        <w:rPr>
          <w:rFonts w:ascii="Calibri" w:eastAsia="Calibri"/>
        </w:rPr>
        <w:t>A</w:t>
      </w:r>
      <w:r>
        <w:rPr/>
        <w:t>类基金份额，持有期限</w:t>
      </w:r>
      <w:r>
        <w:rPr>
          <w:rFonts w:ascii="Calibri" w:eastAsia="Calibri"/>
        </w:rPr>
        <w:t>20</w:t>
      </w:r>
      <w:r>
        <w:rPr/>
        <w:t>天，该日</w:t>
      </w:r>
      <w:r>
        <w:rPr>
          <w:rFonts w:ascii="Calibri" w:eastAsia="Calibri"/>
        </w:rPr>
        <w:t>A </w:t>
      </w:r>
      <w:r>
        <w:rPr/>
        <w:t>类基金份额美元折算净值为</w:t>
      </w:r>
      <w:r>
        <w:rPr>
          <w:rFonts w:ascii="Calibri" w:eastAsia="Calibri"/>
        </w:rPr>
        <w:t>0.1971</w:t>
      </w:r>
      <w:r>
        <w:rPr/>
        <w:t>美元，则其获得的赎回金额计算如下：</w:t>
      </w:r>
    </w:p>
    <w:p>
      <w:pPr>
        <w:pStyle w:val="BodyText"/>
        <w:spacing w:line="417" w:lineRule="auto"/>
        <w:ind w:left="1380" w:right="4645"/>
      </w:pPr>
      <w:r>
        <w:rPr/>
        <w:t>赎回总金额</w:t>
      </w:r>
      <w:r>
        <w:rPr>
          <w:rFonts w:ascii="Calibri" w:hAnsi="Calibri" w:eastAsia="Calibri"/>
          <w:position w:val="1"/>
        </w:rPr>
        <w:t>=5,000.00×0.1971=985.50</w:t>
      </w:r>
      <w:r>
        <w:rPr/>
        <w:t>美元赎回费用</w:t>
      </w:r>
      <w:r>
        <w:rPr>
          <w:rFonts w:ascii="Calibri" w:hAnsi="Calibri" w:eastAsia="Calibri"/>
          <w:position w:val="1"/>
        </w:rPr>
        <w:t>=985.50×0.1%=0.99</w:t>
      </w:r>
      <w:r>
        <w:rPr/>
        <w:t>美元</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1380"/>
      </w:pPr>
      <w:r>
        <w:rPr/>
        <w:t>净赎回金额</w:t>
      </w:r>
      <w:r>
        <w:rPr>
          <w:rFonts w:ascii="Calibri" w:eastAsia="Calibri"/>
          <w:position w:val="1"/>
        </w:rPr>
        <w:t>=985.50-0.99=984.51</w:t>
      </w:r>
      <w:r>
        <w:rPr/>
        <w:t>美元</w:t>
      </w:r>
    </w:p>
    <w:p>
      <w:pPr>
        <w:pStyle w:val="BodyText"/>
        <w:spacing w:before="7"/>
        <w:rPr>
          <w:sz w:val="15"/>
        </w:rPr>
      </w:pPr>
    </w:p>
    <w:p>
      <w:pPr>
        <w:pStyle w:val="BodyText"/>
        <w:spacing w:line="417" w:lineRule="auto"/>
        <w:ind w:left="540" w:right="871" w:firstLine="419"/>
        <w:jc w:val="both"/>
      </w:pPr>
      <w:r>
        <w:rPr>
          <w:spacing w:val="-9"/>
        </w:rPr>
        <w:t>（</w:t>
      </w:r>
      <w:r>
        <w:rPr>
          <w:rFonts w:ascii="Calibri" w:eastAsia="Calibri"/>
          <w:spacing w:val="-9"/>
          <w:position w:val="1"/>
        </w:rPr>
        <w:t>3</w:t>
      </w:r>
      <w:r>
        <w:rPr>
          <w:spacing w:val="-9"/>
        </w:rPr>
        <w:t>）</w:t>
      </w:r>
      <w:r>
        <w:rPr>
          <w:rFonts w:ascii="Calibri" w:eastAsia="Calibri"/>
          <w:spacing w:val="-9"/>
          <w:position w:val="1"/>
        </w:rPr>
        <w:t>T</w:t>
      </w:r>
      <w:r>
        <w:rPr>
          <w:spacing w:val="-3"/>
        </w:rPr>
        <w:t>日的基金份额净值在</w:t>
      </w:r>
      <w:r>
        <w:rPr>
          <w:rFonts w:ascii="Calibri" w:eastAsia="Calibri"/>
          <w:position w:val="1"/>
        </w:rPr>
        <w:t>T+1</w:t>
      </w:r>
      <w:r>
        <w:rPr>
          <w:spacing w:val="-7"/>
        </w:rPr>
        <w:t>日内计算，并在</w:t>
      </w:r>
      <w:r>
        <w:rPr>
          <w:rFonts w:ascii="Calibri" w:eastAsia="Calibri"/>
          <w:position w:val="1"/>
        </w:rPr>
        <w:t>T+2</w:t>
      </w:r>
      <w:r>
        <w:rPr>
          <w:spacing w:val="-7"/>
        </w:rPr>
        <w:t>日内公告。各个基金份额类别单独计</w:t>
      </w:r>
      <w:r>
        <w:rPr>
          <w:spacing w:val="-13"/>
        </w:rPr>
        <w:t>算基金份额净值，计算公式为估值日该类别基金资产净值除以估值日发售在外的该类别基金</w:t>
      </w:r>
      <w:r>
        <w:rPr>
          <w:spacing w:val="-10"/>
        </w:rPr>
        <w:t>份额总数。基金份额净值的计算保留到小数点后</w:t>
      </w:r>
      <w:r>
        <w:rPr>
          <w:rFonts w:ascii="Calibri" w:eastAsia="Calibri"/>
          <w:position w:val="1"/>
        </w:rPr>
        <w:t>3</w:t>
      </w:r>
      <w:r>
        <w:rPr>
          <w:spacing w:val="-8"/>
        </w:rPr>
        <w:t>位，小数点后第</w:t>
      </w:r>
      <w:r>
        <w:rPr>
          <w:rFonts w:ascii="Calibri" w:eastAsia="Calibri"/>
          <w:position w:val="1"/>
        </w:rPr>
        <w:t>4</w:t>
      </w:r>
      <w:r>
        <w:rPr>
          <w:spacing w:val="-7"/>
        </w:rPr>
        <w:t>位四舍五入，由此产生的</w:t>
      </w:r>
      <w:r>
        <w:rPr>
          <w:spacing w:val="-21"/>
        </w:rPr>
        <w:t>收益或损失由基金财产承担。如遇特殊情况，经中国证监会同意，可以适当延迟计算或公告。</w:t>
      </w:r>
      <w:r>
        <w:rPr>
          <w:spacing w:val="-14"/>
        </w:rPr>
        <w:t>未来，若市场情况发生变化，或实际情况需要，经中国证监会允许，本基金可相应调整基金</w:t>
      </w:r>
      <w:r>
        <w:rPr>
          <w:spacing w:val="-7"/>
        </w:rPr>
        <w:t>净值计算和公告时间或频率并提前公告。</w:t>
      </w:r>
    </w:p>
    <w:p>
      <w:pPr>
        <w:pStyle w:val="BodyText"/>
        <w:spacing w:line="417" w:lineRule="auto"/>
        <w:ind w:left="540" w:right="871" w:firstLine="419"/>
        <w:jc w:val="both"/>
      </w:pPr>
      <w:r>
        <w:rPr>
          <w:rFonts w:ascii="Calibri" w:eastAsia="Calibri"/>
        </w:rPr>
        <w:t>3</w:t>
      </w:r>
      <w:r>
        <w:rPr>
          <w:spacing w:val="-3"/>
        </w:rPr>
        <w:t>、</w:t>
      </w:r>
      <w:r>
        <w:rPr>
          <w:rFonts w:ascii="Calibri" w:eastAsia="Calibri"/>
        </w:rPr>
        <w:t>T </w:t>
      </w:r>
      <w:r>
        <w:rPr>
          <w:spacing w:val="-5"/>
        </w:rPr>
        <w:t>日的美元折算净值由基金管理人在 </w:t>
      </w:r>
      <w:r>
        <w:rPr>
          <w:rFonts w:ascii="Calibri" w:eastAsia="Calibri"/>
        </w:rPr>
        <w:t>T+1 </w:t>
      </w:r>
      <w:r>
        <w:rPr>
          <w:spacing w:val="-5"/>
        </w:rPr>
        <w:t>日内计算，经基金托管人复核后在 </w:t>
      </w:r>
      <w:r>
        <w:rPr>
          <w:rFonts w:ascii="Calibri" w:eastAsia="Calibri"/>
        </w:rPr>
        <w:t>T+2 </w:t>
      </w:r>
      <w:r>
        <w:rPr/>
        <w:t>日</w:t>
      </w:r>
      <w:r>
        <w:rPr>
          <w:spacing w:val="-11"/>
        </w:rPr>
        <w:t>内公告。</w:t>
      </w:r>
      <w:r>
        <w:rPr>
          <w:rFonts w:ascii="Calibri" w:eastAsia="Calibri"/>
        </w:rPr>
        <w:t>T </w:t>
      </w:r>
      <w:r>
        <w:rPr>
          <w:spacing w:val="-6"/>
        </w:rPr>
        <w:t>日各类别的美元折算净值计算公式为 </w:t>
      </w:r>
      <w:r>
        <w:rPr>
          <w:rFonts w:ascii="Calibri" w:eastAsia="Calibri"/>
        </w:rPr>
        <w:t>T </w:t>
      </w:r>
      <w:r>
        <w:rPr>
          <w:spacing w:val="-3"/>
        </w:rPr>
        <w:t>日相应类别基金份额净值除以中国人民银</w:t>
      </w:r>
      <w:r>
        <w:rPr>
          <w:spacing w:val="-7"/>
        </w:rPr>
        <w:t>行最新公布的人民币对美元汇率中间价。美元折算净值保留到小数点后 </w:t>
      </w:r>
      <w:r>
        <w:rPr>
          <w:rFonts w:ascii="Calibri" w:eastAsia="Calibri"/>
        </w:rPr>
        <w:t>4 </w:t>
      </w:r>
      <w:r>
        <w:rPr>
          <w:spacing w:val="-11"/>
        </w:rPr>
        <w:t>位，小数点后第 </w:t>
      </w:r>
      <w:r>
        <w:rPr>
          <w:rFonts w:ascii="Calibri" w:eastAsia="Calibri"/>
        </w:rPr>
        <w:t>5 </w:t>
      </w:r>
      <w:r>
        <w:rPr>
          <w:spacing w:val="-11"/>
        </w:rPr>
        <w:t>位四舍五入。如遇特殊情况，基金管理人可以适当延迟计算或公告。基金也可根据实际情况</w:t>
      </w:r>
      <w:r>
        <w:rPr>
          <w:spacing w:val="-10"/>
        </w:rPr>
        <w:t>调整美元折算净值计算和公告时间或频率并提前公告。将来，若出现中国人民银行停止发布人民币对美元汇率中间价等情况，则基金管理人与基金托管人协商一致后，可对美元折算汇</w:t>
      </w:r>
      <w:r>
        <w:rPr>
          <w:spacing w:val="-5"/>
        </w:rPr>
        <w:t>率进行调整，并及时公告。</w:t>
      </w:r>
    </w:p>
    <w:p>
      <w:pPr>
        <w:pStyle w:val="BodyText"/>
        <w:spacing w:line="268" w:lineRule="exact"/>
        <w:ind w:left="960"/>
      </w:pPr>
      <w:r>
        <w:rPr/>
        <w:t>（八）拒绝或暂停申购的情形</w:t>
      </w:r>
    </w:p>
    <w:p>
      <w:pPr>
        <w:pStyle w:val="BodyText"/>
        <w:spacing w:before="6"/>
        <w:rPr>
          <w:sz w:val="15"/>
        </w:rPr>
      </w:pPr>
    </w:p>
    <w:p>
      <w:pPr>
        <w:pStyle w:val="BodyText"/>
        <w:ind w:left="960"/>
      </w:pPr>
      <w:r>
        <w:rPr/>
        <w:t>发生下列情况时，基金管理人可拒绝或暂停接受投资人的申购申请：</w:t>
      </w:r>
    </w:p>
    <w:p>
      <w:pPr>
        <w:pStyle w:val="BodyText"/>
        <w:spacing w:before="7"/>
        <w:rPr>
          <w:sz w:val="15"/>
        </w:rPr>
      </w:pPr>
    </w:p>
    <w:p>
      <w:pPr>
        <w:pStyle w:val="BodyText"/>
        <w:ind w:left="960"/>
      </w:pPr>
      <w:r>
        <w:rPr>
          <w:rFonts w:ascii="Calibri" w:eastAsia="Calibri"/>
        </w:rPr>
        <w:t>1</w:t>
      </w:r>
      <w:r>
        <w:rPr/>
        <w:t>、因不可抗力导致基金无法正常运作。</w:t>
      </w:r>
    </w:p>
    <w:p>
      <w:pPr>
        <w:pStyle w:val="BodyText"/>
        <w:spacing w:before="7"/>
        <w:rPr>
          <w:sz w:val="15"/>
        </w:rPr>
      </w:pPr>
    </w:p>
    <w:p>
      <w:pPr>
        <w:pStyle w:val="BodyText"/>
        <w:spacing w:line="417" w:lineRule="auto"/>
        <w:ind w:left="540" w:right="871" w:firstLine="419"/>
        <w:jc w:val="both"/>
      </w:pPr>
      <w:r>
        <w:rPr>
          <w:rFonts w:ascii="Calibri" w:eastAsia="Calibri"/>
        </w:rPr>
        <w:t>2</w:t>
      </w:r>
      <w:r>
        <w:rPr>
          <w:spacing w:val="-3"/>
        </w:rPr>
        <w:t>、发生基金合同规定的暂停基金资产估值情况时，基金管理人可暂停接受投资人的申</w:t>
      </w:r>
      <w:r>
        <w:rPr>
          <w:spacing w:val="-13"/>
        </w:rPr>
        <w:t>购申请。当前一估值日基金资产净值 </w:t>
      </w:r>
      <w:r>
        <w:rPr>
          <w:rFonts w:ascii="Calibri" w:eastAsia="Calibri"/>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暂停接受基金申购申请。</w:t>
      </w:r>
    </w:p>
    <w:p>
      <w:pPr>
        <w:pStyle w:val="BodyText"/>
        <w:spacing w:line="417" w:lineRule="auto"/>
        <w:ind w:left="540" w:right="874" w:firstLine="419"/>
      </w:pPr>
      <w:r>
        <w:rPr>
          <w:rFonts w:ascii="Calibri" w:eastAsia="Calibri"/>
        </w:rPr>
        <w:t>3</w:t>
      </w:r>
      <w:r>
        <w:rPr/>
        <w:t>、证券、期货交易所交易时间非正常停市，导致基金管理人无法计算当日基金资产净值。</w:t>
      </w:r>
    </w:p>
    <w:p>
      <w:pPr>
        <w:pStyle w:val="BodyText"/>
        <w:spacing w:line="269" w:lineRule="exact"/>
        <w:ind w:left="960"/>
      </w:pPr>
      <w:r>
        <w:rPr>
          <w:rFonts w:ascii="Calibri" w:eastAsia="Calibri"/>
        </w:rPr>
        <w:t>4</w:t>
      </w:r>
      <w:r>
        <w:rPr/>
        <w:t>、基金境外重要投资市场休市。</w:t>
      </w:r>
    </w:p>
    <w:p>
      <w:pPr>
        <w:pStyle w:val="BodyText"/>
        <w:spacing w:before="6"/>
        <w:rPr>
          <w:sz w:val="15"/>
        </w:rPr>
      </w:pPr>
    </w:p>
    <w:p>
      <w:pPr>
        <w:pStyle w:val="BodyText"/>
        <w:spacing w:line="417" w:lineRule="auto" w:before="1"/>
        <w:ind w:left="540" w:right="874" w:firstLine="419"/>
      </w:pPr>
      <w:r>
        <w:rPr>
          <w:rFonts w:ascii="Calibri" w:eastAsia="Calibri"/>
        </w:rPr>
        <w:t>5</w:t>
      </w:r>
      <w:r>
        <w:rPr/>
        <w:t>、基金资产规模过大，使基金管理人无法找到合适的投资品种，或其他可能对基金业绩产生负面影响，从而损害现有基金份额持有人利益的情形。</w:t>
      </w:r>
    </w:p>
    <w:p>
      <w:pPr>
        <w:pStyle w:val="BodyText"/>
        <w:spacing w:line="417" w:lineRule="auto"/>
        <w:ind w:left="540" w:right="874" w:firstLine="419"/>
      </w:pPr>
      <w:r>
        <w:rPr>
          <w:rFonts w:ascii="Calibri" w:eastAsia="Calibri"/>
        </w:rPr>
        <w:t>6</w:t>
      </w:r>
      <w:r>
        <w:rPr/>
        <w:t>、基金投资的重要市场正常或非正常停市，导致基金管理人无法准确计算当日基金资产净值。</w:t>
      </w:r>
    </w:p>
    <w:p>
      <w:pPr>
        <w:pStyle w:val="BodyText"/>
        <w:ind w:left="960"/>
      </w:pPr>
      <w:r>
        <w:rPr>
          <w:rFonts w:ascii="Calibri" w:eastAsia="Calibri"/>
        </w:rPr>
        <w:t>7</w:t>
      </w:r>
      <w:r>
        <w:rPr/>
        <w:t>、基金资产规模接近或达到规模上限。</w:t>
      </w:r>
    </w:p>
    <w:p>
      <w:pPr>
        <w:pStyle w:val="BodyText"/>
        <w:spacing w:before="6"/>
        <w:rPr>
          <w:sz w:val="15"/>
        </w:rPr>
      </w:pPr>
    </w:p>
    <w:p>
      <w:pPr>
        <w:pStyle w:val="BodyText"/>
        <w:ind w:left="960"/>
      </w:pPr>
      <w:r>
        <w:rPr>
          <w:rFonts w:ascii="Calibri" w:eastAsia="Calibri"/>
        </w:rPr>
        <w:t>8</w:t>
      </w:r>
      <w:r>
        <w:rPr/>
        <w:t>、基金管理人、基金托管人、登记机构、销售机构等因异常情况无法办理申购业务。</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pPr>
      <w:r>
        <w:rPr>
          <w:rFonts w:ascii="Calibri" w:eastAsia="Calibri"/>
        </w:rPr>
        <w:t>9</w:t>
      </w:r>
      <w:r>
        <w:rPr/>
        <w:t>、基金管理人接受某笔或某些申购申请可能会影响或损害现有基金份额持有人利益时。</w:t>
      </w:r>
    </w:p>
    <w:p>
      <w:pPr>
        <w:pStyle w:val="BodyText"/>
        <w:spacing w:before="7"/>
        <w:rPr>
          <w:sz w:val="15"/>
        </w:rPr>
      </w:pPr>
    </w:p>
    <w:p>
      <w:pPr>
        <w:pStyle w:val="BodyText"/>
        <w:spacing w:line="417" w:lineRule="auto"/>
        <w:ind w:left="540" w:right="871" w:firstLine="419"/>
      </w:pPr>
      <w:r>
        <w:rPr>
          <w:rFonts w:ascii="Calibri" w:eastAsia="Calibri"/>
        </w:rPr>
        <w:t>10</w:t>
      </w:r>
      <w:r>
        <w:rPr>
          <w:spacing w:val="-12"/>
        </w:rPr>
        <w:t>、基金管理人接受某笔或者某些申购申请有可能导致单一投资者持有基金份额的比例</w:t>
      </w:r>
      <w:r>
        <w:rPr>
          <w:spacing w:val="-13"/>
        </w:rPr>
        <w:t>达到或者超过 </w:t>
      </w:r>
      <w:r>
        <w:rPr>
          <w:rFonts w:ascii="Calibri" w:eastAsia="Calibri"/>
        </w:rPr>
        <w:t>50%</w:t>
      </w:r>
      <w:r>
        <w:rPr>
          <w:spacing w:val="-9"/>
        </w:rPr>
        <w:t>，或者变相规避 </w:t>
      </w:r>
      <w:r>
        <w:rPr>
          <w:rFonts w:ascii="Calibri" w:eastAsia="Calibri"/>
        </w:rPr>
        <w:t>50%</w:t>
      </w:r>
      <w:r>
        <w:rPr>
          <w:spacing w:val="-3"/>
        </w:rPr>
        <w:t>集中度的情形时。</w:t>
      </w:r>
    </w:p>
    <w:p>
      <w:pPr>
        <w:pStyle w:val="BodyText"/>
        <w:spacing w:line="269" w:lineRule="exact"/>
        <w:ind w:left="960"/>
      </w:pPr>
      <w:r>
        <w:rPr>
          <w:rFonts w:ascii="Calibri" w:eastAsia="Calibri"/>
        </w:rPr>
        <w:t>11</w:t>
      </w:r>
      <w:r>
        <w:rPr/>
        <w:t>、法律法规规定或中国证监会认定的其他情形。</w:t>
      </w:r>
    </w:p>
    <w:p>
      <w:pPr>
        <w:pStyle w:val="BodyText"/>
        <w:spacing w:before="7"/>
        <w:rPr>
          <w:sz w:val="15"/>
        </w:rPr>
      </w:pPr>
    </w:p>
    <w:p>
      <w:pPr>
        <w:pStyle w:val="BodyText"/>
        <w:spacing w:line="417" w:lineRule="auto"/>
        <w:ind w:left="540" w:right="871" w:firstLine="419"/>
        <w:jc w:val="both"/>
      </w:pPr>
      <w:r>
        <w:rPr>
          <w:spacing w:val="-8"/>
        </w:rPr>
        <w:t>发生上述第 </w:t>
      </w:r>
      <w:r>
        <w:rPr>
          <w:rFonts w:ascii="Calibri" w:eastAsia="Calibri"/>
        </w:rPr>
        <w:t>1-8 </w:t>
      </w:r>
      <w:r>
        <w:rPr>
          <w:spacing w:val="-6"/>
        </w:rPr>
        <w:t>项暂停申购情形且基金管理人决定暂停申购时，基金管理人应当根据有</w:t>
      </w:r>
      <w:r>
        <w:rPr>
          <w:spacing w:val="-9"/>
        </w:rPr>
        <w:t>关规定在指定媒介上刊登暂停申购公告。如果投资人的申购申请被拒绝，被拒绝的申购款项</w:t>
      </w:r>
      <w:r>
        <w:rPr>
          <w:spacing w:val="-5"/>
        </w:rPr>
        <w:t>将退还给投资人。在暂停申购的情况消除时，基金管理人应及时恢复申购业务的办理。</w:t>
      </w:r>
    </w:p>
    <w:p>
      <w:pPr>
        <w:pStyle w:val="BodyText"/>
        <w:ind w:left="960"/>
      </w:pPr>
      <w:r>
        <w:rPr/>
        <w:t>（九）暂停赎回或延缓支付赎回款项的情形</w:t>
      </w:r>
    </w:p>
    <w:p>
      <w:pPr>
        <w:pStyle w:val="BodyText"/>
        <w:spacing w:before="7"/>
        <w:rPr>
          <w:sz w:val="15"/>
        </w:rPr>
      </w:pPr>
    </w:p>
    <w:p>
      <w:pPr>
        <w:pStyle w:val="BodyText"/>
        <w:ind w:left="960"/>
      </w:pPr>
      <w:r>
        <w:rPr/>
        <w:t>发生下列情形时，基金管理人可暂停接受投资人的赎回申请或延缓支付赎回款项：</w:t>
      </w:r>
    </w:p>
    <w:p>
      <w:pPr>
        <w:pStyle w:val="BodyText"/>
        <w:spacing w:before="6"/>
        <w:rPr>
          <w:sz w:val="15"/>
        </w:rPr>
      </w:pPr>
    </w:p>
    <w:p>
      <w:pPr>
        <w:pStyle w:val="BodyText"/>
        <w:ind w:left="960"/>
      </w:pPr>
      <w:r>
        <w:rPr>
          <w:rFonts w:ascii="Calibri" w:eastAsia="Calibri"/>
        </w:rPr>
        <w:t>1</w:t>
      </w:r>
      <w:r>
        <w:rPr/>
        <w:t>、因不可抗力导致基金管理人不能支付赎回款项。</w:t>
      </w:r>
    </w:p>
    <w:p>
      <w:pPr>
        <w:pStyle w:val="BodyText"/>
        <w:spacing w:before="7"/>
        <w:rPr>
          <w:sz w:val="15"/>
        </w:rPr>
      </w:pPr>
    </w:p>
    <w:p>
      <w:pPr>
        <w:pStyle w:val="BodyText"/>
        <w:spacing w:line="417" w:lineRule="auto"/>
        <w:ind w:left="540" w:right="871" w:firstLine="419"/>
        <w:jc w:val="both"/>
      </w:pPr>
      <w:r>
        <w:rPr>
          <w:rFonts w:ascii="Calibri" w:eastAsia="Calibri"/>
        </w:rPr>
        <w:t>2</w:t>
      </w:r>
      <w:r>
        <w:rPr>
          <w:spacing w:val="-3"/>
        </w:rPr>
        <w:t>、发生基金合同规定的暂停基金资产估值情况时，基金管理人可暂停接受投资人的赎</w:t>
      </w:r>
      <w:r>
        <w:rPr>
          <w:spacing w:val="-6"/>
        </w:rPr>
        <w:t>回申请或延缓支付赎回款项。当前一估值日基金资产净值</w:t>
      </w:r>
      <w:r>
        <w:rPr>
          <w:rFonts w:ascii="Calibri" w:eastAsia="Calibri"/>
        </w:rPr>
        <w:t>50%</w:t>
      </w:r>
      <w:r>
        <w:rPr>
          <w:spacing w:val="-3"/>
        </w:rPr>
        <w:t>以上的资产出现无可参考的活</w:t>
      </w:r>
      <w:r>
        <w:rPr>
          <w:spacing w:val="-7"/>
        </w:rPr>
        <w:t>跃市场价格且采用估值技术仍导致公允价值存在重大不确定性时，经与基金托管人协商确认</w:t>
      </w:r>
      <w:r>
        <w:rPr>
          <w:spacing w:val="-5"/>
        </w:rPr>
        <w:t>后，基金管理人应当暂停接受基金赎回申请或延缓支付赎回款项。</w:t>
      </w:r>
    </w:p>
    <w:p>
      <w:pPr>
        <w:pStyle w:val="BodyText"/>
        <w:spacing w:line="417" w:lineRule="auto"/>
        <w:ind w:left="540" w:right="874" w:firstLine="419"/>
      </w:pPr>
      <w:r>
        <w:rPr>
          <w:rFonts w:ascii="Calibri" w:eastAsia="Calibri"/>
        </w:rPr>
        <w:t>3</w:t>
      </w:r>
      <w:r>
        <w:rPr/>
        <w:t>、证券、期货交易所交易时间非正常停市，导致基金管理人无法计算当日基金资产净值。</w:t>
      </w:r>
    </w:p>
    <w:p>
      <w:pPr>
        <w:pStyle w:val="BodyText"/>
        <w:spacing w:line="269" w:lineRule="exact"/>
        <w:ind w:left="960"/>
      </w:pPr>
      <w:r>
        <w:rPr>
          <w:rFonts w:ascii="Calibri" w:eastAsia="Calibri"/>
        </w:rPr>
        <w:t>4</w:t>
      </w:r>
      <w:r>
        <w:rPr/>
        <w:t>、连续两个或两个以上开放日发生巨额赎回。</w:t>
      </w:r>
    </w:p>
    <w:p>
      <w:pPr>
        <w:pStyle w:val="BodyText"/>
        <w:spacing w:before="6"/>
        <w:rPr>
          <w:sz w:val="15"/>
        </w:rPr>
      </w:pPr>
    </w:p>
    <w:p>
      <w:pPr>
        <w:pStyle w:val="BodyText"/>
        <w:spacing w:before="1"/>
        <w:ind w:left="960"/>
      </w:pPr>
      <w:r>
        <w:rPr>
          <w:rFonts w:ascii="Calibri" w:eastAsia="Calibri"/>
        </w:rPr>
        <w:t>5</w:t>
      </w:r>
      <w:r>
        <w:rPr/>
        <w:t>、基金境外重要投资市场休市。</w:t>
      </w:r>
    </w:p>
    <w:p>
      <w:pPr>
        <w:pStyle w:val="BodyText"/>
        <w:spacing w:before="6"/>
        <w:rPr>
          <w:sz w:val="15"/>
        </w:rPr>
      </w:pPr>
    </w:p>
    <w:p>
      <w:pPr>
        <w:pStyle w:val="BodyText"/>
        <w:ind w:left="960"/>
      </w:pPr>
      <w:r>
        <w:rPr>
          <w:rFonts w:ascii="Calibri" w:eastAsia="Calibri"/>
        </w:rPr>
        <w:t>6</w:t>
      </w:r>
      <w:r>
        <w:rPr/>
        <w:t>、继续接受赎回申请可能会影响或损害现有基金份额持有人利益时。</w:t>
      </w:r>
    </w:p>
    <w:p>
      <w:pPr>
        <w:pStyle w:val="BodyText"/>
        <w:spacing w:before="7"/>
        <w:rPr>
          <w:sz w:val="15"/>
        </w:rPr>
      </w:pPr>
    </w:p>
    <w:p>
      <w:pPr>
        <w:pStyle w:val="BodyText"/>
        <w:ind w:left="960"/>
      </w:pPr>
      <w:r>
        <w:rPr>
          <w:rFonts w:ascii="Calibri" w:eastAsia="Calibri"/>
        </w:rPr>
        <w:t>7</w:t>
      </w:r>
      <w:r>
        <w:rPr/>
        <w:t>、法律法规规定或中国证监会认定的其他情形。</w:t>
      </w:r>
    </w:p>
    <w:p>
      <w:pPr>
        <w:pStyle w:val="BodyText"/>
        <w:spacing w:before="7"/>
        <w:rPr>
          <w:sz w:val="15"/>
        </w:rPr>
      </w:pPr>
    </w:p>
    <w:p>
      <w:pPr>
        <w:pStyle w:val="BodyText"/>
        <w:spacing w:line="417" w:lineRule="auto"/>
        <w:ind w:left="540" w:right="871" w:firstLine="419"/>
        <w:jc w:val="both"/>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r>
        <w:rPr>
          <w:spacing w:val="-9"/>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Calibri" w:eastAsia="Calibri"/>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pStyle w:val="BodyText"/>
        <w:spacing w:line="269" w:lineRule="exact"/>
        <w:ind w:left="960"/>
      </w:pPr>
      <w:r>
        <w:rPr/>
        <w:t>（十）巨额赎回的情形及处理方式</w:t>
      </w:r>
    </w:p>
    <w:p>
      <w:pPr>
        <w:pStyle w:val="BodyText"/>
        <w:spacing w:before="6"/>
        <w:rPr>
          <w:sz w:val="15"/>
        </w:rPr>
      </w:pPr>
    </w:p>
    <w:p>
      <w:pPr>
        <w:pStyle w:val="BodyText"/>
        <w:spacing w:before="1"/>
        <w:ind w:left="960"/>
      </w:pPr>
      <w:r>
        <w:rPr>
          <w:rFonts w:ascii="Calibri" w:eastAsia="Calibri"/>
        </w:rPr>
        <w:t>1</w:t>
      </w:r>
      <w:r>
        <w:rPr/>
        <w:t>、巨额赎回的认定</w:t>
      </w:r>
    </w:p>
    <w:p>
      <w:pPr>
        <w:pStyle w:val="BodyText"/>
        <w:spacing w:before="7"/>
        <w:rPr>
          <w:sz w:val="15"/>
        </w:rPr>
      </w:pPr>
    </w:p>
    <w:p>
      <w:pPr>
        <w:pStyle w:val="BodyText"/>
        <w:spacing w:line="417" w:lineRule="auto"/>
        <w:ind w:left="540" w:right="871" w:firstLine="419"/>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3931" w:hanging="420"/>
      </w:pPr>
      <w:r>
        <w:rPr>
          <w:spacing w:val="-6"/>
        </w:rPr>
        <w:t>开放日的基金总份额的 </w:t>
      </w:r>
      <w:r>
        <w:rPr>
          <w:rFonts w:ascii="Calibri" w:eastAsia="Calibri"/>
        </w:rPr>
        <w:t>10%</w:t>
      </w:r>
      <w:r>
        <w:rPr>
          <w:spacing w:val="-3"/>
        </w:rPr>
        <w:t>，即认为是发生了巨额赎回。</w:t>
      </w:r>
      <w:r>
        <w:rPr>
          <w:rFonts w:ascii="Calibri" w:eastAsia="Calibri"/>
          <w:spacing w:val="-3"/>
        </w:rPr>
        <w:t>2</w:t>
      </w:r>
      <w:r>
        <w:rPr>
          <w:spacing w:val="-3"/>
        </w:rPr>
        <w:t>、巨额赎回的处理方式</w:t>
      </w:r>
    </w:p>
    <w:p>
      <w:pPr>
        <w:pStyle w:val="BodyText"/>
        <w:spacing w:line="417" w:lineRule="auto"/>
        <w:ind w:left="540" w:right="87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9"/>
        </w:numPr>
        <w:tabs>
          <w:tab w:pos="1492" w:val="left" w:leader="none"/>
        </w:tabs>
        <w:spacing w:line="417" w:lineRule="auto" w:before="0" w:after="0"/>
        <w:ind w:left="540" w:right="87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9"/>
        </w:numPr>
        <w:tabs>
          <w:tab w:pos="1492" w:val="left" w:leader="none"/>
        </w:tabs>
        <w:spacing w:line="417" w:lineRule="auto" w:before="0" w:after="0"/>
        <w:ind w:left="540" w:right="662" w:firstLine="419"/>
        <w:jc w:val="left"/>
        <w:rPr>
          <w:sz w:val="21"/>
        </w:rPr>
      </w:pPr>
      <w:r>
        <w:rPr>
          <w:spacing w:val="-3"/>
          <w:sz w:val="21"/>
        </w:rPr>
        <w:t>部分延期赎回：当基金管理人认为支付投资人的赎回申请有困难或认为因支付投 </w:t>
      </w:r>
      <w:r>
        <w:rPr>
          <w:spacing w:val="-6"/>
          <w:sz w:val="21"/>
        </w:rPr>
        <w:t>资人的赎回申请而进行的财产变现可能会对基金资产净值造成较大波动时，基金管理人在当 </w:t>
      </w:r>
      <w:r>
        <w:rPr>
          <w:spacing w:val="-5"/>
          <w:sz w:val="21"/>
        </w:rPr>
        <w:t>日接受赎回比例不低于上一开放日基金总份额的 </w:t>
      </w:r>
      <w:r>
        <w:rPr>
          <w:rFonts w:ascii="Calibri" w:eastAsia="Calibri"/>
          <w:sz w:val="21"/>
        </w:rPr>
        <w:t>10%</w:t>
      </w:r>
      <w:r>
        <w:rPr>
          <w:spacing w:val="-11"/>
          <w:sz w:val="21"/>
        </w:rPr>
        <w:t>的前提下，可对其余赎回申请延期办理。</w:t>
      </w:r>
      <w:r>
        <w:rPr>
          <w:spacing w:val="-13"/>
          <w:sz w:val="21"/>
        </w:rPr>
        <w:t>对于当日的赎回申请，应当按单个账户赎回申请量占赎回申请总量的比例，确定当日受理的 赎回份额；对于未能赎回部分，投资人在提交赎回申请时可以选择延期赎回或取消赎回。选 </w:t>
      </w:r>
      <w:r>
        <w:rPr>
          <w:spacing w:val="-6"/>
          <w:sz w:val="21"/>
        </w:rPr>
        <w:t>择延期赎回的，将自动转入下一个开放日继续赎回，直到全部赎回为止；选择取消赎回的， </w:t>
      </w:r>
      <w:r>
        <w:rPr>
          <w:spacing w:val="-4"/>
          <w:sz w:val="21"/>
        </w:rPr>
        <w:t>当日未获受理的部分赎回申请将被撤销。延期的赎回申请与下一开放日赎回申请一并处理， </w:t>
      </w:r>
      <w:r>
        <w:rPr>
          <w:spacing w:val="-7"/>
          <w:sz w:val="21"/>
        </w:rPr>
        <w:t>无优先权并以下一开放日的基金份额净值为基础计算赎回金额，以此类推，直到全部赎回为 </w:t>
      </w:r>
      <w:r>
        <w:rPr>
          <w:spacing w:val="-5"/>
          <w:sz w:val="21"/>
        </w:rPr>
        <w:t>止。如投资人在提交赎回申请时未作明确选择，投资人未能赎回部分作自动延期赎回处理。</w:t>
      </w:r>
    </w:p>
    <w:p>
      <w:pPr>
        <w:pStyle w:val="ListParagraph"/>
        <w:numPr>
          <w:ilvl w:val="0"/>
          <w:numId w:val="19"/>
        </w:numPr>
        <w:tabs>
          <w:tab w:pos="1490" w:val="left" w:leader="none"/>
        </w:tabs>
        <w:spacing w:line="417" w:lineRule="auto" w:before="0" w:after="0"/>
        <w:ind w:left="540" w:right="871" w:firstLine="419"/>
        <w:jc w:val="both"/>
        <w:rPr>
          <w:sz w:val="21"/>
        </w:rPr>
      </w:pPr>
      <w:r>
        <w:rPr>
          <w:spacing w:val="-7"/>
          <w:sz w:val="21"/>
        </w:rPr>
        <w:t>暂停赎回：连续 </w:t>
      </w:r>
      <w:r>
        <w:rPr>
          <w:rFonts w:ascii="Calibri" w:eastAsia="Calibri"/>
          <w:sz w:val="21"/>
        </w:rPr>
        <w:t>2</w:t>
      </w:r>
      <w:r>
        <w:rPr>
          <w:rFonts w:ascii="Calibri" w:eastAsia="Calibri"/>
          <w:spacing w:val="30"/>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Calibri" w:eastAsia="Calibri"/>
          <w:sz w:val="21"/>
        </w:rPr>
        <w:t>20</w:t>
      </w:r>
      <w:r>
        <w:rPr>
          <w:rFonts w:ascii="Calibri" w:eastAsia="Calibri"/>
          <w:spacing w:val="3"/>
          <w:sz w:val="21"/>
        </w:rPr>
        <w:t> </w:t>
      </w:r>
      <w:r>
        <w:rPr>
          <w:spacing w:val="-3"/>
          <w:sz w:val="21"/>
        </w:rPr>
        <w:t>个工作日，并应当在指定媒介上进行公告。</w:t>
      </w:r>
    </w:p>
    <w:p>
      <w:pPr>
        <w:pStyle w:val="ListParagraph"/>
        <w:numPr>
          <w:ilvl w:val="0"/>
          <w:numId w:val="19"/>
        </w:numPr>
        <w:tabs>
          <w:tab w:pos="1490" w:val="left" w:leader="none"/>
        </w:tabs>
        <w:spacing w:line="417" w:lineRule="auto" w:before="0" w:after="0"/>
        <w:ind w:left="540" w:right="871" w:firstLine="419"/>
        <w:jc w:val="both"/>
        <w:rPr>
          <w:sz w:val="21"/>
        </w:rPr>
      </w:pPr>
      <w:r>
        <w:rPr>
          <w:spacing w:val="-4"/>
          <w:sz w:val="21"/>
        </w:rPr>
        <w:t>如果基金发生巨额赎回，在单个基金份额持有人超过基金总份额 </w:t>
      </w:r>
      <w:r>
        <w:rPr>
          <w:rFonts w:ascii="Calibri" w:eastAsia="Calibri"/>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87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Calibri" w:hAnsi="Calibri" w:eastAsia="Calibri"/>
          <w:spacing w:val="-7"/>
        </w:rPr>
        <w:t>20%</w:t>
      </w:r>
      <w:r>
        <w:rPr>
          <w:spacing w:val="-7"/>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268" w:lineRule="exact"/>
        <w:ind w:left="960"/>
      </w:pPr>
      <w:r>
        <w:rPr/>
        <w:t>②如果基金管理人认为仅支付其他投资人的赎回申请也有困难时，则所有投资人的赎回</w:t>
      </w:r>
    </w:p>
    <w:p>
      <w:pPr>
        <w:spacing w:after="0" w:line="268" w:lineRule="exact"/>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13"/>
      </w:pPr>
      <w:r>
        <w:rPr/>
        <w:t>申请（包括单个投资人超过基金总份额 </w:t>
      </w:r>
      <w:r>
        <w:rPr>
          <w:rFonts w:ascii="Calibri" w:hAnsi="Calibri" w:eastAsia="Calibri"/>
        </w:rPr>
        <w:t>20%</w:t>
      </w:r>
      <w:r>
        <w:rPr/>
        <w:t>以上的大额赎回申请和其他投资人的赎回申请） </w:t>
      </w:r>
      <w:r>
        <w:rPr>
          <w:w w:val="100"/>
        </w:rPr>
        <w:t>都按照上述“（</w:t>
      </w:r>
      <w:r>
        <w:rPr>
          <w:rFonts w:ascii="Calibri" w:hAnsi="Calibri" w:eastAsia="Calibri"/>
          <w:w w:val="100"/>
        </w:rPr>
        <w:t>2</w:t>
      </w:r>
      <w:r>
        <w:rPr>
          <w:w w:val="100"/>
        </w:rPr>
        <w:t>）部分延期赎回”的约定一并办理。</w:t>
      </w:r>
    </w:p>
    <w:p>
      <w:pPr>
        <w:pStyle w:val="BodyText"/>
        <w:spacing w:line="269" w:lineRule="exact"/>
        <w:ind w:left="960"/>
      </w:pPr>
      <w:r>
        <w:rPr>
          <w:rFonts w:ascii="Calibri" w:eastAsia="Calibri"/>
        </w:rPr>
        <w:t>3</w:t>
      </w:r>
      <w:r>
        <w:rPr/>
        <w:t>、巨额赎回的公告</w:t>
      </w:r>
    </w:p>
    <w:p>
      <w:pPr>
        <w:pStyle w:val="BodyText"/>
        <w:spacing w:before="7"/>
        <w:rPr>
          <w:sz w:val="15"/>
        </w:rPr>
      </w:pPr>
    </w:p>
    <w:p>
      <w:pPr>
        <w:pStyle w:val="BodyText"/>
        <w:spacing w:line="417" w:lineRule="auto"/>
        <w:ind w:left="540" w:right="871" w:firstLine="419"/>
        <w:jc w:val="both"/>
      </w:pPr>
      <w:r>
        <w:rPr>
          <w:spacing w:val="-8"/>
        </w:rPr>
        <w:t>当发生上述巨额赎回并延期办理时，基金管理人应当通过邮寄、传真或者招募说明书规</w:t>
      </w:r>
      <w:r>
        <w:rPr>
          <w:spacing w:val="-10"/>
        </w:rPr>
        <w:t>定的其他方式在 </w:t>
      </w:r>
      <w:r>
        <w:rPr>
          <w:rFonts w:ascii="Calibri" w:eastAsia="Calibri"/>
        </w:rPr>
        <w:t>3 </w:t>
      </w:r>
      <w:r>
        <w:rPr>
          <w:spacing w:val="-8"/>
        </w:rPr>
        <w:t>个交易日内通知基金份额持有人，说明有关处理方法，同时在指定媒介上</w:t>
      </w:r>
      <w:r>
        <w:rPr>
          <w:spacing w:val="-5"/>
        </w:rPr>
        <w:t>刊登公告。</w:t>
      </w:r>
    </w:p>
    <w:p>
      <w:pPr>
        <w:pStyle w:val="BodyText"/>
        <w:spacing w:line="269" w:lineRule="exact"/>
        <w:ind w:left="960"/>
      </w:pPr>
      <w:r>
        <w:rPr/>
        <w:t>（十一）暂停申购或赎回的公告和重新开放申购或赎回的公告</w:t>
      </w:r>
    </w:p>
    <w:p>
      <w:pPr>
        <w:pStyle w:val="BodyText"/>
        <w:spacing w:before="7"/>
        <w:rPr>
          <w:sz w:val="15"/>
        </w:rPr>
      </w:pPr>
    </w:p>
    <w:p>
      <w:pPr>
        <w:pStyle w:val="BodyText"/>
        <w:spacing w:line="417" w:lineRule="auto"/>
        <w:ind w:left="540" w:right="874" w:firstLine="419"/>
      </w:pPr>
      <w:r>
        <w:rPr>
          <w:rFonts w:ascii="Calibri" w:eastAsia="Calibri"/>
        </w:rPr>
        <w:t>1</w:t>
      </w:r>
      <w:r>
        <w:rPr/>
        <w:t>、发生上述暂停申购或赎回情况的，基金管理人应在规定期限内在指定媒介上刊登暂停公告。</w:t>
      </w:r>
    </w:p>
    <w:p>
      <w:pPr>
        <w:pStyle w:val="BodyText"/>
        <w:spacing w:line="417" w:lineRule="auto"/>
        <w:ind w:left="540" w:right="818" w:firstLine="419"/>
      </w:pPr>
      <w:r>
        <w:rPr>
          <w:rFonts w:ascii="Calibri" w:eastAsia="Calibri"/>
        </w:rPr>
        <w:t>2</w:t>
      </w:r>
      <w:r>
        <w:rPr/>
        <w:t>、上述暂停申购或赎回情况消除的，基金管理人应于重新开放日公布最近 </w:t>
      </w:r>
      <w:r>
        <w:rPr>
          <w:rFonts w:ascii="Calibri" w:eastAsia="Calibri"/>
        </w:rPr>
        <w:t>1 </w:t>
      </w:r>
      <w:r>
        <w:rPr/>
        <w:t>个开放日的基金份额净值。</w:t>
      </w:r>
    </w:p>
    <w:p>
      <w:pPr>
        <w:pStyle w:val="BodyText"/>
        <w:spacing w:line="417" w:lineRule="auto"/>
        <w:ind w:left="540" w:right="871" w:firstLine="419"/>
        <w:jc w:val="both"/>
      </w:pPr>
      <w:r>
        <w:rPr>
          <w:rFonts w:ascii="Calibri" w:eastAsia="Calibri"/>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960"/>
      </w:pPr>
      <w:r>
        <w:rPr/>
        <w:t>（十二）基金转换</w:t>
      </w:r>
    </w:p>
    <w:p>
      <w:pPr>
        <w:pStyle w:val="BodyText"/>
        <w:spacing w:before="6"/>
        <w:rPr>
          <w:sz w:val="15"/>
        </w:rPr>
      </w:pPr>
    </w:p>
    <w:p>
      <w:pPr>
        <w:pStyle w:val="BodyText"/>
        <w:spacing w:line="417" w:lineRule="auto"/>
        <w:ind w:left="540" w:right="770" w:firstLine="419"/>
        <w:jc w:val="both"/>
      </w:pPr>
      <w:r>
        <w:rPr/>
        <w:t>基金管理人可以根据相关法律法规以及基金合同的规定决定开办本基金与基金管理人 </w:t>
      </w:r>
      <w:r>
        <w:rPr>
          <w:spacing w:val="-8"/>
        </w:rPr>
        <w:t>管理的其他基金之间的转换业务，基金转换可以收取一定的转换费，相关规则由基金管理人</w:t>
      </w:r>
      <w:r>
        <w:rPr>
          <w:spacing w:val="-5"/>
        </w:rPr>
        <w:t>届时根据相关法律法规及基金合同的规定制定并公告，并提前告知基金托管人与相关机构。</w:t>
      </w:r>
    </w:p>
    <w:p>
      <w:pPr>
        <w:pStyle w:val="BodyText"/>
        <w:spacing w:line="269" w:lineRule="exact"/>
        <w:ind w:left="960"/>
      </w:pPr>
      <w:r>
        <w:rPr/>
        <w:t>（十三）基金的非交易过户</w:t>
      </w:r>
    </w:p>
    <w:p>
      <w:pPr>
        <w:pStyle w:val="BodyText"/>
        <w:spacing w:before="7"/>
        <w:rPr>
          <w:sz w:val="15"/>
        </w:rPr>
      </w:pPr>
    </w:p>
    <w:p>
      <w:pPr>
        <w:pStyle w:val="BodyText"/>
        <w:spacing w:line="417" w:lineRule="auto"/>
        <w:ind w:left="540" w:right="871" w:firstLine="419"/>
        <w:jc w:val="both"/>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r>
        <w:rPr>
          <w:spacing w:val="-5"/>
        </w:rPr>
        <w:t>受划转的主体必须是依法可以持有本基金基金份额的投资人。</w:t>
      </w:r>
    </w:p>
    <w:p>
      <w:pPr>
        <w:pStyle w:val="BodyText"/>
        <w:spacing w:line="417" w:lineRule="auto"/>
        <w:ind w:left="540" w:right="87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8" w:lineRule="exact"/>
        <w:ind w:left="960"/>
      </w:pPr>
      <w:r>
        <w:rPr/>
        <w:t>（十四）基金的转托管</w:t>
      </w:r>
    </w:p>
    <w:p>
      <w:pPr>
        <w:pStyle w:val="BodyText"/>
        <w:spacing w:before="7"/>
        <w:rPr>
          <w:sz w:val="15"/>
        </w:rPr>
      </w:pPr>
    </w:p>
    <w:p>
      <w:pPr>
        <w:pStyle w:val="BodyText"/>
        <w:spacing w:line="417" w:lineRule="auto"/>
        <w:ind w:left="540" w:right="871" w:firstLine="419"/>
      </w:pPr>
      <w:r>
        <w:rPr>
          <w:spacing w:val="-6"/>
        </w:rPr>
        <w:t>基金份额持有人可办理已持有基金份额在不同销售机构之间的转托管，基金销售机构可</w:t>
      </w:r>
      <w:r>
        <w:rPr>
          <w:spacing w:val="-4"/>
        </w:rPr>
        <w:t>以按照规定的标准收取转托管费。</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960"/>
      </w:pPr>
      <w:r>
        <w:rPr/>
        <w:t>（十五）定期定额投资计划</w:t>
      </w:r>
    </w:p>
    <w:p>
      <w:pPr>
        <w:pStyle w:val="BodyText"/>
        <w:spacing w:before="7"/>
        <w:rPr>
          <w:sz w:val="15"/>
        </w:rPr>
      </w:pPr>
    </w:p>
    <w:p>
      <w:pPr>
        <w:pStyle w:val="BodyText"/>
        <w:spacing w:line="417" w:lineRule="auto"/>
        <w:ind w:left="540" w:right="87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960"/>
      </w:pPr>
      <w:r>
        <w:rPr/>
        <w:t>（十六）基金的冻结和解冻</w:t>
      </w:r>
    </w:p>
    <w:p>
      <w:pPr>
        <w:pStyle w:val="BodyText"/>
        <w:spacing w:before="7"/>
        <w:rPr>
          <w:sz w:val="15"/>
        </w:rPr>
      </w:pPr>
    </w:p>
    <w:p>
      <w:pPr>
        <w:pStyle w:val="BodyText"/>
        <w:spacing w:line="417" w:lineRule="auto"/>
        <w:ind w:left="540" w:right="87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ind w:left="960"/>
      </w:pPr>
      <w:r>
        <w:rPr/>
        <w:t>（十七）基金份额转让</w:t>
      </w:r>
    </w:p>
    <w:p>
      <w:pPr>
        <w:pStyle w:val="BodyText"/>
        <w:spacing w:before="7"/>
        <w:rPr>
          <w:sz w:val="15"/>
        </w:rPr>
      </w:pPr>
    </w:p>
    <w:p>
      <w:pPr>
        <w:pStyle w:val="BodyText"/>
        <w:spacing w:line="417" w:lineRule="auto"/>
        <w:ind w:left="540" w:right="665"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540" w:right="87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7"/>
        <w:rPr>
          <w:sz w:val="26"/>
        </w:rPr>
      </w:pPr>
    </w:p>
    <w:p>
      <w:pPr>
        <w:pStyle w:val="Heading1"/>
        <w:ind w:left="413"/>
      </w:pPr>
      <w:bookmarkStart w:name="_bookmark9" w:id="10"/>
      <w:bookmarkEnd w:id="10"/>
      <w:r>
        <w:rPr>
          <w:b w:val="0"/>
        </w:rPr>
      </w:r>
      <w:r>
        <w:rPr/>
        <w:t>十、基金的费用与税收</w:t>
      </w:r>
    </w:p>
    <w:p>
      <w:pPr>
        <w:pStyle w:val="BodyText"/>
        <w:rPr>
          <w:b/>
          <w:sz w:val="20"/>
        </w:rPr>
      </w:pPr>
    </w:p>
    <w:p>
      <w:pPr>
        <w:pStyle w:val="BodyText"/>
        <w:spacing w:before="3"/>
        <w:rPr>
          <w:b/>
        </w:rPr>
      </w:pPr>
    </w:p>
    <w:p>
      <w:pPr>
        <w:pStyle w:val="BodyText"/>
        <w:ind w:left="960"/>
      </w:pPr>
      <w:r>
        <w:rPr/>
        <w:t>（一）基金运作费用</w:t>
      </w:r>
    </w:p>
    <w:p>
      <w:pPr>
        <w:pStyle w:val="BodyText"/>
        <w:spacing w:before="6"/>
        <w:rPr>
          <w:sz w:val="15"/>
        </w:rPr>
      </w:pPr>
    </w:p>
    <w:p>
      <w:pPr>
        <w:pStyle w:val="BodyText"/>
        <w:ind w:left="960"/>
      </w:pPr>
      <w:r>
        <w:rPr>
          <w:rFonts w:ascii="Times New Roman" w:eastAsia="Times New Roman"/>
        </w:rPr>
        <w:t>1</w:t>
      </w:r>
      <w:r>
        <w:rPr/>
        <w:t>、基金费用的种类</w:t>
      </w:r>
    </w:p>
    <w:p>
      <w:pPr>
        <w:pStyle w:val="BodyText"/>
        <w:spacing w:before="7"/>
        <w:rPr>
          <w:sz w:val="15"/>
        </w:rPr>
      </w:pPr>
    </w:p>
    <w:p>
      <w:pPr>
        <w:pStyle w:val="ListParagraph"/>
        <w:numPr>
          <w:ilvl w:val="0"/>
          <w:numId w:val="20"/>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7"/>
        <w:rPr>
          <w:sz w:val="15"/>
        </w:rPr>
      </w:pPr>
    </w:p>
    <w:p>
      <w:pPr>
        <w:pStyle w:val="ListParagraph"/>
        <w:numPr>
          <w:ilvl w:val="0"/>
          <w:numId w:val="20"/>
        </w:numPr>
        <w:tabs>
          <w:tab w:pos="1490" w:val="left" w:leader="none"/>
        </w:tabs>
        <w:spacing w:line="240" w:lineRule="auto" w:before="0" w:after="0"/>
        <w:ind w:left="1489" w:right="0" w:hanging="530"/>
        <w:jc w:val="left"/>
        <w:rPr>
          <w:sz w:val="21"/>
        </w:rPr>
      </w:pPr>
      <w:r>
        <w:rPr>
          <w:spacing w:val="-3"/>
          <w:sz w:val="21"/>
        </w:rPr>
        <w:t>基金托管人的托管费</w:t>
      </w:r>
      <w:r>
        <w:rPr>
          <w:sz w:val="21"/>
        </w:rPr>
        <w:t>（</w:t>
      </w:r>
      <w:r>
        <w:rPr>
          <w:spacing w:val="-3"/>
          <w:sz w:val="21"/>
        </w:rPr>
        <w:t>含境外资产托管人收取的费用</w:t>
      </w:r>
      <w:r>
        <w:rPr>
          <w:spacing w:val="-106"/>
          <w:sz w:val="21"/>
        </w:rPr>
        <w:t>）</w:t>
      </w:r>
      <w:r>
        <w:rPr>
          <w:sz w:val="21"/>
        </w:rPr>
        <w:t>。</w:t>
      </w:r>
    </w:p>
    <w:p>
      <w:pPr>
        <w:pStyle w:val="BodyText"/>
        <w:spacing w:before="7"/>
        <w:rPr>
          <w:sz w:val="15"/>
        </w:rPr>
      </w:pPr>
    </w:p>
    <w:p>
      <w:pPr>
        <w:pStyle w:val="ListParagraph"/>
        <w:numPr>
          <w:ilvl w:val="0"/>
          <w:numId w:val="20"/>
        </w:numPr>
        <w:tabs>
          <w:tab w:pos="1490" w:val="left" w:leader="none"/>
        </w:tabs>
        <w:spacing w:line="240" w:lineRule="auto" w:before="0" w:after="0"/>
        <w:ind w:left="1489" w:right="0" w:hanging="530"/>
        <w:jc w:val="left"/>
        <w:rPr>
          <w:sz w:val="21"/>
        </w:rPr>
      </w:pPr>
      <w:r>
        <w:rPr>
          <w:spacing w:val="-3"/>
          <w:sz w:val="21"/>
        </w:rPr>
        <w:t>基金的销售服务费。</w:t>
      </w:r>
    </w:p>
    <w:p>
      <w:pPr>
        <w:pStyle w:val="BodyText"/>
        <w:spacing w:before="6"/>
        <w:rPr>
          <w:sz w:val="15"/>
        </w:rPr>
      </w:pPr>
    </w:p>
    <w:p>
      <w:pPr>
        <w:pStyle w:val="ListParagraph"/>
        <w:numPr>
          <w:ilvl w:val="0"/>
          <w:numId w:val="20"/>
        </w:numPr>
        <w:tabs>
          <w:tab w:pos="1490" w:val="left" w:leader="none"/>
        </w:tabs>
        <w:spacing w:line="417" w:lineRule="auto" w:before="0" w:after="0"/>
        <w:ind w:left="540" w:right="873" w:firstLine="419"/>
        <w:jc w:val="left"/>
        <w:rPr>
          <w:sz w:val="21"/>
        </w:rPr>
      </w:pPr>
      <w:r>
        <w:rPr>
          <w:spacing w:val="-6"/>
          <w:sz w:val="21"/>
        </w:rPr>
        <w:t>除法律法规、中国证监会另有规定外</w:t>
      </w:r>
      <w:r>
        <w:rPr>
          <w:spacing w:val="-15"/>
          <w:sz w:val="21"/>
        </w:rPr>
        <w:t>，《基金合同》生效后与基金相关的信息披 </w:t>
      </w:r>
      <w:r>
        <w:rPr>
          <w:sz w:val="21"/>
        </w:rPr>
        <w:t>露费用。</w:t>
      </w:r>
    </w:p>
    <w:p>
      <w:pPr>
        <w:pStyle w:val="ListParagraph"/>
        <w:numPr>
          <w:ilvl w:val="0"/>
          <w:numId w:val="20"/>
        </w:numPr>
        <w:tabs>
          <w:tab w:pos="1492" w:val="left" w:leader="none"/>
        </w:tabs>
        <w:spacing w:line="240" w:lineRule="auto" w:before="1" w:after="0"/>
        <w:ind w:left="1491" w:right="0" w:hanging="532"/>
        <w:jc w:val="left"/>
        <w:rPr>
          <w:sz w:val="21"/>
        </w:rPr>
      </w:pPr>
      <w:r>
        <w:rPr>
          <w:spacing w:val="-3"/>
          <w:sz w:val="21"/>
        </w:rPr>
        <w:t>《基金合同》生效后与基金相关的会计师费、律师费和诉讼费。</w:t>
      </w:r>
    </w:p>
    <w:p>
      <w:pPr>
        <w:pStyle w:val="BodyText"/>
        <w:spacing w:before="6"/>
        <w:rPr>
          <w:sz w:val="15"/>
        </w:rPr>
      </w:pPr>
    </w:p>
    <w:p>
      <w:pPr>
        <w:pStyle w:val="ListParagraph"/>
        <w:numPr>
          <w:ilvl w:val="0"/>
          <w:numId w:val="20"/>
        </w:numPr>
        <w:tabs>
          <w:tab w:pos="1490" w:val="left" w:leader="none"/>
        </w:tabs>
        <w:spacing w:line="240" w:lineRule="auto" w:before="0" w:after="0"/>
        <w:ind w:left="148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20"/>
        </w:numPr>
        <w:tabs>
          <w:tab w:pos="1492" w:val="left" w:leader="none"/>
        </w:tabs>
        <w:spacing w:line="417" w:lineRule="auto" w:before="0" w:after="0"/>
        <w:ind w:left="540" w:right="871" w:firstLine="419"/>
        <w:jc w:val="both"/>
        <w:rPr>
          <w:sz w:val="21"/>
        </w:rPr>
      </w:pPr>
      <w:r>
        <w:rPr>
          <w:spacing w:val="-3"/>
          <w:sz w:val="21"/>
        </w:rPr>
        <w:t>基金的证券、期货交易或结算产生的费用</w:t>
      </w:r>
      <w:r>
        <w:rPr>
          <w:sz w:val="21"/>
        </w:rPr>
        <w:t>（</w:t>
      </w:r>
      <w:r>
        <w:rPr>
          <w:spacing w:val="-3"/>
          <w:sz w:val="21"/>
        </w:rPr>
        <w:t>包括但不限于经手费、印花税、证管</w:t>
      </w:r>
      <w:r>
        <w:rPr>
          <w:spacing w:val="-12"/>
          <w:sz w:val="21"/>
        </w:rPr>
        <w:t>费、过户费、手续费、券商佣金、权证交易的结算费、证券账户相关费用及其他类似性质的</w:t>
      </w:r>
      <w:r>
        <w:rPr>
          <w:spacing w:val="-9"/>
          <w:sz w:val="21"/>
        </w:rPr>
        <w:t>费用等</w:t>
      </w:r>
      <w:r>
        <w:rPr>
          <w:spacing w:val="-106"/>
          <w:sz w:val="21"/>
        </w:rPr>
        <w:t>）</w:t>
      </w:r>
      <w:r>
        <w:rPr>
          <w:sz w:val="21"/>
        </w:rPr>
        <w:t>。</w:t>
      </w:r>
    </w:p>
    <w:p>
      <w:pPr>
        <w:pStyle w:val="ListParagraph"/>
        <w:numPr>
          <w:ilvl w:val="0"/>
          <w:numId w:val="20"/>
        </w:numPr>
        <w:tabs>
          <w:tab w:pos="1490" w:val="left" w:leader="none"/>
        </w:tabs>
        <w:spacing w:line="269" w:lineRule="exact" w:before="0" w:after="0"/>
        <w:ind w:left="1489" w:right="0" w:hanging="530"/>
        <w:jc w:val="left"/>
        <w:rPr>
          <w:sz w:val="21"/>
        </w:rPr>
      </w:pPr>
      <w:r>
        <w:rPr>
          <w:spacing w:val="-3"/>
          <w:sz w:val="21"/>
        </w:rPr>
        <w:t>外汇兑换交易的相关费用。</w:t>
      </w:r>
    </w:p>
    <w:p>
      <w:pPr>
        <w:pStyle w:val="BodyText"/>
        <w:spacing w:before="7"/>
        <w:rPr>
          <w:sz w:val="15"/>
        </w:rPr>
      </w:pPr>
    </w:p>
    <w:p>
      <w:pPr>
        <w:pStyle w:val="ListParagraph"/>
        <w:numPr>
          <w:ilvl w:val="0"/>
          <w:numId w:val="20"/>
        </w:numPr>
        <w:tabs>
          <w:tab w:pos="1490" w:val="left" w:leader="none"/>
        </w:tabs>
        <w:spacing w:line="240" w:lineRule="auto" w:before="0" w:after="0"/>
        <w:ind w:left="1489" w:right="0" w:hanging="530"/>
        <w:jc w:val="left"/>
        <w:rPr>
          <w:sz w:val="21"/>
        </w:rPr>
      </w:pPr>
      <w:r>
        <w:rPr>
          <w:spacing w:val="-3"/>
          <w:sz w:val="21"/>
        </w:rPr>
        <w:t>与基金缴纳税收有关的手续费、汇款费、顾问费等。</w:t>
      </w:r>
    </w:p>
    <w:p>
      <w:pPr>
        <w:pStyle w:val="BodyText"/>
        <w:spacing w:before="7"/>
        <w:rPr>
          <w:sz w:val="15"/>
        </w:rPr>
      </w:pPr>
    </w:p>
    <w:p>
      <w:pPr>
        <w:pStyle w:val="ListParagraph"/>
        <w:numPr>
          <w:ilvl w:val="0"/>
          <w:numId w:val="20"/>
        </w:numPr>
        <w:tabs>
          <w:tab w:pos="1598" w:val="left" w:leader="none"/>
        </w:tabs>
        <w:spacing w:line="240" w:lineRule="auto" w:before="0" w:after="0"/>
        <w:ind w:left="1597" w:right="0" w:hanging="638"/>
        <w:jc w:val="left"/>
        <w:rPr>
          <w:sz w:val="21"/>
        </w:rPr>
      </w:pPr>
      <w:r>
        <w:rPr>
          <w:spacing w:val="-3"/>
          <w:sz w:val="21"/>
        </w:rPr>
        <w:t>因投资港股通标的股票而产生的各项合理费用。</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ListParagraph"/>
        <w:numPr>
          <w:ilvl w:val="0"/>
          <w:numId w:val="20"/>
        </w:numPr>
        <w:tabs>
          <w:tab w:pos="1598" w:val="left" w:leader="none"/>
        </w:tabs>
        <w:spacing w:line="240" w:lineRule="auto" w:before="71" w:after="0"/>
        <w:ind w:left="1597" w:right="0" w:hanging="638"/>
        <w:jc w:val="left"/>
        <w:rPr>
          <w:sz w:val="21"/>
        </w:rPr>
      </w:pPr>
      <w:r>
        <w:rPr>
          <w:spacing w:val="-3"/>
          <w:sz w:val="21"/>
        </w:rPr>
        <w:t>基金的银行汇划费用。</w:t>
      </w:r>
    </w:p>
    <w:p>
      <w:pPr>
        <w:pStyle w:val="BodyText"/>
        <w:spacing w:before="7"/>
        <w:rPr>
          <w:sz w:val="15"/>
        </w:rPr>
      </w:pPr>
    </w:p>
    <w:p>
      <w:pPr>
        <w:pStyle w:val="ListParagraph"/>
        <w:numPr>
          <w:ilvl w:val="0"/>
          <w:numId w:val="20"/>
        </w:numPr>
        <w:tabs>
          <w:tab w:pos="1598" w:val="left" w:leader="none"/>
        </w:tabs>
        <w:spacing w:line="240" w:lineRule="auto" w:before="0" w:after="0"/>
        <w:ind w:left="1597" w:right="0" w:hanging="638"/>
        <w:jc w:val="left"/>
        <w:rPr>
          <w:sz w:val="21"/>
        </w:rPr>
      </w:pPr>
      <w:r>
        <w:rPr>
          <w:spacing w:val="-3"/>
          <w:sz w:val="21"/>
        </w:rPr>
        <w:t>其他为基金的利益而产生的费用。</w:t>
      </w:r>
    </w:p>
    <w:p>
      <w:pPr>
        <w:pStyle w:val="BodyText"/>
        <w:spacing w:before="7"/>
        <w:rPr>
          <w:sz w:val="15"/>
        </w:rPr>
      </w:pPr>
    </w:p>
    <w:p>
      <w:pPr>
        <w:pStyle w:val="ListParagraph"/>
        <w:numPr>
          <w:ilvl w:val="0"/>
          <w:numId w:val="20"/>
        </w:numPr>
        <w:tabs>
          <w:tab w:pos="1598" w:val="left" w:leader="none"/>
        </w:tabs>
        <w:spacing w:line="240" w:lineRule="auto" w:before="0" w:after="0"/>
        <w:ind w:left="1597" w:right="0" w:hanging="638"/>
        <w:jc w:val="left"/>
        <w:rPr>
          <w:sz w:val="21"/>
        </w:rPr>
      </w:pPr>
      <w:r>
        <w:rPr>
          <w:spacing w:val="-3"/>
          <w:sz w:val="21"/>
        </w:rPr>
        <w:t>按照国家有关规定和《基金合同》约定，可以在基金财产中列支的其他费用。</w:t>
      </w:r>
    </w:p>
    <w:p>
      <w:pPr>
        <w:pStyle w:val="BodyText"/>
        <w:spacing w:before="6"/>
        <w:rPr>
          <w:sz w:val="15"/>
        </w:rPr>
      </w:pPr>
    </w:p>
    <w:p>
      <w:pPr>
        <w:pStyle w:val="BodyText"/>
        <w:spacing w:before="1"/>
        <w:ind w:left="960"/>
      </w:pPr>
      <w:r>
        <w:rPr>
          <w:rFonts w:ascii="Calibri" w:eastAsia="Calibri"/>
        </w:rPr>
        <w:t>2</w:t>
      </w:r>
      <w:r>
        <w:rPr/>
        <w:t>、基金费用计提方法、计提标准和支付方式</w:t>
      </w:r>
    </w:p>
    <w:p>
      <w:pPr>
        <w:pStyle w:val="BodyText"/>
        <w:spacing w:before="6"/>
        <w:rPr>
          <w:sz w:val="15"/>
        </w:rPr>
      </w:pPr>
    </w:p>
    <w:p>
      <w:pPr>
        <w:pStyle w:val="ListParagraph"/>
        <w:numPr>
          <w:ilvl w:val="0"/>
          <w:numId w:val="21"/>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960" w:right="878"/>
      </w:pPr>
      <w:r>
        <w:rPr/>
        <w:t>本基金的管理费按前一日基金资产净值的 </w:t>
      </w:r>
      <w:r>
        <w:rPr>
          <w:rFonts w:ascii="Calibri" w:hAnsi="Calibri" w:eastAsia="Calibri"/>
        </w:rPr>
        <w:t>0.8%</w:t>
      </w:r>
      <w:r>
        <w:rPr/>
        <w:t>年费率计提。管理费的计算方法如下： </w:t>
      </w:r>
      <w:r>
        <w:rPr>
          <w:rFonts w:ascii="Calibri" w:hAnsi="Calibri" w:eastAsia="Calibri"/>
        </w:rPr>
        <w:t>H</w:t>
      </w:r>
      <w:r>
        <w:rPr/>
        <w:t>＝</w:t>
      </w:r>
      <w:r>
        <w:rPr>
          <w:rFonts w:ascii="Calibri" w:hAnsi="Calibri" w:eastAsia="Calibri"/>
        </w:rPr>
        <w:t>E×0.8%÷</w:t>
      </w:r>
      <w:r>
        <w:rPr/>
        <w:t>当年天数</w:t>
      </w:r>
    </w:p>
    <w:p>
      <w:pPr>
        <w:pStyle w:val="BodyText"/>
        <w:ind w:left="960"/>
      </w:pPr>
      <w:r>
        <w:rPr>
          <w:rFonts w:ascii="Calibri" w:eastAsia="Calibri"/>
        </w:rPr>
        <w:t>H </w:t>
      </w:r>
      <w:r>
        <w:rPr/>
        <w:t>为每日应计提的基金管理费</w:t>
      </w:r>
    </w:p>
    <w:p>
      <w:pPr>
        <w:pStyle w:val="BodyText"/>
        <w:spacing w:before="7"/>
        <w:rPr>
          <w:sz w:val="15"/>
        </w:rPr>
      </w:pPr>
    </w:p>
    <w:p>
      <w:pPr>
        <w:pStyle w:val="BodyText"/>
        <w:ind w:left="960"/>
        <w:jc w:val="both"/>
      </w:pPr>
      <w:r>
        <w:rPr>
          <w:rFonts w:ascii="Calibri" w:eastAsia="Calibri"/>
        </w:rPr>
        <w:t>E </w:t>
      </w:r>
      <w:r>
        <w:rPr/>
        <w:t>为前一日的基金资产净值</w:t>
      </w:r>
    </w:p>
    <w:p>
      <w:pPr>
        <w:pStyle w:val="BodyText"/>
        <w:spacing w:before="7"/>
        <w:rPr>
          <w:sz w:val="15"/>
        </w:rPr>
      </w:pPr>
    </w:p>
    <w:p>
      <w:pPr>
        <w:pStyle w:val="BodyText"/>
        <w:spacing w:line="417" w:lineRule="auto"/>
        <w:ind w:left="540" w:right="871" w:firstLine="419"/>
        <w:jc w:val="both"/>
      </w:pPr>
      <w:r>
        <w:rPr>
          <w:spacing w:val="-9"/>
        </w:rPr>
        <w:t>基金管理费每日计提，逐日累计至每个月月末，按月支付。经基金管理人与基金托管人</w:t>
      </w:r>
      <w:r>
        <w:rPr>
          <w:spacing w:val="-13"/>
        </w:rPr>
        <w:t>核对一致后，由基金托管人于次月首日起 </w:t>
      </w:r>
      <w:r>
        <w:rPr>
          <w:rFonts w:ascii="Calibri" w:eastAsia="Calibri"/>
        </w:rPr>
        <w:t>2-5 </w:t>
      </w:r>
      <w:r>
        <w:rPr>
          <w:spacing w:val="-3"/>
        </w:rPr>
        <w:t>个工作日内从基金财产中一次性支付给基金管理人。</w:t>
      </w:r>
    </w:p>
    <w:p>
      <w:pPr>
        <w:pStyle w:val="ListParagraph"/>
        <w:numPr>
          <w:ilvl w:val="0"/>
          <w:numId w:val="21"/>
        </w:numPr>
        <w:tabs>
          <w:tab w:pos="1490" w:val="left" w:leader="none"/>
        </w:tabs>
        <w:spacing w:line="269" w:lineRule="exact" w:before="0" w:after="0"/>
        <w:ind w:left="1489" w:right="0" w:hanging="530"/>
        <w:jc w:val="left"/>
        <w:rPr>
          <w:sz w:val="21"/>
        </w:rPr>
      </w:pPr>
      <w:r>
        <w:rPr>
          <w:spacing w:val="-3"/>
          <w:sz w:val="21"/>
        </w:rPr>
        <w:t>基金托管人的托管费</w:t>
      </w:r>
    </w:p>
    <w:p>
      <w:pPr>
        <w:pStyle w:val="BodyText"/>
        <w:spacing w:before="6"/>
        <w:rPr>
          <w:sz w:val="15"/>
        </w:rPr>
      </w:pPr>
    </w:p>
    <w:p>
      <w:pPr>
        <w:pStyle w:val="BodyText"/>
        <w:spacing w:line="417" w:lineRule="auto" w:before="1"/>
        <w:ind w:left="960" w:right="688"/>
      </w:pPr>
      <w:r>
        <w:rPr/>
        <w:t>本基金的托管费按前一日基金资产净值的 </w:t>
      </w:r>
      <w:r>
        <w:rPr>
          <w:rFonts w:ascii="Calibri" w:hAnsi="Calibri" w:eastAsia="Calibri"/>
        </w:rPr>
        <w:t>0.2%</w:t>
      </w:r>
      <w:r>
        <w:rPr/>
        <w:t>的年费率计提。托管费的计算方法如下： </w:t>
      </w:r>
      <w:r>
        <w:rPr>
          <w:rFonts w:ascii="Calibri" w:hAnsi="Calibri" w:eastAsia="Calibri"/>
        </w:rPr>
        <w:t>H</w:t>
      </w:r>
      <w:r>
        <w:rPr/>
        <w:t>＝</w:t>
      </w:r>
      <w:r>
        <w:rPr>
          <w:rFonts w:ascii="Calibri" w:hAnsi="Calibri" w:eastAsia="Calibri"/>
        </w:rPr>
        <w:t>E×0.2%÷</w:t>
      </w:r>
      <w:r>
        <w:rPr/>
        <w:t>当年天数</w:t>
      </w:r>
    </w:p>
    <w:p>
      <w:pPr>
        <w:pStyle w:val="BodyText"/>
        <w:ind w:left="960"/>
      </w:pPr>
      <w:r>
        <w:rPr>
          <w:rFonts w:ascii="Calibri" w:eastAsia="Calibri"/>
        </w:rPr>
        <w:t>H </w:t>
      </w:r>
      <w:r>
        <w:rPr/>
        <w:t>为每日应计提的基金托管费</w:t>
      </w:r>
    </w:p>
    <w:p>
      <w:pPr>
        <w:pStyle w:val="BodyText"/>
        <w:spacing w:before="6"/>
        <w:rPr>
          <w:sz w:val="15"/>
        </w:rPr>
      </w:pPr>
    </w:p>
    <w:p>
      <w:pPr>
        <w:pStyle w:val="BodyText"/>
        <w:ind w:left="960"/>
        <w:jc w:val="both"/>
      </w:pPr>
      <w:r>
        <w:rPr>
          <w:rFonts w:ascii="Calibri" w:eastAsia="Calibri"/>
        </w:rPr>
        <w:t>E </w:t>
      </w:r>
      <w:r>
        <w:rPr/>
        <w:t>为前一日的基金资产净值</w:t>
      </w:r>
    </w:p>
    <w:p>
      <w:pPr>
        <w:pStyle w:val="BodyText"/>
        <w:spacing w:before="7"/>
        <w:rPr>
          <w:sz w:val="15"/>
        </w:rPr>
      </w:pPr>
    </w:p>
    <w:p>
      <w:pPr>
        <w:pStyle w:val="BodyText"/>
        <w:spacing w:line="417" w:lineRule="auto"/>
        <w:ind w:left="540" w:right="871" w:firstLine="419"/>
        <w:jc w:val="both"/>
      </w:pPr>
      <w:r>
        <w:rPr>
          <w:spacing w:val="-9"/>
        </w:rPr>
        <w:t>基金托管费每日计提，逐日累计至每个月月末，按月支付。经基金管理人与基金托管人</w:t>
      </w:r>
      <w:r>
        <w:rPr>
          <w:spacing w:val="-13"/>
        </w:rPr>
        <w:t>核对一致后，由基金托管人于次月首日起 </w:t>
      </w:r>
      <w:r>
        <w:rPr>
          <w:rFonts w:ascii="Calibri" w:eastAsia="Calibri"/>
        </w:rPr>
        <w:t>2-5 </w:t>
      </w:r>
      <w:r>
        <w:rPr>
          <w:spacing w:val="-3"/>
        </w:rPr>
        <w:t>个工作日内从基金财产中一次性支付给基金托管人。</w:t>
      </w:r>
    </w:p>
    <w:p>
      <w:pPr>
        <w:pStyle w:val="ListParagraph"/>
        <w:numPr>
          <w:ilvl w:val="0"/>
          <w:numId w:val="21"/>
        </w:numPr>
        <w:tabs>
          <w:tab w:pos="1490" w:val="left" w:leader="none"/>
        </w:tabs>
        <w:spacing w:line="269" w:lineRule="exact" w:before="0" w:after="0"/>
        <w:ind w:left="1489" w:right="0" w:hanging="530"/>
        <w:jc w:val="left"/>
        <w:rPr>
          <w:sz w:val="21"/>
        </w:rPr>
      </w:pPr>
      <w:r>
        <w:rPr>
          <w:spacing w:val="-3"/>
          <w:sz w:val="21"/>
        </w:rPr>
        <w:t>销售服务费</w:t>
      </w:r>
    </w:p>
    <w:p>
      <w:pPr>
        <w:pStyle w:val="BodyText"/>
        <w:spacing w:before="7"/>
        <w:rPr>
          <w:sz w:val="15"/>
        </w:rPr>
      </w:pPr>
    </w:p>
    <w:p>
      <w:pPr>
        <w:pStyle w:val="BodyText"/>
        <w:spacing w:line="417" w:lineRule="auto" w:before="1"/>
        <w:ind w:left="540" w:right="871" w:firstLine="419"/>
        <w:jc w:val="both"/>
      </w:pPr>
      <w:r>
        <w:rPr>
          <w:spacing w:val="-8"/>
        </w:rPr>
        <w:t>销售服务费可用于本基金市场推广、销售以及基金份额持有人服务等各项费用。本基金</w:t>
      </w:r>
      <w:r>
        <w:rPr>
          <w:spacing w:val="-5"/>
        </w:rPr>
        <w:t>份额分为不同的类别，适用不同的销售服务费率。其中，</w:t>
      </w:r>
      <w:r>
        <w:rPr>
          <w:rFonts w:ascii="Calibri" w:eastAsia="Calibri"/>
        </w:rPr>
        <w:t>A </w:t>
      </w:r>
      <w:r>
        <w:rPr>
          <w:spacing w:val="-3"/>
        </w:rPr>
        <w:t>类不收取销售服务费，</w:t>
      </w:r>
      <w:r>
        <w:rPr>
          <w:rFonts w:ascii="Calibri" w:eastAsia="Calibri"/>
        </w:rPr>
        <w:t>C </w:t>
      </w:r>
      <w:r>
        <w:rPr>
          <w:spacing w:val="-2"/>
        </w:rPr>
        <w:t>类销售</w:t>
      </w:r>
      <w:r>
        <w:rPr>
          <w:spacing w:val="-10"/>
        </w:rPr>
        <w:t>服务费年费率为 </w:t>
      </w:r>
      <w:r>
        <w:rPr>
          <w:rFonts w:ascii="Calibri" w:eastAsia="Calibri"/>
        </w:rPr>
        <w:t>0.5%</w:t>
      </w:r>
      <w:r>
        <w:rPr/>
        <w:t>。</w:t>
      </w:r>
    </w:p>
    <w:p>
      <w:pPr>
        <w:pStyle w:val="BodyText"/>
        <w:spacing w:line="269" w:lineRule="exact"/>
        <w:ind w:left="960"/>
      </w:pPr>
      <w:r>
        <w:rPr/>
        <w:t>各类别基金份额的销售服务费计算方法如下：</w:t>
      </w:r>
    </w:p>
    <w:p>
      <w:pPr>
        <w:pStyle w:val="BodyText"/>
        <w:spacing w:before="6"/>
        <w:rPr>
          <w:sz w:val="15"/>
        </w:rPr>
      </w:pPr>
    </w:p>
    <w:p>
      <w:pPr>
        <w:pStyle w:val="BodyText"/>
        <w:ind w:left="960"/>
      </w:pPr>
      <w:r>
        <w:rPr>
          <w:rFonts w:ascii="Calibri" w:hAnsi="Calibri" w:eastAsia="Calibri"/>
        </w:rPr>
        <w:t>H</w:t>
      </w:r>
      <w:r>
        <w:rPr/>
        <w:t>＝</w:t>
      </w:r>
      <w:r>
        <w:rPr>
          <w:rFonts w:ascii="Calibri" w:hAnsi="Calibri" w:eastAsia="Calibri"/>
        </w:rPr>
        <w:t>E×R÷</w:t>
      </w:r>
      <w:r>
        <w:rPr/>
        <w:t>当年天数</w:t>
      </w:r>
    </w:p>
    <w:p>
      <w:pPr>
        <w:pStyle w:val="BodyText"/>
        <w:spacing w:before="7"/>
        <w:rPr>
          <w:sz w:val="15"/>
        </w:rPr>
      </w:pPr>
    </w:p>
    <w:p>
      <w:pPr>
        <w:pStyle w:val="BodyText"/>
        <w:ind w:left="960"/>
      </w:pPr>
      <w:r>
        <w:rPr>
          <w:rFonts w:ascii="Calibri" w:eastAsia="Calibri"/>
        </w:rPr>
        <w:t>H </w:t>
      </w:r>
      <w:r>
        <w:rPr/>
        <w:t>为各类别基金份额每日应计提的销售服务费</w:t>
      </w:r>
    </w:p>
    <w:p>
      <w:pPr>
        <w:pStyle w:val="BodyText"/>
        <w:spacing w:before="7"/>
        <w:rPr>
          <w:sz w:val="15"/>
        </w:rPr>
      </w:pPr>
    </w:p>
    <w:p>
      <w:pPr>
        <w:pStyle w:val="BodyText"/>
        <w:ind w:left="960"/>
      </w:pPr>
      <w:r>
        <w:rPr>
          <w:rFonts w:ascii="Calibri" w:eastAsia="Calibri"/>
        </w:rPr>
        <w:t>E</w:t>
      </w:r>
      <w:r>
        <w:rPr>
          <w:rFonts w:ascii="Calibri" w:eastAsia="Calibri"/>
          <w:spacing w:val="25"/>
        </w:rPr>
        <w:t> </w:t>
      </w:r>
      <w:r>
        <w:rPr>
          <w:spacing w:val="-3"/>
        </w:rPr>
        <w:t>为各类别基金份额前一日基金资产净值</w:t>
      </w:r>
    </w:p>
    <w:p>
      <w:pPr>
        <w:pStyle w:val="BodyText"/>
        <w:spacing w:before="7"/>
        <w:rPr>
          <w:sz w:val="15"/>
        </w:rPr>
      </w:pPr>
    </w:p>
    <w:p>
      <w:pPr>
        <w:pStyle w:val="BodyText"/>
        <w:ind w:left="960"/>
      </w:pPr>
      <w:r>
        <w:rPr>
          <w:rFonts w:ascii="Calibri" w:eastAsia="Calibri"/>
        </w:rPr>
        <w:t>R</w:t>
      </w:r>
      <w:r>
        <w:rPr>
          <w:rFonts w:ascii="Calibri" w:eastAsia="Calibri"/>
          <w:spacing w:val="26"/>
        </w:rPr>
        <w:t> </w:t>
      </w:r>
      <w:r>
        <w:rPr>
          <w:spacing w:val="-3"/>
        </w:rPr>
        <w:t>为各类别基金份额适用的销售服务费率</w:t>
      </w:r>
    </w:p>
    <w:p>
      <w:pPr>
        <w:pStyle w:val="BodyText"/>
        <w:spacing w:before="6"/>
        <w:rPr>
          <w:sz w:val="15"/>
        </w:rPr>
      </w:pPr>
    </w:p>
    <w:p>
      <w:pPr>
        <w:pStyle w:val="BodyText"/>
        <w:spacing w:before="1"/>
        <w:ind w:left="960"/>
      </w:pPr>
      <w:r>
        <w:rPr/>
        <w:t>销售服务费每日计提，按月支付。经基金管理人与基金托管人核对一致后，由基金托管</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774" w:hanging="420"/>
      </w:pPr>
      <w:r>
        <w:rPr/>
        <w:t>人于次月首日起 </w:t>
      </w:r>
      <w:r>
        <w:rPr>
          <w:rFonts w:ascii="Calibri" w:hAnsi="Calibri" w:eastAsia="Calibri"/>
        </w:rPr>
        <w:t>2-5 </w:t>
      </w:r>
      <w:r>
        <w:rPr/>
        <w:t>个从基金财产中划出，经登记结算机构分别支付给各个基金销售机构。上述“</w:t>
      </w:r>
      <w:r>
        <w:rPr>
          <w:rFonts w:ascii="Calibri" w:hAnsi="Calibri" w:eastAsia="Calibri"/>
        </w:rPr>
        <w:t>1</w:t>
      </w:r>
      <w:r>
        <w:rPr/>
        <w:t>、基金费用的种类”中第 </w:t>
      </w:r>
      <w:r>
        <w:rPr>
          <w:rFonts w:ascii="Calibri" w:hAnsi="Calibri" w:eastAsia="Calibri"/>
        </w:rPr>
        <w:t>4</w:t>
      </w:r>
      <w:r>
        <w:rPr/>
        <w:t>－</w:t>
      </w:r>
      <w:r>
        <w:rPr>
          <w:rFonts w:ascii="Calibri" w:hAnsi="Calibri" w:eastAsia="Calibri"/>
        </w:rPr>
        <w:t>12 </w:t>
      </w:r>
      <w:r>
        <w:rPr/>
        <w:t>项费用，根据有关法规及相应协议规定，按费</w:t>
      </w:r>
    </w:p>
    <w:p>
      <w:pPr>
        <w:pStyle w:val="BodyText"/>
        <w:spacing w:line="269" w:lineRule="exact"/>
        <w:ind w:left="540"/>
      </w:pPr>
      <w:r>
        <w:rPr/>
        <w:t>用实际支出金额列入当期费用，由基金托管人从基金财产中支付。</w:t>
      </w:r>
    </w:p>
    <w:p>
      <w:pPr>
        <w:pStyle w:val="BodyText"/>
        <w:spacing w:before="7"/>
        <w:rPr>
          <w:sz w:val="15"/>
        </w:rPr>
      </w:pPr>
    </w:p>
    <w:p>
      <w:pPr>
        <w:pStyle w:val="BodyText"/>
        <w:ind w:left="960"/>
      </w:pPr>
      <w:r>
        <w:rPr/>
        <w:t>（二）基金销售费用</w:t>
      </w:r>
    </w:p>
    <w:p>
      <w:pPr>
        <w:pStyle w:val="BodyText"/>
        <w:spacing w:before="7"/>
        <w:rPr>
          <w:sz w:val="15"/>
        </w:rPr>
      </w:pPr>
    </w:p>
    <w:p>
      <w:pPr>
        <w:pStyle w:val="BodyText"/>
        <w:spacing w:line="417" w:lineRule="auto"/>
        <w:ind w:left="540" w:right="871" w:firstLine="419"/>
        <w:jc w:val="both"/>
      </w:pPr>
      <w:r>
        <w:rPr>
          <w:spacing w:val="-11"/>
        </w:rPr>
        <w:t>本基金申购费、赎回费的费率水平、计算公式、收取方式和使用方式请详见本招募说明</w:t>
      </w:r>
      <w:r>
        <w:rPr>
          <w:spacing w:val="-9"/>
        </w:rPr>
        <w:t>书“九、基金份额的申购与赎回”中的“</w:t>
      </w:r>
      <w:r>
        <w:rPr>
          <w:spacing w:val="-11"/>
        </w:rPr>
        <w:t>（</w:t>
      </w:r>
      <w:r>
        <w:rPr>
          <w:spacing w:val="-3"/>
        </w:rPr>
        <w:t>六</w:t>
      </w:r>
      <w:r>
        <w:rPr>
          <w:spacing w:val="-20"/>
        </w:rPr>
        <w:t>）</w:t>
      </w:r>
      <w:r>
        <w:rPr>
          <w:spacing w:val="-4"/>
        </w:rPr>
        <w:t>申购费与赎回费”与“</w:t>
      </w:r>
      <w:r>
        <w:rPr>
          <w:spacing w:val="-11"/>
        </w:rPr>
        <w:t>（</w:t>
      </w:r>
      <w:r>
        <w:rPr>
          <w:spacing w:val="-3"/>
        </w:rPr>
        <w:t>七</w:t>
      </w:r>
      <w:r>
        <w:rPr>
          <w:spacing w:val="-20"/>
        </w:rPr>
        <w:t>）</w:t>
      </w:r>
      <w:r>
        <w:rPr>
          <w:spacing w:val="-3"/>
        </w:rPr>
        <w:t>申购份额与赎回金额的计算方式”中的相关规定。</w:t>
      </w:r>
    </w:p>
    <w:p>
      <w:pPr>
        <w:pStyle w:val="BodyText"/>
        <w:spacing w:line="417" w:lineRule="auto"/>
        <w:ind w:left="960" w:right="6030"/>
      </w:pPr>
      <w:r>
        <w:rPr/>
        <w:t>（三）不列入基金费用的项目下列费用不列入基金费用：</w:t>
      </w:r>
    </w:p>
    <w:p>
      <w:pPr>
        <w:pStyle w:val="BodyText"/>
        <w:spacing w:line="417" w:lineRule="auto"/>
        <w:ind w:left="540" w:right="874" w:firstLine="419"/>
      </w:pPr>
      <w:r>
        <w:rPr>
          <w:rFonts w:ascii="Calibri" w:eastAsia="Calibri"/>
        </w:rPr>
        <w:t>1</w:t>
      </w:r>
      <w:r>
        <w:rPr/>
        <w:t>、基金管理人和基金托管人因未履行或未完全履行义务导致的费用支出或基金财产的损失。</w:t>
      </w:r>
    </w:p>
    <w:p>
      <w:pPr>
        <w:pStyle w:val="BodyText"/>
        <w:spacing w:line="269" w:lineRule="exact"/>
        <w:ind w:left="960"/>
      </w:pPr>
      <w:r>
        <w:rPr>
          <w:rFonts w:ascii="Calibri" w:eastAsia="Calibri"/>
        </w:rPr>
        <w:t>2</w:t>
      </w:r>
      <w:r>
        <w:rPr/>
        <w:t>、基金管理人和基金托管人处理与基金运作无关的事项发生的费用。</w:t>
      </w:r>
    </w:p>
    <w:p>
      <w:pPr>
        <w:pStyle w:val="BodyText"/>
        <w:spacing w:before="6"/>
        <w:rPr>
          <w:sz w:val="15"/>
        </w:rPr>
      </w:pPr>
    </w:p>
    <w:p>
      <w:pPr>
        <w:pStyle w:val="BodyText"/>
        <w:ind w:left="960"/>
      </w:pPr>
      <w:r>
        <w:rPr>
          <w:rFonts w:ascii="Calibri" w:eastAsia="Calibri"/>
        </w:rPr>
        <w:t>3</w:t>
      </w:r>
      <w:r>
        <w:rPr/>
        <w:t>、《基金合同》生效前的相关费用。</w:t>
      </w:r>
    </w:p>
    <w:p>
      <w:pPr>
        <w:pStyle w:val="BodyText"/>
        <w:spacing w:before="7"/>
        <w:rPr>
          <w:sz w:val="15"/>
        </w:rPr>
      </w:pPr>
    </w:p>
    <w:p>
      <w:pPr>
        <w:pStyle w:val="BodyText"/>
        <w:ind w:left="960"/>
      </w:pPr>
      <w:r>
        <w:rPr>
          <w:rFonts w:ascii="Calibri" w:eastAsia="Calibri"/>
        </w:rPr>
        <w:t>4</w:t>
      </w:r>
      <w:r>
        <w:rPr/>
        <w:t>、其他根据相关法律法规及中国证监会的有关规定不得列入基金费用的项目。</w:t>
      </w:r>
    </w:p>
    <w:p>
      <w:pPr>
        <w:pStyle w:val="BodyText"/>
        <w:spacing w:before="7"/>
        <w:rPr>
          <w:sz w:val="15"/>
        </w:rPr>
      </w:pPr>
    </w:p>
    <w:p>
      <w:pPr>
        <w:pStyle w:val="BodyText"/>
        <w:ind w:left="960"/>
      </w:pPr>
      <w:r>
        <w:rPr/>
        <w:t>（四）税收</w:t>
      </w:r>
    </w:p>
    <w:p>
      <w:pPr>
        <w:pStyle w:val="BodyText"/>
        <w:spacing w:before="7"/>
        <w:rPr>
          <w:sz w:val="15"/>
        </w:rPr>
      </w:pPr>
    </w:p>
    <w:p>
      <w:pPr>
        <w:pStyle w:val="BodyText"/>
        <w:spacing w:line="703" w:lineRule="auto"/>
        <w:ind w:left="3850" w:right="1354" w:hanging="2838"/>
        <w:rPr>
          <w:b/>
        </w:rPr>
      </w:pPr>
      <w:r>
        <w:rPr/>
        <w:t>本基金运作过程中涉及的各纳税主体，其纳税义务按国家税收法律、法规执行。</w:t>
      </w:r>
      <w:bookmarkStart w:name="_bookmark10" w:id="11"/>
      <w:bookmarkEnd w:id="11"/>
      <w:r>
        <w:rPr/>
      </w:r>
      <w:r>
        <w:rPr>
          <w:b/>
        </w:rPr>
        <w:t>十一、基金的财产</w:t>
      </w:r>
    </w:p>
    <w:p>
      <w:pPr>
        <w:pStyle w:val="BodyText"/>
        <w:spacing w:line="260" w:lineRule="exact"/>
        <w:ind w:left="960"/>
      </w:pPr>
      <w:r>
        <w:rPr/>
        <w:t>（一）基金资产总值</w:t>
      </w:r>
    </w:p>
    <w:p>
      <w:pPr>
        <w:pStyle w:val="BodyText"/>
        <w:spacing w:before="7"/>
        <w:rPr>
          <w:sz w:val="15"/>
        </w:rPr>
      </w:pPr>
    </w:p>
    <w:p>
      <w:pPr>
        <w:pStyle w:val="BodyText"/>
        <w:spacing w:line="417" w:lineRule="auto"/>
        <w:ind w:left="540" w:right="871" w:firstLine="419"/>
      </w:pPr>
      <w:r>
        <w:rPr>
          <w:spacing w:val="-8"/>
        </w:rPr>
        <w:t>基金资产总值是指购买的各类证券及票据价值、银行存款本息和基金应收的申购基金款</w:t>
      </w:r>
      <w:r>
        <w:rPr>
          <w:spacing w:val="-5"/>
        </w:rPr>
        <w:t>以及其他投资所形成的价值总和。</w:t>
      </w:r>
    </w:p>
    <w:p>
      <w:pPr>
        <w:pStyle w:val="BodyText"/>
        <w:ind w:left="960"/>
      </w:pPr>
      <w:r>
        <w:rPr/>
        <w:t>（二）基金资产净值</w:t>
      </w:r>
    </w:p>
    <w:p>
      <w:pPr>
        <w:pStyle w:val="BodyText"/>
        <w:spacing w:before="7"/>
        <w:rPr>
          <w:sz w:val="15"/>
        </w:rPr>
      </w:pPr>
    </w:p>
    <w:p>
      <w:pPr>
        <w:pStyle w:val="BodyText"/>
        <w:ind w:left="960"/>
      </w:pPr>
      <w:r>
        <w:rPr/>
        <w:t>基金资产净值是指基金资产总值减去基金负债后的价值。</w:t>
      </w:r>
    </w:p>
    <w:p>
      <w:pPr>
        <w:pStyle w:val="BodyText"/>
        <w:spacing w:before="6"/>
        <w:rPr>
          <w:sz w:val="15"/>
        </w:rPr>
      </w:pPr>
    </w:p>
    <w:p>
      <w:pPr>
        <w:pStyle w:val="BodyText"/>
        <w:spacing w:before="1"/>
        <w:ind w:left="960"/>
      </w:pPr>
      <w:r>
        <w:rPr/>
        <w:t>（三）基金财产的账户</w:t>
      </w:r>
    </w:p>
    <w:p>
      <w:pPr>
        <w:pStyle w:val="BodyText"/>
        <w:spacing w:before="6"/>
        <w:rPr>
          <w:sz w:val="15"/>
        </w:rPr>
      </w:pPr>
    </w:p>
    <w:p>
      <w:pPr>
        <w:pStyle w:val="BodyText"/>
        <w:spacing w:line="417" w:lineRule="auto"/>
        <w:ind w:left="540" w:right="871" w:firstLine="419"/>
        <w:jc w:val="both"/>
      </w:pPr>
      <w:r>
        <w:rPr>
          <w:spacing w:val="-9"/>
        </w:rPr>
        <w:t>基金托管人根据相关法律法规、规范性文件为本基金开立境内外资金账户、证券账户以</w:t>
      </w:r>
      <w:r>
        <w:rPr>
          <w:spacing w:val="-10"/>
        </w:rPr>
        <w:t>及投资所需的其他专用账户。开立的基金专用账户与基金管理人、基金托管人、基金销售机</w:t>
      </w:r>
      <w:r>
        <w:rPr>
          <w:spacing w:val="-5"/>
        </w:rPr>
        <w:t>构和基金登记机构自有的财产账户以及其他基金财产账户相独立。</w:t>
      </w:r>
    </w:p>
    <w:p>
      <w:pPr>
        <w:pStyle w:val="BodyText"/>
        <w:spacing w:line="269" w:lineRule="exact"/>
        <w:ind w:left="960"/>
      </w:pPr>
      <w:r>
        <w:rPr/>
        <w:t>（四）基金财产的保管和处分</w:t>
      </w:r>
    </w:p>
    <w:p>
      <w:pPr>
        <w:pStyle w:val="BodyText"/>
        <w:spacing w:before="7"/>
        <w:rPr>
          <w:sz w:val="15"/>
        </w:rPr>
      </w:pPr>
    </w:p>
    <w:p>
      <w:pPr>
        <w:pStyle w:val="BodyText"/>
        <w:ind w:left="960"/>
      </w:pPr>
      <w:r>
        <w:rPr/>
        <w:t>本基金财产独立于基金管理人、基金托管人、境外资产托管人和基金销售机构的财产，</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8"/>
      </w:pPr>
      <w:r>
        <w:rPr>
          <w:spacing w:val="-10"/>
        </w:rPr>
        <w:t>并由基金托管人保管。基金管理人、基金托管人、境外资产托管人、基金登记机构和基金销</w:t>
      </w:r>
      <w:r>
        <w:rPr>
          <w:spacing w:val="-5"/>
        </w:rPr>
        <w:t>售机构以其自有的财产承担其自身的法律责任，其债权人不得对本基金财产行使请求冻结、</w:t>
      </w:r>
      <w:r>
        <w:rPr>
          <w:spacing w:val="-4"/>
        </w:rPr>
        <w:t>扣押或其他权利。除依法律法规和《基金合同》的规定处分外，基金财产不得被处分。</w:t>
      </w:r>
    </w:p>
    <w:p>
      <w:pPr>
        <w:pStyle w:val="BodyText"/>
        <w:spacing w:line="417" w:lineRule="auto"/>
        <w:ind w:left="540" w:right="871" w:firstLine="419"/>
        <w:jc w:val="both"/>
      </w:pPr>
      <w:r>
        <w:rPr>
          <w:spacing w:val="-11"/>
        </w:rPr>
        <w:t>基金管理人、基金托管人、境外资产托管人因依法解散、被依法撤销或者被依法宣告破</w:t>
      </w:r>
      <w:r>
        <w:rPr>
          <w:spacing w:val="-13"/>
        </w:rPr>
        <w:t>产等原因进行清算的，基金财产不属于其清算财产。现金存入现金账户时构成境外资产托管</w:t>
      </w:r>
      <w:r>
        <w:rPr>
          <w:spacing w:val="-12"/>
        </w:rPr>
        <w:t>人的等额债务，除非法律法规及撤销或清盘程序明文规定该等现金不归于清算财产外。基金</w:t>
      </w:r>
      <w:r>
        <w:rPr>
          <w:spacing w:val="-11"/>
        </w:rPr>
        <w:t>管理人管理运作基金财产所产生的债权，不得与其固有资产产生的债务相互抵销；基金管理</w:t>
      </w:r>
      <w:r>
        <w:rPr>
          <w:spacing w:val="-6"/>
        </w:rPr>
        <w:t>人管理运作不同基金的基金财产所产生的债权债务不得相互抵销。</w:t>
      </w:r>
    </w:p>
    <w:p>
      <w:pPr>
        <w:pStyle w:val="BodyText"/>
        <w:spacing w:before="7"/>
        <w:rPr>
          <w:sz w:val="26"/>
        </w:rPr>
      </w:pPr>
    </w:p>
    <w:p>
      <w:pPr>
        <w:pStyle w:val="Heading1"/>
        <w:ind w:left="413"/>
      </w:pPr>
      <w:bookmarkStart w:name="_bookmark11" w:id="12"/>
      <w:bookmarkEnd w:id="12"/>
      <w:r>
        <w:rPr>
          <w:b w:val="0"/>
        </w:rPr>
      </w:r>
      <w:r>
        <w:rPr/>
        <w:t>十二、基金资产的估值</w:t>
      </w:r>
    </w:p>
    <w:p>
      <w:pPr>
        <w:pStyle w:val="BodyText"/>
        <w:rPr>
          <w:b/>
          <w:sz w:val="20"/>
        </w:rPr>
      </w:pPr>
    </w:p>
    <w:p>
      <w:pPr>
        <w:pStyle w:val="BodyText"/>
        <w:spacing w:before="3"/>
        <w:rPr>
          <w:b/>
        </w:rPr>
      </w:pPr>
    </w:p>
    <w:p>
      <w:pPr>
        <w:pStyle w:val="BodyText"/>
        <w:ind w:left="960"/>
      </w:pPr>
      <w:r>
        <w:rPr/>
        <w:t>（一）估值日</w:t>
      </w:r>
    </w:p>
    <w:p>
      <w:pPr>
        <w:pStyle w:val="BodyText"/>
        <w:spacing w:before="6"/>
        <w:rPr>
          <w:sz w:val="15"/>
        </w:rPr>
      </w:pPr>
    </w:p>
    <w:p>
      <w:pPr>
        <w:pStyle w:val="BodyText"/>
        <w:spacing w:line="417" w:lineRule="auto"/>
        <w:ind w:left="540" w:right="878" w:firstLine="419"/>
      </w:pPr>
      <w:r>
        <w:rPr/>
        <w:t>本基金的估值日为基金合同生效后的每个开放日以及国家法律法规规定需要对外披露基金净值的非开放日。</w:t>
      </w:r>
    </w:p>
    <w:p>
      <w:pPr>
        <w:pStyle w:val="BodyText"/>
        <w:spacing w:line="269" w:lineRule="exact"/>
        <w:ind w:left="960"/>
      </w:pPr>
      <w:r>
        <w:rPr/>
        <w:t>（二）估值对象</w:t>
      </w:r>
    </w:p>
    <w:p>
      <w:pPr>
        <w:pStyle w:val="BodyText"/>
        <w:spacing w:before="7"/>
        <w:rPr>
          <w:sz w:val="15"/>
        </w:rPr>
      </w:pPr>
    </w:p>
    <w:p>
      <w:pPr>
        <w:pStyle w:val="BodyText"/>
        <w:spacing w:before="1"/>
        <w:ind w:left="960"/>
      </w:pPr>
      <w:r>
        <w:rPr/>
        <w:t>基金所拥有的股票、权证、债券和银行存款本息、应收款项、其它投资等资产及负债。</w:t>
      </w:r>
    </w:p>
    <w:p>
      <w:pPr>
        <w:pStyle w:val="BodyText"/>
        <w:spacing w:before="6"/>
        <w:rPr>
          <w:sz w:val="15"/>
        </w:rPr>
      </w:pPr>
    </w:p>
    <w:p>
      <w:pPr>
        <w:pStyle w:val="BodyText"/>
        <w:ind w:left="960"/>
      </w:pPr>
      <w:r>
        <w:rPr/>
        <w:t>（三）估值方法</w:t>
      </w:r>
    </w:p>
    <w:p>
      <w:pPr>
        <w:pStyle w:val="BodyText"/>
        <w:spacing w:before="7"/>
        <w:rPr>
          <w:sz w:val="15"/>
        </w:rPr>
      </w:pPr>
    </w:p>
    <w:p>
      <w:pPr>
        <w:pStyle w:val="BodyText"/>
        <w:ind w:left="960"/>
      </w:pPr>
      <w:r>
        <w:rPr/>
        <w:t>本基金所持有的投资品种，按如下原则进行估值：</w:t>
      </w:r>
    </w:p>
    <w:p>
      <w:pPr>
        <w:pStyle w:val="BodyText"/>
        <w:spacing w:before="7"/>
        <w:rPr>
          <w:sz w:val="15"/>
        </w:rPr>
      </w:pPr>
    </w:p>
    <w:p>
      <w:pPr>
        <w:pStyle w:val="BodyText"/>
        <w:ind w:left="960"/>
      </w:pPr>
      <w:r>
        <w:rPr>
          <w:rFonts w:ascii="Calibri" w:eastAsia="Calibri"/>
        </w:rPr>
        <w:t>1</w:t>
      </w:r>
      <w:r>
        <w:rPr/>
        <w:t>、证券交易所上市的有价证券的估值</w:t>
      </w:r>
    </w:p>
    <w:p>
      <w:pPr>
        <w:pStyle w:val="BodyText"/>
        <w:spacing w:before="6"/>
        <w:rPr>
          <w:sz w:val="15"/>
        </w:rPr>
      </w:pPr>
    </w:p>
    <w:p>
      <w:pPr>
        <w:pStyle w:val="ListParagraph"/>
        <w:numPr>
          <w:ilvl w:val="0"/>
          <w:numId w:val="22"/>
        </w:numPr>
        <w:tabs>
          <w:tab w:pos="1490" w:val="left" w:leader="none"/>
        </w:tabs>
        <w:spacing w:line="417" w:lineRule="auto" w:before="1" w:after="0"/>
        <w:ind w:left="540" w:right="87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pacing w:val="-6"/>
          <w:sz w:val="21"/>
        </w:rPr>
        <w:t>行机构未发生影响证券价格的重大事件的，以最近交易日的市价</w:t>
      </w:r>
      <w:r>
        <w:rPr>
          <w:sz w:val="21"/>
        </w:rPr>
        <w:t>（</w:t>
      </w:r>
      <w:r>
        <w:rPr>
          <w:spacing w:val="-3"/>
          <w:sz w:val="21"/>
        </w:rPr>
        <w:t>收盘价</w:t>
      </w:r>
      <w:r>
        <w:rPr>
          <w:spacing w:val="-25"/>
          <w:sz w:val="21"/>
        </w:rPr>
        <w:t>）</w:t>
      </w:r>
      <w:r>
        <w:rPr>
          <w:spacing w:val="-7"/>
          <w:sz w:val="21"/>
        </w:rPr>
        <w:t>估值；如最近交</w:t>
      </w:r>
      <w:r>
        <w:rPr>
          <w:spacing w:val="-8"/>
          <w:sz w:val="21"/>
        </w:rPr>
        <w:t>易日后经济环境发生了重大变化或证券发行机构发生影响证券价格的重大事件的，可参考类</w:t>
      </w:r>
      <w:r>
        <w:rPr>
          <w:spacing w:val="-3"/>
          <w:sz w:val="21"/>
        </w:rPr>
        <w:t>似投资品种的现行市价及重大变化因素，调整最近交易市价，确定公允价格。</w:t>
      </w:r>
    </w:p>
    <w:p>
      <w:pPr>
        <w:pStyle w:val="ListParagraph"/>
        <w:numPr>
          <w:ilvl w:val="0"/>
          <w:numId w:val="22"/>
        </w:numPr>
        <w:tabs>
          <w:tab w:pos="1492" w:val="left" w:leader="none"/>
        </w:tabs>
        <w:spacing w:line="417" w:lineRule="auto" w:before="0" w:after="0"/>
        <w:ind w:left="540" w:right="765" w:firstLine="419"/>
        <w:jc w:val="left"/>
        <w:rPr>
          <w:sz w:val="21"/>
        </w:rPr>
      </w:pPr>
      <w:r>
        <w:rPr>
          <w:spacing w:val="-3"/>
          <w:sz w:val="21"/>
        </w:rPr>
        <w:t>交易所上市实行净价交易的债券按估值日第三方估值机构提供的相应品种当日的</w:t>
      </w:r>
      <w:r>
        <w:rPr>
          <w:spacing w:val="-10"/>
          <w:sz w:val="21"/>
        </w:rPr>
        <w:t>估值净价进行估值，估值日没有交易的，且最近交易日后经济环境未发生重大变化，按最近</w:t>
      </w:r>
      <w:r>
        <w:rPr>
          <w:spacing w:val="-13"/>
          <w:sz w:val="21"/>
        </w:rPr>
        <w:t>交易日的收盘价估值。如最近交易日后经济环境发生了重大变化或证券发行机构发生影响证</w:t>
      </w:r>
      <w:r>
        <w:rPr>
          <w:spacing w:val="-16"/>
          <w:sz w:val="21"/>
        </w:rPr>
        <w:t>券价格的重大事件的，可参考类似投资品种的现行市价及重大变化因素，调整最近交易市价， </w:t>
      </w:r>
      <w:r>
        <w:rPr>
          <w:spacing w:val="-6"/>
          <w:sz w:val="21"/>
        </w:rPr>
        <w:t>确定公允价格。</w:t>
      </w:r>
    </w:p>
    <w:p>
      <w:pPr>
        <w:pStyle w:val="ListParagraph"/>
        <w:numPr>
          <w:ilvl w:val="0"/>
          <w:numId w:val="22"/>
        </w:numPr>
        <w:tabs>
          <w:tab w:pos="1492" w:val="left" w:leader="none"/>
        </w:tabs>
        <w:spacing w:line="269" w:lineRule="exact" w:before="0" w:after="0"/>
        <w:ind w:left="1491" w:right="0" w:hanging="532"/>
        <w:jc w:val="left"/>
        <w:rPr>
          <w:sz w:val="21"/>
        </w:rPr>
      </w:pPr>
      <w:r>
        <w:rPr>
          <w:spacing w:val="-3"/>
          <w:sz w:val="21"/>
        </w:rPr>
        <w:t>交易所上市未实行净价交易的债券按估值日收盘价减去债券收盘价中所含的债券</w:t>
      </w:r>
    </w:p>
    <w:p>
      <w:pPr>
        <w:spacing w:after="0" w:line="269" w:lineRule="exact"/>
        <w:jc w:val="left"/>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8"/>
      </w:pPr>
      <w:r>
        <w:rPr>
          <w:spacing w:val="-9"/>
        </w:rPr>
        <w:t>应收利息得到的净价进行估值；估值日没有交易的，且最近交易日后经济环境未发生重大变</w:t>
      </w:r>
      <w:r>
        <w:rPr>
          <w:spacing w:val="-5"/>
        </w:rPr>
        <w:t>化，按最近交易日债券收盘价减去债券收盘价中所含的债券应收利息得到的净价进行估值。</w:t>
      </w:r>
      <w:r>
        <w:rPr>
          <w:spacing w:val="-9"/>
        </w:rPr>
        <w:t>如最近交易日后经济环境发生了重大变化的，可参考类似投资品种的现行市价及重大变化因</w:t>
      </w:r>
      <w:r>
        <w:rPr>
          <w:spacing w:val="-5"/>
        </w:rPr>
        <w:t>素，调整最近交易市价，确定公允价格。</w:t>
      </w:r>
    </w:p>
    <w:p>
      <w:pPr>
        <w:pStyle w:val="ListParagraph"/>
        <w:numPr>
          <w:ilvl w:val="0"/>
          <w:numId w:val="22"/>
        </w:numPr>
        <w:tabs>
          <w:tab w:pos="1492" w:val="left" w:leader="none"/>
        </w:tabs>
        <w:spacing w:line="417" w:lineRule="auto" w:before="0" w:after="0"/>
        <w:ind w:left="540" w:right="87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ind w:left="960"/>
      </w:pPr>
      <w:r>
        <w:rPr>
          <w:rFonts w:ascii="Calibri" w:eastAsia="Calibri"/>
        </w:rPr>
        <w:t>2</w:t>
      </w:r>
      <w:r>
        <w:rPr/>
        <w:t>、处于未上市期间的有价证券应区分如下情况处理：</w:t>
      </w:r>
    </w:p>
    <w:p>
      <w:pPr>
        <w:pStyle w:val="BodyText"/>
        <w:spacing w:before="6"/>
        <w:rPr>
          <w:sz w:val="15"/>
        </w:rPr>
      </w:pPr>
    </w:p>
    <w:p>
      <w:pPr>
        <w:pStyle w:val="ListParagraph"/>
        <w:numPr>
          <w:ilvl w:val="0"/>
          <w:numId w:val="23"/>
        </w:numPr>
        <w:tabs>
          <w:tab w:pos="1492" w:val="left" w:leader="none"/>
        </w:tabs>
        <w:spacing w:line="417" w:lineRule="auto" w:before="1" w:after="0"/>
        <w:ind w:left="540" w:right="87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3"/>
        </w:numPr>
        <w:tabs>
          <w:tab w:pos="1492" w:val="left" w:leader="none"/>
        </w:tabs>
        <w:spacing w:line="417" w:lineRule="auto" w:before="0" w:after="0"/>
        <w:ind w:left="540" w:right="87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3"/>
        </w:numPr>
        <w:tabs>
          <w:tab w:pos="1492" w:val="left" w:leader="none"/>
        </w:tabs>
        <w:spacing w:line="417" w:lineRule="auto" w:before="0" w:after="0"/>
        <w:ind w:left="540" w:right="87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540" w:right="874" w:firstLine="419"/>
      </w:pPr>
      <w:r>
        <w:rPr>
          <w:rFonts w:ascii="Calibri" w:eastAsia="Calibri"/>
        </w:rPr>
        <w:t>3</w:t>
      </w:r>
      <w:r>
        <w:rPr/>
        <w:t>、全国银行间债券市场交易的债券、资产支持证券等固定收益品种，采用第三方估值机构提供的价格数据进行估值。</w:t>
      </w:r>
    </w:p>
    <w:p>
      <w:pPr>
        <w:pStyle w:val="BodyText"/>
        <w:spacing w:line="417" w:lineRule="auto"/>
        <w:ind w:left="540" w:right="871" w:firstLine="419"/>
        <w:jc w:val="both"/>
      </w:pPr>
      <w:r>
        <w:rPr>
          <w:rFonts w:ascii="Calibri" w:eastAsia="Calibri"/>
        </w:rPr>
        <w:t>4</w:t>
      </w:r>
      <w:r>
        <w:rPr>
          <w:spacing w:val="-3"/>
        </w:rPr>
        <w:t>、对于境外非上市债券，参照主要做市商或其他权威价格提供机构的报价进行估值； </w:t>
      </w:r>
      <w:r>
        <w:rPr>
          <w:spacing w:val="-9"/>
        </w:rPr>
        <w:t>若债券价格无法通过公开信息取得，参照最近一个交易日可取得的主要做市商或其他权威价</w:t>
      </w:r>
      <w:r>
        <w:rPr>
          <w:spacing w:val="-5"/>
        </w:rPr>
        <w:t>格提供机构的报价进行估值。</w:t>
      </w:r>
    </w:p>
    <w:p>
      <w:pPr>
        <w:pStyle w:val="BodyText"/>
        <w:spacing w:line="269" w:lineRule="exact"/>
        <w:ind w:left="960"/>
      </w:pPr>
      <w:r>
        <w:rPr>
          <w:rFonts w:ascii="Calibri" w:eastAsia="Calibri"/>
        </w:rPr>
        <w:t>5</w:t>
      </w:r>
      <w:r>
        <w:rPr/>
        <w:t>、同一债券同时在两个或两个以上市场交易的，按债券所处的市场分别估值。</w:t>
      </w:r>
    </w:p>
    <w:p>
      <w:pPr>
        <w:pStyle w:val="BodyText"/>
        <w:spacing w:before="6"/>
        <w:rPr>
          <w:sz w:val="15"/>
        </w:rPr>
      </w:pPr>
    </w:p>
    <w:p>
      <w:pPr>
        <w:pStyle w:val="BodyText"/>
        <w:spacing w:line="417" w:lineRule="auto"/>
        <w:ind w:left="540" w:right="874" w:firstLine="419"/>
      </w:pPr>
      <w:r>
        <w:rPr>
          <w:rFonts w:ascii="Calibri" w:eastAsia="Calibri"/>
        </w:rPr>
        <w:t>6</w:t>
      </w:r>
      <w:r>
        <w:rPr/>
        <w:t>、中小企业私募债券，采用估值技术确定公允价值，在估值技术难以可靠计量公允价值的情况下，按成本估值。</w:t>
      </w:r>
    </w:p>
    <w:p>
      <w:pPr>
        <w:pStyle w:val="BodyText"/>
        <w:spacing w:line="269" w:lineRule="exact"/>
        <w:ind w:left="960"/>
      </w:pPr>
      <w:r>
        <w:rPr>
          <w:rFonts w:ascii="Times New Roman" w:eastAsia="Times New Roman"/>
        </w:rPr>
        <w:t>7</w:t>
      </w:r>
      <w:r>
        <w:rPr/>
        <w:t>、衍生品估值方法</w:t>
      </w:r>
    </w:p>
    <w:p>
      <w:pPr>
        <w:pStyle w:val="BodyText"/>
        <w:spacing w:before="6"/>
        <w:rPr>
          <w:sz w:val="15"/>
        </w:rPr>
      </w:pPr>
    </w:p>
    <w:p>
      <w:pPr>
        <w:pStyle w:val="ListParagraph"/>
        <w:numPr>
          <w:ilvl w:val="0"/>
          <w:numId w:val="24"/>
        </w:numPr>
        <w:tabs>
          <w:tab w:pos="1490" w:val="left" w:leader="none"/>
        </w:tabs>
        <w:spacing w:line="417" w:lineRule="auto" w:before="1" w:after="0"/>
        <w:ind w:left="540" w:right="874" w:firstLine="419"/>
        <w:jc w:val="left"/>
        <w:rPr>
          <w:sz w:val="21"/>
        </w:rPr>
      </w:pPr>
      <w:r>
        <w:rPr>
          <w:spacing w:val="-3"/>
          <w:sz w:val="21"/>
        </w:rPr>
        <w:t>上市流通衍生品按估值日其所在证券交易所的收盘价估值；估值日无交易的，以最近交易日的收盘价估值。</w:t>
      </w:r>
    </w:p>
    <w:p>
      <w:pPr>
        <w:pStyle w:val="ListParagraph"/>
        <w:numPr>
          <w:ilvl w:val="0"/>
          <w:numId w:val="24"/>
        </w:numPr>
        <w:tabs>
          <w:tab w:pos="1490" w:val="left" w:leader="none"/>
        </w:tabs>
        <w:spacing w:line="417" w:lineRule="auto" w:before="0" w:after="0"/>
        <w:ind w:left="540" w:right="871" w:firstLine="419"/>
        <w:jc w:val="both"/>
        <w:rPr>
          <w:sz w:val="21"/>
        </w:rPr>
      </w:pPr>
      <w:r>
        <w:rPr>
          <w:spacing w:val="-3"/>
          <w:sz w:val="21"/>
        </w:rPr>
        <w:t>未上市衍生品按成本价估值，如成本价不能反映公允价值，则采用估值技术确定</w:t>
      </w:r>
      <w:r>
        <w:rPr>
          <w:spacing w:val="-11"/>
          <w:sz w:val="21"/>
        </w:rPr>
        <w:t>公允价值；若衍生品价格无法通过公开信息取得，参照最近一个交易日可取得的主要做市商</w:t>
      </w:r>
      <w:r>
        <w:rPr>
          <w:spacing w:val="-6"/>
          <w:sz w:val="21"/>
        </w:rPr>
        <w:t>或其他权威价格提供机构的报价进行估值。</w:t>
      </w:r>
    </w:p>
    <w:p>
      <w:pPr>
        <w:pStyle w:val="BodyText"/>
        <w:ind w:left="960"/>
      </w:pPr>
      <w:r>
        <w:rPr>
          <w:rFonts w:ascii="Calibri" w:eastAsia="Calibri"/>
        </w:rPr>
        <w:t>8</w:t>
      </w:r>
      <w:r>
        <w:rPr/>
        <w:t>、存托凭证估值方法</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pPr>
      <w:r>
        <w:rPr/>
        <w:t>公开挂牌的存托凭证按其所在证券交易所的最近交易日的收盘价估值。</w:t>
      </w:r>
    </w:p>
    <w:p>
      <w:pPr>
        <w:pStyle w:val="BodyText"/>
        <w:spacing w:before="7"/>
        <w:rPr>
          <w:sz w:val="15"/>
        </w:rPr>
      </w:pPr>
    </w:p>
    <w:p>
      <w:pPr>
        <w:pStyle w:val="BodyText"/>
        <w:ind w:left="960"/>
      </w:pPr>
      <w:r>
        <w:rPr>
          <w:rFonts w:ascii="Calibri" w:eastAsia="Calibri"/>
        </w:rPr>
        <w:t>9</w:t>
      </w:r>
      <w:r>
        <w:rPr/>
        <w:t>、基金估值方法</w:t>
      </w:r>
    </w:p>
    <w:p>
      <w:pPr>
        <w:pStyle w:val="BodyText"/>
        <w:spacing w:before="7"/>
        <w:rPr>
          <w:sz w:val="15"/>
        </w:rPr>
      </w:pPr>
    </w:p>
    <w:p>
      <w:pPr>
        <w:pStyle w:val="ListParagraph"/>
        <w:numPr>
          <w:ilvl w:val="0"/>
          <w:numId w:val="25"/>
        </w:numPr>
        <w:tabs>
          <w:tab w:pos="1492" w:val="left" w:leader="none"/>
        </w:tabs>
        <w:spacing w:line="417" w:lineRule="auto" w:before="0" w:after="0"/>
        <w:ind w:left="540" w:right="874" w:firstLine="419"/>
        <w:jc w:val="left"/>
        <w:rPr>
          <w:sz w:val="21"/>
        </w:rPr>
      </w:pPr>
      <w:r>
        <w:rPr>
          <w:spacing w:val="-3"/>
          <w:sz w:val="21"/>
        </w:rPr>
        <w:t>上市流通的基金按估值日其所在证券交易所的收盘价估值；估值日无交易的，以最近交易日的收盘价估值。</w:t>
      </w:r>
    </w:p>
    <w:p>
      <w:pPr>
        <w:pStyle w:val="ListParagraph"/>
        <w:numPr>
          <w:ilvl w:val="0"/>
          <w:numId w:val="25"/>
        </w:numPr>
        <w:tabs>
          <w:tab w:pos="1490" w:val="left" w:leader="none"/>
        </w:tabs>
        <w:spacing w:line="269" w:lineRule="exact" w:before="0" w:after="0"/>
        <w:ind w:left="1489" w:right="0" w:hanging="530"/>
        <w:jc w:val="left"/>
        <w:rPr>
          <w:sz w:val="21"/>
        </w:rPr>
      </w:pPr>
      <w:r>
        <w:rPr>
          <w:spacing w:val="-3"/>
          <w:sz w:val="21"/>
        </w:rPr>
        <w:t>其他基金按最近交易日的基金份额净值估值。</w:t>
      </w:r>
    </w:p>
    <w:p>
      <w:pPr>
        <w:pStyle w:val="BodyText"/>
        <w:spacing w:before="6"/>
        <w:rPr>
          <w:sz w:val="15"/>
        </w:rPr>
      </w:pPr>
    </w:p>
    <w:p>
      <w:pPr>
        <w:pStyle w:val="ListParagraph"/>
        <w:numPr>
          <w:ilvl w:val="0"/>
          <w:numId w:val="25"/>
        </w:numPr>
        <w:tabs>
          <w:tab w:pos="1492" w:val="left" w:leader="none"/>
        </w:tabs>
        <w:spacing w:line="417" w:lineRule="auto" w:before="1" w:after="0"/>
        <w:ind w:left="540" w:right="874" w:firstLine="419"/>
        <w:jc w:val="left"/>
        <w:rPr>
          <w:sz w:val="21"/>
        </w:rPr>
      </w:pPr>
      <w:r>
        <w:rPr>
          <w:spacing w:val="-3"/>
          <w:sz w:val="21"/>
        </w:rPr>
        <w:t>若基金价格无法通过公开信息取得，参照最近一个交易日可取得的主要做市商或其他权威价格提供机构的报价进行估值。</w:t>
      </w:r>
    </w:p>
    <w:p>
      <w:pPr>
        <w:pStyle w:val="BodyText"/>
        <w:ind w:left="960"/>
      </w:pPr>
      <w:r>
        <w:rPr>
          <w:rFonts w:ascii="Calibri" w:eastAsia="Calibri"/>
        </w:rPr>
        <w:t>10</w:t>
      </w:r>
      <w:r>
        <w:rPr/>
        <w:t>、非流动性资产或暂停交易的证券估值方法</w:t>
      </w:r>
    </w:p>
    <w:p>
      <w:pPr>
        <w:pStyle w:val="BodyText"/>
        <w:spacing w:before="6"/>
        <w:rPr>
          <w:sz w:val="15"/>
        </w:rPr>
      </w:pPr>
    </w:p>
    <w:p>
      <w:pPr>
        <w:pStyle w:val="BodyText"/>
        <w:spacing w:line="417" w:lineRule="auto" w:before="1"/>
        <w:ind w:left="540" w:right="871" w:firstLine="419"/>
        <w:jc w:val="both"/>
      </w:pPr>
      <w:r>
        <w:rPr>
          <w:spacing w:val="-10"/>
        </w:rPr>
        <w:t>对于未上市流通、或流通受限、或暂停交易的证券，应参照上述估值原则进行估值。如果上述估值方法不能客观反映公允价值的，基金管理人可根据具体情况，并与基金托管人商</w:t>
      </w:r>
      <w:r>
        <w:rPr>
          <w:spacing w:val="-5"/>
        </w:rPr>
        <w:t>定后，按最能反映公允价值的价格估值。</w:t>
      </w:r>
    </w:p>
    <w:p>
      <w:pPr>
        <w:pStyle w:val="BodyText"/>
        <w:spacing w:line="269" w:lineRule="exact"/>
        <w:ind w:left="960"/>
      </w:pPr>
      <w:r>
        <w:rPr>
          <w:rFonts w:ascii="Times New Roman" w:eastAsia="Times New Roman"/>
          <w:spacing w:val="-4"/>
        </w:rPr>
        <w:t>11</w:t>
      </w:r>
      <w:r>
        <w:rPr>
          <w:spacing w:val="-2"/>
        </w:rPr>
        <w:t>、汇率</w:t>
      </w:r>
    </w:p>
    <w:p>
      <w:pPr>
        <w:pStyle w:val="BodyText"/>
        <w:spacing w:line="364" w:lineRule="auto" w:before="100"/>
        <w:ind w:left="540" w:right="874" w:firstLine="419"/>
      </w:pPr>
      <w:r>
        <w:rPr/>
        <w:t>人民币对主要外汇的汇率应当以估值日中国人民银行或其授权机构公布的人民币汇率</w:t>
      </w:r>
      <w:r>
        <w:rPr>
          <w:spacing w:val="-2"/>
        </w:rPr>
        <w:t>中间价为准。</w:t>
      </w:r>
    </w:p>
    <w:p>
      <w:pPr>
        <w:pStyle w:val="BodyText"/>
        <w:spacing w:before="97"/>
        <w:ind w:left="960"/>
      </w:pPr>
      <w:r>
        <w:rPr>
          <w:rFonts w:ascii="Calibri" w:eastAsia="Calibri"/>
          <w:spacing w:val="-1"/>
        </w:rPr>
        <w:t>12</w:t>
      </w:r>
      <w:r>
        <w:rPr>
          <w:spacing w:val="-3"/>
        </w:rPr>
        <w:t>、税收</w:t>
      </w:r>
    </w:p>
    <w:p>
      <w:pPr>
        <w:pStyle w:val="BodyText"/>
        <w:spacing w:before="7"/>
        <w:rPr>
          <w:sz w:val="15"/>
        </w:rPr>
      </w:pPr>
    </w:p>
    <w:p>
      <w:pPr>
        <w:pStyle w:val="BodyText"/>
        <w:spacing w:line="417" w:lineRule="auto"/>
        <w:ind w:left="540" w:right="871" w:firstLine="419"/>
        <w:jc w:val="both"/>
      </w:pPr>
      <w:r>
        <w:rPr>
          <w:spacing w:val="-6"/>
        </w:rPr>
        <w:t>对于按照中国法律法规和基金投资所在地的法律法规规定应交纳的各项税金，本基金将</w:t>
      </w:r>
      <w:r>
        <w:rPr>
          <w:spacing w:val="-12"/>
        </w:rPr>
        <w:t>按权责发生制原则进行估值；对于因税收规定调整或其他原因导致基金实际交纳税金与估算</w:t>
      </w:r>
      <w:r>
        <w:rPr>
          <w:spacing w:val="-6"/>
        </w:rPr>
        <w:t>的应交税金有差异的，基金将在相关税金调整日或实际支付日进行相应的会计处理。</w:t>
      </w:r>
    </w:p>
    <w:p>
      <w:pPr>
        <w:pStyle w:val="BodyText"/>
        <w:spacing w:line="417" w:lineRule="auto"/>
        <w:ind w:left="540" w:right="871" w:firstLine="419"/>
        <w:jc w:val="both"/>
      </w:pPr>
      <w:r>
        <w:rPr>
          <w:spacing w:val="-12"/>
        </w:rPr>
        <w:t>对于非代扣代缴的税收，基金管理人可聘请税收顾问对相关投资市场的税收情况给予意见和建议。境外资产托管人根据基金管理人的指示具体协调基金在海外税务的申报、缴纳及</w:t>
      </w:r>
      <w:r>
        <w:rPr>
          <w:spacing w:val="-6"/>
        </w:rPr>
        <w:t>索取税收返还等相关工作。</w:t>
      </w:r>
    </w:p>
    <w:p>
      <w:pPr>
        <w:pStyle w:val="BodyText"/>
        <w:spacing w:line="417" w:lineRule="auto"/>
        <w:ind w:left="540" w:right="871" w:firstLine="419"/>
      </w:pPr>
      <w:r>
        <w:rPr>
          <w:rFonts w:ascii="Calibri" w:eastAsia="Calibri"/>
        </w:rPr>
        <w:t>13</w:t>
      </w:r>
      <w:r>
        <w:rPr>
          <w:spacing w:val="-11"/>
        </w:rPr>
        <w:t>、如有确凿证据表明按上述方法进行估值不能客观反映其公允价值的，基金管理人可</w:t>
      </w:r>
      <w:r>
        <w:rPr>
          <w:spacing w:val="-6"/>
        </w:rPr>
        <w:t>根据具体情况与基金托管人商定后，按最能反映公允价值的价格估值。</w:t>
      </w:r>
    </w:p>
    <w:p>
      <w:pPr>
        <w:pStyle w:val="BodyText"/>
        <w:spacing w:line="417" w:lineRule="auto"/>
        <w:ind w:left="540" w:right="873" w:firstLine="419"/>
      </w:pPr>
      <w:r>
        <w:rPr>
          <w:rFonts w:ascii="Calibri" w:eastAsia="Calibri"/>
        </w:rPr>
        <w:t>14</w:t>
      </w:r>
      <w:r>
        <w:rPr>
          <w:spacing w:val="-10"/>
        </w:rPr>
        <w:t>、当发生大额申购或赎回情形时，基金管理人可以采用摆动定价机制，以确保基金估</w:t>
      </w:r>
      <w:r>
        <w:rPr>
          <w:spacing w:val="-5"/>
        </w:rPr>
        <w:t>值的公平性。</w:t>
      </w:r>
    </w:p>
    <w:p>
      <w:pPr>
        <w:pStyle w:val="BodyText"/>
        <w:spacing w:line="269" w:lineRule="exact"/>
        <w:ind w:left="960"/>
      </w:pPr>
      <w:r>
        <w:rPr>
          <w:rFonts w:ascii="Calibri" w:eastAsia="Calibri"/>
        </w:rPr>
        <w:t>15</w:t>
      </w:r>
      <w:r>
        <w:rPr/>
        <w:t>、其他资产按法律法规监管机构有关规定进行估值。</w:t>
      </w:r>
    </w:p>
    <w:p>
      <w:pPr>
        <w:pStyle w:val="BodyText"/>
        <w:spacing w:before="6"/>
        <w:rPr>
          <w:sz w:val="15"/>
        </w:rPr>
      </w:pPr>
    </w:p>
    <w:p>
      <w:pPr>
        <w:pStyle w:val="BodyText"/>
        <w:spacing w:line="417" w:lineRule="auto"/>
        <w:ind w:left="540" w:right="874" w:firstLine="419"/>
      </w:pPr>
      <w:r>
        <w:rPr>
          <w:rFonts w:ascii="Calibri" w:eastAsia="Calibri"/>
        </w:rPr>
        <w:t>16</w:t>
      </w:r>
      <w:r>
        <w:rPr>
          <w:spacing w:val="-10"/>
        </w:rPr>
        <w:t>、相关法律法规以及监管部门有强制规定的，从其规定。如有新增事项，按国家最新</w:t>
      </w:r>
      <w:r>
        <w:rPr>
          <w:spacing w:val="-5"/>
        </w:rPr>
        <w:t>规定估值。</w:t>
      </w:r>
    </w:p>
    <w:p>
      <w:pPr>
        <w:pStyle w:val="BodyText"/>
        <w:spacing w:line="417" w:lineRule="auto"/>
        <w:ind w:left="540" w:right="76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540"/>
      </w:pPr>
      <w:r>
        <w:rPr/>
        <w:t>双方协商解决。</w:t>
      </w:r>
    </w:p>
    <w:p>
      <w:pPr>
        <w:pStyle w:val="BodyText"/>
        <w:spacing w:before="7"/>
        <w:rPr>
          <w:sz w:val="15"/>
        </w:rPr>
      </w:pPr>
    </w:p>
    <w:p>
      <w:pPr>
        <w:pStyle w:val="BodyText"/>
        <w:spacing w:line="417" w:lineRule="auto"/>
        <w:ind w:left="540" w:right="87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8" w:lineRule="exact"/>
        <w:ind w:left="960"/>
      </w:pPr>
      <w:r>
        <w:rPr/>
        <w:t>（四</w:t>
      </w:r>
      <w:r>
        <w:rPr>
          <w:spacing w:val="-3"/>
        </w:rPr>
        <w:t>）</w:t>
      </w:r>
      <w:r>
        <w:rPr>
          <w:spacing w:val="-2"/>
        </w:rPr>
        <w:t>估值程序</w:t>
      </w:r>
    </w:p>
    <w:p>
      <w:pPr>
        <w:pStyle w:val="BodyText"/>
        <w:spacing w:before="7"/>
        <w:rPr>
          <w:sz w:val="15"/>
        </w:rPr>
      </w:pPr>
    </w:p>
    <w:p>
      <w:pPr>
        <w:pStyle w:val="BodyText"/>
        <w:spacing w:line="417" w:lineRule="auto"/>
        <w:ind w:left="540" w:right="874" w:firstLine="419"/>
      </w:pPr>
      <w:r>
        <w:rPr>
          <w:rFonts w:ascii="Calibri" w:eastAsia="Calibri"/>
        </w:rPr>
        <w:t>1</w:t>
      </w:r>
      <w:r>
        <w:rPr/>
        <w:t>、基金份额净值是按照每个工作日闭市后，基金资产净值除以当日基金份额的余额数量计算，精确到 </w:t>
      </w:r>
      <w:r>
        <w:rPr>
          <w:rFonts w:ascii="Calibri" w:eastAsia="Calibri"/>
        </w:rPr>
        <w:t>0.001 </w:t>
      </w:r>
      <w:r>
        <w:rPr/>
        <w:t>元，小数点后第 </w:t>
      </w:r>
      <w:r>
        <w:rPr>
          <w:rFonts w:ascii="Calibri" w:eastAsia="Calibri"/>
        </w:rPr>
        <w:t>4 </w:t>
      </w:r>
      <w:r>
        <w:rPr/>
        <w:t>位四舍五入。国家另有规定的，从其规定。</w:t>
      </w:r>
    </w:p>
    <w:p>
      <w:pPr>
        <w:pStyle w:val="BodyText"/>
        <w:ind w:left="960"/>
      </w:pPr>
      <w:r>
        <w:rPr/>
        <w:t>每个工作日计算基金资产净值及基金份额净值，并按规定公告。</w:t>
      </w:r>
    </w:p>
    <w:p>
      <w:pPr>
        <w:pStyle w:val="BodyText"/>
        <w:spacing w:before="7"/>
        <w:rPr>
          <w:sz w:val="15"/>
        </w:rPr>
      </w:pPr>
    </w:p>
    <w:p>
      <w:pPr>
        <w:pStyle w:val="BodyText"/>
        <w:spacing w:line="417" w:lineRule="auto"/>
        <w:ind w:left="540" w:right="770" w:firstLine="419"/>
        <w:jc w:val="both"/>
      </w:pPr>
      <w:r>
        <w:rPr>
          <w:rFonts w:ascii="Calibri" w:eastAsia="Calibri"/>
        </w:rPr>
        <w:t>2</w:t>
      </w:r>
      <w:r>
        <w:rPr>
          <w:spacing w:val="-3"/>
        </w:rPr>
        <w:t>、基金管理人应每个估值日对基金资产估值。但基金管理人根据法律法规或基金合同</w:t>
      </w:r>
      <w:r>
        <w:rPr>
          <w:spacing w:val="-10"/>
        </w:rPr>
        <w:t>的规定暂停估值时除外。基金管理人每个估值日的下一工作日内对基金资产估值后，将基金</w:t>
      </w:r>
      <w:r>
        <w:rPr>
          <w:spacing w:val="-5"/>
        </w:rPr>
        <w:t>份额净值结果发送基金托管人，经基金托管人复核无误后，由基金管理人按规定对外公布。</w:t>
      </w:r>
    </w:p>
    <w:p>
      <w:pPr>
        <w:pStyle w:val="BodyText"/>
        <w:spacing w:line="269" w:lineRule="exact"/>
        <w:ind w:left="960"/>
      </w:pPr>
      <w:r>
        <w:rPr/>
        <w:t>（五）估值错误的处理</w:t>
      </w:r>
    </w:p>
    <w:p>
      <w:pPr>
        <w:pStyle w:val="BodyText"/>
        <w:spacing w:before="6"/>
        <w:rPr>
          <w:sz w:val="15"/>
        </w:rPr>
      </w:pPr>
    </w:p>
    <w:p>
      <w:pPr>
        <w:pStyle w:val="BodyText"/>
        <w:spacing w:line="417" w:lineRule="auto" w:before="1"/>
        <w:ind w:left="540" w:right="768" w:firstLine="419"/>
      </w:pPr>
      <w:r>
        <w:rPr>
          <w:spacing w:val="-3"/>
        </w:rPr>
        <w:t>基金管理人和基金托管人将采取必要、适当、合理的措施确保基金资产估值的准确性、</w:t>
      </w:r>
      <w:r>
        <w:rPr>
          <w:spacing w:val="-10"/>
        </w:rPr>
        <w:t>及时性。当基金份额净值小数点后 </w:t>
      </w:r>
      <w:r>
        <w:rPr>
          <w:rFonts w:ascii="Calibri" w:eastAsia="Calibri"/>
        </w:rPr>
        <w:t>3 </w:t>
      </w:r>
      <w:r>
        <w:rPr>
          <w:spacing w:val="-11"/>
        </w:rPr>
        <w:t>位以内</w:t>
      </w:r>
      <w:r>
        <w:rPr/>
        <w:t>（</w:t>
      </w:r>
      <w:r>
        <w:rPr>
          <w:spacing w:val="-18"/>
        </w:rPr>
        <w:t>含第 </w:t>
      </w:r>
      <w:r>
        <w:rPr>
          <w:rFonts w:ascii="Calibri" w:eastAsia="Calibri"/>
        </w:rPr>
        <w:t>3 </w:t>
      </w:r>
      <w:r>
        <w:rPr>
          <w:spacing w:val="-3"/>
        </w:rPr>
        <w:t>位</w:t>
      </w:r>
      <w:r>
        <w:rPr>
          <w:spacing w:val="-25"/>
        </w:rPr>
        <w:t>）</w:t>
      </w:r>
      <w:r>
        <w:rPr>
          <w:spacing w:val="-6"/>
        </w:rPr>
        <w:t>发生估值错误时，视为基金份额净</w:t>
      </w:r>
      <w:r>
        <w:rPr>
          <w:spacing w:val="-4"/>
        </w:rPr>
        <w:t>值错误。</w:t>
      </w:r>
    </w:p>
    <w:p>
      <w:pPr>
        <w:pStyle w:val="BodyText"/>
        <w:ind w:left="960"/>
      </w:pPr>
      <w:r>
        <w:rPr/>
        <w:t>基金合同的当事人应按照以下约定处理：</w:t>
      </w:r>
    </w:p>
    <w:p>
      <w:pPr>
        <w:pStyle w:val="BodyText"/>
        <w:spacing w:before="6"/>
        <w:rPr>
          <w:sz w:val="15"/>
        </w:rPr>
      </w:pPr>
    </w:p>
    <w:p>
      <w:pPr>
        <w:pStyle w:val="BodyText"/>
        <w:ind w:left="960"/>
      </w:pPr>
      <w:r>
        <w:rPr>
          <w:rFonts w:ascii="Calibri" w:eastAsia="Calibri"/>
        </w:rPr>
        <w:t>1</w:t>
      </w:r>
      <w:r>
        <w:rPr/>
        <w:t>、估值错误类型</w:t>
      </w:r>
    </w:p>
    <w:p>
      <w:pPr>
        <w:pStyle w:val="BodyText"/>
        <w:spacing w:before="7"/>
        <w:rPr>
          <w:sz w:val="15"/>
        </w:rPr>
      </w:pPr>
    </w:p>
    <w:p>
      <w:pPr>
        <w:pStyle w:val="BodyText"/>
        <w:spacing w:line="417" w:lineRule="auto"/>
        <w:ind w:left="540" w:right="768"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投资人自身的过错造成估值错误，导致其他当事人遭受损失的，过错的责任人应当对由于该估值错误遭受损失当事人（“受损方”）的直接损失按下述</w:t>
      </w:r>
      <w:r>
        <w:rPr>
          <w:rFonts w:ascii="Calibri" w:hAnsi="Calibri" w:eastAsia="Calibri"/>
          <w:spacing w:val="-10"/>
        </w:rPr>
        <w:t>“</w:t>
      </w:r>
      <w:r>
        <w:rPr>
          <w:spacing w:val="-10"/>
        </w:rPr>
        <w:t>估值错误处理原则</w:t>
      </w:r>
      <w:r>
        <w:rPr>
          <w:rFonts w:ascii="Calibri" w:hAnsi="Calibri" w:eastAsia="Calibri"/>
          <w:spacing w:val="-10"/>
        </w:rPr>
        <w:t>”</w:t>
      </w:r>
      <w:r>
        <w:rPr>
          <w:spacing w:val="-12"/>
        </w:rPr>
        <w:t>给予赔偿， </w:t>
      </w:r>
      <w:r>
        <w:rPr>
          <w:spacing w:val="-2"/>
        </w:rPr>
        <w:t>承担赔偿责任。</w:t>
      </w:r>
    </w:p>
    <w:p>
      <w:pPr>
        <w:pStyle w:val="BodyText"/>
        <w:spacing w:line="417" w:lineRule="auto"/>
        <w:ind w:left="540" w:right="87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Calibri" w:eastAsia="Calibri"/>
        </w:rPr>
        <w:t>2</w:t>
      </w:r>
      <w:r>
        <w:rPr/>
        <w:t>、估值错误处理原则</w:t>
      </w:r>
    </w:p>
    <w:p>
      <w:pPr>
        <w:pStyle w:val="BodyText"/>
        <w:spacing w:before="7"/>
        <w:rPr>
          <w:sz w:val="15"/>
        </w:rPr>
      </w:pPr>
    </w:p>
    <w:p>
      <w:pPr>
        <w:pStyle w:val="ListParagraph"/>
        <w:numPr>
          <w:ilvl w:val="0"/>
          <w:numId w:val="26"/>
        </w:numPr>
        <w:tabs>
          <w:tab w:pos="1492" w:val="left" w:leader="none"/>
        </w:tabs>
        <w:spacing w:line="417" w:lineRule="auto" w:before="0" w:after="0"/>
        <w:ind w:left="540" w:right="87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spacing w:after="0" w:line="417" w:lineRule="auto"/>
        <w:jc w:val="both"/>
        <w:rPr>
          <w:sz w:val="21"/>
        </w:rPr>
        <w:sectPr>
          <w:pgSz w:w="11910" w:h="16840"/>
          <w:pgMar w:header="872" w:footer="995" w:top="1100" w:bottom="1180" w:left="1260" w:right="920"/>
        </w:sectPr>
      </w:pPr>
    </w:p>
    <w:p>
      <w:pPr>
        <w:pStyle w:val="BodyText"/>
        <w:spacing w:before="4"/>
        <w:rPr>
          <w:sz w:val="27"/>
        </w:rPr>
      </w:pPr>
    </w:p>
    <w:p>
      <w:pPr>
        <w:pStyle w:val="ListParagraph"/>
        <w:numPr>
          <w:ilvl w:val="0"/>
          <w:numId w:val="26"/>
        </w:numPr>
        <w:tabs>
          <w:tab w:pos="1492" w:val="left" w:leader="none"/>
        </w:tabs>
        <w:spacing w:line="417" w:lineRule="auto" w:before="71" w:after="0"/>
        <w:ind w:left="540" w:right="87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492" w:val="left" w:leader="none"/>
        </w:tabs>
        <w:spacing w:line="417" w:lineRule="auto" w:before="0" w:after="0"/>
        <w:ind w:left="540" w:right="871"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4"/>
          <w:w w:val="100"/>
          <w:sz w:val="21"/>
        </w:rPr>
        <w:t>造成其他当事人的利益损失</w:t>
      </w:r>
      <w:r>
        <w:rPr>
          <w:w w:val="100"/>
          <w:sz w:val="21"/>
        </w:rPr>
        <w:t>（</w:t>
      </w:r>
      <w:r>
        <w:rPr>
          <w:spacing w:val="-3"/>
          <w:w w:val="100"/>
          <w:sz w:val="21"/>
        </w:rPr>
        <w:t>“受损方”</w:t>
      </w:r>
      <w:r>
        <w:rPr>
          <w:spacing w:val="-106"/>
          <w:w w:val="100"/>
          <w:sz w:val="21"/>
        </w:rPr>
        <w:t>）</w:t>
      </w:r>
      <w:r>
        <w:rPr>
          <w:spacing w:val="-3"/>
          <w:w w:val="100"/>
          <w:sz w:val="21"/>
        </w:rPr>
        <w:t>，则估值错误责任方应赔偿受损方的损失，并在</w:t>
      </w:r>
      <w:r>
        <w:rPr>
          <w:spacing w:val="-6"/>
          <w:sz w:val="21"/>
        </w:rPr>
        <w:t>其支付的赔偿金额的范围内对获得不当得利的当事人享有要求交付不当得利的权利；如果获</w:t>
      </w:r>
      <w:r>
        <w:rPr>
          <w:spacing w:val="-8"/>
          <w:sz w:val="21"/>
        </w:rPr>
        <w:t>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6"/>
        </w:numPr>
        <w:tabs>
          <w:tab w:pos="1490" w:val="left" w:leader="none"/>
        </w:tabs>
        <w:spacing w:line="268" w:lineRule="exact" w:before="0" w:after="0"/>
        <w:ind w:left="1489" w:right="0" w:hanging="530"/>
        <w:jc w:val="left"/>
        <w:rPr>
          <w:sz w:val="21"/>
        </w:rPr>
      </w:pPr>
      <w:r>
        <w:rPr>
          <w:spacing w:val="-3"/>
          <w:sz w:val="21"/>
        </w:rPr>
        <w:t>估值错误调整采用尽量恢复至假设未发生估值错误的正确情形的方式。</w:t>
      </w:r>
    </w:p>
    <w:p>
      <w:pPr>
        <w:pStyle w:val="BodyText"/>
        <w:spacing w:before="7"/>
        <w:rPr>
          <w:sz w:val="15"/>
        </w:rPr>
      </w:pPr>
    </w:p>
    <w:p>
      <w:pPr>
        <w:pStyle w:val="BodyText"/>
        <w:ind w:left="960"/>
      </w:pPr>
      <w:r>
        <w:rPr>
          <w:rFonts w:ascii="Calibri" w:eastAsia="Calibri"/>
        </w:rPr>
        <w:t>3</w:t>
      </w:r>
      <w:r>
        <w:rPr/>
        <w:t>、估值错误处理程序</w:t>
      </w:r>
    </w:p>
    <w:p>
      <w:pPr>
        <w:pStyle w:val="BodyText"/>
        <w:spacing w:before="6"/>
        <w:rPr>
          <w:sz w:val="15"/>
        </w:rPr>
      </w:pPr>
    </w:p>
    <w:p>
      <w:pPr>
        <w:pStyle w:val="BodyText"/>
        <w:spacing w:before="1"/>
        <w:ind w:left="960"/>
      </w:pPr>
      <w:r>
        <w:rPr/>
        <w:t>估值错误被发现后，有关的当事人应当及时进行处理，处理的程序如下：</w:t>
      </w:r>
    </w:p>
    <w:p>
      <w:pPr>
        <w:pStyle w:val="BodyText"/>
        <w:spacing w:before="6"/>
        <w:rPr>
          <w:sz w:val="15"/>
        </w:rPr>
      </w:pPr>
    </w:p>
    <w:p>
      <w:pPr>
        <w:pStyle w:val="ListParagraph"/>
        <w:numPr>
          <w:ilvl w:val="0"/>
          <w:numId w:val="27"/>
        </w:numPr>
        <w:tabs>
          <w:tab w:pos="1492" w:val="left" w:leader="none"/>
        </w:tabs>
        <w:spacing w:line="417" w:lineRule="auto" w:before="0" w:after="0"/>
        <w:ind w:left="540" w:right="873"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490" w:val="left" w:leader="none"/>
        </w:tabs>
        <w:spacing w:line="240" w:lineRule="auto" w:before="0" w:after="0"/>
        <w:ind w:left="148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7"/>
        </w:numPr>
        <w:tabs>
          <w:tab w:pos="1492" w:val="left" w:leader="none"/>
        </w:tabs>
        <w:spacing w:line="417" w:lineRule="auto" w:before="0" w:after="0"/>
        <w:ind w:left="540" w:right="87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492" w:val="left" w:leader="none"/>
        </w:tabs>
        <w:spacing w:line="417" w:lineRule="auto" w:before="0" w:after="0"/>
        <w:ind w:left="540" w:right="87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960"/>
      </w:pPr>
      <w:r>
        <w:rPr>
          <w:rFonts w:ascii="Calibri" w:eastAsia="Calibri"/>
        </w:rPr>
        <w:t>4</w:t>
      </w:r>
      <w:r>
        <w:rPr/>
        <w:t>、基金份额净值估值错误处理的方法如下：</w:t>
      </w:r>
    </w:p>
    <w:p>
      <w:pPr>
        <w:pStyle w:val="BodyText"/>
        <w:spacing w:before="6"/>
        <w:rPr>
          <w:sz w:val="15"/>
        </w:rPr>
      </w:pPr>
    </w:p>
    <w:p>
      <w:pPr>
        <w:pStyle w:val="ListParagraph"/>
        <w:numPr>
          <w:ilvl w:val="0"/>
          <w:numId w:val="28"/>
        </w:numPr>
        <w:tabs>
          <w:tab w:pos="1492" w:val="left" w:leader="none"/>
        </w:tabs>
        <w:spacing w:line="417" w:lineRule="auto" w:before="0" w:after="0"/>
        <w:ind w:left="540" w:right="87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492" w:val="left" w:leader="none"/>
        </w:tabs>
        <w:spacing w:line="417" w:lineRule="auto" w:before="1" w:after="0"/>
        <w:ind w:left="540" w:right="874" w:firstLine="419"/>
        <w:jc w:val="left"/>
        <w:rPr>
          <w:sz w:val="21"/>
        </w:rPr>
      </w:pPr>
      <w:r>
        <w:rPr>
          <w:spacing w:val="-1"/>
          <w:sz w:val="21"/>
        </w:rPr>
        <w:t>错误偏差达到基金份额净值的 </w:t>
      </w:r>
      <w:r>
        <w:rPr>
          <w:rFonts w:ascii="Calibri" w:eastAsia="Calibri"/>
          <w:sz w:val="21"/>
        </w:rPr>
        <w:t>0.25%</w:t>
      </w:r>
      <w:r>
        <w:rPr>
          <w:spacing w:val="-3"/>
          <w:sz w:val="21"/>
        </w:rPr>
        <w:t>时，基金管理人应当通报基金托管人并报中</w:t>
      </w:r>
      <w:r>
        <w:rPr>
          <w:spacing w:val="-6"/>
          <w:sz w:val="21"/>
        </w:rPr>
        <w:t>国证监会备案；错误偏差达到基金份额净值的 </w:t>
      </w:r>
      <w:r>
        <w:rPr>
          <w:rFonts w:ascii="Calibri" w:eastAsia="Calibri"/>
          <w:sz w:val="21"/>
        </w:rPr>
        <w:t>0.5%</w:t>
      </w:r>
      <w:r>
        <w:rPr>
          <w:spacing w:val="-3"/>
          <w:sz w:val="21"/>
        </w:rPr>
        <w:t>时，基金管理人应当公告。</w:t>
      </w:r>
    </w:p>
    <w:p>
      <w:pPr>
        <w:pStyle w:val="ListParagraph"/>
        <w:numPr>
          <w:ilvl w:val="0"/>
          <w:numId w:val="28"/>
        </w:numPr>
        <w:tabs>
          <w:tab w:pos="1490" w:val="left" w:leader="none"/>
        </w:tabs>
        <w:spacing w:line="269" w:lineRule="exact" w:before="0" w:after="0"/>
        <w:ind w:left="148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spacing w:before="1"/>
        <w:ind w:left="960"/>
      </w:pPr>
      <w:r>
        <w:rPr/>
        <w:t>（六）暂停估值的情形</w:t>
      </w:r>
    </w:p>
    <w:p>
      <w:pPr>
        <w:pStyle w:val="BodyText"/>
        <w:spacing w:before="6"/>
        <w:rPr>
          <w:sz w:val="15"/>
        </w:rPr>
      </w:pPr>
    </w:p>
    <w:p>
      <w:pPr>
        <w:pStyle w:val="BodyText"/>
        <w:ind w:left="960"/>
      </w:pPr>
      <w:r>
        <w:rPr>
          <w:rFonts w:ascii="Calibri" w:eastAsia="Calibri"/>
        </w:rPr>
        <w:t>1</w:t>
      </w:r>
      <w:r>
        <w:rPr/>
        <w:t>、基金投资涉及的重要证券交易市场遇法定节假日或因其他原因停市时。</w:t>
      </w:r>
    </w:p>
    <w:p>
      <w:pPr>
        <w:pStyle w:val="BodyText"/>
        <w:spacing w:before="7"/>
        <w:rPr>
          <w:sz w:val="15"/>
        </w:rPr>
      </w:pPr>
    </w:p>
    <w:p>
      <w:pPr>
        <w:pStyle w:val="BodyText"/>
        <w:ind w:left="960"/>
      </w:pPr>
      <w:r>
        <w:rPr>
          <w:rFonts w:ascii="Calibri" w:eastAsia="Calibri"/>
        </w:rPr>
        <w:t>2</w:t>
      </w:r>
      <w:r>
        <w:rPr/>
        <w:t>、因不可抗力致使基金管理人、基金托管人无法准确评估基金资产价值时。</w:t>
      </w:r>
    </w:p>
    <w:p>
      <w:pPr>
        <w:pStyle w:val="BodyText"/>
        <w:spacing w:before="7"/>
        <w:rPr>
          <w:sz w:val="15"/>
        </w:rPr>
      </w:pPr>
    </w:p>
    <w:p>
      <w:pPr>
        <w:pStyle w:val="BodyText"/>
        <w:spacing w:line="417" w:lineRule="auto"/>
        <w:ind w:left="540" w:right="871" w:firstLine="419"/>
      </w:pPr>
      <w:r>
        <w:rPr>
          <w:rFonts w:ascii="Calibri" w:eastAsia="Calibri"/>
        </w:rPr>
        <w:t>3</w:t>
      </w:r>
      <w:r>
        <w:rPr>
          <w:spacing w:val="-4"/>
        </w:rPr>
        <w:t>、当前一估值日基金资产净值 </w:t>
      </w:r>
      <w:r>
        <w:rPr>
          <w:rFonts w:ascii="Calibri" w:eastAsia="Calibri"/>
        </w:rPr>
        <w:t>50%</w:t>
      </w:r>
      <w:r>
        <w:rPr>
          <w:spacing w:val="-3"/>
        </w:rPr>
        <w:t>以上的资产出现无可参考的活跃市场价格且采用估</w:t>
      </w:r>
      <w:r>
        <w:rPr>
          <w:spacing w:val="-8"/>
        </w:rPr>
        <w:t>值技术仍导致公允价值存在重大不确定性时，经与基金托管人协商确认后，基金管理人应当</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540"/>
      </w:pPr>
      <w:r>
        <w:rPr/>
        <w:t>暂停基金估值。</w:t>
      </w:r>
    </w:p>
    <w:p>
      <w:pPr>
        <w:pStyle w:val="BodyText"/>
        <w:spacing w:before="7"/>
        <w:rPr>
          <w:sz w:val="15"/>
        </w:rPr>
      </w:pPr>
    </w:p>
    <w:p>
      <w:pPr>
        <w:pStyle w:val="BodyText"/>
        <w:ind w:left="960"/>
      </w:pPr>
      <w:r>
        <w:rPr>
          <w:rFonts w:ascii="Calibri" w:eastAsia="Calibri"/>
        </w:rPr>
        <w:t>4</w:t>
      </w:r>
      <w:r>
        <w:rPr/>
        <w:t>、中国证监会和基金合同认定的其它情形。</w:t>
      </w:r>
    </w:p>
    <w:p>
      <w:pPr>
        <w:pStyle w:val="BodyText"/>
        <w:spacing w:before="7"/>
        <w:rPr>
          <w:sz w:val="15"/>
        </w:rPr>
      </w:pPr>
    </w:p>
    <w:p>
      <w:pPr>
        <w:pStyle w:val="BodyText"/>
        <w:ind w:left="960"/>
      </w:pPr>
      <w:r>
        <w:rPr/>
        <w:t>（七）基金净值的确认</w:t>
      </w:r>
    </w:p>
    <w:p>
      <w:pPr>
        <w:pStyle w:val="BodyText"/>
        <w:spacing w:before="6"/>
        <w:rPr>
          <w:sz w:val="15"/>
        </w:rPr>
      </w:pPr>
    </w:p>
    <w:p>
      <w:pPr>
        <w:pStyle w:val="BodyText"/>
        <w:spacing w:line="417" w:lineRule="auto" w:before="1"/>
        <w:ind w:left="540" w:right="768" w:firstLine="419"/>
      </w:pPr>
      <w:r>
        <w:rPr>
          <w:spacing w:val="-3"/>
        </w:rPr>
        <w:t>用于基金信息披露的基金净值信息由基金管理人负责计算，基金托管人负责进行复核。基金管理人应于每个估值日的下一工作日内计算估值日的基金资产净值和基金份额净值并 </w:t>
      </w:r>
      <w:r>
        <w:rPr>
          <w:spacing w:val="-11"/>
        </w:rPr>
        <w:t>发送给基金托管人。基金托管人对净值计算结果复核确认后发送给基金管理人，由基金管理</w:t>
      </w:r>
      <w:r>
        <w:rPr>
          <w:spacing w:val="-6"/>
        </w:rPr>
        <w:t>人对基金净值予以公布。</w:t>
      </w:r>
    </w:p>
    <w:p>
      <w:pPr>
        <w:pStyle w:val="BodyText"/>
        <w:ind w:left="960"/>
      </w:pPr>
      <w:r>
        <w:rPr/>
        <w:t>（八）特殊情况的处理</w:t>
      </w:r>
    </w:p>
    <w:p>
      <w:pPr>
        <w:pStyle w:val="BodyText"/>
        <w:spacing w:before="6"/>
        <w:rPr>
          <w:sz w:val="15"/>
        </w:rPr>
      </w:pPr>
    </w:p>
    <w:p>
      <w:pPr>
        <w:pStyle w:val="BodyText"/>
        <w:spacing w:line="417" w:lineRule="auto"/>
        <w:ind w:left="540" w:right="873" w:firstLine="419"/>
      </w:pPr>
      <w:r>
        <w:rPr>
          <w:rFonts w:ascii="Calibri" w:eastAsia="Calibri"/>
        </w:rPr>
        <w:t>1</w:t>
      </w:r>
      <w:r>
        <w:rPr>
          <w:spacing w:val="-11"/>
        </w:rPr>
        <w:t>、基金管理人或基金托管人按估值方法的第 </w:t>
      </w:r>
      <w:r>
        <w:rPr>
          <w:rFonts w:ascii="Calibri" w:eastAsia="Calibri"/>
        </w:rPr>
        <w:t>13 </w:t>
      </w:r>
      <w:r>
        <w:rPr>
          <w:spacing w:val="-9"/>
        </w:rPr>
        <w:t>项进行估值时，所造成的误差不作为基</w:t>
      </w:r>
      <w:r>
        <w:rPr>
          <w:spacing w:val="-5"/>
        </w:rPr>
        <w:t>金资产估值错误处理。</w:t>
      </w:r>
    </w:p>
    <w:p>
      <w:pPr>
        <w:pStyle w:val="BodyText"/>
        <w:spacing w:line="417" w:lineRule="auto"/>
        <w:ind w:left="540" w:right="873" w:firstLine="419"/>
      </w:pPr>
      <w:r>
        <w:rPr>
          <w:rFonts w:ascii="Calibri" w:eastAsia="Calibri"/>
        </w:rPr>
        <w:t>2</w:t>
      </w:r>
      <w:r>
        <w:rPr/>
        <w:t>、对于因税收规定调整或其他原因导致基金实际交纳税金与基金按照权责发生制进行估值的应交税金有差异的，相关估值调整不作为基金资产估值错误处理。</w:t>
      </w:r>
    </w:p>
    <w:p>
      <w:pPr>
        <w:pStyle w:val="BodyText"/>
        <w:spacing w:line="417" w:lineRule="auto"/>
        <w:ind w:left="540" w:right="871" w:firstLine="419"/>
        <w:jc w:val="both"/>
      </w:pPr>
      <w:r>
        <w:rPr>
          <w:rFonts w:ascii="Calibri" w:eastAsia="Calibri"/>
        </w:rPr>
        <w:t>3</w:t>
      </w:r>
      <w:r>
        <w:rPr>
          <w:spacing w:val="-3"/>
        </w:rPr>
        <w:t>、全球投资涉及不同市场及时区，由于时差、通讯或其他非可控的客观原因，在本基</w:t>
      </w:r>
      <w:r>
        <w:rPr>
          <w:spacing w:val="-7"/>
        </w:rPr>
        <w:t>金管理人和本基金托管人协商一致的时间点前无法确认的交易，导致的对基金资产净值的影</w:t>
      </w:r>
      <w:r>
        <w:rPr>
          <w:spacing w:val="-5"/>
        </w:rPr>
        <w:t>响，不作为基金资产估值错误处理。</w:t>
      </w:r>
    </w:p>
    <w:p>
      <w:pPr>
        <w:pStyle w:val="BodyText"/>
        <w:spacing w:line="417" w:lineRule="auto"/>
        <w:ind w:left="540" w:right="871" w:firstLine="419"/>
        <w:jc w:val="both"/>
      </w:pPr>
      <w:r>
        <w:rPr>
          <w:rFonts w:ascii="Calibri" w:eastAsia="Calibri"/>
        </w:rPr>
        <w:t>4</w:t>
      </w:r>
      <w:r>
        <w:rPr>
          <w:spacing w:val="-3"/>
        </w:rPr>
        <w:t>、由于其他不可抗力原因，或由于数据服务机构提供的数据错误，或数据来源受到限</w:t>
      </w:r>
      <w:r>
        <w:rPr>
          <w:spacing w:val="-10"/>
        </w:rPr>
        <w:t>制等，基金管理人和基金托管人虽然已经采取必要、适当、合理的措施进行检查，但是未能</w:t>
      </w:r>
      <w:r>
        <w:rPr>
          <w:spacing w:val="-12"/>
        </w:rPr>
        <w:t>发现该错误的，由此造成的基金资产估值错误，基金管理人和基金托管人免除赔偿责任。但</w:t>
      </w:r>
      <w:r>
        <w:rPr>
          <w:spacing w:val="-6"/>
        </w:rPr>
        <w:t>基金管理人和基金托管人应当积极采取必要的措施消除或减轻由此造成的影响。</w:t>
      </w:r>
    </w:p>
    <w:p>
      <w:pPr>
        <w:pStyle w:val="BodyText"/>
        <w:spacing w:before="6"/>
        <w:rPr>
          <w:sz w:val="26"/>
        </w:rPr>
      </w:pPr>
    </w:p>
    <w:p>
      <w:pPr>
        <w:pStyle w:val="Heading1"/>
        <w:spacing w:before="1"/>
        <w:ind w:left="413"/>
      </w:pPr>
      <w:bookmarkStart w:name="_bookmark12" w:id="13"/>
      <w:bookmarkEnd w:id="13"/>
      <w:r>
        <w:rPr>
          <w:b w:val="0"/>
        </w:rPr>
      </w:r>
      <w:r>
        <w:rPr/>
        <w:t>十三、基金的收益与分配</w:t>
      </w:r>
    </w:p>
    <w:p>
      <w:pPr>
        <w:pStyle w:val="BodyText"/>
        <w:rPr>
          <w:b/>
          <w:sz w:val="20"/>
        </w:rPr>
      </w:pPr>
    </w:p>
    <w:p>
      <w:pPr>
        <w:pStyle w:val="BodyText"/>
        <w:spacing w:before="2"/>
        <w:rPr>
          <w:b/>
        </w:rPr>
      </w:pPr>
    </w:p>
    <w:p>
      <w:pPr>
        <w:pStyle w:val="BodyText"/>
        <w:spacing w:before="1"/>
        <w:ind w:left="960"/>
      </w:pPr>
      <w:r>
        <w:rPr/>
        <w:t>（一）基金利润的构成</w:t>
      </w:r>
    </w:p>
    <w:p>
      <w:pPr>
        <w:pStyle w:val="BodyText"/>
        <w:spacing w:before="6"/>
        <w:rPr>
          <w:sz w:val="15"/>
        </w:rPr>
      </w:pPr>
    </w:p>
    <w:p>
      <w:pPr>
        <w:pStyle w:val="BodyText"/>
        <w:spacing w:line="417" w:lineRule="auto"/>
        <w:ind w:left="540" w:right="871" w:firstLine="419"/>
      </w:pPr>
      <w:r>
        <w:rPr>
          <w:spacing w:val="-10"/>
        </w:rPr>
        <w:t>基金利润指基金利息收入、投资收益、公允价值变动收益和其他收入扣除相关费用后的</w:t>
      </w:r>
      <w:r>
        <w:rPr>
          <w:spacing w:val="-5"/>
        </w:rPr>
        <w:t>余额，基金已实现收益指基金利润减去公允价值变动收益后的余额。</w:t>
      </w:r>
    </w:p>
    <w:p>
      <w:pPr>
        <w:pStyle w:val="BodyText"/>
        <w:spacing w:line="269" w:lineRule="exact"/>
        <w:ind w:left="960"/>
      </w:pPr>
      <w:r>
        <w:rPr/>
        <w:t>（二）基金可供分配利润</w:t>
      </w:r>
    </w:p>
    <w:p>
      <w:pPr>
        <w:pStyle w:val="BodyText"/>
        <w:spacing w:before="7"/>
        <w:rPr>
          <w:sz w:val="15"/>
        </w:rPr>
      </w:pPr>
    </w:p>
    <w:p>
      <w:pPr>
        <w:pStyle w:val="BodyText"/>
        <w:spacing w:line="417" w:lineRule="auto"/>
        <w:ind w:left="540" w:right="874" w:firstLine="419"/>
      </w:pPr>
      <w:r>
        <w:rPr/>
        <w:t>基金可供分配利润指截至收益分配基准日基金未分配利润与未分配利润中已实现收益的孰低数。</w:t>
      </w:r>
    </w:p>
    <w:p>
      <w:pPr>
        <w:pStyle w:val="BodyText"/>
        <w:spacing w:line="269" w:lineRule="exact"/>
        <w:ind w:left="960"/>
      </w:pPr>
      <w:r>
        <w:rPr/>
        <w:t>（三）基金收益分配原则</w:t>
      </w:r>
    </w:p>
    <w:p>
      <w:pPr>
        <w:pStyle w:val="BodyText"/>
        <w:spacing w:before="7"/>
        <w:rPr>
          <w:sz w:val="15"/>
        </w:rPr>
      </w:pPr>
    </w:p>
    <w:p>
      <w:pPr>
        <w:pStyle w:val="BodyText"/>
        <w:ind w:left="960"/>
      </w:pPr>
      <w:r>
        <w:rPr>
          <w:rFonts w:ascii="Calibri" w:eastAsia="Calibri"/>
        </w:rPr>
        <w:t>1</w:t>
      </w:r>
      <w:r>
        <w:rPr/>
        <w:t>、在符合有关基金分红条件的前提下，每季度末最后一个自然日某基金份额类别对应</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jc w:val="both"/>
      </w:pPr>
      <w:r>
        <w:rPr>
          <w:spacing w:val="-5"/>
        </w:rPr>
        <w:t>的每份基金份额可供分配利润超过 </w:t>
      </w:r>
      <w:r>
        <w:rPr>
          <w:rFonts w:ascii="Calibri" w:eastAsia="Calibri"/>
        </w:rPr>
        <w:t>0.01 </w:t>
      </w:r>
      <w:r>
        <w:rPr>
          <w:spacing w:val="-5"/>
        </w:rPr>
        <w:t>元时，该基金份额类别下一季度至少分配 </w:t>
      </w:r>
      <w:r>
        <w:rPr>
          <w:rFonts w:ascii="Calibri" w:eastAsia="Calibri"/>
        </w:rPr>
        <w:t>1 </w:t>
      </w:r>
      <w:r>
        <w:rPr>
          <w:spacing w:val="-2"/>
        </w:rPr>
        <w:t>次；每</w:t>
      </w:r>
      <w:r>
        <w:rPr>
          <w:spacing w:val="-4"/>
        </w:rPr>
        <w:t>次基金收益分配比例不得低于该基金份额类别期末可供分配利润的 </w:t>
      </w:r>
      <w:r>
        <w:rPr>
          <w:rFonts w:ascii="Calibri" w:eastAsia="Calibri"/>
          <w:spacing w:val="-9"/>
        </w:rPr>
        <w:t>60%</w:t>
      </w:r>
      <w:r>
        <w:rPr>
          <w:spacing w:val="-11"/>
        </w:rPr>
        <w:t>，若《基金合同》生</w:t>
      </w:r>
      <w:r>
        <w:rPr>
          <w:spacing w:val="-18"/>
        </w:rPr>
        <w:t>效不满 </w:t>
      </w:r>
      <w:r>
        <w:rPr>
          <w:rFonts w:ascii="Calibri" w:eastAsia="Calibri"/>
        </w:rPr>
        <w:t>3 </w:t>
      </w:r>
      <w:r>
        <w:rPr>
          <w:spacing w:val="-3"/>
        </w:rPr>
        <w:t>个月可不进行收益分配。</w:t>
      </w:r>
    </w:p>
    <w:p>
      <w:pPr>
        <w:pStyle w:val="BodyText"/>
        <w:spacing w:line="417" w:lineRule="auto"/>
        <w:ind w:left="540" w:right="873" w:firstLine="419"/>
      </w:pPr>
      <w:r>
        <w:rPr>
          <w:rFonts w:ascii="Calibri" w:eastAsia="Calibri"/>
        </w:rPr>
        <w:t>2</w:t>
      </w:r>
      <w:r>
        <w:rPr>
          <w:spacing w:val="-8"/>
        </w:rPr>
        <w:t>、基金收益分配币种与其对应份额的认购</w:t>
      </w:r>
      <w:r>
        <w:rPr>
          <w:rFonts w:ascii="Calibri" w:eastAsia="Calibri"/>
        </w:rPr>
        <w:t>/</w:t>
      </w:r>
      <w:r>
        <w:rPr>
          <w:spacing w:val="-8"/>
        </w:rPr>
        <w:t>申购币种相同。美元收益分配金额按除权日</w:t>
      </w:r>
      <w:r>
        <w:rPr>
          <w:spacing w:val="-5"/>
        </w:rPr>
        <w:t>中国人民银行最新公布的人民币对美元汇率中间价折算为相应的美元金额。</w:t>
      </w:r>
    </w:p>
    <w:p>
      <w:pPr>
        <w:pStyle w:val="BodyText"/>
        <w:spacing w:line="417" w:lineRule="auto"/>
        <w:ind w:left="540" w:right="765" w:firstLine="419"/>
      </w:pPr>
      <w:r>
        <w:rPr>
          <w:rFonts w:ascii="Calibri" w:eastAsia="Calibri"/>
        </w:rPr>
        <w:t>3</w:t>
      </w:r>
      <w:r>
        <w:rPr>
          <w:spacing w:val="-3"/>
        </w:rPr>
        <w:t>、本基金收益分配方式分两种：现金分红与红利再投资，基金份额持有人可对 </w:t>
      </w:r>
      <w:r>
        <w:rPr>
          <w:rFonts w:ascii="Calibri" w:eastAsia="Calibri"/>
        </w:rPr>
        <w:t>A</w:t>
      </w:r>
      <w:r>
        <w:rPr>
          <w:rFonts w:ascii="Calibri" w:eastAsia="Calibri"/>
          <w:spacing w:val="26"/>
        </w:rPr>
        <w:t> </w:t>
      </w:r>
      <w:r>
        <w:rPr/>
        <w:t>类、</w:t>
      </w:r>
      <w:r>
        <w:rPr>
          <w:rFonts w:ascii="Calibri" w:eastAsia="Calibri"/>
        </w:rPr>
        <w:t>C</w:t>
      </w:r>
      <w:r>
        <w:rPr>
          <w:rFonts w:ascii="Calibri" w:eastAsia="Calibri"/>
          <w:spacing w:val="18"/>
        </w:rPr>
        <w:t> </w:t>
      </w:r>
      <w:r>
        <w:rPr>
          <w:spacing w:val="-6"/>
        </w:rPr>
        <w:t>类基金份额分别选择不同的分红方式，选择采取红利再投资形式的，同一类别基金份额的</w:t>
      </w:r>
      <w:r>
        <w:rPr>
          <w:spacing w:val="-8"/>
        </w:rPr>
        <w:t>分红资金将按分红权益再投资日</w:t>
      </w:r>
      <w:r>
        <w:rPr/>
        <w:t>（</w:t>
      </w:r>
      <w:r>
        <w:rPr>
          <w:spacing w:val="-3"/>
        </w:rPr>
        <w:t>具体以届时的基金分红公告为准</w:t>
      </w:r>
      <w:r>
        <w:rPr>
          <w:spacing w:val="-48"/>
        </w:rPr>
        <w:t>）</w:t>
      </w:r>
      <w:r>
        <w:rPr>
          <w:spacing w:val="-3"/>
        </w:rPr>
        <w:t>该类别的基金份额净值转为相应的基金份额进行再投资，美元认购</w:t>
      </w:r>
      <w:r>
        <w:rPr>
          <w:rFonts w:ascii="Calibri" w:eastAsia="Calibri"/>
        </w:rPr>
        <w:t>/</w:t>
      </w:r>
      <w:r>
        <w:rPr>
          <w:spacing w:val="-2"/>
        </w:rPr>
        <w:t>申购份额的红利再投资按所对应的美元折算净</w:t>
      </w:r>
      <w:r>
        <w:rPr>
          <w:spacing w:val="-3"/>
        </w:rPr>
        <w:t>值为基准计算；若投资者不选择，本基金默认的收益分配方式是现金分红。</w:t>
      </w:r>
    </w:p>
    <w:p>
      <w:pPr>
        <w:pStyle w:val="BodyText"/>
        <w:spacing w:line="417" w:lineRule="auto"/>
        <w:ind w:left="540" w:right="874" w:firstLine="419"/>
      </w:pPr>
      <w:r>
        <w:rPr>
          <w:rFonts w:ascii="Calibri" w:eastAsia="Calibri"/>
        </w:rPr>
        <w:t>4</w:t>
      </w:r>
      <w:r>
        <w:rPr/>
        <w:t>、基金收益分配后基金份额净值不能低于面值；即基金收益分配基准日的基金份额净值减去每单位基金份额收益分配金额后不能低于面值。</w:t>
      </w:r>
    </w:p>
    <w:p>
      <w:pPr>
        <w:pStyle w:val="BodyText"/>
        <w:spacing w:line="417" w:lineRule="auto"/>
        <w:ind w:left="540" w:right="871" w:firstLine="419"/>
        <w:jc w:val="both"/>
      </w:pPr>
      <w:r>
        <w:rPr>
          <w:rFonts w:ascii="Calibri" w:eastAsia="Calibri"/>
        </w:rPr>
        <w:t>5</w:t>
      </w:r>
      <w:r>
        <w:rPr>
          <w:spacing w:val="-3"/>
        </w:rPr>
        <w:t>、由于基金费用的不同，不同类别的基金份额在触发分红的情况、收益分配数额等方</w:t>
      </w:r>
      <w:r>
        <w:rPr>
          <w:spacing w:val="-11"/>
        </w:rPr>
        <w:t>面可能有所不同，基金管理人可对各类别基金份额分别制定收益分配方案，同一类别内的每</w:t>
      </w:r>
      <w:r>
        <w:rPr>
          <w:spacing w:val="-6"/>
        </w:rPr>
        <w:t>一基金份额享有同等分配权。</w:t>
      </w:r>
    </w:p>
    <w:p>
      <w:pPr>
        <w:pStyle w:val="BodyText"/>
        <w:spacing w:line="417" w:lineRule="auto"/>
        <w:ind w:left="540" w:right="871" w:firstLine="419"/>
        <w:jc w:val="both"/>
      </w:pPr>
      <w:r>
        <w:rPr>
          <w:rFonts w:ascii="Calibri" w:eastAsia="Calibri"/>
        </w:rPr>
        <w:t>6</w:t>
      </w:r>
      <w:r>
        <w:rPr>
          <w:spacing w:val="-3"/>
        </w:rPr>
        <w:t>、收益分配时所发生的银行转账或其他手续费用应由投资者自行承担。当投资者的现</w:t>
      </w:r>
      <w:r>
        <w:rPr>
          <w:spacing w:val="-10"/>
        </w:rPr>
        <w:t>金红利小于一定金额，不足以支付银行转账或其他手续费用时，基金登记结算机构可将投资</w:t>
      </w:r>
      <w:r>
        <w:rPr>
          <w:spacing w:val="-8"/>
        </w:rPr>
        <w:t>者的现金红利按分红权益再投资日</w:t>
      </w:r>
      <w:r>
        <w:rPr>
          <w:spacing w:val="-3"/>
        </w:rPr>
        <w:t>（具体以届时的基金分红公告为准</w:t>
      </w:r>
      <w:r>
        <w:rPr>
          <w:spacing w:val="-51"/>
        </w:rPr>
        <w:t>）</w:t>
      </w:r>
      <w:r>
        <w:rPr>
          <w:spacing w:val="-3"/>
        </w:rPr>
        <w:t>该类别的基金份额净值（或美元折算净值</w:t>
      </w:r>
      <w:r>
        <w:rPr/>
        <w:t>）</w:t>
      </w:r>
      <w:r>
        <w:rPr>
          <w:spacing w:val="-3"/>
        </w:rPr>
        <w:t>转为相应的基金份额。</w:t>
      </w:r>
    </w:p>
    <w:p>
      <w:pPr>
        <w:pStyle w:val="BodyText"/>
        <w:spacing w:line="268" w:lineRule="exact"/>
        <w:ind w:left="960"/>
      </w:pPr>
      <w:r>
        <w:rPr>
          <w:rFonts w:ascii="Calibri" w:eastAsia="Calibri"/>
        </w:rPr>
        <w:t>7</w:t>
      </w:r>
      <w:r>
        <w:rPr/>
        <w:t>、法律法规或监管机关另有规定的，从其规定。</w:t>
      </w:r>
    </w:p>
    <w:p>
      <w:pPr>
        <w:pStyle w:val="BodyText"/>
        <w:spacing w:before="5"/>
        <w:rPr>
          <w:sz w:val="15"/>
        </w:rPr>
      </w:pPr>
    </w:p>
    <w:p>
      <w:pPr>
        <w:pStyle w:val="BodyText"/>
        <w:spacing w:line="417" w:lineRule="auto" w:before="1"/>
        <w:ind w:left="540" w:right="768" w:firstLine="419"/>
      </w:pPr>
      <w:r>
        <w:rPr/>
        <w:t>在不违反法律法规的情况下，基金管理人、登记机构可对基金收益分配原则进行调整， 不需召开基金份额持有人大会。</w:t>
      </w:r>
    </w:p>
    <w:p>
      <w:pPr>
        <w:pStyle w:val="BodyText"/>
        <w:ind w:left="960"/>
      </w:pPr>
      <w:r>
        <w:rPr/>
        <w:t>（四）收益分配方案</w:t>
      </w:r>
    </w:p>
    <w:p>
      <w:pPr>
        <w:pStyle w:val="BodyText"/>
        <w:spacing w:before="6"/>
        <w:rPr>
          <w:sz w:val="15"/>
        </w:rPr>
      </w:pPr>
    </w:p>
    <w:p>
      <w:pPr>
        <w:pStyle w:val="BodyText"/>
        <w:spacing w:line="417" w:lineRule="auto" w:before="1"/>
        <w:ind w:left="540" w:right="768" w:firstLine="419"/>
      </w:pPr>
      <w:r>
        <w:rPr/>
        <w:t>基金收益分配方案中应载明截止收益分配基准日的可供分配利润、基金收益分配对象、分配时间、分配数额及比例、分配方式等内容。</w:t>
      </w:r>
    </w:p>
    <w:p>
      <w:pPr>
        <w:pStyle w:val="BodyText"/>
        <w:spacing w:line="269" w:lineRule="exact"/>
        <w:ind w:left="960"/>
      </w:pPr>
      <w:r>
        <w:rPr/>
        <w:t>（五）收益分配方案的确定、公告与实施</w:t>
      </w:r>
    </w:p>
    <w:p>
      <w:pPr>
        <w:pStyle w:val="BodyText"/>
        <w:spacing w:before="6"/>
        <w:rPr>
          <w:sz w:val="15"/>
        </w:rPr>
      </w:pPr>
    </w:p>
    <w:p>
      <w:pPr>
        <w:pStyle w:val="BodyText"/>
        <w:spacing w:line="417" w:lineRule="auto"/>
        <w:ind w:left="540" w:right="871" w:firstLine="419"/>
      </w:pPr>
      <w:r>
        <w:rPr>
          <w:spacing w:val="-9"/>
        </w:rPr>
        <w:t>本基金收益分配方案由基金管理人拟定，并由基金托管人复核，在 </w:t>
      </w:r>
      <w:r>
        <w:rPr>
          <w:rFonts w:ascii="Calibri" w:eastAsia="Calibri"/>
        </w:rPr>
        <w:t>2 </w:t>
      </w:r>
      <w:r>
        <w:rPr>
          <w:spacing w:val="-3"/>
        </w:rPr>
        <w:t>日内在指定媒介公告。</w:t>
      </w:r>
    </w:p>
    <w:p>
      <w:pPr>
        <w:pStyle w:val="BodyText"/>
        <w:ind w:left="960"/>
      </w:pPr>
      <w:r>
        <w:rPr/>
        <w:t>基金红利发放日距离收益分配基准日（即可供分配利润计算截止日）的时间不得超过</w:t>
      </w:r>
    </w:p>
    <w:p>
      <w:pPr>
        <w:pStyle w:val="BodyText"/>
        <w:spacing w:before="7"/>
        <w:rPr>
          <w:sz w:val="15"/>
        </w:rPr>
      </w:pPr>
    </w:p>
    <w:p>
      <w:pPr>
        <w:pStyle w:val="BodyText"/>
        <w:ind w:left="540"/>
        <w:jc w:val="both"/>
      </w:pPr>
      <w:r>
        <w:rPr>
          <w:rFonts w:ascii="Calibri" w:eastAsia="Calibri"/>
        </w:rPr>
        <w:t>15 </w:t>
      </w:r>
      <w:r>
        <w:rPr/>
        <w:t>个工作日。</w:t>
      </w:r>
    </w:p>
    <w:p>
      <w:pPr>
        <w:spacing w:after="0"/>
        <w:jc w:val="both"/>
        <w:sectPr>
          <w:pgSz w:w="11910" w:h="16840"/>
          <w:pgMar w:header="872" w:footer="995" w:top="1100" w:bottom="1180" w:left="1260" w:right="920"/>
        </w:sectPr>
      </w:pPr>
    </w:p>
    <w:p>
      <w:pPr>
        <w:pStyle w:val="BodyText"/>
        <w:spacing w:before="4"/>
        <w:rPr>
          <w:sz w:val="27"/>
        </w:rPr>
      </w:pPr>
    </w:p>
    <w:p>
      <w:pPr>
        <w:pStyle w:val="BodyText"/>
        <w:spacing w:before="71"/>
        <w:ind w:left="960"/>
      </w:pPr>
      <w:r>
        <w:rPr/>
        <w:t>（六）基金收益分配中发生的费用</w:t>
      </w:r>
    </w:p>
    <w:p>
      <w:pPr>
        <w:pStyle w:val="BodyText"/>
        <w:spacing w:before="7"/>
        <w:rPr>
          <w:sz w:val="15"/>
        </w:rPr>
      </w:pPr>
    </w:p>
    <w:p>
      <w:pPr>
        <w:pStyle w:val="BodyText"/>
        <w:spacing w:line="417" w:lineRule="auto"/>
        <w:ind w:left="540" w:right="871" w:firstLine="419"/>
        <w:jc w:val="both"/>
      </w:pPr>
      <w:r>
        <w:rPr>
          <w:spacing w:val="-6"/>
        </w:rPr>
        <w:t>基金收益分配时所发生的银行转账或其他手续费用由投资者自行承担。当投资者的现金</w:t>
      </w:r>
      <w:r>
        <w:rPr>
          <w:spacing w:val="-11"/>
        </w:rPr>
        <w:t>红利小于一定金额，不足于支付银行转账或其他手续费用时，基金登记机构可将基金份额持</w:t>
      </w:r>
      <w:r>
        <w:rPr>
          <w:spacing w:val="-6"/>
        </w:rPr>
        <w:t>有人的现金红利自动转为基金份额。红利再投资的计算方法，依照《业务规则》执行。</w:t>
      </w:r>
    </w:p>
    <w:p>
      <w:pPr>
        <w:pStyle w:val="Heading1"/>
        <w:spacing w:before="120"/>
        <w:ind w:left="413"/>
      </w:pPr>
      <w:bookmarkStart w:name="_bookmark13" w:id="14"/>
      <w:bookmarkEnd w:id="14"/>
      <w:r>
        <w:rPr>
          <w:b w:val="0"/>
        </w:rPr>
      </w:r>
      <w:r>
        <w:rPr/>
        <w:t>十四、基金的会计与审计</w:t>
      </w:r>
    </w:p>
    <w:p>
      <w:pPr>
        <w:pStyle w:val="BodyText"/>
        <w:spacing w:before="11"/>
        <w:rPr>
          <w:b/>
          <w:sz w:val="24"/>
        </w:rPr>
      </w:pPr>
    </w:p>
    <w:p>
      <w:pPr>
        <w:pStyle w:val="BodyText"/>
        <w:ind w:left="960"/>
      </w:pPr>
      <w:r>
        <w:rPr/>
        <w:t>（一）基金会计政策</w:t>
      </w:r>
    </w:p>
    <w:p>
      <w:pPr>
        <w:pStyle w:val="BodyText"/>
        <w:spacing w:before="7"/>
        <w:rPr>
          <w:sz w:val="15"/>
        </w:rPr>
      </w:pPr>
    </w:p>
    <w:p>
      <w:pPr>
        <w:pStyle w:val="BodyText"/>
        <w:ind w:left="960"/>
      </w:pPr>
      <w:r>
        <w:rPr>
          <w:rFonts w:ascii="Calibri" w:eastAsia="Calibri"/>
        </w:rPr>
        <w:t>1</w:t>
      </w:r>
      <w:r>
        <w:rPr/>
        <w:t>、基金管理人为本基金的基金会计责任方。</w:t>
      </w:r>
    </w:p>
    <w:p>
      <w:pPr>
        <w:pStyle w:val="BodyText"/>
        <w:spacing w:before="7"/>
        <w:rPr>
          <w:sz w:val="15"/>
        </w:rPr>
      </w:pPr>
    </w:p>
    <w:p>
      <w:pPr>
        <w:pStyle w:val="BodyText"/>
        <w:ind w:left="960"/>
      </w:pPr>
      <w:r>
        <w:rPr>
          <w:rFonts w:ascii="Calibri" w:eastAsia="Calibri"/>
        </w:rPr>
        <w:t>2</w:t>
      </w:r>
      <w:r>
        <w:rPr/>
        <w:t>、基金的会计年度为公历年度的 </w:t>
      </w:r>
      <w:r>
        <w:rPr>
          <w:rFonts w:ascii="Calibri" w:eastAsia="Calibri"/>
        </w:rPr>
        <w:t>1 </w:t>
      </w:r>
      <w:r>
        <w:rPr/>
        <w:t>月 </w:t>
      </w:r>
      <w:r>
        <w:rPr>
          <w:rFonts w:ascii="Calibri" w:eastAsia="Calibri"/>
        </w:rPr>
        <w:t>1 </w:t>
      </w:r>
      <w:r>
        <w:rPr/>
        <w:t>日至 </w:t>
      </w:r>
      <w:r>
        <w:rPr>
          <w:rFonts w:ascii="Calibri" w:eastAsia="Calibri"/>
        </w:rPr>
        <w:t>12 </w:t>
      </w:r>
      <w:r>
        <w:rPr/>
        <w:t>月 </w:t>
      </w:r>
      <w:r>
        <w:rPr>
          <w:rFonts w:ascii="Calibri" w:eastAsia="Calibri"/>
        </w:rPr>
        <w:t>31 </w:t>
      </w:r>
      <w:r>
        <w:rPr/>
        <w:t>日。</w:t>
      </w:r>
    </w:p>
    <w:p>
      <w:pPr>
        <w:pStyle w:val="BodyText"/>
        <w:spacing w:before="7"/>
        <w:rPr>
          <w:sz w:val="15"/>
        </w:rPr>
      </w:pPr>
    </w:p>
    <w:p>
      <w:pPr>
        <w:pStyle w:val="BodyText"/>
        <w:ind w:left="960"/>
      </w:pPr>
      <w:r>
        <w:rPr>
          <w:rFonts w:ascii="Calibri" w:eastAsia="Calibri"/>
        </w:rPr>
        <w:t>3</w:t>
      </w:r>
      <w:r>
        <w:rPr>
          <w:spacing w:val="-3"/>
        </w:rPr>
        <w:t>、基金核算以人民币为记账本位币，以人民币元为记账单位。</w:t>
      </w:r>
    </w:p>
    <w:p>
      <w:pPr>
        <w:pStyle w:val="BodyText"/>
        <w:spacing w:before="6"/>
        <w:rPr>
          <w:sz w:val="15"/>
        </w:rPr>
      </w:pPr>
    </w:p>
    <w:p>
      <w:pPr>
        <w:pStyle w:val="BodyText"/>
        <w:spacing w:before="1"/>
        <w:ind w:left="960"/>
      </w:pPr>
      <w:r>
        <w:rPr>
          <w:rFonts w:ascii="Calibri" w:eastAsia="Calibri"/>
        </w:rPr>
        <w:t>4</w:t>
      </w:r>
      <w:r>
        <w:rPr>
          <w:spacing w:val="-3"/>
        </w:rPr>
        <w:t>、会计制度执行国家有关会计制度，并可参考国际会计准则。</w:t>
      </w:r>
    </w:p>
    <w:p>
      <w:pPr>
        <w:pStyle w:val="BodyText"/>
        <w:spacing w:before="6"/>
        <w:rPr>
          <w:sz w:val="15"/>
        </w:rPr>
      </w:pPr>
    </w:p>
    <w:p>
      <w:pPr>
        <w:pStyle w:val="BodyText"/>
        <w:ind w:left="960"/>
      </w:pPr>
      <w:r>
        <w:rPr>
          <w:rFonts w:ascii="Calibri" w:eastAsia="Calibri"/>
        </w:rPr>
        <w:t>5</w:t>
      </w:r>
      <w:r>
        <w:rPr/>
        <w:t>、本基金独立建账、独立核算。</w:t>
      </w:r>
    </w:p>
    <w:p>
      <w:pPr>
        <w:pStyle w:val="BodyText"/>
        <w:spacing w:before="7"/>
        <w:rPr>
          <w:sz w:val="15"/>
        </w:rPr>
      </w:pPr>
    </w:p>
    <w:p>
      <w:pPr>
        <w:pStyle w:val="BodyText"/>
        <w:spacing w:line="417" w:lineRule="auto"/>
        <w:ind w:left="540" w:right="874" w:firstLine="419"/>
      </w:pPr>
      <w:r>
        <w:rPr>
          <w:rFonts w:ascii="Calibri" w:eastAsia="Calibri"/>
        </w:rPr>
        <w:t>6</w:t>
      </w:r>
      <w:r>
        <w:rPr/>
        <w:t>、基金管理人及基金托管人各自保留完整的会计账目、凭证并进行日常的会计核算， 按照有关规定编制基金会计报表。</w:t>
      </w:r>
    </w:p>
    <w:p>
      <w:pPr>
        <w:pStyle w:val="BodyText"/>
        <w:spacing w:line="417" w:lineRule="auto"/>
        <w:ind w:left="540" w:right="874" w:firstLine="419"/>
      </w:pPr>
      <w:r>
        <w:rPr>
          <w:rFonts w:ascii="Calibri" w:eastAsia="Calibri"/>
        </w:rPr>
        <w:t>7</w:t>
      </w:r>
      <w:r>
        <w:rPr/>
        <w:t>、基金托管人每月与基金管理人就基金的会计核算、报表编制等进行核对并以书面方式确认。</w:t>
      </w:r>
    </w:p>
    <w:p>
      <w:pPr>
        <w:pStyle w:val="BodyText"/>
        <w:ind w:left="960"/>
      </w:pPr>
      <w:r>
        <w:rPr/>
        <w:t>（二）基金的年度审计</w:t>
      </w:r>
    </w:p>
    <w:p>
      <w:pPr>
        <w:pStyle w:val="BodyText"/>
        <w:spacing w:before="6"/>
        <w:rPr>
          <w:sz w:val="15"/>
        </w:rPr>
      </w:pPr>
    </w:p>
    <w:p>
      <w:pPr>
        <w:pStyle w:val="BodyText"/>
        <w:spacing w:line="417" w:lineRule="auto" w:before="1"/>
        <w:ind w:left="540" w:right="874" w:firstLine="419"/>
      </w:pPr>
      <w:r>
        <w:rPr>
          <w:rFonts w:ascii="Calibri" w:eastAsia="Calibri"/>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960"/>
      </w:pPr>
      <w:r>
        <w:rPr>
          <w:rFonts w:ascii="Calibri" w:eastAsia="Calibri"/>
        </w:rPr>
        <w:t>2</w:t>
      </w:r>
      <w:r>
        <w:rPr/>
        <w:t>、会计师事务所更换经办注册会计师，应事先征得基金管理人同意。</w:t>
      </w:r>
    </w:p>
    <w:p>
      <w:pPr>
        <w:pStyle w:val="BodyText"/>
        <w:spacing w:before="6"/>
        <w:rPr>
          <w:sz w:val="15"/>
        </w:rPr>
      </w:pPr>
    </w:p>
    <w:p>
      <w:pPr>
        <w:pStyle w:val="BodyText"/>
        <w:spacing w:line="417" w:lineRule="auto"/>
        <w:ind w:left="540" w:right="874" w:firstLine="419"/>
      </w:pPr>
      <w:r>
        <w:rPr>
          <w:rFonts w:ascii="Calibri" w:eastAsia="Calibri"/>
        </w:rPr>
        <w:t>3</w:t>
      </w:r>
      <w:r>
        <w:rPr/>
        <w:t>、基金管理人认为有充足理由更换会计师事务所，须通报基金托管人。更换会计师事务所需在 </w:t>
      </w:r>
      <w:r>
        <w:rPr>
          <w:rFonts w:ascii="Calibri" w:eastAsia="Calibri"/>
        </w:rPr>
        <w:t>2 </w:t>
      </w:r>
      <w:r>
        <w:rPr/>
        <w:t>日内在指定媒介公告。</w:t>
      </w:r>
    </w:p>
    <w:p>
      <w:pPr>
        <w:pStyle w:val="Heading1"/>
        <w:spacing w:before="121"/>
        <w:ind w:left="3639" w:right="0"/>
        <w:jc w:val="left"/>
      </w:pPr>
      <w:bookmarkStart w:name="_bookmark14" w:id="15"/>
      <w:bookmarkEnd w:id="15"/>
      <w:r>
        <w:rPr>
          <w:b w:val="0"/>
        </w:rPr>
      </w:r>
      <w:r>
        <w:rPr/>
        <w:t>十五、基金的信息披露</w:t>
      </w:r>
    </w:p>
    <w:p>
      <w:pPr>
        <w:pStyle w:val="BodyText"/>
        <w:spacing w:before="11"/>
        <w:rPr>
          <w:b/>
          <w:sz w:val="24"/>
        </w:rPr>
      </w:pPr>
    </w:p>
    <w:p>
      <w:pPr>
        <w:pStyle w:val="BodyText"/>
        <w:spacing w:line="417" w:lineRule="auto"/>
        <w:ind w:left="540" w:right="87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960"/>
      </w:pPr>
      <w:r>
        <w:rPr/>
        <w:t>（二）信息披露义务人</w:t>
      </w:r>
    </w:p>
    <w:p>
      <w:pPr>
        <w:pStyle w:val="BodyText"/>
        <w:spacing w:before="7"/>
        <w:rPr>
          <w:sz w:val="15"/>
        </w:rPr>
      </w:pPr>
    </w:p>
    <w:p>
      <w:pPr>
        <w:pStyle w:val="BodyText"/>
        <w:spacing w:line="417" w:lineRule="auto"/>
        <w:ind w:left="540" w:right="87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540" w:right="871" w:firstLine="419"/>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540"/>
      </w:pPr>
      <w:r>
        <w:rPr/>
        <w:t>时性、简明性和易得性。</w:t>
      </w:r>
    </w:p>
    <w:p>
      <w:pPr>
        <w:pStyle w:val="BodyText"/>
        <w:spacing w:before="7"/>
        <w:rPr>
          <w:sz w:val="15"/>
        </w:rPr>
      </w:pPr>
    </w:p>
    <w:p>
      <w:pPr>
        <w:pStyle w:val="BodyText"/>
        <w:spacing w:line="417" w:lineRule="auto"/>
        <w:ind w:left="540" w:right="87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960"/>
      </w:pPr>
      <w:r>
        <w:rPr/>
        <w:t>（三）本基金信息披露义务人承诺公开披露的基金信息，不得有下列行为：</w:t>
      </w:r>
    </w:p>
    <w:p>
      <w:pPr>
        <w:pStyle w:val="BodyText"/>
        <w:spacing w:before="7"/>
        <w:rPr>
          <w:sz w:val="15"/>
        </w:rPr>
      </w:pPr>
    </w:p>
    <w:p>
      <w:pPr>
        <w:pStyle w:val="BodyText"/>
        <w:ind w:left="960"/>
      </w:pPr>
      <w:r>
        <w:rPr>
          <w:rFonts w:ascii="Calibri" w:eastAsia="Calibri"/>
        </w:rPr>
        <w:t>1</w:t>
      </w:r>
      <w:r>
        <w:rPr/>
        <w:t>、虚假记载、误导性陈述或者重大遗漏。</w:t>
      </w:r>
    </w:p>
    <w:p>
      <w:pPr>
        <w:pStyle w:val="BodyText"/>
        <w:spacing w:before="6"/>
        <w:rPr>
          <w:sz w:val="15"/>
        </w:rPr>
      </w:pPr>
    </w:p>
    <w:p>
      <w:pPr>
        <w:pStyle w:val="BodyText"/>
        <w:spacing w:before="1"/>
        <w:ind w:left="960"/>
      </w:pPr>
      <w:r>
        <w:rPr>
          <w:rFonts w:ascii="Calibri" w:eastAsia="Calibri"/>
        </w:rPr>
        <w:t>2</w:t>
      </w:r>
      <w:r>
        <w:rPr/>
        <w:t>、对证券投资业绩进行预测。</w:t>
      </w:r>
    </w:p>
    <w:p>
      <w:pPr>
        <w:pStyle w:val="BodyText"/>
        <w:spacing w:before="7"/>
        <w:rPr>
          <w:sz w:val="15"/>
        </w:rPr>
      </w:pPr>
    </w:p>
    <w:p>
      <w:pPr>
        <w:pStyle w:val="BodyText"/>
        <w:ind w:left="960"/>
      </w:pPr>
      <w:r>
        <w:rPr>
          <w:rFonts w:ascii="Calibri" w:eastAsia="Calibri"/>
        </w:rPr>
        <w:t>3</w:t>
      </w:r>
      <w:r>
        <w:rPr/>
        <w:t>、违规承诺收益或者承担损失。</w:t>
      </w:r>
    </w:p>
    <w:p>
      <w:pPr>
        <w:pStyle w:val="BodyText"/>
        <w:spacing w:before="7"/>
        <w:rPr>
          <w:sz w:val="15"/>
        </w:rPr>
      </w:pPr>
    </w:p>
    <w:p>
      <w:pPr>
        <w:pStyle w:val="BodyText"/>
        <w:ind w:left="960"/>
      </w:pPr>
      <w:r>
        <w:rPr>
          <w:rFonts w:ascii="Calibri" w:eastAsia="Calibri"/>
        </w:rPr>
        <w:t>4</w:t>
      </w:r>
      <w:r>
        <w:rPr/>
        <w:t>、诋毁其他基金管理人、基金托管人或者基金销售机构。</w:t>
      </w:r>
    </w:p>
    <w:p>
      <w:pPr>
        <w:pStyle w:val="BodyText"/>
        <w:spacing w:before="6"/>
        <w:rPr>
          <w:sz w:val="15"/>
        </w:rPr>
      </w:pPr>
    </w:p>
    <w:p>
      <w:pPr>
        <w:pStyle w:val="BodyText"/>
        <w:ind w:left="960"/>
      </w:pPr>
      <w:r>
        <w:rPr>
          <w:rFonts w:ascii="Calibri" w:eastAsia="Calibri"/>
        </w:rPr>
        <w:t>5</w:t>
      </w:r>
      <w:r>
        <w:rPr/>
        <w:t>、登载任何自然人、法人和非法人组织的祝贺性、恭维性或推荐性文字。</w:t>
      </w:r>
    </w:p>
    <w:p>
      <w:pPr>
        <w:pStyle w:val="BodyText"/>
        <w:spacing w:before="7"/>
        <w:rPr>
          <w:sz w:val="15"/>
        </w:rPr>
      </w:pPr>
    </w:p>
    <w:p>
      <w:pPr>
        <w:pStyle w:val="BodyText"/>
        <w:ind w:left="960"/>
      </w:pPr>
      <w:r>
        <w:rPr>
          <w:rFonts w:ascii="Calibri" w:eastAsia="Calibri"/>
        </w:rPr>
        <w:t>6</w:t>
      </w:r>
      <w:r>
        <w:rPr/>
        <w:t>、中国证监会禁止的其他行为。</w:t>
      </w:r>
    </w:p>
    <w:p>
      <w:pPr>
        <w:pStyle w:val="BodyText"/>
        <w:spacing w:before="7"/>
        <w:rPr>
          <w:sz w:val="15"/>
        </w:rPr>
      </w:pPr>
    </w:p>
    <w:p>
      <w:pPr>
        <w:pStyle w:val="BodyText"/>
        <w:spacing w:line="417" w:lineRule="auto"/>
        <w:ind w:left="540" w:right="87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960"/>
      </w:pPr>
      <w:r>
        <w:rPr/>
        <w:t>本基金公开披露的信息采用阿拉伯数字；除特别说明外，货币单位为人民币元。</w:t>
      </w:r>
    </w:p>
    <w:p>
      <w:pPr>
        <w:pStyle w:val="BodyText"/>
        <w:spacing w:before="7"/>
        <w:rPr>
          <w:sz w:val="15"/>
        </w:rPr>
      </w:pPr>
    </w:p>
    <w:p>
      <w:pPr>
        <w:pStyle w:val="BodyText"/>
        <w:spacing w:line="417" w:lineRule="auto"/>
        <w:ind w:left="960" w:right="6241"/>
      </w:pPr>
      <w:r>
        <w:rPr/>
        <w:t>（五）公开披露的基金信息公开披露的基金信息包括：</w:t>
      </w:r>
    </w:p>
    <w:p>
      <w:pPr>
        <w:pStyle w:val="BodyText"/>
        <w:spacing w:line="269" w:lineRule="exact"/>
        <w:ind w:left="960"/>
      </w:pPr>
      <w:r>
        <w:rPr>
          <w:rFonts w:ascii="Calibri" w:eastAsia="Calibri"/>
        </w:rPr>
        <w:t>1</w:t>
      </w:r>
      <w:r>
        <w:rPr/>
        <w:t>、基金招募说明书、《基金合同》、基金托管协议</w:t>
      </w:r>
    </w:p>
    <w:p>
      <w:pPr>
        <w:pStyle w:val="BodyText"/>
        <w:spacing w:before="7"/>
        <w:rPr>
          <w:sz w:val="15"/>
        </w:rPr>
      </w:pPr>
    </w:p>
    <w:p>
      <w:pPr>
        <w:pStyle w:val="ListParagraph"/>
        <w:numPr>
          <w:ilvl w:val="0"/>
          <w:numId w:val="29"/>
        </w:numPr>
        <w:tabs>
          <w:tab w:pos="1492" w:val="left" w:leader="none"/>
        </w:tabs>
        <w:spacing w:line="417" w:lineRule="auto" w:before="0" w:after="0"/>
        <w:ind w:left="540" w:right="871" w:firstLine="419"/>
        <w:jc w:val="both"/>
        <w:rPr>
          <w:sz w:val="21"/>
        </w:rPr>
      </w:pPr>
      <w:r>
        <w:rPr>
          <w:spacing w:val="-10"/>
          <w:sz w:val="21"/>
        </w:rPr>
        <w:t>《基金合同》是界定《基金合同》当事人的各项权利、义务关系，明确基金份额</w:t>
      </w:r>
      <w:r>
        <w:rPr>
          <w:spacing w:val="-13"/>
          <w:sz w:val="21"/>
        </w:rPr>
        <w:t>持有人大会召开的规则及具体程序，说明基金产品的特性等涉及基金投资者重大利益的事项</w:t>
      </w:r>
      <w:r>
        <w:rPr>
          <w:spacing w:val="-1"/>
          <w:sz w:val="21"/>
        </w:rPr>
        <w:t>的法律文件。</w:t>
      </w:r>
    </w:p>
    <w:p>
      <w:pPr>
        <w:pStyle w:val="ListParagraph"/>
        <w:numPr>
          <w:ilvl w:val="0"/>
          <w:numId w:val="29"/>
        </w:numPr>
        <w:tabs>
          <w:tab w:pos="1492" w:val="left" w:leader="none"/>
        </w:tabs>
        <w:spacing w:line="417" w:lineRule="auto" w:before="0" w:after="0"/>
        <w:ind w:left="540" w:right="87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Calibri" w:eastAsia="Calibri"/>
          <w:sz w:val="21"/>
        </w:rPr>
        <w:t>3</w:t>
      </w:r>
      <w:r>
        <w:rPr>
          <w:rFonts w:ascii="Calibri" w:eastAsia="Calibri"/>
          <w:spacing w:val="22"/>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29"/>
        </w:numPr>
        <w:tabs>
          <w:tab w:pos="1492" w:val="left" w:leader="none"/>
        </w:tabs>
        <w:spacing w:line="417" w:lineRule="auto" w:before="0" w:after="0"/>
        <w:ind w:left="540" w:right="87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960"/>
      </w:pPr>
      <w:r>
        <w:rPr>
          <w:rFonts w:ascii="Calibri" w:eastAsia="Calibri"/>
        </w:rPr>
        <w:t>2</w:t>
      </w:r>
      <w:r>
        <w:rPr/>
        <w:t>、基金产品资料概要</w:t>
      </w:r>
    </w:p>
    <w:p>
      <w:pPr>
        <w:pStyle w:val="BodyText"/>
        <w:spacing w:before="6"/>
        <w:rPr>
          <w:sz w:val="15"/>
        </w:rPr>
      </w:pPr>
    </w:p>
    <w:p>
      <w:pPr>
        <w:pStyle w:val="BodyText"/>
        <w:spacing w:line="417" w:lineRule="auto"/>
        <w:ind w:left="540" w:right="871" w:firstLine="419"/>
      </w:pPr>
      <w:r>
        <w:rPr>
          <w:spacing w:val="-10"/>
        </w:rPr>
        <w:t>基金管理人根据《信息披露办法》的要求公告基金产品资料概要。基金产品资料概要的信息发生重大变更的，基金管理人应当在 </w:t>
      </w:r>
      <w:r>
        <w:rPr>
          <w:rFonts w:ascii="Calibri" w:eastAsia="Calibri"/>
        </w:rPr>
        <w:t>3 </w:t>
      </w:r>
      <w:r>
        <w:rPr>
          <w:spacing w:val="-9"/>
        </w:rPr>
        <w:t>个工作日内，更新基金产品资料概要，并登载在</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8"/>
      </w:pPr>
      <w:r>
        <w:rPr>
          <w:spacing w:val="-3"/>
        </w:rPr>
        <w:t>指定网站上和基金销售机构网站上或营业网点。基金产品资料概要的其他信息发生变更的， </w:t>
      </w:r>
      <w:r>
        <w:rPr>
          <w:spacing w:val="-9"/>
        </w:rPr>
        <w:t>基金管理人至少每年更新一次。基金合同终止的，基金管理人可以不再更新基金产品资料概要。</w:t>
      </w:r>
    </w:p>
    <w:p>
      <w:pPr>
        <w:pStyle w:val="BodyText"/>
        <w:spacing w:line="269" w:lineRule="exact"/>
        <w:ind w:left="960"/>
      </w:pPr>
      <w:r>
        <w:rPr/>
        <w:t>关于基金产品资料概要编制、披露与更新的要求，自中国证监会规定之日起开始执行。</w:t>
      </w:r>
    </w:p>
    <w:p>
      <w:pPr>
        <w:pStyle w:val="BodyText"/>
        <w:spacing w:before="7"/>
        <w:rPr>
          <w:sz w:val="15"/>
        </w:rPr>
      </w:pPr>
    </w:p>
    <w:p>
      <w:pPr>
        <w:pStyle w:val="BodyText"/>
        <w:ind w:left="960"/>
      </w:pPr>
      <w:r>
        <w:rPr>
          <w:rFonts w:ascii="Calibri" w:eastAsia="Calibri"/>
        </w:rPr>
        <w:t>3</w:t>
      </w:r>
      <w:r>
        <w:rPr/>
        <w:t>、基金份额发售公告</w:t>
      </w:r>
    </w:p>
    <w:p>
      <w:pPr>
        <w:pStyle w:val="BodyText"/>
        <w:spacing w:before="7"/>
        <w:rPr>
          <w:sz w:val="15"/>
        </w:rPr>
      </w:pPr>
    </w:p>
    <w:p>
      <w:pPr>
        <w:pStyle w:val="BodyText"/>
        <w:spacing w:line="417" w:lineRule="auto"/>
        <w:ind w:left="540" w:right="871" w:firstLine="419"/>
      </w:pPr>
      <w:r>
        <w:rPr>
          <w:spacing w:val="-7"/>
        </w:rPr>
        <w:t>基金管理人就基金份额发售的具体事宜编制基金份额发售公告，并在披露招募说明书的</w:t>
      </w:r>
      <w:r>
        <w:rPr>
          <w:spacing w:val="-5"/>
        </w:rPr>
        <w:t>当日登载于指定媒介上。</w:t>
      </w:r>
    </w:p>
    <w:p>
      <w:pPr>
        <w:pStyle w:val="BodyText"/>
        <w:ind w:left="960"/>
      </w:pPr>
      <w:r>
        <w:rPr>
          <w:rFonts w:ascii="Calibri" w:eastAsia="Calibri"/>
        </w:rPr>
        <w:t>4</w:t>
      </w:r>
      <w:r>
        <w:rPr/>
        <w:t>、《基金合同》生效公告</w:t>
      </w:r>
    </w:p>
    <w:p>
      <w:pPr>
        <w:pStyle w:val="BodyText"/>
        <w:spacing w:before="7"/>
        <w:rPr>
          <w:sz w:val="15"/>
        </w:rPr>
      </w:pPr>
    </w:p>
    <w:p>
      <w:pPr>
        <w:pStyle w:val="BodyText"/>
        <w:ind w:left="960"/>
      </w:pPr>
      <w:r>
        <w:rPr/>
        <w:t>基金管理人在收到中国证监会确认文件的次日在指定媒介上登载《基金合同》生效公告。</w:t>
      </w:r>
    </w:p>
    <w:p>
      <w:pPr>
        <w:pStyle w:val="BodyText"/>
        <w:spacing w:before="6"/>
        <w:rPr>
          <w:sz w:val="15"/>
        </w:rPr>
      </w:pPr>
    </w:p>
    <w:p>
      <w:pPr>
        <w:pStyle w:val="BodyText"/>
        <w:spacing w:before="1"/>
        <w:ind w:left="960"/>
      </w:pPr>
      <w:r>
        <w:rPr>
          <w:rFonts w:ascii="Calibri" w:eastAsia="Calibri"/>
        </w:rPr>
        <w:t>5</w:t>
      </w:r>
      <w:r>
        <w:rPr/>
        <w:t>、基金净值信息</w:t>
      </w:r>
    </w:p>
    <w:p>
      <w:pPr>
        <w:pStyle w:val="BodyText"/>
        <w:spacing w:before="6"/>
        <w:rPr>
          <w:sz w:val="15"/>
        </w:rPr>
      </w:pPr>
    </w:p>
    <w:p>
      <w:pPr>
        <w:pStyle w:val="BodyText"/>
        <w:spacing w:line="417" w:lineRule="auto"/>
        <w:ind w:left="540" w:right="873" w:firstLine="419"/>
      </w:pPr>
      <w:r>
        <w:rPr>
          <w:spacing w:val="-5"/>
        </w:rPr>
        <w:t>基金管理人应当在不晚于每个开放日后的 </w:t>
      </w:r>
      <w:r>
        <w:rPr>
          <w:rFonts w:ascii="Calibri" w:eastAsia="Calibri"/>
        </w:rPr>
        <w:t>2 </w:t>
      </w:r>
      <w:r>
        <w:rPr>
          <w:spacing w:val="-12"/>
        </w:rPr>
        <w:t>个工作日，通过指定网站、基金销售机构网</w:t>
      </w:r>
      <w:r>
        <w:rPr>
          <w:spacing w:val="-6"/>
        </w:rPr>
        <w:t>站或者营业网点，披露开放日的基金份额净值和基金份额累计净值。</w:t>
      </w:r>
    </w:p>
    <w:p>
      <w:pPr>
        <w:pStyle w:val="BodyText"/>
        <w:spacing w:line="269" w:lineRule="exact"/>
        <w:ind w:left="960"/>
      </w:pPr>
      <w:r>
        <w:rPr/>
        <w:t>基金份额净值应当以人民币或美元等主要外汇货币单独或同时计算并披露。</w:t>
      </w:r>
    </w:p>
    <w:p>
      <w:pPr>
        <w:pStyle w:val="BodyText"/>
        <w:spacing w:before="7"/>
        <w:rPr>
          <w:sz w:val="15"/>
        </w:rPr>
      </w:pPr>
    </w:p>
    <w:p>
      <w:pPr>
        <w:pStyle w:val="BodyText"/>
        <w:spacing w:line="417" w:lineRule="auto"/>
        <w:ind w:left="540" w:right="873" w:firstLine="419"/>
      </w:pPr>
      <w:r>
        <w:rPr>
          <w:spacing w:val="-5"/>
        </w:rPr>
        <w:t>基金管理人应当在不晚于半年度和年度最后一日后的 </w:t>
      </w:r>
      <w:r>
        <w:rPr>
          <w:rFonts w:ascii="Calibri" w:eastAsia="Calibri"/>
        </w:rPr>
        <w:t>2 </w:t>
      </w:r>
      <w:r>
        <w:rPr>
          <w:spacing w:val="-12"/>
        </w:rPr>
        <w:t>个工作日，在指定网站披露半年</w:t>
      </w:r>
      <w:r>
        <w:rPr>
          <w:spacing w:val="-3"/>
        </w:rPr>
        <w:t>度和年度最后一日的基金份额净值和基金份额累计净值。</w:t>
      </w:r>
    </w:p>
    <w:p>
      <w:pPr>
        <w:pStyle w:val="BodyText"/>
        <w:ind w:left="960"/>
      </w:pPr>
      <w:r>
        <w:rPr>
          <w:rFonts w:ascii="Calibri" w:eastAsia="Calibri"/>
        </w:rPr>
        <w:t>6</w:t>
      </w:r>
      <w:r>
        <w:rPr/>
        <w:t>、基金份额申购、赎回价格</w:t>
      </w:r>
    </w:p>
    <w:p>
      <w:pPr>
        <w:pStyle w:val="BodyText"/>
        <w:spacing w:before="7"/>
        <w:rPr>
          <w:sz w:val="15"/>
        </w:rPr>
      </w:pPr>
    </w:p>
    <w:p>
      <w:pPr>
        <w:pStyle w:val="BodyText"/>
        <w:spacing w:line="417" w:lineRule="auto"/>
        <w:ind w:left="540" w:right="87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540" w:right="873" w:firstLine="419"/>
      </w:pPr>
      <w:r>
        <w:rPr>
          <w:rFonts w:ascii="Calibri" w:eastAsia="Calibri"/>
        </w:rPr>
        <w:t>7</w:t>
      </w:r>
      <w:r>
        <w:rPr/>
        <w:t>、基金定期报告，包括基金年度报告、基金中期报告和基金季度报告（含资产组合季度报告）</w:t>
      </w:r>
    </w:p>
    <w:p>
      <w:pPr>
        <w:pStyle w:val="BodyText"/>
        <w:spacing w:line="417" w:lineRule="auto"/>
        <w:ind w:left="540" w:right="871" w:firstLine="419"/>
        <w:jc w:val="both"/>
      </w:pPr>
      <w:r>
        <w:rPr>
          <w:spacing w:val="-6"/>
        </w:rPr>
        <w:t>基金管理人应当在每年结束之日起 </w:t>
      </w:r>
      <w:r>
        <w:rPr>
          <w:rFonts w:ascii="Calibri" w:eastAsia="Calibri"/>
        </w:rPr>
        <w:t>3</w:t>
      </w:r>
      <w:r>
        <w:rPr>
          <w:rFonts w:ascii="Calibri" w:eastAsia="Calibri"/>
          <w:spacing w:val="2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540" w:right="871" w:firstLine="419"/>
        <w:jc w:val="both"/>
      </w:pPr>
      <w:r>
        <w:rPr>
          <w:spacing w:val="-5"/>
        </w:rPr>
        <w:t>基金管理人应当在上半年结束之日起 </w:t>
      </w:r>
      <w:r>
        <w:rPr>
          <w:rFonts w:ascii="Calibri" w:eastAsia="Calibri"/>
        </w:rPr>
        <w:t>2</w:t>
      </w:r>
      <w:r>
        <w:rPr>
          <w:rFonts w:ascii="Calibri" w:eastAsia="Calibri"/>
          <w:spacing w:val="21"/>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871" w:firstLine="419"/>
        <w:jc w:val="both"/>
      </w:pPr>
      <w:r>
        <w:rPr>
          <w:spacing w:val="-5"/>
        </w:rPr>
        <w:t>基金管理人应当在季度结束之日起 </w:t>
      </w:r>
      <w:r>
        <w:rPr>
          <w:rFonts w:ascii="Calibri" w:eastAsia="Calibri"/>
        </w:rPr>
        <w:t>15 </w:t>
      </w:r>
      <w:r>
        <w:rPr>
          <w:spacing w:val="-3"/>
        </w:rPr>
        <w:t>个工作日内，编制完成基金季度报告，将季度报告登载在指定网站上，并将季度报告提示性公告登载在指定报刊上。</w:t>
      </w:r>
    </w:p>
    <w:p>
      <w:pPr>
        <w:pStyle w:val="BodyText"/>
        <w:spacing w:line="417" w:lineRule="auto"/>
        <w:ind w:left="540" w:right="873" w:firstLine="419"/>
        <w:jc w:val="both"/>
      </w:pPr>
      <w:r>
        <w:rPr>
          <w:spacing w:val="-10"/>
        </w:rPr>
        <w:t>《基金合同》生效不足 </w:t>
      </w:r>
      <w:r>
        <w:rPr>
          <w:rFonts w:ascii="Calibri" w:eastAsia="Calibri"/>
        </w:rPr>
        <w:t>2 </w:t>
      </w:r>
      <w:r>
        <w:rPr>
          <w:spacing w:val="-9"/>
        </w:rPr>
        <w:t>个月的，基金管理人可以不编制当期季度报告、中期报告或者</w:t>
      </w:r>
      <w:r>
        <w:rPr>
          <w:spacing w:val="-5"/>
        </w:rPr>
        <w:t>年度报告。</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4" w:firstLine="419"/>
      </w:pPr>
      <w:r>
        <w:rPr/>
        <w:t>基金管理人应当在基金年度报告和中期报告中披露基金组合资产情况及其流动性风险分析等。</w:t>
      </w:r>
    </w:p>
    <w:p>
      <w:pPr>
        <w:pStyle w:val="BodyText"/>
        <w:spacing w:line="417" w:lineRule="auto"/>
        <w:ind w:left="540" w:right="768" w:firstLine="419"/>
      </w:pPr>
      <w:r>
        <w:rPr>
          <w:spacing w:val="-3"/>
        </w:rPr>
        <w:t>如报告期内出现单一投资者持有基金份额达到或超过基金总份额</w:t>
      </w:r>
      <w:r>
        <w:rPr>
          <w:rFonts w:ascii="Calibri" w:hAnsi="Calibri" w:eastAsia="Calibri"/>
          <w:position w:val="1"/>
        </w:rPr>
        <w:t>20%</w:t>
      </w:r>
      <w:r>
        <w:rPr>
          <w:spacing w:val="-8"/>
        </w:rPr>
        <w:t>的情形，为保障其</w:t>
      </w:r>
      <w:r>
        <w:rPr>
          <w:spacing w:val="-5"/>
        </w:rPr>
        <w:t>他投资者的权益，基金管理人至少应当在基金定期报告“影响投资者决策的其他重要信息” </w:t>
      </w:r>
      <w:r>
        <w:rPr>
          <w:spacing w:val="-10"/>
        </w:rPr>
        <w:t>项下披露该投资者的类别、报告期末持有份额及占比、报告期内持有份额变化情况及产品的</w:t>
      </w:r>
      <w:r>
        <w:rPr>
          <w:spacing w:val="-5"/>
        </w:rPr>
        <w:t>特有风险，中国证监会认定的特殊情形除外。</w:t>
      </w:r>
    </w:p>
    <w:p>
      <w:pPr>
        <w:pStyle w:val="BodyText"/>
        <w:spacing w:line="268" w:lineRule="exact"/>
        <w:ind w:left="960"/>
      </w:pPr>
      <w:r>
        <w:rPr>
          <w:rFonts w:ascii="Calibri" w:eastAsia="Calibri"/>
        </w:rPr>
        <w:t>8</w:t>
      </w:r>
      <w:r>
        <w:rPr/>
        <w:t>、临时报告</w:t>
      </w:r>
    </w:p>
    <w:p>
      <w:pPr>
        <w:pStyle w:val="BodyText"/>
        <w:spacing w:before="7"/>
        <w:rPr>
          <w:sz w:val="15"/>
        </w:rPr>
      </w:pPr>
    </w:p>
    <w:p>
      <w:pPr>
        <w:pStyle w:val="BodyText"/>
        <w:spacing w:line="417" w:lineRule="auto"/>
        <w:ind w:left="540" w:right="873" w:firstLine="419"/>
      </w:pPr>
      <w:r>
        <w:rPr>
          <w:spacing w:val="-10"/>
        </w:rPr>
        <w:t>本基金发生重大事件，有关信息披露义务人应当在 </w:t>
      </w:r>
      <w:r>
        <w:rPr>
          <w:rFonts w:ascii="Calibri" w:eastAsia="Calibri"/>
        </w:rPr>
        <w:t>2 </w:t>
      </w:r>
      <w:r>
        <w:rPr>
          <w:spacing w:val="-8"/>
        </w:rPr>
        <w:t>日内编制临时报告书，并登载在指</w:t>
      </w:r>
      <w:r>
        <w:rPr>
          <w:spacing w:val="-5"/>
        </w:rPr>
        <w:t>定报刊和指定网站上。</w:t>
      </w:r>
    </w:p>
    <w:p>
      <w:pPr>
        <w:pStyle w:val="BodyText"/>
        <w:spacing w:line="417" w:lineRule="auto"/>
        <w:ind w:left="540" w:right="87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0"/>
        </w:numPr>
        <w:tabs>
          <w:tab w:pos="1490" w:val="left" w:leader="none"/>
        </w:tabs>
        <w:spacing w:line="269" w:lineRule="exact" w:before="0" w:after="0"/>
        <w:ind w:left="1489" w:right="0" w:hanging="530"/>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0"/>
        </w:numPr>
        <w:tabs>
          <w:tab w:pos="1492" w:val="left" w:leader="none"/>
        </w:tabs>
        <w:spacing w:line="240" w:lineRule="auto" w:before="0" w:after="0"/>
        <w:ind w:left="1491" w:right="0" w:hanging="532"/>
        <w:jc w:val="left"/>
        <w:rPr>
          <w:sz w:val="21"/>
        </w:rPr>
      </w:pPr>
      <w:r>
        <w:rPr>
          <w:spacing w:val="-3"/>
          <w:sz w:val="21"/>
        </w:rPr>
        <w:t>《基金合同》终止、基金清算。</w:t>
      </w:r>
    </w:p>
    <w:p>
      <w:pPr>
        <w:pStyle w:val="BodyText"/>
        <w:spacing w:before="6"/>
        <w:rPr>
          <w:sz w:val="15"/>
        </w:rPr>
      </w:pPr>
    </w:p>
    <w:p>
      <w:pPr>
        <w:pStyle w:val="ListParagraph"/>
        <w:numPr>
          <w:ilvl w:val="0"/>
          <w:numId w:val="30"/>
        </w:numPr>
        <w:tabs>
          <w:tab w:pos="1490" w:val="left" w:leader="none"/>
        </w:tabs>
        <w:spacing w:line="240" w:lineRule="auto" w:before="1" w:after="0"/>
        <w:ind w:left="1489" w:right="0" w:hanging="530"/>
        <w:jc w:val="left"/>
        <w:rPr>
          <w:sz w:val="21"/>
        </w:rPr>
      </w:pPr>
      <w:r>
        <w:rPr>
          <w:spacing w:val="-3"/>
          <w:sz w:val="21"/>
        </w:rPr>
        <w:t>转换基金运作方式、基金合并。</w:t>
      </w:r>
    </w:p>
    <w:p>
      <w:pPr>
        <w:pStyle w:val="BodyText"/>
        <w:spacing w:before="6"/>
        <w:rPr>
          <w:sz w:val="15"/>
        </w:rPr>
      </w:pPr>
    </w:p>
    <w:p>
      <w:pPr>
        <w:pStyle w:val="ListParagraph"/>
        <w:numPr>
          <w:ilvl w:val="0"/>
          <w:numId w:val="30"/>
        </w:numPr>
        <w:tabs>
          <w:tab w:pos="1490" w:val="left" w:leader="none"/>
        </w:tabs>
        <w:spacing w:line="240" w:lineRule="auto" w:before="1" w:after="0"/>
        <w:ind w:left="1489" w:right="0" w:hanging="530"/>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0"/>
        </w:numPr>
        <w:tabs>
          <w:tab w:pos="1492" w:val="left" w:leader="none"/>
        </w:tabs>
        <w:spacing w:line="417" w:lineRule="auto" w:before="0" w:after="0"/>
        <w:ind w:left="540" w:right="87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0"/>
        </w:numPr>
        <w:tabs>
          <w:tab w:pos="1490" w:val="left" w:leader="none"/>
        </w:tabs>
        <w:spacing w:line="269" w:lineRule="exact" w:before="0" w:after="0"/>
        <w:ind w:left="148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0"/>
        </w:numPr>
        <w:tabs>
          <w:tab w:pos="1490" w:val="left" w:leader="none"/>
        </w:tabs>
        <w:spacing w:line="240" w:lineRule="auto" w:before="0" w:after="0"/>
        <w:ind w:left="148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0"/>
        </w:numPr>
        <w:tabs>
          <w:tab w:pos="1492" w:val="left" w:leader="none"/>
        </w:tabs>
        <w:spacing w:line="417" w:lineRule="auto" w:before="0" w:after="0"/>
        <w:ind w:left="540" w:right="874" w:firstLine="419"/>
        <w:jc w:val="left"/>
        <w:rPr>
          <w:sz w:val="21"/>
        </w:rPr>
      </w:pPr>
      <w:r>
        <w:rPr>
          <w:spacing w:val="-3"/>
          <w:sz w:val="21"/>
        </w:rPr>
        <w:t>基金管理人高级管理人员、基金经理和基金托管人专门基金托管部门负责人发生变动。</w:t>
      </w:r>
    </w:p>
    <w:p>
      <w:pPr>
        <w:pStyle w:val="ListParagraph"/>
        <w:numPr>
          <w:ilvl w:val="0"/>
          <w:numId w:val="30"/>
        </w:numPr>
        <w:tabs>
          <w:tab w:pos="1492" w:val="left" w:leader="none"/>
        </w:tabs>
        <w:spacing w:line="240" w:lineRule="auto" w:before="0" w:after="0"/>
        <w:ind w:left="1491" w:right="0" w:hanging="532"/>
        <w:jc w:val="left"/>
        <w:rPr>
          <w:sz w:val="21"/>
        </w:rPr>
      </w:pPr>
      <w:r>
        <w:rPr>
          <w:spacing w:val="-8"/>
          <w:sz w:val="21"/>
        </w:rPr>
        <w:t>基金管理人的董事在最近 </w:t>
      </w:r>
      <w:r>
        <w:rPr>
          <w:rFonts w:ascii="Calibri" w:eastAsia="Calibri"/>
          <w:sz w:val="21"/>
        </w:rPr>
        <w:t>12</w:t>
      </w:r>
      <w:r>
        <w:rPr>
          <w:rFonts w:ascii="Calibri" w:eastAsia="Calibri"/>
          <w:spacing w:val="8"/>
          <w:sz w:val="21"/>
        </w:rPr>
        <w:t> </w:t>
      </w:r>
      <w:r>
        <w:rPr>
          <w:spacing w:val="-8"/>
          <w:sz w:val="21"/>
        </w:rPr>
        <w:t>个月内变更超过百分之五十，基金管理人、基金托管</w:t>
      </w:r>
    </w:p>
    <w:p>
      <w:pPr>
        <w:pStyle w:val="BodyText"/>
        <w:spacing w:before="7"/>
        <w:rPr>
          <w:sz w:val="15"/>
        </w:rPr>
      </w:pPr>
    </w:p>
    <w:p>
      <w:pPr>
        <w:pStyle w:val="BodyText"/>
        <w:ind w:left="540"/>
      </w:pPr>
      <w:r>
        <w:rPr/>
        <w:t>人专门基金托管部门的主要业务人员在最近 </w:t>
      </w:r>
      <w:r>
        <w:rPr>
          <w:rFonts w:ascii="Calibri" w:eastAsia="Calibri"/>
        </w:rPr>
        <w:t>12 </w:t>
      </w:r>
      <w:r>
        <w:rPr/>
        <w:t>个月内变动超过百分之三十。</w:t>
      </w:r>
    </w:p>
    <w:p>
      <w:pPr>
        <w:pStyle w:val="BodyText"/>
        <w:spacing w:before="7"/>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涉及基金财产、基金管理业务、基金托管业务的诉讼或仲裁。</w:t>
      </w:r>
    </w:p>
    <w:p>
      <w:pPr>
        <w:pStyle w:val="BodyText"/>
        <w:spacing w:before="6"/>
        <w:rPr>
          <w:sz w:val="15"/>
        </w:rPr>
      </w:pPr>
    </w:p>
    <w:p>
      <w:pPr>
        <w:pStyle w:val="ListParagraph"/>
        <w:numPr>
          <w:ilvl w:val="0"/>
          <w:numId w:val="30"/>
        </w:numPr>
        <w:tabs>
          <w:tab w:pos="1598" w:val="left" w:leader="none"/>
        </w:tabs>
        <w:spacing w:line="417" w:lineRule="auto" w:before="0" w:after="0"/>
        <w:ind w:left="540" w:right="871" w:firstLine="419"/>
        <w:jc w:val="both"/>
        <w:rPr>
          <w:sz w:val="21"/>
        </w:rPr>
      </w:pPr>
      <w:r>
        <w:rPr>
          <w:spacing w:val="-7"/>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0"/>
        </w:numPr>
        <w:tabs>
          <w:tab w:pos="1595" w:val="left" w:leader="none"/>
        </w:tabs>
        <w:spacing w:line="417" w:lineRule="auto" w:before="0" w:after="0"/>
        <w:ind w:left="540" w:right="87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spacing w:after="0" w:line="417" w:lineRule="auto"/>
        <w:jc w:val="both"/>
        <w:rPr>
          <w:sz w:val="21"/>
        </w:rPr>
        <w:sectPr>
          <w:pgSz w:w="11910" w:h="16840"/>
          <w:pgMar w:header="872" w:footer="995" w:top="1100" w:bottom="1180" w:left="1260" w:right="920"/>
        </w:sectPr>
      </w:pPr>
    </w:p>
    <w:p>
      <w:pPr>
        <w:pStyle w:val="BodyText"/>
        <w:spacing w:before="4"/>
        <w:rPr>
          <w:sz w:val="27"/>
        </w:rPr>
      </w:pPr>
    </w:p>
    <w:p>
      <w:pPr>
        <w:pStyle w:val="ListParagraph"/>
        <w:numPr>
          <w:ilvl w:val="0"/>
          <w:numId w:val="30"/>
        </w:numPr>
        <w:tabs>
          <w:tab w:pos="1598" w:val="left" w:leader="none"/>
        </w:tabs>
        <w:spacing w:line="240" w:lineRule="auto" w:before="71" w:after="0"/>
        <w:ind w:left="1597" w:right="0" w:hanging="638"/>
        <w:jc w:val="left"/>
        <w:rPr>
          <w:sz w:val="21"/>
        </w:rPr>
      </w:pPr>
      <w:r>
        <w:rPr>
          <w:spacing w:val="-3"/>
          <w:sz w:val="21"/>
        </w:rPr>
        <w:t>基金收益分配事项。</w:t>
      </w:r>
    </w:p>
    <w:p>
      <w:pPr>
        <w:pStyle w:val="BodyText"/>
        <w:spacing w:before="7"/>
        <w:rPr>
          <w:sz w:val="15"/>
        </w:rPr>
      </w:pPr>
    </w:p>
    <w:p>
      <w:pPr>
        <w:pStyle w:val="ListParagraph"/>
        <w:numPr>
          <w:ilvl w:val="0"/>
          <w:numId w:val="30"/>
        </w:numPr>
        <w:tabs>
          <w:tab w:pos="1598" w:val="left" w:leader="none"/>
        </w:tabs>
        <w:spacing w:line="417" w:lineRule="auto" w:before="0" w:after="0"/>
        <w:ind w:left="540" w:right="872" w:firstLine="419"/>
        <w:jc w:val="left"/>
        <w:rPr>
          <w:sz w:val="21"/>
        </w:rPr>
      </w:pPr>
      <w:r>
        <w:rPr>
          <w:spacing w:val="-10"/>
          <w:sz w:val="21"/>
        </w:rPr>
        <w:t>管理费、托管费、销售服务费、申购费、赎回费等费用计提标准、计提方式和 </w:t>
      </w:r>
      <w:r>
        <w:rPr>
          <w:spacing w:val="-7"/>
          <w:sz w:val="21"/>
        </w:rPr>
        <w:t>费率发生变更。</w:t>
      </w:r>
    </w:p>
    <w:p>
      <w:pPr>
        <w:pStyle w:val="ListParagraph"/>
        <w:numPr>
          <w:ilvl w:val="0"/>
          <w:numId w:val="30"/>
        </w:numPr>
        <w:tabs>
          <w:tab w:pos="1598" w:val="left" w:leader="none"/>
        </w:tabs>
        <w:spacing w:line="269" w:lineRule="exact" w:before="0" w:after="0"/>
        <w:ind w:left="1597" w:right="0" w:hanging="638"/>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本基金开始办理申购、赎回。</w:t>
      </w:r>
    </w:p>
    <w:p>
      <w:pPr>
        <w:pStyle w:val="BodyText"/>
        <w:spacing w:before="6"/>
        <w:rPr>
          <w:sz w:val="15"/>
        </w:rPr>
      </w:pPr>
    </w:p>
    <w:p>
      <w:pPr>
        <w:pStyle w:val="ListParagraph"/>
        <w:numPr>
          <w:ilvl w:val="0"/>
          <w:numId w:val="30"/>
        </w:numPr>
        <w:tabs>
          <w:tab w:pos="1598" w:val="left" w:leader="none"/>
        </w:tabs>
        <w:spacing w:line="240" w:lineRule="auto" w:before="1" w:after="0"/>
        <w:ind w:left="1597" w:right="0" w:hanging="638"/>
        <w:jc w:val="left"/>
        <w:rPr>
          <w:sz w:val="21"/>
        </w:rPr>
      </w:pPr>
      <w:r>
        <w:rPr>
          <w:spacing w:val="-3"/>
          <w:sz w:val="21"/>
        </w:rPr>
        <w:t>本基金发生巨额赎回并延期办理。</w:t>
      </w:r>
    </w:p>
    <w:p>
      <w:pPr>
        <w:pStyle w:val="BodyText"/>
        <w:spacing w:before="6"/>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本基金连续发生巨额赎回并暂停接受赎回申请或延缓支付赎回款项。</w:t>
      </w:r>
    </w:p>
    <w:p>
      <w:pPr>
        <w:pStyle w:val="BodyText"/>
        <w:spacing w:before="8"/>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本基金暂停接受申购、赎回申请或重新接受申购、赎回申请。</w:t>
      </w:r>
    </w:p>
    <w:p>
      <w:pPr>
        <w:pStyle w:val="BodyText"/>
        <w:spacing w:before="6"/>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基金份额的拆分。</w:t>
      </w:r>
    </w:p>
    <w:p>
      <w:pPr>
        <w:pStyle w:val="BodyText"/>
        <w:spacing w:before="7"/>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基金变更份额类别设置。</w:t>
      </w:r>
    </w:p>
    <w:p>
      <w:pPr>
        <w:pStyle w:val="BodyText"/>
        <w:spacing w:before="7"/>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基金增减销售币种。</w:t>
      </w:r>
    </w:p>
    <w:p>
      <w:pPr>
        <w:pStyle w:val="BodyText"/>
        <w:spacing w:before="7"/>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本基金发生涉及基金申购、赎回事项调整或潜在影响投资者赎回等重大事项。</w:t>
      </w:r>
    </w:p>
    <w:p>
      <w:pPr>
        <w:pStyle w:val="BodyText"/>
        <w:spacing w:before="6"/>
        <w:rPr>
          <w:sz w:val="15"/>
        </w:rPr>
      </w:pPr>
    </w:p>
    <w:p>
      <w:pPr>
        <w:pStyle w:val="ListParagraph"/>
        <w:numPr>
          <w:ilvl w:val="0"/>
          <w:numId w:val="30"/>
        </w:numPr>
        <w:tabs>
          <w:tab w:pos="1598" w:val="left" w:leader="none"/>
        </w:tabs>
        <w:spacing w:line="240" w:lineRule="auto" w:before="0" w:after="0"/>
        <w:ind w:left="1597" w:right="0" w:hanging="638"/>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0"/>
        </w:numPr>
        <w:tabs>
          <w:tab w:pos="1595" w:val="left" w:leader="none"/>
        </w:tabs>
        <w:spacing w:line="417" w:lineRule="auto" w:before="0" w:after="0"/>
        <w:ind w:left="540" w:right="87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ind w:left="960"/>
      </w:pPr>
      <w:r>
        <w:rPr>
          <w:rFonts w:ascii="Calibri" w:eastAsia="Calibri"/>
        </w:rPr>
        <w:t>9</w:t>
      </w:r>
      <w:r>
        <w:rPr/>
        <w:t>、澄清公告</w:t>
      </w:r>
    </w:p>
    <w:p>
      <w:pPr>
        <w:pStyle w:val="BodyText"/>
        <w:spacing w:before="7"/>
        <w:rPr>
          <w:sz w:val="15"/>
        </w:rPr>
      </w:pPr>
    </w:p>
    <w:p>
      <w:pPr>
        <w:pStyle w:val="BodyText"/>
        <w:spacing w:line="417" w:lineRule="auto"/>
        <w:ind w:left="540" w:right="66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960"/>
      </w:pPr>
      <w:r>
        <w:rPr>
          <w:rFonts w:ascii="Calibri" w:eastAsia="Calibri"/>
        </w:rPr>
        <w:t>10</w:t>
      </w:r>
      <w:r>
        <w:rPr/>
        <w:t>、清算报告</w:t>
      </w:r>
    </w:p>
    <w:p>
      <w:pPr>
        <w:pStyle w:val="BodyText"/>
        <w:spacing w:before="7"/>
        <w:rPr>
          <w:sz w:val="15"/>
        </w:rPr>
      </w:pPr>
    </w:p>
    <w:p>
      <w:pPr>
        <w:pStyle w:val="BodyText"/>
        <w:spacing w:line="417" w:lineRule="auto"/>
        <w:ind w:left="540" w:right="871" w:firstLine="419"/>
      </w:pPr>
      <w:r>
        <w:rPr>
          <w:spacing w:val="-7"/>
        </w:rPr>
        <w:t>基金财产清算小组应当将清算报告登载在指定网站上，并将清算报告提示性公告登载在</w:t>
      </w:r>
      <w:r>
        <w:rPr>
          <w:spacing w:val="-5"/>
        </w:rPr>
        <w:t>指定报刊上。</w:t>
      </w:r>
    </w:p>
    <w:p>
      <w:pPr>
        <w:pStyle w:val="BodyText"/>
        <w:ind w:left="960"/>
      </w:pPr>
      <w:r>
        <w:rPr>
          <w:rFonts w:ascii="Calibri" w:eastAsia="Calibri"/>
        </w:rPr>
        <w:t>11</w:t>
      </w:r>
      <w:r>
        <w:rPr/>
        <w:t>、基金份额持有人大会决议</w:t>
      </w:r>
    </w:p>
    <w:p>
      <w:pPr>
        <w:pStyle w:val="BodyText"/>
        <w:spacing w:before="7"/>
        <w:rPr>
          <w:sz w:val="15"/>
        </w:rPr>
      </w:pPr>
    </w:p>
    <w:p>
      <w:pPr>
        <w:pStyle w:val="BodyText"/>
        <w:spacing w:line="417" w:lineRule="auto"/>
        <w:ind w:left="540" w:right="871" w:firstLine="419"/>
      </w:pPr>
      <w:r>
        <w:rPr>
          <w:spacing w:val="-8"/>
        </w:rPr>
        <w:t>基金份额持有人大会决定的事项，应当依法报国务院证券监督管理机构备案，并予以公告。</w:t>
      </w:r>
    </w:p>
    <w:p>
      <w:pPr>
        <w:pStyle w:val="BodyText"/>
        <w:spacing w:line="269" w:lineRule="exact"/>
        <w:ind w:left="960"/>
      </w:pPr>
      <w:r>
        <w:rPr>
          <w:rFonts w:ascii="Calibri" w:eastAsia="Calibri"/>
          <w:spacing w:val="-1"/>
        </w:rPr>
        <w:t>12</w:t>
      </w:r>
      <w:r>
        <w:rPr>
          <w:spacing w:val="-3"/>
        </w:rPr>
        <w:t>、中国证监会规定的其他信息。</w:t>
      </w:r>
    </w:p>
    <w:p>
      <w:pPr>
        <w:pStyle w:val="BodyText"/>
        <w:spacing w:before="6"/>
        <w:rPr>
          <w:sz w:val="15"/>
        </w:rPr>
      </w:pPr>
    </w:p>
    <w:p>
      <w:pPr>
        <w:pStyle w:val="BodyText"/>
        <w:spacing w:line="417" w:lineRule="auto" w:before="1"/>
        <w:ind w:left="540" w:right="871" w:firstLine="419"/>
      </w:pPr>
      <w:r>
        <w:rPr>
          <w:spacing w:val="-6"/>
        </w:rPr>
        <w:t>基金将按照中国证监会的有关规定在定期报告等文件中披露中小企业私募债券、国债期</w:t>
      </w:r>
      <w:r>
        <w:rPr>
          <w:spacing w:val="-4"/>
        </w:rPr>
        <w:t>货、资产支持证券、期权的投资情况。</w:t>
      </w:r>
    </w:p>
    <w:p>
      <w:pPr>
        <w:pStyle w:val="BodyText"/>
        <w:ind w:left="960"/>
      </w:pPr>
      <w:r>
        <w:rPr/>
        <w:t>（六）信息披露事务管理</w:t>
      </w:r>
    </w:p>
    <w:p>
      <w:pPr>
        <w:pStyle w:val="BodyText"/>
        <w:spacing w:before="6"/>
        <w:rPr>
          <w:sz w:val="15"/>
        </w:rPr>
      </w:pPr>
    </w:p>
    <w:p>
      <w:pPr>
        <w:pStyle w:val="BodyText"/>
        <w:ind w:left="960"/>
      </w:pPr>
      <w:r>
        <w:rPr/>
        <w:t>基金管理人、基金托管人应当建立健全信息披露管理制度，指定专门部门及高级管理人</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540"/>
      </w:pPr>
      <w:r>
        <w:rPr/>
        <w:t>员负责管理信息披露事务。</w:t>
      </w:r>
    </w:p>
    <w:p>
      <w:pPr>
        <w:pStyle w:val="BodyText"/>
        <w:spacing w:before="7"/>
        <w:rPr>
          <w:sz w:val="15"/>
        </w:rPr>
      </w:pPr>
    </w:p>
    <w:p>
      <w:pPr>
        <w:pStyle w:val="BodyText"/>
        <w:spacing w:line="417" w:lineRule="auto"/>
        <w:ind w:left="540" w:right="87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87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40" w:right="871" w:firstLine="419"/>
      </w:pPr>
      <w:r>
        <w:rPr>
          <w:spacing w:val="-10"/>
        </w:rPr>
        <w:t>基金管理人、基金托管人应当在指定报刊中选择披露信息的报刊，本基金只需选择一家报刊。</w:t>
      </w:r>
    </w:p>
    <w:p>
      <w:pPr>
        <w:pStyle w:val="BodyText"/>
        <w:spacing w:line="417" w:lineRule="auto"/>
        <w:ind w:left="540" w:right="76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540" w:right="871" w:firstLine="419"/>
      </w:pPr>
      <w:r>
        <w:rPr>
          <w:spacing w:val="-7"/>
        </w:rPr>
        <w:t>为基金信息披露义务人公开披露的基金信息出具审计报告、法律意见书的专业机构，应当制作工作底稿，并将相关档案至少保存到《基金合同》终止后 </w:t>
      </w:r>
      <w:r>
        <w:rPr>
          <w:rFonts w:ascii="Calibri" w:eastAsia="Calibri"/>
        </w:rPr>
        <w:t>10 </w:t>
      </w:r>
      <w:r>
        <w:rPr/>
        <w:t>年。</w:t>
      </w:r>
    </w:p>
    <w:p>
      <w:pPr>
        <w:pStyle w:val="BodyText"/>
        <w:ind w:left="960"/>
      </w:pPr>
      <w:r>
        <w:rPr/>
        <w:t>（七）信息披露文件的存放与查阅</w:t>
      </w:r>
    </w:p>
    <w:p>
      <w:pPr>
        <w:pStyle w:val="BodyText"/>
        <w:spacing w:before="5"/>
        <w:rPr>
          <w:sz w:val="15"/>
        </w:rPr>
      </w:pPr>
    </w:p>
    <w:p>
      <w:pPr>
        <w:pStyle w:val="BodyText"/>
        <w:spacing w:line="417" w:lineRule="auto" w:before="1"/>
        <w:ind w:left="540" w:right="871" w:firstLine="419"/>
      </w:pPr>
      <w:r>
        <w:rPr>
          <w:spacing w:val="-10"/>
        </w:rPr>
        <w:t>依法必须披露的信息发布后，基金管理人、基金托管人应当按照相关法律法规规定将信</w:t>
      </w:r>
      <w:r>
        <w:rPr>
          <w:spacing w:val="-5"/>
        </w:rPr>
        <w:t>息置备于公司住所，供社会公众查阅、复制。</w:t>
      </w:r>
    </w:p>
    <w:p>
      <w:pPr>
        <w:spacing w:line="722" w:lineRule="auto" w:before="0"/>
        <w:ind w:left="2479" w:right="2816" w:hanging="1467"/>
        <w:jc w:val="left"/>
        <w:rPr>
          <w:b/>
          <w:sz w:val="21"/>
        </w:rPr>
      </w:pPr>
      <w:r>
        <w:rPr>
          <w:sz w:val="21"/>
        </w:rPr>
        <w:t>（八）法律法规或监管部门对信息披露另有规定的，从其规定。</w:t>
      </w:r>
      <w:bookmarkStart w:name="_bookmark15" w:id="16"/>
      <w:bookmarkEnd w:id="16"/>
      <w:r>
        <w:rPr>
          <w:sz w:val="21"/>
        </w:rPr>
      </w:r>
      <w:r>
        <w:rPr>
          <w:b/>
          <w:sz w:val="21"/>
        </w:rPr>
        <w:t>十六、基金合同的变更、终止与基金财产的清算</w:t>
      </w:r>
    </w:p>
    <w:p>
      <w:pPr>
        <w:pStyle w:val="BodyText"/>
        <w:spacing w:line="255" w:lineRule="exact"/>
        <w:ind w:left="960"/>
      </w:pPr>
      <w:r>
        <w:rPr/>
        <w:t>（一</w:t>
      </w:r>
      <w:r>
        <w:rPr>
          <w:spacing w:val="-108"/>
        </w:rPr>
        <w:t>）</w:t>
      </w:r>
      <w:r>
        <w:rPr>
          <w:spacing w:val="-3"/>
        </w:rPr>
        <w:t>《基金合同》的变更</w:t>
      </w:r>
    </w:p>
    <w:p>
      <w:pPr>
        <w:pStyle w:val="BodyText"/>
        <w:spacing w:before="6"/>
        <w:rPr>
          <w:sz w:val="15"/>
        </w:rPr>
      </w:pPr>
    </w:p>
    <w:p>
      <w:pPr>
        <w:pStyle w:val="BodyText"/>
        <w:spacing w:line="417" w:lineRule="auto" w:before="1"/>
        <w:ind w:left="540" w:right="871" w:firstLine="419"/>
        <w:jc w:val="both"/>
      </w:pPr>
      <w:r>
        <w:rPr>
          <w:rFonts w:ascii="Calibri" w:eastAsia="Calibri"/>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540" w:right="874" w:firstLine="419"/>
      </w:pPr>
      <w:r>
        <w:rPr>
          <w:rFonts w:ascii="Calibri" w:eastAsia="Calibri"/>
        </w:rPr>
        <w:t>2</w:t>
      </w:r>
      <w:r>
        <w:rPr/>
        <w:t>、关于《基金合同》变更的基金份额持有人大会决议自表决通过之日起生效，自决议生效后两日内在指定媒介公告。</w:t>
      </w:r>
    </w:p>
    <w:p>
      <w:pPr>
        <w:pStyle w:val="BodyText"/>
        <w:spacing w:line="269" w:lineRule="exact"/>
        <w:ind w:left="960"/>
      </w:pPr>
      <w:r>
        <w:rPr/>
        <w:t>（二</w:t>
      </w:r>
      <w:r>
        <w:rPr>
          <w:spacing w:val="-108"/>
        </w:rPr>
        <w:t>）</w:t>
      </w:r>
      <w:r>
        <w:rPr>
          <w:spacing w:val="-3"/>
        </w:rPr>
        <w:t>《基金合同》的终止事由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Calibri" w:eastAsia="Calibri"/>
        </w:rPr>
        <w:t>1</w:t>
      </w:r>
      <w:r>
        <w:rPr/>
        <w:t>、基金份额持有人大会决定终止的。</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18" w:firstLine="419"/>
      </w:pPr>
      <w:r>
        <w:rPr>
          <w:rFonts w:ascii="Calibri" w:eastAsia="Calibri"/>
        </w:rPr>
        <w:t>2</w:t>
      </w:r>
      <w:r>
        <w:rPr/>
        <w:t>、基金管理人、基金托管人职责终止，在 </w:t>
      </w:r>
      <w:r>
        <w:rPr>
          <w:rFonts w:ascii="Calibri" w:eastAsia="Calibri"/>
        </w:rPr>
        <w:t>6 </w:t>
      </w:r>
      <w:r>
        <w:rPr/>
        <w:t>个月内没有新基金管理人、新基金托管人承接的。</w:t>
      </w:r>
    </w:p>
    <w:p>
      <w:pPr>
        <w:pStyle w:val="BodyText"/>
        <w:spacing w:line="269" w:lineRule="exact"/>
        <w:ind w:left="960"/>
      </w:pPr>
      <w:r>
        <w:rPr>
          <w:rFonts w:ascii="Calibri" w:eastAsia="Calibri"/>
        </w:rPr>
        <w:t>3</w:t>
      </w:r>
      <w:r>
        <w:rPr/>
        <w:t>、《基金合同》约定的其他情形。</w:t>
      </w:r>
    </w:p>
    <w:p>
      <w:pPr>
        <w:pStyle w:val="BodyText"/>
        <w:spacing w:before="7"/>
        <w:rPr>
          <w:sz w:val="15"/>
        </w:rPr>
      </w:pPr>
    </w:p>
    <w:p>
      <w:pPr>
        <w:pStyle w:val="BodyText"/>
        <w:ind w:left="960"/>
      </w:pPr>
      <w:r>
        <w:rPr>
          <w:rFonts w:ascii="Calibri" w:eastAsia="Calibri"/>
        </w:rPr>
        <w:t>4</w:t>
      </w:r>
      <w:r>
        <w:rPr/>
        <w:t>、相关法律法规和中国证监会规定的其他情况。</w:t>
      </w:r>
    </w:p>
    <w:p>
      <w:pPr>
        <w:pStyle w:val="BodyText"/>
        <w:spacing w:before="7"/>
        <w:rPr>
          <w:sz w:val="15"/>
        </w:rPr>
      </w:pPr>
    </w:p>
    <w:p>
      <w:pPr>
        <w:pStyle w:val="BodyText"/>
        <w:ind w:left="960"/>
      </w:pPr>
      <w:r>
        <w:rPr/>
        <w:t>（三）基金财产的清算</w:t>
      </w:r>
    </w:p>
    <w:p>
      <w:pPr>
        <w:pStyle w:val="BodyText"/>
        <w:spacing w:before="6"/>
        <w:rPr>
          <w:sz w:val="15"/>
        </w:rPr>
      </w:pPr>
    </w:p>
    <w:p>
      <w:pPr>
        <w:pStyle w:val="BodyText"/>
        <w:spacing w:line="417" w:lineRule="auto" w:before="1"/>
        <w:ind w:left="540" w:right="873" w:firstLine="419"/>
        <w:jc w:val="both"/>
      </w:pPr>
      <w:r>
        <w:rPr>
          <w:rFonts w:ascii="Calibri" w:eastAsia="Calibri"/>
        </w:rPr>
        <w:t>1</w:t>
      </w:r>
      <w:r>
        <w:rPr>
          <w:spacing w:val="-13"/>
        </w:rPr>
        <w:t>、基金财产清算小组：自出现《基金合同》终止事由之日起 </w:t>
      </w:r>
      <w:r>
        <w:rPr>
          <w:rFonts w:ascii="Calibri" w:eastAsia="Calibri"/>
        </w:rPr>
        <w:t>30 </w:t>
      </w:r>
      <w:r>
        <w:rPr>
          <w:spacing w:val="-3"/>
        </w:rPr>
        <w:t>个工作日内成立清算小组，基金管理人组织基金财产清算小组并在中国证监会的监督下进行基金清算。</w:t>
      </w:r>
    </w:p>
    <w:p>
      <w:pPr>
        <w:pStyle w:val="BodyText"/>
        <w:spacing w:line="417" w:lineRule="auto"/>
        <w:ind w:left="540" w:right="871" w:firstLine="419"/>
        <w:jc w:val="both"/>
      </w:pPr>
      <w:r>
        <w:rPr>
          <w:rFonts w:ascii="Calibri" w:eastAsia="Calibri"/>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874" w:firstLine="419"/>
      </w:pPr>
      <w:r>
        <w:rPr>
          <w:rFonts w:ascii="Calibri" w:eastAsia="Calibri"/>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Calibri" w:eastAsia="Calibri"/>
        </w:rPr>
        <w:t>4</w:t>
      </w:r>
      <w:r>
        <w:rPr/>
        <w:t>、基金财产清算程序：</w:t>
      </w:r>
    </w:p>
    <w:p>
      <w:pPr>
        <w:pStyle w:val="BodyText"/>
        <w:spacing w:before="6"/>
        <w:rPr>
          <w:sz w:val="15"/>
        </w:rPr>
      </w:pPr>
    </w:p>
    <w:p>
      <w:pPr>
        <w:pStyle w:val="ListParagraph"/>
        <w:numPr>
          <w:ilvl w:val="0"/>
          <w:numId w:val="31"/>
        </w:numPr>
        <w:tabs>
          <w:tab w:pos="1492" w:val="left" w:leader="none"/>
        </w:tabs>
        <w:spacing w:line="240" w:lineRule="auto" w:before="0" w:after="0"/>
        <w:ind w:left="1491" w:right="0" w:hanging="532"/>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6"/>
        <w:rPr>
          <w:sz w:val="15"/>
        </w:rPr>
      </w:pPr>
    </w:p>
    <w:p>
      <w:pPr>
        <w:pStyle w:val="ListParagraph"/>
        <w:numPr>
          <w:ilvl w:val="0"/>
          <w:numId w:val="31"/>
        </w:numPr>
        <w:tabs>
          <w:tab w:pos="1492" w:val="left" w:leader="none"/>
        </w:tabs>
        <w:spacing w:line="417" w:lineRule="auto" w:before="1" w:after="0"/>
        <w:ind w:left="54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spacing w:before="1"/>
        <w:ind w:left="960"/>
      </w:pPr>
      <w:r>
        <w:rPr>
          <w:rFonts w:ascii="Calibri" w:eastAsia="Calibri"/>
        </w:rPr>
        <w:t>5</w:t>
      </w:r>
      <w:r>
        <w:rPr/>
        <w:t>、基金财产清算的期限为 </w:t>
      </w:r>
      <w:r>
        <w:rPr>
          <w:rFonts w:ascii="Calibri" w:eastAsia="Calibri"/>
        </w:rPr>
        <w:t>6 </w:t>
      </w:r>
      <w:r>
        <w:rPr/>
        <w:t>个月。</w:t>
      </w:r>
    </w:p>
    <w:p>
      <w:pPr>
        <w:pStyle w:val="BodyText"/>
        <w:spacing w:before="6"/>
        <w:rPr>
          <w:sz w:val="15"/>
        </w:rPr>
      </w:pPr>
    </w:p>
    <w:p>
      <w:pPr>
        <w:pStyle w:val="BodyText"/>
        <w:ind w:left="960"/>
      </w:pPr>
      <w:r>
        <w:rPr/>
        <w:t>（四）清算费用</w:t>
      </w:r>
    </w:p>
    <w:p>
      <w:pPr>
        <w:pStyle w:val="BodyText"/>
        <w:spacing w:before="7"/>
        <w:rPr>
          <w:sz w:val="15"/>
        </w:rPr>
      </w:pPr>
    </w:p>
    <w:p>
      <w:pPr>
        <w:pStyle w:val="BodyText"/>
        <w:spacing w:line="417" w:lineRule="auto"/>
        <w:ind w:left="54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60"/>
      </w:pPr>
      <w:r>
        <w:rPr/>
        <w:t>（五）基金财产清算剩余资产的分配</w:t>
      </w:r>
    </w:p>
    <w:p>
      <w:pPr>
        <w:pStyle w:val="BodyText"/>
        <w:spacing w:before="7"/>
        <w:rPr>
          <w:sz w:val="15"/>
        </w:rPr>
      </w:pPr>
    </w:p>
    <w:p>
      <w:pPr>
        <w:pStyle w:val="BodyText"/>
        <w:spacing w:line="417" w:lineRule="auto"/>
        <w:ind w:left="54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960"/>
      </w:pPr>
      <w:r>
        <w:rPr/>
        <w:t>（六）基金财产清算的公告</w:t>
      </w:r>
    </w:p>
    <w:p>
      <w:pPr>
        <w:pStyle w:val="BodyText"/>
        <w:spacing w:before="6"/>
        <w:rPr>
          <w:sz w:val="15"/>
        </w:rPr>
      </w:pPr>
    </w:p>
    <w:p>
      <w:pPr>
        <w:pStyle w:val="BodyText"/>
        <w:spacing w:before="1"/>
        <w:ind w:left="960"/>
      </w:pPr>
      <w:r>
        <w:rPr/>
        <w:t>清算过程中的有关重大事项须及时公告；基金财产清算报告经会计师事务所审计并由律</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pPr>
      <w:r>
        <w:rPr>
          <w:spacing w:val="-7"/>
        </w:rPr>
        <w:t>师事务所出具法律意见书后报中国证监会备案并公告。基金财产清算公告于基金财产清算报</w:t>
      </w:r>
      <w:r>
        <w:rPr>
          <w:spacing w:val="-10"/>
        </w:rPr>
        <w:t>告报中国证监会备案后 </w:t>
      </w:r>
      <w:r>
        <w:rPr>
          <w:rFonts w:ascii="Calibri" w:eastAsia="Calibri"/>
        </w:rPr>
        <w:t>5 </w:t>
      </w:r>
      <w:r>
        <w:rPr>
          <w:spacing w:val="-3"/>
        </w:rPr>
        <w:t>个工作日内由基金财产清算小组进行公告。</w:t>
      </w:r>
    </w:p>
    <w:p>
      <w:pPr>
        <w:pStyle w:val="BodyText"/>
        <w:spacing w:line="269" w:lineRule="exact"/>
        <w:ind w:left="960"/>
      </w:pPr>
      <w:r>
        <w:rPr/>
        <w:t>（七）基金财产清算账册及文件的保存</w:t>
      </w:r>
    </w:p>
    <w:p>
      <w:pPr>
        <w:pStyle w:val="BodyText"/>
        <w:spacing w:before="7"/>
        <w:rPr>
          <w:sz w:val="15"/>
        </w:rPr>
      </w:pPr>
    </w:p>
    <w:p>
      <w:pPr>
        <w:pStyle w:val="BodyText"/>
        <w:ind w:left="960"/>
      </w:pPr>
      <w:r>
        <w:rPr/>
        <w:t>基金财产清算账册及有关文件由基金托管人保存 </w:t>
      </w:r>
      <w:r>
        <w:rPr>
          <w:rFonts w:ascii="Calibri" w:eastAsia="Calibri"/>
        </w:rPr>
        <w:t>15 </w:t>
      </w:r>
      <w:r>
        <w:rPr/>
        <w:t>年以上。</w:t>
      </w:r>
    </w:p>
    <w:p>
      <w:pPr>
        <w:pStyle w:val="BodyText"/>
        <w:rPr>
          <w:sz w:val="22"/>
        </w:rPr>
      </w:pPr>
    </w:p>
    <w:p>
      <w:pPr>
        <w:pStyle w:val="BodyText"/>
        <w:spacing w:before="2"/>
        <w:rPr>
          <w:sz w:val="31"/>
        </w:rPr>
      </w:pPr>
    </w:p>
    <w:p>
      <w:pPr>
        <w:pStyle w:val="Heading1"/>
      </w:pPr>
      <w:bookmarkStart w:name="_bookmark16" w:id="17"/>
      <w:bookmarkEnd w:id="17"/>
      <w:r>
        <w:rPr>
          <w:b w:val="0"/>
        </w:rPr>
      </w:r>
      <w:r>
        <w:rPr/>
        <w:t>十七、基金托管人</w:t>
      </w:r>
    </w:p>
    <w:p>
      <w:pPr>
        <w:pStyle w:val="BodyText"/>
        <w:rPr>
          <w:b/>
          <w:sz w:val="20"/>
        </w:rPr>
      </w:pPr>
    </w:p>
    <w:p>
      <w:pPr>
        <w:pStyle w:val="BodyText"/>
        <w:rPr>
          <w:b/>
          <w:sz w:val="20"/>
        </w:rPr>
      </w:pPr>
    </w:p>
    <w:p>
      <w:pPr>
        <w:pStyle w:val="BodyText"/>
        <w:spacing w:before="158"/>
        <w:ind w:left="960"/>
      </w:pPr>
      <w:r>
        <w:rPr/>
        <w:t>（一）基本情况</w:t>
      </w:r>
    </w:p>
    <w:p>
      <w:pPr>
        <w:pStyle w:val="BodyText"/>
        <w:spacing w:before="6"/>
        <w:rPr>
          <w:sz w:val="15"/>
        </w:rPr>
      </w:pPr>
    </w:p>
    <w:p>
      <w:pPr>
        <w:pStyle w:val="BodyText"/>
        <w:spacing w:line="417" w:lineRule="auto" w:before="1"/>
        <w:ind w:left="960" w:right="4174"/>
      </w:pPr>
      <w:r>
        <w:rPr/>
        <w:t>名称：中国银行股份有限公司（简称</w:t>
      </w:r>
      <w:r>
        <w:rPr>
          <w:rFonts w:ascii="Calibri" w:hAnsi="Calibri" w:eastAsia="Calibri"/>
        </w:rPr>
        <w:t>“</w:t>
      </w:r>
      <w:r>
        <w:rPr/>
        <w:t>中国银行</w:t>
      </w:r>
      <w:r>
        <w:rPr>
          <w:rFonts w:ascii="Calibri" w:hAnsi="Calibri" w:eastAsia="Calibri"/>
        </w:rPr>
        <w:t>”</w:t>
      </w:r>
      <w:r>
        <w:rPr/>
        <w:t>） 住所及办公地址：北京市西城区复兴门内大街</w:t>
      </w:r>
      <w:r>
        <w:rPr>
          <w:rFonts w:ascii="Calibri" w:hAnsi="Calibri" w:eastAsia="Calibri"/>
        </w:rPr>
        <w:t>1</w:t>
      </w:r>
      <w:r>
        <w:rPr/>
        <w:t>号首次注册登记日期：</w:t>
      </w:r>
      <w:r>
        <w:rPr>
          <w:rFonts w:ascii="Calibri" w:hAnsi="Calibri" w:eastAsia="Calibri"/>
        </w:rPr>
        <w:t>1983</w:t>
      </w:r>
      <w:r>
        <w:rPr/>
        <w:t>年</w:t>
      </w:r>
      <w:r>
        <w:rPr>
          <w:rFonts w:ascii="Calibri" w:hAnsi="Calibri" w:eastAsia="Calibri"/>
        </w:rPr>
        <w:t>10</w:t>
      </w:r>
      <w:r>
        <w:rPr/>
        <w:t>月</w:t>
      </w:r>
      <w:r>
        <w:rPr>
          <w:rFonts w:ascii="Calibri" w:hAnsi="Calibri" w:eastAsia="Calibri"/>
        </w:rPr>
        <w:t>31</w:t>
      </w:r>
      <w:r>
        <w:rPr/>
        <w:t>日</w:t>
      </w:r>
    </w:p>
    <w:p>
      <w:pPr>
        <w:pStyle w:val="BodyText"/>
        <w:spacing w:line="417" w:lineRule="auto"/>
        <w:ind w:left="960" w:right="1826"/>
      </w:pPr>
      <w:r>
        <w:rPr/>
        <w:t>注册资本：人民币贰仟玖佰肆拾叁亿捌仟柒佰柒拾玖万壹仟贰佰肆拾壹元整法定代表人：刘连舸</w:t>
      </w:r>
    </w:p>
    <w:p>
      <w:pPr>
        <w:pStyle w:val="BodyText"/>
        <w:spacing w:line="417" w:lineRule="auto"/>
        <w:ind w:left="960" w:right="3185"/>
      </w:pPr>
      <w:r>
        <w:rPr/>
        <w:t>基金托管业务批准文号：中国证监会证监基字【</w:t>
      </w:r>
      <w:r>
        <w:rPr>
          <w:rFonts w:ascii="Calibri" w:eastAsia="Calibri"/>
        </w:rPr>
        <w:t>1998</w:t>
      </w:r>
      <w:r>
        <w:rPr/>
        <w:t>】</w:t>
      </w:r>
      <w:r>
        <w:rPr>
          <w:rFonts w:ascii="Calibri" w:eastAsia="Calibri"/>
        </w:rPr>
        <w:t>24 </w:t>
      </w:r>
      <w:r>
        <w:rPr/>
        <w:t>号托管部门信息披露联系人：许俊</w:t>
      </w:r>
    </w:p>
    <w:p>
      <w:pPr>
        <w:pStyle w:val="BodyText"/>
        <w:ind w:left="960"/>
        <w:rPr>
          <w:rFonts w:ascii="Calibri" w:eastAsia="Calibri"/>
        </w:rPr>
      </w:pPr>
      <w:r>
        <w:rPr>
          <w:spacing w:val="-36"/>
          <w:w w:val="100"/>
        </w:rPr>
        <w:t>传真：</w:t>
      </w:r>
      <w:r>
        <w:rPr>
          <w:spacing w:val="-1"/>
          <w:w w:val="100"/>
        </w:rPr>
        <w:t>（</w:t>
      </w:r>
      <w:r>
        <w:rPr>
          <w:rFonts w:ascii="Calibri" w:eastAsia="Calibri"/>
          <w:spacing w:val="-2"/>
          <w:w w:val="100"/>
        </w:rPr>
        <w:t>01</w:t>
      </w:r>
      <w:r>
        <w:rPr>
          <w:rFonts w:ascii="Calibri" w:eastAsia="Calibri"/>
          <w:w w:val="100"/>
        </w:rPr>
        <w:t>0</w:t>
      </w:r>
      <w:r>
        <w:rPr>
          <w:spacing w:val="-3"/>
          <w:w w:val="100"/>
        </w:rPr>
        <w:t>）</w:t>
      </w:r>
      <w:r>
        <w:rPr>
          <w:rFonts w:ascii="Calibri" w:eastAsia="Calibri"/>
          <w:w w:val="100"/>
        </w:rPr>
        <w:t>6</w:t>
      </w:r>
      <w:r>
        <w:rPr>
          <w:rFonts w:ascii="Calibri" w:eastAsia="Calibri"/>
          <w:spacing w:val="-2"/>
          <w:w w:val="100"/>
        </w:rPr>
        <w:t>65</w:t>
      </w:r>
      <w:r>
        <w:rPr>
          <w:rFonts w:ascii="Calibri" w:eastAsia="Calibri"/>
          <w:w w:val="100"/>
        </w:rPr>
        <w:t>9</w:t>
      </w:r>
      <w:r>
        <w:rPr>
          <w:rFonts w:ascii="Calibri" w:eastAsia="Calibri"/>
          <w:spacing w:val="-2"/>
          <w:w w:val="100"/>
        </w:rPr>
        <w:t>49</w:t>
      </w:r>
      <w:r>
        <w:rPr>
          <w:rFonts w:ascii="Calibri" w:eastAsia="Calibri"/>
          <w:w w:val="100"/>
        </w:rPr>
        <w:t>42</w:t>
      </w:r>
    </w:p>
    <w:p>
      <w:pPr>
        <w:pStyle w:val="BodyText"/>
        <w:spacing w:before="2"/>
        <w:rPr>
          <w:rFonts w:ascii="Calibri"/>
          <w:sz w:val="16"/>
        </w:rPr>
      </w:pPr>
    </w:p>
    <w:p>
      <w:pPr>
        <w:pStyle w:val="BodyText"/>
        <w:ind w:left="960"/>
        <w:rPr>
          <w:rFonts w:ascii="Calibri" w:eastAsia="Calibri"/>
        </w:rPr>
      </w:pPr>
      <w:r>
        <w:rPr/>
        <w:t>中国银行客服电话：</w:t>
      </w:r>
      <w:r>
        <w:rPr>
          <w:rFonts w:ascii="Calibri" w:eastAsia="Calibri"/>
        </w:rPr>
        <w:t>95566</w:t>
      </w:r>
    </w:p>
    <w:p>
      <w:pPr>
        <w:pStyle w:val="BodyText"/>
        <w:spacing w:before="4"/>
        <w:rPr>
          <w:rFonts w:ascii="Calibri"/>
          <w:sz w:val="16"/>
        </w:rPr>
      </w:pPr>
    </w:p>
    <w:p>
      <w:pPr>
        <w:pStyle w:val="BodyText"/>
        <w:ind w:left="960"/>
      </w:pPr>
      <w:r>
        <w:rPr/>
        <w:t>（二）基金托管部门及主要人员情况</w:t>
      </w:r>
    </w:p>
    <w:p>
      <w:pPr>
        <w:pStyle w:val="BodyText"/>
        <w:spacing w:before="7"/>
        <w:rPr>
          <w:sz w:val="15"/>
        </w:rPr>
      </w:pPr>
    </w:p>
    <w:p>
      <w:pPr>
        <w:pStyle w:val="BodyText"/>
        <w:spacing w:line="417" w:lineRule="auto"/>
        <w:ind w:left="540" w:right="871" w:firstLine="419"/>
        <w:jc w:val="both"/>
      </w:pPr>
      <w:r>
        <w:rPr>
          <w:spacing w:val="-3"/>
        </w:rPr>
        <w:t>中国银行托管业务部设立于</w:t>
      </w:r>
      <w:r>
        <w:rPr>
          <w:rFonts w:ascii="Calibri" w:eastAsia="Calibri"/>
        </w:rPr>
        <w:t>1998</w:t>
      </w:r>
      <w:r>
        <w:rPr>
          <w:spacing w:val="-3"/>
        </w:rPr>
        <w:t>年，现有员工</w:t>
      </w:r>
      <w:r>
        <w:rPr>
          <w:rFonts w:ascii="Calibri" w:eastAsia="Calibri"/>
        </w:rPr>
        <w:t>110</w:t>
      </w:r>
      <w:r>
        <w:rPr>
          <w:spacing w:val="-3"/>
        </w:rPr>
        <w:t>余人，大部分员工具有丰富的银行、</w:t>
      </w:r>
      <w:r>
        <w:rPr>
          <w:spacing w:val="-11"/>
        </w:rPr>
        <w:t>证券、基金、信托从业经验，且具有海外工作、学习或培训经历，</w:t>
      </w:r>
      <w:r>
        <w:rPr>
          <w:rFonts w:ascii="Calibri" w:eastAsia="Calibri"/>
          <w:spacing w:val="-7"/>
        </w:rPr>
        <w:t>60</w:t>
      </w:r>
      <w:r>
        <w:rPr>
          <w:spacing w:val="-3"/>
        </w:rPr>
        <w:t>％以上的员工具有硕士</w:t>
      </w:r>
      <w:r>
        <w:rPr>
          <w:spacing w:val="-9"/>
        </w:rPr>
        <w:t>以上学位或高级职称。为给客户提供专业化的托管服务，中国银行已在境内、外分行开展托</w:t>
      </w:r>
      <w:r>
        <w:rPr>
          <w:spacing w:val="-6"/>
        </w:rPr>
        <w:t>管业务。</w:t>
      </w:r>
    </w:p>
    <w:p>
      <w:pPr>
        <w:pStyle w:val="BodyText"/>
        <w:spacing w:line="417" w:lineRule="auto"/>
        <w:ind w:left="540" w:right="871" w:firstLine="419"/>
        <w:jc w:val="both"/>
      </w:pPr>
      <w:r>
        <w:rPr>
          <w:spacing w:val="-7"/>
        </w:rPr>
        <w:t>作为国内首批开展证券投资基金托管业务的商业银行，中国银行拥有证券投资基金、基金（一对多、一对一</w:t>
      </w:r>
      <w:r>
        <w:rPr>
          <w:spacing w:val="-104"/>
        </w:rPr>
        <w:t>）</w:t>
      </w:r>
      <w:r>
        <w:rPr/>
        <w:t>、社保基金、保险资金、</w:t>
      </w:r>
      <w:r>
        <w:rPr>
          <w:rFonts w:ascii="Calibri" w:eastAsia="Calibri"/>
        </w:rPr>
        <w:t>QFII</w:t>
      </w:r>
      <w:r>
        <w:rPr/>
        <w:t>、</w:t>
      </w:r>
      <w:r>
        <w:rPr>
          <w:rFonts w:ascii="Calibri" w:eastAsia="Calibri"/>
        </w:rPr>
        <w:t>RQFII</w:t>
      </w:r>
      <w:r>
        <w:rPr/>
        <w:t>、</w:t>
      </w:r>
      <w:r>
        <w:rPr>
          <w:rFonts w:ascii="Calibri" w:eastAsia="Calibri"/>
        </w:rPr>
        <w:t>QDII</w:t>
      </w:r>
      <w:r>
        <w:rPr/>
        <w:t>、境外三类机构、券商资</w:t>
      </w:r>
      <w:r>
        <w:rPr>
          <w:spacing w:val="-11"/>
        </w:rPr>
        <w:t>产管理计划、信托计划、企业年金、银行理财产品、股权基金、私募基金、资金托管等门类</w:t>
      </w:r>
      <w:r>
        <w:rPr>
          <w:spacing w:val="-12"/>
        </w:rPr>
        <w:t>齐全、产品丰富的托管业务体系。在国内，中国银行首家开展绩效评估、风险分析等增值服</w:t>
      </w:r>
      <w:r>
        <w:rPr>
          <w:spacing w:val="-6"/>
        </w:rPr>
        <w:t>务，为各类客户提供个性化的托管增值服务，是国内领先的大型中资托管银行。</w:t>
      </w:r>
    </w:p>
    <w:p>
      <w:pPr>
        <w:pStyle w:val="BodyText"/>
        <w:spacing w:line="268" w:lineRule="exact"/>
        <w:ind w:left="960"/>
      </w:pPr>
      <w:r>
        <w:rPr/>
        <w:t>（三）证券投资基金托管情况</w:t>
      </w:r>
    </w:p>
    <w:p>
      <w:pPr>
        <w:pStyle w:val="BodyText"/>
        <w:spacing w:before="7"/>
        <w:rPr>
          <w:sz w:val="15"/>
        </w:rPr>
      </w:pPr>
    </w:p>
    <w:p>
      <w:pPr>
        <w:pStyle w:val="BodyText"/>
        <w:ind w:left="960"/>
        <w:rPr>
          <w:rFonts w:ascii="Calibri" w:eastAsia="Calibri"/>
        </w:rPr>
      </w:pPr>
      <w:r>
        <w:rPr/>
        <w:t>截至</w:t>
      </w:r>
      <w:r>
        <w:rPr>
          <w:rFonts w:ascii="Calibri" w:eastAsia="Calibri"/>
        </w:rPr>
        <w:t>2020</w:t>
      </w:r>
      <w:r>
        <w:rPr/>
        <w:t>年</w:t>
      </w:r>
      <w:r>
        <w:rPr>
          <w:rFonts w:ascii="Calibri" w:eastAsia="Calibri"/>
        </w:rPr>
        <w:t>6</w:t>
      </w:r>
      <w:r>
        <w:rPr/>
        <w:t>月</w:t>
      </w:r>
      <w:r>
        <w:rPr>
          <w:rFonts w:ascii="Calibri" w:eastAsia="Calibri"/>
        </w:rPr>
        <w:t>30</w:t>
      </w:r>
      <w:r>
        <w:rPr/>
        <w:t>日，中国银行已托管</w:t>
      </w:r>
      <w:r>
        <w:rPr>
          <w:rFonts w:ascii="Calibri" w:eastAsia="Calibri"/>
        </w:rPr>
        <w:t>830</w:t>
      </w:r>
      <w:r>
        <w:rPr/>
        <w:t>只证券投资基金，其中境内基金</w:t>
      </w:r>
      <w:r>
        <w:rPr>
          <w:rFonts w:ascii="Calibri" w:eastAsia="Calibri"/>
        </w:rPr>
        <w:t>783</w:t>
      </w:r>
      <w:r>
        <w:rPr/>
        <w:t>只，</w:t>
      </w:r>
      <w:r>
        <w:rPr>
          <w:rFonts w:ascii="Calibri" w:eastAsia="Calibri"/>
        </w:rPr>
        <w:t>QDII</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line="417" w:lineRule="auto" w:before="72"/>
        <w:ind w:left="540" w:right="873"/>
      </w:pPr>
      <w:r>
        <w:rPr/>
        <w:t>基金</w:t>
      </w:r>
      <w:r>
        <w:rPr>
          <w:rFonts w:ascii="Calibri" w:eastAsia="Calibri"/>
        </w:rPr>
        <w:t>47</w:t>
      </w:r>
      <w:r>
        <w:rPr/>
        <w:t>只，覆盖了股票型、债券型、混合型、货币型、指数型、</w:t>
      </w:r>
      <w:r>
        <w:rPr>
          <w:rFonts w:ascii="Calibri" w:eastAsia="Calibri"/>
        </w:rPr>
        <w:t>FOF</w:t>
      </w:r>
      <w:r>
        <w:rPr/>
        <w:t>等多种类型的基金，满足了不同客户多元化的投资理财需求，基金托管规模位居同业前列。</w:t>
      </w:r>
    </w:p>
    <w:p>
      <w:pPr>
        <w:pStyle w:val="BodyText"/>
        <w:spacing w:line="269" w:lineRule="exact"/>
        <w:ind w:left="960"/>
      </w:pPr>
      <w:r>
        <w:rPr/>
        <w:t>（四）托管业务的内部控制制度</w:t>
      </w:r>
    </w:p>
    <w:p>
      <w:pPr>
        <w:pStyle w:val="BodyText"/>
        <w:spacing w:before="6"/>
        <w:rPr>
          <w:sz w:val="15"/>
        </w:rPr>
      </w:pPr>
    </w:p>
    <w:p>
      <w:pPr>
        <w:pStyle w:val="BodyText"/>
        <w:spacing w:line="417" w:lineRule="auto"/>
        <w:ind w:left="540" w:right="871" w:firstLine="419"/>
        <w:jc w:val="both"/>
      </w:pPr>
      <w:r>
        <w:rPr>
          <w:spacing w:val="-6"/>
        </w:rPr>
        <w:t>中国银行托管业务部风险管理与控制工作是中国银行全面风险控制工作的组成部分，秉承中国银行风险控制理念，坚持</w:t>
      </w:r>
      <w:r>
        <w:rPr>
          <w:rFonts w:ascii="Calibri" w:hAnsi="Calibri" w:eastAsia="Calibri"/>
        </w:rPr>
        <w:t>“</w:t>
      </w:r>
      <w:r>
        <w:rPr>
          <w:spacing w:val="-6"/>
        </w:rPr>
        <w:t>规范运作、稳健经营</w:t>
      </w:r>
      <w:r>
        <w:rPr>
          <w:rFonts w:ascii="Calibri" w:hAnsi="Calibri" w:eastAsia="Calibri"/>
        </w:rPr>
        <w:t>”</w:t>
      </w:r>
      <w:r>
        <w:rPr>
          <w:spacing w:val="-6"/>
        </w:rPr>
        <w:t>的原则。中国银行托管业务部风险控</w:t>
      </w:r>
      <w:r>
        <w:rPr>
          <w:spacing w:val="-10"/>
        </w:rPr>
        <w:t>制工作贯穿业务各环节，通过风险识别与评估、风险控制措施设定及制度建设、内外部检查</w:t>
      </w:r>
      <w:r>
        <w:rPr>
          <w:spacing w:val="-5"/>
        </w:rPr>
        <w:t>及审计等措施强化托管业务全员、全面、全程的风险管控。</w:t>
      </w:r>
    </w:p>
    <w:p>
      <w:pPr>
        <w:pStyle w:val="BodyText"/>
        <w:spacing w:line="417" w:lineRule="auto"/>
        <w:ind w:left="540" w:right="768" w:firstLine="419"/>
      </w:pPr>
      <w:r>
        <w:rPr>
          <w:rFonts w:ascii="Calibri" w:hAnsi="Calibri" w:eastAsia="Calibri"/>
        </w:rPr>
        <w:t>2007</w:t>
      </w:r>
      <w:r>
        <w:rPr>
          <w:spacing w:val="-3"/>
        </w:rPr>
        <w:t>年起，中国银行连续聘请外部会计会计师事务所开展托管业务内部控制审阅工作。先后获得基于 </w:t>
      </w:r>
      <w:r>
        <w:rPr>
          <w:rFonts w:ascii="Calibri" w:hAnsi="Calibri" w:eastAsia="Calibri"/>
        </w:rPr>
        <w:t>“SAS70”</w:t>
      </w:r>
      <w:r>
        <w:rPr>
          <w:spacing w:val="-3"/>
        </w:rPr>
        <w:t>、</w:t>
      </w:r>
      <w:r>
        <w:rPr>
          <w:rFonts w:ascii="Calibri" w:hAnsi="Calibri" w:eastAsia="Calibri"/>
          <w:spacing w:val="-3"/>
        </w:rPr>
        <w:t>“AAF01/06</w:t>
      </w:r>
      <w:r>
        <w:rPr>
          <w:rFonts w:ascii="Calibri" w:hAnsi="Calibri" w:eastAsia="Calibri"/>
          <w:spacing w:val="4"/>
        </w:rPr>
        <w:t>” </w:t>
      </w:r>
      <w:r>
        <w:rPr>
          <w:rFonts w:ascii="Calibri" w:hAnsi="Calibri" w:eastAsia="Calibri"/>
        </w:rPr>
        <w:t>“ISAE3402”</w:t>
      </w:r>
      <w:r>
        <w:rPr/>
        <w:t>和</w:t>
      </w:r>
      <w:r>
        <w:rPr>
          <w:rFonts w:ascii="Calibri" w:hAnsi="Calibri" w:eastAsia="Calibri"/>
        </w:rPr>
        <w:t>“SSAE16”</w:t>
      </w:r>
      <w:r>
        <w:rPr>
          <w:spacing w:val="-3"/>
        </w:rPr>
        <w:t>等国际主流内控审阅准则的无保留意见的审阅报告。</w:t>
      </w:r>
      <w:r>
        <w:rPr>
          <w:rFonts w:ascii="Calibri" w:hAnsi="Calibri" w:eastAsia="Calibri"/>
        </w:rPr>
        <w:t>2017</w:t>
      </w:r>
      <w:r>
        <w:rPr>
          <w:spacing w:val="-3"/>
        </w:rPr>
        <w:t>年，中国银行继续获得了基于</w:t>
      </w:r>
      <w:r>
        <w:rPr>
          <w:rFonts w:ascii="Calibri" w:hAnsi="Calibri" w:eastAsia="Calibri"/>
        </w:rPr>
        <w:t>“ISAE3402”</w:t>
      </w:r>
      <w:r>
        <w:rPr>
          <w:spacing w:val="-3"/>
        </w:rPr>
        <w:t>和</w:t>
      </w:r>
      <w:r>
        <w:rPr>
          <w:rFonts w:ascii="Calibri" w:hAnsi="Calibri" w:eastAsia="Calibri"/>
        </w:rPr>
        <w:t>“SSAE16”</w:t>
      </w:r>
      <w:r>
        <w:rPr>
          <w:spacing w:val="-1"/>
        </w:rPr>
        <w:t>双准则的内部</w:t>
      </w:r>
      <w:r>
        <w:rPr>
          <w:spacing w:val="-10"/>
        </w:rPr>
        <w:t>控制审计报告。中国银行托管业务内控制度完善，内控措施严密，能够有效保证托管资产的安全。</w:t>
      </w:r>
    </w:p>
    <w:p>
      <w:pPr>
        <w:pStyle w:val="BodyText"/>
        <w:spacing w:line="268" w:lineRule="exact"/>
        <w:ind w:left="960"/>
      </w:pPr>
      <w:r>
        <w:rPr/>
        <w:t>（五）托管人对管理人运作基金进行监督的方法和程序</w:t>
      </w:r>
    </w:p>
    <w:p>
      <w:pPr>
        <w:pStyle w:val="BodyText"/>
        <w:spacing w:before="7"/>
        <w:rPr>
          <w:sz w:val="15"/>
        </w:rPr>
      </w:pPr>
    </w:p>
    <w:p>
      <w:pPr>
        <w:pStyle w:val="BodyText"/>
        <w:spacing w:line="417" w:lineRule="auto"/>
        <w:ind w:left="540" w:right="871" w:firstLine="419"/>
        <w:jc w:val="both"/>
      </w:pPr>
      <w:r>
        <w:rPr>
          <w:spacing w:val="-13"/>
        </w:rPr>
        <w:t>根据《中华人民共和国证券投资基金法》</w:t>
      </w:r>
      <w:r>
        <w:rPr>
          <w:spacing w:val="-15"/>
        </w:rPr>
        <w:t>、《公开募集证券投资基金运作管理办法》的相</w:t>
      </w:r>
      <w:r>
        <w:rPr>
          <w:spacing w:val="-12"/>
        </w:rPr>
        <w:t>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Pr>
          <w:rFonts w:ascii="Calibri" w:eastAsia="Calibri"/>
          <w:spacing w:val="-12"/>
        </w:rPr>
        <w:t>,</w:t>
      </w:r>
      <w:r>
        <w:rPr>
          <w:spacing w:val="-12"/>
        </w:rPr>
        <w:t>应当及时通知基金管理人，并及时向国务</w:t>
      </w:r>
      <w:r>
        <w:rPr>
          <w:spacing w:val="-3"/>
        </w:rPr>
        <w:t>院证券监督管理机构报告。</w:t>
      </w:r>
    </w:p>
    <w:p>
      <w:pPr>
        <w:pStyle w:val="BodyText"/>
        <w:spacing w:before="7"/>
        <w:rPr>
          <w:sz w:val="26"/>
        </w:rPr>
      </w:pPr>
    </w:p>
    <w:p>
      <w:pPr>
        <w:pStyle w:val="Heading1"/>
        <w:ind w:left="413"/>
      </w:pPr>
      <w:bookmarkStart w:name="_bookmark17" w:id="18"/>
      <w:bookmarkEnd w:id="18"/>
      <w:r>
        <w:rPr>
          <w:b w:val="0"/>
        </w:rPr>
      </w:r>
      <w:r>
        <w:rPr/>
        <w:t>十八、境外资产托管人</w:t>
      </w:r>
    </w:p>
    <w:p>
      <w:pPr>
        <w:pStyle w:val="BodyText"/>
        <w:rPr>
          <w:b/>
          <w:sz w:val="20"/>
        </w:rPr>
      </w:pPr>
    </w:p>
    <w:p>
      <w:pPr>
        <w:pStyle w:val="BodyText"/>
        <w:spacing w:before="3"/>
        <w:rPr>
          <w:b/>
        </w:rPr>
      </w:pPr>
    </w:p>
    <w:p>
      <w:pPr>
        <w:pStyle w:val="BodyText"/>
        <w:ind w:left="960"/>
      </w:pPr>
      <w:r>
        <w:rPr/>
        <w:t>（一）境外资产托管人基本情况</w:t>
      </w:r>
    </w:p>
    <w:p>
      <w:pPr>
        <w:pStyle w:val="BodyText"/>
        <w:spacing w:before="7"/>
        <w:rPr>
          <w:sz w:val="15"/>
        </w:rPr>
      </w:pPr>
    </w:p>
    <w:p>
      <w:pPr>
        <w:pStyle w:val="BodyText"/>
        <w:spacing w:line="417" w:lineRule="auto"/>
        <w:ind w:left="960" w:right="3754"/>
      </w:pPr>
      <w:r>
        <w:rPr/>
        <w:t>名称：中国银行（香港）有限公司（简称</w:t>
      </w:r>
      <w:r>
        <w:rPr>
          <w:rFonts w:ascii="Calibri" w:hAnsi="Calibri" w:eastAsia="Calibri"/>
        </w:rPr>
        <w:t>“</w:t>
      </w:r>
      <w:r>
        <w:rPr/>
        <w:t>中银香港</w:t>
      </w:r>
      <w:r>
        <w:rPr>
          <w:rFonts w:ascii="Calibri" w:hAnsi="Calibri" w:eastAsia="Calibri"/>
        </w:rPr>
        <w:t>”</w:t>
      </w:r>
      <w:r>
        <w:rPr/>
        <w:t>） 注册地址：香港中环花园道 </w:t>
      </w:r>
      <w:r>
        <w:rPr>
          <w:rFonts w:ascii="Calibri" w:hAnsi="Calibri" w:eastAsia="Calibri"/>
        </w:rPr>
        <w:t>1 </w:t>
      </w:r>
      <w:r>
        <w:rPr/>
        <w:t>号中银大厦</w:t>
      </w:r>
    </w:p>
    <w:p>
      <w:pPr>
        <w:pStyle w:val="BodyText"/>
        <w:spacing w:line="417" w:lineRule="auto"/>
        <w:ind w:left="960" w:right="4919"/>
      </w:pPr>
      <w:r>
        <w:rPr/>
        <w:t>办公地址：香港中环花园道 </w:t>
      </w:r>
      <w:r>
        <w:rPr>
          <w:rFonts w:ascii="Calibri" w:eastAsia="Calibri"/>
        </w:rPr>
        <w:t>1 </w:t>
      </w:r>
      <w:r>
        <w:rPr/>
        <w:t>号中银大厦法定代表人：高迎欣</w:t>
      </w:r>
    </w:p>
    <w:p>
      <w:pPr>
        <w:pStyle w:val="BodyText"/>
        <w:spacing w:line="417" w:lineRule="auto"/>
        <w:ind w:left="960" w:right="5885"/>
      </w:pPr>
      <w:r>
        <w:rPr/>
        <w:t>成立时间：</w:t>
      </w:r>
      <w:r>
        <w:rPr>
          <w:rFonts w:ascii="Calibri" w:eastAsia="Calibri"/>
        </w:rPr>
        <w:t>1964 </w:t>
      </w:r>
      <w:r>
        <w:rPr/>
        <w:t>年 </w:t>
      </w:r>
      <w:r>
        <w:rPr>
          <w:rFonts w:ascii="Calibri" w:eastAsia="Calibri"/>
        </w:rPr>
        <w:t>10 </w:t>
      </w:r>
      <w:r>
        <w:rPr/>
        <w:t>月 </w:t>
      </w:r>
      <w:r>
        <w:rPr>
          <w:rFonts w:ascii="Calibri" w:eastAsia="Calibri"/>
        </w:rPr>
        <w:t>16 </w:t>
      </w:r>
      <w:r>
        <w:rPr/>
        <w:t>日组织形式：股份有限公司</w:t>
      </w:r>
    </w:p>
    <w:p>
      <w:pPr>
        <w:pStyle w:val="BodyText"/>
        <w:ind w:left="960"/>
      </w:pPr>
      <w:r>
        <w:rPr/>
        <w:t>存续期间：持续经营</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pPr>
      <w:r>
        <w:rPr/>
        <w:t>联系人：黄晚仪</w:t>
      </w:r>
    </w:p>
    <w:p>
      <w:pPr>
        <w:pStyle w:val="BodyText"/>
        <w:spacing w:before="7"/>
        <w:rPr>
          <w:sz w:val="15"/>
        </w:rPr>
      </w:pPr>
    </w:p>
    <w:p>
      <w:pPr>
        <w:pStyle w:val="BodyText"/>
        <w:ind w:left="960"/>
        <w:rPr>
          <w:rFonts w:ascii="Calibri" w:eastAsia="Calibri"/>
        </w:rPr>
      </w:pPr>
      <w:r>
        <w:rPr/>
        <w:t>联系电话：</w:t>
      </w:r>
      <w:r>
        <w:rPr>
          <w:rFonts w:ascii="Calibri" w:eastAsia="Calibri"/>
        </w:rPr>
        <w:t>852-3982-6753</w:t>
      </w:r>
    </w:p>
    <w:p>
      <w:pPr>
        <w:pStyle w:val="BodyText"/>
        <w:spacing w:before="4"/>
        <w:rPr>
          <w:rFonts w:ascii="Calibri"/>
          <w:sz w:val="16"/>
        </w:rPr>
      </w:pPr>
    </w:p>
    <w:p>
      <w:pPr>
        <w:pStyle w:val="BodyText"/>
        <w:spacing w:line="417" w:lineRule="auto"/>
        <w:ind w:left="540" w:right="873" w:firstLine="419"/>
        <w:jc w:val="both"/>
      </w:pPr>
      <w:r>
        <w:rPr>
          <w:spacing w:val="-10"/>
        </w:rPr>
        <w:t>中银香港于 </w:t>
      </w:r>
      <w:r>
        <w:rPr>
          <w:rFonts w:ascii="Calibri" w:hAnsi="Calibri" w:eastAsia="Calibri"/>
        </w:rPr>
        <w:t>1964 </w:t>
      </w:r>
      <w:r>
        <w:rPr>
          <w:spacing w:val="-10"/>
        </w:rPr>
        <w:t>年成立，并在 </w:t>
      </w:r>
      <w:r>
        <w:rPr>
          <w:rFonts w:ascii="Calibri" w:hAnsi="Calibri" w:eastAsia="Calibri"/>
        </w:rPr>
        <w:t>2001 </w:t>
      </w:r>
      <w:r>
        <w:rPr>
          <w:spacing w:val="-26"/>
        </w:rPr>
        <w:t>年 </w:t>
      </w:r>
      <w:r>
        <w:rPr>
          <w:rFonts w:ascii="Calibri" w:hAnsi="Calibri" w:eastAsia="Calibri"/>
        </w:rPr>
        <w:t>10 </w:t>
      </w:r>
      <w:r>
        <w:rPr>
          <w:spacing w:val="-26"/>
        </w:rPr>
        <w:t>月 </w:t>
      </w:r>
      <w:r>
        <w:rPr>
          <w:rFonts w:ascii="Calibri" w:hAnsi="Calibri" w:eastAsia="Calibri"/>
        </w:rPr>
        <w:t>1 </w:t>
      </w:r>
      <w:r>
        <w:rPr>
          <w:spacing w:val="-3"/>
        </w:rPr>
        <w:t>日正式重组为中国银行（</w:t>
      </w:r>
      <w:r>
        <w:rPr>
          <w:spacing w:val="-2"/>
        </w:rPr>
        <w:t>香港</w:t>
      </w:r>
      <w:r>
        <w:rPr>
          <w:spacing w:val="-3"/>
        </w:rPr>
        <w:t>）</w:t>
      </w:r>
      <w:r>
        <w:rPr>
          <w:spacing w:val="-2"/>
        </w:rPr>
        <w:t>有限公</w:t>
      </w:r>
      <w:r>
        <w:rPr>
          <w:spacing w:val="-3"/>
        </w:rPr>
        <w:t>司，是一家在香港注册的持牌银行。其控股母公司中银香港</w:t>
      </w:r>
      <w:r>
        <w:rPr/>
        <w:t>（</w:t>
      </w:r>
      <w:r>
        <w:rPr>
          <w:spacing w:val="-2"/>
        </w:rPr>
        <w:t>控股</w:t>
      </w:r>
      <w:r>
        <w:rPr/>
        <w:t>）</w:t>
      </w:r>
      <w:r>
        <w:rPr>
          <w:spacing w:val="-1"/>
        </w:rPr>
        <w:t>有限公司</w:t>
      </w:r>
      <w:r>
        <w:rPr/>
        <w:t>（简称</w:t>
      </w:r>
      <w:r>
        <w:rPr>
          <w:rFonts w:ascii="Calibri" w:hAnsi="Calibri" w:eastAsia="Calibri"/>
        </w:rPr>
        <w:t>“</w:t>
      </w:r>
      <w:r>
        <w:rPr>
          <w:spacing w:val="-3"/>
        </w:rPr>
        <w:t>中银</w:t>
      </w:r>
      <w:r>
        <w:rPr/>
        <w:t>香港</w:t>
      </w:r>
      <w:r>
        <w:rPr>
          <w:spacing w:val="-3"/>
        </w:rPr>
        <w:t>（</w:t>
      </w:r>
      <w:r>
        <w:rPr>
          <w:spacing w:val="-2"/>
        </w:rPr>
        <w:t>控股</w:t>
      </w:r>
      <w:r>
        <w:rPr/>
        <w:t>）</w:t>
      </w:r>
      <w:r>
        <w:rPr>
          <w:rFonts w:ascii="Calibri" w:hAnsi="Calibri" w:eastAsia="Calibri"/>
        </w:rPr>
        <w:t>”</w:t>
      </w:r>
      <w:r>
        <w:rPr/>
        <w:t>）</w:t>
      </w:r>
      <w:r>
        <w:rPr>
          <w:rFonts w:ascii="Calibri" w:hAnsi="Calibri" w:eastAsia="Calibri"/>
        </w:rPr>
        <w:t>2001 </w:t>
      </w:r>
      <w:r>
        <w:rPr>
          <w:spacing w:val="-26"/>
        </w:rPr>
        <w:t>年 </w:t>
      </w:r>
      <w:r>
        <w:rPr>
          <w:rFonts w:ascii="Calibri" w:hAnsi="Calibri" w:eastAsia="Calibri"/>
        </w:rPr>
        <w:t>2 </w:t>
      </w:r>
      <w:r>
        <w:rPr>
          <w:spacing w:val="-3"/>
        </w:rPr>
        <w:t>日在香港注册成立，</w:t>
      </w:r>
      <w:r>
        <w:rPr>
          <w:rFonts w:ascii="Calibri" w:hAnsi="Calibri" w:eastAsia="Calibri"/>
        </w:rPr>
        <w:t>2002 </w:t>
      </w:r>
      <w:r>
        <w:rPr>
          <w:spacing w:val="-25"/>
        </w:rPr>
        <w:t>年 </w:t>
      </w:r>
      <w:r>
        <w:rPr>
          <w:rFonts w:ascii="Calibri" w:hAnsi="Calibri" w:eastAsia="Calibri"/>
        </w:rPr>
        <w:t>7 </w:t>
      </w:r>
      <w:r>
        <w:rPr>
          <w:spacing w:val="-25"/>
        </w:rPr>
        <w:t>月 </w:t>
      </w:r>
      <w:r>
        <w:rPr>
          <w:rFonts w:ascii="Calibri" w:hAnsi="Calibri" w:eastAsia="Calibri"/>
        </w:rPr>
        <w:t>25 </w:t>
      </w:r>
      <w:r>
        <w:rPr>
          <w:spacing w:val="-3"/>
        </w:rPr>
        <w:t>日开始在香港联合交易所主</w:t>
      </w:r>
    </w:p>
    <w:p>
      <w:pPr>
        <w:pStyle w:val="BodyText"/>
        <w:spacing w:line="417" w:lineRule="auto"/>
        <w:ind w:left="540" w:right="873"/>
        <w:jc w:val="both"/>
      </w:pPr>
      <w:r>
        <w:rPr>
          <w:spacing w:val="-2"/>
        </w:rPr>
        <w:t>板上市，</w:t>
      </w:r>
      <w:r>
        <w:rPr>
          <w:rFonts w:ascii="Calibri" w:eastAsia="Calibri"/>
          <w:spacing w:val="-5"/>
        </w:rPr>
        <w:t>2002 </w:t>
      </w:r>
      <w:r>
        <w:rPr>
          <w:spacing w:val="-24"/>
        </w:rPr>
        <w:t>年 </w:t>
      </w:r>
      <w:r>
        <w:rPr>
          <w:rFonts w:ascii="Calibri" w:eastAsia="Calibri"/>
        </w:rPr>
        <w:t>12 </w:t>
      </w:r>
      <w:r>
        <w:rPr>
          <w:spacing w:val="-22"/>
        </w:rPr>
        <w:t>月 </w:t>
      </w:r>
      <w:r>
        <w:rPr>
          <w:rFonts w:ascii="Calibri" w:eastAsia="Calibri"/>
        </w:rPr>
        <w:t>2 </w:t>
      </w:r>
      <w:r>
        <w:rPr>
          <w:spacing w:val="-6"/>
        </w:rPr>
        <w:t>日被纳入为恒生指数成份股。中银香港目前主要受香港金管局、证</w:t>
      </w:r>
      <w:r>
        <w:rPr>
          <w:spacing w:val="-4"/>
        </w:rPr>
        <w:t>监会以及联交所等机构的监管。</w:t>
      </w:r>
    </w:p>
    <w:p>
      <w:pPr>
        <w:pStyle w:val="BodyText"/>
        <w:spacing w:line="417" w:lineRule="auto"/>
        <w:ind w:left="540" w:right="767" w:firstLine="419"/>
      </w:pPr>
      <w:r>
        <w:rPr/>
        <w:pict>
          <v:shape style="position:absolute;margin-left:89.543999pt;margin-top:65.220016pt;width:412.65pt;height:90.85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7"/>
                    <w:gridCol w:w="2437"/>
                    <w:gridCol w:w="1904"/>
                    <w:gridCol w:w="1892"/>
                  </w:tblGrid>
                  <w:tr>
                    <w:trPr>
                      <w:trHeight w:val="510" w:hRule="atLeast"/>
                    </w:trPr>
                    <w:tc>
                      <w:tcPr>
                        <w:tcW w:w="2007" w:type="dxa"/>
                        <w:tcBorders>
                          <w:right w:val="single" w:sz="6" w:space="0" w:color="000000"/>
                        </w:tcBorders>
                      </w:tcPr>
                      <w:p>
                        <w:pPr>
                          <w:pStyle w:val="TableParagraph"/>
                          <w:rPr>
                            <w:rFonts w:ascii="Times New Roman"/>
                            <w:sz w:val="20"/>
                          </w:rPr>
                        </w:pPr>
                      </w:p>
                    </w:tc>
                    <w:tc>
                      <w:tcPr>
                        <w:tcW w:w="2437" w:type="dxa"/>
                        <w:tcBorders>
                          <w:left w:val="single" w:sz="6" w:space="0" w:color="000000"/>
                        </w:tcBorders>
                      </w:tcPr>
                      <w:p>
                        <w:pPr>
                          <w:pStyle w:val="TableParagraph"/>
                          <w:spacing w:before="22"/>
                          <w:ind w:left="105"/>
                          <w:rPr>
                            <w:rFonts w:ascii="宋体" w:eastAsia="宋体" w:hint="eastAsia"/>
                            <w:sz w:val="21"/>
                          </w:rPr>
                        </w:pPr>
                        <w:r>
                          <w:rPr>
                            <w:rFonts w:ascii="宋体" w:eastAsia="宋体" w:hint="eastAsia"/>
                            <w:sz w:val="21"/>
                          </w:rPr>
                          <w:t>穆迪投资服务</w:t>
                        </w:r>
                      </w:p>
                    </w:tc>
                    <w:tc>
                      <w:tcPr>
                        <w:tcW w:w="1904" w:type="dxa"/>
                      </w:tcPr>
                      <w:p>
                        <w:pPr>
                          <w:pStyle w:val="TableParagraph"/>
                          <w:spacing w:before="22"/>
                          <w:ind w:left="107"/>
                          <w:rPr>
                            <w:rFonts w:ascii="宋体" w:eastAsia="宋体" w:hint="eastAsia"/>
                            <w:sz w:val="21"/>
                          </w:rPr>
                        </w:pPr>
                        <w:r>
                          <w:rPr>
                            <w:rFonts w:ascii="宋体" w:eastAsia="宋体" w:hint="eastAsia"/>
                            <w:sz w:val="21"/>
                          </w:rPr>
                          <w:t>标准普尔</w:t>
                        </w:r>
                      </w:p>
                    </w:tc>
                    <w:tc>
                      <w:tcPr>
                        <w:tcW w:w="1892" w:type="dxa"/>
                      </w:tcPr>
                      <w:p>
                        <w:pPr>
                          <w:pStyle w:val="TableParagraph"/>
                          <w:spacing w:before="22"/>
                          <w:ind w:left="106"/>
                          <w:rPr>
                            <w:rFonts w:ascii="宋体" w:eastAsia="宋体" w:hint="eastAsia"/>
                            <w:sz w:val="21"/>
                          </w:rPr>
                        </w:pPr>
                        <w:r>
                          <w:rPr>
                            <w:rFonts w:ascii="宋体" w:eastAsia="宋体" w:hint="eastAsia"/>
                            <w:sz w:val="21"/>
                          </w:rPr>
                          <w:t>惠誉国际评级</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评级展望</w:t>
                        </w:r>
                      </w:p>
                    </w:tc>
                    <w:tc>
                      <w:tcPr>
                        <w:tcW w:w="2437" w:type="dxa"/>
                        <w:tcBorders>
                          <w:left w:val="single" w:sz="6" w:space="0" w:color="000000"/>
                        </w:tcBorders>
                      </w:tcPr>
                      <w:p>
                        <w:pPr>
                          <w:pStyle w:val="TableParagraph"/>
                          <w:spacing w:before="22"/>
                          <w:ind w:left="105"/>
                          <w:rPr>
                            <w:rFonts w:ascii="宋体" w:eastAsia="宋体" w:hint="eastAsia"/>
                            <w:sz w:val="21"/>
                          </w:rPr>
                        </w:pPr>
                        <w:r>
                          <w:rPr>
                            <w:rFonts w:ascii="宋体" w:eastAsia="宋体" w:hint="eastAsia"/>
                            <w:sz w:val="21"/>
                          </w:rPr>
                          <w:t>稳定</w:t>
                        </w:r>
                      </w:p>
                    </w:tc>
                    <w:tc>
                      <w:tcPr>
                        <w:tcW w:w="1904" w:type="dxa"/>
                      </w:tcPr>
                      <w:p>
                        <w:pPr>
                          <w:pStyle w:val="TableParagraph"/>
                          <w:spacing w:before="22"/>
                          <w:ind w:left="107"/>
                          <w:rPr>
                            <w:rFonts w:ascii="宋体" w:eastAsia="宋体" w:hint="eastAsia"/>
                            <w:sz w:val="21"/>
                          </w:rPr>
                        </w:pPr>
                        <w:r>
                          <w:rPr>
                            <w:rFonts w:ascii="宋体" w:eastAsia="宋体" w:hint="eastAsia"/>
                            <w:sz w:val="21"/>
                          </w:rPr>
                          <w:t>稳定</w:t>
                        </w:r>
                      </w:p>
                    </w:tc>
                    <w:tc>
                      <w:tcPr>
                        <w:tcW w:w="1892" w:type="dxa"/>
                      </w:tcPr>
                      <w:p>
                        <w:pPr>
                          <w:pStyle w:val="TableParagraph"/>
                          <w:spacing w:before="22"/>
                          <w:ind w:left="106"/>
                          <w:rPr>
                            <w:rFonts w:ascii="宋体" w:eastAsia="宋体" w:hint="eastAsia"/>
                            <w:sz w:val="21"/>
                          </w:rPr>
                        </w:pPr>
                        <w:r>
                          <w:rPr>
                            <w:rFonts w:ascii="宋体" w:eastAsia="宋体" w:hint="eastAsia"/>
                            <w:sz w:val="21"/>
                          </w:rPr>
                          <w:t>稳定</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长期</w:t>
                        </w:r>
                      </w:p>
                    </w:tc>
                    <w:tc>
                      <w:tcPr>
                        <w:tcW w:w="2437" w:type="dxa"/>
                        <w:tcBorders>
                          <w:left w:val="single" w:sz="6" w:space="0" w:color="000000"/>
                        </w:tcBorders>
                      </w:tcPr>
                      <w:p>
                        <w:pPr>
                          <w:pStyle w:val="TableParagraph"/>
                          <w:spacing w:before="28"/>
                          <w:ind w:left="105"/>
                          <w:rPr>
                            <w:sz w:val="21"/>
                          </w:rPr>
                        </w:pPr>
                        <w:r>
                          <w:rPr>
                            <w:sz w:val="21"/>
                          </w:rPr>
                          <w:t>Aa3</w:t>
                        </w:r>
                      </w:p>
                    </w:tc>
                    <w:tc>
                      <w:tcPr>
                        <w:tcW w:w="1904" w:type="dxa"/>
                      </w:tcPr>
                      <w:p>
                        <w:pPr>
                          <w:pStyle w:val="TableParagraph"/>
                          <w:spacing w:before="28"/>
                          <w:ind w:left="107"/>
                          <w:rPr>
                            <w:sz w:val="21"/>
                          </w:rPr>
                        </w:pPr>
                        <w:r>
                          <w:rPr>
                            <w:sz w:val="21"/>
                          </w:rPr>
                          <w:t>A+</w:t>
                        </w:r>
                      </w:p>
                    </w:tc>
                    <w:tc>
                      <w:tcPr>
                        <w:tcW w:w="1892" w:type="dxa"/>
                      </w:tcPr>
                      <w:p>
                        <w:pPr>
                          <w:pStyle w:val="TableParagraph"/>
                          <w:spacing w:before="28"/>
                          <w:ind w:left="106"/>
                          <w:rPr>
                            <w:sz w:val="21"/>
                          </w:rPr>
                        </w:pPr>
                        <w:r>
                          <w:rPr>
                            <w:w w:val="100"/>
                            <w:sz w:val="21"/>
                          </w:rPr>
                          <w:t>A</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短期</w:t>
                        </w:r>
                      </w:p>
                    </w:tc>
                    <w:tc>
                      <w:tcPr>
                        <w:tcW w:w="2437" w:type="dxa"/>
                        <w:tcBorders>
                          <w:left w:val="single" w:sz="6" w:space="0" w:color="000000"/>
                        </w:tcBorders>
                      </w:tcPr>
                      <w:p>
                        <w:pPr>
                          <w:pStyle w:val="TableParagraph"/>
                          <w:spacing w:before="28"/>
                          <w:ind w:left="105"/>
                          <w:rPr>
                            <w:sz w:val="21"/>
                          </w:rPr>
                        </w:pPr>
                        <w:r>
                          <w:rPr>
                            <w:sz w:val="21"/>
                          </w:rPr>
                          <w:t>P-1</w:t>
                        </w:r>
                      </w:p>
                    </w:tc>
                    <w:tc>
                      <w:tcPr>
                        <w:tcW w:w="1904" w:type="dxa"/>
                      </w:tcPr>
                      <w:p>
                        <w:pPr>
                          <w:pStyle w:val="TableParagraph"/>
                          <w:spacing w:before="28"/>
                          <w:ind w:left="107"/>
                          <w:rPr>
                            <w:sz w:val="21"/>
                          </w:rPr>
                        </w:pPr>
                        <w:r>
                          <w:rPr>
                            <w:sz w:val="21"/>
                          </w:rPr>
                          <w:t>A-1</w:t>
                        </w:r>
                      </w:p>
                    </w:tc>
                    <w:tc>
                      <w:tcPr>
                        <w:tcW w:w="1892" w:type="dxa"/>
                      </w:tcPr>
                      <w:p>
                        <w:pPr>
                          <w:pStyle w:val="TableParagraph"/>
                          <w:spacing w:before="28"/>
                          <w:ind w:left="106"/>
                          <w:rPr>
                            <w:sz w:val="21"/>
                          </w:rPr>
                        </w:pPr>
                        <w:r>
                          <w:rPr>
                            <w:sz w:val="21"/>
                          </w:rPr>
                          <w:t>F1</w:t>
                        </w:r>
                      </w:p>
                    </w:tc>
                  </w:tr>
                  <w:tr>
                    <w:trPr>
                      <w:trHeight w:val="311" w:hRule="atLeast"/>
                    </w:trPr>
                    <w:tc>
                      <w:tcPr>
                        <w:tcW w:w="2007" w:type="dxa"/>
                        <w:tcBorders>
                          <w:right w:val="single" w:sz="6" w:space="0" w:color="000000"/>
                        </w:tcBorders>
                      </w:tcPr>
                      <w:p>
                        <w:pPr>
                          <w:pStyle w:val="TableParagraph"/>
                          <w:spacing w:before="22"/>
                          <w:ind w:left="107"/>
                          <w:rPr>
                            <w:rFonts w:ascii="宋体" w:eastAsia="宋体" w:hint="eastAsia"/>
                            <w:sz w:val="21"/>
                          </w:rPr>
                        </w:pPr>
                        <w:r>
                          <w:rPr>
                            <w:rFonts w:ascii="宋体" w:eastAsia="宋体" w:hint="eastAsia"/>
                            <w:sz w:val="21"/>
                          </w:rPr>
                          <w:t>展望</w:t>
                        </w:r>
                      </w:p>
                    </w:tc>
                    <w:tc>
                      <w:tcPr>
                        <w:tcW w:w="2437" w:type="dxa"/>
                        <w:tcBorders>
                          <w:left w:val="single" w:sz="6" w:space="0" w:color="000000"/>
                        </w:tcBorders>
                      </w:tcPr>
                      <w:p>
                        <w:pPr>
                          <w:pStyle w:val="TableParagraph"/>
                          <w:spacing w:before="22"/>
                          <w:ind w:left="105"/>
                          <w:rPr>
                            <w:rFonts w:ascii="宋体" w:eastAsia="宋体" w:hint="eastAsia"/>
                            <w:sz w:val="21"/>
                          </w:rPr>
                        </w:pPr>
                        <w:r>
                          <w:rPr>
                            <w:rFonts w:ascii="宋体" w:eastAsia="宋体" w:hint="eastAsia"/>
                            <w:sz w:val="21"/>
                          </w:rPr>
                          <w:t>稳定</w:t>
                        </w:r>
                      </w:p>
                    </w:tc>
                    <w:tc>
                      <w:tcPr>
                        <w:tcW w:w="1904" w:type="dxa"/>
                      </w:tcPr>
                      <w:p>
                        <w:pPr>
                          <w:pStyle w:val="TableParagraph"/>
                          <w:spacing w:before="22"/>
                          <w:ind w:left="107"/>
                          <w:rPr>
                            <w:rFonts w:ascii="宋体" w:eastAsia="宋体" w:hint="eastAsia"/>
                            <w:sz w:val="21"/>
                          </w:rPr>
                        </w:pPr>
                        <w:r>
                          <w:rPr>
                            <w:rFonts w:ascii="宋体" w:eastAsia="宋体" w:hint="eastAsia"/>
                            <w:sz w:val="21"/>
                          </w:rPr>
                          <w:t>稳定</w:t>
                        </w:r>
                      </w:p>
                    </w:tc>
                    <w:tc>
                      <w:tcPr>
                        <w:tcW w:w="1892" w:type="dxa"/>
                      </w:tcPr>
                      <w:p>
                        <w:pPr>
                          <w:pStyle w:val="TableParagraph"/>
                          <w:spacing w:before="22"/>
                          <w:ind w:left="106"/>
                          <w:rPr>
                            <w:rFonts w:ascii="宋体" w:eastAsia="宋体" w:hint="eastAsia"/>
                            <w:sz w:val="21"/>
                          </w:rPr>
                        </w:pPr>
                        <w:r>
                          <w:rPr>
                            <w:rFonts w:ascii="宋体" w:eastAsia="宋体" w:hint="eastAsia"/>
                            <w:sz w:val="21"/>
                          </w:rPr>
                          <w:t>稳定</w:t>
                        </w:r>
                      </w:p>
                    </w:tc>
                  </w:tr>
                </w:tbl>
                <w:p>
                  <w:pPr>
                    <w:pStyle w:val="BodyText"/>
                  </w:pPr>
                </w:p>
              </w:txbxContent>
            </v:textbox>
            <w10:wrap type="none"/>
          </v:shape>
        </w:pict>
      </w:r>
      <w:r>
        <w:rPr>
          <w:spacing w:val="-17"/>
        </w:rPr>
        <w:t>截至 </w:t>
      </w:r>
      <w:r>
        <w:rPr>
          <w:rFonts w:ascii="Calibri" w:eastAsia="Calibri"/>
        </w:rPr>
        <w:t>2018 </w:t>
      </w:r>
      <w:r>
        <w:rPr>
          <w:spacing w:val="-7"/>
        </w:rPr>
        <w:t>年末，中银香港</w:t>
      </w:r>
      <w:r>
        <w:rPr/>
        <w:t>（控股</w:t>
      </w:r>
      <w:r>
        <w:rPr>
          <w:spacing w:val="-17"/>
        </w:rPr>
        <w:t>）</w:t>
      </w:r>
      <w:r>
        <w:rPr>
          <w:spacing w:val="-7"/>
        </w:rPr>
        <w:t>有限公司的总资产超过 </w:t>
      </w:r>
      <w:r>
        <w:rPr>
          <w:rFonts w:ascii="Calibri" w:eastAsia="Calibri"/>
        </w:rPr>
        <w:t>29,529 </w:t>
      </w:r>
      <w:r>
        <w:rPr>
          <w:spacing w:val="-5"/>
        </w:rPr>
        <w:t>亿港元，资本总额超</w:t>
      </w:r>
      <w:r>
        <w:rPr>
          <w:spacing w:val="-17"/>
        </w:rPr>
        <w:t>过 </w:t>
      </w:r>
      <w:r>
        <w:rPr>
          <w:rFonts w:ascii="Calibri" w:eastAsia="Calibri"/>
        </w:rPr>
        <w:t>2,570 </w:t>
      </w:r>
      <w:r>
        <w:rPr>
          <w:spacing w:val="-6"/>
        </w:rPr>
        <w:t>亿港元，总资本比率为 </w:t>
      </w:r>
      <w:r>
        <w:rPr>
          <w:rFonts w:ascii="Calibri" w:eastAsia="Calibri"/>
        </w:rPr>
        <w:t>23.1%</w:t>
      </w:r>
      <w:r>
        <w:rPr>
          <w:spacing w:val="-3"/>
        </w:rPr>
        <w:t>。中银香港</w:t>
      </w:r>
      <w:r>
        <w:rPr/>
        <w:t>（</w:t>
      </w:r>
      <w:r>
        <w:rPr>
          <w:spacing w:val="-2"/>
        </w:rPr>
        <w:t>控股</w:t>
      </w:r>
      <w:r>
        <w:rPr/>
        <w:t>）</w:t>
      </w:r>
      <w:r>
        <w:rPr>
          <w:spacing w:val="-7"/>
        </w:rPr>
        <w:t>的财务实力及双 </w:t>
      </w:r>
      <w:r>
        <w:rPr>
          <w:rFonts w:ascii="Calibri" w:eastAsia="Calibri"/>
        </w:rPr>
        <w:t>A </w:t>
      </w:r>
      <w:r>
        <w:rPr>
          <w:spacing w:val="-3"/>
        </w:rPr>
        <w:t>级信用评级， </w:t>
      </w:r>
      <w:r>
        <w:rPr>
          <w:spacing w:val="-3"/>
          <w:w w:val="100"/>
        </w:rPr>
        <w:t>可媲美不少大型全球托管银行，其最新信评如下（</w:t>
      </w:r>
      <w:r>
        <w:rPr>
          <w:w w:val="100"/>
        </w:rPr>
        <w:t>截至</w:t>
      </w:r>
      <w:r>
        <w:rPr>
          <w:spacing w:val="-55"/>
        </w:rPr>
        <w:t> </w:t>
      </w:r>
      <w:r>
        <w:rPr>
          <w:rFonts w:ascii="Calibri" w:eastAsia="Calibri"/>
          <w:w w:val="100"/>
        </w:rPr>
        <w:t>2</w:t>
      </w:r>
      <w:r>
        <w:rPr>
          <w:rFonts w:ascii="Calibri" w:eastAsia="Calibri"/>
          <w:spacing w:val="-2"/>
          <w:w w:val="100"/>
        </w:rPr>
        <w:t>01</w:t>
      </w:r>
      <w:r>
        <w:rPr>
          <w:rFonts w:ascii="Calibri" w:eastAsia="Calibri"/>
          <w:w w:val="100"/>
        </w:rPr>
        <w:t>8</w:t>
      </w:r>
      <w:r>
        <w:rPr>
          <w:rFonts w:ascii="Calibri" w:eastAsia="Calibri"/>
        </w:rPr>
        <w:t> </w:t>
      </w:r>
      <w:r>
        <w:rPr>
          <w:w w:val="100"/>
        </w:rPr>
        <w:t>年</w:t>
      </w:r>
      <w:r>
        <w:rPr>
          <w:spacing w:val="-55"/>
        </w:rPr>
        <w:t> </w:t>
      </w:r>
      <w:r>
        <w:rPr>
          <w:rFonts w:ascii="Calibri" w:eastAsia="Calibri"/>
          <w:spacing w:val="-2"/>
          <w:w w:val="100"/>
        </w:rPr>
        <w:t>1</w:t>
      </w:r>
      <w:r>
        <w:rPr>
          <w:rFonts w:ascii="Calibri" w:eastAsia="Calibri"/>
          <w:w w:val="100"/>
        </w:rPr>
        <w:t>2</w:t>
      </w:r>
      <w:r>
        <w:rPr>
          <w:rFonts w:ascii="Calibri" w:eastAsia="Calibri"/>
        </w:rPr>
        <w:t> </w:t>
      </w:r>
      <w:r>
        <w:rPr>
          <w:w w:val="100"/>
        </w:rPr>
        <w:t>月</w:t>
      </w:r>
      <w:r>
        <w:rPr>
          <w:spacing w:val="-55"/>
        </w:rPr>
        <w:t> </w:t>
      </w:r>
      <w:r>
        <w:rPr>
          <w:rFonts w:ascii="Calibri" w:eastAsia="Calibri"/>
          <w:spacing w:val="-2"/>
          <w:w w:val="100"/>
        </w:rPr>
        <w:t>3</w:t>
      </w:r>
      <w:r>
        <w:rPr>
          <w:rFonts w:ascii="Calibri" w:eastAsia="Calibri"/>
          <w:w w:val="100"/>
        </w:rPr>
        <w:t>1</w:t>
      </w:r>
      <w:r>
        <w:rPr>
          <w:rFonts w:ascii="Calibri" w:eastAsia="Calibri"/>
        </w:rPr>
        <w:t> </w:t>
      </w:r>
      <w:r>
        <w:rPr>
          <w:spacing w:val="-3"/>
          <w:w w:val="100"/>
        </w:rPr>
        <w:t>日</w:t>
      </w:r>
      <w:r>
        <w:rPr>
          <w:spacing w:val="-108"/>
          <w:w w:val="100"/>
        </w:rPr>
        <w:t>）</w:t>
      </w:r>
      <w:r>
        <w:rPr>
          <w:w w:val="10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31"/>
        </w:rPr>
      </w:pPr>
    </w:p>
    <w:p>
      <w:pPr>
        <w:pStyle w:val="BodyText"/>
        <w:spacing w:line="417" w:lineRule="auto" w:before="1"/>
        <w:ind w:left="540" w:right="921" w:firstLine="419"/>
      </w:pPr>
      <w:r>
        <w:rPr>
          <w:spacing w:val="-17"/>
        </w:rPr>
        <w:t>截至 </w:t>
      </w:r>
      <w:r>
        <w:rPr>
          <w:rFonts w:ascii="Calibri" w:eastAsia="Calibri"/>
        </w:rPr>
        <w:t>2018 </w:t>
      </w:r>
      <w:r>
        <w:rPr>
          <w:spacing w:val="-3"/>
        </w:rPr>
        <w:t>年末，中银香港</w:t>
      </w:r>
      <w:r>
        <w:rPr/>
        <w:t>（</w:t>
      </w:r>
      <w:r>
        <w:rPr>
          <w:spacing w:val="-2"/>
        </w:rPr>
        <w:t>控股</w:t>
      </w:r>
      <w:r>
        <w:rPr/>
        <w:t>）</w:t>
      </w:r>
      <w:r>
        <w:rPr>
          <w:spacing w:val="-8"/>
        </w:rPr>
        <w:t>的托管资产规模达 </w:t>
      </w:r>
      <w:r>
        <w:rPr>
          <w:rFonts w:ascii="Calibri" w:eastAsia="Calibri"/>
        </w:rPr>
        <w:t>10,984 </w:t>
      </w:r>
      <w:r>
        <w:rPr>
          <w:spacing w:val="-28"/>
        </w:rPr>
        <w:t>亿港元。</w:t>
      </w:r>
      <w:r>
        <w:rPr>
          <w:spacing w:val="-3"/>
        </w:rPr>
        <w:t>（</w:t>
      </w:r>
      <w:r>
        <w:rPr/>
        <w:t>二</w:t>
      </w:r>
      <w:r>
        <w:rPr>
          <w:spacing w:val="-3"/>
        </w:rPr>
        <w:t>）</w:t>
      </w:r>
      <w:r>
        <w:rPr>
          <w:spacing w:val="-1"/>
        </w:rPr>
        <w:t>境外资产</w:t>
      </w:r>
      <w:r>
        <w:rPr>
          <w:spacing w:val="-2"/>
        </w:rPr>
        <w:t>托管人职责</w:t>
      </w:r>
    </w:p>
    <w:p>
      <w:pPr>
        <w:pStyle w:val="BodyText"/>
        <w:spacing w:line="269" w:lineRule="exact"/>
        <w:ind w:left="960"/>
      </w:pPr>
      <w:r>
        <w:rPr>
          <w:rFonts w:ascii="Calibri" w:eastAsia="Calibri"/>
        </w:rPr>
        <w:t>1</w:t>
      </w:r>
      <w:r>
        <w:rPr/>
        <w:t>、安全保管基金的境外资产，及时办理清算、交割事宜。</w:t>
      </w:r>
    </w:p>
    <w:p>
      <w:pPr>
        <w:pStyle w:val="BodyText"/>
        <w:spacing w:before="6"/>
        <w:rPr>
          <w:sz w:val="15"/>
        </w:rPr>
      </w:pPr>
    </w:p>
    <w:p>
      <w:pPr>
        <w:pStyle w:val="BodyText"/>
        <w:spacing w:line="417" w:lineRule="auto"/>
        <w:ind w:left="540" w:right="874" w:firstLine="419"/>
      </w:pPr>
      <w:r>
        <w:rPr>
          <w:rFonts w:ascii="Calibri" w:eastAsia="Calibri"/>
        </w:rPr>
        <w:t>2</w:t>
      </w:r>
      <w:r>
        <w:rPr>
          <w:spacing w:val="-8"/>
        </w:rPr>
        <w:t>、准时将公司行为信息通知基金管理人和</w:t>
      </w:r>
      <w:r>
        <w:rPr>
          <w:rFonts w:ascii="Calibri" w:eastAsia="Calibri"/>
        </w:rPr>
        <w:t>/</w:t>
      </w:r>
      <w:r>
        <w:rPr>
          <w:spacing w:val="-8"/>
        </w:rPr>
        <w:t>或基金托管人，确保基金及时收取所有应得收入。</w:t>
      </w:r>
    </w:p>
    <w:p>
      <w:pPr>
        <w:pStyle w:val="BodyText"/>
        <w:spacing w:line="269" w:lineRule="exact"/>
        <w:ind w:left="960"/>
      </w:pPr>
      <w:r>
        <w:rPr>
          <w:rFonts w:ascii="Calibri" w:eastAsia="Calibri"/>
        </w:rPr>
        <w:t>3</w:t>
      </w:r>
      <w:r>
        <w:rPr/>
        <w:t>、其他由基金托管人委托其履行的职责。</w:t>
      </w:r>
    </w:p>
    <w:p>
      <w:pPr>
        <w:pStyle w:val="BodyText"/>
        <w:rPr>
          <w:sz w:val="22"/>
        </w:rPr>
      </w:pPr>
    </w:p>
    <w:p>
      <w:pPr>
        <w:pStyle w:val="BodyText"/>
        <w:spacing w:before="2"/>
        <w:rPr>
          <w:sz w:val="20"/>
        </w:rPr>
      </w:pPr>
    </w:p>
    <w:p>
      <w:pPr>
        <w:pStyle w:val="Heading1"/>
      </w:pPr>
      <w:bookmarkStart w:name="_bookmark18" w:id="19"/>
      <w:bookmarkEnd w:id="19"/>
      <w:r>
        <w:rPr>
          <w:b w:val="0"/>
        </w:rPr>
      </w:r>
      <w:r>
        <w:rPr/>
        <w:t>十九、相关服务机构</w:t>
      </w:r>
    </w:p>
    <w:p>
      <w:pPr>
        <w:pStyle w:val="BodyText"/>
        <w:rPr>
          <w:b/>
          <w:sz w:val="20"/>
        </w:rPr>
      </w:pPr>
    </w:p>
    <w:p>
      <w:pPr>
        <w:pStyle w:val="BodyText"/>
        <w:spacing w:before="5"/>
        <w:rPr>
          <w:b/>
        </w:rPr>
      </w:pPr>
    </w:p>
    <w:p>
      <w:pPr>
        <w:pStyle w:val="BodyText"/>
        <w:ind w:left="960"/>
      </w:pPr>
      <w:r>
        <w:rPr/>
        <w:t>（一）销售机构</w:t>
      </w:r>
    </w:p>
    <w:p>
      <w:pPr>
        <w:pStyle w:val="BodyText"/>
        <w:spacing w:before="7"/>
        <w:rPr>
          <w:sz w:val="15"/>
        </w:rPr>
      </w:pPr>
    </w:p>
    <w:p>
      <w:pPr>
        <w:pStyle w:val="BodyText"/>
        <w:ind w:left="960"/>
      </w:pPr>
      <w:r>
        <w:rPr>
          <w:rFonts w:ascii="Calibri" w:eastAsia="Calibri"/>
        </w:rPr>
        <w:t>1</w:t>
      </w:r>
      <w:r>
        <w:rPr/>
        <w:t>、直销机构</w:t>
      </w:r>
    </w:p>
    <w:p>
      <w:pPr>
        <w:pStyle w:val="BodyText"/>
        <w:spacing w:before="7"/>
        <w:rPr>
          <w:sz w:val="15"/>
        </w:rPr>
      </w:pPr>
    </w:p>
    <w:p>
      <w:pPr>
        <w:pStyle w:val="BodyText"/>
        <w:ind w:left="960"/>
      </w:pPr>
      <w:r>
        <w:rPr/>
        <w:t>名称：华夏基金管理有限公司</w:t>
      </w:r>
    </w:p>
    <w:p>
      <w:pPr>
        <w:pStyle w:val="BodyText"/>
        <w:spacing w:before="6"/>
        <w:rPr>
          <w:sz w:val="15"/>
        </w:rPr>
      </w:pPr>
    </w:p>
    <w:p>
      <w:pPr>
        <w:pStyle w:val="BodyText"/>
        <w:spacing w:before="1"/>
        <w:ind w:left="960"/>
      </w:pPr>
      <w:r>
        <w:rPr/>
        <w:t>住所：北京市顺义区安庆大街甲 </w:t>
      </w:r>
      <w:r>
        <w:rPr>
          <w:rFonts w:ascii="Calibri" w:eastAsia="Calibri"/>
        </w:rPr>
        <w:t>3 </w:t>
      </w:r>
      <w:r>
        <w:rPr/>
        <w:t>号院</w:t>
      </w:r>
    </w:p>
    <w:p>
      <w:pPr>
        <w:pStyle w:val="BodyText"/>
        <w:spacing w:before="6"/>
        <w:rPr>
          <w:sz w:val="15"/>
        </w:rPr>
      </w:pPr>
    </w:p>
    <w:p>
      <w:pPr>
        <w:pStyle w:val="BodyText"/>
        <w:spacing w:line="417" w:lineRule="auto"/>
        <w:ind w:left="960" w:right="3337"/>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层法定代表人：杨明辉</w:t>
      </w:r>
    </w:p>
    <w:p>
      <w:pPr>
        <w:pStyle w:val="BodyText"/>
        <w:ind w:left="960"/>
        <w:rPr>
          <w:rFonts w:ascii="Calibri" w:eastAsia="Calibri"/>
        </w:rPr>
      </w:pPr>
      <w:r>
        <w:rPr/>
        <w:t>客户服务电话：</w:t>
      </w:r>
      <w:r>
        <w:rPr>
          <w:rFonts w:ascii="Calibri" w:eastAsia="Calibri"/>
        </w:rPr>
        <w:t>400-818-6666</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传真：</w:t>
      </w:r>
      <w:r>
        <w:rPr>
          <w:rFonts w:ascii="Calibri" w:eastAsia="Calibri"/>
        </w:rPr>
        <w:t>010-63136700</w:t>
      </w:r>
    </w:p>
    <w:p>
      <w:pPr>
        <w:pStyle w:val="BodyText"/>
        <w:spacing w:before="3"/>
        <w:rPr>
          <w:rFonts w:ascii="Calibri"/>
          <w:sz w:val="16"/>
        </w:rPr>
      </w:pPr>
    </w:p>
    <w:p>
      <w:pPr>
        <w:pStyle w:val="BodyText"/>
        <w:ind w:left="960"/>
      </w:pPr>
      <w:r>
        <w:rPr/>
        <w:t>联系人：张德根</w:t>
      </w:r>
    </w:p>
    <w:p>
      <w:pPr>
        <w:pStyle w:val="BodyText"/>
        <w:spacing w:before="7"/>
        <w:rPr>
          <w:sz w:val="15"/>
        </w:rPr>
      </w:pPr>
    </w:p>
    <w:p>
      <w:pPr>
        <w:pStyle w:val="BodyText"/>
        <w:spacing w:line="417" w:lineRule="auto"/>
        <w:ind w:left="960" w:right="6293"/>
      </w:pPr>
      <w:r>
        <w:rPr/>
        <w:t>网址：</w:t>
      </w:r>
      <w:hyperlink r:id="rId29">
        <w:r>
          <w:rPr>
            <w:rFonts w:ascii="Calibri" w:eastAsia="Calibri"/>
          </w:rPr>
          <w:t>www.ChinaAMC.com</w:t>
        </w:r>
      </w:hyperlink>
      <w:r>
        <w:rPr>
          <w:rFonts w:ascii="Calibri" w:eastAsia="Calibri"/>
        </w:rPr>
        <w:t> 2</w:t>
      </w:r>
      <w:r>
        <w:rPr/>
        <w:t>、人民币代销机构</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中国农业银行股份有限公司</w:t>
      </w:r>
    </w:p>
    <w:p>
      <w:pPr>
        <w:pStyle w:val="BodyText"/>
        <w:spacing w:before="6"/>
        <w:rPr>
          <w:sz w:val="15"/>
        </w:rPr>
      </w:pPr>
    </w:p>
    <w:p>
      <w:pPr>
        <w:pStyle w:val="BodyText"/>
        <w:spacing w:before="1"/>
        <w:ind w:left="960"/>
      </w:pPr>
      <w:r>
        <w:rPr/>
        <w:t>住所：北京市东城区建国门内大街 </w:t>
      </w:r>
      <w:r>
        <w:rPr>
          <w:rFonts w:ascii="Calibri" w:eastAsia="Calibri"/>
        </w:rPr>
        <w:t>69 </w:t>
      </w:r>
      <w:r>
        <w:rPr/>
        <w:t>号</w:t>
      </w:r>
    </w:p>
    <w:p>
      <w:pPr>
        <w:pStyle w:val="BodyText"/>
        <w:spacing w:before="6"/>
        <w:rPr>
          <w:sz w:val="15"/>
        </w:rPr>
      </w:pPr>
    </w:p>
    <w:p>
      <w:pPr>
        <w:pStyle w:val="BodyText"/>
        <w:spacing w:line="417" w:lineRule="auto"/>
        <w:ind w:left="960" w:right="4602"/>
      </w:pPr>
      <w:r>
        <w:rPr/>
        <w:t>办公地址：北京市东城区建国门内大街 </w:t>
      </w:r>
      <w:r>
        <w:rPr>
          <w:rFonts w:ascii="Calibri" w:eastAsia="Calibri"/>
        </w:rPr>
        <w:t>69 </w:t>
      </w:r>
      <w:r>
        <w:rPr/>
        <w:t>号法定代表人：周慕冰</w:t>
      </w:r>
    </w:p>
    <w:p>
      <w:pPr>
        <w:pStyle w:val="BodyText"/>
        <w:spacing w:line="417" w:lineRule="auto" w:before="1"/>
        <w:ind w:left="960" w:right="6553"/>
        <w:rPr>
          <w:rFonts w:ascii="Calibri" w:eastAsia="Calibri"/>
        </w:rPr>
      </w:pPr>
      <w:r>
        <w:rPr>
          <w:spacing w:val="-2"/>
        </w:rPr>
        <w:t>客户服务电话：</w:t>
      </w:r>
      <w:r>
        <w:rPr>
          <w:rFonts w:ascii="Calibri" w:eastAsia="Calibri"/>
        </w:rPr>
        <w:t>95599 </w:t>
      </w:r>
      <w:r>
        <w:rPr>
          <w:spacing w:val="-3"/>
        </w:rPr>
        <w:t>联系人：客户服务中心网址：</w:t>
      </w:r>
      <w:hyperlink r:id="rId30">
        <w:r>
          <w:rPr>
            <w:rFonts w:ascii="Calibri" w:eastAsia="Calibri"/>
            <w:spacing w:val="-3"/>
          </w:rPr>
          <w:t>www.abchina.com</w:t>
        </w:r>
      </w:hyperlink>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中国银行股份有限公司</w:t>
      </w:r>
    </w:p>
    <w:p>
      <w:pPr>
        <w:pStyle w:val="BodyText"/>
        <w:spacing w:before="6"/>
        <w:rPr>
          <w:sz w:val="15"/>
        </w:rPr>
      </w:pPr>
    </w:p>
    <w:p>
      <w:pPr>
        <w:pStyle w:val="BodyText"/>
        <w:ind w:left="960"/>
      </w:pPr>
      <w:r>
        <w:rPr/>
        <w:t>住所：北京市西城区复兴门内大街 </w:t>
      </w:r>
      <w:r>
        <w:rPr>
          <w:rFonts w:ascii="Calibri" w:eastAsia="Calibri"/>
        </w:rPr>
        <w:t>1 </w:t>
      </w:r>
      <w:r>
        <w:rPr/>
        <w:t>号</w:t>
      </w:r>
    </w:p>
    <w:p>
      <w:pPr>
        <w:pStyle w:val="BodyText"/>
        <w:spacing w:before="7"/>
        <w:rPr>
          <w:sz w:val="15"/>
        </w:rPr>
      </w:pPr>
    </w:p>
    <w:p>
      <w:pPr>
        <w:pStyle w:val="BodyText"/>
        <w:spacing w:line="417" w:lineRule="auto"/>
        <w:ind w:left="960" w:right="4709"/>
      </w:pPr>
      <w:r>
        <w:rPr/>
        <w:t>办公地址：北京市西城区复兴门内大街 </w:t>
      </w:r>
      <w:r>
        <w:rPr>
          <w:rFonts w:ascii="Calibri" w:eastAsia="Calibri"/>
        </w:rPr>
        <w:t>1 </w:t>
      </w:r>
      <w:r>
        <w:rPr/>
        <w:t>号法定代表人：刘连舸</w:t>
      </w:r>
    </w:p>
    <w:p>
      <w:pPr>
        <w:pStyle w:val="BodyText"/>
        <w:spacing w:line="417" w:lineRule="auto"/>
        <w:ind w:left="960" w:right="6898"/>
        <w:rPr>
          <w:rFonts w:ascii="Calibri" w:eastAsia="Calibri"/>
        </w:rPr>
      </w:pPr>
      <w:r>
        <w:rPr/>
        <w:t>电话：</w:t>
      </w:r>
      <w:r>
        <w:rPr>
          <w:rFonts w:ascii="Calibri" w:eastAsia="Calibri"/>
        </w:rPr>
        <w:t>010-66596688 </w:t>
      </w:r>
      <w:r>
        <w:rPr/>
        <w:t>传真：</w:t>
      </w:r>
      <w:r>
        <w:rPr>
          <w:rFonts w:ascii="Calibri" w:eastAsia="Calibri"/>
        </w:rPr>
        <w:t>010-66593777</w:t>
      </w:r>
    </w:p>
    <w:p>
      <w:pPr>
        <w:pStyle w:val="BodyText"/>
        <w:spacing w:line="417" w:lineRule="auto"/>
        <w:ind w:left="960" w:right="6661"/>
        <w:rPr>
          <w:rFonts w:ascii="Calibri" w:eastAsia="Calibri"/>
        </w:rPr>
      </w:pPr>
      <w:r>
        <w:rPr/>
        <w:t>联系人：客户服务中心网址：</w:t>
      </w:r>
      <w:hyperlink r:id="rId31">
        <w:r>
          <w:rPr>
            <w:rFonts w:ascii="Calibri" w:eastAsia="Calibri"/>
          </w:rPr>
          <w:t>www.boc.cn</w:t>
        </w:r>
      </w:hyperlink>
    </w:p>
    <w:p>
      <w:pPr>
        <w:pStyle w:val="BodyText"/>
        <w:spacing w:line="269" w:lineRule="exact"/>
        <w:ind w:left="960"/>
        <w:rPr>
          <w:rFonts w:ascii="Calibri" w:eastAsia="Calibri"/>
        </w:rPr>
      </w:pPr>
      <w:r>
        <w:rPr/>
        <w:t>客户服务电话：</w:t>
      </w:r>
      <w:r>
        <w:rPr>
          <w:rFonts w:ascii="Calibri" w:eastAsia="Calibri"/>
        </w:rPr>
        <w:t>95566</w:t>
      </w:r>
    </w:p>
    <w:p>
      <w:pPr>
        <w:pStyle w:val="BodyText"/>
        <w:spacing w:before="3"/>
        <w:rPr>
          <w:rFonts w:ascii="Calibri"/>
          <w:sz w:val="16"/>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交通银行股份有限公司</w:t>
      </w:r>
    </w:p>
    <w:p>
      <w:pPr>
        <w:pStyle w:val="BodyText"/>
        <w:spacing w:before="8"/>
        <w:rPr>
          <w:sz w:val="15"/>
        </w:rPr>
      </w:pPr>
    </w:p>
    <w:p>
      <w:pPr>
        <w:pStyle w:val="BodyText"/>
        <w:ind w:left="960"/>
      </w:pPr>
      <w:r>
        <w:rPr/>
        <w:t>住所：上海市浦东新区银城中路 </w:t>
      </w:r>
      <w:r>
        <w:rPr>
          <w:rFonts w:ascii="Calibri" w:eastAsia="Calibri"/>
        </w:rPr>
        <w:t>188 </w:t>
      </w:r>
      <w:r>
        <w:rPr/>
        <w:t>号</w:t>
      </w:r>
    </w:p>
    <w:p>
      <w:pPr>
        <w:pStyle w:val="BodyText"/>
        <w:spacing w:before="6"/>
        <w:rPr>
          <w:sz w:val="15"/>
        </w:rPr>
      </w:pPr>
    </w:p>
    <w:p>
      <w:pPr>
        <w:pStyle w:val="BodyText"/>
        <w:spacing w:line="417" w:lineRule="auto" w:before="1"/>
        <w:ind w:left="960" w:right="4706"/>
      </w:pPr>
      <w:r>
        <w:rPr/>
        <w:t>办公地址：上海市浦东新区银城中路 </w:t>
      </w:r>
      <w:r>
        <w:rPr>
          <w:rFonts w:ascii="Calibri" w:eastAsia="Calibri"/>
        </w:rPr>
        <w:t>188 </w:t>
      </w:r>
      <w:r>
        <w:rPr/>
        <w:t>号法定代表人：任德奇</w:t>
      </w:r>
    </w:p>
    <w:p>
      <w:pPr>
        <w:pStyle w:val="BodyText"/>
        <w:spacing w:line="417" w:lineRule="auto"/>
        <w:ind w:left="960" w:right="6898"/>
        <w:rPr>
          <w:rFonts w:ascii="Calibri" w:eastAsia="Calibri"/>
        </w:rPr>
      </w:pPr>
      <w:r>
        <w:rPr/>
        <w:t>电话：</w:t>
      </w:r>
      <w:r>
        <w:rPr>
          <w:rFonts w:ascii="Calibri" w:eastAsia="Calibri"/>
        </w:rPr>
        <w:t>021-58781234 </w:t>
      </w:r>
      <w:r>
        <w:rPr/>
        <w:t>传真：</w:t>
      </w:r>
      <w:r>
        <w:rPr>
          <w:rFonts w:ascii="Calibri" w:eastAsia="Calibri"/>
        </w:rPr>
        <w:t>021-58408483</w:t>
      </w:r>
    </w:p>
    <w:p>
      <w:pPr>
        <w:pStyle w:val="BodyText"/>
        <w:spacing w:line="269" w:lineRule="exact"/>
        <w:ind w:left="960"/>
      </w:pPr>
      <w:r>
        <w:rPr/>
        <w:t>联系人：陈旭</w:t>
      </w:r>
    </w:p>
    <w:p>
      <w:pPr>
        <w:pStyle w:val="BodyText"/>
        <w:spacing w:before="6"/>
        <w:rPr>
          <w:sz w:val="15"/>
        </w:rPr>
      </w:pPr>
    </w:p>
    <w:p>
      <w:pPr>
        <w:pStyle w:val="BodyText"/>
        <w:spacing w:line="417" w:lineRule="auto"/>
        <w:ind w:left="960" w:right="6230"/>
        <w:rPr>
          <w:rFonts w:ascii="Calibri" w:eastAsia="Calibri"/>
        </w:rPr>
      </w:pPr>
      <w:r>
        <w:rPr/>
        <w:t>网址：</w:t>
      </w:r>
      <w:hyperlink r:id="rId32">
        <w:r>
          <w:rPr>
            <w:rFonts w:ascii="Calibri" w:eastAsia="Calibri"/>
          </w:rPr>
          <w:t>www.bankcomm.com </w:t>
        </w:r>
      </w:hyperlink>
      <w:r>
        <w:rPr/>
        <w:t>客户服务电话：</w:t>
      </w:r>
      <w:r>
        <w:rPr>
          <w:rFonts w:ascii="Calibri" w:eastAsia="Calibri"/>
        </w:rPr>
        <w:t>95559</w:t>
      </w: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招商银行股份有限公司</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before="71"/>
        <w:ind w:left="960"/>
      </w:pPr>
      <w:r>
        <w:rPr/>
        <w:t>住所：深圳市深南大道 </w:t>
      </w:r>
      <w:r>
        <w:rPr>
          <w:rFonts w:ascii="Calibri" w:eastAsia="Calibri"/>
        </w:rPr>
        <w:t>7088 </w:t>
      </w:r>
      <w:r>
        <w:rPr/>
        <w:t>号招商银行大厦</w:t>
      </w:r>
    </w:p>
    <w:p>
      <w:pPr>
        <w:pStyle w:val="BodyText"/>
        <w:spacing w:before="7"/>
        <w:rPr>
          <w:sz w:val="15"/>
        </w:rPr>
      </w:pPr>
    </w:p>
    <w:p>
      <w:pPr>
        <w:pStyle w:val="BodyText"/>
        <w:spacing w:line="417" w:lineRule="auto"/>
        <w:ind w:left="960" w:right="4180"/>
      </w:pPr>
      <w:r>
        <w:rPr/>
        <w:t>办公地址：深圳市深南大道 </w:t>
      </w:r>
      <w:r>
        <w:rPr>
          <w:rFonts w:ascii="Calibri" w:eastAsia="Calibri"/>
        </w:rPr>
        <w:t>7088 </w:t>
      </w:r>
      <w:r>
        <w:rPr/>
        <w:t>号招商银行大厦法定代表人：李建红</w:t>
      </w:r>
    </w:p>
    <w:p>
      <w:pPr>
        <w:pStyle w:val="BodyText"/>
        <w:spacing w:line="417" w:lineRule="auto"/>
        <w:ind w:left="960" w:right="6790"/>
        <w:rPr>
          <w:rFonts w:ascii="Calibri" w:eastAsia="Calibri"/>
        </w:rPr>
      </w:pPr>
      <w:r>
        <w:rPr/>
        <w:t>电话：</w:t>
      </w:r>
      <w:r>
        <w:rPr>
          <w:rFonts w:ascii="Calibri" w:eastAsia="Calibri"/>
        </w:rPr>
        <w:t>0755-83198888 </w:t>
      </w:r>
      <w:r>
        <w:rPr/>
        <w:t>传真：</w:t>
      </w:r>
      <w:r>
        <w:rPr>
          <w:rFonts w:ascii="Calibri" w:eastAsia="Calibri"/>
        </w:rPr>
        <w:t>0755-83195109</w:t>
      </w:r>
    </w:p>
    <w:p>
      <w:pPr>
        <w:pStyle w:val="BodyText"/>
        <w:spacing w:line="269" w:lineRule="exact"/>
        <w:ind w:left="960"/>
      </w:pPr>
      <w:r>
        <w:rPr/>
        <w:t>联系人：邓炯鹏</w:t>
      </w:r>
    </w:p>
    <w:p>
      <w:pPr>
        <w:pStyle w:val="BodyText"/>
        <w:spacing w:before="6"/>
        <w:rPr>
          <w:sz w:val="15"/>
        </w:rPr>
      </w:pPr>
    </w:p>
    <w:p>
      <w:pPr>
        <w:pStyle w:val="BodyText"/>
        <w:spacing w:line="417" w:lineRule="auto" w:before="1"/>
        <w:ind w:left="960" w:right="6354"/>
        <w:rPr>
          <w:rFonts w:ascii="Calibri" w:eastAsia="Calibri"/>
        </w:rPr>
      </w:pPr>
      <w:r>
        <w:rPr/>
        <w:t>网址：</w:t>
      </w:r>
      <w:hyperlink r:id="rId33">
        <w:r>
          <w:rPr>
            <w:rFonts w:ascii="Calibri" w:eastAsia="Calibri"/>
          </w:rPr>
          <w:t>www.cmbchina.com </w:t>
        </w:r>
      </w:hyperlink>
      <w:r>
        <w:rPr/>
        <w:t>客户服务电话：</w:t>
      </w:r>
      <w:r>
        <w:rPr>
          <w:rFonts w:ascii="Calibri" w:eastAsia="Calibri"/>
        </w:rPr>
        <w:t>95555</w:t>
      </w: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中信银行股份有限公司</w:t>
      </w:r>
    </w:p>
    <w:p>
      <w:pPr>
        <w:pStyle w:val="BodyText"/>
        <w:spacing w:before="6"/>
        <w:rPr>
          <w:sz w:val="15"/>
        </w:rPr>
      </w:pPr>
    </w:p>
    <w:p>
      <w:pPr>
        <w:pStyle w:val="BodyText"/>
        <w:spacing w:before="1"/>
        <w:ind w:left="960"/>
      </w:pPr>
      <w:r>
        <w:rPr/>
        <w:t>住所：北京市东城区朝阳门北大街 </w:t>
      </w:r>
      <w:r>
        <w:rPr>
          <w:rFonts w:ascii="Calibri" w:eastAsia="Calibri"/>
        </w:rPr>
        <w:t>8 </w:t>
      </w:r>
      <w:r>
        <w:rPr/>
        <w:t>号富华大厦</w:t>
      </w:r>
      <w:r>
        <w:rPr>
          <w:rFonts w:ascii="Calibri" w:eastAsia="Calibri"/>
        </w:rPr>
        <w:t>C </w:t>
      </w:r>
      <w:r>
        <w:rPr/>
        <w:t>座</w:t>
      </w:r>
    </w:p>
    <w:p>
      <w:pPr>
        <w:pStyle w:val="BodyText"/>
        <w:spacing w:before="6"/>
        <w:rPr>
          <w:sz w:val="15"/>
        </w:rPr>
      </w:pPr>
    </w:p>
    <w:p>
      <w:pPr>
        <w:pStyle w:val="BodyText"/>
        <w:spacing w:line="417" w:lineRule="auto"/>
        <w:ind w:left="960" w:right="3502"/>
      </w:pPr>
      <w:r>
        <w:rPr>
          <w:spacing w:val="-6"/>
        </w:rPr>
        <w:t>办公地址：北京市东城区朝阳门北大街 </w:t>
      </w:r>
      <w:r>
        <w:rPr>
          <w:rFonts w:ascii="Calibri" w:eastAsia="Calibri"/>
        </w:rPr>
        <w:t>8 </w:t>
      </w:r>
      <w:r>
        <w:rPr>
          <w:spacing w:val="-11"/>
        </w:rPr>
        <w:t>号富华大厦 </w:t>
      </w:r>
      <w:r>
        <w:rPr>
          <w:rFonts w:ascii="Calibri" w:eastAsia="Calibri"/>
        </w:rPr>
        <w:t>C </w:t>
      </w:r>
      <w:r>
        <w:rPr/>
        <w:t>座</w:t>
      </w:r>
      <w:r>
        <w:rPr>
          <w:spacing w:val="-3"/>
        </w:rPr>
        <w:t>法定代表人：李庆萍</w:t>
      </w:r>
    </w:p>
    <w:p>
      <w:pPr>
        <w:pStyle w:val="BodyText"/>
        <w:spacing w:line="417" w:lineRule="auto"/>
        <w:ind w:left="960" w:right="6898"/>
        <w:rPr>
          <w:rFonts w:ascii="Calibri" w:eastAsia="Calibri"/>
        </w:rPr>
      </w:pPr>
      <w:r>
        <w:rPr/>
        <w:t>电话：</w:t>
      </w:r>
      <w:r>
        <w:rPr>
          <w:rFonts w:ascii="Calibri" w:eastAsia="Calibri"/>
        </w:rPr>
        <w:t>010-65556689 </w:t>
      </w:r>
      <w:r>
        <w:rPr/>
        <w:t>传真：</w:t>
      </w:r>
      <w:r>
        <w:rPr>
          <w:rFonts w:ascii="Calibri" w:eastAsia="Calibri"/>
        </w:rPr>
        <w:t>010-65550827</w:t>
      </w:r>
    </w:p>
    <w:p>
      <w:pPr>
        <w:pStyle w:val="BodyText"/>
        <w:ind w:left="960"/>
      </w:pPr>
      <w:r>
        <w:rPr/>
        <w:t>联系人：方爽</w:t>
      </w:r>
    </w:p>
    <w:p>
      <w:pPr>
        <w:pStyle w:val="BodyText"/>
        <w:spacing w:before="7"/>
        <w:rPr>
          <w:sz w:val="15"/>
        </w:rPr>
      </w:pPr>
    </w:p>
    <w:p>
      <w:pPr>
        <w:pStyle w:val="BodyText"/>
        <w:spacing w:line="417" w:lineRule="auto"/>
        <w:ind w:left="960" w:right="6761"/>
        <w:rPr>
          <w:rFonts w:ascii="Calibri" w:eastAsia="Calibri"/>
        </w:rPr>
      </w:pPr>
      <w:r>
        <w:rPr/>
        <w:t>网址：</w:t>
      </w:r>
      <w:r>
        <w:rPr>
          <w:rFonts w:ascii="Calibri" w:eastAsia="Calibri"/>
        </w:rPr>
        <w:t>bank.ecitic.com </w:t>
      </w:r>
      <w:r>
        <w:rPr/>
        <w:t>客户服务电话：</w:t>
      </w:r>
      <w:r>
        <w:rPr>
          <w:rFonts w:ascii="Calibri" w:eastAsia="Calibri"/>
        </w:rPr>
        <w:t>95558</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中国民生银行股份有限公司</w:t>
      </w:r>
    </w:p>
    <w:p>
      <w:pPr>
        <w:pStyle w:val="BodyText"/>
        <w:spacing w:before="6"/>
        <w:rPr>
          <w:sz w:val="15"/>
        </w:rPr>
      </w:pPr>
    </w:p>
    <w:p>
      <w:pPr>
        <w:pStyle w:val="BodyText"/>
        <w:spacing w:before="1"/>
        <w:ind w:left="960"/>
      </w:pPr>
      <w:r>
        <w:rPr/>
        <w:t>住所：北京市西城区复兴门内大街 </w:t>
      </w:r>
      <w:r>
        <w:rPr>
          <w:rFonts w:ascii="Calibri" w:eastAsia="Calibri"/>
        </w:rPr>
        <w:t>2 </w:t>
      </w:r>
      <w:r>
        <w:rPr/>
        <w:t>号</w:t>
      </w:r>
    </w:p>
    <w:p>
      <w:pPr>
        <w:pStyle w:val="BodyText"/>
        <w:spacing w:before="6"/>
        <w:rPr>
          <w:sz w:val="15"/>
        </w:rPr>
      </w:pPr>
    </w:p>
    <w:p>
      <w:pPr>
        <w:pStyle w:val="BodyText"/>
        <w:spacing w:line="417" w:lineRule="auto"/>
        <w:ind w:left="960" w:right="4767"/>
      </w:pPr>
      <w:r>
        <w:rPr>
          <w:spacing w:val="-6"/>
        </w:rPr>
        <w:t>办公地址：北京市西城区复兴门内大街 </w:t>
      </w:r>
      <w:r>
        <w:rPr>
          <w:rFonts w:ascii="Calibri" w:eastAsia="Calibri"/>
        </w:rPr>
        <w:t>2</w:t>
      </w:r>
      <w:r>
        <w:rPr>
          <w:rFonts w:ascii="Calibri" w:eastAsia="Calibri"/>
          <w:spacing w:val="16"/>
        </w:rPr>
        <w:t> </w:t>
      </w:r>
      <w:r>
        <w:rPr>
          <w:spacing w:val="-12"/>
        </w:rPr>
        <w:t>号</w:t>
      </w:r>
      <w:r>
        <w:rPr>
          <w:spacing w:val="-3"/>
        </w:rPr>
        <w:t>法定代表人：董文标</w:t>
      </w:r>
    </w:p>
    <w:p>
      <w:pPr>
        <w:pStyle w:val="BodyText"/>
        <w:spacing w:line="417" w:lineRule="auto" w:before="1"/>
        <w:ind w:left="960" w:right="6761"/>
        <w:rPr>
          <w:rFonts w:ascii="Calibri" w:eastAsia="Calibri"/>
        </w:rPr>
      </w:pPr>
      <w:r>
        <w:rPr>
          <w:spacing w:val="-3"/>
        </w:rPr>
        <w:t>客户服务电话：</w:t>
      </w:r>
      <w:r>
        <w:rPr>
          <w:rFonts w:ascii="Calibri" w:eastAsia="Calibri"/>
          <w:spacing w:val="-5"/>
        </w:rPr>
        <w:t>95568 </w:t>
      </w:r>
      <w:r>
        <w:rPr/>
        <w:t>传真：</w:t>
      </w:r>
      <w:r>
        <w:rPr>
          <w:rFonts w:ascii="Calibri" w:eastAsia="Calibri"/>
        </w:rPr>
        <w:t>010-57092611</w:t>
      </w:r>
    </w:p>
    <w:p>
      <w:pPr>
        <w:pStyle w:val="BodyText"/>
        <w:spacing w:line="269" w:lineRule="exact"/>
        <w:ind w:left="960"/>
      </w:pPr>
      <w:r>
        <w:rPr/>
        <w:t>联系人：董云巍</w:t>
      </w:r>
    </w:p>
    <w:p>
      <w:pPr>
        <w:pStyle w:val="BodyText"/>
        <w:spacing w:before="6"/>
        <w:rPr>
          <w:sz w:val="15"/>
        </w:rPr>
      </w:pPr>
    </w:p>
    <w:p>
      <w:pPr>
        <w:pStyle w:val="BodyText"/>
        <w:ind w:left="960"/>
        <w:rPr>
          <w:rFonts w:ascii="Calibri" w:eastAsia="Calibri"/>
        </w:rPr>
      </w:pPr>
      <w:r>
        <w:rPr/>
        <w:t>网址：</w:t>
      </w:r>
      <w:hyperlink r:id="rId34">
        <w:r>
          <w:rPr>
            <w:rFonts w:ascii="Calibri" w:eastAsia="Calibri"/>
          </w:rPr>
          <w:t>www.cmbc.com.cn</w:t>
        </w:r>
      </w:hyperlink>
    </w:p>
    <w:p>
      <w:pPr>
        <w:pStyle w:val="BodyText"/>
        <w:spacing w:before="4"/>
        <w:rPr>
          <w:rFonts w:ascii="Calibri"/>
          <w:sz w:val="16"/>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中国邮政储蓄银行股份有限公司</w:t>
      </w:r>
    </w:p>
    <w:p>
      <w:pPr>
        <w:pStyle w:val="BodyText"/>
        <w:spacing w:before="6"/>
        <w:rPr>
          <w:sz w:val="15"/>
        </w:rPr>
      </w:pPr>
    </w:p>
    <w:p>
      <w:pPr>
        <w:pStyle w:val="BodyText"/>
        <w:spacing w:before="1"/>
        <w:ind w:left="960"/>
      </w:pPr>
      <w:r>
        <w:rPr/>
        <w:t>住所：北京市西城区宣武门西大街 </w:t>
      </w:r>
      <w:r>
        <w:rPr>
          <w:rFonts w:ascii="Calibri" w:eastAsia="Calibri"/>
        </w:rPr>
        <w:t>131 </w:t>
      </w:r>
      <w:r>
        <w:rPr/>
        <w:t>号</w:t>
      </w:r>
    </w:p>
    <w:p>
      <w:pPr>
        <w:pStyle w:val="BodyText"/>
        <w:spacing w:before="6"/>
        <w:rPr>
          <w:sz w:val="15"/>
        </w:rPr>
      </w:pPr>
    </w:p>
    <w:p>
      <w:pPr>
        <w:pStyle w:val="BodyText"/>
        <w:spacing w:line="417" w:lineRule="auto"/>
        <w:ind w:left="960" w:right="5129"/>
      </w:pPr>
      <w:r>
        <w:rPr/>
        <w:t>办公地址：北京市西城区金融大街 </w:t>
      </w:r>
      <w:r>
        <w:rPr>
          <w:rFonts w:ascii="Calibri" w:eastAsia="Calibri"/>
        </w:rPr>
        <w:t>3 </w:t>
      </w:r>
      <w:r>
        <w:rPr/>
        <w:t>号法定代表人：刘安东</w:t>
      </w:r>
    </w:p>
    <w:p>
      <w:pPr>
        <w:pStyle w:val="BodyText"/>
        <w:ind w:left="960"/>
        <w:rPr>
          <w:rFonts w:ascii="Calibri" w:eastAsia="Calibri"/>
        </w:rPr>
      </w:pPr>
      <w:r>
        <w:rPr/>
        <w:t>客户服务电话：</w:t>
      </w:r>
      <w:r>
        <w:rPr>
          <w:rFonts w:ascii="Calibri" w:eastAsia="Calibri"/>
        </w:rPr>
        <w:t>95580</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传真：</w:t>
      </w:r>
      <w:r>
        <w:rPr>
          <w:rFonts w:ascii="Calibri" w:eastAsia="Calibri"/>
        </w:rPr>
        <w:t>010-68858117</w:t>
      </w:r>
    </w:p>
    <w:p>
      <w:pPr>
        <w:pStyle w:val="BodyText"/>
        <w:spacing w:before="3"/>
        <w:rPr>
          <w:rFonts w:ascii="Calibri"/>
          <w:sz w:val="16"/>
        </w:rPr>
      </w:pPr>
    </w:p>
    <w:p>
      <w:pPr>
        <w:pStyle w:val="BodyText"/>
        <w:ind w:left="960"/>
      </w:pPr>
      <w:r>
        <w:rPr/>
        <w:t>联系人：陈春林</w:t>
      </w:r>
    </w:p>
    <w:p>
      <w:pPr>
        <w:pStyle w:val="BodyText"/>
        <w:spacing w:before="7"/>
        <w:rPr>
          <w:sz w:val="15"/>
        </w:rPr>
      </w:pPr>
    </w:p>
    <w:p>
      <w:pPr>
        <w:pStyle w:val="BodyText"/>
        <w:ind w:left="960"/>
        <w:rPr>
          <w:rFonts w:ascii="Calibri" w:eastAsia="Calibri"/>
        </w:rPr>
      </w:pPr>
      <w:r>
        <w:rPr/>
        <w:t>网址：</w:t>
      </w:r>
      <w:hyperlink r:id="rId35">
        <w:r>
          <w:rPr>
            <w:rFonts w:ascii="Calibri" w:eastAsia="Calibri"/>
          </w:rPr>
          <w:t>www.psbc.com</w:t>
        </w:r>
      </w:hyperlink>
    </w:p>
    <w:p>
      <w:pPr>
        <w:pStyle w:val="BodyText"/>
        <w:spacing w:before="3"/>
        <w:rPr>
          <w:rFonts w:ascii="Calibri"/>
          <w:sz w:val="16"/>
        </w:rPr>
      </w:pP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平安银行股份有限公司</w:t>
      </w:r>
    </w:p>
    <w:p>
      <w:pPr>
        <w:pStyle w:val="BodyText"/>
        <w:spacing w:before="6"/>
        <w:rPr>
          <w:sz w:val="15"/>
        </w:rPr>
      </w:pPr>
    </w:p>
    <w:p>
      <w:pPr>
        <w:pStyle w:val="BodyText"/>
        <w:ind w:left="960"/>
      </w:pPr>
      <w:r>
        <w:rPr/>
        <w:t>住所：广东省深圳市深南东路 </w:t>
      </w:r>
      <w:r>
        <w:rPr>
          <w:rFonts w:ascii="Calibri" w:eastAsia="Calibri"/>
        </w:rPr>
        <w:t>5047 </w:t>
      </w:r>
      <w:r>
        <w:rPr/>
        <w:t>号</w:t>
      </w:r>
    </w:p>
    <w:p>
      <w:pPr>
        <w:pStyle w:val="BodyText"/>
        <w:spacing w:before="7"/>
        <w:rPr>
          <w:sz w:val="15"/>
        </w:rPr>
      </w:pPr>
    </w:p>
    <w:p>
      <w:pPr>
        <w:pStyle w:val="BodyText"/>
        <w:spacing w:line="417" w:lineRule="auto"/>
        <w:ind w:left="960" w:right="4809"/>
      </w:pPr>
      <w:r>
        <w:rPr/>
        <w:t>办公地址：广东省深圳市深南东路 </w:t>
      </w:r>
      <w:r>
        <w:rPr>
          <w:rFonts w:ascii="Calibri" w:eastAsia="Calibri"/>
        </w:rPr>
        <w:t>5047 </w:t>
      </w:r>
      <w:r>
        <w:rPr/>
        <w:t>号法定代表人：孙建一</w:t>
      </w:r>
    </w:p>
    <w:p>
      <w:pPr>
        <w:pStyle w:val="BodyText"/>
        <w:spacing w:line="417" w:lineRule="auto"/>
        <w:ind w:left="960" w:right="6790"/>
        <w:rPr>
          <w:rFonts w:ascii="Calibri" w:eastAsia="Calibri"/>
        </w:rPr>
      </w:pPr>
      <w:r>
        <w:rPr/>
        <w:t>电话：</w:t>
      </w:r>
      <w:r>
        <w:rPr>
          <w:rFonts w:ascii="Calibri" w:eastAsia="Calibri"/>
        </w:rPr>
        <w:t>0755-82088888 </w:t>
      </w:r>
      <w:r>
        <w:rPr/>
        <w:t>传真：</w:t>
      </w:r>
      <w:r>
        <w:rPr>
          <w:rFonts w:ascii="Calibri" w:eastAsia="Calibri"/>
        </w:rPr>
        <w:t>0755-25841098</w:t>
      </w:r>
    </w:p>
    <w:p>
      <w:pPr>
        <w:pStyle w:val="BodyText"/>
        <w:spacing w:line="269" w:lineRule="exact"/>
        <w:ind w:left="960"/>
      </w:pPr>
      <w:r>
        <w:rPr/>
        <w:t>联系人：张莉</w:t>
      </w:r>
    </w:p>
    <w:p>
      <w:pPr>
        <w:pStyle w:val="BodyText"/>
        <w:spacing w:before="7"/>
        <w:rPr>
          <w:sz w:val="15"/>
        </w:rPr>
      </w:pPr>
    </w:p>
    <w:p>
      <w:pPr>
        <w:pStyle w:val="BodyText"/>
        <w:spacing w:line="417" w:lineRule="auto"/>
        <w:ind w:left="960" w:right="6589"/>
        <w:rPr>
          <w:rFonts w:ascii="Calibri" w:eastAsia="Calibri"/>
        </w:rPr>
      </w:pPr>
      <w:r>
        <w:rPr/>
        <w:t>网址：</w:t>
      </w:r>
      <w:r>
        <w:rPr>
          <w:rFonts w:ascii="Calibri" w:eastAsia="Calibri"/>
        </w:rPr>
        <w:t>bank.pingan.com </w:t>
      </w:r>
      <w:r>
        <w:rPr/>
        <w:t>客户服务电话：</w:t>
      </w:r>
      <w:r>
        <w:rPr>
          <w:rFonts w:ascii="Calibri" w:eastAsia="Calibri"/>
        </w:rPr>
        <w:t>95511-3</w:t>
      </w:r>
    </w:p>
    <w:p>
      <w:pPr>
        <w:pStyle w:val="ListParagraph"/>
        <w:numPr>
          <w:ilvl w:val="0"/>
          <w:numId w:val="32"/>
        </w:numPr>
        <w:tabs>
          <w:tab w:pos="1490" w:val="left" w:leader="none"/>
        </w:tabs>
        <w:spacing w:line="417" w:lineRule="auto" w:before="0" w:after="0"/>
        <w:ind w:left="960" w:right="5185" w:firstLine="0"/>
        <w:jc w:val="left"/>
        <w:rPr>
          <w:sz w:val="21"/>
        </w:rPr>
      </w:pPr>
      <w:r>
        <w:rPr>
          <w:spacing w:val="-3"/>
          <w:sz w:val="21"/>
        </w:rPr>
        <w:t>上海农村商业银行股份有限公司</w:t>
      </w:r>
      <w:r>
        <w:rPr>
          <w:spacing w:val="-6"/>
          <w:sz w:val="21"/>
        </w:rPr>
        <w:t>住所：上海市浦东新区浦东大道 </w:t>
      </w:r>
      <w:r>
        <w:rPr>
          <w:rFonts w:ascii="Calibri" w:eastAsia="Calibri"/>
          <w:sz w:val="21"/>
        </w:rPr>
        <w:t>981</w:t>
      </w:r>
      <w:r>
        <w:rPr>
          <w:rFonts w:ascii="Calibri" w:eastAsia="Calibri"/>
          <w:spacing w:val="13"/>
          <w:sz w:val="21"/>
        </w:rPr>
        <w:t> </w:t>
      </w:r>
      <w:r>
        <w:rPr>
          <w:spacing w:val="-12"/>
          <w:sz w:val="21"/>
        </w:rPr>
        <w:t>号</w:t>
      </w:r>
    </w:p>
    <w:p>
      <w:pPr>
        <w:pStyle w:val="BodyText"/>
        <w:spacing w:line="417" w:lineRule="auto"/>
        <w:ind w:left="960" w:right="3610"/>
      </w:pPr>
      <w:r>
        <w:rPr>
          <w:spacing w:val="-7"/>
        </w:rPr>
        <w:t>办公地址：上海市银城中路 </w:t>
      </w:r>
      <w:r>
        <w:rPr>
          <w:rFonts w:ascii="Calibri" w:eastAsia="Calibri"/>
        </w:rPr>
        <w:t>8 </w:t>
      </w:r>
      <w:r>
        <w:rPr>
          <w:spacing w:val="-8"/>
        </w:rPr>
        <w:t>号中融碧玉蓝天大厦 </w:t>
      </w:r>
      <w:r>
        <w:rPr>
          <w:rFonts w:ascii="Calibri" w:eastAsia="Calibri"/>
        </w:rPr>
        <w:t>15 </w:t>
      </w:r>
      <w:r>
        <w:rPr/>
        <w:t>层</w:t>
      </w:r>
      <w:r>
        <w:rPr>
          <w:spacing w:val="-3"/>
        </w:rPr>
        <w:t>法定代表人：胡平西</w:t>
      </w:r>
    </w:p>
    <w:p>
      <w:pPr>
        <w:pStyle w:val="BodyText"/>
        <w:spacing w:line="417" w:lineRule="auto"/>
        <w:ind w:left="960" w:right="6898"/>
        <w:rPr>
          <w:rFonts w:ascii="Calibri" w:eastAsia="Calibri"/>
        </w:rPr>
      </w:pPr>
      <w:r>
        <w:rPr/>
        <w:t>电话：</w:t>
      </w:r>
      <w:r>
        <w:rPr>
          <w:rFonts w:ascii="Calibri" w:eastAsia="Calibri"/>
        </w:rPr>
        <w:t>021-38523692 </w:t>
      </w:r>
      <w:r>
        <w:rPr/>
        <w:t>传真：</w:t>
      </w:r>
      <w:r>
        <w:rPr>
          <w:rFonts w:ascii="Calibri" w:eastAsia="Calibri"/>
        </w:rPr>
        <w:t>021-50105124</w:t>
      </w:r>
    </w:p>
    <w:p>
      <w:pPr>
        <w:pStyle w:val="BodyText"/>
        <w:spacing w:line="269" w:lineRule="exact"/>
        <w:ind w:left="960"/>
      </w:pPr>
      <w:r>
        <w:rPr/>
        <w:t>联系人：施传荣</w:t>
      </w:r>
    </w:p>
    <w:p>
      <w:pPr>
        <w:pStyle w:val="BodyText"/>
        <w:spacing w:before="6"/>
        <w:rPr>
          <w:sz w:val="15"/>
        </w:rPr>
      </w:pPr>
    </w:p>
    <w:p>
      <w:pPr>
        <w:pStyle w:val="BodyText"/>
        <w:ind w:left="960"/>
        <w:rPr>
          <w:rFonts w:ascii="Calibri" w:eastAsia="Calibri"/>
        </w:rPr>
      </w:pPr>
      <w:r>
        <w:rPr/>
        <w:t>网址：</w:t>
      </w:r>
      <w:hyperlink r:id="rId36">
        <w:r>
          <w:rPr>
            <w:rFonts w:ascii="Calibri" w:eastAsia="Calibri"/>
          </w:rPr>
          <w:t>www.srcb.com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021-962999</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渤海银行股份有限公司</w:t>
      </w:r>
    </w:p>
    <w:p>
      <w:pPr>
        <w:pStyle w:val="BodyText"/>
        <w:spacing w:before="7"/>
        <w:rPr>
          <w:sz w:val="15"/>
        </w:rPr>
      </w:pPr>
    </w:p>
    <w:p>
      <w:pPr>
        <w:pStyle w:val="BodyText"/>
        <w:ind w:left="960"/>
      </w:pPr>
      <w:r>
        <w:rPr/>
        <w:t>住所：天津市河东区海河东路 </w:t>
      </w:r>
      <w:r>
        <w:rPr>
          <w:rFonts w:ascii="Calibri" w:eastAsia="Calibri"/>
        </w:rPr>
        <w:t>218 </w:t>
      </w:r>
      <w:r>
        <w:rPr/>
        <w:t>号</w:t>
      </w:r>
    </w:p>
    <w:p>
      <w:pPr>
        <w:pStyle w:val="BodyText"/>
        <w:spacing w:before="6"/>
        <w:rPr>
          <w:sz w:val="15"/>
        </w:rPr>
      </w:pPr>
    </w:p>
    <w:p>
      <w:pPr>
        <w:pStyle w:val="BodyText"/>
        <w:spacing w:line="417" w:lineRule="auto" w:before="1"/>
        <w:ind w:left="960" w:right="4976"/>
      </w:pPr>
      <w:r>
        <w:rPr>
          <w:spacing w:val="-6"/>
        </w:rPr>
        <w:t>办公地址：天津市河东区海河东路 </w:t>
      </w:r>
      <w:r>
        <w:rPr>
          <w:rFonts w:ascii="Calibri" w:eastAsia="Calibri"/>
        </w:rPr>
        <w:t>218</w:t>
      </w:r>
      <w:r>
        <w:rPr>
          <w:rFonts w:ascii="Calibri" w:eastAsia="Calibri"/>
          <w:spacing w:val="12"/>
        </w:rPr>
        <w:t> </w:t>
      </w:r>
      <w:r>
        <w:rPr>
          <w:spacing w:val="-12"/>
        </w:rPr>
        <w:t>号</w:t>
      </w:r>
      <w:r>
        <w:rPr>
          <w:spacing w:val="-3"/>
        </w:rPr>
        <w:t>法定代表人：李伏安</w:t>
      </w:r>
    </w:p>
    <w:p>
      <w:pPr>
        <w:pStyle w:val="BodyText"/>
        <w:spacing w:line="269" w:lineRule="exact"/>
        <w:ind w:left="960"/>
        <w:rPr>
          <w:rFonts w:ascii="Calibri" w:eastAsia="Calibri"/>
        </w:rPr>
      </w:pPr>
      <w:r>
        <w:rPr>
          <w:spacing w:val="-2"/>
        </w:rPr>
        <w:t>电话：</w:t>
      </w:r>
      <w:r>
        <w:rPr>
          <w:rFonts w:ascii="Calibri" w:eastAsia="Calibri"/>
          <w:spacing w:val="-1"/>
        </w:rPr>
        <w:t>022-58316666</w:t>
      </w:r>
    </w:p>
    <w:p>
      <w:pPr>
        <w:pStyle w:val="BodyText"/>
        <w:spacing w:before="3"/>
        <w:rPr>
          <w:rFonts w:ascii="Calibri"/>
          <w:sz w:val="16"/>
        </w:rPr>
      </w:pPr>
    </w:p>
    <w:p>
      <w:pPr>
        <w:pStyle w:val="BodyText"/>
        <w:ind w:left="960"/>
        <w:rPr>
          <w:rFonts w:ascii="Calibri" w:eastAsia="Calibri"/>
        </w:rPr>
      </w:pPr>
      <w:r>
        <w:rPr/>
        <w:t>传真：</w:t>
      </w:r>
      <w:r>
        <w:rPr>
          <w:rFonts w:ascii="Calibri" w:eastAsia="Calibri"/>
        </w:rPr>
        <w:t>-</w:t>
      </w:r>
    </w:p>
    <w:p>
      <w:pPr>
        <w:pStyle w:val="BodyText"/>
        <w:spacing w:before="4"/>
        <w:rPr>
          <w:rFonts w:ascii="Calibri"/>
          <w:sz w:val="16"/>
        </w:rPr>
      </w:pPr>
    </w:p>
    <w:p>
      <w:pPr>
        <w:pStyle w:val="BodyText"/>
        <w:ind w:left="960"/>
      </w:pPr>
      <w:r>
        <w:rPr/>
        <w:t>联系人：潘鹏程</w:t>
      </w:r>
    </w:p>
    <w:p>
      <w:pPr>
        <w:pStyle w:val="BodyText"/>
        <w:spacing w:before="7"/>
        <w:rPr>
          <w:sz w:val="15"/>
        </w:rPr>
      </w:pPr>
    </w:p>
    <w:p>
      <w:pPr>
        <w:pStyle w:val="BodyText"/>
        <w:spacing w:line="417" w:lineRule="auto"/>
        <w:ind w:left="960" w:right="6507"/>
        <w:rPr>
          <w:rFonts w:ascii="Calibri" w:eastAsia="Calibri"/>
        </w:rPr>
      </w:pPr>
      <w:r>
        <w:rPr/>
        <w:t>网址：</w:t>
      </w:r>
      <w:hyperlink r:id="rId37">
        <w:r>
          <w:rPr>
            <w:rFonts w:ascii="Calibri" w:eastAsia="Calibri"/>
          </w:rPr>
          <w:t>www.cbhb.com.cn </w:t>
        </w:r>
      </w:hyperlink>
      <w:r>
        <w:rPr/>
        <w:t>客户服务电话：</w:t>
      </w:r>
      <w:r>
        <w:rPr>
          <w:rFonts w:ascii="Calibri" w:eastAsia="Calibri"/>
        </w:rPr>
        <w:t>95541</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2"/>
        </w:numPr>
        <w:tabs>
          <w:tab w:pos="1598" w:val="left" w:leader="none"/>
        </w:tabs>
        <w:spacing w:line="417" w:lineRule="auto" w:before="72" w:after="0"/>
        <w:ind w:left="960" w:right="4659" w:firstLine="0"/>
        <w:jc w:val="left"/>
        <w:rPr>
          <w:sz w:val="21"/>
        </w:rPr>
      </w:pPr>
      <w:r>
        <w:rPr>
          <w:spacing w:val="-3"/>
          <w:sz w:val="21"/>
        </w:rPr>
        <w:t>江苏苏州农村商业银行股份有限公司</w:t>
      </w:r>
      <w:r>
        <w:rPr>
          <w:spacing w:val="-6"/>
          <w:sz w:val="21"/>
        </w:rPr>
        <w:t>住所：江苏省苏州市吴江区中山南路 </w:t>
      </w:r>
      <w:r>
        <w:rPr>
          <w:rFonts w:ascii="Calibri" w:eastAsia="Calibri"/>
          <w:sz w:val="21"/>
        </w:rPr>
        <w:t>1777</w:t>
      </w:r>
      <w:r>
        <w:rPr>
          <w:rFonts w:ascii="Calibri" w:eastAsia="Calibri"/>
          <w:spacing w:val="12"/>
          <w:sz w:val="21"/>
        </w:rPr>
        <w:t> </w:t>
      </w:r>
      <w:r>
        <w:rPr>
          <w:sz w:val="21"/>
        </w:rPr>
        <w:t>号</w:t>
      </w:r>
    </w:p>
    <w:p>
      <w:pPr>
        <w:pStyle w:val="BodyText"/>
        <w:spacing w:line="417" w:lineRule="auto"/>
        <w:ind w:left="960" w:right="4180"/>
      </w:pPr>
      <w:r>
        <w:rPr/>
        <w:t>办公地址：江苏省苏州市吴江区中山南路 </w:t>
      </w:r>
      <w:r>
        <w:rPr>
          <w:rFonts w:ascii="Calibri" w:eastAsia="Calibri"/>
        </w:rPr>
        <w:t>1777 </w:t>
      </w:r>
      <w:r>
        <w:rPr/>
        <w:t>号法定代表人：魏礼亚</w:t>
      </w:r>
    </w:p>
    <w:p>
      <w:pPr>
        <w:pStyle w:val="BodyText"/>
        <w:spacing w:line="417" w:lineRule="auto"/>
        <w:ind w:left="960" w:right="6790"/>
        <w:rPr>
          <w:rFonts w:ascii="Calibri" w:eastAsia="Calibri"/>
        </w:rPr>
      </w:pPr>
      <w:r>
        <w:rPr/>
        <w:t>电话：</w:t>
      </w:r>
      <w:r>
        <w:rPr>
          <w:rFonts w:ascii="Calibri" w:eastAsia="Calibri"/>
        </w:rPr>
        <w:t>0512-63969209 </w:t>
      </w:r>
      <w:r>
        <w:rPr/>
        <w:t>传真：</w:t>
      </w:r>
      <w:r>
        <w:rPr>
          <w:rFonts w:ascii="Calibri" w:eastAsia="Calibri"/>
        </w:rPr>
        <w:t>0512-63969209</w:t>
      </w:r>
    </w:p>
    <w:p>
      <w:pPr>
        <w:pStyle w:val="BodyText"/>
        <w:spacing w:line="269" w:lineRule="exact"/>
        <w:ind w:left="960"/>
      </w:pPr>
      <w:r>
        <w:rPr/>
        <w:t>联系人：葛晓亮</w:t>
      </w:r>
    </w:p>
    <w:p>
      <w:pPr>
        <w:pStyle w:val="BodyText"/>
        <w:spacing w:before="6"/>
        <w:rPr>
          <w:sz w:val="15"/>
        </w:rPr>
      </w:pPr>
    </w:p>
    <w:p>
      <w:pPr>
        <w:pStyle w:val="BodyText"/>
        <w:ind w:left="960"/>
        <w:rPr>
          <w:rFonts w:ascii="Calibri" w:eastAsia="Calibri"/>
        </w:rPr>
      </w:pPr>
      <w:r>
        <w:rPr/>
        <w:t>网址：</w:t>
      </w:r>
      <w:hyperlink r:id="rId38">
        <w:r>
          <w:rPr>
            <w:rFonts w:ascii="Calibri" w:eastAsia="Calibri"/>
          </w:rPr>
          <w:t>http://www.szrcb.com</w:t>
        </w:r>
      </w:hyperlink>
    </w:p>
    <w:p>
      <w:pPr>
        <w:pStyle w:val="BodyText"/>
        <w:spacing w:before="4"/>
        <w:rPr>
          <w:rFonts w:ascii="Calibri"/>
          <w:sz w:val="16"/>
        </w:rPr>
      </w:pPr>
    </w:p>
    <w:p>
      <w:pPr>
        <w:pStyle w:val="BodyText"/>
        <w:ind w:left="960"/>
      </w:pPr>
      <w:r>
        <w:rPr>
          <w:spacing w:val="-2"/>
        </w:rPr>
        <w:t>客户服务电话：</w:t>
      </w:r>
      <w:r>
        <w:rPr>
          <w:rFonts w:ascii="Calibri" w:eastAsia="Calibri"/>
        </w:rPr>
        <w:t>96068</w:t>
      </w:r>
      <w:r>
        <w:rPr/>
        <w:t>（</w:t>
      </w:r>
      <w:r>
        <w:rPr>
          <w:spacing w:val="-3"/>
        </w:rPr>
        <w:t>江苏省内</w:t>
      </w:r>
      <w:r>
        <w:rPr>
          <w:spacing w:val="-106"/>
        </w:rPr>
        <w:t>）</w:t>
      </w:r>
      <w:r>
        <w:rPr>
          <w:spacing w:val="-3"/>
        </w:rPr>
        <w:t>、</w:t>
      </w:r>
      <w:r>
        <w:rPr>
          <w:rFonts w:ascii="Calibri" w:eastAsia="Calibri"/>
        </w:rPr>
        <w:t>4008696068</w:t>
      </w:r>
      <w:r>
        <w:rPr/>
        <w:t>（</w:t>
      </w:r>
      <w:r>
        <w:rPr>
          <w:spacing w:val="-3"/>
        </w:rPr>
        <w:t>江苏省外</w:t>
      </w:r>
      <w:r>
        <w:rPr/>
        <w:t>）</w:t>
      </w:r>
    </w:p>
    <w:p>
      <w:pPr>
        <w:pStyle w:val="BodyText"/>
        <w:spacing w:before="6"/>
        <w:rPr>
          <w:sz w:val="15"/>
        </w:rPr>
      </w:pPr>
    </w:p>
    <w:p>
      <w:pPr>
        <w:pStyle w:val="ListParagraph"/>
        <w:numPr>
          <w:ilvl w:val="0"/>
          <w:numId w:val="32"/>
        </w:numPr>
        <w:tabs>
          <w:tab w:pos="1598" w:val="left" w:leader="none"/>
        </w:tabs>
        <w:spacing w:line="417" w:lineRule="auto" w:before="1" w:after="0"/>
        <w:ind w:left="960" w:right="5713" w:firstLine="0"/>
        <w:jc w:val="left"/>
        <w:rPr>
          <w:sz w:val="21"/>
        </w:rPr>
      </w:pPr>
      <w:r>
        <w:rPr>
          <w:spacing w:val="-3"/>
          <w:sz w:val="21"/>
        </w:rPr>
        <w:t>西安银行股份有限公司  </w:t>
      </w:r>
      <w:r>
        <w:rPr>
          <w:spacing w:val="-7"/>
          <w:sz w:val="21"/>
        </w:rPr>
        <w:t>住所：陕西省西安市高新路 </w:t>
      </w:r>
      <w:r>
        <w:rPr>
          <w:rFonts w:ascii="Calibri" w:eastAsia="Calibri"/>
          <w:sz w:val="21"/>
        </w:rPr>
        <w:t>60</w:t>
      </w:r>
      <w:r>
        <w:rPr>
          <w:rFonts w:ascii="Calibri" w:eastAsia="Calibri"/>
          <w:spacing w:val="9"/>
          <w:sz w:val="21"/>
        </w:rPr>
        <w:t> </w:t>
      </w:r>
      <w:r>
        <w:rPr>
          <w:spacing w:val="-13"/>
          <w:sz w:val="21"/>
        </w:rPr>
        <w:t>号</w:t>
      </w:r>
    </w:p>
    <w:p>
      <w:pPr>
        <w:pStyle w:val="BodyText"/>
        <w:spacing w:line="417" w:lineRule="auto"/>
        <w:ind w:left="960" w:right="5233"/>
      </w:pPr>
      <w:r>
        <w:rPr/>
        <w:t>办公地址：陕西省西安市高新路 </w:t>
      </w:r>
      <w:r>
        <w:rPr>
          <w:rFonts w:ascii="Calibri" w:eastAsia="Calibri"/>
        </w:rPr>
        <w:t>60 </w:t>
      </w:r>
      <w:r>
        <w:rPr/>
        <w:t>号法定代表人：郭军</w:t>
      </w:r>
    </w:p>
    <w:p>
      <w:pPr>
        <w:pStyle w:val="BodyText"/>
        <w:spacing w:line="417" w:lineRule="auto"/>
        <w:ind w:left="960" w:right="6898"/>
        <w:rPr>
          <w:rFonts w:ascii="Calibri" w:eastAsia="Calibri"/>
        </w:rPr>
      </w:pPr>
      <w:r>
        <w:rPr/>
        <w:t>电话：</w:t>
      </w:r>
      <w:r>
        <w:rPr>
          <w:rFonts w:ascii="Calibri" w:eastAsia="Calibri"/>
        </w:rPr>
        <w:t>029-88992881 </w:t>
      </w:r>
      <w:r>
        <w:rPr/>
        <w:t>传真：</w:t>
      </w:r>
      <w:r>
        <w:rPr>
          <w:rFonts w:ascii="Calibri" w:eastAsia="Calibri"/>
        </w:rPr>
        <w:t>029-88992475</w:t>
      </w:r>
    </w:p>
    <w:p>
      <w:pPr>
        <w:pStyle w:val="BodyText"/>
        <w:ind w:left="960"/>
      </w:pPr>
      <w:r>
        <w:rPr/>
        <w:t>联系人：白智</w:t>
      </w:r>
    </w:p>
    <w:p>
      <w:pPr>
        <w:pStyle w:val="BodyText"/>
        <w:spacing w:before="6"/>
        <w:rPr>
          <w:sz w:val="15"/>
        </w:rPr>
      </w:pPr>
    </w:p>
    <w:p>
      <w:pPr>
        <w:pStyle w:val="BodyText"/>
        <w:ind w:left="960"/>
        <w:rPr>
          <w:rFonts w:ascii="Calibri" w:eastAsia="Calibri"/>
        </w:rPr>
      </w:pPr>
      <w:r>
        <w:rPr/>
        <w:t>网址：</w:t>
      </w:r>
      <w:hyperlink r:id="rId39">
        <w:r>
          <w:rPr>
            <w:rFonts w:ascii="Calibri" w:eastAsia="Calibri"/>
          </w:rPr>
          <w:t>www.xacbank.com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400-869-6779</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厦门银行股份有限公司</w:t>
      </w:r>
    </w:p>
    <w:p>
      <w:pPr>
        <w:pStyle w:val="BodyText"/>
        <w:spacing w:before="7"/>
        <w:rPr>
          <w:sz w:val="15"/>
        </w:rPr>
      </w:pPr>
    </w:p>
    <w:p>
      <w:pPr>
        <w:pStyle w:val="BodyText"/>
        <w:ind w:left="960"/>
      </w:pPr>
      <w:r>
        <w:rPr/>
        <w:t>住所：厦门市湖滨北路 </w:t>
      </w:r>
      <w:r>
        <w:rPr>
          <w:rFonts w:ascii="Calibri" w:eastAsia="Calibri"/>
        </w:rPr>
        <w:t>101 </w:t>
      </w:r>
      <w:r>
        <w:rPr/>
        <w:t>号商业银行大厦</w:t>
      </w:r>
    </w:p>
    <w:p>
      <w:pPr>
        <w:pStyle w:val="BodyText"/>
        <w:spacing w:before="6"/>
        <w:rPr>
          <w:sz w:val="15"/>
        </w:rPr>
      </w:pPr>
    </w:p>
    <w:p>
      <w:pPr>
        <w:pStyle w:val="BodyText"/>
        <w:spacing w:line="417" w:lineRule="auto"/>
        <w:ind w:left="960" w:right="4286"/>
      </w:pPr>
      <w:r>
        <w:rPr/>
        <w:t>办公地址：厦门市湖滨北路 </w:t>
      </w:r>
      <w:r>
        <w:rPr>
          <w:rFonts w:ascii="Calibri" w:eastAsia="Calibri"/>
        </w:rPr>
        <w:t>101 </w:t>
      </w:r>
      <w:r>
        <w:rPr/>
        <w:t>号商业银行大厦法定代表人：吴世群</w:t>
      </w:r>
    </w:p>
    <w:p>
      <w:pPr>
        <w:pStyle w:val="BodyText"/>
        <w:spacing w:line="417" w:lineRule="auto" w:before="1"/>
        <w:ind w:left="960" w:right="6898"/>
        <w:rPr>
          <w:rFonts w:ascii="Calibri" w:eastAsia="Calibri"/>
        </w:rPr>
      </w:pPr>
      <w:r>
        <w:rPr/>
        <w:t>电话：</w:t>
      </w:r>
      <w:r>
        <w:rPr>
          <w:rFonts w:ascii="Calibri" w:eastAsia="Calibri"/>
        </w:rPr>
        <w:t>0592-5310251 </w:t>
      </w:r>
      <w:r>
        <w:rPr/>
        <w:t>传真：</w:t>
      </w:r>
      <w:r>
        <w:rPr>
          <w:rFonts w:ascii="Calibri" w:eastAsia="Calibri"/>
        </w:rPr>
        <w:t>0592-5373973</w:t>
      </w:r>
    </w:p>
    <w:p>
      <w:pPr>
        <w:pStyle w:val="BodyText"/>
        <w:spacing w:line="269" w:lineRule="exact"/>
        <w:ind w:left="960"/>
      </w:pPr>
      <w:r>
        <w:rPr/>
        <w:t>联系人：孙瑜</w:t>
      </w:r>
    </w:p>
    <w:p>
      <w:pPr>
        <w:pStyle w:val="BodyText"/>
        <w:spacing w:before="6"/>
        <w:rPr>
          <w:sz w:val="15"/>
        </w:rPr>
      </w:pPr>
    </w:p>
    <w:p>
      <w:pPr>
        <w:pStyle w:val="BodyText"/>
        <w:ind w:left="960"/>
        <w:rPr>
          <w:rFonts w:ascii="Calibri" w:eastAsia="Calibri"/>
        </w:rPr>
      </w:pPr>
      <w:r>
        <w:rPr/>
        <w:t>网址：</w:t>
      </w:r>
      <w:hyperlink r:id="rId40">
        <w:r>
          <w:rPr>
            <w:rFonts w:ascii="Calibri" w:eastAsia="Calibri"/>
          </w:rPr>
          <w:t>www.xmccb.com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400-858-8888</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苏州银行股份有限公司</w:t>
      </w:r>
    </w:p>
    <w:p>
      <w:pPr>
        <w:pStyle w:val="BodyText"/>
        <w:spacing w:before="7"/>
        <w:rPr>
          <w:sz w:val="15"/>
        </w:rPr>
      </w:pPr>
    </w:p>
    <w:p>
      <w:pPr>
        <w:pStyle w:val="BodyText"/>
        <w:ind w:left="960"/>
      </w:pPr>
      <w:r>
        <w:rPr/>
        <w:t>住所：江苏省苏州市工业园区钟园路 </w:t>
      </w:r>
      <w:r>
        <w:rPr>
          <w:rFonts w:ascii="Calibri" w:eastAsia="Calibri"/>
        </w:rPr>
        <w:t>728 </w:t>
      </w:r>
      <w:r>
        <w:rPr/>
        <w:t>号</w:t>
      </w:r>
    </w:p>
    <w:p>
      <w:pPr>
        <w:pStyle w:val="BodyText"/>
        <w:spacing w:before="6"/>
        <w:rPr>
          <w:sz w:val="15"/>
        </w:rPr>
      </w:pPr>
    </w:p>
    <w:p>
      <w:pPr>
        <w:pStyle w:val="BodyText"/>
        <w:spacing w:before="1"/>
        <w:ind w:left="960"/>
      </w:pPr>
      <w:r>
        <w:rPr/>
        <w:t>办公地址：江苏省苏州市工业园区钟园路 </w:t>
      </w:r>
      <w:r>
        <w:rPr>
          <w:rFonts w:ascii="Calibri" w:eastAsia="Calibri"/>
        </w:rPr>
        <w:t>728 </w:t>
      </w:r>
      <w:r>
        <w:rPr/>
        <w:t>号</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790"/>
        <w:rPr>
          <w:rFonts w:ascii="Calibri" w:eastAsia="Calibri"/>
        </w:rPr>
      </w:pPr>
      <w:r>
        <w:rPr/>
        <w:t>法定代表人：王兰凤电话：</w:t>
      </w:r>
      <w:r>
        <w:rPr>
          <w:rFonts w:ascii="Calibri" w:eastAsia="Calibri"/>
        </w:rPr>
        <w:t>0512-69868373</w:t>
      </w:r>
    </w:p>
    <w:p>
      <w:pPr>
        <w:pStyle w:val="BodyText"/>
        <w:spacing w:line="269" w:lineRule="exact"/>
        <w:ind w:left="960"/>
      </w:pPr>
      <w:r>
        <w:rPr/>
        <w:t>联系人：吴骏</w:t>
      </w:r>
    </w:p>
    <w:p>
      <w:pPr>
        <w:pStyle w:val="BodyText"/>
        <w:spacing w:before="7"/>
        <w:rPr>
          <w:sz w:val="15"/>
        </w:rPr>
      </w:pPr>
    </w:p>
    <w:p>
      <w:pPr>
        <w:pStyle w:val="BodyText"/>
        <w:spacing w:line="417" w:lineRule="auto"/>
        <w:ind w:left="960" w:right="6155"/>
        <w:rPr>
          <w:rFonts w:ascii="Calibri" w:eastAsia="Calibri"/>
        </w:rPr>
      </w:pPr>
      <w:r>
        <w:rPr/>
        <w:t>网址：</w:t>
      </w:r>
      <w:hyperlink r:id="rId41">
        <w:r>
          <w:rPr>
            <w:rFonts w:ascii="Calibri" w:eastAsia="Calibri"/>
          </w:rPr>
          <w:t>www.suzhoubank.com </w:t>
        </w:r>
      </w:hyperlink>
      <w:r>
        <w:rPr/>
        <w:t>客户服务电话：</w:t>
      </w:r>
      <w:r>
        <w:rPr>
          <w:rFonts w:ascii="Calibri" w:eastAsia="Calibri"/>
        </w:rPr>
        <w:t>96067</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华融湘江银行股份有限公司</w:t>
      </w:r>
    </w:p>
    <w:p>
      <w:pPr>
        <w:pStyle w:val="BodyText"/>
        <w:spacing w:before="7"/>
        <w:rPr>
          <w:sz w:val="15"/>
        </w:rPr>
      </w:pPr>
    </w:p>
    <w:p>
      <w:pPr>
        <w:pStyle w:val="BodyText"/>
        <w:ind w:left="960"/>
      </w:pPr>
      <w:r>
        <w:rPr/>
        <w:t>住所：湖南省长沙市天心区芙蓉南路二段 </w:t>
      </w:r>
      <w:r>
        <w:rPr>
          <w:rFonts w:ascii="Calibri" w:eastAsia="Calibri"/>
        </w:rPr>
        <w:t>828 </w:t>
      </w:r>
      <w:r>
        <w:rPr/>
        <w:t>号鑫远杰座</w:t>
      </w:r>
    </w:p>
    <w:p>
      <w:pPr>
        <w:pStyle w:val="BodyText"/>
        <w:spacing w:before="7"/>
        <w:rPr>
          <w:sz w:val="15"/>
        </w:rPr>
      </w:pPr>
    </w:p>
    <w:p>
      <w:pPr>
        <w:pStyle w:val="BodyText"/>
        <w:spacing w:line="417" w:lineRule="auto"/>
        <w:ind w:left="960" w:right="2186"/>
      </w:pPr>
      <w:r>
        <w:rPr/>
        <w:t>办公地址：湖南省长沙市雨花区湘府东路二段 </w:t>
      </w:r>
      <w:r>
        <w:rPr>
          <w:rFonts w:ascii="Calibri" w:eastAsia="Calibri"/>
        </w:rPr>
        <w:t>208 </w:t>
      </w:r>
      <w:r>
        <w:rPr/>
        <w:t>号万境财智中心南栋法定代表人：张永宏</w:t>
      </w:r>
    </w:p>
    <w:p>
      <w:pPr>
        <w:pStyle w:val="BodyText"/>
        <w:spacing w:line="417" w:lineRule="auto"/>
        <w:ind w:left="960" w:right="6790"/>
        <w:rPr>
          <w:rFonts w:ascii="Calibri" w:eastAsia="Calibri"/>
        </w:rPr>
      </w:pPr>
      <w:r>
        <w:rPr/>
        <w:t>电话：</w:t>
      </w:r>
      <w:r>
        <w:rPr>
          <w:rFonts w:ascii="Calibri" w:eastAsia="Calibri"/>
        </w:rPr>
        <w:t>0731-89828592 </w:t>
      </w:r>
      <w:r>
        <w:rPr/>
        <w:t>传真：</w:t>
      </w:r>
      <w:r>
        <w:rPr>
          <w:rFonts w:ascii="Calibri" w:eastAsia="Calibri"/>
        </w:rPr>
        <w:t>0731-89828806</w:t>
      </w:r>
    </w:p>
    <w:p>
      <w:pPr>
        <w:pStyle w:val="BodyText"/>
        <w:spacing w:line="269" w:lineRule="exact"/>
        <w:ind w:left="960"/>
      </w:pPr>
      <w:r>
        <w:rPr/>
        <w:t>联系人：曾玉姣</w:t>
      </w:r>
    </w:p>
    <w:p>
      <w:pPr>
        <w:pStyle w:val="BodyText"/>
        <w:spacing w:before="6"/>
        <w:rPr>
          <w:sz w:val="15"/>
        </w:rPr>
      </w:pPr>
    </w:p>
    <w:p>
      <w:pPr>
        <w:pStyle w:val="BodyText"/>
        <w:spacing w:line="417" w:lineRule="auto" w:before="1"/>
        <w:ind w:left="960" w:right="6185"/>
        <w:rPr>
          <w:rFonts w:ascii="Calibri" w:eastAsia="Calibri"/>
        </w:rPr>
      </w:pPr>
      <w:r>
        <w:rPr/>
        <w:t>网址：</w:t>
      </w:r>
      <w:hyperlink r:id="rId42">
        <w:r>
          <w:rPr>
            <w:rFonts w:ascii="Calibri" w:eastAsia="Calibri"/>
          </w:rPr>
          <w:t>www.hrxjbank.com.cn </w:t>
        </w:r>
      </w:hyperlink>
      <w:r>
        <w:rPr/>
        <w:t>客户服务电话：</w:t>
      </w:r>
      <w:r>
        <w:rPr>
          <w:rFonts w:ascii="Calibri" w:eastAsia="Calibri"/>
        </w:rPr>
        <w:t>0731-96599</w:t>
      </w: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中原银行股份有限公司</w:t>
      </w:r>
    </w:p>
    <w:p>
      <w:pPr>
        <w:pStyle w:val="BodyText"/>
        <w:spacing w:before="6"/>
        <w:rPr>
          <w:sz w:val="15"/>
        </w:rPr>
      </w:pPr>
    </w:p>
    <w:p>
      <w:pPr>
        <w:pStyle w:val="BodyText"/>
        <w:ind w:left="960"/>
      </w:pPr>
      <w:r>
        <w:rPr/>
        <w:t>住所：河南省郑州市郑东新区 </w:t>
      </w:r>
      <w:r>
        <w:rPr>
          <w:rFonts w:ascii="Calibri" w:eastAsia="Calibri"/>
        </w:rPr>
        <w:t>CBD </w:t>
      </w:r>
      <w:r>
        <w:rPr/>
        <w:t>商务外环路 </w:t>
      </w:r>
      <w:r>
        <w:rPr>
          <w:rFonts w:ascii="Calibri" w:eastAsia="Calibri"/>
        </w:rPr>
        <w:t>23 </w:t>
      </w:r>
      <w:r>
        <w:rPr/>
        <w:t>号中科金座</w:t>
      </w:r>
    </w:p>
    <w:p>
      <w:pPr>
        <w:pStyle w:val="BodyText"/>
        <w:spacing w:before="7"/>
        <w:rPr>
          <w:sz w:val="15"/>
        </w:rPr>
      </w:pPr>
    </w:p>
    <w:p>
      <w:pPr>
        <w:pStyle w:val="BodyText"/>
        <w:spacing w:line="417" w:lineRule="auto"/>
        <w:ind w:left="960" w:right="2731"/>
      </w:pPr>
      <w:r>
        <w:rPr>
          <w:spacing w:val="-6"/>
        </w:rPr>
        <w:t>办公地址：河南省郑州市郑东新区 </w:t>
      </w:r>
      <w:r>
        <w:rPr>
          <w:rFonts w:ascii="Calibri" w:eastAsia="Calibri"/>
        </w:rPr>
        <w:t>CBD </w:t>
      </w:r>
      <w:r>
        <w:rPr>
          <w:spacing w:val="-11"/>
        </w:rPr>
        <w:t>商务外环路 </w:t>
      </w:r>
      <w:r>
        <w:rPr>
          <w:rFonts w:ascii="Calibri" w:eastAsia="Calibri"/>
        </w:rPr>
        <w:t>23 </w:t>
      </w:r>
      <w:r>
        <w:rPr>
          <w:spacing w:val="-3"/>
        </w:rPr>
        <w:t>号中科金座法定代表人：窦荣兴</w:t>
      </w:r>
    </w:p>
    <w:p>
      <w:pPr>
        <w:pStyle w:val="BodyText"/>
        <w:spacing w:line="417" w:lineRule="auto"/>
        <w:ind w:left="960" w:right="6790"/>
        <w:rPr>
          <w:rFonts w:ascii="Calibri" w:eastAsia="Calibri"/>
        </w:rPr>
      </w:pPr>
      <w:r>
        <w:rPr/>
        <w:t>电话：</w:t>
      </w:r>
      <w:r>
        <w:rPr>
          <w:rFonts w:ascii="Calibri" w:eastAsia="Calibri"/>
        </w:rPr>
        <w:t>0371-85517710 </w:t>
      </w:r>
      <w:r>
        <w:rPr/>
        <w:t>传真：</w:t>
      </w:r>
      <w:r>
        <w:rPr>
          <w:rFonts w:ascii="Calibri" w:eastAsia="Calibri"/>
        </w:rPr>
        <w:t>0371-85519869</w:t>
      </w:r>
    </w:p>
    <w:p>
      <w:pPr>
        <w:pStyle w:val="BodyText"/>
        <w:spacing w:line="269" w:lineRule="exact"/>
        <w:ind w:left="960"/>
      </w:pPr>
      <w:r>
        <w:rPr/>
        <w:t>联系人：牛映雪</w:t>
      </w:r>
    </w:p>
    <w:p>
      <w:pPr>
        <w:pStyle w:val="BodyText"/>
        <w:spacing w:before="7"/>
        <w:rPr>
          <w:sz w:val="15"/>
        </w:rPr>
      </w:pPr>
    </w:p>
    <w:p>
      <w:pPr>
        <w:pStyle w:val="BodyText"/>
        <w:spacing w:line="417" w:lineRule="auto"/>
        <w:ind w:left="960" w:right="6332"/>
        <w:rPr>
          <w:rFonts w:ascii="Calibri" w:eastAsia="Calibri"/>
        </w:rPr>
      </w:pPr>
      <w:r>
        <w:rPr/>
        <w:t>网址：</w:t>
      </w:r>
      <w:hyperlink r:id="rId43">
        <w:r>
          <w:rPr>
            <w:rFonts w:ascii="Calibri" w:eastAsia="Calibri"/>
          </w:rPr>
          <w:t>www.zybank.com.cn </w:t>
        </w:r>
      </w:hyperlink>
      <w:r>
        <w:rPr/>
        <w:t>客户服务电话：</w:t>
      </w:r>
      <w:r>
        <w:rPr>
          <w:rFonts w:ascii="Calibri" w:eastAsia="Calibri"/>
        </w:rPr>
        <w:t>95186</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天相投资顾问有限公司</w:t>
      </w:r>
    </w:p>
    <w:p>
      <w:pPr>
        <w:pStyle w:val="BodyText"/>
        <w:spacing w:before="7"/>
        <w:rPr>
          <w:sz w:val="15"/>
        </w:rPr>
      </w:pPr>
    </w:p>
    <w:p>
      <w:pPr>
        <w:pStyle w:val="BodyText"/>
        <w:ind w:left="960"/>
        <w:rPr>
          <w:rFonts w:ascii="Calibri" w:eastAsia="Calibri"/>
        </w:rPr>
      </w:pPr>
      <w:r>
        <w:rPr/>
        <w:t>住所：北京市西城区金融街 </w:t>
      </w:r>
      <w:r>
        <w:rPr>
          <w:rFonts w:ascii="Calibri" w:eastAsia="Calibri"/>
        </w:rPr>
        <w:t>19 </w:t>
      </w:r>
      <w:r>
        <w:rPr/>
        <w:t>号富凯大厦 </w:t>
      </w:r>
      <w:r>
        <w:rPr>
          <w:rFonts w:ascii="Calibri" w:eastAsia="Calibri"/>
        </w:rPr>
        <w:t>B </w:t>
      </w:r>
      <w:r>
        <w:rPr/>
        <w:t>座 </w:t>
      </w:r>
      <w:r>
        <w:rPr>
          <w:rFonts w:ascii="Calibri" w:eastAsia="Calibri"/>
        </w:rPr>
        <w:t>701</w:t>
      </w:r>
    </w:p>
    <w:p>
      <w:pPr>
        <w:pStyle w:val="BodyText"/>
        <w:spacing w:before="3"/>
        <w:rPr>
          <w:rFonts w:ascii="Calibri"/>
          <w:sz w:val="16"/>
        </w:rPr>
      </w:pPr>
    </w:p>
    <w:p>
      <w:pPr>
        <w:pStyle w:val="BodyText"/>
        <w:spacing w:line="417" w:lineRule="auto" w:before="1"/>
        <w:ind w:left="960" w:right="3760"/>
      </w:pPr>
      <w:r>
        <w:rPr/>
        <w:t>办公地址：北京市西城区新街口外大街 </w:t>
      </w:r>
      <w:r>
        <w:rPr>
          <w:rFonts w:ascii="Calibri" w:eastAsia="Calibri"/>
        </w:rPr>
        <w:t>28 </w:t>
      </w:r>
      <w:r>
        <w:rPr/>
        <w:t>号</w:t>
      </w:r>
      <w:r>
        <w:rPr>
          <w:rFonts w:ascii="Calibri" w:eastAsia="Calibri"/>
        </w:rPr>
        <w:t>C </w:t>
      </w:r>
      <w:r>
        <w:rPr/>
        <w:t>座 </w:t>
      </w:r>
      <w:r>
        <w:rPr>
          <w:rFonts w:ascii="Calibri" w:eastAsia="Calibri"/>
        </w:rPr>
        <w:t>5 </w:t>
      </w:r>
      <w:r>
        <w:rPr/>
        <w:t>层法定代表人：林义相</w:t>
      </w:r>
    </w:p>
    <w:p>
      <w:pPr>
        <w:pStyle w:val="BodyText"/>
        <w:spacing w:line="417" w:lineRule="auto"/>
        <w:ind w:left="960" w:right="6898"/>
        <w:rPr>
          <w:rFonts w:ascii="Calibri" w:eastAsia="Calibri"/>
        </w:rPr>
      </w:pPr>
      <w:r>
        <w:rPr/>
        <w:t>电话：</w:t>
      </w:r>
      <w:r>
        <w:rPr>
          <w:rFonts w:ascii="Calibri" w:eastAsia="Calibri"/>
        </w:rPr>
        <w:t>010-66045529 </w:t>
      </w:r>
      <w:r>
        <w:rPr/>
        <w:t>传真：</w:t>
      </w:r>
      <w:r>
        <w:rPr>
          <w:rFonts w:ascii="Calibri" w:eastAsia="Calibri"/>
        </w:rPr>
        <w:t>010-66045518</w:t>
      </w:r>
    </w:p>
    <w:p>
      <w:pPr>
        <w:pStyle w:val="BodyText"/>
        <w:ind w:left="960"/>
      </w:pPr>
      <w:r>
        <w:rPr/>
        <w:t>联系人：尹伶</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rPr>
          <w:rFonts w:ascii="Calibri" w:eastAsia="Calibri"/>
        </w:rPr>
      </w:pPr>
      <w:r>
        <w:rPr/>
        <w:t>网址：</w:t>
      </w:r>
      <w:hyperlink r:id="rId44">
        <w:r>
          <w:rPr>
            <w:rFonts w:ascii="Calibri" w:eastAsia="Calibri"/>
          </w:rPr>
          <w:t>www.txsec.com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010-66045678</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6"/>
        <w:rPr>
          <w:sz w:val="15"/>
        </w:rPr>
      </w:pPr>
    </w:p>
    <w:p>
      <w:pPr>
        <w:pStyle w:val="BodyText"/>
        <w:ind w:left="960"/>
      </w:pPr>
      <w:r>
        <w:rPr/>
        <w:t>住所：北京市朝阳区霄云路 </w:t>
      </w:r>
      <w:r>
        <w:rPr>
          <w:rFonts w:ascii="Calibri" w:eastAsia="Calibri"/>
        </w:rPr>
        <w:t>40 </w:t>
      </w:r>
      <w:r>
        <w:rPr/>
        <w:t>号院 </w:t>
      </w:r>
      <w:r>
        <w:rPr>
          <w:rFonts w:ascii="Calibri" w:eastAsia="Calibri"/>
        </w:rPr>
        <w:t>1 </w:t>
      </w:r>
      <w:r>
        <w:rPr/>
        <w:t>号楼 </w:t>
      </w:r>
      <w:r>
        <w:rPr>
          <w:rFonts w:ascii="Calibri" w:eastAsia="Calibri"/>
        </w:rPr>
        <w:t>3 </w:t>
      </w:r>
      <w:r>
        <w:rPr/>
        <w:t>层 </w:t>
      </w:r>
      <w:r>
        <w:rPr>
          <w:rFonts w:ascii="Calibri" w:eastAsia="Calibri"/>
        </w:rPr>
        <w:t>306 </w:t>
      </w:r>
      <w:r>
        <w:rPr/>
        <w:t>室</w:t>
      </w:r>
    </w:p>
    <w:p>
      <w:pPr>
        <w:pStyle w:val="BodyText"/>
        <w:spacing w:before="7"/>
        <w:rPr>
          <w:sz w:val="15"/>
        </w:rPr>
      </w:pPr>
    </w:p>
    <w:p>
      <w:pPr>
        <w:pStyle w:val="BodyText"/>
        <w:spacing w:line="417" w:lineRule="auto"/>
        <w:ind w:left="960" w:right="3394"/>
      </w:pPr>
      <w:r>
        <w:rPr>
          <w:spacing w:val="-7"/>
        </w:rPr>
        <w:t>办公地址：北京市朝阳区霄云路 </w:t>
      </w:r>
      <w:r>
        <w:rPr>
          <w:rFonts w:ascii="Calibri" w:eastAsia="Calibri"/>
        </w:rPr>
        <w:t>40 </w:t>
      </w:r>
      <w:r>
        <w:rPr>
          <w:spacing w:val="-18"/>
        </w:rPr>
        <w:t>号院 </w:t>
      </w:r>
      <w:r>
        <w:rPr>
          <w:rFonts w:ascii="Calibri" w:eastAsia="Calibri"/>
        </w:rPr>
        <w:t>1 </w:t>
      </w:r>
      <w:r>
        <w:rPr>
          <w:spacing w:val="-19"/>
        </w:rPr>
        <w:t>号楼 </w:t>
      </w:r>
      <w:r>
        <w:rPr>
          <w:rFonts w:ascii="Calibri" w:eastAsia="Calibri"/>
        </w:rPr>
        <w:t>3 </w:t>
      </w:r>
      <w:r>
        <w:rPr>
          <w:spacing w:val="-25"/>
        </w:rPr>
        <w:t>层 </w:t>
      </w:r>
      <w:r>
        <w:rPr>
          <w:rFonts w:ascii="Calibri" w:eastAsia="Calibri"/>
        </w:rPr>
        <w:t>306 </w:t>
      </w:r>
      <w:r>
        <w:rPr/>
        <w:t>室</w:t>
      </w:r>
      <w:r>
        <w:rPr>
          <w:spacing w:val="-3"/>
        </w:rPr>
        <w:t>法定代表人：齐凌峰</w:t>
      </w:r>
    </w:p>
    <w:p>
      <w:pPr>
        <w:pStyle w:val="BodyText"/>
        <w:spacing w:line="417" w:lineRule="auto"/>
        <w:ind w:left="960" w:right="6898"/>
        <w:rPr>
          <w:rFonts w:ascii="Calibri" w:eastAsia="Calibri"/>
        </w:rPr>
      </w:pPr>
      <w:r>
        <w:rPr/>
        <w:t>电话：</w:t>
      </w:r>
      <w:r>
        <w:rPr>
          <w:rFonts w:ascii="Calibri" w:eastAsia="Calibri"/>
        </w:rPr>
        <w:t>010-82050520 </w:t>
      </w:r>
      <w:r>
        <w:rPr/>
        <w:t>传真：</w:t>
      </w:r>
      <w:r>
        <w:rPr>
          <w:rFonts w:ascii="Calibri" w:eastAsia="Calibri"/>
        </w:rPr>
        <w:t>010-82086110</w:t>
      </w:r>
    </w:p>
    <w:p>
      <w:pPr>
        <w:pStyle w:val="BodyText"/>
        <w:ind w:left="960"/>
      </w:pPr>
      <w:r>
        <w:rPr/>
        <w:t>联系人：阮志凌</w:t>
      </w:r>
    </w:p>
    <w:p>
      <w:pPr>
        <w:pStyle w:val="BodyText"/>
        <w:spacing w:before="7"/>
        <w:rPr>
          <w:sz w:val="15"/>
        </w:rPr>
      </w:pPr>
    </w:p>
    <w:p>
      <w:pPr>
        <w:pStyle w:val="BodyText"/>
        <w:ind w:left="960"/>
        <w:rPr>
          <w:rFonts w:ascii="Calibri" w:eastAsia="Calibri"/>
        </w:rPr>
      </w:pPr>
      <w:r>
        <w:rPr/>
        <w:t>网址：</w:t>
      </w:r>
      <w:hyperlink r:id="rId45">
        <w:r>
          <w:rPr>
            <w:rFonts w:ascii="Calibri" w:eastAsia="Calibri"/>
          </w:rPr>
          <w:t>www.9ifund.com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400-158-5050</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深圳市新兰德证券投资咨询有限公司</w:t>
      </w:r>
    </w:p>
    <w:p>
      <w:pPr>
        <w:pStyle w:val="BodyText"/>
        <w:spacing w:before="7"/>
        <w:rPr>
          <w:sz w:val="15"/>
        </w:rPr>
      </w:pPr>
    </w:p>
    <w:p>
      <w:pPr>
        <w:pStyle w:val="BodyText"/>
        <w:ind w:left="960"/>
        <w:rPr>
          <w:rFonts w:ascii="Calibri" w:eastAsia="Calibri"/>
        </w:rPr>
      </w:pPr>
      <w:r>
        <w:rPr/>
        <w:t>住所：深圳市福田区福田街道民田路 </w:t>
      </w:r>
      <w:r>
        <w:rPr>
          <w:rFonts w:ascii="Calibri" w:eastAsia="Calibri"/>
        </w:rPr>
        <w:t>178 </w:t>
      </w:r>
      <w:r>
        <w:rPr/>
        <w:t>号华融大厦 </w:t>
      </w:r>
      <w:r>
        <w:rPr>
          <w:rFonts w:ascii="Calibri" w:eastAsia="Calibri"/>
        </w:rPr>
        <w:t>27 </w:t>
      </w:r>
      <w:r>
        <w:rPr/>
        <w:t>层 </w:t>
      </w:r>
      <w:r>
        <w:rPr>
          <w:rFonts w:ascii="Calibri" w:eastAsia="Calibri"/>
        </w:rPr>
        <w:t>2704</w:t>
      </w:r>
    </w:p>
    <w:p>
      <w:pPr>
        <w:pStyle w:val="BodyText"/>
        <w:spacing w:before="3"/>
        <w:rPr>
          <w:rFonts w:ascii="Calibri"/>
          <w:sz w:val="16"/>
        </w:rPr>
      </w:pPr>
    </w:p>
    <w:p>
      <w:pPr>
        <w:pStyle w:val="BodyText"/>
        <w:spacing w:line="417" w:lineRule="auto"/>
        <w:ind w:left="960" w:right="3293"/>
      </w:pPr>
      <w:r>
        <w:rPr>
          <w:spacing w:val="-6"/>
        </w:rPr>
        <w:t>办公地址：北京市西城区宣武门外大街 </w:t>
      </w:r>
      <w:r>
        <w:rPr>
          <w:rFonts w:ascii="Calibri" w:eastAsia="Calibri"/>
        </w:rPr>
        <w:t>28 </w:t>
      </w:r>
      <w:r>
        <w:rPr>
          <w:spacing w:val="-11"/>
        </w:rPr>
        <w:t>号富卓大厦 </w:t>
      </w:r>
      <w:r>
        <w:rPr>
          <w:rFonts w:ascii="Calibri" w:eastAsia="Calibri"/>
        </w:rPr>
        <w:t>16 </w:t>
      </w:r>
      <w:r>
        <w:rPr/>
        <w:t>层</w:t>
      </w:r>
      <w:r>
        <w:rPr>
          <w:spacing w:val="-3"/>
        </w:rPr>
        <w:t>法定代表人：洪弘</w:t>
      </w:r>
    </w:p>
    <w:p>
      <w:pPr>
        <w:pStyle w:val="BodyText"/>
        <w:spacing w:line="417" w:lineRule="auto"/>
        <w:ind w:left="960" w:right="6898"/>
        <w:rPr>
          <w:rFonts w:ascii="Calibri" w:eastAsia="Calibri"/>
        </w:rPr>
      </w:pPr>
      <w:r>
        <w:rPr/>
        <w:t>电话：</w:t>
      </w:r>
      <w:r>
        <w:rPr>
          <w:rFonts w:ascii="Calibri" w:eastAsia="Calibri"/>
        </w:rPr>
        <w:t>010-83363101 </w:t>
      </w:r>
      <w:r>
        <w:rPr/>
        <w:t>传真：</w:t>
      </w:r>
      <w:r>
        <w:rPr>
          <w:rFonts w:ascii="Calibri" w:eastAsia="Calibri"/>
        </w:rPr>
        <w:t>010-83363072</w:t>
      </w:r>
    </w:p>
    <w:p>
      <w:pPr>
        <w:pStyle w:val="BodyText"/>
        <w:spacing w:line="269" w:lineRule="exact"/>
        <w:ind w:left="960"/>
      </w:pPr>
      <w:r>
        <w:rPr/>
        <w:t>联系人：文雯</w:t>
      </w:r>
    </w:p>
    <w:p>
      <w:pPr>
        <w:pStyle w:val="BodyText"/>
        <w:spacing w:before="7"/>
        <w:rPr>
          <w:sz w:val="15"/>
        </w:rPr>
      </w:pPr>
    </w:p>
    <w:p>
      <w:pPr>
        <w:pStyle w:val="BodyText"/>
        <w:ind w:left="960"/>
        <w:rPr>
          <w:rFonts w:ascii="Calibri" w:eastAsia="Calibri"/>
        </w:rPr>
      </w:pPr>
      <w:r>
        <w:rPr/>
        <w:t>网址：</w:t>
      </w:r>
      <w:hyperlink r:id="rId46">
        <w:r>
          <w:rPr>
            <w:rFonts w:ascii="Calibri" w:eastAsia="Calibri"/>
          </w:rPr>
          <w:t>http://8.jrj.com.cn/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400-166-1188</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江苏汇林保大基金销售有限公司</w:t>
      </w:r>
    </w:p>
    <w:p>
      <w:pPr>
        <w:pStyle w:val="BodyText"/>
        <w:spacing w:before="8"/>
        <w:rPr>
          <w:sz w:val="15"/>
        </w:rPr>
      </w:pPr>
    </w:p>
    <w:p>
      <w:pPr>
        <w:pStyle w:val="BodyText"/>
        <w:ind w:left="960"/>
      </w:pPr>
      <w:r>
        <w:rPr/>
        <w:t>住所：南京市高淳区经济开发区古檀大道 </w:t>
      </w:r>
      <w:r>
        <w:rPr>
          <w:rFonts w:ascii="Calibri" w:eastAsia="Calibri"/>
        </w:rPr>
        <w:t>47 </w:t>
      </w:r>
      <w:r>
        <w:rPr/>
        <w:t>号</w:t>
      </w:r>
    </w:p>
    <w:p>
      <w:pPr>
        <w:pStyle w:val="BodyText"/>
        <w:spacing w:before="6"/>
        <w:rPr>
          <w:sz w:val="15"/>
        </w:rPr>
      </w:pPr>
    </w:p>
    <w:p>
      <w:pPr>
        <w:pStyle w:val="BodyText"/>
        <w:spacing w:line="417" w:lineRule="auto" w:before="1"/>
        <w:ind w:left="960" w:right="3187"/>
      </w:pPr>
      <w:r>
        <w:rPr>
          <w:spacing w:val="-6"/>
        </w:rPr>
        <w:t>办公地址：南京市鼓楼区中山北路 </w:t>
      </w:r>
      <w:r>
        <w:rPr>
          <w:rFonts w:ascii="Calibri" w:eastAsia="Calibri"/>
        </w:rPr>
        <w:t>2 </w:t>
      </w:r>
      <w:r>
        <w:rPr>
          <w:spacing w:val="-9"/>
        </w:rPr>
        <w:t>号绿地紫峰大厦 </w:t>
      </w:r>
      <w:r>
        <w:rPr>
          <w:rFonts w:ascii="Calibri" w:eastAsia="Calibri"/>
        </w:rPr>
        <w:t>2005 </w:t>
      </w:r>
      <w:r>
        <w:rPr/>
        <w:t>室</w:t>
      </w:r>
      <w:r>
        <w:rPr>
          <w:spacing w:val="-3"/>
        </w:rPr>
        <w:t>法定代表人：吴言林</w:t>
      </w:r>
    </w:p>
    <w:p>
      <w:pPr>
        <w:pStyle w:val="BodyText"/>
        <w:spacing w:line="269" w:lineRule="exact"/>
        <w:ind w:left="960"/>
        <w:rPr>
          <w:rFonts w:ascii="Calibri" w:eastAsia="Calibri"/>
        </w:rPr>
      </w:pPr>
      <w:r>
        <w:rPr/>
        <w:t>电话：</w:t>
      </w:r>
      <w:r>
        <w:rPr>
          <w:rFonts w:ascii="Calibri" w:eastAsia="Calibri"/>
        </w:rPr>
        <w:t>025-66046166 </w:t>
      </w:r>
      <w:r>
        <w:rPr/>
        <w:t>转 </w:t>
      </w:r>
      <w:r>
        <w:rPr>
          <w:rFonts w:ascii="Calibri" w:eastAsia="Calibri"/>
        </w:rPr>
        <w:t>837</w:t>
      </w:r>
    </w:p>
    <w:p>
      <w:pPr>
        <w:pStyle w:val="BodyText"/>
        <w:spacing w:before="3"/>
        <w:rPr>
          <w:rFonts w:ascii="Calibri"/>
          <w:sz w:val="16"/>
        </w:rPr>
      </w:pPr>
    </w:p>
    <w:p>
      <w:pPr>
        <w:pStyle w:val="BodyText"/>
        <w:ind w:left="960"/>
      </w:pPr>
      <w:r>
        <w:rPr/>
        <w:t>联系人：孙平</w:t>
      </w:r>
    </w:p>
    <w:p>
      <w:pPr>
        <w:pStyle w:val="BodyText"/>
        <w:spacing w:before="7"/>
        <w:rPr>
          <w:sz w:val="15"/>
        </w:rPr>
      </w:pPr>
    </w:p>
    <w:p>
      <w:pPr>
        <w:pStyle w:val="BodyText"/>
        <w:ind w:left="960"/>
        <w:rPr>
          <w:rFonts w:ascii="Calibri" w:eastAsia="Calibri"/>
        </w:rPr>
      </w:pPr>
      <w:r>
        <w:rPr/>
        <w:t>网址：</w:t>
      </w:r>
      <w:hyperlink r:id="rId47">
        <w:r>
          <w:rPr>
            <w:rFonts w:ascii="Calibri" w:eastAsia="Calibri"/>
          </w:rPr>
          <w:t>www.huilinbd.com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025-66046166</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上海挖财基金销售有限公司</w:t>
      </w:r>
    </w:p>
    <w:p>
      <w:pPr>
        <w:pStyle w:val="BodyText"/>
        <w:spacing w:before="6"/>
        <w:rPr>
          <w:sz w:val="15"/>
        </w:rPr>
      </w:pPr>
    </w:p>
    <w:p>
      <w:pPr>
        <w:pStyle w:val="BodyText"/>
        <w:ind w:left="960"/>
      </w:pPr>
      <w:r>
        <w:rPr/>
        <w:t>住所：中国（上海）自由贸易试验区杨高南路 </w:t>
      </w:r>
      <w:r>
        <w:rPr>
          <w:rFonts w:ascii="Calibri" w:eastAsia="Calibri"/>
        </w:rPr>
        <w:t>799 </w:t>
      </w:r>
      <w:r>
        <w:rPr/>
        <w:t>号 </w:t>
      </w:r>
      <w:r>
        <w:rPr>
          <w:rFonts w:ascii="Calibri" w:eastAsia="Calibri"/>
        </w:rPr>
        <w:t>5 </w:t>
      </w:r>
      <w:r>
        <w:rPr/>
        <w:t>层 </w:t>
      </w:r>
      <w:r>
        <w:rPr>
          <w:rFonts w:ascii="Calibri" w:eastAsia="Calibri"/>
        </w:rPr>
        <w:t>01</w:t>
      </w:r>
      <w:r>
        <w:rPr/>
        <w:t>、</w:t>
      </w:r>
      <w:r>
        <w:rPr>
          <w:rFonts w:ascii="Calibri" w:eastAsia="Calibri"/>
        </w:rPr>
        <w:t>02</w:t>
      </w:r>
      <w:r>
        <w:rPr/>
        <w:t>、</w:t>
      </w:r>
      <w:r>
        <w:rPr>
          <w:rFonts w:ascii="Calibri" w:eastAsia="Calibri"/>
        </w:rPr>
        <w:t>03 </w:t>
      </w:r>
      <w:r>
        <w:rPr/>
        <w:t>室</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1711"/>
      </w:pPr>
      <w:r>
        <w:rPr>
          <w:spacing w:val="-3"/>
        </w:rPr>
        <w:t>办公地址：中国</w:t>
      </w:r>
      <w:r>
        <w:rPr/>
        <w:t>（</w:t>
      </w:r>
      <w:r>
        <w:rPr>
          <w:spacing w:val="-2"/>
        </w:rPr>
        <w:t>上海</w:t>
      </w:r>
      <w:r>
        <w:rPr>
          <w:spacing w:val="-3"/>
        </w:rPr>
        <w:t>）</w:t>
      </w:r>
      <w:r>
        <w:rPr>
          <w:spacing w:val="-7"/>
        </w:rPr>
        <w:t>自由贸易试验区杨高南路 </w:t>
      </w:r>
      <w:r>
        <w:rPr>
          <w:rFonts w:ascii="Calibri" w:eastAsia="Calibri"/>
        </w:rPr>
        <w:t>799 </w:t>
      </w:r>
      <w:r>
        <w:rPr>
          <w:spacing w:val="-24"/>
        </w:rPr>
        <w:t>号 </w:t>
      </w:r>
      <w:r>
        <w:rPr>
          <w:rFonts w:ascii="Calibri" w:eastAsia="Calibri"/>
        </w:rPr>
        <w:t>5 </w:t>
      </w:r>
      <w:r>
        <w:rPr>
          <w:spacing w:val="-25"/>
        </w:rPr>
        <w:t>层 </w:t>
      </w:r>
      <w:r>
        <w:rPr>
          <w:rFonts w:ascii="Calibri" w:eastAsia="Calibri"/>
        </w:rPr>
        <w:t>01</w:t>
      </w:r>
      <w:r>
        <w:rPr>
          <w:spacing w:val="-3"/>
        </w:rPr>
        <w:t>、</w:t>
      </w:r>
      <w:r>
        <w:rPr>
          <w:rFonts w:ascii="Calibri" w:eastAsia="Calibri"/>
        </w:rPr>
        <w:t>02</w:t>
      </w:r>
      <w:r>
        <w:rPr/>
        <w:t>、</w:t>
      </w:r>
      <w:r>
        <w:rPr>
          <w:rFonts w:ascii="Calibri" w:eastAsia="Calibri"/>
        </w:rPr>
        <w:t>03 </w:t>
      </w:r>
      <w:r>
        <w:rPr/>
        <w:t>室</w:t>
      </w:r>
      <w:r>
        <w:rPr>
          <w:spacing w:val="-3"/>
        </w:rPr>
        <w:t>法定代表人：胡燕亮</w:t>
      </w:r>
    </w:p>
    <w:p>
      <w:pPr>
        <w:pStyle w:val="BodyText"/>
        <w:spacing w:line="417" w:lineRule="auto"/>
        <w:ind w:left="960" w:right="6898"/>
        <w:rPr>
          <w:rFonts w:ascii="Calibri" w:eastAsia="Calibri"/>
        </w:rPr>
      </w:pPr>
      <w:r>
        <w:rPr/>
        <w:t>电话：</w:t>
      </w:r>
      <w:r>
        <w:rPr>
          <w:rFonts w:ascii="Calibri" w:eastAsia="Calibri"/>
        </w:rPr>
        <w:t>021-50810687 </w:t>
      </w:r>
      <w:r>
        <w:rPr/>
        <w:t>传真：</w:t>
      </w:r>
      <w:r>
        <w:rPr>
          <w:rFonts w:ascii="Calibri" w:eastAsia="Calibri"/>
        </w:rPr>
        <w:t>021-58300279</w:t>
      </w:r>
    </w:p>
    <w:p>
      <w:pPr>
        <w:pStyle w:val="BodyText"/>
        <w:spacing w:line="269" w:lineRule="exact"/>
        <w:ind w:left="960"/>
      </w:pPr>
      <w:r>
        <w:rPr/>
        <w:t>联系人：李娟</w:t>
      </w:r>
    </w:p>
    <w:p>
      <w:pPr>
        <w:pStyle w:val="BodyText"/>
        <w:spacing w:before="7"/>
        <w:rPr>
          <w:sz w:val="15"/>
        </w:rPr>
      </w:pPr>
    </w:p>
    <w:p>
      <w:pPr>
        <w:pStyle w:val="BodyText"/>
        <w:ind w:left="960"/>
        <w:rPr>
          <w:rFonts w:ascii="Calibri" w:eastAsia="Calibri"/>
        </w:rPr>
      </w:pPr>
      <w:r>
        <w:rPr/>
        <w:t>网址：</w:t>
      </w:r>
      <w:hyperlink r:id="rId48">
        <w:r>
          <w:rPr>
            <w:rFonts w:ascii="Calibri" w:eastAsia="Calibri"/>
          </w:rPr>
          <w:t>www.wacaijijin.com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021-50810673</w:t>
      </w:r>
    </w:p>
    <w:p>
      <w:pPr>
        <w:pStyle w:val="BodyText"/>
        <w:spacing w:before="4"/>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喜鹊财富基金销售有限公司</w:t>
      </w:r>
    </w:p>
    <w:p>
      <w:pPr>
        <w:pStyle w:val="BodyText"/>
        <w:spacing w:before="6"/>
        <w:rPr>
          <w:sz w:val="15"/>
        </w:rPr>
      </w:pPr>
    </w:p>
    <w:p>
      <w:pPr>
        <w:pStyle w:val="BodyText"/>
        <w:ind w:left="960"/>
      </w:pPr>
      <w:r>
        <w:rPr/>
        <w:t>住所：西藏拉萨市柳梧新区柳梧大厦 </w:t>
      </w:r>
      <w:r>
        <w:rPr>
          <w:rFonts w:ascii="Calibri" w:eastAsia="Calibri"/>
        </w:rPr>
        <w:t>1513 </w:t>
      </w:r>
      <w:r>
        <w:rPr/>
        <w:t>室</w:t>
      </w:r>
    </w:p>
    <w:p>
      <w:pPr>
        <w:pStyle w:val="BodyText"/>
        <w:spacing w:before="7"/>
        <w:rPr>
          <w:sz w:val="15"/>
        </w:rPr>
      </w:pPr>
    </w:p>
    <w:p>
      <w:pPr>
        <w:pStyle w:val="BodyText"/>
        <w:spacing w:line="417" w:lineRule="auto"/>
        <w:ind w:left="960" w:right="4180"/>
      </w:pPr>
      <w:r>
        <w:rPr/>
        <w:t>办公地址：西藏拉萨市柳梧新区柳梧大厦 </w:t>
      </w:r>
      <w:r>
        <w:rPr>
          <w:rFonts w:ascii="Calibri" w:eastAsia="Calibri"/>
        </w:rPr>
        <w:t>1513 </w:t>
      </w:r>
      <w:r>
        <w:rPr/>
        <w:t>室法定代表人：陈皓</w:t>
      </w:r>
    </w:p>
    <w:p>
      <w:pPr>
        <w:pStyle w:val="BodyText"/>
        <w:spacing w:line="417" w:lineRule="auto"/>
        <w:ind w:left="960" w:right="5649"/>
        <w:rPr>
          <w:rFonts w:ascii="Calibri" w:eastAsia="Calibri"/>
        </w:rPr>
      </w:pPr>
      <w:r>
        <w:rPr/>
        <w:t>电话：</w:t>
      </w:r>
      <w:r>
        <w:rPr>
          <w:rFonts w:ascii="Calibri" w:eastAsia="Calibri"/>
        </w:rPr>
        <w:t>010-58349088/18600730680 </w:t>
      </w:r>
      <w:r>
        <w:rPr/>
        <w:t>传真：</w:t>
      </w:r>
      <w:r>
        <w:rPr>
          <w:rFonts w:ascii="Calibri" w:eastAsia="Calibri"/>
        </w:rPr>
        <w:t>010-88371180</w:t>
      </w:r>
    </w:p>
    <w:p>
      <w:pPr>
        <w:pStyle w:val="BodyText"/>
        <w:spacing w:line="269" w:lineRule="exact"/>
        <w:ind w:left="960"/>
      </w:pPr>
      <w:r>
        <w:rPr/>
        <w:t>联系人：张萌</w:t>
      </w:r>
    </w:p>
    <w:p>
      <w:pPr>
        <w:pStyle w:val="BodyText"/>
        <w:spacing w:before="7"/>
        <w:rPr>
          <w:sz w:val="15"/>
        </w:rPr>
      </w:pPr>
    </w:p>
    <w:p>
      <w:pPr>
        <w:pStyle w:val="BodyText"/>
        <w:ind w:left="960"/>
        <w:rPr>
          <w:rFonts w:ascii="Calibri" w:eastAsia="Calibri"/>
        </w:rPr>
      </w:pPr>
      <w:r>
        <w:rPr/>
        <w:t>网址：</w:t>
      </w:r>
      <w:hyperlink r:id="rId49">
        <w:r>
          <w:rPr>
            <w:rFonts w:ascii="Calibri" w:eastAsia="Calibri"/>
          </w:rPr>
          <w:t>www.xiquefund.com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400-699-7719</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北京度小满基金销售有限公司</w:t>
      </w:r>
    </w:p>
    <w:p>
      <w:pPr>
        <w:pStyle w:val="BodyText"/>
        <w:spacing w:before="7"/>
        <w:rPr>
          <w:sz w:val="15"/>
        </w:rPr>
      </w:pPr>
    </w:p>
    <w:p>
      <w:pPr>
        <w:pStyle w:val="BodyText"/>
        <w:ind w:left="960"/>
      </w:pPr>
      <w:r>
        <w:rPr/>
        <w:t>住所：北京市海淀区西北旺东路 </w:t>
      </w:r>
      <w:r>
        <w:rPr>
          <w:rFonts w:ascii="Calibri" w:eastAsia="Calibri"/>
        </w:rPr>
        <w:t>10 </w:t>
      </w:r>
      <w:r>
        <w:rPr/>
        <w:t>号院西区 </w:t>
      </w:r>
      <w:r>
        <w:rPr>
          <w:rFonts w:ascii="Calibri" w:eastAsia="Calibri"/>
        </w:rPr>
        <w:t>4 </w:t>
      </w:r>
      <w:r>
        <w:rPr/>
        <w:t>号楼 </w:t>
      </w:r>
      <w:r>
        <w:rPr>
          <w:rFonts w:ascii="Calibri" w:eastAsia="Calibri"/>
        </w:rPr>
        <w:t>1 </w:t>
      </w:r>
      <w:r>
        <w:rPr/>
        <w:t>层 </w:t>
      </w:r>
      <w:r>
        <w:rPr>
          <w:rFonts w:ascii="Calibri" w:eastAsia="Calibri"/>
        </w:rPr>
        <w:t>103 </w:t>
      </w:r>
      <w:r>
        <w:rPr/>
        <w:t>室</w:t>
      </w:r>
    </w:p>
    <w:p>
      <w:pPr>
        <w:pStyle w:val="BodyText"/>
        <w:spacing w:before="6"/>
        <w:rPr>
          <w:sz w:val="15"/>
        </w:rPr>
      </w:pPr>
    </w:p>
    <w:p>
      <w:pPr>
        <w:pStyle w:val="BodyText"/>
        <w:spacing w:line="417" w:lineRule="auto" w:before="1"/>
        <w:ind w:left="960" w:right="3610"/>
      </w:pPr>
      <w:r>
        <w:rPr>
          <w:spacing w:val="-6"/>
        </w:rPr>
        <w:t>办公地址：北京市海淀区西北旺东路 </w:t>
      </w:r>
      <w:r>
        <w:rPr>
          <w:rFonts w:ascii="Calibri" w:eastAsia="Calibri"/>
        </w:rPr>
        <w:t>10 </w:t>
      </w:r>
      <w:r>
        <w:rPr>
          <w:spacing w:val="-11"/>
        </w:rPr>
        <w:t>号院西区 </w:t>
      </w:r>
      <w:r>
        <w:rPr>
          <w:rFonts w:ascii="Calibri" w:eastAsia="Calibri"/>
        </w:rPr>
        <w:t>4 </w:t>
      </w:r>
      <w:r>
        <w:rPr/>
        <w:t>号楼</w:t>
      </w:r>
      <w:r>
        <w:rPr>
          <w:spacing w:val="-3"/>
        </w:rPr>
        <w:t>法定代表人：葛新</w:t>
      </w:r>
    </w:p>
    <w:p>
      <w:pPr>
        <w:pStyle w:val="BodyText"/>
        <w:spacing w:line="417" w:lineRule="auto"/>
        <w:ind w:left="960" w:right="6898"/>
        <w:rPr>
          <w:rFonts w:ascii="Calibri" w:eastAsia="Calibri"/>
        </w:rPr>
      </w:pPr>
      <w:r>
        <w:rPr/>
        <w:t>电话：</w:t>
      </w:r>
      <w:r>
        <w:rPr>
          <w:rFonts w:ascii="Calibri" w:eastAsia="Calibri"/>
        </w:rPr>
        <w:t>010-59403028 </w:t>
      </w:r>
      <w:r>
        <w:rPr/>
        <w:t>传真：</w:t>
      </w:r>
      <w:r>
        <w:rPr>
          <w:rFonts w:ascii="Calibri" w:eastAsia="Calibri"/>
        </w:rPr>
        <w:t>010-59403027</w:t>
      </w:r>
    </w:p>
    <w:p>
      <w:pPr>
        <w:pStyle w:val="BodyText"/>
        <w:ind w:left="960"/>
      </w:pPr>
      <w:r>
        <w:rPr/>
        <w:t>联系人：孙博超</w:t>
      </w:r>
    </w:p>
    <w:p>
      <w:pPr>
        <w:pStyle w:val="BodyText"/>
        <w:spacing w:before="6"/>
        <w:rPr>
          <w:sz w:val="15"/>
        </w:rPr>
      </w:pPr>
    </w:p>
    <w:p>
      <w:pPr>
        <w:pStyle w:val="BodyText"/>
        <w:spacing w:line="417" w:lineRule="auto"/>
        <w:ind w:left="960" w:right="6172"/>
        <w:rPr>
          <w:rFonts w:ascii="Calibri" w:eastAsia="Calibri"/>
        </w:rPr>
      </w:pPr>
      <w:r>
        <w:rPr/>
        <w:t>网址：</w:t>
      </w:r>
      <w:hyperlink r:id="rId50">
        <w:r>
          <w:rPr>
            <w:rFonts w:ascii="Calibri" w:eastAsia="Calibri"/>
          </w:rPr>
          <w:t>www.baiyingfund.com </w:t>
        </w:r>
      </w:hyperlink>
      <w:r>
        <w:rPr/>
        <w:t>客户服务电话：</w:t>
      </w:r>
      <w:r>
        <w:rPr>
          <w:rFonts w:ascii="Calibri" w:eastAsia="Calibri"/>
        </w:rPr>
        <w:t>95055-4</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诺亚正行基金销售有限公司</w:t>
      </w:r>
    </w:p>
    <w:p>
      <w:pPr>
        <w:pStyle w:val="BodyText"/>
        <w:spacing w:before="7"/>
        <w:rPr>
          <w:sz w:val="15"/>
        </w:rPr>
      </w:pPr>
    </w:p>
    <w:p>
      <w:pPr>
        <w:pStyle w:val="BodyText"/>
        <w:ind w:left="960"/>
      </w:pPr>
      <w:r>
        <w:rPr/>
        <w:t>住所：上海市虹口区飞虹路 </w:t>
      </w:r>
      <w:r>
        <w:rPr>
          <w:rFonts w:ascii="Calibri" w:eastAsia="Calibri"/>
        </w:rPr>
        <w:t>360 </w:t>
      </w:r>
      <w:r>
        <w:rPr/>
        <w:t>弄 </w:t>
      </w:r>
      <w:r>
        <w:rPr>
          <w:rFonts w:ascii="Calibri" w:eastAsia="Calibri"/>
        </w:rPr>
        <w:t>9 </w:t>
      </w:r>
      <w:r>
        <w:rPr/>
        <w:t>号 </w:t>
      </w:r>
      <w:r>
        <w:rPr>
          <w:rFonts w:ascii="Calibri" w:eastAsia="Calibri"/>
        </w:rPr>
        <w:t>3724 </w:t>
      </w:r>
      <w:r>
        <w:rPr/>
        <w:t>室</w:t>
      </w:r>
    </w:p>
    <w:p>
      <w:pPr>
        <w:pStyle w:val="BodyText"/>
        <w:spacing w:before="7"/>
        <w:rPr>
          <w:sz w:val="15"/>
        </w:rPr>
      </w:pPr>
    </w:p>
    <w:p>
      <w:pPr>
        <w:pStyle w:val="BodyText"/>
        <w:spacing w:line="417" w:lineRule="auto"/>
        <w:ind w:left="960" w:right="3389"/>
      </w:pPr>
      <w:r>
        <w:rPr>
          <w:spacing w:val="-7"/>
        </w:rPr>
        <w:t>办公地址：上海市杨浦区昆明路 </w:t>
      </w:r>
      <w:r>
        <w:rPr>
          <w:rFonts w:ascii="Calibri" w:eastAsia="Calibri"/>
        </w:rPr>
        <w:t>508</w:t>
      </w:r>
      <w:r>
        <w:rPr>
          <w:rFonts w:ascii="Calibri" w:eastAsia="Calibri"/>
          <w:spacing w:val="10"/>
        </w:rPr>
        <w:t> </w:t>
      </w:r>
      <w:r>
        <w:rPr>
          <w:spacing w:val="7"/>
        </w:rPr>
        <w:t>号北美广场</w:t>
      </w:r>
      <w:r>
        <w:rPr>
          <w:rFonts w:ascii="Calibri" w:eastAsia="Calibri"/>
        </w:rPr>
        <w:t>B</w:t>
      </w:r>
      <w:r>
        <w:rPr>
          <w:rFonts w:ascii="Calibri" w:eastAsia="Calibri"/>
          <w:spacing w:val="7"/>
        </w:rPr>
        <w:t> </w:t>
      </w:r>
      <w:r>
        <w:rPr>
          <w:spacing w:val="-24"/>
        </w:rPr>
        <w:t>座 </w:t>
      </w:r>
      <w:r>
        <w:rPr>
          <w:rFonts w:ascii="Calibri" w:eastAsia="Calibri"/>
        </w:rPr>
        <w:t>12</w:t>
      </w:r>
      <w:r>
        <w:rPr>
          <w:rFonts w:ascii="Calibri" w:eastAsia="Calibri"/>
          <w:spacing w:val="7"/>
        </w:rPr>
        <w:t> </w:t>
      </w:r>
      <w:r>
        <w:rPr/>
        <w:t>楼</w:t>
      </w:r>
      <w:r>
        <w:rPr>
          <w:spacing w:val="-3"/>
        </w:rPr>
        <w:t>法定代表人：汪静波</w:t>
      </w:r>
    </w:p>
    <w:p>
      <w:pPr>
        <w:pStyle w:val="BodyText"/>
        <w:ind w:left="960"/>
        <w:rPr>
          <w:rFonts w:ascii="Calibri" w:eastAsia="Calibri"/>
        </w:rPr>
      </w:pPr>
      <w:r>
        <w:rPr>
          <w:spacing w:val="-2"/>
        </w:rPr>
        <w:t>电话：</w:t>
      </w:r>
      <w:r>
        <w:rPr>
          <w:rFonts w:ascii="Calibri" w:eastAsia="Calibri"/>
          <w:spacing w:val="-1"/>
        </w:rPr>
        <w:t>021-38509680</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传真：</w:t>
      </w:r>
      <w:r>
        <w:rPr>
          <w:rFonts w:ascii="Calibri" w:eastAsia="Calibri"/>
        </w:rPr>
        <w:t>021-38509777</w:t>
      </w:r>
    </w:p>
    <w:p>
      <w:pPr>
        <w:pStyle w:val="BodyText"/>
        <w:spacing w:before="3"/>
        <w:rPr>
          <w:rFonts w:ascii="Calibri"/>
          <w:sz w:val="16"/>
        </w:rPr>
      </w:pPr>
    </w:p>
    <w:p>
      <w:pPr>
        <w:pStyle w:val="BodyText"/>
        <w:ind w:left="960"/>
      </w:pPr>
      <w:r>
        <w:rPr/>
        <w:t>联系人：张裕</w:t>
      </w:r>
    </w:p>
    <w:p>
      <w:pPr>
        <w:pStyle w:val="BodyText"/>
        <w:spacing w:before="7"/>
        <w:rPr>
          <w:sz w:val="15"/>
        </w:rPr>
      </w:pPr>
    </w:p>
    <w:p>
      <w:pPr>
        <w:pStyle w:val="BodyText"/>
        <w:spacing w:line="417" w:lineRule="auto"/>
        <w:ind w:left="960" w:right="6098"/>
        <w:rPr>
          <w:rFonts w:ascii="Calibri" w:eastAsia="Calibri"/>
        </w:rPr>
      </w:pPr>
      <w:r>
        <w:rPr/>
        <w:t>网址：</w:t>
      </w:r>
      <w:hyperlink r:id="rId51">
        <w:r>
          <w:rPr>
            <w:rFonts w:ascii="Calibri" w:eastAsia="Calibri"/>
          </w:rPr>
          <w:t>www.noah-fund.com</w:t>
        </w:r>
      </w:hyperlink>
      <w:r>
        <w:rPr>
          <w:rFonts w:ascii="Calibri" w:eastAsia="Calibri"/>
        </w:rPr>
        <w:t> </w:t>
      </w:r>
      <w:r>
        <w:rPr>
          <w:spacing w:val="-3"/>
        </w:rPr>
        <w:t>客户服务电话：</w:t>
      </w:r>
      <w:r>
        <w:rPr>
          <w:rFonts w:ascii="Calibri" w:eastAsia="Calibri"/>
          <w:spacing w:val="-1"/>
        </w:rPr>
        <w:t>400-821-5399</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深圳众禄基金销售股份有限公司</w:t>
      </w:r>
    </w:p>
    <w:p>
      <w:pPr>
        <w:pStyle w:val="BodyText"/>
        <w:spacing w:before="6"/>
        <w:rPr>
          <w:sz w:val="15"/>
        </w:rPr>
      </w:pPr>
    </w:p>
    <w:p>
      <w:pPr>
        <w:pStyle w:val="BodyText"/>
        <w:spacing w:before="1"/>
        <w:ind w:left="960"/>
        <w:rPr>
          <w:rFonts w:ascii="Calibri" w:eastAsia="Calibri"/>
        </w:rPr>
      </w:pPr>
      <w:r>
        <w:rPr/>
        <w:t>住所：深圳市罗湖区梨园路物资控股置地大厦 </w:t>
      </w:r>
      <w:r>
        <w:rPr>
          <w:rFonts w:ascii="Calibri" w:eastAsia="Calibri"/>
        </w:rPr>
        <w:t>8 </w:t>
      </w:r>
      <w:r>
        <w:rPr/>
        <w:t>楼 </w:t>
      </w:r>
      <w:r>
        <w:rPr>
          <w:rFonts w:ascii="Calibri" w:eastAsia="Calibri"/>
        </w:rPr>
        <w:t>801</w:t>
      </w:r>
    </w:p>
    <w:p>
      <w:pPr>
        <w:pStyle w:val="BodyText"/>
        <w:spacing w:before="3"/>
        <w:rPr>
          <w:rFonts w:ascii="Calibri"/>
          <w:sz w:val="16"/>
        </w:rPr>
      </w:pPr>
    </w:p>
    <w:p>
      <w:pPr>
        <w:pStyle w:val="BodyText"/>
        <w:ind w:left="960"/>
        <w:rPr>
          <w:rFonts w:ascii="Calibri" w:eastAsia="Calibri"/>
        </w:rPr>
      </w:pPr>
      <w:r>
        <w:rPr/>
        <w:t>办公地址：深圳市罗湖区梨园路物资控股置地大厦 </w:t>
      </w:r>
      <w:r>
        <w:rPr>
          <w:rFonts w:ascii="Calibri" w:eastAsia="Calibri"/>
        </w:rPr>
        <w:t>8 </w:t>
      </w:r>
      <w:r>
        <w:rPr/>
        <w:t>楼 </w:t>
      </w:r>
      <w:r>
        <w:rPr>
          <w:rFonts w:ascii="Calibri" w:eastAsia="Calibri"/>
        </w:rPr>
        <w:t>801</w:t>
      </w:r>
    </w:p>
    <w:p>
      <w:pPr>
        <w:pStyle w:val="BodyText"/>
        <w:spacing w:before="4"/>
        <w:rPr>
          <w:rFonts w:ascii="Calibri"/>
          <w:sz w:val="16"/>
        </w:rPr>
      </w:pPr>
    </w:p>
    <w:p>
      <w:pPr>
        <w:pStyle w:val="BodyText"/>
        <w:spacing w:line="417" w:lineRule="auto"/>
        <w:ind w:left="960" w:right="6790"/>
        <w:rPr>
          <w:rFonts w:ascii="Calibri" w:eastAsia="Calibri"/>
        </w:rPr>
      </w:pPr>
      <w:r>
        <w:rPr>
          <w:spacing w:val="-3"/>
        </w:rPr>
        <w:t>法定代表人：薛峰 </w:t>
      </w:r>
      <w:r>
        <w:rPr>
          <w:spacing w:val="-1"/>
        </w:rPr>
        <w:t>电话：</w:t>
      </w:r>
      <w:r>
        <w:rPr>
          <w:rFonts w:ascii="Calibri" w:eastAsia="Calibri"/>
          <w:spacing w:val="-1"/>
        </w:rPr>
        <w:t>0755-33227950 </w:t>
      </w:r>
      <w:r>
        <w:rPr>
          <w:spacing w:val="-1"/>
        </w:rPr>
        <w:t>传真：</w:t>
      </w:r>
      <w:r>
        <w:rPr>
          <w:rFonts w:ascii="Calibri" w:eastAsia="Calibri"/>
          <w:spacing w:val="-1"/>
        </w:rPr>
        <w:t>0755-33227951</w:t>
      </w:r>
    </w:p>
    <w:p>
      <w:pPr>
        <w:pStyle w:val="BodyText"/>
        <w:spacing w:line="269" w:lineRule="exact"/>
        <w:ind w:left="960"/>
      </w:pPr>
      <w:r>
        <w:rPr/>
        <w:t>联系人：童彩平</w:t>
      </w:r>
    </w:p>
    <w:p>
      <w:pPr>
        <w:pStyle w:val="BodyText"/>
        <w:spacing w:before="7"/>
        <w:rPr>
          <w:sz w:val="15"/>
        </w:rPr>
      </w:pPr>
    </w:p>
    <w:p>
      <w:pPr>
        <w:pStyle w:val="BodyText"/>
        <w:ind w:left="960"/>
        <w:rPr>
          <w:rFonts w:ascii="Calibri" w:eastAsia="Calibri"/>
        </w:rPr>
      </w:pPr>
      <w:r>
        <w:rPr/>
        <w:t>网址：</w:t>
      </w:r>
      <w:hyperlink r:id="rId52">
        <w:r>
          <w:rPr>
            <w:rFonts w:ascii="Calibri" w:eastAsia="Calibri"/>
          </w:rPr>
          <w:t>www.zlfund.cn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4006-788-887</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上海天天基金销售有限公司</w:t>
      </w:r>
    </w:p>
    <w:p>
      <w:pPr>
        <w:pStyle w:val="BodyText"/>
        <w:spacing w:before="7"/>
        <w:rPr>
          <w:sz w:val="15"/>
        </w:rPr>
      </w:pPr>
    </w:p>
    <w:p>
      <w:pPr>
        <w:pStyle w:val="BodyText"/>
        <w:spacing w:before="1"/>
        <w:ind w:left="960"/>
      </w:pPr>
      <w:r>
        <w:rPr/>
        <w:t>住所：上海市徐汇区龙田路 </w:t>
      </w:r>
      <w:r>
        <w:rPr>
          <w:rFonts w:ascii="Calibri" w:eastAsia="Calibri"/>
        </w:rPr>
        <w:t>190 </w:t>
      </w:r>
      <w:r>
        <w:rPr/>
        <w:t>号 </w:t>
      </w:r>
      <w:r>
        <w:rPr>
          <w:rFonts w:ascii="Calibri" w:eastAsia="Calibri"/>
        </w:rPr>
        <w:t>2 </w:t>
      </w:r>
      <w:r>
        <w:rPr/>
        <w:t>号楼</w:t>
      </w:r>
    </w:p>
    <w:p>
      <w:pPr>
        <w:pStyle w:val="BodyText"/>
        <w:spacing w:before="6"/>
        <w:rPr>
          <w:sz w:val="15"/>
        </w:rPr>
      </w:pPr>
    </w:p>
    <w:p>
      <w:pPr>
        <w:pStyle w:val="BodyText"/>
        <w:spacing w:line="417" w:lineRule="auto"/>
        <w:ind w:left="960" w:right="3341"/>
      </w:pPr>
      <w:r>
        <w:rPr/>
        <w:t>办公地址：上海市徐汇区宛平南路 </w:t>
      </w:r>
      <w:r>
        <w:rPr>
          <w:rFonts w:ascii="Calibri" w:eastAsia="Calibri"/>
        </w:rPr>
        <w:t>88 </w:t>
      </w:r>
      <w:r>
        <w:rPr/>
        <w:t>号金座东方财富大厦法定代表人：其实</w:t>
      </w:r>
    </w:p>
    <w:p>
      <w:pPr>
        <w:pStyle w:val="BodyText"/>
        <w:spacing w:line="269" w:lineRule="exact"/>
        <w:ind w:left="960"/>
        <w:rPr>
          <w:rFonts w:ascii="Calibri" w:eastAsia="Calibri"/>
        </w:rPr>
      </w:pPr>
      <w:r>
        <w:rPr/>
        <w:t>电话：</w:t>
      </w:r>
      <w:r>
        <w:rPr>
          <w:rFonts w:ascii="Calibri" w:eastAsia="Calibri"/>
        </w:rPr>
        <w:t>95021</w:t>
      </w:r>
    </w:p>
    <w:p>
      <w:pPr>
        <w:pStyle w:val="BodyText"/>
        <w:spacing w:before="4"/>
        <w:rPr>
          <w:rFonts w:ascii="Calibri"/>
          <w:sz w:val="16"/>
        </w:rPr>
      </w:pPr>
    </w:p>
    <w:p>
      <w:pPr>
        <w:pStyle w:val="BodyText"/>
        <w:ind w:left="960"/>
        <w:rPr>
          <w:rFonts w:ascii="Calibri" w:eastAsia="Calibri"/>
        </w:rPr>
      </w:pPr>
      <w:r>
        <w:rPr/>
        <w:t>传真：</w:t>
      </w:r>
      <w:r>
        <w:rPr>
          <w:rFonts w:ascii="Calibri" w:eastAsia="Calibri"/>
        </w:rPr>
        <w:t>021-64385308</w:t>
      </w:r>
    </w:p>
    <w:p>
      <w:pPr>
        <w:pStyle w:val="BodyText"/>
        <w:spacing w:before="3"/>
        <w:rPr>
          <w:rFonts w:ascii="Calibri"/>
          <w:sz w:val="16"/>
        </w:rPr>
      </w:pPr>
    </w:p>
    <w:p>
      <w:pPr>
        <w:pStyle w:val="BodyText"/>
        <w:spacing w:before="1"/>
        <w:ind w:left="960"/>
      </w:pPr>
      <w:r>
        <w:rPr/>
        <w:t>联系人：屠彦洋</w:t>
      </w:r>
    </w:p>
    <w:p>
      <w:pPr>
        <w:pStyle w:val="BodyText"/>
        <w:spacing w:before="6"/>
        <w:rPr>
          <w:sz w:val="15"/>
        </w:rPr>
      </w:pPr>
    </w:p>
    <w:p>
      <w:pPr>
        <w:pStyle w:val="BodyText"/>
        <w:spacing w:line="417" w:lineRule="auto"/>
        <w:ind w:left="960" w:right="6098"/>
        <w:rPr>
          <w:rFonts w:ascii="Calibri" w:eastAsia="Calibri"/>
        </w:rPr>
      </w:pPr>
      <w:r>
        <w:rPr/>
        <w:t>网址：</w:t>
      </w:r>
      <w:hyperlink r:id="rId53">
        <w:r>
          <w:rPr>
            <w:rFonts w:ascii="Calibri" w:eastAsia="Calibri"/>
          </w:rPr>
          <w:t>www.1234567.com.cn </w:t>
        </w:r>
      </w:hyperlink>
      <w:r>
        <w:rPr/>
        <w:t>客户服务电话：</w:t>
      </w:r>
      <w:r>
        <w:rPr>
          <w:rFonts w:ascii="Calibri" w:eastAsia="Calibri"/>
        </w:rPr>
        <w:t>400-181-8188</w:t>
      </w: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上海好买基金销售有限公司</w:t>
      </w:r>
    </w:p>
    <w:p>
      <w:pPr>
        <w:pStyle w:val="BodyText"/>
        <w:spacing w:before="6"/>
        <w:rPr>
          <w:sz w:val="15"/>
        </w:rPr>
      </w:pPr>
    </w:p>
    <w:p>
      <w:pPr>
        <w:pStyle w:val="BodyText"/>
        <w:ind w:left="960"/>
      </w:pPr>
      <w:r>
        <w:rPr/>
        <w:t>住所：上海市虹口区场中路 </w:t>
      </w:r>
      <w:r>
        <w:rPr>
          <w:rFonts w:ascii="Calibri" w:eastAsia="Calibri"/>
        </w:rPr>
        <w:t>685 </w:t>
      </w:r>
      <w:r>
        <w:rPr/>
        <w:t>弄 </w:t>
      </w:r>
      <w:r>
        <w:rPr>
          <w:rFonts w:ascii="Calibri" w:eastAsia="Calibri"/>
        </w:rPr>
        <w:t>37 </w:t>
      </w:r>
      <w:r>
        <w:rPr/>
        <w:t>号 </w:t>
      </w:r>
      <w:r>
        <w:rPr>
          <w:rFonts w:ascii="Calibri" w:eastAsia="Calibri"/>
        </w:rPr>
        <w:t>4 </w:t>
      </w:r>
      <w:r>
        <w:rPr/>
        <w:t>号楼 </w:t>
      </w:r>
      <w:r>
        <w:rPr>
          <w:rFonts w:ascii="Calibri" w:eastAsia="Calibri"/>
        </w:rPr>
        <w:t>449 </w:t>
      </w:r>
      <w:r>
        <w:rPr/>
        <w:t>室</w:t>
      </w:r>
    </w:p>
    <w:p>
      <w:pPr>
        <w:pStyle w:val="BodyText"/>
        <w:spacing w:before="7"/>
        <w:rPr>
          <w:sz w:val="15"/>
        </w:rPr>
      </w:pPr>
    </w:p>
    <w:p>
      <w:pPr>
        <w:pStyle w:val="BodyText"/>
        <w:spacing w:line="417" w:lineRule="auto"/>
        <w:ind w:left="960" w:right="1920"/>
      </w:pPr>
      <w:r>
        <w:rPr>
          <w:spacing w:val="-6"/>
        </w:rPr>
        <w:t>办公地址：上海市浦东新区浦东南路 </w:t>
      </w:r>
      <w:r>
        <w:rPr>
          <w:rFonts w:ascii="Calibri" w:eastAsia="Calibri"/>
        </w:rPr>
        <w:t>1118 </w:t>
      </w:r>
      <w:r>
        <w:rPr>
          <w:spacing w:val="-8"/>
        </w:rPr>
        <w:t>号鄂尔多斯国际大厦 </w:t>
      </w:r>
      <w:r>
        <w:rPr>
          <w:rFonts w:ascii="Calibri" w:eastAsia="Calibri"/>
        </w:rPr>
        <w:t>903~906 </w:t>
      </w:r>
      <w:r>
        <w:rPr/>
        <w:t>室</w:t>
      </w:r>
      <w:r>
        <w:rPr>
          <w:spacing w:val="-3"/>
        </w:rPr>
        <w:t>法定代表人：杨文斌</w:t>
      </w:r>
    </w:p>
    <w:p>
      <w:pPr>
        <w:pStyle w:val="BodyText"/>
        <w:spacing w:line="417" w:lineRule="auto"/>
        <w:ind w:left="960" w:right="6898"/>
        <w:rPr>
          <w:rFonts w:ascii="Calibri" w:eastAsia="Calibri"/>
        </w:rPr>
      </w:pPr>
      <w:r>
        <w:rPr/>
        <w:t>电话：</w:t>
      </w:r>
      <w:r>
        <w:rPr>
          <w:rFonts w:ascii="Calibri" w:eastAsia="Calibri"/>
        </w:rPr>
        <w:t>021-20613635 </w:t>
      </w:r>
      <w:r>
        <w:rPr/>
        <w:t>传真：</w:t>
      </w:r>
      <w:r>
        <w:rPr>
          <w:rFonts w:ascii="Calibri" w:eastAsia="Calibri"/>
        </w:rPr>
        <w:t>021-68596916</w:t>
      </w:r>
    </w:p>
    <w:p>
      <w:pPr>
        <w:pStyle w:val="BodyText"/>
        <w:ind w:left="960"/>
      </w:pPr>
      <w:r>
        <w:rPr/>
        <w:t>联系人：周天雪</w:t>
      </w:r>
    </w:p>
    <w:p>
      <w:pPr>
        <w:pStyle w:val="BodyText"/>
        <w:spacing w:before="6"/>
        <w:rPr>
          <w:sz w:val="15"/>
        </w:rPr>
      </w:pPr>
    </w:p>
    <w:p>
      <w:pPr>
        <w:pStyle w:val="BodyText"/>
        <w:spacing w:before="1"/>
        <w:ind w:left="960"/>
        <w:rPr>
          <w:rFonts w:ascii="Calibri" w:eastAsia="Calibri"/>
        </w:rPr>
      </w:pPr>
      <w:r>
        <w:rPr/>
        <w:t>网址：</w:t>
      </w:r>
      <w:hyperlink r:id="rId54">
        <w:r>
          <w:rPr>
            <w:rFonts w:ascii="Calibri" w:eastAsia="Calibri"/>
          </w:rPr>
          <w:t>www.ehowbuy.com</w:t>
        </w:r>
      </w:hyperlink>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客户服务电话：</w:t>
      </w:r>
      <w:r>
        <w:rPr>
          <w:rFonts w:ascii="Calibri" w:eastAsia="Calibri"/>
        </w:rPr>
        <w:t>400-700-9665</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60" w:right="2448"/>
        <w:rPr>
          <w:rFonts w:ascii="Calibri" w:eastAsia="Calibri"/>
        </w:rPr>
      </w:pPr>
      <w:r>
        <w:rPr>
          <w:spacing w:val="-6"/>
        </w:rPr>
        <w:t>住所：浙江省杭州市余杭区五常街道文一西路 </w:t>
      </w:r>
      <w:r>
        <w:rPr>
          <w:rFonts w:ascii="Calibri" w:eastAsia="Calibri"/>
        </w:rPr>
        <w:t>969 </w:t>
      </w:r>
      <w:r>
        <w:rPr>
          <w:spacing w:val="-25"/>
        </w:rPr>
        <w:t>号 </w:t>
      </w:r>
      <w:r>
        <w:rPr>
          <w:rFonts w:ascii="Calibri" w:eastAsia="Calibri"/>
        </w:rPr>
        <w:t>3 </w:t>
      </w:r>
      <w:r>
        <w:rPr>
          <w:spacing w:val="-26"/>
        </w:rPr>
        <w:t>幢 </w:t>
      </w:r>
      <w:r>
        <w:rPr>
          <w:rFonts w:ascii="Calibri" w:eastAsia="Calibri"/>
        </w:rPr>
        <w:t>5 </w:t>
      </w:r>
      <w:r>
        <w:rPr>
          <w:spacing w:val="-26"/>
        </w:rPr>
        <w:t>层 </w:t>
      </w:r>
      <w:r>
        <w:rPr>
          <w:rFonts w:ascii="Calibri" w:eastAsia="Calibri"/>
        </w:rPr>
        <w:t>599 </w:t>
      </w:r>
      <w:r>
        <w:rPr/>
        <w:t>室</w:t>
      </w:r>
      <w:r>
        <w:rPr>
          <w:spacing w:val="-6"/>
        </w:rPr>
        <w:t>办公地址：浙江省杭州市西湖区万塘路 </w:t>
      </w:r>
      <w:r>
        <w:rPr>
          <w:rFonts w:ascii="Calibri" w:eastAsia="Calibri"/>
        </w:rPr>
        <w:t>18 </w:t>
      </w:r>
      <w:r>
        <w:rPr>
          <w:spacing w:val="-9"/>
        </w:rPr>
        <w:t>号黄龙时代广场 </w:t>
      </w:r>
      <w:r>
        <w:rPr>
          <w:rFonts w:ascii="Calibri" w:eastAsia="Calibri"/>
        </w:rPr>
        <w:t>B </w:t>
      </w:r>
      <w:r>
        <w:rPr>
          <w:spacing w:val="-25"/>
        </w:rPr>
        <w:t>座 </w:t>
      </w:r>
      <w:r>
        <w:rPr>
          <w:rFonts w:ascii="Calibri" w:eastAsia="Calibri"/>
        </w:rPr>
        <w:t>6F</w:t>
      </w:r>
    </w:p>
    <w:p>
      <w:pPr>
        <w:pStyle w:val="BodyText"/>
        <w:spacing w:line="417" w:lineRule="auto"/>
        <w:ind w:left="960" w:right="6870"/>
        <w:rPr>
          <w:rFonts w:ascii="Calibri" w:eastAsia="Calibri"/>
        </w:rPr>
      </w:pPr>
      <w:r>
        <w:rPr/>
        <w:t>法定代表人：祖国明电话：</w:t>
      </w:r>
      <w:r>
        <w:rPr>
          <w:rFonts w:ascii="Calibri" w:eastAsia="Calibri"/>
        </w:rPr>
        <w:t>18205712248</w:t>
      </w:r>
    </w:p>
    <w:p>
      <w:pPr>
        <w:pStyle w:val="BodyText"/>
        <w:spacing w:line="269" w:lineRule="exact"/>
        <w:ind w:left="960"/>
      </w:pPr>
      <w:r>
        <w:rPr/>
        <w:t>联系人：韩爱斌</w:t>
      </w:r>
    </w:p>
    <w:p>
      <w:pPr>
        <w:pStyle w:val="BodyText"/>
        <w:spacing w:before="7"/>
        <w:rPr>
          <w:sz w:val="15"/>
        </w:rPr>
      </w:pPr>
    </w:p>
    <w:p>
      <w:pPr>
        <w:pStyle w:val="BodyText"/>
        <w:ind w:left="960"/>
        <w:rPr>
          <w:rFonts w:ascii="Calibri" w:eastAsia="Calibri"/>
        </w:rPr>
      </w:pPr>
      <w:r>
        <w:rPr/>
        <w:t>网址：</w:t>
      </w:r>
      <w:hyperlink r:id="rId55">
        <w:r>
          <w:rPr>
            <w:rFonts w:ascii="Calibri" w:eastAsia="Calibri"/>
          </w:rPr>
          <w:t>www.fund123.cn</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4000-766-123</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上海长量基金销售有限公司</w:t>
      </w:r>
    </w:p>
    <w:p>
      <w:pPr>
        <w:pStyle w:val="BodyText"/>
        <w:spacing w:before="7"/>
        <w:rPr>
          <w:sz w:val="15"/>
        </w:rPr>
      </w:pPr>
    </w:p>
    <w:p>
      <w:pPr>
        <w:pStyle w:val="BodyText"/>
        <w:ind w:left="960"/>
      </w:pPr>
      <w:r>
        <w:rPr/>
        <w:t>住所：上海市浦东新区高翔路 </w:t>
      </w:r>
      <w:r>
        <w:rPr>
          <w:rFonts w:ascii="Calibri" w:eastAsia="Calibri"/>
        </w:rPr>
        <w:t>526 </w:t>
      </w:r>
      <w:r>
        <w:rPr/>
        <w:t>号 </w:t>
      </w:r>
      <w:r>
        <w:rPr>
          <w:rFonts w:ascii="Calibri" w:eastAsia="Calibri"/>
        </w:rPr>
        <w:t>2 </w:t>
      </w:r>
      <w:r>
        <w:rPr/>
        <w:t>幢 </w:t>
      </w:r>
      <w:r>
        <w:rPr>
          <w:rFonts w:ascii="Calibri" w:eastAsia="Calibri"/>
        </w:rPr>
        <w:t>220 </w:t>
      </w:r>
      <w:r>
        <w:rPr/>
        <w:t>室</w:t>
      </w:r>
    </w:p>
    <w:p>
      <w:pPr>
        <w:pStyle w:val="BodyText"/>
        <w:spacing w:before="6"/>
        <w:rPr>
          <w:sz w:val="15"/>
        </w:rPr>
      </w:pPr>
    </w:p>
    <w:p>
      <w:pPr>
        <w:pStyle w:val="BodyText"/>
        <w:spacing w:line="417" w:lineRule="auto" w:before="1"/>
        <w:ind w:left="960" w:right="2969"/>
      </w:pPr>
      <w:r>
        <w:rPr>
          <w:spacing w:val="-6"/>
        </w:rPr>
        <w:t>办公地址：上海市浦东新区浦东大道 </w:t>
      </w:r>
      <w:r>
        <w:rPr>
          <w:rFonts w:ascii="Calibri" w:eastAsia="Calibri"/>
        </w:rPr>
        <w:t>555 </w:t>
      </w:r>
      <w:r>
        <w:rPr>
          <w:spacing w:val="-11"/>
        </w:rPr>
        <w:t>号裕景国际 </w:t>
      </w:r>
      <w:r>
        <w:rPr>
          <w:rFonts w:ascii="Calibri" w:eastAsia="Calibri"/>
        </w:rPr>
        <w:t>B </w:t>
      </w:r>
      <w:r>
        <w:rPr>
          <w:spacing w:val="-25"/>
        </w:rPr>
        <w:t>座 </w:t>
      </w:r>
      <w:r>
        <w:rPr>
          <w:rFonts w:ascii="Calibri" w:eastAsia="Calibri"/>
        </w:rPr>
        <w:t>16 </w:t>
      </w:r>
      <w:r>
        <w:rPr/>
        <w:t>层</w:t>
      </w:r>
      <w:r>
        <w:rPr>
          <w:spacing w:val="-3"/>
        </w:rPr>
        <w:t>法定代表人：张跃伟</w:t>
      </w:r>
    </w:p>
    <w:p>
      <w:pPr>
        <w:pStyle w:val="BodyText"/>
        <w:spacing w:line="417" w:lineRule="auto"/>
        <w:ind w:left="960" w:right="6898"/>
        <w:rPr>
          <w:rFonts w:ascii="Calibri" w:eastAsia="Calibri"/>
        </w:rPr>
      </w:pPr>
      <w:r>
        <w:rPr/>
        <w:t>电话：</w:t>
      </w:r>
      <w:r>
        <w:rPr>
          <w:rFonts w:ascii="Calibri" w:eastAsia="Calibri"/>
        </w:rPr>
        <w:t>021-20691832 </w:t>
      </w:r>
      <w:r>
        <w:rPr/>
        <w:t>传真：</w:t>
      </w:r>
      <w:r>
        <w:rPr>
          <w:rFonts w:ascii="Calibri" w:eastAsia="Calibri"/>
        </w:rPr>
        <w:t>021-20691861</w:t>
      </w:r>
    </w:p>
    <w:p>
      <w:pPr>
        <w:pStyle w:val="BodyText"/>
        <w:ind w:left="960"/>
      </w:pPr>
      <w:r>
        <w:rPr/>
        <w:t>联系人：黄辉</w:t>
      </w:r>
    </w:p>
    <w:p>
      <w:pPr>
        <w:pStyle w:val="BodyText"/>
        <w:spacing w:before="6"/>
        <w:rPr>
          <w:sz w:val="15"/>
        </w:rPr>
      </w:pPr>
    </w:p>
    <w:p>
      <w:pPr>
        <w:pStyle w:val="BodyText"/>
        <w:ind w:left="960"/>
        <w:rPr>
          <w:rFonts w:ascii="Calibri" w:eastAsia="Calibri"/>
        </w:rPr>
      </w:pPr>
      <w:r>
        <w:rPr/>
        <w:t>网址：</w:t>
      </w:r>
      <w:hyperlink r:id="rId56">
        <w:r>
          <w:rPr>
            <w:rFonts w:ascii="Calibri" w:eastAsia="Calibri"/>
          </w:rPr>
          <w:t>www.erichfund.com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400-820-2899</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浙江同花顺基金销售有限公司</w:t>
      </w:r>
    </w:p>
    <w:p>
      <w:pPr>
        <w:pStyle w:val="BodyText"/>
        <w:spacing w:before="7"/>
        <w:rPr>
          <w:sz w:val="15"/>
        </w:rPr>
      </w:pPr>
    </w:p>
    <w:p>
      <w:pPr>
        <w:pStyle w:val="BodyText"/>
        <w:ind w:left="960"/>
      </w:pPr>
      <w:r>
        <w:rPr/>
        <w:t>住所：浙江省杭州市文二西路一号元茂大厦 </w:t>
      </w:r>
      <w:r>
        <w:rPr>
          <w:rFonts w:ascii="Calibri" w:eastAsia="Calibri"/>
        </w:rPr>
        <w:t>903 </w:t>
      </w:r>
      <w:r>
        <w:rPr/>
        <w:t>室</w:t>
      </w:r>
    </w:p>
    <w:p>
      <w:pPr>
        <w:pStyle w:val="BodyText"/>
        <w:spacing w:before="7"/>
        <w:rPr>
          <w:sz w:val="15"/>
        </w:rPr>
      </w:pPr>
    </w:p>
    <w:p>
      <w:pPr>
        <w:pStyle w:val="BodyText"/>
        <w:spacing w:line="417" w:lineRule="auto"/>
        <w:ind w:left="960" w:right="2347"/>
      </w:pPr>
      <w:r>
        <w:rPr>
          <w:spacing w:val="-5"/>
        </w:rPr>
        <w:t>办公地址：浙江省杭州市余杭区五常街道同顺街 </w:t>
      </w:r>
      <w:r>
        <w:rPr>
          <w:rFonts w:ascii="Calibri" w:eastAsia="Calibri"/>
        </w:rPr>
        <w:t>18 </w:t>
      </w:r>
      <w:r>
        <w:rPr>
          <w:spacing w:val="-9"/>
        </w:rPr>
        <w:t>号同花顺大楼 </w:t>
      </w:r>
      <w:r>
        <w:rPr>
          <w:rFonts w:ascii="Calibri" w:eastAsia="Calibri"/>
        </w:rPr>
        <w:t>4 </w:t>
      </w:r>
      <w:r>
        <w:rPr/>
        <w:t>层</w:t>
      </w:r>
      <w:r>
        <w:rPr>
          <w:spacing w:val="-3"/>
        </w:rPr>
        <w:t>法定代表人：凌顺平</w:t>
      </w:r>
    </w:p>
    <w:p>
      <w:pPr>
        <w:pStyle w:val="BodyText"/>
        <w:spacing w:line="417" w:lineRule="auto"/>
        <w:ind w:left="960" w:right="6303"/>
        <w:rPr>
          <w:rFonts w:ascii="Calibri" w:eastAsia="Calibri"/>
        </w:rPr>
      </w:pPr>
      <w:r>
        <w:rPr/>
        <w:t>电话：</w:t>
      </w:r>
      <w:r>
        <w:rPr>
          <w:rFonts w:ascii="Calibri" w:eastAsia="Calibri"/>
        </w:rPr>
        <w:t>0571-88911818-8653 </w:t>
      </w:r>
      <w:r>
        <w:rPr/>
        <w:t>传真：</w:t>
      </w:r>
      <w:r>
        <w:rPr>
          <w:rFonts w:ascii="Calibri" w:eastAsia="Calibri"/>
        </w:rPr>
        <w:t>0571-86800423</w:t>
      </w:r>
    </w:p>
    <w:p>
      <w:pPr>
        <w:pStyle w:val="BodyText"/>
        <w:spacing w:line="269" w:lineRule="exact"/>
        <w:ind w:left="960"/>
      </w:pPr>
      <w:r>
        <w:rPr/>
        <w:t>联系人：吴强</w:t>
      </w:r>
    </w:p>
    <w:p>
      <w:pPr>
        <w:pStyle w:val="BodyText"/>
        <w:spacing w:before="7"/>
        <w:rPr>
          <w:sz w:val="15"/>
        </w:rPr>
      </w:pPr>
    </w:p>
    <w:p>
      <w:pPr>
        <w:pStyle w:val="BodyText"/>
        <w:ind w:left="960"/>
        <w:rPr>
          <w:rFonts w:ascii="Calibri" w:eastAsia="Calibri"/>
        </w:rPr>
      </w:pPr>
      <w:r>
        <w:rPr/>
        <w:t>网址：</w:t>
      </w:r>
      <w:hyperlink r:id="rId57">
        <w:r>
          <w:rPr>
            <w:rFonts w:ascii="Calibri" w:eastAsia="Calibri"/>
          </w:rPr>
          <w:t>www.5ifund.com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400-877-3772</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北京展恒基金销售有限公司</w:t>
      </w:r>
    </w:p>
    <w:p>
      <w:pPr>
        <w:pStyle w:val="BodyText"/>
        <w:spacing w:before="7"/>
        <w:rPr>
          <w:sz w:val="15"/>
        </w:rPr>
      </w:pPr>
    </w:p>
    <w:p>
      <w:pPr>
        <w:pStyle w:val="BodyText"/>
        <w:ind w:left="960"/>
      </w:pPr>
      <w:r>
        <w:rPr/>
        <w:t>住所：北京市顺义区后沙峪镇安富街 </w:t>
      </w:r>
      <w:r>
        <w:rPr>
          <w:rFonts w:ascii="Calibri" w:eastAsia="Calibri"/>
        </w:rPr>
        <w:t>6 </w:t>
      </w:r>
      <w:r>
        <w:rPr/>
        <w:t>号</w:t>
      </w:r>
    </w:p>
    <w:p>
      <w:pPr>
        <w:pStyle w:val="BodyText"/>
        <w:spacing w:before="7"/>
        <w:rPr>
          <w:sz w:val="15"/>
        </w:rPr>
      </w:pPr>
    </w:p>
    <w:p>
      <w:pPr>
        <w:pStyle w:val="BodyText"/>
        <w:ind w:left="960"/>
      </w:pPr>
      <w:r>
        <w:rPr/>
        <w:t>办公地址：北京市朝阳区华严北里 </w:t>
      </w:r>
      <w:r>
        <w:rPr>
          <w:rFonts w:ascii="Calibri" w:eastAsia="Calibri"/>
        </w:rPr>
        <w:t>2 </w:t>
      </w:r>
      <w:r>
        <w:rPr/>
        <w:t>号民建大厦 </w:t>
      </w:r>
      <w:r>
        <w:rPr>
          <w:rFonts w:ascii="Calibri" w:eastAsia="Calibri"/>
        </w:rPr>
        <w:t>6 </w:t>
      </w:r>
      <w:r>
        <w:rPr/>
        <w:t>层</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pPr>
      <w:r>
        <w:rPr>
          <w:spacing w:val="-3"/>
        </w:rPr>
        <w:t>法定代表人：闫振杰</w:t>
      </w:r>
    </w:p>
    <w:p>
      <w:pPr>
        <w:pStyle w:val="BodyText"/>
        <w:spacing w:before="7"/>
        <w:rPr>
          <w:sz w:val="15"/>
        </w:rPr>
      </w:pPr>
    </w:p>
    <w:p>
      <w:pPr>
        <w:pStyle w:val="BodyText"/>
        <w:spacing w:line="417" w:lineRule="auto"/>
        <w:ind w:left="960" w:right="6407"/>
        <w:rPr>
          <w:rFonts w:ascii="Calibri" w:eastAsia="Calibri"/>
        </w:rPr>
      </w:pPr>
      <w:r>
        <w:rPr>
          <w:spacing w:val="-1"/>
        </w:rPr>
        <w:t>电话：</w:t>
      </w:r>
      <w:r>
        <w:rPr>
          <w:rFonts w:ascii="Calibri" w:eastAsia="Calibri"/>
          <w:spacing w:val="-1"/>
        </w:rPr>
        <w:t>010-62020088-6006 </w:t>
      </w:r>
      <w:r>
        <w:rPr/>
        <w:t>传真：</w:t>
      </w:r>
      <w:r>
        <w:rPr>
          <w:rFonts w:ascii="Calibri" w:eastAsia="Calibri"/>
        </w:rPr>
        <w:t>010-62020355</w:t>
      </w:r>
    </w:p>
    <w:p>
      <w:pPr>
        <w:pStyle w:val="BodyText"/>
        <w:spacing w:line="269" w:lineRule="exact"/>
        <w:ind w:left="960"/>
      </w:pPr>
      <w:r>
        <w:rPr/>
        <w:t>联系人：翟飞飞</w:t>
      </w:r>
    </w:p>
    <w:p>
      <w:pPr>
        <w:pStyle w:val="BodyText"/>
        <w:spacing w:before="7"/>
        <w:rPr>
          <w:sz w:val="15"/>
        </w:rPr>
      </w:pPr>
    </w:p>
    <w:p>
      <w:pPr>
        <w:pStyle w:val="BodyText"/>
        <w:ind w:left="960"/>
        <w:rPr>
          <w:rFonts w:ascii="Calibri" w:eastAsia="Calibri"/>
        </w:rPr>
      </w:pPr>
      <w:r>
        <w:rPr/>
        <w:t>网址：</w:t>
      </w:r>
      <w:hyperlink r:id="rId58">
        <w:r>
          <w:rPr>
            <w:rFonts w:ascii="Calibri" w:eastAsia="Calibri"/>
          </w:rPr>
          <w:t>www.myfund.com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400-888-6661</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上海利得基金销售有限公司</w:t>
      </w:r>
    </w:p>
    <w:p>
      <w:pPr>
        <w:pStyle w:val="BodyText"/>
        <w:spacing w:before="7"/>
        <w:rPr>
          <w:sz w:val="15"/>
        </w:rPr>
      </w:pPr>
    </w:p>
    <w:p>
      <w:pPr>
        <w:pStyle w:val="BodyText"/>
        <w:ind w:left="960"/>
      </w:pPr>
      <w:r>
        <w:rPr/>
        <w:t>住所：上海市宝山区蕴川路 </w:t>
      </w:r>
      <w:r>
        <w:rPr>
          <w:rFonts w:ascii="Calibri" w:eastAsia="Calibri"/>
        </w:rPr>
        <w:t>5475 </w:t>
      </w:r>
      <w:r>
        <w:rPr/>
        <w:t>号 </w:t>
      </w:r>
      <w:r>
        <w:rPr>
          <w:rFonts w:ascii="Calibri" w:eastAsia="Calibri"/>
        </w:rPr>
        <w:t>1033 </w:t>
      </w:r>
      <w:r>
        <w:rPr/>
        <w:t>室</w:t>
      </w:r>
    </w:p>
    <w:p>
      <w:pPr>
        <w:pStyle w:val="BodyText"/>
        <w:spacing w:before="7"/>
        <w:rPr>
          <w:sz w:val="15"/>
        </w:rPr>
      </w:pPr>
    </w:p>
    <w:p>
      <w:pPr>
        <w:pStyle w:val="BodyText"/>
        <w:spacing w:line="417" w:lineRule="auto"/>
        <w:ind w:left="960" w:right="4339"/>
      </w:pPr>
      <w:r>
        <w:rPr>
          <w:spacing w:val="-6"/>
        </w:rPr>
        <w:t>办公地址：上海市虹口区东大名路 </w:t>
      </w:r>
      <w:r>
        <w:rPr>
          <w:rFonts w:ascii="Calibri" w:eastAsia="Calibri"/>
        </w:rPr>
        <w:t>1098 </w:t>
      </w:r>
      <w:r>
        <w:rPr>
          <w:spacing w:val="-26"/>
        </w:rPr>
        <w:t>号 </w:t>
      </w:r>
      <w:r>
        <w:rPr>
          <w:rFonts w:ascii="Calibri" w:eastAsia="Calibri"/>
        </w:rPr>
        <w:t>53 </w:t>
      </w:r>
      <w:r>
        <w:rPr/>
        <w:t>楼</w:t>
      </w:r>
      <w:r>
        <w:rPr>
          <w:spacing w:val="-3"/>
        </w:rPr>
        <w:t>法定代表人：沈继伟</w:t>
      </w:r>
    </w:p>
    <w:p>
      <w:pPr>
        <w:pStyle w:val="BodyText"/>
        <w:spacing w:line="417" w:lineRule="auto"/>
        <w:ind w:left="960" w:right="6898"/>
        <w:rPr>
          <w:rFonts w:ascii="Calibri" w:eastAsia="Calibri"/>
        </w:rPr>
      </w:pPr>
      <w:r>
        <w:rPr/>
        <w:t>电话：</w:t>
      </w:r>
      <w:r>
        <w:rPr>
          <w:rFonts w:ascii="Calibri" w:eastAsia="Calibri"/>
        </w:rPr>
        <w:t>021-50583533 </w:t>
      </w:r>
      <w:r>
        <w:rPr/>
        <w:t>传真：</w:t>
      </w:r>
      <w:r>
        <w:rPr>
          <w:rFonts w:ascii="Calibri" w:eastAsia="Calibri"/>
        </w:rPr>
        <w:t>021-61101630</w:t>
      </w:r>
    </w:p>
    <w:p>
      <w:pPr>
        <w:pStyle w:val="BodyText"/>
        <w:spacing w:line="269" w:lineRule="exact"/>
        <w:ind w:left="960"/>
      </w:pPr>
      <w:r>
        <w:rPr/>
        <w:t>联系人：曹怡晨</w:t>
      </w:r>
    </w:p>
    <w:p>
      <w:pPr>
        <w:pStyle w:val="BodyText"/>
        <w:spacing w:before="6"/>
        <w:rPr>
          <w:sz w:val="15"/>
        </w:rPr>
      </w:pPr>
    </w:p>
    <w:p>
      <w:pPr>
        <w:pStyle w:val="BodyText"/>
        <w:spacing w:line="417" w:lineRule="auto" w:before="1"/>
        <w:ind w:left="960" w:right="5511"/>
        <w:rPr>
          <w:rFonts w:ascii="Calibri" w:eastAsia="Calibri"/>
        </w:rPr>
      </w:pPr>
      <w:r>
        <w:rPr/>
        <w:t>网址：</w:t>
      </w:r>
      <w:hyperlink r:id="rId59">
        <w:r>
          <w:rPr>
            <w:rFonts w:ascii="Calibri" w:eastAsia="Calibri"/>
          </w:rPr>
          <w:t>http://www.leadfund.com.cn/ </w:t>
        </w:r>
      </w:hyperlink>
      <w:r>
        <w:rPr/>
        <w:t>客户服务电话：</w:t>
      </w:r>
      <w:r>
        <w:rPr>
          <w:rFonts w:ascii="Calibri" w:eastAsia="Calibri"/>
        </w:rPr>
        <w:t>95733</w:t>
      </w: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嘉实财富管理有限公司</w:t>
      </w:r>
    </w:p>
    <w:p>
      <w:pPr>
        <w:pStyle w:val="BodyText"/>
        <w:spacing w:before="6"/>
        <w:rPr>
          <w:sz w:val="15"/>
        </w:rPr>
      </w:pPr>
    </w:p>
    <w:p>
      <w:pPr>
        <w:pStyle w:val="BodyText"/>
        <w:spacing w:line="417" w:lineRule="auto"/>
        <w:ind w:left="960" w:right="1332"/>
      </w:pPr>
      <w:r>
        <w:rPr>
          <w:spacing w:val="-7"/>
        </w:rPr>
        <w:t>住所：上海市浦东新区世纪大道 </w:t>
      </w:r>
      <w:r>
        <w:rPr>
          <w:rFonts w:ascii="Calibri" w:eastAsia="Calibri"/>
        </w:rPr>
        <w:t>8 </w:t>
      </w:r>
      <w:r>
        <w:rPr>
          <w:spacing w:val="-7"/>
        </w:rPr>
        <w:t>号上海国金中心办公楼二期 </w:t>
      </w:r>
      <w:r>
        <w:rPr>
          <w:rFonts w:ascii="Calibri" w:eastAsia="Calibri"/>
        </w:rPr>
        <w:t>53 </w:t>
      </w:r>
      <w:r>
        <w:rPr>
          <w:spacing w:val="-24"/>
        </w:rPr>
        <w:t>层 </w:t>
      </w:r>
      <w:r>
        <w:rPr>
          <w:rFonts w:ascii="Calibri" w:eastAsia="Calibri"/>
        </w:rPr>
        <w:t>5312-15 </w:t>
      </w:r>
      <w:r>
        <w:rPr/>
        <w:t>单元</w:t>
      </w:r>
      <w:r>
        <w:rPr>
          <w:spacing w:val="-7"/>
        </w:rPr>
        <w:t>办公地址：北京市朝阳区建国路 </w:t>
      </w:r>
      <w:r>
        <w:rPr>
          <w:rFonts w:ascii="Calibri" w:eastAsia="Calibri"/>
        </w:rPr>
        <w:t>91 </w:t>
      </w:r>
      <w:r>
        <w:rPr>
          <w:spacing w:val="-12"/>
        </w:rPr>
        <w:t>号金地中心 </w:t>
      </w:r>
      <w:r>
        <w:rPr>
          <w:rFonts w:ascii="Calibri" w:eastAsia="Calibri"/>
        </w:rPr>
        <w:t>A </w:t>
      </w:r>
      <w:r>
        <w:rPr>
          <w:spacing w:val="-27"/>
        </w:rPr>
        <w:t>座 </w:t>
      </w:r>
      <w:r>
        <w:rPr>
          <w:rFonts w:ascii="Calibri" w:eastAsia="Calibri"/>
        </w:rPr>
        <w:t>6 </w:t>
      </w:r>
      <w:r>
        <w:rPr/>
        <w:t>层</w:t>
      </w:r>
    </w:p>
    <w:p>
      <w:pPr>
        <w:pStyle w:val="BodyText"/>
        <w:spacing w:line="417" w:lineRule="auto"/>
        <w:ind w:left="960" w:right="6870"/>
        <w:jc w:val="both"/>
        <w:rPr>
          <w:rFonts w:ascii="Calibri" w:eastAsia="Calibri"/>
        </w:rPr>
      </w:pPr>
      <w:r>
        <w:rPr/>
        <w:t>法定代表人：赵学军电话：</w:t>
      </w:r>
      <w:r>
        <w:rPr>
          <w:rFonts w:ascii="Calibri" w:eastAsia="Calibri"/>
        </w:rPr>
        <w:t>010-85097570 </w:t>
      </w:r>
      <w:r>
        <w:rPr/>
        <w:t>传真：</w:t>
      </w:r>
      <w:r>
        <w:rPr>
          <w:rFonts w:ascii="Calibri" w:eastAsia="Calibri"/>
        </w:rPr>
        <w:t>010-85097308</w:t>
      </w:r>
    </w:p>
    <w:p>
      <w:pPr>
        <w:pStyle w:val="BodyText"/>
        <w:ind w:left="960"/>
      </w:pPr>
      <w:r>
        <w:rPr/>
        <w:t>联系人：余永键</w:t>
      </w:r>
    </w:p>
    <w:p>
      <w:pPr>
        <w:pStyle w:val="BodyText"/>
        <w:spacing w:before="7"/>
        <w:rPr>
          <w:sz w:val="15"/>
        </w:rPr>
      </w:pPr>
    </w:p>
    <w:p>
      <w:pPr>
        <w:pStyle w:val="BodyText"/>
        <w:ind w:left="960"/>
        <w:rPr>
          <w:rFonts w:ascii="Calibri" w:eastAsia="Calibri"/>
        </w:rPr>
      </w:pPr>
      <w:r>
        <w:rPr/>
        <w:t>网址：</w:t>
      </w:r>
      <w:hyperlink r:id="rId60">
        <w:r>
          <w:rPr>
            <w:rFonts w:ascii="Calibri" w:eastAsia="Calibri"/>
          </w:rPr>
          <w:t>www.harvestwm.cn</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400-021-8850</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北京创金启富基金销售有限公司</w:t>
      </w:r>
    </w:p>
    <w:p>
      <w:pPr>
        <w:pStyle w:val="BodyText"/>
        <w:spacing w:before="7"/>
        <w:rPr>
          <w:sz w:val="15"/>
        </w:rPr>
      </w:pPr>
    </w:p>
    <w:p>
      <w:pPr>
        <w:pStyle w:val="BodyText"/>
        <w:ind w:left="960"/>
      </w:pPr>
      <w:r>
        <w:rPr/>
        <w:t>住所：北京市西城区白纸坊东街 </w:t>
      </w:r>
      <w:r>
        <w:rPr>
          <w:rFonts w:ascii="Calibri" w:eastAsia="Calibri"/>
        </w:rPr>
        <w:t>2 </w:t>
      </w:r>
      <w:r>
        <w:rPr/>
        <w:t>号院 </w:t>
      </w:r>
      <w:r>
        <w:rPr>
          <w:rFonts w:ascii="Calibri" w:eastAsia="Calibri"/>
        </w:rPr>
        <w:t>6 </w:t>
      </w:r>
      <w:r>
        <w:rPr/>
        <w:t>号楼 </w:t>
      </w:r>
      <w:r>
        <w:rPr>
          <w:rFonts w:ascii="Calibri" w:eastAsia="Calibri"/>
        </w:rPr>
        <w:t>712 </w:t>
      </w:r>
      <w:r>
        <w:rPr/>
        <w:t>室</w:t>
      </w:r>
    </w:p>
    <w:p>
      <w:pPr>
        <w:pStyle w:val="BodyText"/>
        <w:spacing w:before="7"/>
        <w:rPr>
          <w:sz w:val="15"/>
        </w:rPr>
      </w:pPr>
    </w:p>
    <w:p>
      <w:pPr>
        <w:pStyle w:val="BodyText"/>
        <w:spacing w:line="417" w:lineRule="auto"/>
        <w:ind w:left="960" w:right="3502"/>
      </w:pPr>
      <w:r>
        <w:rPr>
          <w:spacing w:val="-6"/>
        </w:rPr>
        <w:t>办公地址：北京市西城区白纸坊东街 </w:t>
      </w:r>
      <w:r>
        <w:rPr>
          <w:rFonts w:ascii="Calibri" w:eastAsia="Calibri"/>
        </w:rPr>
        <w:t>2 </w:t>
      </w:r>
      <w:r>
        <w:rPr>
          <w:spacing w:val="-17"/>
        </w:rPr>
        <w:t>号院 </w:t>
      </w:r>
      <w:r>
        <w:rPr>
          <w:rFonts w:ascii="Calibri" w:eastAsia="Calibri"/>
        </w:rPr>
        <w:t>6 </w:t>
      </w:r>
      <w:r>
        <w:rPr>
          <w:spacing w:val="-17"/>
        </w:rPr>
        <w:t>号楼 </w:t>
      </w:r>
      <w:r>
        <w:rPr>
          <w:rFonts w:ascii="Calibri" w:eastAsia="Calibri"/>
        </w:rPr>
        <w:t>712 </w:t>
      </w:r>
      <w:r>
        <w:rPr/>
        <w:t>室</w:t>
      </w:r>
      <w:r>
        <w:rPr>
          <w:spacing w:val="-3"/>
        </w:rPr>
        <w:t>法定代表人：梁蓉</w:t>
      </w:r>
    </w:p>
    <w:p>
      <w:pPr>
        <w:pStyle w:val="BodyText"/>
        <w:spacing w:line="417" w:lineRule="auto"/>
        <w:ind w:left="960" w:right="6513"/>
        <w:rPr>
          <w:rFonts w:ascii="Calibri" w:eastAsia="Calibri"/>
        </w:rPr>
      </w:pPr>
      <w:r>
        <w:rPr/>
        <w:t>电话：</w:t>
      </w:r>
      <w:r>
        <w:rPr>
          <w:rFonts w:ascii="Calibri" w:eastAsia="Calibri"/>
        </w:rPr>
        <w:t>010-66154828-809 </w:t>
      </w:r>
      <w:r>
        <w:rPr/>
        <w:t>传真：</w:t>
      </w:r>
      <w:r>
        <w:rPr>
          <w:rFonts w:ascii="Calibri" w:eastAsia="Calibri"/>
        </w:rPr>
        <w:t>010-88067526</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联系人：马浩</w:t>
      </w:r>
    </w:p>
    <w:p>
      <w:pPr>
        <w:pStyle w:val="BodyText"/>
        <w:spacing w:before="6"/>
        <w:rPr>
          <w:sz w:val="15"/>
        </w:rPr>
      </w:pPr>
    </w:p>
    <w:p>
      <w:pPr>
        <w:pStyle w:val="BodyText"/>
        <w:ind w:left="960"/>
        <w:rPr>
          <w:rFonts w:ascii="Calibri" w:eastAsia="Calibri"/>
        </w:rPr>
      </w:pPr>
      <w:r>
        <w:rPr/>
        <w:t>网址：</w:t>
      </w:r>
      <w:hyperlink r:id="rId61">
        <w:r>
          <w:rPr>
            <w:rFonts w:ascii="Calibri" w:eastAsia="Calibri"/>
          </w:rPr>
          <w:t>www.5irich.com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400-6262-818</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泛华普益基金销售有限公司</w:t>
      </w:r>
    </w:p>
    <w:p>
      <w:pPr>
        <w:pStyle w:val="BodyText"/>
        <w:spacing w:before="6"/>
        <w:rPr>
          <w:sz w:val="15"/>
        </w:rPr>
      </w:pPr>
    </w:p>
    <w:p>
      <w:pPr>
        <w:pStyle w:val="BodyText"/>
        <w:ind w:left="960"/>
      </w:pPr>
      <w:r>
        <w:rPr/>
        <w:t>住所：成都市成华区建设路 </w:t>
      </w:r>
      <w:r>
        <w:rPr>
          <w:rFonts w:ascii="Calibri" w:eastAsia="Calibri"/>
        </w:rPr>
        <w:t>9 </w:t>
      </w:r>
      <w:r>
        <w:rPr/>
        <w:t>号高地中心 </w:t>
      </w:r>
      <w:r>
        <w:rPr>
          <w:rFonts w:ascii="Calibri" w:eastAsia="Calibri"/>
        </w:rPr>
        <w:t>1101 </w:t>
      </w:r>
      <w:r>
        <w:rPr/>
        <w:t>室</w:t>
      </w:r>
    </w:p>
    <w:p>
      <w:pPr>
        <w:pStyle w:val="BodyText"/>
        <w:spacing w:before="7"/>
        <w:rPr>
          <w:sz w:val="15"/>
        </w:rPr>
      </w:pPr>
    </w:p>
    <w:p>
      <w:pPr>
        <w:pStyle w:val="BodyText"/>
        <w:spacing w:line="417" w:lineRule="auto"/>
        <w:ind w:left="960" w:right="1072"/>
      </w:pPr>
      <w:r>
        <w:rPr>
          <w:spacing w:val="-6"/>
        </w:rPr>
        <w:t>办公地址：成都市金牛区花照壁西顺街 </w:t>
      </w:r>
      <w:r>
        <w:rPr>
          <w:rFonts w:ascii="Calibri" w:eastAsia="Calibri"/>
        </w:rPr>
        <w:t>399 </w:t>
      </w:r>
      <w:r>
        <w:rPr>
          <w:spacing w:val="-26"/>
        </w:rPr>
        <w:t>号 </w:t>
      </w:r>
      <w:r>
        <w:rPr>
          <w:rFonts w:ascii="Calibri" w:eastAsia="Calibri"/>
        </w:rPr>
        <w:t>1 </w:t>
      </w:r>
      <w:r>
        <w:rPr>
          <w:spacing w:val="-26"/>
        </w:rPr>
        <w:t>栋 </w:t>
      </w:r>
      <w:r>
        <w:rPr>
          <w:rFonts w:ascii="Calibri" w:eastAsia="Calibri"/>
        </w:rPr>
        <w:t>1 </w:t>
      </w:r>
      <w:r>
        <w:rPr>
          <w:spacing w:val="3"/>
        </w:rPr>
        <w:t>单元龙湖西宸天街</w:t>
      </w:r>
      <w:r>
        <w:rPr>
          <w:rFonts w:ascii="Calibri" w:eastAsia="Calibri"/>
        </w:rPr>
        <w:t>B </w:t>
      </w:r>
      <w:r>
        <w:rPr>
          <w:spacing w:val="-26"/>
        </w:rPr>
        <w:t>座 </w:t>
      </w:r>
      <w:r>
        <w:rPr>
          <w:rFonts w:ascii="Calibri" w:eastAsia="Calibri"/>
        </w:rPr>
        <w:t>1201 </w:t>
      </w:r>
      <w:r>
        <w:rPr/>
        <w:t>号</w:t>
      </w:r>
      <w:r>
        <w:rPr>
          <w:spacing w:val="-3"/>
        </w:rPr>
        <w:t>法定代表人：于海锋</w:t>
      </w:r>
    </w:p>
    <w:p>
      <w:pPr>
        <w:pStyle w:val="BodyText"/>
        <w:ind w:left="960"/>
        <w:rPr>
          <w:rFonts w:ascii="Calibri" w:eastAsia="Calibri"/>
        </w:rPr>
      </w:pPr>
      <w:r>
        <w:rPr/>
        <w:t>电话：</w:t>
      </w:r>
      <w:r>
        <w:rPr>
          <w:rFonts w:ascii="Calibri" w:eastAsia="Calibri"/>
        </w:rPr>
        <w:t>13910181936</w:t>
      </w:r>
    </w:p>
    <w:p>
      <w:pPr>
        <w:pStyle w:val="BodyText"/>
        <w:spacing w:before="4"/>
        <w:rPr>
          <w:rFonts w:ascii="Calibri"/>
          <w:sz w:val="16"/>
        </w:rPr>
      </w:pPr>
    </w:p>
    <w:p>
      <w:pPr>
        <w:pStyle w:val="BodyText"/>
        <w:ind w:left="960"/>
        <w:rPr>
          <w:rFonts w:ascii="Calibri" w:eastAsia="Calibri"/>
        </w:rPr>
      </w:pPr>
      <w:r>
        <w:rPr/>
        <w:t>传真：</w:t>
      </w:r>
      <w:r>
        <w:rPr>
          <w:rFonts w:ascii="Calibri" w:eastAsia="Calibri"/>
        </w:rPr>
        <w:t>-</w:t>
      </w:r>
    </w:p>
    <w:p>
      <w:pPr>
        <w:pStyle w:val="BodyText"/>
        <w:spacing w:before="3"/>
        <w:rPr>
          <w:rFonts w:ascii="Calibri"/>
          <w:sz w:val="16"/>
        </w:rPr>
      </w:pPr>
    </w:p>
    <w:p>
      <w:pPr>
        <w:pStyle w:val="BodyText"/>
        <w:spacing w:before="1"/>
        <w:ind w:left="960"/>
      </w:pPr>
      <w:r>
        <w:rPr/>
        <w:t>联系人：隋亚方</w:t>
      </w:r>
    </w:p>
    <w:p>
      <w:pPr>
        <w:pStyle w:val="BodyText"/>
        <w:spacing w:before="6"/>
        <w:rPr>
          <w:sz w:val="15"/>
        </w:rPr>
      </w:pPr>
    </w:p>
    <w:p>
      <w:pPr>
        <w:pStyle w:val="BodyText"/>
        <w:spacing w:line="417" w:lineRule="auto"/>
        <w:ind w:left="960" w:right="5681"/>
        <w:rPr>
          <w:rFonts w:ascii="Calibri" w:eastAsia="Calibri"/>
        </w:rPr>
      </w:pPr>
      <w:r>
        <w:rPr/>
        <w:t>网址：</w:t>
      </w:r>
      <w:r>
        <w:rPr>
          <w:rFonts w:ascii="Calibri" w:eastAsia="Calibri"/>
        </w:rPr>
        <w:t>https:</w:t>
      </w:r>
      <w:hyperlink r:id="rId62">
        <w:r>
          <w:rPr>
            <w:rFonts w:ascii="Calibri" w:eastAsia="Calibri"/>
          </w:rPr>
          <w:t>//www</w:t>
        </w:r>
      </w:hyperlink>
      <w:r>
        <w:rPr>
          <w:rFonts w:ascii="Calibri" w:eastAsia="Calibri"/>
        </w:rPr>
        <w:t>.p</w:t>
      </w:r>
      <w:hyperlink r:id="rId62">
        <w:r>
          <w:rPr>
            <w:rFonts w:ascii="Calibri" w:eastAsia="Calibri"/>
          </w:rPr>
          <w:t>uyifund.com/ </w:t>
        </w:r>
      </w:hyperlink>
      <w:r>
        <w:rPr/>
        <w:t>客户服务电话：</w:t>
      </w:r>
      <w:r>
        <w:rPr>
          <w:rFonts w:ascii="Calibri" w:eastAsia="Calibri"/>
        </w:rPr>
        <w:t>400-080-3388</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7"/>
        <w:rPr>
          <w:sz w:val="15"/>
        </w:rPr>
      </w:pPr>
    </w:p>
    <w:p>
      <w:pPr>
        <w:pStyle w:val="BodyText"/>
        <w:ind w:left="960"/>
        <w:rPr>
          <w:rFonts w:ascii="Calibri" w:eastAsia="Calibri"/>
        </w:rPr>
      </w:pPr>
      <w:r>
        <w:rPr/>
        <w:t>住所：北京市朝阳区建国路 </w:t>
      </w:r>
      <w:r>
        <w:rPr>
          <w:rFonts w:ascii="Calibri" w:eastAsia="Calibri"/>
        </w:rPr>
        <w:t>88 </w:t>
      </w:r>
      <w:r>
        <w:rPr/>
        <w:t>号 </w:t>
      </w:r>
      <w:r>
        <w:rPr>
          <w:rFonts w:ascii="Calibri" w:eastAsia="Calibri"/>
        </w:rPr>
        <w:t>9 </w:t>
      </w:r>
      <w:r>
        <w:rPr/>
        <w:t>号楼 </w:t>
      </w:r>
      <w:r>
        <w:rPr>
          <w:rFonts w:ascii="Calibri" w:eastAsia="Calibri"/>
        </w:rPr>
        <w:t>15 </w:t>
      </w:r>
      <w:r>
        <w:rPr/>
        <w:t>层 </w:t>
      </w:r>
      <w:r>
        <w:rPr>
          <w:rFonts w:ascii="Calibri" w:eastAsia="Calibri"/>
        </w:rPr>
        <w:t>1809</w:t>
      </w:r>
    </w:p>
    <w:p>
      <w:pPr>
        <w:pStyle w:val="BodyText"/>
        <w:spacing w:before="4"/>
        <w:rPr>
          <w:rFonts w:ascii="Calibri"/>
          <w:sz w:val="16"/>
        </w:rPr>
      </w:pPr>
    </w:p>
    <w:p>
      <w:pPr>
        <w:pStyle w:val="BodyText"/>
        <w:ind w:left="960"/>
        <w:rPr>
          <w:rFonts w:ascii="Calibri" w:eastAsia="Calibri"/>
        </w:rPr>
      </w:pPr>
      <w:r>
        <w:rPr/>
        <w:t>办公地址：北京市朝阳区建国路 </w:t>
      </w:r>
      <w:r>
        <w:rPr>
          <w:rFonts w:ascii="Calibri" w:eastAsia="Calibri"/>
        </w:rPr>
        <w:t>88 </w:t>
      </w:r>
      <w:r>
        <w:rPr/>
        <w:t>号 </w:t>
      </w:r>
      <w:r>
        <w:rPr>
          <w:rFonts w:ascii="Calibri" w:eastAsia="Calibri"/>
        </w:rPr>
        <w:t>SOHO </w:t>
      </w:r>
      <w:r>
        <w:rPr/>
        <w:t>现代城</w:t>
      </w:r>
      <w:r>
        <w:rPr>
          <w:rFonts w:ascii="Calibri" w:eastAsia="Calibri"/>
        </w:rPr>
        <w:t>C </w:t>
      </w:r>
      <w:r>
        <w:rPr/>
        <w:t>座 </w:t>
      </w:r>
      <w:r>
        <w:rPr>
          <w:rFonts w:ascii="Calibri" w:eastAsia="Calibri"/>
        </w:rPr>
        <w:t>18 </w:t>
      </w:r>
      <w:r>
        <w:rPr/>
        <w:t>层 </w:t>
      </w:r>
      <w:r>
        <w:rPr>
          <w:rFonts w:ascii="Calibri" w:eastAsia="Calibri"/>
        </w:rPr>
        <w:t>1809</w:t>
      </w:r>
    </w:p>
    <w:p>
      <w:pPr>
        <w:pStyle w:val="BodyText"/>
        <w:spacing w:before="3"/>
        <w:rPr>
          <w:rFonts w:ascii="Calibri"/>
          <w:sz w:val="16"/>
        </w:rPr>
      </w:pPr>
    </w:p>
    <w:p>
      <w:pPr>
        <w:pStyle w:val="BodyText"/>
        <w:spacing w:line="417" w:lineRule="auto" w:before="1"/>
        <w:ind w:left="960" w:right="6870"/>
        <w:jc w:val="both"/>
        <w:rPr>
          <w:rFonts w:ascii="Calibri" w:eastAsia="Calibri"/>
        </w:rPr>
      </w:pPr>
      <w:r>
        <w:rPr/>
        <w:t>法定代表人：沈伟桦电话：</w:t>
      </w:r>
      <w:r>
        <w:rPr>
          <w:rFonts w:ascii="Calibri" w:eastAsia="Calibri"/>
        </w:rPr>
        <w:t>010-52855713 </w:t>
      </w:r>
      <w:r>
        <w:rPr/>
        <w:t>传真：</w:t>
      </w:r>
      <w:r>
        <w:rPr>
          <w:rFonts w:ascii="Calibri" w:eastAsia="Calibri"/>
        </w:rPr>
        <w:t>010-85894285</w:t>
      </w:r>
    </w:p>
    <w:p>
      <w:pPr>
        <w:pStyle w:val="BodyText"/>
        <w:spacing w:line="269" w:lineRule="exact"/>
        <w:ind w:left="960"/>
      </w:pPr>
      <w:r>
        <w:rPr/>
        <w:t>联系人：程刚</w:t>
      </w:r>
    </w:p>
    <w:p>
      <w:pPr>
        <w:pStyle w:val="BodyText"/>
        <w:spacing w:before="6"/>
        <w:rPr>
          <w:sz w:val="15"/>
        </w:rPr>
      </w:pPr>
    </w:p>
    <w:p>
      <w:pPr>
        <w:pStyle w:val="BodyText"/>
        <w:ind w:left="960"/>
        <w:rPr>
          <w:rFonts w:ascii="Calibri" w:eastAsia="Calibri"/>
        </w:rPr>
      </w:pPr>
      <w:r>
        <w:rPr/>
        <w:t>网址：</w:t>
      </w:r>
      <w:hyperlink r:id="rId63">
        <w:r>
          <w:rPr>
            <w:rFonts w:ascii="Calibri" w:eastAsia="Calibri"/>
          </w:rPr>
          <w:t>www.yixinfund.com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400-609-9200</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深圳腾元基金销售有限公司</w:t>
      </w:r>
    </w:p>
    <w:p>
      <w:pPr>
        <w:pStyle w:val="BodyText"/>
        <w:spacing w:before="7"/>
        <w:rPr>
          <w:sz w:val="15"/>
        </w:rPr>
      </w:pPr>
    </w:p>
    <w:p>
      <w:pPr>
        <w:pStyle w:val="BodyText"/>
        <w:ind w:left="960"/>
      </w:pPr>
      <w:r>
        <w:rPr/>
        <w:t>住所：深圳市福田区金田路 </w:t>
      </w:r>
      <w:r>
        <w:rPr>
          <w:rFonts w:ascii="Calibri" w:eastAsia="Calibri"/>
        </w:rPr>
        <w:t>2028 </w:t>
      </w:r>
      <w:r>
        <w:rPr/>
        <w:t>号卓越世纪中心 </w:t>
      </w:r>
      <w:r>
        <w:rPr>
          <w:rFonts w:ascii="Calibri" w:eastAsia="Calibri"/>
        </w:rPr>
        <w:t>1 </w:t>
      </w:r>
      <w:r>
        <w:rPr/>
        <w:t>号楼 </w:t>
      </w:r>
      <w:r>
        <w:rPr>
          <w:rFonts w:ascii="Calibri" w:eastAsia="Calibri"/>
        </w:rPr>
        <w:t>1806-1808 </w:t>
      </w:r>
      <w:r>
        <w:rPr/>
        <w:t>单元</w:t>
      </w:r>
    </w:p>
    <w:p>
      <w:pPr>
        <w:pStyle w:val="BodyText"/>
        <w:spacing w:before="7"/>
        <w:rPr>
          <w:sz w:val="15"/>
        </w:rPr>
      </w:pPr>
    </w:p>
    <w:p>
      <w:pPr>
        <w:pStyle w:val="BodyText"/>
        <w:spacing w:line="417" w:lineRule="auto"/>
        <w:ind w:left="960" w:right="1745"/>
      </w:pPr>
      <w:r>
        <w:rPr>
          <w:spacing w:val="-7"/>
        </w:rPr>
        <w:t>办公地址：深圳市福田区金田路 </w:t>
      </w:r>
      <w:r>
        <w:rPr>
          <w:rFonts w:ascii="Calibri" w:eastAsia="Calibri"/>
        </w:rPr>
        <w:t>2028 </w:t>
      </w:r>
      <w:r>
        <w:rPr>
          <w:spacing w:val="-9"/>
        </w:rPr>
        <w:t>号卓越世纪中心 </w:t>
      </w:r>
      <w:r>
        <w:rPr>
          <w:rFonts w:ascii="Calibri" w:eastAsia="Calibri"/>
        </w:rPr>
        <w:t>1 </w:t>
      </w:r>
      <w:r>
        <w:rPr>
          <w:spacing w:val="-18"/>
        </w:rPr>
        <w:t>号楼 </w:t>
      </w:r>
      <w:r>
        <w:rPr>
          <w:rFonts w:ascii="Calibri" w:eastAsia="Calibri"/>
        </w:rPr>
        <w:t>1806-1808 </w:t>
      </w:r>
      <w:r>
        <w:rPr/>
        <w:t>单元</w:t>
      </w:r>
      <w:r>
        <w:rPr>
          <w:spacing w:val="-3"/>
        </w:rPr>
        <w:t>法定代表人：曾革</w:t>
      </w:r>
    </w:p>
    <w:p>
      <w:pPr>
        <w:pStyle w:val="BodyText"/>
        <w:spacing w:line="417" w:lineRule="auto"/>
        <w:ind w:left="960" w:right="6790"/>
        <w:rPr>
          <w:rFonts w:ascii="Calibri" w:eastAsia="Calibri"/>
        </w:rPr>
      </w:pPr>
      <w:r>
        <w:rPr/>
        <w:t>电话：</w:t>
      </w:r>
      <w:r>
        <w:rPr>
          <w:rFonts w:ascii="Calibri" w:eastAsia="Calibri"/>
        </w:rPr>
        <w:t>0755-33376853 </w:t>
      </w:r>
      <w:r>
        <w:rPr/>
        <w:t>传真：</w:t>
      </w:r>
      <w:r>
        <w:rPr>
          <w:rFonts w:ascii="Calibri" w:eastAsia="Calibri"/>
        </w:rPr>
        <w:t>0755-33065516</w:t>
      </w:r>
    </w:p>
    <w:p>
      <w:pPr>
        <w:pStyle w:val="BodyText"/>
        <w:spacing w:line="269" w:lineRule="exact"/>
        <w:ind w:left="960"/>
      </w:pPr>
      <w:r>
        <w:rPr/>
        <w:t>联系人：鄢萌莎</w:t>
      </w:r>
    </w:p>
    <w:p>
      <w:pPr>
        <w:pStyle w:val="BodyText"/>
        <w:spacing w:before="6"/>
        <w:rPr>
          <w:sz w:val="15"/>
        </w:rPr>
      </w:pPr>
    </w:p>
    <w:p>
      <w:pPr>
        <w:pStyle w:val="BodyText"/>
        <w:spacing w:line="417" w:lineRule="auto" w:before="1"/>
        <w:ind w:left="960" w:right="6098"/>
        <w:rPr>
          <w:rFonts w:ascii="Calibri" w:eastAsia="Calibri"/>
        </w:rPr>
      </w:pPr>
      <w:r>
        <w:rPr/>
        <w:t>网址：</w:t>
      </w:r>
      <w:hyperlink r:id="rId64">
        <w:r>
          <w:rPr>
            <w:rFonts w:ascii="Calibri" w:eastAsia="Calibri"/>
          </w:rPr>
          <w:t>www.tenyuanfund.com </w:t>
        </w:r>
      </w:hyperlink>
      <w:r>
        <w:rPr/>
        <w:t>客户服务电话：</w:t>
      </w:r>
      <w:r>
        <w:rPr>
          <w:rFonts w:ascii="Calibri" w:eastAsia="Calibri"/>
        </w:rPr>
        <w:t>400-687-7899</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2"/>
        </w:numPr>
        <w:tabs>
          <w:tab w:pos="1598" w:val="left" w:leader="none"/>
        </w:tabs>
        <w:spacing w:line="240" w:lineRule="auto" w:before="72" w:after="0"/>
        <w:ind w:left="1597" w:right="0" w:hanging="638"/>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6"/>
        <w:rPr>
          <w:sz w:val="15"/>
        </w:rPr>
      </w:pPr>
    </w:p>
    <w:p>
      <w:pPr>
        <w:pStyle w:val="BodyText"/>
        <w:ind w:left="960"/>
      </w:pPr>
      <w:r>
        <w:rPr/>
        <w:t>住所：上海市虹口区同丰路 </w:t>
      </w:r>
      <w:r>
        <w:rPr>
          <w:rFonts w:ascii="Calibri" w:eastAsia="Calibri"/>
        </w:rPr>
        <w:t>667 </w:t>
      </w:r>
      <w:r>
        <w:rPr/>
        <w:t>弄 </w:t>
      </w:r>
      <w:r>
        <w:rPr>
          <w:rFonts w:ascii="Calibri" w:eastAsia="Calibri"/>
        </w:rPr>
        <w:t>107 </w:t>
      </w:r>
      <w:r>
        <w:rPr/>
        <w:t>号 </w:t>
      </w:r>
      <w:r>
        <w:rPr>
          <w:rFonts w:ascii="Calibri" w:eastAsia="Calibri"/>
        </w:rPr>
        <w:t>201 </w:t>
      </w:r>
      <w:r>
        <w:rPr/>
        <w:t>室</w:t>
      </w:r>
    </w:p>
    <w:p>
      <w:pPr>
        <w:pStyle w:val="BodyText"/>
        <w:spacing w:before="7"/>
        <w:rPr>
          <w:sz w:val="15"/>
        </w:rPr>
      </w:pPr>
    </w:p>
    <w:p>
      <w:pPr>
        <w:pStyle w:val="BodyText"/>
        <w:spacing w:line="417" w:lineRule="auto"/>
        <w:ind w:left="960" w:right="3399"/>
      </w:pPr>
      <w:r>
        <w:rPr>
          <w:spacing w:val="-6"/>
        </w:rPr>
        <w:t>办公地址：上海市浦东新区金沪路 </w:t>
      </w:r>
      <w:r>
        <w:rPr>
          <w:rFonts w:ascii="Calibri" w:eastAsia="Calibri"/>
        </w:rPr>
        <w:t>55 </w:t>
      </w:r>
      <w:r>
        <w:rPr>
          <w:spacing w:val="-9"/>
        </w:rPr>
        <w:t>号通华科技大厦 </w:t>
      </w:r>
      <w:r>
        <w:rPr>
          <w:rFonts w:ascii="Calibri" w:eastAsia="Calibri"/>
        </w:rPr>
        <w:t>2 </w:t>
      </w:r>
      <w:r>
        <w:rPr/>
        <w:t>层</w:t>
      </w:r>
      <w:r>
        <w:rPr>
          <w:spacing w:val="-3"/>
        </w:rPr>
        <w:t>法定代表人：沈丹义</w:t>
      </w:r>
    </w:p>
    <w:p>
      <w:pPr>
        <w:pStyle w:val="BodyText"/>
        <w:spacing w:line="417" w:lineRule="auto"/>
        <w:ind w:left="960" w:right="6898"/>
        <w:rPr>
          <w:rFonts w:ascii="Calibri" w:eastAsia="Calibri"/>
        </w:rPr>
      </w:pPr>
      <w:r>
        <w:rPr/>
        <w:t>电话：</w:t>
      </w:r>
      <w:r>
        <w:rPr>
          <w:rFonts w:ascii="Calibri" w:eastAsia="Calibri"/>
        </w:rPr>
        <w:t>021-60818757 </w:t>
      </w:r>
      <w:r>
        <w:rPr/>
        <w:t>传真：</w:t>
      </w:r>
      <w:r>
        <w:rPr>
          <w:rFonts w:ascii="Calibri" w:eastAsia="Calibri"/>
        </w:rPr>
        <w:t>021-60810695</w:t>
      </w:r>
    </w:p>
    <w:p>
      <w:pPr>
        <w:pStyle w:val="BodyText"/>
        <w:spacing w:line="269" w:lineRule="exact"/>
        <w:ind w:left="960"/>
      </w:pPr>
      <w:r>
        <w:rPr/>
        <w:t>联系人：周晶</w:t>
      </w:r>
    </w:p>
    <w:p>
      <w:pPr>
        <w:pStyle w:val="BodyText"/>
        <w:spacing w:before="7"/>
        <w:rPr>
          <w:sz w:val="15"/>
        </w:rPr>
      </w:pPr>
    </w:p>
    <w:p>
      <w:pPr>
        <w:pStyle w:val="BodyText"/>
        <w:spacing w:line="417" w:lineRule="auto"/>
        <w:ind w:left="960" w:right="6098"/>
        <w:rPr>
          <w:rFonts w:ascii="Calibri" w:eastAsia="Calibri"/>
        </w:rPr>
      </w:pPr>
      <w:r>
        <w:rPr/>
        <w:t>网址：</w:t>
      </w:r>
      <w:hyperlink r:id="rId65">
        <w:r>
          <w:rPr>
            <w:rFonts w:ascii="Calibri" w:eastAsia="Calibri"/>
          </w:rPr>
          <w:t>www.tonghuafund.com </w:t>
        </w:r>
      </w:hyperlink>
      <w:r>
        <w:rPr/>
        <w:t>客户服务电话：</w:t>
      </w:r>
      <w:r>
        <w:rPr>
          <w:rFonts w:ascii="Calibri" w:eastAsia="Calibri"/>
        </w:rPr>
        <w:t>400-101-9301</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北京恒天明泽基金销售有限公司</w:t>
      </w:r>
    </w:p>
    <w:p>
      <w:pPr>
        <w:pStyle w:val="BodyText"/>
        <w:spacing w:before="7"/>
        <w:rPr>
          <w:sz w:val="15"/>
        </w:rPr>
      </w:pPr>
    </w:p>
    <w:p>
      <w:pPr>
        <w:pStyle w:val="BodyText"/>
        <w:ind w:left="960"/>
      </w:pPr>
      <w:r>
        <w:rPr/>
        <w:t>住所：北京市经济技术开发区宏达北路 </w:t>
      </w:r>
      <w:r>
        <w:rPr>
          <w:rFonts w:ascii="Calibri" w:eastAsia="Calibri"/>
        </w:rPr>
        <w:t>10 </w:t>
      </w:r>
      <w:r>
        <w:rPr/>
        <w:t>号五层 </w:t>
      </w:r>
      <w:r>
        <w:rPr>
          <w:rFonts w:ascii="Calibri" w:eastAsia="Calibri"/>
        </w:rPr>
        <w:t>5122 </w:t>
      </w:r>
      <w:r>
        <w:rPr/>
        <w:t>室</w:t>
      </w:r>
    </w:p>
    <w:p>
      <w:pPr>
        <w:pStyle w:val="BodyText"/>
        <w:spacing w:before="6"/>
        <w:rPr>
          <w:sz w:val="15"/>
        </w:rPr>
      </w:pPr>
    </w:p>
    <w:p>
      <w:pPr>
        <w:pStyle w:val="BodyText"/>
        <w:spacing w:line="417" w:lineRule="auto" w:before="1"/>
        <w:ind w:left="960" w:right="3067"/>
      </w:pPr>
      <w:r>
        <w:rPr>
          <w:spacing w:val="-6"/>
        </w:rPr>
        <w:t>办公地址：北京市朝阳区东三环中路 </w:t>
      </w:r>
      <w:r>
        <w:rPr>
          <w:rFonts w:ascii="Calibri" w:eastAsia="Calibri"/>
        </w:rPr>
        <w:t>20 </w:t>
      </w:r>
      <w:r>
        <w:rPr>
          <w:spacing w:val="-10"/>
        </w:rPr>
        <w:t>号乐成中心 </w:t>
      </w:r>
      <w:r>
        <w:rPr>
          <w:rFonts w:ascii="Calibri" w:eastAsia="Calibri"/>
        </w:rPr>
        <w:t>A </w:t>
      </w:r>
      <w:r>
        <w:rPr>
          <w:spacing w:val="-24"/>
        </w:rPr>
        <w:t>座 </w:t>
      </w:r>
      <w:r>
        <w:rPr>
          <w:rFonts w:ascii="Calibri" w:eastAsia="Calibri"/>
        </w:rPr>
        <w:t>23 </w:t>
      </w:r>
      <w:r>
        <w:rPr/>
        <w:t>层</w:t>
      </w:r>
      <w:r>
        <w:rPr>
          <w:spacing w:val="-3"/>
        </w:rPr>
        <w:t>法定代表人：梁越</w:t>
      </w:r>
    </w:p>
    <w:p>
      <w:pPr>
        <w:pStyle w:val="BodyText"/>
        <w:spacing w:line="417" w:lineRule="auto"/>
        <w:ind w:left="960" w:right="6898"/>
        <w:rPr>
          <w:rFonts w:ascii="Calibri" w:eastAsia="Calibri"/>
        </w:rPr>
      </w:pPr>
      <w:r>
        <w:rPr/>
        <w:t>电话：</w:t>
      </w:r>
      <w:r>
        <w:rPr>
          <w:rFonts w:ascii="Calibri" w:eastAsia="Calibri"/>
        </w:rPr>
        <w:t>13501068175 </w:t>
      </w:r>
      <w:r>
        <w:rPr/>
        <w:t>传真：</w:t>
      </w:r>
      <w:r>
        <w:rPr>
          <w:rFonts w:ascii="Calibri" w:eastAsia="Calibri"/>
        </w:rPr>
        <w:t>010-56810630</w:t>
      </w:r>
    </w:p>
    <w:p>
      <w:pPr>
        <w:pStyle w:val="BodyText"/>
        <w:ind w:left="960"/>
      </w:pPr>
      <w:r>
        <w:rPr/>
        <w:t>联系人：马鹏程</w:t>
      </w:r>
    </w:p>
    <w:p>
      <w:pPr>
        <w:pStyle w:val="BodyText"/>
        <w:spacing w:before="6"/>
        <w:rPr>
          <w:sz w:val="15"/>
        </w:rPr>
      </w:pPr>
    </w:p>
    <w:p>
      <w:pPr>
        <w:pStyle w:val="BodyText"/>
        <w:ind w:left="960"/>
        <w:rPr>
          <w:rFonts w:ascii="Calibri" w:eastAsia="Calibri"/>
        </w:rPr>
      </w:pPr>
      <w:r>
        <w:rPr/>
        <w:t>网址：</w:t>
      </w:r>
      <w:hyperlink r:id="rId66">
        <w:r>
          <w:rPr>
            <w:rFonts w:ascii="Calibri" w:eastAsia="Calibri"/>
          </w:rPr>
          <w:t>www.chtwm.com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400-898-0618</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北京汇成基金销售有限公司</w:t>
      </w:r>
    </w:p>
    <w:p>
      <w:pPr>
        <w:pStyle w:val="BodyText"/>
        <w:spacing w:before="7"/>
        <w:rPr>
          <w:sz w:val="15"/>
        </w:rPr>
      </w:pPr>
    </w:p>
    <w:p>
      <w:pPr>
        <w:pStyle w:val="BodyText"/>
        <w:ind w:left="960"/>
        <w:rPr>
          <w:rFonts w:ascii="Calibri" w:eastAsia="Calibri"/>
        </w:rPr>
      </w:pPr>
      <w:r>
        <w:rPr/>
        <w:t>住所：北京市海淀区中关村大街 </w:t>
      </w:r>
      <w:r>
        <w:rPr>
          <w:rFonts w:ascii="Calibri" w:eastAsia="Calibri"/>
        </w:rPr>
        <w:t>11 </w:t>
      </w:r>
      <w:r>
        <w:rPr/>
        <w:t>号 </w:t>
      </w:r>
      <w:r>
        <w:rPr>
          <w:rFonts w:ascii="Calibri" w:eastAsia="Calibri"/>
        </w:rPr>
        <w:t>11 </w:t>
      </w:r>
      <w:r>
        <w:rPr/>
        <w:t>层 </w:t>
      </w:r>
      <w:r>
        <w:rPr>
          <w:rFonts w:ascii="Calibri" w:eastAsia="Calibri"/>
        </w:rPr>
        <w:t>1108</w:t>
      </w:r>
    </w:p>
    <w:p>
      <w:pPr>
        <w:pStyle w:val="BodyText"/>
        <w:spacing w:before="3"/>
        <w:rPr>
          <w:rFonts w:ascii="Calibri"/>
          <w:sz w:val="16"/>
        </w:rPr>
      </w:pPr>
    </w:p>
    <w:p>
      <w:pPr>
        <w:pStyle w:val="BodyText"/>
        <w:spacing w:before="1"/>
        <w:ind w:left="960"/>
        <w:rPr>
          <w:rFonts w:ascii="Calibri" w:eastAsia="Calibri"/>
        </w:rPr>
      </w:pPr>
      <w:r>
        <w:rPr/>
        <w:t>办公地址：北京市海淀区中关村大街 </w:t>
      </w:r>
      <w:r>
        <w:rPr>
          <w:rFonts w:ascii="Calibri" w:eastAsia="Calibri"/>
        </w:rPr>
        <w:t>11 </w:t>
      </w:r>
      <w:r>
        <w:rPr/>
        <w:t>号 </w:t>
      </w:r>
      <w:r>
        <w:rPr>
          <w:rFonts w:ascii="Calibri" w:eastAsia="Calibri"/>
        </w:rPr>
        <w:t>11 </w:t>
      </w:r>
      <w:r>
        <w:rPr/>
        <w:t>层 </w:t>
      </w:r>
      <w:r>
        <w:rPr>
          <w:rFonts w:ascii="Calibri" w:eastAsia="Calibri"/>
        </w:rPr>
        <w:t>1108</w:t>
      </w:r>
    </w:p>
    <w:p>
      <w:pPr>
        <w:pStyle w:val="BodyText"/>
        <w:spacing w:before="4"/>
        <w:rPr>
          <w:rFonts w:ascii="Calibri"/>
          <w:sz w:val="16"/>
        </w:rPr>
      </w:pPr>
    </w:p>
    <w:p>
      <w:pPr>
        <w:pStyle w:val="BodyText"/>
        <w:spacing w:line="417" w:lineRule="auto"/>
        <w:ind w:left="960" w:right="6870"/>
        <w:jc w:val="both"/>
        <w:rPr>
          <w:rFonts w:ascii="Calibri" w:eastAsia="Calibri"/>
        </w:rPr>
      </w:pPr>
      <w:r>
        <w:rPr/>
        <w:t>法定代表人：王伟刚电话：</w:t>
      </w:r>
      <w:r>
        <w:rPr>
          <w:rFonts w:ascii="Calibri" w:eastAsia="Calibri"/>
        </w:rPr>
        <w:t>010-56282140 </w:t>
      </w:r>
      <w:r>
        <w:rPr/>
        <w:t>传真：</w:t>
      </w:r>
      <w:r>
        <w:rPr>
          <w:rFonts w:ascii="Calibri" w:eastAsia="Calibri"/>
        </w:rPr>
        <w:t>010-62680827</w:t>
      </w:r>
    </w:p>
    <w:p>
      <w:pPr>
        <w:pStyle w:val="BodyText"/>
        <w:spacing w:line="269" w:lineRule="exact"/>
        <w:ind w:left="960"/>
      </w:pPr>
      <w:r>
        <w:rPr/>
        <w:t>联系人：丁向坤</w:t>
      </w:r>
    </w:p>
    <w:p>
      <w:pPr>
        <w:pStyle w:val="BodyText"/>
        <w:spacing w:before="6"/>
        <w:rPr>
          <w:sz w:val="15"/>
        </w:rPr>
      </w:pPr>
    </w:p>
    <w:p>
      <w:pPr>
        <w:pStyle w:val="BodyText"/>
        <w:spacing w:before="1"/>
        <w:ind w:left="960"/>
        <w:rPr>
          <w:rFonts w:ascii="Calibri" w:eastAsia="Calibri"/>
        </w:rPr>
      </w:pPr>
      <w:r>
        <w:rPr/>
        <w:t>网址： </w:t>
      </w:r>
      <w:hyperlink r:id="rId67">
        <w:r>
          <w:rPr>
            <w:rFonts w:ascii="Calibri" w:eastAsia="Calibri"/>
          </w:rPr>
          <w:t>www.hcjijin.com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400-619-9059</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北京晟视天下投资管理有限公司</w:t>
      </w:r>
    </w:p>
    <w:p>
      <w:pPr>
        <w:pStyle w:val="BodyText"/>
        <w:spacing w:before="7"/>
        <w:rPr>
          <w:sz w:val="15"/>
        </w:rPr>
      </w:pPr>
    </w:p>
    <w:p>
      <w:pPr>
        <w:pStyle w:val="BodyText"/>
        <w:ind w:left="960"/>
      </w:pPr>
      <w:r>
        <w:rPr/>
        <w:t>住所：北京市怀柔区九渡河镇黄坎村 </w:t>
      </w:r>
      <w:r>
        <w:rPr>
          <w:rFonts w:ascii="Calibri" w:eastAsia="Calibri"/>
        </w:rPr>
        <w:t>735 </w:t>
      </w:r>
      <w:r>
        <w:rPr/>
        <w:t>号 </w:t>
      </w:r>
      <w:r>
        <w:rPr>
          <w:rFonts w:ascii="Calibri" w:eastAsia="Calibri"/>
        </w:rPr>
        <w:t>03 </w:t>
      </w:r>
      <w:r>
        <w:rPr/>
        <w:t>室</w:t>
      </w:r>
    </w:p>
    <w:p>
      <w:pPr>
        <w:pStyle w:val="BodyText"/>
        <w:spacing w:before="7"/>
        <w:rPr>
          <w:sz w:val="15"/>
        </w:rPr>
      </w:pPr>
    </w:p>
    <w:p>
      <w:pPr>
        <w:pStyle w:val="BodyText"/>
        <w:ind w:left="960"/>
      </w:pPr>
      <w:r>
        <w:rPr/>
        <w:t>办公地址：北京市朝阳区朝外大街甲 </w:t>
      </w:r>
      <w:r>
        <w:rPr>
          <w:rFonts w:ascii="Calibri" w:eastAsia="Calibri"/>
        </w:rPr>
        <w:t>6 </w:t>
      </w:r>
      <w:r>
        <w:rPr/>
        <w:t>号万通中心</w:t>
      </w:r>
      <w:r>
        <w:rPr>
          <w:rFonts w:ascii="Calibri" w:eastAsia="Calibri"/>
        </w:rPr>
        <w:t>D </w:t>
      </w:r>
      <w:r>
        <w:rPr/>
        <w:t>座 </w:t>
      </w:r>
      <w:r>
        <w:rPr>
          <w:rFonts w:ascii="Calibri" w:eastAsia="Calibri"/>
        </w:rPr>
        <w:t>21 </w:t>
      </w:r>
      <w:r>
        <w:rPr/>
        <w:t>层</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837"/>
        <w:rPr>
          <w:rFonts w:ascii="Calibri" w:eastAsia="Calibri"/>
        </w:rPr>
      </w:pPr>
      <w:r>
        <w:rPr/>
        <w:t>法定代表人：蒋煜电话：</w:t>
      </w:r>
      <w:r>
        <w:rPr>
          <w:rFonts w:ascii="Calibri" w:eastAsia="Calibri"/>
        </w:rPr>
        <w:t>010-58170806 </w:t>
      </w:r>
      <w:r>
        <w:rPr/>
        <w:t>传真：</w:t>
      </w:r>
      <w:r>
        <w:rPr>
          <w:rFonts w:ascii="Calibri" w:eastAsia="Calibri"/>
        </w:rPr>
        <w:t>010-58170910</w:t>
      </w:r>
    </w:p>
    <w:p>
      <w:pPr>
        <w:pStyle w:val="BodyText"/>
        <w:spacing w:line="269" w:lineRule="exact"/>
        <w:ind w:left="960"/>
      </w:pPr>
      <w:r>
        <w:rPr/>
        <w:t>联系人：蒋煜</w:t>
      </w:r>
    </w:p>
    <w:p>
      <w:pPr>
        <w:pStyle w:val="BodyText"/>
        <w:spacing w:before="7"/>
        <w:rPr>
          <w:sz w:val="15"/>
        </w:rPr>
      </w:pPr>
    </w:p>
    <w:p>
      <w:pPr>
        <w:pStyle w:val="BodyText"/>
        <w:spacing w:line="417" w:lineRule="auto"/>
        <w:ind w:left="960" w:right="5790"/>
        <w:rPr>
          <w:rFonts w:ascii="Calibri" w:eastAsia="Calibri"/>
        </w:rPr>
      </w:pPr>
      <w:r>
        <w:rPr/>
        <w:t>网址：</w:t>
      </w:r>
      <w:hyperlink r:id="rId68">
        <w:r>
          <w:rPr>
            <w:rFonts w:ascii="Calibri" w:eastAsia="Calibri"/>
          </w:rPr>
          <w:t>www.shengshiview.com.cn </w:t>
        </w:r>
      </w:hyperlink>
      <w:r>
        <w:rPr/>
        <w:t>客户服务电话：</w:t>
      </w:r>
      <w:r>
        <w:rPr>
          <w:rFonts w:ascii="Calibri" w:eastAsia="Calibri"/>
        </w:rPr>
        <w:t>010-58170761</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北京钱景基金销售有限公司</w:t>
      </w:r>
    </w:p>
    <w:p>
      <w:pPr>
        <w:pStyle w:val="BodyText"/>
        <w:spacing w:before="7"/>
        <w:rPr>
          <w:sz w:val="15"/>
        </w:rPr>
      </w:pPr>
    </w:p>
    <w:p>
      <w:pPr>
        <w:pStyle w:val="BodyText"/>
        <w:ind w:left="960"/>
        <w:rPr>
          <w:rFonts w:ascii="Calibri" w:eastAsia="Calibri"/>
        </w:rPr>
      </w:pPr>
      <w:r>
        <w:rPr>
          <w:spacing w:val="-7"/>
        </w:rPr>
        <w:t>住所：北京市海淀区丹棱街 </w:t>
      </w:r>
      <w:r>
        <w:rPr>
          <w:rFonts w:ascii="Calibri" w:eastAsia="Calibri"/>
        </w:rPr>
        <w:t>6</w:t>
      </w:r>
      <w:r>
        <w:rPr>
          <w:rFonts w:ascii="Calibri" w:eastAsia="Calibri"/>
          <w:spacing w:val="5"/>
        </w:rPr>
        <w:t> </w:t>
      </w:r>
      <w:r>
        <w:rPr>
          <w:spacing w:val="-27"/>
        </w:rPr>
        <w:t>号 </w:t>
      </w:r>
      <w:r>
        <w:rPr>
          <w:rFonts w:ascii="Calibri" w:eastAsia="Calibri"/>
        </w:rPr>
        <w:t>1</w:t>
      </w:r>
      <w:r>
        <w:rPr>
          <w:rFonts w:ascii="Calibri" w:eastAsia="Calibri"/>
          <w:spacing w:val="9"/>
        </w:rPr>
        <w:t> </w:t>
      </w:r>
      <w:r>
        <w:rPr>
          <w:spacing w:val="-27"/>
        </w:rPr>
        <w:t>幢 </w:t>
      </w:r>
      <w:r>
        <w:rPr>
          <w:rFonts w:ascii="Calibri" w:eastAsia="Calibri"/>
        </w:rPr>
        <w:t>9</w:t>
      </w:r>
      <w:r>
        <w:rPr>
          <w:rFonts w:ascii="Calibri" w:eastAsia="Calibri"/>
          <w:spacing w:val="5"/>
        </w:rPr>
        <w:t> </w:t>
      </w:r>
      <w:r>
        <w:rPr>
          <w:spacing w:val="-25"/>
        </w:rPr>
        <w:t>层 </w:t>
      </w:r>
      <w:r>
        <w:rPr>
          <w:rFonts w:ascii="Calibri" w:eastAsia="Calibri"/>
        </w:rPr>
        <w:t>1008-1012</w:t>
      </w:r>
    </w:p>
    <w:p>
      <w:pPr>
        <w:pStyle w:val="BodyText"/>
        <w:spacing w:before="4"/>
        <w:rPr>
          <w:rFonts w:ascii="Calibri"/>
          <w:sz w:val="16"/>
        </w:rPr>
      </w:pPr>
    </w:p>
    <w:p>
      <w:pPr>
        <w:pStyle w:val="BodyText"/>
        <w:ind w:left="960"/>
        <w:rPr>
          <w:rFonts w:ascii="Calibri" w:eastAsia="Calibri"/>
        </w:rPr>
      </w:pPr>
      <w:r>
        <w:rPr/>
        <w:t>办公地址：北京市海淀区丹棱街 </w:t>
      </w:r>
      <w:r>
        <w:rPr>
          <w:rFonts w:ascii="Calibri" w:eastAsia="Calibri"/>
        </w:rPr>
        <w:t>6 </w:t>
      </w:r>
      <w:r>
        <w:rPr/>
        <w:t>号 </w:t>
      </w:r>
      <w:r>
        <w:rPr>
          <w:rFonts w:ascii="Calibri" w:eastAsia="Calibri"/>
        </w:rPr>
        <w:t>1 </w:t>
      </w:r>
      <w:r>
        <w:rPr/>
        <w:t>幢 </w:t>
      </w:r>
      <w:r>
        <w:rPr>
          <w:rFonts w:ascii="Calibri" w:eastAsia="Calibri"/>
        </w:rPr>
        <w:t>9 </w:t>
      </w:r>
      <w:r>
        <w:rPr/>
        <w:t>层 </w:t>
      </w:r>
      <w:r>
        <w:rPr>
          <w:rFonts w:ascii="Calibri" w:eastAsia="Calibri"/>
        </w:rPr>
        <w:t>1008-1012</w:t>
      </w:r>
    </w:p>
    <w:p>
      <w:pPr>
        <w:pStyle w:val="BodyText"/>
        <w:spacing w:before="4"/>
        <w:rPr>
          <w:rFonts w:ascii="Calibri"/>
          <w:sz w:val="16"/>
        </w:rPr>
      </w:pPr>
    </w:p>
    <w:p>
      <w:pPr>
        <w:pStyle w:val="BodyText"/>
        <w:spacing w:line="417" w:lineRule="auto"/>
        <w:ind w:left="960" w:right="6870"/>
        <w:jc w:val="both"/>
        <w:rPr>
          <w:rFonts w:ascii="Calibri" w:eastAsia="Calibri"/>
        </w:rPr>
      </w:pPr>
      <w:r>
        <w:rPr/>
        <w:t>法定代表人：赵荣春电话：</w:t>
      </w:r>
      <w:r>
        <w:rPr>
          <w:rFonts w:ascii="Calibri" w:eastAsia="Calibri"/>
        </w:rPr>
        <w:t>010-57418829 </w:t>
      </w:r>
      <w:r>
        <w:rPr/>
        <w:t>传真：</w:t>
      </w:r>
      <w:r>
        <w:rPr>
          <w:rFonts w:ascii="Calibri" w:eastAsia="Calibri"/>
        </w:rPr>
        <w:t>010-57569671</w:t>
      </w:r>
    </w:p>
    <w:p>
      <w:pPr>
        <w:pStyle w:val="BodyText"/>
        <w:spacing w:line="269" w:lineRule="exact"/>
        <w:ind w:left="960"/>
      </w:pPr>
      <w:r>
        <w:rPr/>
        <w:t>联系人：魏争</w:t>
      </w:r>
    </w:p>
    <w:p>
      <w:pPr>
        <w:pStyle w:val="BodyText"/>
        <w:spacing w:before="6"/>
        <w:rPr>
          <w:sz w:val="15"/>
        </w:rPr>
      </w:pPr>
    </w:p>
    <w:p>
      <w:pPr>
        <w:pStyle w:val="BodyText"/>
        <w:ind w:left="960"/>
        <w:rPr>
          <w:rFonts w:ascii="Calibri" w:eastAsia="Calibri"/>
        </w:rPr>
      </w:pPr>
      <w:r>
        <w:rPr/>
        <w:t>网址：</w:t>
      </w:r>
      <w:hyperlink r:id="rId69">
        <w:r>
          <w:rPr>
            <w:rFonts w:ascii="Calibri" w:eastAsia="Calibri"/>
          </w:rPr>
          <w:t>www.niuji.net</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400-893-6885</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海银基金销售有限公司</w:t>
      </w:r>
    </w:p>
    <w:p>
      <w:pPr>
        <w:pStyle w:val="BodyText"/>
        <w:spacing w:before="7"/>
        <w:rPr>
          <w:sz w:val="15"/>
        </w:rPr>
      </w:pPr>
    </w:p>
    <w:p>
      <w:pPr>
        <w:pStyle w:val="BodyText"/>
        <w:ind w:left="960"/>
      </w:pPr>
      <w:r>
        <w:rPr/>
        <w:t>住所：上海市自由贸易试验区银城中路 </w:t>
      </w:r>
      <w:r>
        <w:rPr>
          <w:rFonts w:ascii="Calibri" w:eastAsia="Calibri"/>
        </w:rPr>
        <w:t>8 </w:t>
      </w:r>
      <w:r>
        <w:rPr/>
        <w:t>号 </w:t>
      </w:r>
      <w:r>
        <w:rPr>
          <w:rFonts w:ascii="Calibri" w:eastAsia="Calibri"/>
        </w:rPr>
        <w:t>4 </w:t>
      </w:r>
      <w:r>
        <w:rPr/>
        <w:t>楼</w:t>
      </w:r>
    </w:p>
    <w:p>
      <w:pPr>
        <w:pStyle w:val="BodyText"/>
        <w:spacing w:before="6"/>
        <w:rPr>
          <w:sz w:val="15"/>
        </w:rPr>
      </w:pPr>
    </w:p>
    <w:p>
      <w:pPr>
        <w:pStyle w:val="BodyText"/>
        <w:spacing w:line="417" w:lineRule="auto" w:before="1"/>
        <w:ind w:left="960" w:right="3927"/>
      </w:pPr>
      <w:r>
        <w:rPr>
          <w:spacing w:val="-6"/>
        </w:rPr>
        <w:t>办公地址：上海市自由贸易试验区银城中路 </w:t>
      </w:r>
      <w:r>
        <w:rPr>
          <w:rFonts w:ascii="Calibri" w:eastAsia="Calibri"/>
        </w:rPr>
        <w:t>8 </w:t>
      </w:r>
      <w:r>
        <w:rPr>
          <w:spacing w:val="-25"/>
        </w:rPr>
        <w:t>号 </w:t>
      </w:r>
      <w:r>
        <w:rPr>
          <w:rFonts w:ascii="Calibri" w:eastAsia="Calibri"/>
        </w:rPr>
        <w:t>4 </w:t>
      </w:r>
      <w:r>
        <w:rPr/>
        <w:t>楼</w:t>
      </w:r>
      <w:r>
        <w:rPr>
          <w:spacing w:val="-3"/>
        </w:rPr>
        <w:t>法定代表人：惠晓川</w:t>
      </w:r>
    </w:p>
    <w:p>
      <w:pPr>
        <w:pStyle w:val="BodyText"/>
        <w:spacing w:line="417" w:lineRule="auto"/>
        <w:ind w:left="960" w:right="6898"/>
        <w:rPr>
          <w:rFonts w:ascii="Calibri" w:eastAsia="Calibri"/>
        </w:rPr>
      </w:pPr>
      <w:r>
        <w:rPr/>
        <w:t>电话：</w:t>
      </w:r>
      <w:r>
        <w:rPr>
          <w:rFonts w:ascii="Calibri" w:eastAsia="Calibri"/>
        </w:rPr>
        <w:t>021-80134149 </w:t>
      </w:r>
      <w:r>
        <w:rPr/>
        <w:t>传真：</w:t>
      </w:r>
      <w:r>
        <w:rPr>
          <w:rFonts w:ascii="Calibri" w:eastAsia="Calibri"/>
        </w:rPr>
        <w:t>021-80133413</w:t>
      </w:r>
    </w:p>
    <w:p>
      <w:pPr>
        <w:pStyle w:val="BodyText"/>
        <w:ind w:left="960"/>
      </w:pPr>
      <w:r>
        <w:rPr/>
        <w:t>联系人：秦琼</w:t>
      </w:r>
    </w:p>
    <w:p>
      <w:pPr>
        <w:pStyle w:val="BodyText"/>
        <w:spacing w:before="6"/>
        <w:rPr>
          <w:sz w:val="15"/>
        </w:rPr>
      </w:pPr>
    </w:p>
    <w:p>
      <w:pPr>
        <w:pStyle w:val="BodyText"/>
        <w:spacing w:line="417" w:lineRule="auto"/>
        <w:ind w:left="960" w:right="6098"/>
        <w:rPr>
          <w:rFonts w:ascii="Calibri" w:eastAsia="Calibri"/>
        </w:rPr>
      </w:pPr>
      <w:r>
        <w:rPr/>
        <w:t>网址：</w:t>
      </w:r>
      <w:hyperlink r:id="rId70">
        <w:r>
          <w:rPr>
            <w:rFonts w:ascii="Calibri" w:eastAsia="Calibri"/>
          </w:rPr>
          <w:t>www.fundhaiyin.com</w:t>
        </w:r>
      </w:hyperlink>
      <w:r>
        <w:rPr>
          <w:rFonts w:ascii="Calibri" w:eastAsia="Calibri"/>
        </w:rPr>
        <w:t> </w:t>
      </w:r>
      <w:r>
        <w:rPr>
          <w:spacing w:val="-3"/>
        </w:rPr>
        <w:t>客户服务电话：</w:t>
      </w:r>
      <w:r>
        <w:rPr>
          <w:rFonts w:ascii="Calibri" w:eastAsia="Calibri"/>
          <w:spacing w:val="-1"/>
        </w:rPr>
        <w:t>400-808-1016</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天津国美基金销售有限公司</w:t>
      </w:r>
    </w:p>
    <w:p>
      <w:pPr>
        <w:pStyle w:val="BodyText"/>
        <w:spacing w:before="7"/>
        <w:rPr>
          <w:sz w:val="15"/>
        </w:rPr>
      </w:pPr>
    </w:p>
    <w:p>
      <w:pPr>
        <w:pStyle w:val="BodyText"/>
        <w:spacing w:line="417" w:lineRule="auto"/>
        <w:ind w:left="960" w:right="1627"/>
      </w:pPr>
      <w:r>
        <w:rPr>
          <w:spacing w:val="-5"/>
        </w:rPr>
        <w:t>住所：天津经济技术开发区南港工业区综合服务区办公楼 </w:t>
      </w:r>
      <w:r>
        <w:rPr>
          <w:rFonts w:ascii="Calibri" w:eastAsia="Calibri"/>
        </w:rPr>
        <w:t>D </w:t>
      </w:r>
      <w:r>
        <w:rPr>
          <w:spacing w:val="-14"/>
        </w:rPr>
        <w:t>座二层 </w:t>
      </w:r>
      <w:r>
        <w:rPr>
          <w:rFonts w:ascii="Calibri" w:eastAsia="Calibri"/>
        </w:rPr>
        <w:t>202-124 </w:t>
      </w:r>
      <w:r>
        <w:rPr/>
        <w:t>室</w:t>
      </w:r>
      <w:r>
        <w:rPr>
          <w:spacing w:val="-7"/>
        </w:rPr>
        <w:t>办公地址：北京市朝阳区霄云路 </w:t>
      </w:r>
      <w:r>
        <w:rPr>
          <w:rFonts w:ascii="Calibri" w:eastAsia="Calibri"/>
        </w:rPr>
        <w:t>26 </w:t>
      </w:r>
      <w:r>
        <w:rPr>
          <w:spacing w:val="-12"/>
        </w:rPr>
        <w:t>号鹏润大厦 </w:t>
      </w:r>
      <w:r>
        <w:rPr>
          <w:rFonts w:ascii="Calibri" w:eastAsia="Calibri"/>
        </w:rPr>
        <w:t>B </w:t>
      </w:r>
      <w:r>
        <w:rPr>
          <w:spacing w:val="-27"/>
        </w:rPr>
        <w:t>座 </w:t>
      </w:r>
      <w:r>
        <w:rPr>
          <w:rFonts w:ascii="Calibri" w:eastAsia="Calibri"/>
        </w:rPr>
        <w:t>9 </w:t>
      </w:r>
      <w:r>
        <w:rPr/>
        <w:t>层</w:t>
      </w:r>
    </w:p>
    <w:p>
      <w:pPr>
        <w:pStyle w:val="BodyText"/>
        <w:spacing w:line="417" w:lineRule="auto"/>
        <w:ind w:left="960" w:right="6870"/>
        <w:jc w:val="both"/>
        <w:rPr>
          <w:rFonts w:ascii="Calibri" w:eastAsia="Calibri"/>
        </w:rPr>
      </w:pPr>
      <w:r>
        <w:rPr/>
        <w:t>法定代表人：丁东华电话：</w:t>
      </w:r>
      <w:r>
        <w:rPr>
          <w:rFonts w:ascii="Calibri" w:eastAsia="Calibri"/>
        </w:rPr>
        <w:t>010-59287984 </w:t>
      </w:r>
      <w:r>
        <w:rPr/>
        <w:t>传真：</w:t>
      </w:r>
      <w:r>
        <w:rPr>
          <w:rFonts w:ascii="Calibri" w:eastAsia="Calibri"/>
        </w:rPr>
        <w:t>010-59287825</w:t>
      </w:r>
    </w:p>
    <w:p>
      <w:pPr>
        <w:spacing w:after="0" w:line="417" w:lineRule="auto"/>
        <w:jc w:val="both"/>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联系人：郭宝亮</w:t>
      </w:r>
    </w:p>
    <w:p>
      <w:pPr>
        <w:pStyle w:val="BodyText"/>
        <w:spacing w:before="6"/>
        <w:rPr>
          <w:sz w:val="15"/>
        </w:rPr>
      </w:pPr>
    </w:p>
    <w:p>
      <w:pPr>
        <w:pStyle w:val="BodyText"/>
        <w:spacing w:line="417" w:lineRule="auto"/>
        <w:ind w:left="960" w:right="6098"/>
        <w:rPr>
          <w:rFonts w:ascii="Calibri" w:eastAsia="Calibri"/>
        </w:rPr>
      </w:pPr>
      <w:r>
        <w:rPr>
          <w:spacing w:val="-1"/>
        </w:rPr>
        <w:t>网址：</w:t>
      </w:r>
      <w:hyperlink r:id="rId71">
        <w:r>
          <w:rPr>
            <w:rFonts w:ascii="Calibri" w:eastAsia="Calibri"/>
            <w:spacing w:val="-3"/>
          </w:rPr>
          <w:t>www.gomefund.com</w:t>
        </w:r>
      </w:hyperlink>
      <w:r>
        <w:rPr>
          <w:rFonts w:ascii="Calibri" w:eastAsia="Calibri"/>
          <w:spacing w:val="-3"/>
        </w:rPr>
        <w:t>  </w:t>
      </w:r>
      <w:r>
        <w:rPr>
          <w:spacing w:val="-3"/>
        </w:rPr>
        <w:t>客户服务电话：</w:t>
      </w:r>
      <w:r>
        <w:rPr>
          <w:rFonts w:ascii="Calibri" w:eastAsia="Calibri"/>
          <w:spacing w:val="-1"/>
        </w:rPr>
        <w:t>400-111-0889</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上海大智慧基金销售有限公司</w:t>
      </w:r>
    </w:p>
    <w:p>
      <w:pPr>
        <w:pStyle w:val="BodyText"/>
        <w:spacing w:before="7"/>
        <w:rPr>
          <w:sz w:val="15"/>
        </w:rPr>
      </w:pPr>
    </w:p>
    <w:p>
      <w:pPr>
        <w:pStyle w:val="BodyText"/>
        <w:ind w:left="960"/>
      </w:pPr>
      <w:r>
        <w:rPr/>
        <w:t>住所：中国（上海）自由贸易试验区杨高南路 </w:t>
      </w:r>
      <w:r>
        <w:rPr>
          <w:rFonts w:ascii="Calibri" w:eastAsia="Calibri"/>
        </w:rPr>
        <w:t>428 </w:t>
      </w:r>
      <w:r>
        <w:rPr/>
        <w:t>号 </w:t>
      </w:r>
      <w:r>
        <w:rPr>
          <w:rFonts w:ascii="Calibri" w:eastAsia="Calibri"/>
        </w:rPr>
        <w:t>1 </w:t>
      </w:r>
      <w:r>
        <w:rPr/>
        <w:t>号楼 </w:t>
      </w:r>
      <w:r>
        <w:rPr>
          <w:rFonts w:ascii="Calibri" w:eastAsia="Calibri"/>
        </w:rPr>
        <w:t>1102 </w:t>
      </w:r>
      <w:r>
        <w:rPr/>
        <w:t>单元</w:t>
      </w:r>
    </w:p>
    <w:p>
      <w:pPr>
        <w:pStyle w:val="BodyText"/>
        <w:spacing w:before="7"/>
        <w:rPr>
          <w:sz w:val="15"/>
        </w:rPr>
      </w:pPr>
    </w:p>
    <w:p>
      <w:pPr>
        <w:pStyle w:val="BodyText"/>
        <w:spacing w:line="417" w:lineRule="auto"/>
        <w:ind w:left="960" w:right="1923"/>
      </w:pPr>
      <w:r>
        <w:rPr>
          <w:spacing w:val="-3"/>
        </w:rPr>
        <w:t>办公地址：中国</w:t>
      </w:r>
      <w:r>
        <w:rPr/>
        <w:t>（</w:t>
      </w:r>
      <w:r>
        <w:rPr>
          <w:spacing w:val="-2"/>
        </w:rPr>
        <w:t>上海</w:t>
      </w:r>
      <w:r>
        <w:rPr>
          <w:spacing w:val="-3"/>
        </w:rPr>
        <w:t>）</w:t>
      </w:r>
      <w:r>
        <w:rPr>
          <w:spacing w:val="-7"/>
        </w:rPr>
        <w:t>自由贸易试验区杨高南路 </w:t>
      </w:r>
      <w:r>
        <w:rPr>
          <w:rFonts w:ascii="Calibri" w:eastAsia="Calibri"/>
        </w:rPr>
        <w:t>428 </w:t>
      </w:r>
      <w:r>
        <w:rPr>
          <w:spacing w:val="-24"/>
        </w:rPr>
        <w:t>号 </w:t>
      </w:r>
      <w:r>
        <w:rPr>
          <w:rFonts w:ascii="Calibri" w:eastAsia="Calibri"/>
        </w:rPr>
        <w:t>1 </w:t>
      </w:r>
      <w:r>
        <w:rPr>
          <w:spacing w:val="-18"/>
        </w:rPr>
        <w:t>号楼 </w:t>
      </w:r>
      <w:r>
        <w:rPr>
          <w:rFonts w:ascii="Calibri" w:eastAsia="Calibri"/>
        </w:rPr>
        <w:t>1102 </w:t>
      </w:r>
      <w:r>
        <w:rPr/>
        <w:t>单元</w:t>
      </w:r>
      <w:r>
        <w:rPr>
          <w:spacing w:val="-3"/>
        </w:rPr>
        <w:t>法定代表人：申健</w:t>
      </w:r>
    </w:p>
    <w:p>
      <w:pPr>
        <w:pStyle w:val="BodyText"/>
        <w:spacing w:line="417" w:lineRule="auto"/>
        <w:ind w:left="960" w:right="6898"/>
        <w:rPr>
          <w:rFonts w:ascii="Calibri" w:eastAsia="Calibri"/>
        </w:rPr>
      </w:pPr>
      <w:r>
        <w:rPr/>
        <w:t>电话：</w:t>
      </w:r>
      <w:r>
        <w:rPr>
          <w:rFonts w:ascii="Calibri" w:eastAsia="Calibri"/>
        </w:rPr>
        <w:t>18017373527 </w:t>
      </w:r>
      <w:r>
        <w:rPr/>
        <w:t>传真：</w:t>
      </w:r>
      <w:r>
        <w:rPr>
          <w:rFonts w:ascii="Calibri" w:eastAsia="Calibri"/>
        </w:rPr>
        <w:t>021-20219923</w:t>
      </w:r>
    </w:p>
    <w:p>
      <w:pPr>
        <w:pStyle w:val="BodyText"/>
        <w:spacing w:line="269" w:lineRule="exact"/>
        <w:ind w:left="960"/>
      </w:pPr>
      <w:r>
        <w:rPr/>
        <w:t>联系人：张蜓</w:t>
      </w:r>
    </w:p>
    <w:p>
      <w:pPr>
        <w:pStyle w:val="BodyText"/>
        <w:spacing w:before="7"/>
        <w:rPr>
          <w:sz w:val="15"/>
        </w:rPr>
      </w:pPr>
    </w:p>
    <w:p>
      <w:pPr>
        <w:pStyle w:val="BodyText"/>
        <w:spacing w:line="417" w:lineRule="auto"/>
        <w:ind w:left="960" w:right="5943"/>
        <w:rPr>
          <w:rFonts w:ascii="Calibri" w:eastAsia="Calibri"/>
        </w:rPr>
      </w:pPr>
      <w:r>
        <w:rPr/>
        <w:t>网址：</w:t>
      </w:r>
      <w:r>
        <w:rPr>
          <w:rFonts w:ascii="Calibri" w:eastAsia="Calibri"/>
        </w:rPr>
        <w:t>https:</w:t>
      </w:r>
      <w:hyperlink r:id="rId72">
        <w:r>
          <w:rPr>
            <w:rFonts w:ascii="Calibri" w:eastAsia="Calibri"/>
          </w:rPr>
          <w:t>//www</w:t>
        </w:r>
      </w:hyperlink>
      <w:r>
        <w:rPr>
          <w:rFonts w:ascii="Calibri" w:eastAsia="Calibri"/>
        </w:rPr>
        <w:t>.w</w:t>
      </w:r>
      <w:hyperlink r:id="rId72">
        <w:r>
          <w:rPr>
            <w:rFonts w:ascii="Calibri" w:eastAsia="Calibri"/>
          </w:rPr>
          <w:t>g.com.cn/ </w:t>
        </w:r>
      </w:hyperlink>
      <w:r>
        <w:rPr/>
        <w:t>客户服务电话：</w:t>
      </w:r>
      <w:r>
        <w:rPr>
          <w:rFonts w:ascii="Calibri" w:eastAsia="Calibri"/>
        </w:rPr>
        <w:t>021-20292031</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北京新浪仓石基金销售有限公司</w:t>
      </w:r>
    </w:p>
    <w:p>
      <w:pPr>
        <w:pStyle w:val="BodyText"/>
        <w:spacing w:before="6"/>
        <w:rPr>
          <w:sz w:val="15"/>
        </w:rPr>
      </w:pPr>
    </w:p>
    <w:p>
      <w:pPr>
        <w:pStyle w:val="BodyText"/>
        <w:spacing w:line="417" w:lineRule="auto" w:before="1"/>
        <w:ind w:left="540" w:right="876" w:firstLine="419"/>
      </w:pPr>
      <w:r>
        <w:rPr/>
        <w:t>住所：北京市海淀区东北旺西路中关村软件园二期（西扩）</w:t>
      </w:r>
      <w:r>
        <w:rPr>
          <w:rFonts w:ascii="Calibri" w:eastAsia="Calibri"/>
        </w:rPr>
        <w:t>N-1</w:t>
      </w:r>
      <w:r>
        <w:rPr/>
        <w:t>、</w:t>
      </w:r>
      <w:r>
        <w:rPr>
          <w:rFonts w:ascii="Calibri" w:eastAsia="Calibri"/>
        </w:rPr>
        <w:t>N-2 </w:t>
      </w:r>
      <w:r>
        <w:rPr/>
        <w:t>地块新浪总部科研楼 </w:t>
      </w:r>
      <w:r>
        <w:rPr>
          <w:rFonts w:ascii="Calibri" w:eastAsia="Calibri"/>
        </w:rPr>
        <w:t>5 </w:t>
      </w:r>
      <w:r>
        <w:rPr/>
        <w:t>层 </w:t>
      </w:r>
      <w:r>
        <w:rPr>
          <w:rFonts w:ascii="Calibri" w:eastAsia="Calibri"/>
        </w:rPr>
        <w:t>518 </w:t>
      </w:r>
      <w:r>
        <w:rPr/>
        <w:t>室</w:t>
      </w:r>
    </w:p>
    <w:p>
      <w:pPr>
        <w:pStyle w:val="BodyText"/>
        <w:spacing w:line="417" w:lineRule="auto"/>
        <w:ind w:left="960" w:right="2289"/>
      </w:pPr>
      <w:r>
        <w:rPr/>
        <w:t>办公地址：北京市海淀区西北旺东路 </w:t>
      </w:r>
      <w:r>
        <w:rPr>
          <w:rFonts w:ascii="Calibri" w:eastAsia="Calibri"/>
        </w:rPr>
        <w:t>10 </w:t>
      </w:r>
      <w:r>
        <w:rPr/>
        <w:t>号院东区 </w:t>
      </w:r>
      <w:r>
        <w:rPr>
          <w:rFonts w:ascii="Calibri" w:eastAsia="Calibri"/>
        </w:rPr>
        <w:t>3 </w:t>
      </w:r>
      <w:r>
        <w:rPr/>
        <w:t>号楼为明大厦</w:t>
      </w:r>
      <w:r>
        <w:rPr>
          <w:rFonts w:ascii="Calibri" w:eastAsia="Calibri"/>
        </w:rPr>
        <w:t>C </w:t>
      </w:r>
      <w:r>
        <w:rPr/>
        <w:t>座法定代表人：赵芯蕊</w:t>
      </w:r>
    </w:p>
    <w:p>
      <w:pPr>
        <w:pStyle w:val="BodyText"/>
        <w:spacing w:line="417" w:lineRule="auto"/>
        <w:ind w:left="960" w:right="6898"/>
        <w:rPr>
          <w:rFonts w:ascii="Calibri" w:eastAsia="Calibri"/>
        </w:rPr>
      </w:pPr>
      <w:r>
        <w:rPr/>
        <w:t>电话：</w:t>
      </w:r>
      <w:r>
        <w:rPr>
          <w:rFonts w:ascii="Calibri" w:eastAsia="Calibri"/>
        </w:rPr>
        <w:t>010-62625768 </w:t>
      </w:r>
      <w:r>
        <w:rPr/>
        <w:t>传真：</w:t>
      </w:r>
      <w:r>
        <w:rPr>
          <w:rFonts w:ascii="Calibri" w:eastAsia="Calibri"/>
        </w:rPr>
        <w:t>010-62676582</w:t>
      </w:r>
    </w:p>
    <w:p>
      <w:pPr>
        <w:pStyle w:val="BodyText"/>
        <w:spacing w:line="269" w:lineRule="exact"/>
        <w:ind w:left="960"/>
      </w:pPr>
      <w:r>
        <w:rPr/>
        <w:t>联系人：赵芯蕊</w:t>
      </w:r>
    </w:p>
    <w:p>
      <w:pPr>
        <w:pStyle w:val="BodyText"/>
        <w:spacing w:before="6"/>
        <w:rPr>
          <w:sz w:val="15"/>
        </w:rPr>
      </w:pPr>
    </w:p>
    <w:p>
      <w:pPr>
        <w:pStyle w:val="BodyText"/>
        <w:ind w:left="960"/>
        <w:rPr>
          <w:rFonts w:ascii="Calibri" w:eastAsia="Calibri"/>
        </w:rPr>
      </w:pPr>
      <w:r>
        <w:rPr/>
        <w:t>网址：</w:t>
      </w:r>
      <w:hyperlink r:id="rId73">
        <w:r>
          <w:rPr>
            <w:rFonts w:ascii="Calibri" w:eastAsia="Calibri"/>
          </w:rPr>
          <w:t>www.xincai.com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010-62675369</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北京辉腾汇富基金销售有限公司</w:t>
      </w:r>
    </w:p>
    <w:p>
      <w:pPr>
        <w:pStyle w:val="BodyText"/>
        <w:spacing w:before="6"/>
        <w:rPr>
          <w:sz w:val="15"/>
        </w:rPr>
      </w:pPr>
    </w:p>
    <w:p>
      <w:pPr>
        <w:pStyle w:val="BodyText"/>
        <w:spacing w:before="1"/>
        <w:ind w:left="960"/>
        <w:rPr>
          <w:rFonts w:ascii="Calibri" w:eastAsia="Calibri"/>
        </w:rPr>
      </w:pPr>
      <w:r>
        <w:rPr/>
        <w:t>住所：北京市东城区朝阳门北大街 </w:t>
      </w:r>
      <w:r>
        <w:rPr>
          <w:rFonts w:ascii="Calibri" w:eastAsia="Calibri"/>
        </w:rPr>
        <w:t>8 </w:t>
      </w:r>
      <w:r>
        <w:rPr/>
        <w:t>号 </w:t>
      </w:r>
      <w:r>
        <w:rPr>
          <w:rFonts w:ascii="Calibri" w:eastAsia="Calibri"/>
        </w:rPr>
        <w:t>2-2-1</w:t>
      </w:r>
    </w:p>
    <w:p>
      <w:pPr>
        <w:pStyle w:val="BodyText"/>
        <w:spacing w:before="3"/>
        <w:rPr>
          <w:rFonts w:ascii="Calibri"/>
          <w:sz w:val="16"/>
        </w:rPr>
      </w:pPr>
    </w:p>
    <w:p>
      <w:pPr>
        <w:pStyle w:val="BodyText"/>
        <w:ind w:left="960"/>
        <w:rPr>
          <w:rFonts w:ascii="Calibri" w:eastAsia="Calibri"/>
        </w:rPr>
      </w:pPr>
      <w:r>
        <w:rPr/>
        <w:t>办公地址：北京市东城区朝阳门北大街 </w:t>
      </w:r>
      <w:r>
        <w:rPr>
          <w:rFonts w:ascii="Calibri" w:eastAsia="Calibri"/>
        </w:rPr>
        <w:t>8 </w:t>
      </w:r>
      <w:r>
        <w:rPr/>
        <w:t>号富华大厦 </w:t>
      </w:r>
      <w:r>
        <w:rPr>
          <w:rFonts w:ascii="Calibri" w:eastAsia="Calibri"/>
        </w:rPr>
        <w:t>F </w:t>
      </w:r>
      <w:r>
        <w:rPr/>
        <w:t>座 </w:t>
      </w:r>
      <w:r>
        <w:rPr>
          <w:rFonts w:ascii="Calibri" w:eastAsia="Calibri"/>
        </w:rPr>
        <w:t>12 </w:t>
      </w:r>
      <w:r>
        <w:rPr/>
        <w:t>层</w:t>
      </w:r>
      <w:r>
        <w:rPr>
          <w:rFonts w:ascii="Calibri" w:eastAsia="Calibri"/>
        </w:rPr>
        <w:t>B</w:t>
      </w:r>
    </w:p>
    <w:p>
      <w:pPr>
        <w:pStyle w:val="BodyText"/>
        <w:spacing w:before="4"/>
        <w:rPr>
          <w:rFonts w:ascii="Calibri"/>
          <w:sz w:val="16"/>
        </w:rPr>
      </w:pPr>
    </w:p>
    <w:p>
      <w:pPr>
        <w:pStyle w:val="BodyText"/>
        <w:spacing w:line="417" w:lineRule="auto"/>
        <w:ind w:left="960" w:right="6837"/>
        <w:rPr>
          <w:rFonts w:ascii="Calibri" w:eastAsia="Calibri"/>
        </w:rPr>
      </w:pPr>
      <w:r>
        <w:rPr/>
        <w:t>法定代表人：许宁电话：</w:t>
      </w:r>
      <w:r>
        <w:rPr>
          <w:rFonts w:ascii="Calibri" w:eastAsia="Calibri"/>
        </w:rPr>
        <w:t>010-85610733 </w:t>
      </w:r>
      <w:r>
        <w:rPr/>
        <w:t>传真：</w:t>
      </w:r>
      <w:r>
        <w:rPr>
          <w:rFonts w:ascii="Calibri" w:eastAsia="Calibri"/>
        </w:rPr>
        <w:t>010-85622351</w:t>
      </w:r>
    </w:p>
    <w:p>
      <w:pPr>
        <w:pStyle w:val="BodyText"/>
        <w:ind w:left="960"/>
      </w:pPr>
      <w:r>
        <w:rPr/>
        <w:t>联系人：彭雪琳</w:t>
      </w:r>
    </w:p>
    <w:p>
      <w:pPr>
        <w:pStyle w:val="BodyText"/>
        <w:spacing w:before="6"/>
        <w:rPr>
          <w:sz w:val="15"/>
        </w:rPr>
      </w:pPr>
    </w:p>
    <w:p>
      <w:pPr>
        <w:pStyle w:val="BodyText"/>
        <w:ind w:left="960"/>
        <w:rPr>
          <w:rFonts w:ascii="Calibri" w:eastAsia="Calibri"/>
        </w:rPr>
      </w:pPr>
      <w:r>
        <w:rPr/>
        <w:t>网址：</w:t>
      </w:r>
      <w:r>
        <w:rPr>
          <w:rFonts w:ascii="Calibri" w:eastAsia="Calibri"/>
        </w:rPr>
        <w:t>https:</w:t>
      </w:r>
      <w:hyperlink r:id="rId74">
        <w:r>
          <w:rPr>
            <w:rFonts w:ascii="Calibri" w:eastAsia="Calibri"/>
          </w:rPr>
          <w:t>//www</w:t>
        </w:r>
      </w:hyperlink>
      <w:r>
        <w:rPr>
          <w:rFonts w:ascii="Calibri" w:eastAsia="Calibri"/>
        </w:rPr>
        <w:t>.h</w:t>
      </w:r>
      <w:hyperlink r:id="rId74">
        <w:r>
          <w:rPr>
            <w:rFonts w:ascii="Calibri" w:eastAsia="Calibri"/>
          </w:rPr>
          <w:t>tfund.com/</w:t>
        </w:r>
      </w:hyperlink>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客户服务电话：</w:t>
      </w:r>
      <w:r>
        <w:rPr>
          <w:rFonts w:ascii="Calibri" w:eastAsia="Calibri"/>
        </w:rPr>
        <w:t>400-829-1218</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上海万得基金销售有限公司</w:t>
      </w:r>
    </w:p>
    <w:p>
      <w:pPr>
        <w:pStyle w:val="BodyText"/>
        <w:spacing w:before="7"/>
        <w:rPr>
          <w:sz w:val="15"/>
        </w:rPr>
      </w:pPr>
    </w:p>
    <w:p>
      <w:pPr>
        <w:pStyle w:val="BodyText"/>
        <w:spacing w:line="417" w:lineRule="auto"/>
        <w:ind w:left="960" w:right="3204"/>
      </w:pPr>
      <w:r>
        <w:rPr/>
        <w:t>住所：中国（上海）自由贸易试验区福山路 </w:t>
      </w:r>
      <w:r>
        <w:rPr>
          <w:rFonts w:ascii="Calibri" w:eastAsia="Calibri"/>
        </w:rPr>
        <w:t>33 </w:t>
      </w:r>
      <w:r>
        <w:rPr/>
        <w:t>号 </w:t>
      </w:r>
      <w:r>
        <w:rPr>
          <w:rFonts w:ascii="Calibri" w:eastAsia="Calibri"/>
        </w:rPr>
        <w:t>11 </w:t>
      </w:r>
      <w:r>
        <w:rPr/>
        <w:t>楼</w:t>
      </w:r>
      <w:r>
        <w:rPr>
          <w:rFonts w:ascii="Calibri" w:eastAsia="Calibri"/>
        </w:rPr>
        <w:t>B </w:t>
      </w:r>
      <w:r>
        <w:rPr/>
        <w:t>座办公地址：上海市浦东新区浦明路 </w:t>
      </w:r>
      <w:r>
        <w:rPr>
          <w:rFonts w:ascii="Calibri" w:eastAsia="Calibri"/>
        </w:rPr>
        <w:t>1500 </w:t>
      </w:r>
      <w:r>
        <w:rPr/>
        <w:t>号万得大厦 </w:t>
      </w:r>
      <w:r>
        <w:rPr>
          <w:rFonts w:ascii="Calibri" w:eastAsia="Calibri"/>
        </w:rPr>
        <w:t>11 </w:t>
      </w:r>
      <w:r>
        <w:rPr/>
        <w:t>楼法定代表人：黄祎</w:t>
      </w:r>
    </w:p>
    <w:p>
      <w:pPr>
        <w:pStyle w:val="BodyText"/>
        <w:spacing w:line="417" w:lineRule="auto"/>
        <w:ind w:left="960" w:right="6898"/>
        <w:rPr>
          <w:rFonts w:ascii="Calibri" w:eastAsia="Calibri"/>
        </w:rPr>
      </w:pPr>
      <w:r>
        <w:rPr/>
        <w:t>电话：</w:t>
      </w:r>
      <w:r>
        <w:rPr>
          <w:rFonts w:ascii="Calibri" w:eastAsia="Calibri"/>
        </w:rPr>
        <w:t>021-50712782 </w:t>
      </w:r>
      <w:r>
        <w:rPr/>
        <w:t>传真：</w:t>
      </w:r>
      <w:r>
        <w:rPr>
          <w:rFonts w:ascii="Calibri" w:eastAsia="Calibri"/>
        </w:rPr>
        <w:t>021-50710161</w:t>
      </w:r>
    </w:p>
    <w:p>
      <w:pPr>
        <w:pStyle w:val="BodyText"/>
        <w:ind w:left="960"/>
      </w:pPr>
      <w:r>
        <w:rPr/>
        <w:t>联系人：徐亚丹</w:t>
      </w:r>
    </w:p>
    <w:p>
      <w:pPr>
        <w:pStyle w:val="BodyText"/>
        <w:spacing w:before="6"/>
        <w:rPr>
          <w:sz w:val="15"/>
        </w:rPr>
      </w:pPr>
    </w:p>
    <w:p>
      <w:pPr>
        <w:pStyle w:val="BodyText"/>
        <w:spacing w:line="417" w:lineRule="auto"/>
        <w:ind w:left="960" w:right="6098"/>
        <w:rPr>
          <w:rFonts w:ascii="Calibri" w:eastAsia="Calibri"/>
        </w:rPr>
      </w:pPr>
      <w:r>
        <w:rPr/>
        <w:t>网址：</w:t>
      </w:r>
      <w:hyperlink r:id="rId75">
        <w:r>
          <w:rPr>
            <w:rFonts w:ascii="Calibri" w:eastAsia="Calibri"/>
          </w:rPr>
          <w:t>www.520fund.com.cn </w:t>
        </w:r>
      </w:hyperlink>
      <w:r>
        <w:rPr/>
        <w:t>客户服务电话：</w:t>
      </w:r>
      <w:r>
        <w:rPr>
          <w:rFonts w:ascii="Calibri" w:eastAsia="Calibri"/>
        </w:rPr>
        <w:t>400-799-1888</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7"/>
        <w:rPr>
          <w:sz w:val="15"/>
        </w:rPr>
      </w:pPr>
    </w:p>
    <w:p>
      <w:pPr>
        <w:pStyle w:val="BodyText"/>
        <w:ind w:left="960"/>
      </w:pPr>
      <w:r>
        <w:rPr>
          <w:spacing w:val="-12"/>
          <w:w w:val="100"/>
        </w:rPr>
        <w:t>住所：宁夏回族自治区银川市金凤区阅海湾中央商务区万寿路</w:t>
      </w:r>
      <w:r>
        <w:rPr>
          <w:spacing w:val="-67"/>
        </w:rPr>
        <w:t> </w:t>
      </w:r>
      <w:r>
        <w:rPr>
          <w:rFonts w:ascii="Calibri" w:eastAsia="Calibri"/>
          <w:spacing w:val="-2"/>
          <w:w w:val="100"/>
        </w:rPr>
        <w:t>14</w:t>
      </w:r>
      <w:r>
        <w:rPr>
          <w:rFonts w:ascii="Calibri" w:eastAsia="Calibri"/>
          <w:w w:val="100"/>
        </w:rPr>
        <w:t>2</w:t>
      </w:r>
      <w:r>
        <w:rPr>
          <w:rFonts w:ascii="Calibri" w:eastAsia="Calibri"/>
          <w:spacing w:val="-9"/>
        </w:rPr>
        <w:t> </w:t>
      </w:r>
      <w:r>
        <w:rPr>
          <w:w w:val="100"/>
        </w:rPr>
        <w:t>号</w:t>
      </w:r>
      <w:r>
        <w:rPr>
          <w:spacing w:val="-65"/>
        </w:rPr>
        <w:t> </w:t>
      </w:r>
      <w:r>
        <w:rPr>
          <w:rFonts w:ascii="Calibri" w:eastAsia="Calibri"/>
          <w:spacing w:val="-2"/>
          <w:w w:val="100"/>
        </w:rPr>
        <w:t>1</w:t>
      </w:r>
      <w:r>
        <w:rPr>
          <w:rFonts w:ascii="Calibri" w:eastAsia="Calibri"/>
          <w:w w:val="100"/>
        </w:rPr>
        <w:t>4</w:t>
      </w:r>
      <w:r>
        <w:rPr>
          <w:rFonts w:ascii="Calibri" w:eastAsia="Calibri"/>
          <w:spacing w:val="-9"/>
        </w:rPr>
        <w:t> </w:t>
      </w:r>
      <w:r>
        <w:rPr>
          <w:w w:val="100"/>
        </w:rPr>
        <w:t>层</w:t>
      </w:r>
      <w:r>
        <w:rPr>
          <w:spacing w:val="-66"/>
        </w:rPr>
        <w:t> </w:t>
      </w:r>
      <w:r>
        <w:rPr>
          <w:rFonts w:ascii="Calibri" w:eastAsia="Calibri"/>
          <w:w w:val="100"/>
        </w:rPr>
        <w:t>1</w:t>
      </w:r>
      <w:r>
        <w:rPr>
          <w:rFonts w:ascii="Calibri" w:eastAsia="Calibri"/>
          <w:spacing w:val="-2"/>
          <w:w w:val="100"/>
        </w:rPr>
        <w:t>40</w:t>
      </w:r>
      <w:r>
        <w:rPr>
          <w:rFonts w:ascii="Calibri" w:eastAsia="Calibri"/>
          <w:spacing w:val="-107"/>
          <w:w w:val="100"/>
        </w:rPr>
        <w:t>2</w:t>
      </w:r>
      <w:r>
        <w:rPr>
          <w:w w:val="100"/>
        </w:rPr>
        <w:t>（</w:t>
      </w:r>
      <w:r>
        <w:rPr>
          <w:rFonts w:ascii="Calibri" w:eastAsia="Calibri"/>
          <w:spacing w:val="-2"/>
          <w:w w:val="100"/>
        </w:rPr>
        <w:t>7</w:t>
      </w:r>
      <w:r>
        <w:rPr>
          <w:rFonts w:ascii="Calibri" w:eastAsia="Calibri"/>
          <w:w w:val="100"/>
        </w:rPr>
        <w:t>5</w:t>
      </w:r>
      <w:r>
        <w:rPr>
          <w:rFonts w:ascii="Calibri" w:eastAsia="Calibri"/>
          <w:spacing w:val="-2"/>
          <w:w w:val="100"/>
        </w:rPr>
        <w:t>0</w:t>
      </w:r>
      <w:r>
        <w:rPr>
          <w:rFonts w:ascii="Calibri" w:eastAsia="Calibri"/>
          <w:w w:val="100"/>
        </w:rPr>
        <w:t>0</w:t>
      </w:r>
      <w:r>
        <w:rPr>
          <w:rFonts w:ascii="Calibri" w:eastAsia="Calibri"/>
          <w:spacing w:val="-2"/>
          <w:w w:val="100"/>
        </w:rPr>
        <w:t>0</w:t>
      </w:r>
      <w:r>
        <w:rPr>
          <w:rFonts w:ascii="Calibri" w:eastAsia="Calibri"/>
          <w:spacing w:val="-1"/>
          <w:w w:val="100"/>
        </w:rPr>
        <w:t>0</w:t>
      </w:r>
      <w:r>
        <w:rPr>
          <w:w w:val="100"/>
        </w:rPr>
        <w:t>）</w:t>
      </w:r>
    </w:p>
    <w:p>
      <w:pPr>
        <w:pStyle w:val="BodyText"/>
        <w:spacing w:before="7"/>
        <w:rPr>
          <w:sz w:val="15"/>
        </w:rPr>
      </w:pPr>
    </w:p>
    <w:p>
      <w:pPr>
        <w:pStyle w:val="BodyText"/>
        <w:spacing w:line="417" w:lineRule="auto"/>
        <w:ind w:left="960" w:right="1603"/>
      </w:pPr>
      <w:r>
        <w:rPr>
          <w:spacing w:val="-6"/>
        </w:rPr>
        <w:t>办公地址：北京市朝阳区紫月路 </w:t>
      </w:r>
      <w:r>
        <w:rPr>
          <w:rFonts w:ascii="Calibri" w:eastAsia="Calibri"/>
        </w:rPr>
        <w:t>18 </w:t>
      </w:r>
      <w:r>
        <w:rPr>
          <w:spacing w:val="-7"/>
        </w:rPr>
        <w:t>号院朝来高科技产业园 </w:t>
      </w:r>
      <w:r>
        <w:rPr>
          <w:rFonts w:ascii="Calibri" w:eastAsia="Calibri"/>
        </w:rPr>
        <w:t>18 </w:t>
      </w:r>
      <w:r>
        <w:rPr>
          <w:spacing w:val="-2"/>
        </w:rPr>
        <w:t>号楼</w:t>
      </w:r>
      <w:r>
        <w:rPr/>
        <w:t>（</w:t>
      </w:r>
      <w:r>
        <w:rPr>
          <w:rFonts w:ascii="Calibri" w:eastAsia="Calibri"/>
        </w:rPr>
        <w:t>100000</w:t>
      </w:r>
      <w:r>
        <w:rPr/>
        <w:t>） </w:t>
      </w:r>
      <w:r>
        <w:rPr>
          <w:spacing w:val="-3"/>
        </w:rPr>
        <w:t>法定代表人：程刚</w:t>
      </w:r>
    </w:p>
    <w:p>
      <w:pPr>
        <w:pStyle w:val="BodyText"/>
        <w:spacing w:line="417" w:lineRule="auto"/>
        <w:ind w:left="960" w:right="6898"/>
        <w:rPr>
          <w:rFonts w:ascii="Calibri" w:eastAsia="Calibri"/>
        </w:rPr>
      </w:pPr>
      <w:r>
        <w:rPr/>
        <w:t>电话：</w:t>
      </w:r>
      <w:r>
        <w:rPr>
          <w:rFonts w:ascii="Calibri" w:eastAsia="Calibri"/>
        </w:rPr>
        <w:t>010-58160168 </w:t>
      </w:r>
      <w:r>
        <w:rPr/>
        <w:t>传真：</w:t>
      </w:r>
      <w:r>
        <w:rPr>
          <w:rFonts w:ascii="Calibri" w:eastAsia="Calibri"/>
        </w:rPr>
        <w:t>010-58160173</w:t>
      </w:r>
    </w:p>
    <w:p>
      <w:pPr>
        <w:pStyle w:val="BodyText"/>
        <w:spacing w:line="269" w:lineRule="exact"/>
        <w:ind w:left="960"/>
      </w:pPr>
      <w:r>
        <w:rPr/>
        <w:t>联系人：张旭</w:t>
      </w:r>
    </w:p>
    <w:p>
      <w:pPr>
        <w:pStyle w:val="BodyText"/>
        <w:spacing w:before="7"/>
        <w:rPr>
          <w:sz w:val="15"/>
        </w:rPr>
      </w:pPr>
    </w:p>
    <w:p>
      <w:pPr>
        <w:pStyle w:val="BodyText"/>
        <w:ind w:left="960"/>
        <w:rPr>
          <w:rFonts w:ascii="Calibri" w:eastAsia="Calibri"/>
        </w:rPr>
      </w:pPr>
      <w:r>
        <w:rPr/>
        <w:t>网址：</w:t>
      </w:r>
      <w:hyperlink r:id="rId76">
        <w:r>
          <w:rPr>
            <w:rFonts w:ascii="Calibri" w:eastAsia="Calibri"/>
          </w:rPr>
          <w:t>www.fengfd.com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400-810-5919</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上海联泰基金销售有限公司</w:t>
      </w:r>
    </w:p>
    <w:p>
      <w:pPr>
        <w:pStyle w:val="BodyText"/>
        <w:spacing w:before="7"/>
        <w:rPr>
          <w:sz w:val="15"/>
        </w:rPr>
      </w:pPr>
    </w:p>
    <w:p>
      <w:pPr>
        <w:pStyle w:val="BodyText"/>
        <w:ind w:left="960"/>
      </w:pPr>
      <w:r>
        <w:rPr/>
        <w:t>住所：中国（上海）自由贸易试验区富特北路 </w:t>
      </w:r>
      <w:r>
        <w:rPr>
          <w:rFonts w:ascii="Calibri" w:eastAsia="Calibri"/>
        </w:rPr>
        <w:t>277 </w:t>
      </w:r>
      <w:r>
        <w:rPr/>
        <w:t>号 </w:t>
      </w:r>
      <w:r>
        <w:rPr>
          <w:rFonts w:ascii="Calibri" w:eastAsia="Calibri"/>
        </w:rPr>
        <w:t>3 </w:t>
      </w:r>
      <w:r>
        <w:rPr/>
        <w:t>层 </w:t>
      </w:r>
      <w:r>
        <w:rPr>
          <w:rFonts w:ascii="Calibri" w:eastAsia="Calibri"/>
        </w:rPr>
        <w:t>310 </w:t>
      </w:r>
      <w:r>
        <w:rPr/>
        <w:t>室</w:t>
      </w:r>
    </w:p>
    <w:p>
      <w:pPr>
        <w:pStyle w:val="BodyText"/>
        <w:spacing w:before="7"/>
        <w:rPr>
          <w:sz w:val="15"/>
        </w:rPr>
      </w:pPr>
    </w:p>
    <w:p>
      <w:pPr>
        <w:pStyle w:val="BodyText"/>
        <w:spacing w:line="417" w:lineRule="auto"/>
        <w:ind w:left="960" w:right="3502"/>
      </w:pPr>
      <w:r>
        <w:rPr>
          <w:spacing w:val="-3"/>
        </w:rPr>
        <w:t>办公地址：中国</w:t>
      </w:r>
      <w:r>
        <w:rPr/>
        <w:t>（</w:t>
      </w:r>
      <w:r>
        <w:rPr>
          <w:spacing w:val="-2"/>
        </w:rPr>
        <w:t>上海</w:t>
      </w:r>
      <w:r>
        <w:rPr>
          <w:spacing w:val="-3"/>
        </w:rPr>
        <w:t>）</w:t>
      </w:r>
      <w:r>
        <w:rPr>
          <w:spacing w:val="-9"/>
        </w:rPr>
        <w:t>长宁区福泉北路 </w:t>
      </w:r>
      <w:r>
        <w:rPr>
          <w:rFonts w:ascii="Calibri" w:eastAsia="Calibri"/>
        </w:rPr>
        <w:t>518 </w:t>
      </w:r>
      <w:r>
        <w:rPr>
          <w:spacing w:val="-26"/>
        </w:rPr>
        <w:t>号 </w:t>
      </w:r>
      <w:r>
        <w:rPr>
          <w:rFonts w:ascii="Calibri" w:eastAsia="Calibri"/>
        </w:rPr>
        <w:t>8 </w:t>
      </w:r>
      <w:r>
        <w:rPr>
          <w:spacing w:val="-25"/>
        </w:rPr>
        <w:t>座 </w:t>
      </w:r>
      <w:r>
        <w:rPr>
          <w:rFonts w:ascii="Calibri" w:eastAsia="Calibri"/>
        </w:rPr>
        <w:t>3 </w:t>
      </w:r>
      <w:r>
        <w:rPr/>
        <w:t>层</w:t>
      </w:r>
      <w:r>
        <w:rPr>
          <w:spacing w:val="-3"/>
        </w:rPr>
        <w:t>法定代表人：尹彬彬</w:t>
      </w:r>
    </w:p>
    <w:p>
      <w:pPr>
        <w:pStyle w:val="BodyText"/>
        <w:spacing w:line="417" w:lineRule="auto"/>
        <w:ind w:left="960" w:right="6898"/>
        <w:rPr>
          <w:rFonts w:ascii="Calibri" w:eastAsia="Calibri"/>
        </w:rPr>
      </w:pPr>
      <w:r>
        <w:rPr/>
        <w:t>电话：</w:t>
      </w:r>
      <w:r>
        <w:rPr>
          <w:rFonts w:ascii="Calibri" w:eastAsia="Calibri"/>
        </w:rPr>
        <w:t>15201924977 </w:t>
      </w:r>
      <w:r>
        <w:rPr/>
        <w:t>传真：</w:t>
      </w:r>
      <w:r>
        <w:rPr>
          <w:rFonts w:ascii="Calibri" w:eastAsia="Calibri"/>
        </w:rPr>
        <w:t>021-52975270</w:t>
      </w:r>
    </w:p>
    <w:p>
      <w:pPr>
        <w:pStyle w:val="BodyText"/>
        <w:spacing w:line="269" w:lineRule="exact"/>
        <w:ind w:left="960"/>
      </w:pPr>
      <w:r>
        <w:rPr/>
        <w:t>联系人：兰敏</w:t>
      </w:r>
    </w:p>
    <w:p>
      <w:pPr>
        <w:pStyle w:val="BodyText"/>
        <w:spacing w:before="6"/>
        <w:rPr>
          <w:sz w:val="15"/>
        </w:rPr>
      </w:pPr>
    </w:p>
    <w:p>
      <w:pPr>
        <w:pStyle w:val="BodyText"/>
        <w:ind w:left="960"/>
        <w:rPr>
          <w:rFonts w:ascii="Calibri" w:eastAsia="Calibri"/>
        </w:rPr>
      </w:pPr>
      <w:r>
        <w:rPr/>
        <w:t>网址：</w:t>
      </w:r>
      <w:hyperlink r:id="rId77">
        <w:r>
          <w:rPr>
            <w:rFonts w:ascii="Calibri" w:eastAsia="Calibri"/>
          </w:rPr>
          <w:t>www.66liantai.com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400-118-1188</w:t>
      </w:r>
    </w:p>
    <w:p>
      <w:pPr>
        <w:pStyle w:val="BodyText"/>
        <w:spacing w:before="4"/>
        <w:rPr>
          <w:rFonts w:ascii="Calibri"/>
          <w:sz w:val="16"/>
        </w:rPr>
      </w:pPr>
    </w:p>
    <w:p>
      <w:pPr>
        <w:pStyle w:val="ListParagraph"/>
        <w:numPr>
          <w:ilvl w:val="0"/>
          <w:numId w:val="32"/>
        </w:numPr>
        <w:tabs>
          <w:tab w:pos="1598" w:val="left" w:leader="none"/>
        </w:tabs>
        <w:spacing w:line="417" w:lineRule="auto" w:before="0" w:after="0"/>
        <w:ind w:left="960" w:right="455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Calibri" w:eastAsia="Calibri"/>
          <w:sz w:val="21"/>
        </w:rPr>
        <w:t>3</w:t>
      </w:r>
      <w:r>
        <w:rPr>
          <w:rFonts w:ascii="Calibri" w:eastAsia="Calibri"/>
          <w:spacing w:val="13"/>
          <w:sz w:val="21"/>
        </w:rPr>
        <w:t> </w:t>
      </w:r>
      <w:r>
        <w:rPr>
          <w:sz w:val="21"/>
        </w:rPr>
        <w:t>号</w:t>
      </w:r>
    </w:p>
    <w:p>
      <w:pPr>
        <w:spacing w:after="0" w:line="417"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4079"/>
      </w:pPr>
      <w:r>
        <w:rPr/>
        <w:t>办公地址：辽宁省大连市沙河口区星海中龙园 </w:t>
      </w:r>
      <w:r>
        <w:rPr>
          <w:rFonts w:ascii="Calibri" w:eastAsia="Calibri"/>
        </w:rPr>
        <w:t>3 </w:t>
      </w:r>
      <w:r>
        <w:rPr/>
        <w:t>号法定代表人：李春光</w:t>
      </w:r>
    </w:p>
    <w:p>
      <w:pPr>
        <w:pStyle w:val="BodyText"/>
        <w:spacing w:line="417" w:lineRule="auto"/>
        <w:ind w:left="960" w:right="6410"/>
        <w:rPr>
          <w:rFonts w:ascii="Calibri" w:eastAsia="Calibri"/>
        </w:rPr>
      </w:pPr>
      <w:r>
        <w:rPr/>
        <w:t>电话：</w:t>
      </w:r>
      <w:r>
        <w:rPr>
          <w:rFonts w:ascii="Calibri" w:eastAsia="Calibri"/>
        </w:rPr>
        <w:t>0411-88891212-317 </w:t>
      </w:r>
      <w:r>
        <w:rPr/>
        <w:t>传真：</w:t>
      </w:r>
      <w:r>
        <w:rPr>
          <w:rFonts w:ascii="Calibri" w:eastAsia="Calibri"/>
        </w:rPr>
        <w:t>0411-84396536</w:t>
      </w:r>
    </w:p>
    <w:p>
      <w:pPr>
        <w:pStyle w:val="BodyText"/>
        <w:spacing w:line="269" w:lineRule="exact"/>
        <w:ind w:left="960"/>
      </w:pPr>
      <w:r>
        <w:rPr/>
        <w:t>联系人：张晓辉</w:t>
      </w:r>
    </w:p>
    <w:p>
      <w:pPr>
        <w:pStyle w:val="BodyText"/>
        <w:spacing w:before="7"/>
        <w:rPr>
          <w:sz w:val="15"/>
        </w:rPr>
      </w:pPr>
    </w:p>
    <w:p>
      <w:pPr>
        <w:pStyle w:val="BodyText"/>
        <w:spacing w:line="417" w:lineRule="auto"/>
        <w:ind w:left="960" w:right="6098"/>
        <w:rPr>
          <w:rFonts w:ascii="Calibri" w:eastAsia="Calibri"/>
        </w:rPr>
      </w:pPr>
      <w:r>
        <w:rPr/>
        <w:t>网址：</w:t>
      </w:r>
      <w:hyperlink r:id="rId78">
        <w:r>
          <w:rPr>
            <w:rFonts w:ascii="Calibri" w:eastAsia="Calibri"/>
          </w:rPr>
          <w:t>www.haojiyoujijin.com </w:t>
        </w:r>
      </w:hyperlink>
      <w:r>
        <w:rPr/>
        <w:t>客户服务电话：</w:t>
      </w:r>
      <w:r>
        <w:rPr>
          <w:rFonts w:ascii="Calibri" w:eastAsia="Calibri"/>
        </w:rPr>
        <w:t>400-0411-001</w:t>
      </w: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上海汇付基金销售有限公司</w:t>
      </w:r>
    </w:p>
    <w:p>
      <w:pPr>
        <w:pStyle w:val="BodyText"/>
        <w:spacing w:before="7"/>
        <w:rPr>
          <w:sz w:val="15"/>
        </w:rPr>
      </w:pPr>
    </w:p>
    <w:p>
      <w:pPr>
        <w:pStyle w:val="BodyText"/>
        <w:ind w:left="960"/>
      </w:pPr>
      <w:r>
        <w:rPr/>
        <w:t>住所：上海市黄浦区黄河路 </w:t>
      </w:r>
      <w:r>
        <w:rPr>
          <w:rFonts w:ascii="Calibri" w:eastAsia="Calibri"/>
        </w:rPr>
        <w:t>333 </w:t>
      </w:r>
      <w:r>
        <w:rPr/>
        <w:t>号 </w:t>
      </w:r>
      <w:r>
        <w:rPr>
          <w:rFonts w:ascii="Calibri" w:eastAsia="Calibri"/>
        </w:rPr>
        <w:t>201 </w:t>
      </w:r>
      <w:r>
        <w:rPr/>
        <w:t>室 </w:t>
      </w:r>
      <w:r>
        <w:rPr>
          <w:rFonts w:ascii="Calibri" w:eastAsia="Calibri"/>
        </w:rPr>
        <w:t>A </w:t>
      </w:r>
      <w:r>
        <w:rPr/>
        <w:t>区 </w:t>
      </w:r>
      <w:r>
        <w:rPr>
          <w:rFonts w:ascii="Calibri" w:eastAsia="Calibri"/>
        </w:rPr>
        <w:t>056 </w:t>
      </w:r>
      <w:r>
        <w:rPr/>
        <w:t>单元</w:t>
      </w:r>
    </w:p>
    <w:p>
      <w:pPr>
        <w:pStyle w:val="BodyText"/>
        <w:spacing w:before="6"/>
        <w:rPr>
          <w:sz w:val="15"/>
        </w:rPr>
      </w:pPr>
    </w:p>
    <w:p>
      <w:pPr>
        <w:pStyle w:val="BodyText"/>
        <w:spacing w:line="417" w:lineRule="auto" w:before="1"/>
        <w:ind w:left="960" w:right="2760"/>
      </w:pPr>
      <w:r>
        <w:rPr>
          <w:spacing w:val="-7"/>
        </w:rPr>
        <w:t>办公地址：上海市徐汇区宜山路 </w:t>
      </w:r>
      <w:r>
        <w:rPr>
          <w:rFonts w:ascii="Calibri" w:eastAsia="Calibri"/>
        </w:rPr>
        <w:t>700 </w:t>
      </w:r>
      <w:r>
        <w:rPr>
          <w:spacing w:val="-9"/>
        </w:rPr>
        <w:t>号普天信息产业园 </w:t>
      </w:r>
      <w:r>
        <w:rPr>
          <w:rFonts w:ascii="Calibri" w:eastAsia="Calibri"/>
        </w:rPr>
        <w:t>2 </w:t>
      </w:r>
      <w:r>
        <w:rPr>
          <w:spacing w:val="-26"/>
        </w:rPr>
        <w:t>期 </w:t>
      </w:r>
      <w:r>
        <w:rPr>
          <w:rFonts w:ascii="Calibri" w:eastAsia="Calibri"/>
        </w:rPr>
        <w:t>C5 </w:t>
      </w:r>
      <w:r>
        <w:rPr/>
        <w:t>栋</w:t>
      </w:r>
      <w:r>
        <w:rPr>
          <w:spacing w:val="-3"/>
        </w:rPr>
        <w:t>法定代表人：金佶</w:t>
      </w:r>
    </w:p>
    <w:p>
      <w:pPr>
        <w:pStyle w:val="BodyText"/>
        <w:spacing w:line="417" w:lineRule="auto"/>
        <w:ind w:left="960" w:right="6898"/>
        <w:rPr>
          <w:rFonts w:ascii="Calibri" w:eastAsia="Calibri"/>
        </w:rPr>
      </w:pPr>
      <w:r>
        <w:rPr/>
        <w:t>电话：</w:t>
      </w:r>
      <w:r>
        <w:rPr>
          <w:rFonts w:ascii="Calibri" w:eastAsia="Calibri"/>
        </w:rPr>
        <w:t>021-33323999 </w:t>
      </w:r>
      <w:r>
        <w:rPr/>
        <w:t>传真：</w:t>
      </w:r>
      <w:r>
        <w:rPr>
          <w:rFonts w:ascii="Calibri" w:eastAsia="Calibri"/>
        </w:rPr>
        <w:t>021-33323837</w:t>
      </w:r>
    </w:p>
    <w:p>
      <w:pPr>
        <w:pStyle w:val="BodyText"/>
        <w:spacing w:line="269" w:lineRule="exact"/>
        <w:ind w:left="960"/>
      </w:pPr>
      <w:r>
        <w:rPr/>
        <w:t>联系人：甄宝林</w:t>
      </w:r>
    </w:p>
    <w:p>
      <w:pPr>
        <w:pStyle w:val="BodyText"/>
        <w:spacing w:before="6"/>
        <w:rPr>
          <w:sz w:val="15"/>
        </w:rPr>
      </w:pPr>
    </w:p>
    <w:p>
      <w:pPr>
        <w:pStyle w:val="BodyText"/>
        <w:ind w:left="960"/>
        <w:rPr>
          <w:rFonts w:ascii="Calibri" w:eastAsia="Calibri"/>
        </w:rPr>
      </w:pPr>
      <w:r>
        <w:rPr/>
        <w:t>网址：</w:t>
      </w:r>
      <w:hyperlink r:id="rId79">
        <w:r>
          <w:rPr>
            <w:rFonts w:ascii="Calibri" w:eastAsia="Calibri"/>
          </w:rPr>
          <w:t>www.hotjijin.com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021-34013999</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上海基煜基金销售有限公司</w:t>
      </w:r>
    </w:p>
    <w:p>
      <w:pPr>
        <w:pStyle w:val="BodyText"/>
        <w:spacing w:before="6"/>
        <w:rPr>
          <w:sz w:val="15"/>
        </w:rPr>
      </w:pPr>
    </w:p>
    <w:p>
      <w:pPr>
        <w:pStyle w:val="BodyText"/>
        <w:ind w:left="960"/>
      </w:pPr>
      <w:r>
        <w:rPr>
          <w:spacing w:val="-12"/>
        </w:rPr>
        <w:t>住所：上海市崇明县长兴镇路潘园公路 </w:t>
      </w:r>
      <w:r>
        <w:rPr>
          <w:rFonts w:ascii="Calibri" w:eastAsia="Calibri"/>
        </w:rPr>
        <w:t>1800 </w:t>
      </w:r>
      <w:r>
        <w:rPr>
          <w:spacing w:val="-27"/>
        </w:rPr>
        <w:t>号 </w:t>
      </w:r>
      <w:r>
        <w:rPr>
          <w:rFonts w:ascii="Calibri" w:eastAsia="Calibri"/>
        </w:rPr>
        <w:t>2 </w:t>
      </w:r>
      <w:r>
        <w:rPr>
          <w:spacing w:val="-19"/>
        </w:rPr>
        <w:t>号楼 </w:t>
      </w:r>
      <w:r>
        <w:rPr>
          <w:rFonts w:ascii="Calibri" w:eastAsia="Calibri"/>
        </w:rPr>
        <w:t>6153 </w:t>
      </w:r>
      <w:r>
        <w:rPr>
          <w:spacing w:val="-56"/>
        </w:rPr>
        <w:t>室</w:t>
      </w:r>
      <w:r>
        <w:rPr/>
        <w:t>（</w:t>
      </w:r>
      <w:r>
        <w:rPr>
          <w:spacing w:val="-3"/>
        </w:rPr>
        <w:t>上海泰和经济发展区</w:t>
      </w:r>
      <w:r>
        <w:rPr/>
        <w:t>）</w:t>
      </w:r>
    </w:p>
    <w:p>
      <w:pPr>
        <w:pStyle w:val="BodyText"/>
        <w:spacing w:before="7"/>
        <w:rPr>
          <w:sz w:val="15"/>
        </w:rPr>
      </w:pPr>
    </w:p>
    <w:p>
      <w:pPr>
        <w:pStyle w:val="BodyText"/>
        <w:spacing w:line="417" w:lineRule="auto"/>
        <w:ind w:left="960" w:right="2765"/>
      </w:pPr>
      <w:r>
        <w:rPr>
          <w:spacing w:val="-6"/>
        </w:rPr>
        <w:t>办公地址：上海市浦东新区银城中路 </w:t>
      </w:r>
      <w:r>
        <w:rPr>
          <w:rFonts w:ascii="Calibri" w:eastAsia="Calibri"/>
        </w:rPr>
        <w:t>488 </w:t>
      </w:r>
      <w:r>
        <w:rPr>
          <w:spacing w:val="-9"/>
        </w:rPr>
        <w:t>号太平金融大厦 </w:t>
      </w:r>
      <w:r>
        <w:rPr>
          <w:rFonts w:ascii="Calibri" w:eastAsia="Calibri"/>
        </w:rPr>
        <w:t>1503 </w:t>
      </w:r>
      <w:r>
        <w:rPr/>
        <w:t>室</w:t>
      </w:r>
      <w:r>
        <w:rPr>
          <w:spacing w:val="-3"/>
        </w:rPr>
        <w:t>法定代表人：王翔</w:t>
      </w:r>
    </w:p>
    <w:p>
      <w:pPr>
        <w:pStyle w:val="BodyText"/>
        <w:spacing w:line="417" w:lineRule="auto"/>
        <w:ind w:left="960" w:right="6474"/>
        <w:rPr>
          <w:rFonts w:ascii="Calibri" w:eastAsia="Calibri"/>
        </w:rPr>
      </w:pPr>
      <w:r>
        <w:rPr/>
        <w:t>电话：</w:t>
      </w:r>
      <w:r>
        <w:rPr>
          <w:rFonts w:ascii="Calibri" w:eastAsia="Calibri"/>
        </w:rPr>
        <w:t>021-35385521*210 </w:t>
      </w:r>
      <w:r>
        <w:rPr/>
        <w:t>传真：</w:t>
      </w:r>
      <w:r>
        <w:rPr>
          <w:rFonts w:ascii="Calibri" w:eastAsia="Calibri"/>
        </w:rPr>
        <w:t>021-55085991</w:t>
      </w:r>
    </w:p>
    <w:p>
      <w:pPr>
        <w:pStyle w:val="BodyText"/>
        <w:ind w:left="960"/>
      </w:pPr>
      <w:r>
        <w:rPr/>
        <w:t>联系人：蓝杰</w:t>
      </w:r>
    </w:p>
    <w:p>
      <w:pPr>
        <w:pStyle w:val="BodyText"/>
        <w:spacing w:before="7"/>
        <w:rPr>
          <w:sz w:val="15"/>
        </w:rPr>
      </w:pPr>
    </w:p>
    <w:p>
      <w:pPr>
        <w:pStyle w:val="BodyText"/>
        <w:spacing w:line="417" w:lineRule="auto"/>
        <w:ind w:left="960" w:right="6098"/>
        <w:rPr>
          <w:rFonts w:ascii="Calibri" w:eastAsia="Calibri"/>
        </w:rPr>
      </w:pPr>
      <w:r>
        <w:rPr/>
        <w:t>网址：</w:t>
      </w:r>
      <w:hyperlink r:id="rId80">
        <w:r>
          <w:rPr>
            <w:rFonts w:ascii="Calibri" w:eastAsia="Calibri"/>
          </w:rPr>
          <w:t>www.jiyufund.com.cn </w:t>
        </w:r>
      </w:hyperlink>
      <w:r>
        <w:rPr/>
        <w:t>客户服务电话：</w:t>
      </w:r>
      <w:r>
        <w:rPr>
          <w:rFonts w:ascii="Calibri" w:eastAsia="Calibri"/>
        </w:rPr>
        <w:t>400-820-5369</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上海中正达广基金销售有限公司</w:t>
      </w:r>
    </w:p>
    <w:p>
      <w:pPr>
        <w:pStyle w:val="BodyText"/>
        <w:spacing w:before="6"/>
        <w:rPr>
          <w:sz w:val="15"/>
        </w:rPr>
      </w:pPr>
    </w:p>
    <w:p>
      <w:pPr>
        <w:pStyle w:val="BodyText"/>
        <w:spacing w:before="1"/>
        <w:ind w:left="960"/>
      </w:pPr>
      <w:r>
        <w:rPr/>
        <w:t>住所：上海市徐汇区龙腾大道 </w:t>
      </w:r>
      <w:r>
        <w:rPr>
          <w:rFonts w:ascii="Calibri" w:eastAsia="Calibri"/>
        </w:rPr>
        <w:t>2815 </w:t>
      </w:r>
      <w:r>
        <w:rPr/>
        <w:t>号 </w:t>
      </w:r>
      <w:r>
        <w:rPr>
          <w:rFonts w:ascii="Calibri" w:eastAsia="Calibri"/>
        </w:rPr>
        <w:t>302 </w:t>
      </w:r>
      <w:r>
        <w:rPr/>
        <w:t>室</w:t>
      </w:r>
    </w:p>
    <w:p>
      <w:pPr>
        <w:pStyle w:val="BodyText"/>
        <w:spacing w:before="6"/>
        <w:rPr>
          <w:sz w:val="15"/>
        </w:rPr>
      </w:pPr>
    </w:p>
    <w:p>
      <w:pPr>
        <w:pStyle w:val="BodyText"/>
        <w:spacing w:line="417" w:lineRule="auto"/>
        <w:ind w:left="960" w:right="4234"/>
      </w:pPr>
      <w:r>
        <w:rPr>
          <w:spacing w:val="-6"/>
        </w:rPr>
        <w:t>办公地址：上海市徐汇区龙腾大道 </w:t>
      </w:r>
      <w:r>
        <w:rPr>
          <w:rFonts w:ascii="Calibri" w:eastAsia="Calibri"/>
        </w:rPr>
        <w:t>2815 </w:t>
      </w:r>
      <w:r>
        <w:rPr>
          <w:spacing w:val="-26"/>
        </w:rPr>
        <w:t>号 </w:t>
      </w:r>
      <w:r>
        <w:rPr>
          <w:rFonts w:ascii="Calibri" w:eastAsia="Calibri"/>
        </w:rPr>
        <w:t>302 </w:t>
      </w:r>
      <w:r>
        <w:rPr/>
        <w:t>室</w:t>
      </w:r>
      <w:r>
        <w:rPr>
          <w:spacing w:val="-3"/>
        </w:rPr>
        <w:t>法定代表人：黄欣</w:t>
      </w:r>
    </w:p>
    <w:p>
      <w:pPr>
        <w:pStyle w:val="BodyText"/>
        <w:ind w:left="960"/>
        <w:rPr>
          <w:rFonts w:ascii="Calibri" w:eastAsia="Calibri"/>
        </w:rPr>
      </w:pPr>
      <w:r>
        <w:rPr/>
        <w:t>电话：</w:t>
      </w:r>
      <w:r>
        <w:rPr>
          <w:rFonts w:ascii="Calibri" w:eastAsia="Calibri"/>
        </w:rPr>
        <w:t>021-33768132-801</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传真：</w:t>
      </w:r>
      <w:r>
        <w:rPr>
          <w:rFonts w:ascii="Calibri" w:eastAsia="Calibri"/>
        </w:rPr>
        <w:t>021-33768132-802</w:t>
      </w:r>
    </w:p>
    <w:p>
      <w:pPr>
        <w:pStyle w:val="BodyText"/>
        <w:spacing w:before="3"/>
        <w:rPr>
          <w:rFonts w:ascii="Calibri"/>
          <w:sz w:val="16"/>
        </w:rPr>
      </w:pPr>
    </w:p>
    <w:p>
      <w:pPr>
        <w:pStyle w:val="BodyText"/>
        <w:ind w:left="960"/>
      </w:pPr>
      <w:r>
        <w:rPr/>
        <w:t>联系人：戴珉微</w:t>
      </w:r>
    </w:p>
    <w:p>
      <w:pPr>
        <w:pStyle w:val="BodyText"/>
        <w:spacing w:before="7"/>
        <w:rPr>
          <w:sz w:val="15"/>
        </w:rPr>
      </w:pPr>
    </w:p>
    <w:p>
      <w:pPr>
        <w:pStyle w:val="BodyText"/>
        <w:spacing w:line="417" w:lineRule="auto"/>
        <w:ind w:left="960" w:right="5763"/>
        <w:rPr>
          <w:rFonts w:ascii="Calibri" w:eastAsia="Calibri"/>
        </w:rPr>
      </w:pPr>
      <w:r>
        <w:rPr/>
        <w:t>网址：</w:t>
      </w:r>
      <w:hyperlink r:id="rId81">
        <w:r>
          <w:rPr>
            <w:rFonts w:ascii="Calibri" w:eastAsia="Calibri"/>
          </w:rPr>
          <w:t>www.zhongzhengfund.com </w:t>
        </w:r>
      </w:hyperlink>
      <w:r>
        <w:rPr/>
        <w:t>客户服务电话：</w:t>
      </w:r>
      <w:r>
        <w:rPr>
          <w:rFonts w:ascii="Calibri" w:eastAsia="Calibri"/>
        </w:rPr>
        <w:t>400-6767-523</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北京虹点基金销售有限公司</w:t>
      </w:r>
    </w:p>
    <w:p>
      <w:pPr>
        <w:pStyle w:val="BodyText"/>
        <w:spacing w:before="6"/>
        <w:rPr>
          <w:sz w:val="15"/>
        </w:rPr>
      </w:pPr>
    </w:p>
    <w:p>
      <w:pPr>
        <w:pStyle w:val="BodyText"/>
        <w:spacing w:before="1"/>
        <w:ind w:left="960"/>
      </w:pPr>
      <w:r>
        <w:rPr/>
        <w:t>住所：北京市朝阳区工人体育场北路甲 </w:t>
      </w:r>
      <w:r>
        <w:rPr>
          <w:rFonts w:ascii="Calibri" w:eastAsia="Calibri"/>
        </w:rPr>
        <w:t>2 </w:t>
      </w:r>
      <w:r>
        <w:rPr/>
        <w:t>号裙房 </w:t>
      </w:r>
      <w:r>
        <w:rPr>
          <w:rFonts w:ascii="Calibri" w:eastAsia="Calibri"/>
        </w:rPr>
        <w:t>2 </w:t>
      </w:r>
      <w:r>
        <w:rPr/>
        <w:t>层 </w:t>
      </w:r>
      <w:r>
        <w:rPr>
          <w:rFonts w:ascii="Calibri" w:eastAsia="Calibri"/>
        </w:rPr>
        <w:t>222 </w:t>
      </w:r>
      <w:r>
        <w:rPr/>
        <w:t>单元</w:t>
      </w:r>
    </w:p>
    <w:p>
      <w:pPr>
        <w:pStyle w:val="BodyText"/>
        <w:spacing w:before="6"/>
        <w:rPr>
          <w:sz w:val="15"/>
        </w:rPr>
      </w:pPr>
    </w:p>
    <w:p>
      <w:pPr>
        <w:pStyle w:val="BodyText"/>
        <w:spacing w:line="417" w:lineRule="auto"/>
        <w:ind w:left="960" w:right="2662"/>
      </w:pPr>
      <w:r>
        <w:rPr>
          <w:spacing w:val="-6"/>
        </w:rPr>
        <w:t>办公地址：北京市朝阳区工人体育场北路甲 </w:t>
      </w:r>
      <w:r>
        <w:rPr>
          <w:rFonts w:ascii="Calibri" w:eastAsia="Calibri"/>
        </w:rPr>
        <w:t>2 </w:t>
      </w:r>
      <w:r>
        <w:rPr>
          <w:spacing w:val="-14"/>
        </w:rPr>
        <w:t>号裙房 </w:t>
      </w:r>
      <w:r>
        <w:rPr>
          <w:rFonts w:ascii="Calibri" w:eastAsia="Calibri"/>
        </w:rPr>
        <w:t>2 </w:t>
      </w:r>
      <w:r>
        <w:rPr>
          <w:spacing w:val="-25"/>
        </w:rPr>
        <w:t>层 </w:t>
      </w:r>
      <w:r>
        <w:rPr>
          <w:rFonts w:ascii="Calibri" w:eastAsia="Calibri"/>
        </w:rPr>
        <w:t>222 </w:t>
      </w:r>
      <w:r>
        <w:rPr/>
        <w:t>单元</w:t>
      </w:r>
      <w:r>
        <w:rPr>
          <w:spacing w:val="-3"/>
        </w:rPr>
        <w:t>法定代表人：郑毓栋</w:t>
      </w:r>
    </w:p>
    <w:p>
      <w:pPr>
        <w:pStyle w:val="BodyText"/>
        <w:spacing w:line="417" w:lineRule="auto" w:before="1"/>
        <w:ind w:left="960" w:right="6898"/>
        <w:rPr>
          <w:rFonts w:ascii="Calibri" w:eastAsia="Calibri"/>
        </w:rPr>
      </w:pPr>
      <w:r>
        <w:rPr/>
        <w:t>电话：</w:t>
      </w:r>
      <w:r>
        <w:rPr>
          <w:rFonts w:ascii="Calibri" w:eastAsia="Calibri"/>
        </w:rPr>
        <w:t>010-65951887 </w:t>
      </w:r>
      <w:r>
        <w:rPr/>
        <w:t>传真：</w:t>
      </w:r>
      <w:r>
        <w:rPr>
          <w:rFonts w:ascii="Calibri" w:eastAsia="Calibri"/>
        </w:rPr>
        <w:t>010-65951887</w:t>
      </w:r>
    </w:p>
    <w:p>
      <w:pPr>
        <w:pStyle w:val="BodyText"/>
        <w:spacing w:line="269" w:lineRule="exact"/>
        <w:ind w:left="960"/>
      </w:pPr>
      <w:r>
        <w:rPr/>
        <w:t>联系人：姜颖</w:t>
      </w:r>
    </w:p>
    <w:p>
      <w:pPr>
        <w:pStyle w:val="BodyText"/>
        <w:spacing w:before="6"/>
        <w:rPr>
          <w:sz w:val="15"/>
        </w:rPr>
      </w:pPr>
    </w:p>
    <w:p>
      <w:pPr>
        <w:pStyle w:val="BodyText"/>
        <w:spacing w:line="417" w:lineRule="auto"/>
        <w:ind w:left="960" w:right="5986"/>
        <w:rPr>
          <w:rFonts w:ascii="Calibri" w:eastAsia="Calibri"/>
        </w:rPr>
      </w:pPr>
      <w:r>
        <w:rPr/>
        <w:t>网址：</w:t>
      </w:r>
      <w:hyperlink r:id="rId82">
        <w:r>
          <w:rPr>
            <w:rFonts w:ascii="Calibri" w:eastAsia="Calibri"/>
          </w:rPr>
          <w:t>www.hongdianfund.com </w:t>
        </w:r>
      </w:hyperlink>
      <w:r>
        <w:rPr/>
        <w:t>客户服务电话：</w:t>
      </w:r>
      <w:r>
        <w:rPr>
          <w:rFonts w:ascii="Calibri" w:eastAsia="Calibri"/>
        </w:rPr>
        <w:t>400-618-0707</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上海攀赢基金销售有限公司</w:t>
      </w:r>
    </w:p>
    <w:p>
      <w:pPr>
        <w:pStyle w:val="BodyText"/>
        <w:spacing w:before="7"/>
        <w:rPr>
          <w:sz w:val="15"/>
        </w:rPr>
      </w:pPr>
    </w:p>
    <w:p>
      <w:pPr>
        <w:pStyle w:val="BodyText"/>
        <w:spacing w:before="1"/>
        <w:ind w:left="960"/>
      </w:pPr>
      <w:r>
        <w:rPr/>
        <w:t>住所：上海市闸北区广中西路 </w:t>
      </w:r>
      <w:r>
        <w:rPr>
          <w:rFonts w:ascii="Calibri" w:eastAsia="Calibri"/>
        </w:rPr>
        <w:t>1207 </w:t>
      </w:r>
      <w:r>
        <w:rPr/>
        <w:t>号 </w:t>
      </w:r>
      <w:r>
        <w:rPr>
          <w:rFonts w:ascii="Calibri" w:eastAsia="Calibri"/>
        </w:rPr>
        <w:t>306 </w:t>
      </w:r>
      <w:r>
        <w:rPr/>
        <w:t>室</w:t>
      </w:r>
    </w:p>
    <w:p>
      <w:pPr>
        <w:pStyle w:val="BodyText"/>
        <w:spacing w:before="6"/>
        <w:rPr>
          <w:sz w:val="15"/>
        </w:rPr>
      </w:pPr>
    </w:p>
    <w:p>
      <w:pPr>
        <w:pStyle w:val="BodyText"/>
        <w:spacing w:line="417" w:lineRule="auto"/>
        <w:ind w:left="960" w:right="3504"/>
      </w:pPr>
      <w:r>
        <w:rPr>
          <w:spacing w:val="-6"/>
        </w:rPr>
        <w:t>办公地址：上海市陆家嘴银城路 </w:t>
      </w:r>
      <w:r>
        <w:rPr>
          <w:rFonts w:ascii="Calibri" w:eastAsia="Calibri"/>
        </w:rPr>
        <w:t>116 </w:t>
      </w:r>
      <w:r>
        <w:rPr>
          <w:spacing w:val="-9"/>
        </w:rPr>
        <w:t>号大华银行大厦 </w:t>
      </w:r>
      <w:r>
        <w:rPr>
          <w:rFonts w:ascii="Calibri" w:eastAsia="Calibri"/>
        </w:rPr>
        <w:t>7 </w:t>
      </w:r>
      <w:r>
        <w:rPr/>
        <w:t>楼</w:t>
      </w:r>
      <w:r>
        <w:rPr>
          <w:spacing w:val="-3"/>
        </w:rPr>
        <w:t>法定代表人：沈茹意</w:t>
      </w:r>
    </w:p>
    <w:p>
      <w:pPr>
        <w:pStyle w:val="BodyText"/>
        <w:spacing w:line="417" w:lineRule="auto"/>
        <w:ind w:left="960" w:right="6898"/>
        <w:rPr>
          <w:rFonts w:ascii="Calibri" w:eastAsia="Calibri"/>
        </w:rPr>
      </w:pPr>
      <w:r>
        <w:rPr/>
        <w:t>电话：</w:t>
      </w:r>
      <w:r>
        <w:rPr>
          <w:rFonts w:ascii="Calibri" w:eastAsia="Calibri"/>
        </w:rPr>
        <w:t>15317992110 </w:t>
      </w:r>
      <w:r>
        <w:rPr/>
        <w:t>传真：</w:t>
      </w:r>
      <w:r>
        <w:rPr>
          <w:rFonts w:ascii="Calibri" w:eastAsia="Calibri"/>
        </w:rPr>
        <w:t>021-68889283</w:t>
      </w:r>
    </w:p>
    <w:p>
      <w:pPr>
        <w:pStyle w:val="BodyText"/>
        <w:spacing w:line="269" w:lineRule="exact"/>
        <w:ind w:left="960"/>
      </w:pPr>
      <w:r>
        <w:rPr/>
        <w:t>联系人：孟召社</w:t>
      </w:r>
    </w:p>
    <w:p>
      <w:pPr>
        <w:pStyle w:val="BodyText"/>
        <w:spacing w:before="7"/>
        <w:rPr>
          <w:sz w:val="15"/>
        </w:rPr>
      </w:pPr>
    </w:p>
    <w:p>
      <w:pPr>
        <w:pStyle w:val="BodyText"/>
        <w:ind w:left="960"/>
        <w:rPr>
          <w:rFonts w:ascii="Calibri" w:eastAsia="Calibri"/>
        </w:rPr>
      </w:pPr>
      <w:r>
        <w:rPr/>
        <w:t>网址：</w:t>
      </w:r>
      <w:hyperlink r:id="rId83">
        <w:r>
          <w:rPr>
            <w:rFonts w:ascii="Calibri" w:eastAsia="Calibri"/>
          </w:rPr>
          <w:t>http://www.pytz.cn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021-68889082</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上海陆金所基金销售有限公司</w:t>
      </w:r>
    </w:p>
    <w:p>
      <w:pPr>
        <w:pStyle w:val="BodyText"/>
        <w:spacing w:before="6"/>
        <w:rPr>
          <w:sz w:val="15"/>
        </w:rPr>
      </w:pPr>
    </w:p>
    <w:p>
      <w:pPr>
        <w:pStyle w:val="BodyText"/>
        <w:ind w:left="960"/>
      </w:pPr>
      <w:r>
        <w:rPr/>
        <w:t>住所：上海市浦东新区陆家嘴环路 </w:t>
      </w:r>
      <w:r>
        <w:rPr>
          <w:rFonts w:ascii="Calibri" w:eastAsia="Calibri"/>
        </w:rPr>
        <w:t>1333 </w:t>
      </w:r>
      <w:r>
        <w:rPr/>
        <w:t>号 </w:t>
      </w:r>
      <w:r>
        <w:rPr>
          <w:rFonts w:ascii="Calibri" w:eastAsia="Calibri"/>
        </w:rPr>
        <w:t>14 </w:t>
      </w:r>
      <w:r>
        <w:rPr/>
        <w:t>楼 </w:t>
      </w:r>
      <w:r>
        <w:rPr>
          <w:rFonts w:ascii="Calibri" w:eastAsia="Calibri"/>
        </w:rPr>
        <w:t>09 </w:t>
      </w:r>
      <w:r>
        <w:rPr/>
        <w:t>单元</w:t>
      </w:r>
    </w:p>
    <w:p>
      <w:pPr>
        <w:pStyle w:val="BodyText"/>
        <w:spacing w:before="7"/>
        <w:rPr>
          <w:sz w:val="15"/>
        </w:rPr>
      </w:pPr>
    </w:p>
    <w:p>
      <w:pPr>
        <w:pStyle w:val="BodyText"/>
        <w:spacing w:line="417" w:lineRule="auto"/>
        <w:ind w:left="960" w:right="4389"/>
      </w:pPr>
      <w:r>
        <w:rPr/>
        <w:t>办公地址：上海市浦东新区陆家嘴环路 </w:t>
      </w:r>
      <w:r>
        <w:rPr>
          <w:rFonts w:ascii="Calibri" w:eastAsia="Calibri"/>
        </w:rPr>
        <w:t>1333 </w:t>
      </w:r>
      <w:r>
        <w:rPr/>
        <w:t>号法定代表人：王之光</w:t>
      </w:r>
    </w:p>
    <w:p>
      <w:pPr>
        <w:pStyle w:val="BodyText"/>
        <w:spacing w:line="417" w:lineRule="auto"/>
        <w:ind w:left="960" w:right="6898"/>
        <w:rPr>
          <w:rFonts w:ascii="Calibri" w:eastAsia="Calibri"/>
        </w:rPr>
      </w:pPr>
      <w:r>
        <w:rPr/>
        <w:t>电话：</w:t>
      </w:r>
      <w:r>
        <w:rPr>
          <w:rFonts w:ascii="Calibri" w:eastAsia="Calibri"/>
        </w:rPr>
        <w:t>021-20665952 </w:t>
      </w:r>
      <w:r>
        <w:rPr/>
        <w:t>传真：</w:t>
      </w:r>
      <w:r>
        <w:rPr>
          <w:rFonts w:ascii="Calibri" w:eastAsia="Calibri"/>
        </w:rPr>
        <w:t>021-22066653</w:t>
      </w:r>
    </w:p>
    <w:p>
      <w:pPr>
        <w:pStyle w:val="BodyText"/>
        <w:ind w:left="960"/>
      </w:pPr>
      <w:r>
        <w:rPr/>
        <w:t>联系人：宁博宇</w:t>
      </w:r>
    </w:p>
    <w:p>
      <w:pPr>
        <w:pStyle w:val="BodyText"/>
        <w:spacing w:before="6"/>
        <w:rPr>
          <w:sz w:val="15"/>
        </w:rPr>
      </w:pPr>
    </w:p>
    <w:p>
      <w:pPr>
        <w:pStyle w:val="BodyText"/>
        <w:spacing w:before="1"/>
        <w:ind w:left="960"/>
        <w:rPr>
          <w:rFonts w:ascii="Calibri" w:eastAsia="Calibri"/>
        </w:rPr>
      </w:pPr>
      <w:r>
        <w:rPr/>
        <w:t>网址：</w:t>
      </w:r>
      <w:hyperlink r:id="rId84">
        <w:r>
          <w:rPr>
            <w:rFonts w:ascii="Calibri" w:eastAsia="Calibri"/>
          </w:rPr>
          <w:t>www.lufunds.com</w:t>
        </w:r>
      </w:hyperlink>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客户服务电话：</w:t>
      </w:r>
      <w:r>
        <w:rPr>
          <w:rFonts w:ascii="Calibri" w:eastAsia="Calibri"/>
        </w:rPr>
        <w:t>400-821-9031</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大泰金石基金销售有限公司</w:t>
      </w:r>
    </w:p>
    <w:p>
      <w:pPr>
        <w:pStyle w:val="BodyText"/>
        <w:spacing w:before="7"/>
        <w:rPr>
          <w:sz w:val="15"/>
        </w:rPr>
      </w:pPr>
    </w:p>
    <w:p>
      <w:pPr>
        <w:pStyle w:val="BodyText"/>
        <w:ind w:left="960"/>
      </w:pPr>
      <w:r>
        <w:rPr/>
        <w:t>住所：南京市建邺区江东中路 </w:t>
      </w:r>
      <w:r>
        <w:rPr>
          <w:rFonts w:ascii="Calibri" w:eastAsia="Calibri"/>
        </w:rPr>
        <w:t>222 </w:t>
      </w:r>
      <w:r>
        <w:rPr/>
        <w:t>号南京奥体中心现代五项馆 </w:t>
      </w:r>
      <w:r>
        <w:rPr>
          <w:rFonts w:ascii="Calibri" w:eastAsia="Calibri"/>
        </w:rPr>
        <w:t>2105 </w:t>
      </w:r>
      <w:r>
        <w:rPr/>
        <w:t>室</w:t>
      </w:r>
    </w:p>
    <w:p>
      <w:pPr>
        <w:pStyle w:val="BodyText"/>
        <w:spacing w:before="6"/>
        <w:rPr>
          <w:sz w:val="15"/>
        </w:rPr>
      </w:pPr>
    </w:p>
    <w:p>
      <w:pPr>
        <w:pStyle w:val="BodyText"/>
        <w:spacing w:line="417" w:lineRule="auto" w:before="1"/>
        <w:ind w:left="960" w:right="3187"/>
      </w:pPr>
      <w:r>
        <w:rPr>
          <w:spacing w:val="-6"/>
        </w:rPr>
        <w:t>办公地址：上海市浦东新区峨山路 </w:t>
      </w:r>
      <w:r>
        <w:rPr>
          <w:rFonts w:ascii="Calibri" w:eastAsia="Calibri"/>
        </w:rPr>
        <w:t>505 </w:t>
      </w:r>
      <w:r>
        <w:rPr>
          <w:spacing w:val="-9"/>
        </w:rPr>
        <w:t>号东方纯一大厦 </w:t>
      </w:r>
      <w:r>
        <w:rPr>
          <w:rFonts w:ascii="Calibri" w:eastAsia="Calibri"/>
        </w:rPr>
        <w:t>15 </w:t>
      </w:r>
      <w:r>
        <w:rPr/>
        <w:t>楼</w:t>
      </w:r>
      <w:r>
        <w:rPr>
          <w:spacing w:val="-3"/>
        </w:rPr>
        <w:t>法定代表人：袁顾明</w:t>
      </w:r>
    </w:p>
    <w:p>
      <w:pPr>
        <w:pStyle w:val="BodyText"/>
        <w:spacing w:line="417" w:lineRule="auto"/>
        <w:ind w:left="960" w:right="6898"/>
        <w:rPr>
          <w:rFonts w:ascii="Calibri" w:eastAsia="Calibri"/>
        </w:rPr>
      </w:pPr>
      <w:r>
        <w:rPr/>
        <w:t>电话：</w:t>
      </w:r>
      <w:r>
        <w:rPr>
          <w:rFonts w:ascii="Calibri" w:eastAsia="Calibri"/>
        </w:rPr>
        <w:t>13671788303 </w:t>
      </w:r>
      <w:r>
        <w:rPr/>
        <w:t>传真：</w:t>
      </w:r>
      <w:r>
        <w:rPr>
          <w:rFonts w:ascii="Calibri" w:eastAsia="Calibri"/>
        </w:rPr>
        <w:t>021-20324199</w:t>
      </w:r>
    </w:p>
    <w:p>
      <w:pPr>
        <w:pStyle w:val="BodyText"/>
        <w:ind w:left="960"/>
      </w:pPr>
      <w:r>
        <w:rPr/>
        <w:t>联系人：刘璐</w:t>
      </w:r>
    </w:p>
    <w:p>
      <w:pPr>
        <w:pStyle w:val="BodyText"/>
        <w:spacing w:before="6"/>
        <w:rPr>
          <w:sz w:val="15"/>
        </w:rPr>
      </w:pPr>
    </w:p>
    <w:p>
      <w:pPr>
        <w:pStyle w:val="BodyText"/>
        <w:ind w:left="960"/>
        <w:rPr>
          <w:rFonts w:ascii="Calibri" w:eastAsia="Calibri"/>
        </w:rPr>
      </w:pPr>
      <w:r>
        <w:rPr/>
        <w:t>网址：</w:t>
      </w:r>
      <w:hyperlink r:id="rId85">
        <w:r>
          <w:rPr>
            <w:rFonts w:ascii="Calibri" w:eastAsia="Calibri"/>
          </w:rPr>
          <w:t>www.dtfunds.com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400-928-2266</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珠海盈米基金销售有限公司</w:t>
      </w:r>
    </w:p>
    <w:p>
      <w:pPr>
        <w:pStyle w:val="BodyText"/>
        <w:spacing w:before="6"/>
        <w:rPr>
          <w:sz w:val="15"/>
        </w:rPr>
      </w:pPr>
    </w:p>
    <w:p>
      <w:pPr>
        <w:pStyle w:val="BodyText"/>
        <w:ind w:left="960"/>
        <w:rPr>
          <w:rFonts w:ascii="Calibri" w:eastAsia="Calibri"/>
        </w:rPr>
      </w:pPr>
      <w:r>
        <w:rPr/>
        <w:t>住所：珠海市横琴新区宝华路 </w:t>
      </w:r>
      <w:r>
        <w:rPr>
          <w:rFonts w:ascii="Calibri" w:eastAsia="Calibri"/>
        </w:rPr>
        <w:t>6 </w:t>
      </w:r>
      <w:r>
        <w:rPr/>
        <w:t>号 </w:t>
      </w:r>
      <w:r>
        <w:rPr>
          <w:rFonts w:ascii="Calibri" w:eastAsia="Calibri"/>
        </w:rPr>
        <w:t>105 </w:t>
      </w:r>
      <w:r>
        <w:rPr/>
        <w:t>室</w:t>
      </w:r>
      <w:r>
        <w:rPr>
          <w:rFonts w:ascii="Calibri" w:eastAsia="Calibri"/>
        </w:rPr>
        <w:t>-3491</w:t>
      </w:r>
    </w:p>
    <w:p>
      <w:pPr>
        <w:pStyle w:val="BodyText"/>
        <w:spacing w:before="4"/>
        <w:rPr>
          <w:rFonts w:ascii="Calibri"/>
          <w:sz w:val="16"/>
        </w:rPr>
      </w:pPr>
    </w:p>
    <w:p>
      <w:pPr>
        <w:pStyle w:val="BodyText"/>
        <w:ind w:left="960"/>
        <w:rPr>
          <w:rFonts w:ascii="Calibri" w:eastAsia="Calibri"/>
        </w:rPr>
      </w:pPr>
      <w:r>
        <w:rPr/>
        <w:t>办公地址：广东省广州市海珠区琶洲大道东 </w:t>
      </w:r>
      <w:r>
        <w:rPr>
          <w:rFonts w:ascii="Calibri" w:eastAsia="Calibri"/>
        </w:rPr>
        <w:t>1 </w:t>
      </w:r>
      <w:r>
        <w:rPr/>
        <w:t>号保利国际广场南塔</w:t>
      </w:r>
      <w:r>
        <w:rPr>
          <w:rFonts w:ascii="Calibri" w:eastAsia="Calibri"/>
        </w:rPr>
        <w:t>B1201-1203</w:t>
      </w:r>
    </w:p>
    <w:p>
      <w:pPr>
        <w:pStyle w:val="BodyText"/>
        <w:spacing w:before="3"/>
        <w:rPr>
          <w:rFonts w:ascii="Calibri"/>
          <w:sz w:val="16"/>
        </w:rPr>
      </w:pPr>
    </w:p>
    <w:p>
      <w:pPr>
        <w:pStyle w:val="BodyText"/>
        <w:spacing w:line="417" w:lineRule="auto" w:before="1"/>
        <w:ind w:left="960" w:right="6837"/>
        <w:rPr>
          <w:rFonts w:ascii="Calibri" w:eastAsia="Calibri"/>
        </w:rPr>
      </w:pPr>
      <w:r>
        <w:rPr/>
        <w:t>法定代表人：肖雯电话：</w:t>
      </w:r>
      <w:r>
        <w:rPr>
          <w:rFonts w:ascii="Calibri" w:eastAsia="Calibri"/>
        </w:rPr>
        <w:t>020-89629021 </w:t>
      </w:r>
      <w:r>
        <w:rPr/>
        <w:t>传真：</w:t>
      </w:r>
      <w:r>
        <w:rPr>
          <w:rFonts w:ascii="Calibri" w:eastAsia="Calibri"/>
        </w:rPr>
        <w:t>020-89629011</w:t>
      </w:r>
    </w:p>
    <w:p>
      <w:pPr>
        <w:pStyle w:val="BodyText"/>
        <w:ind w:left="960"/>
      </w:pPr>
      <w:r>
        <w:rPr/>
        <w:t>联系人：吴煜浩</w:t>
      </w:r>
    </w:p>
    <w:p>
      <w:pPr>
        <w:pStyle w:val="BodyText"/>
        <w:spacing w:before="6"/>
        <w:rPr>
          <w:sz w:val="15"/>
        </w:rPr>
      </w:pPr>
    </w:p>
    <w:p>
      <w:pPr>
        <w:pStyle w:val="BodyText"/>
        <w:ind w:left="960"/>
        <w:rPr>
          <w:rFonts w:ascii="Calibri" w:eastAsia="Calibri"/>
        </w:rPr>
      </w:pPr>
      <w:r>
        <w:rPr/>
        <w:t>网址：</w:t>
      </w:r>
      <w:hyperlink r:id="rId86">
        <w:r>
          <w:rPr>
            <w:rFonts w:ascii="Calibri" w:eastAsia="Calibri"/>
          </w:rPr>
          <w:t>www.yingmi.cn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020-89629066</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和耕传承基金销售有限公司</w:t>
      </w:r>
    </w:p>
    <w:p>
      <w:pPr>
        <w:pStyle w:val="BodyText"/>
        <w:spacing w:before="7"/>
        <w:rPr>
          <w:sz w:val="15"/>
        </w:rPr>
      </w:pPr>
    </w:p>
    <w:p>
      <w:pPr>
        <w:pStyle w:val="BodyText"/>
        <w:ind w:left="960"/>
        <w:rPr>
          <w:rFonts w:ascii="Calibri" w:eastAsia="Calibri"/>
        </w:rPr>
      </w:pPr>
      <w:r>
        <w:rPr/>
        <w:t>住所：河南自贸试验区郑州片区（郑东）东风东路东、康宁街北 </w:t>
      </w:r>
      <w:r>
        <w:rPr>
          <w:rFonts w:ascii="Calibri" w:eastAsia="Calibri"/>
        </w:rPr>
        <w:t>6 </w:t>
      </w:r>
      <w:r>
        <w:rPr/>
        <w:t>号楼 </w:t>
      </w:r>
      <w:r>
        <w:rPr>
          <w:rFonts w:ascii="Calibri" w:eastAsia="Calibri"/>
        </w:rPr>
        <w:t>6 </w:t>
      </w:r>
      <w:r>
        <w:rPr/>
        <w:t>楼 </w:t>
      </w:r>
      <w:r>
        <w:rPr>
          <w:rFonts w:ascii="Calibri" w:eastAsia="Calibri"/>
        </w:rPr>
        <w:t>602</w:t>
      </w:r>
      <w:r>
        <w:rPr/>
        <w:t>、</w:t>
      </w:r>
      <w:r>
        <w:rPr>
          <w:rFonts w:ascii="Calibri" w:eastAsia="Calibri"/>
        </w:rPr>
        <w:t>603</w:t>
      </w:r>
    </w:p>
    <w:p>
      <w:pPr>
        <w:pStyle w:val="BodyText"/>
        <w:spacing w:before="4"/>
        <w:rPr>
          <w:rFonts w:ascii="Calibri"/>
          <w:sz w:val="16"/>
        </w:rPr>
      </w:pPr>
    </w:p>
    <w:p>
      <w:pPr>
        <w:pStyle w:val="BodyText"/>
        <w:ind w:left="540"/>
      </w:pPr>
      <w:r>
        <w:rPr/>
        <w:t>房间</w:t>
      </w:r>
    </w:p>
    <w:p>
      <w:pPr>
        <w:pStyle w:val="BodyText"/>
        <w:spacing w:before="7"/>
        <w:rPr>
          <w:sz w:val="15"/>
        </w:rPr>
      </w:pPr>
    </w:p>
    <w:p>
      <w:pPr>
        <w:pStyle w:val="BodyText"/>
        <w:spacing w:line="417" w:lineRule="auto"/>
        <w:ind w:left="960" w:right="3502"/>
      </w:pPr>
      <w:r>
        <w:rPr>
          <w:spacing w:val="-6"/>
        </w:rPr>
        <w:t>办公地址：北京市朝阳区酒仙桥路 </w:t>
      </w:r>
      <w:r>
        <w:rPr>
          <w:rFonts w:ascii="Calibri" w:eastAsia="Calibri"/>
        </w:rPr>
        <w:t>6 </w:t>
      </w:r>
      <w:r>
        <w:rPr>
          <w:spacing w:val="-9"/>
        </w:rPr>
        <w:t>号院国际电子城 </w:t>
      </w:r>
      <w:r>
        <w:rPr>
          <w:rFonts w:ascii="Calibri" w:eastAsia="Calibri"/>
        </w:rPr>
        <w:t>b </w:t>
      </w:r>
      <w:r>
        <w:rPr/>
        <w:t>座</w:t>
      </w:r>
      <w:r>
        <w:rPr>
          <w:spacing w:val="-3"/>
        </w:rPr>
        <w:t>法定代表人：王旋</w:t>
      </w:r>
    </w:p>
    <w:p>
      <w:pPr>
        <w:pStyle w:val="BodyText"/>
        <w:spacing w:line="417" w:lineRule="auto"/>
        <w:ind w:left="960" w:right="6790"/>
        <w:rPr>
          <w:rFonts w:ascii="Calibri" w:eastAsia="Calibri"/>
        </w:rPr>
      </w:pPr>
      <w:r>
        <w:rPr/>
        <w:t>电话：</w:t>
      </w:r>
      <w:r>
        <w:rPr>
          <w:rFonts w:ascii="Calibri" w:eastAsia="Calibri"/>
        </w:rPr>
        <w:t>0371-85518396 </w:t>
      </w:r>
      <w:r>
        <w:rPr/>
        <w:t>传真：</w:t>
      </w:r>
      <w:r>
        <w:rPr>
          <w:rFonts w:ascii="Calibri" w:eastAsia="Calibri"/>
        </w:rPr>
        <w:t>0371-85518397</w:t>
      </w:r>
    </w:p>
    <w:p>
      <w:pPr>
        <w:pStyle w:val="BodyText"/>
        <w:spacing w:line="269" w:lineRule="exact"/>
        <w:ind w:left="960"/>
      </w:pPr>
      <w:r>
        <w:rPr/>
        <w:t>联系人：胡静华</w:t>
      </w:r>
    </w:p>
    <w:p>
      <w:pPr>
        <w:pStyle w:val="BodyText"/>
        <w:spacing w:before="6"/>
        <w:rPr>
          <w:sz w:val="15"/>
        </w:rPr>
      </w:pPr>
    </w:p>
    <w:p>
      <w:pPr>
        <w:pStyle w:val="BodyText"/>
        <w:spacing w:before="1"/>
        <w:ind w:left="960"/>
        <w:rPr>
          <w:rFonts w:ascii="Calibri" w:eastAsia="Calibri"/>
        </w:rPr>
      </w:pPr>
      <w:r>
        <w:rPr/>
        <w:t>网址：</w:t>
      </w:r>
      <w:hyperlink r:id="rId87">
        <w:r>
          <w:rPr>
            <w:rFonts w:ascii="Calibri" w:eastAsia="Calibri"/>
          </w:rPr>
          <w:t>www.hgccpb.com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4000-555-671</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奕丰基金销售有限公司</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before="71"/>
        <w:ind w:left="960"/>
      </w:pPr>
      <w:r>
        <w:rPr/>
        <w:t>住所：深圳市前海深港合作区前湾一路 </w:t>
      </w:r>
      <w:r>
        <w:rPr>
          <w:rFonts w:ascii="Calibri" w:eastAsia="Calibri"/>
        </w:rPr>
        <w:t>1 </w:t>
      </w:r>
      <w:r>
        <w:rPr/>
        <w:t>号</w:t>
      </w:r>
      <w:r>
        <w:rPr>
          <w:rFonts w:ascii="Calibri" w:eastAsia="Calibri"/>
        </w:rPr>
        <w:t>A </w:t>
      </w:r>
      <w:r>
        <w:rPr/>
        <w:t>栋 </w:t>
      </w:r>
      <w:r>
        <w:rPr>
          <w:rFonts w:ascii="Calibri" w:eastAsia="Calibri"/>
        </w:rPr>
        <w:t>201 </w:t>
      </w:r>
      <w:r>
        <w:rPr/>
        <w:t>室</w:t>
      </w:r>
    </w:p>
    <w:p>
      <w:pPr>
        <w:pStyle w:val="BodyText"/>
        <w:spacing w:before="7"/>
        <w:rPr>
          <w:sz w:val="15"/>
        </w:rPr>
      </w:pPr>
    </w:p>
    <w:p>
      <w:pPr>
        <w:pStyle w:val="BodyText"/>
        <w:spacing w:line="417" w:lineRule="auto"/>
        <w:ind w:left="960" w:right="2591"/>
        <w:rPr>
          <w:rFonts w:ascii="Calibri" w:eastAsia="Calibri"/>
        </w:rPr>
      </w:pPr>
      <w:r>
        <w:rPr/>
        <w:t>办公地址：深圳市南山区海德三道航天科技广场</w:t>
      </w:r>
      <w:r>
        <w:rPr>
          <w:rFonts w:ascii="Calibri" w:eastAsia="Calibri"/>
        </w:rPr>
        <w:t>A </w:t>
      </w:r>
      <w:r>
        <w:rPr/>
        <w:t>座 </w:t>
      </w:r>
      <w:r>
        <w:rPr>
          <w:rFonts w:ascii="Calibri" w:eastAsia="Calibri"/>
        </w:rPr>
        <w:t>17 </w:t>
      </w:r>
      <w:r>
        <w:rPr/>
        <w:t>楼 </w:t>
      </w:r>
      <w:r>
        <w:rPr>
          <w:rFonts w:ascii="Calibri" w:eastAsia="Calibri"/>
        </w:rPr>
        <w:t>1704 </w:t>
      </w:r>
      <w:r>
        <w:rPr/>
        <w:t>室法定代表人：</w:t>
      </w:r>
      <w:r>
        <w:rPr>
          <w:rFonts w:ascii="Calibri" w:eastAsia="Calibri"/>
        </w:rPr>
        <w:t>TEO WEE HOWE</w:t>
      </w:r>
    </w:p>
    <w:p>
      <w:pPr>
        <w:pStyle w:val="BodyText"/>
        <w:spacing w:line="417" w:lineRule="auto"/>
        <w:ind w:left="960" w:right="6790"/>
        <w:rPr>
          <w:rFonts w:ascii="Calibri" w:eastAsia="Calibri"/>
        </w:rPr>
      </w:pPr>
      <w:r>
        <w:rPr/>
        <w:t>电话：</w:t>
      </w:r>
      <w:r>
        <w:rPr>
          <w:rFonts w:ascii="Calibri" w:eastAsia="Calibri"/>
        </w:rPr>
        <w:t>0755-89460507 </w:t>
      </w:r>
      <w:r>
        <w:rPr/>
        <w:t>传真：</w:t>
      </w:r>
      <w:r>
        <w:rPr>
          <w:rFonts w:ascii="Calibri" w:eastAsia="Calibri"/>
        </w:rPr>
        <w:t>0755-21674453</w:t>
      </w:r>
    </w:p>
    <w:p>
      <w:pPr>
        <w:pStyle w:val="BodyText"/>
        <w:spacing w:line="269" w:lineRule="exact"/>
        <w:ind w:left="960"/>
      </w:pPr>
      <w:r>
        <w:rPr/>
        <w:t>联系人：叶健</w:t>
      </w:r>
    </w:p>
    <w:p>
      <w:pPr>
        <w:pStyle w:val="BodyText"/>
        <w:spacing w:before="6"/>
        <w:rPr>
          <w:sz w:val="15"/>
        </w:rPr>
      </w:pPr>
    </w:p>
    <w:p>
      <w:pPr>
        <w:pStyle w:val="BodyText"/>
        <w:spacing w:before="1"/>
        <w:ind w:left="960"/>
        <w:rPr>
          <w:rFonts w:ascii="Calibri" w:eastAsia="Calibri"/>
        </w:rPr>
      </w:pPr>
      <w:r>
        <w:rPr/>
        <w:t>网址：</w:t>
      </w:r>
      <w:hyperlink r:id="rId88">
        <w:r>
          <w:rPr>
            <w:rFonts w:ascii="Calibri" w:eastAsia="Calibri"/>
          </w:rPr>
          <w:t>www.ifastps.com.cn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400-684-0500</w:t>
      </w:r>
    </w:p>
    <w:p>
      <w:pPr>
        <w:pStyle w:val="BodyText"/>
        <w:spacing w:before="3"/>
        <w:rPr>
          <w:rFonts w:ascii="Calibri"/>
          <w:sz w:val="16"/>
        </w:rPr>
      </w:pPr>
    </w:p>
    <w:p>
      <w:pPr>
        <w:pStyle w:val="ListParagraph"/>
        <w:numPr>
          <w:ilvl w:val="0"/>
          <w:numId w:val="32"/>
        </w:numPr>
        <w:tabs>
          <w:tab w:pos="1598" w:val="left" w:leader="none"/>
        </w:tabs>
        <w:spacing w:line="417" w:lineRule="auto" w:before="0" w:after="0"/>
        <w:ind w:left="960" w:right="448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Calibri" w:eastAsia="Calibri"/>
          <w:sz w:val="21"/>
        </w:rPr>
        <w:t>1</w:t>
      </w:r>
      <w:r>
        <w:rPr>
          <w:rFonts w:ascii="Calibri" w:eastAsia="Calibri"/>
          <w:spacing w:val="6"/>
          <w:sz w:val="21"/>
        </w:rPr>
        <w:t> </w:t>
      </w:r>
      <w:r>
        <w:rPr>
          <w:spacing w:val="-26"/>
          <w:sz w:val="21"/>
        </w:rPr>
        <w:t>号 </w:t>
      </w:r>
      <w:r>
        <w:rPr>
          <w:rFonts w:ascii="Calibri" w:eastAsia="Calibri"/>
          <w:sz w:val="21"/>
        </w:rPr>
        <w:t>2</w:t>
      </w:r>
      <w:r>
        <w:rPr>
          <w:rFonts w:ascii="Calibri" w:eastAsia="Calibri"/>
          <w:spacing w:val="10"/>
          <w:sz w:val="21"/>
        </w:rPr>
        <w:t> </w:t>
      </w:r>
      <w:r>
        <w:rPr>
          <w:spacing w:val="-19"/>
          <w:sz w:val="21"/>
        </w:rPr>
        <w:t>号楼 </w:t>
      </w:r>
      <w:r>
        <w:rPr>
          <w:rFonts w:ascii="Calibri" w:eastAsia="Calibri"/>
          <w:sz w:val="21"/>
        </w:rPr>
        <w:t>2-45</w:t>
      </w:r>
      <w:r>
        <w:rPr>
          <w:rFonts w:ascii="Calibri" w:eastAsia="Calibri"/>
          <w:spacing w:val="6"/>
          <w:sz w:val="21"/>
        </w:rPr>
        <w:t> </w:t>
      </w:r>
      <w:r>
        <w:rPr>
          <w:sz w:val="21"/>
        </w:rPr>
        <w:t>室</w:t>
      </w:r>
    </w:p>
    <w:p>
      <w:pPr>
        <w:pStyle w:val="BodyText"/>
        <w:spacing w:line="417" w:lineRule="auto"/>
        <w:ind w:left="960" w:right="2650"/>
      </w:pPr>
      <w:r>
        <w:rPr>
          <w:spacing w:val="-5"/>
        </w:rPr>
        <w:t>办公地址：北京市宣武门外大街甲一号新华社第三工作区 </w:t>
      </w:r>
      <w:r>
        <w:rPr>
          <w:rFonts w:ascii="Calibri" w:eastAsia="Calibri"/>
        </w:rPr>
        <w:t>A </w:t>
      </w:r>
      <w:r>
        <w:rPr>
          <w:spacing w:val="-23"/>
        </w:rPr>
        <w:t>座 </w:t>
      </w:r>
      <w:r>
        <w:rPr>
          <w:rFonts w:ascii="Calibri" w:eastAsia="Calibri"/>
        </w:rPr>
        <w:t>5 </w:t>
      </w:r>
      <w:r>
        <w:rPr/>
        <w:t>层</w:t>
      </w:r>
      <w:r>
        <w:rPr>
          <w:spacing w:val="-3"/>
        </w:rPr>
        <w:t>法定代表人：钱昊旻</w:t>
      </w:r>
    </w:p>
    <w:p>
      <w:pPr>
        <w:pStyle w:val="BodyText"/>
        <w:spacing w:line="417" w:lineRule="auto"/>
        <w:ind w:left="960" w:right="6898"/>
        <w:rPr>
          <w:rFonts w:ascii="Calibri" w:eastAsia="Calibri"/>
        </w:rPr>
      </w:pPr>
      <w:r>
        <w:rPr/>
        <w:t>电话：</w:t>
      </w:r>
      <w:r>
        <w:rPr>
          <w:rFonts w:ascii="Calibri" w:eastAsia="Calibri"/>
        </w:rPr>
        <w:t>010-59336519 </w:t>
      </w:r>
      <w:r>
        <w:rPr/>
        <w:t>传真：</w:t>
      </w:r>
      <w:r>
        <w:rPr>
          <w:rFonts w:ascii="Calibri" w:eastAsia="Calibri"/>
        </w:rPr>
        <w:t>010-59336500</w:t>
      </w:r>
    </w:p>
    <w:p>
      <w:pPr>
        <w:pStyle w:val="BodyText"/>
        <w:ind w:left="960"/>
      </w:pPr>
      <w:r>
        <w:rPr/>
        <w:t>联系人：孙雯</w:t>
      </w:r>
    </w:p>
    <w:p>
      <w:pPr>
        <w:pStyle w:val="BodyText"/>
        <w:spacing w:before="6"/>
        <w:rPr>
          <w:sz w:val="15"/>
        </w:rPr>
      </w:pPr>
    </w:p>
    <w:p>
      <w:pPr>
        <w:pStyle w:val="BodyText"/>
        <w:spacing w:before="1"/>
        <w:ind w:left="960"/>
        <w:rPr>
          <w:rFonts w:ascii="Calibri" w:eastAsia="Calibri"/>
        </w:rPr>
      </w:pPr>
      <w:r>
        <w:rPr/>
        <w:t>网址：</w:t>
      </w:r>
      <w:hyperlink r:id="rId89">
        <w:r>
          <w:rPr>
            <w:rFonts w:ascii="Calibri" w:eastAsia="Calibri"/>
          </w:rPr>
          <w:t>www.jnlc.com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4008-909-998</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京东肯特瑞基金销售有限公司</w:t>
      </w:r>
    </w:p>
    <w:p>
      <w:pPr>
        <w:pStyle w:val="BodyText"/>
        <w:spacing w:before="6"/>
        <w:rPr>
          <w:sz w:val="15"/>
        </w:rPr>
      </w:pPr>
    </w:p>
    <w:p>
      <w:pPr>
        <w:pStyle w:val="BodyText"/>
        <w:spacing w:before="1"/>
        <w:ind w:left="960"/>
        <w:rPr>
          <w:rFonts w:ascii="Calibri" w:eastAsia="Calibri"/>
        </w:rPr>
      </w:pPr>
      <w:r>
        <w:rPr/>
        <w:t>住所：北京市海淀区显龙山路 </w:t>
      </w:r>
      <w:r>
        <w:rPr>
          <w:rFonts w:ascii="Calibri" w:eastAsia="Calibri"/>
        </w:rPr>
        <w:t>19 </w:t>
      </w:r>
      <w:r>
        <w:rPr/>
        <w:t>号 </w:t>
      </w:r>
      <w:r>
        <w:rPr>
          <w:rFonts w:ascii="Calibri" w:eastAsia="Calibri"/>
        </w:rPr>
        <w:t>1 </w:t>
      </w:r>
      <w:r>
        <w:rPr/>
        <w:t>幢 </w:t>
      </w:r>
      <w:r>
        <w:rPr>
          <w:rFonts w:ascii="Calibri" w:eastAsia="Calibri"/>
        </w:rPr>
        <w:t>4 </w:t>
      </w:r>
      <w:r>
        <w:rPr/>
        <w:t>层 </w:t>
      </w:r>
      <w:r>
        <w:rPr>
          <w:rFonts w:ascii="Calibri" w:eastAsia="Calibri"/>
        </w:rPr>
        <w:t>1 </w:t>
      </w:r>
      <w:r>
        <w:rPr/>
        <w:t>座 </w:t>
      </w:r>
      <w:r>
        <w:rPr>
          <w:rFonts w:ascii="Calibri" w:eastAsia="Calibri"/>
        </w:rPr>
        <w:t>401</w:t>
      </w:r>
    </w:p>
    <w:p>
      <w:pPr>
        <w:pStyle w:val="BodyText"/>
        <w:spacing w:before="3"/>
        <w:rPr>
          <w:rFonts w:ascii="Calibri"/>
          <w:sz w:val="16"/>
        </w:rPr>
      </w:pPr>
    </w:p>
    <w:p>
      <w:pPr>
        <w:pStyle w:val="BodyText"/>
        <w:spacing w:line="417" w:lineRule="auto"/>
        <w:ind w:left="960" w:right="1826"/>
      </w:pPr>
      <w:r>
        <w:rPr/>
        <w:t>办公地址：北京市大兴区亦庄经济开发区科创十一街十八号院京东集团总部法定代表人：江卉</w:t>
      </w:r>
    </w:p>
    <w:p>
      <w:pPr>
        <w:pStyle w:val="BodyText"/>
        <w:spacing w:line="417" w:lineRule="auto"/>
        <w:ind w:left="960" w:right="6898"/>
        <w:rPr>
          <w:rFonts w:ascii="Calibri" w:eastAsia="Calibri"/>
        </w:rPr>
      </w:pPr>
      <w:r>
        <w:rPr/>
        <w:t>电话：</w:t>
      </w:r>
      <w:r>
        <w:rPr>
          <w:rFonts w:ascii="Calibri" w:eastAsia="Calibri"/>
        </w:rPr>
        <w:t>010-89188692 </w:t>
      </w:r>
      <w:r>
        <w:rPr/>
        <w:t>传真：</w:t>
      </w:r>
      <w:r>
        <w:rPr>
          <w:rFonts w:ascii="Calibri" w:eastAsia="Calibri"/>
        </w:rPr>
        <w:t>010-89180000</w:t>
      </w:r>
    </w:p>
    <w:p>
      <w:pPr>
        <w:pStyle w:val="BodyText"/>
        <w:spacing w:line="269" w:lineRule="exact"/>
        <w:ind w:left="960"/>
      </w:pPr>
      <w:r>
        <w:rPr/>
        <w:t>联系人：黄立影</w:t>
      </w:r>
    </w:p>
    <w:p>
      <w:pPr>
        <w:pStyle w:val="BodyText"/>
        <w:spacing w:before="7"/>
        <w:rPr>
          <w:sz w:val="15"/>
        </w:rPr>
      </w:pPr>
    </w:p>
    <w:p>
      <w:pPr>
        <w:pStyle w:val="BodyText"/>
        <w:ind w:left="960"/>
        <w:rPr>
          <w:rFonts w:ascii="Calibri" w:eastAsia="Calibri"/>
        </w:rPr>
      </w:pPr>
      <w:r>
        <w:rPr/>
        <w:t>网址：</w:t>
      </w:r>
      <w:hyperlink r:id="rId90">
        <w:r>
          <w:rPr>
            <w:rFonts w:ascii="Calibri" w:eastAsia="Calibri"/>
          </w:rPr>
          <w:t>http://fund.jd.com/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95118</w:t>
      </w:r>
      <w:r>
        <w:rPr/>
        <w:t>、</w:t>
      </w:r>
      <w:r>
        <w:rPr>
          <w:rFonts w:ascii="Calibri" w:eastAsia="Calibri"/>
        </w:rPr>
        <w:t>400-098-8511</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大连网金基金销售有限公司</w:t>
      </w:r>
    </w:p>
    <w:p>
      <w:pPr>
        <w:pStyle w:val="BodyText"/>
        <w:spacing w:before="7"/>
        <w:rPr>
          <w:sz w:val="15"/>
        </w:rPr>
      </w:pPr>
    </w:p>
    <w:p>
      <w:pPr>
        <w:pStyle w:val="BodyText"/>
        <w:ind w:left="960"/>
        <w:rPr>
          <w:rFonts w:ascii="Calibri" w:eastAsia="Calibri"/>
        </w:rPr>
      </w:pPr>
      <w:r>
        <w:rPr/>
        <w:t>住所：中国大连市沙河口区体坛路 </w:t>
      </w:r>
      <w:r>
        <w:rPr>
          <w:rFonts w:ascii="Calibri" w:eastAsia="Calibri"/>
        </w:rPr>
        <w:t>22 </w:t>
      </w:r>
      <w:r>
        <w:rPr/>
        <w:t>号诺德大厦 </w:t>
      </w:r>
      <w:r>
        <w:rPr>
          <w:rFonts w:ascii="Calibri" w:eastAsia="Calibri"/>
        </w:rPr>
        <w:t>202</w:t>
      </w:r>
    </w:p>
    <w:p>
      <w:pPr>
        <w:pStyle w:val="BodyText"/>
        <w:spacing w:before="4"/>
        <w:rPr>
          <w:rFonts w:ascii="Calibri"/>
          <w:sz w:val="16"/>
        </w:rPr>
      </w:pPr>
    </w:p>
    <w:p>
      <w:pPr>
        <w:pStyle w:val="BodyText"/>
        <w:ind w:left="960"/>
        <w:rPr>
          <w:rFonts w:ascii="Calibri" w:eastAsia="Calibri"/>
        </w:rPr>
      </w:pPr>
      <w:r>
        <w:rPr/>
        <w:t>办公地址：中国大连市沙河口区体坛路 </w:t>
      </w:r>
      <w:r>
        <w:rPr>
          <w:rFonts w:ascii="Calibri" w:eastAsia="Calibri"/>
        </w:rPr>
        <w:t>22 </w:t>
      </w:r>
      <w:r>
        <w:rPr/>
        <w:t>号诺德大厦 </w:t>
      </w:r>
      <w:r>
        <w:rPr>
          <w:rFonts w:ascii="Calibri" w:eastAsia="Calibri"/>
        </w:rPr>
        <w:t>202</w:t>
      </w:r>
    </w:p>
    <w:p>
      <w:pPr>
        <w:pStyle w:val="BodyText"/>
        <w:spacing w:before="4"/>
        <w:rPr>
          <w:rFonts w:ascii="Calibri"/>
          <w:sz w:val="16"/>
        </w:rPr>
      </w:pPr>
    </w:p>
    <w:p>
      <w:pPr>
        <w:pStyle w:val="BodyText"/>
        <w:ind w:left="960"/>
      </w:pPr>
      <w:r>
        <w:rPr/>
        <w:t>法定代表人：樊怀东</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790"/>
        <w:rPr>
          <w:rFonts w:ascii="Calibri" w:eastAsia="Calibri"/>
        </w:rPr>
      </w:pPr>
      <w:r>
        <w:rPr/>
        <w:t>电话：</w:t>
      </w:r>
      <w:r>
        <w:rPr>
          <w:rFonts w:ascii="Calibri" w:eastAsia="Calibri"/>
        </w:rPr>
        <w:t>13522300698 </w:t>
      </w:r>
      <w:r>
        <w:rPr/>
        <w:t>传真：</w:t>
      </w:r>
      <w:r>
        <w:rPr>
          <w:rFonts w:ascii="Calibri" w:eastAsia="Calibri"/>
        </w:rPr>
        <w:t>0411-39027835</w:t>
      </w:r>
    </w:p>
    <w:p>
      <w:pPr>
        <w:pStyle w:val="BodyText"/>
        <w:spacing w:line="269" w:lineRule="exact"/>
        <w:ind w:left="960"/>
      </w:pPr>
      <w:r>
        <w:rPr/>
        <w:t>联系人：王清臣</w:t>
      </w:r>
    </w:p>
    <w:p>
      <w:pPr>
        <w:pStyle w:val="BodyText"/>
        <w:spacing w:before="7"/>
        <w:rPr>
          <w:sz w:val="15"/>
        </w:rPr>
      </w:pPr>
    </w:p>
    <w:p>
      <w:pPr>
        <w:pStyle w:val="BodyText"/>
        <w:spacing w:line="417" w:lineRule="auto"/>
        <w:ind w:left="960" w:right="5913"/>
        <w:rPr>
          <w:rFonts w:ascii="Calibri" w:eastAsia="Calibri"/>
        </w:rPr>
      </w:pPr>
      <w:r>
        <w:rPr/>
        <w:t>网址：</w:t>
      </w:r>
      <w:hyperlink r:id="rId91">
        <w:r>
          <w:rPr>
            <w:rFonts w:ascii="Calibri" w:eastAsia="Calibri"/>
          </w:rPr>
          <w:t>http://www.yibaijin.com/ </w:t>
        </w:r>
      </w:hyperlink>
      <w:r>
        <w:rPr/>
        <w:t>客户服务电话：</w:t>
      </w:r>
      <w:r>
        <w:rPr>
          <w:rFonts w:ascii="Calibri" w:eastAsia="Calibri"/>
        </w:rPr>
        <w:t>4000-899-100</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960"/>
      </w:pPr>
      <w:r>
        <w:rPr/>
        <w:t>住所：上海市黄浦区中山南路 </w:t>
      </w:r>
      <w:r>
        <w:rPr>
          <w:rFonts w:ascii="Calibri" w:eastAsia="Calibri"/>
        </w:rPr>
        <w:t>100 </w:t>
      </w:r>
      <w:r>
        <w:rPr/>
        <w:t>号 </w:t>
      </w:r>
      <w:r>
        <w:rPr>
          <w:rFonts w:ascii="Calibri" w:eastAsia="Calibri"/>
        </w:rPr>
        <w:t>7 </w:t>
      </w:r>
      <w:r>
        <w:rPr/>
        <w:t>层 </w:t>
      </w:r>
      <w:r>
        <w:rPr>
          <w:rFonts w:ascii="Calibri" w:eastAsia="Calibri"/>
        </w:rPr>
        <w:t>05 </w:t>
      </w:r>
      <w:r>
        <w:rPr/>
        <w:t>单元</w:t>
      </w:r>
    </w:p>
    <w:p>
      <w:pPr>
        <w:pStyle w:val="BodyText"/>
        <w:spacing w:before="7"/>
        <w:rPr>
          <w:sz w:val="15"/>
        </w:rPr>
      </w:pPr>
    </w:p>
    <w:p>
      <w:pPr>
        <w:pStyle w:val="BodyText"/>
        <w:spacing w:line="417" w:lineRule="auto"/>
        <w:ind w:left="960" w:right="2237"/>
      </w:pPr>
      <w:r>
        <w:rPr>
          <w:spacing w:val="-6"/>
        </w:rPr>
        <w:t>办公地址：上海市浦东新区民生路 </w:t>
      </w:r>
      <w:r>
        <w:rPr>
          <w:rFonts w:ascii="Calibri" w:eastAsia="Calibri"/>
        </w:rPr>
        <w:t>1199 </w:t>
      </w:r>
      <w:r>
        <w:rPr>
          <w:spacing w:val="-9"/>
        </w:rPr>
        <w:t>弄证大五道口广场 </w:t>
      </w:r>
      <w:r>
        <w:rPr>
          <w:rFonts w:ascii="Calibri" w:eastAsia="Calibri"/>
        </w:rPr>
        <w:t>1 </w:t>
      </w:r>
      <w:r>
        <w:rPr>
          <w:spacing w:val="-17"/>
        </w:rPr>
        <w:t>号楼 </w:t>
      </w:r>
      <w:r>
        <w:rPr>
          <w:rFonts w:ascii="Calibri" w:eastAsia="Calibri"/>
        </w:rPr>
        <w:t>27 </w:t>
      </w:r>
      <w:r>
        <w:rPr/>
        <w:t>层</w:t>
      </w:r>
      <w:r>
        <w:rPr>
          <w:spacing w:val="-3"/>
        </w:rPr>
        <w:t>法定代表人：弭洪军</w:t>
      </w:r>
    </w:p>
    <w:p>
      <w:pPr>
        <w:pStyle w:val="BodyText"/>
        <w:spacing w:line="417" w:lineRule="auto"/>
        <w:ind w:left="960" w:right="6898"/>
        <w:rPr>
          <w:rFonts w:ascii="Calibri" w:eastAsia="Calibri"/>
        </w:rPr>
      </w:pPr>
      <w:r>
        <w:rPr/>
        <w:t>电话：</w:t>
      </w:r>
      <w:r>
        <w:rPr>
          <w:rFonts w:ascii="Calibri" w:eastAsia="Calibri"/>
        </w:rPr>
        <w:t>021-33357030 </w:t>
      </w:r>
      <w:r>
        <w:rPr/>
        <w:t>传真：</w:t>
      </w:r>
      <w:r>
        <w:rPr>
          <w:rFonts w:ascii="Calibri" w:eastAsia="Calibri"/>
        </w:rPr>
        <w:t>021-63353736</w:t>
      </w:r>
    </w:p>
    <w:p>
      <w:pPr>
        <w:pStyle w:val="BodyText"/>
        <w:spacing w:line="269" w:lineRule="exact"/>
        <w:ind w:left="960"/>
      </w:pPr>
      <w:r>
        <w:rPr/>
        <w:t>联系人：李娜</w:t>
      </w:r>
    </w:p>
    <w:p>
      <w:pPr>
        <w:pStyle w:val="BodyText"/>
        <w:spacing w:before="6"/>
        <w:rPr>
          <w:sz w:val="15"/>
        </w:rPr>
      </w:pPr>
    </w:p>
    <w:p>
      <w:pPr>
        <w:pStyle w:val="BodyText"/>
        <w:spacing w:before="1"/>
        <w:ind w:left="960"/>
        <w:rPr>
          <w:rFonts w:ascii="Calibri" w:eastAsia="Calibri"/>
        </w:rPr>
      </w:pPr>
      <w:r>
        <w:rPr/>
        <w:t>网址：</w:t>
      </w:r>
      <w:hyperlink r:id="rId92">
        <w:r>
          <w:rPr>
            <w:rFonts w:ascii="Calibri" w:eastAsia="Calibri"/>
          </w:rPr>
          <w:t>www.cmiwm.com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400-876-5716</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深圳市金斧子基金销售有限公司</w:t>
      </w:r>
    </w:p>
    <w:p>
      <w:pPr>
        <w:pStyle w:val="BodyText"/>
        <w:spacing w:before="7"/>
        <w:rPr>
          <w:sz w:val="15"/>
        </w:rPr>
      </w:pPr>
    </w:p>
    <w:p>
      <w:pPr>
        <w:pStyle w:val="BodyText"/>
        <w:ind w:left="960"/>
        <w:rPr>
          <w:rFonts w:ascii="Calibri" w:eastAsia="Calibri"/>
        </w:rPr>
      </w:pPr>
      <w:r>
        <w:rPr>
          <w:spacing w:val="-14"/>
        </w:rPr>
        <w:t>住所：深圳市南山区粤海街道科技园中区科苑路 </w:t>
      </w:r>
      <w:r>
        <w:rPr>
          <w:rFonts w:ascii="Calibri" w:eastAsia="Calibri"/>
        </w:rPr>
        <w:t>15</w:t>
      </w:r>
      <w:r>
        <w:rPr>
          <w:rFonts w:ascii="Calibri" w:eastAsia="Calibri"/>
          <w:spacing w:val="4"/>
        </w:rPr>
        <w:t> </w:t>
      </w:r>
      <w:r>
        <w:rPr>
          <w:spacing w:val="5"/>
        </w:rPr>
        <w:t>号科兴科学园</w:t>
      </w:r>
      <w:r>
        <w:rPr>
          <w:rFonts w:ascii="Calibri" w:eastAsia="Calibri"/>
        </w:rPr>
        <w:t>B </w:t>
      </w:r>
      <w:r>
        <w:rPr>
          <w:spacing w:val="-28"/>
        </w:rPr>
        <w:t>栋 </w:t>
      </w:r>
      <w:r>
        <w:rPr>
          <w:rFonts w:ascii="Calibri" w:eastAsia="Calibri"/>
        </w:rPr>
        <w:t>3</w:t>
      </w:r>
      <w:r>
        <w:rPr>
          <w:rFonts w:ascii="Calibri" w:eastAsia="Calibri"/>
          <w:spacing w:val="1"/>
        </w:rPr>
        <w:t> </w:t>
      </w:r>
      <w:r>
        <w:rPr>
          <w:spacing w:val="-20"/>
        </w:rPr>
        <w:t>单元 </w:t>
      </w:r>
      <w:r>
        <w:rPr>
          <w:rFonts w:ascii="Calibri" w:eastAsia="Calibri"/>
        </w:rPr>
        <w:t>11 </w:t>
      </w:r>
      <w:r>
        <w:rPr>
          <w:spacing w:val="-28"/>
        </w:rPr>
        <w:t>层 </w:t>
      </w:r>
      <w:r>
        <w:rPr>
          <w:rFonts w:ascii="Calibri" w:eastAsia="Calibri"/>
        </w:rPr>
        <w:t>1108</w:t>
      </w:r>
    </w:p>
    <w:p>
      <w:pPr>
        <w:pStyle w:val="BodyText"/>
        <w:spacing w:before="3"/>
        <w:rPr>
          <w:rFonts w:ascii="Calibri"/>
          <w:sz w:val="16"/>
        </w:rPr>
      </w:pPr>
    </w:p>
    <w:p>
      <w:pPr>
        <w:pStyle w:val="BodyText"/>
        <w:spacing w:before="1"/>
        <w:ind w:left="960"/>
        <w:rPr>
          <w:rFonts w:ascii="Calibri" w:eastAsia="Calibri"/>
        </w:rPr>
      </w:pPr>
      <w:r>
        <w:rPr>
          <w:spacing w:val="-4"/>
        </w:rPr>
        <w:t>办公地址：深圳市南山区粤海街道科技园中区科苑路 </w:t>
      </w:r>
      <w:r>
        <w:rPr>
          <w:rFonts w:ascii="Calibri" w:eastAsia="Calibri"/>
        </w:rPr>
        <w:t>15</w:t>
      </w:r>
      <w:r>
        <w:rPr>
          <w:rFonts w:ascii="Calibri" w:eastAsia="Calibri"/>
          <w:spacing w:val="32"/>
        </w:rPr>
        <w:t> </w:t>
      </w:r>
      <w:r>
        <w:rPr>
          <w:spacing w:val="-7"/>
        </w:rPr>
        <w:t>号科兴科学园 </w:t>
      </w:r>
      <w:r>
        <w:rPr>
          <w:rFonts w:ascii="Calibri" w:eastAsia="Calibri"/>
        </w:rPr>
        <w:t>B</w:t>
      </w:r>
      <w:r>
        <w:rPr>
          <w:rFonts w:ascii="Calibri" w:eastAsia="Calibri"/>
          <w:spacing w:val="29"/>
        </w:rPr>
        <w:t> </w:t>
      </w:r>
      <w:r>
        <w:rPr>
          <w:spacing w:val="-14"/>
        </w:rPr>
        <w:t>栋 </w:t>
      </w:r>
      <w:r>
        <w:rPr>
          <w:rFonts w:ascii="Calibri" w:eastAsia="Calibri"/>
        </w:rPr>
        <w:t>3</w:t>
      </w:r>
      <w:r>
        <w:rPr>
          <w:rFonts w:ascii="Calibri" w:eastAsia="Calibri"/>
          <w:spacing w:val="33"/>
        </w:rPr>
        <w:t> </w:t>
      </w:r>
      <w:r>
        <w:rPr>
          <w:spacing w:val="-10"/>
        </w:rPr>
        <w:t>单元 </w:t>
      </w:r>
      <w:r>
        <w:rPr>
          <w:rFonts w:ascii="Calibri" w:eastAsia="Calibri"/>
        </w:rPr>
        <w:t>11</w:t>
      </w:r>
    </w:p>
    <w:p>
      <w:pPr>
        <w:pStyle w:val="BodyText"/>
        <w:spacing w:before="3"/>
        <w:rPr>
          <w:rFonts w:ascii="Calibri"/>
          <w:sz w:val="16"/>
        </w:rPr>
      </w:pPr>
    </w:p>
    <w:p>
      <w:pPr>
        <w:pStyle w:val="BodyText"/>
        <w:ind w:left="540"/>
        <w:rPr>
          <w:rFonts w:ascii="Calibri" w:eastAsia="Calibri"/>
        </w:rPr>
      </w:pPr>
      <w:r>
        <w:rPr/>
        <w:t>层 </w:t>
      </w:r>
      <w:r>
        <w:rPr>
          <w:rFonts w:ascii="Calibri" w:eastAsia="Calibri"/>
        </w:rPr>
        <w:t>1108</w:t>
      </w:r>
    </w:p>
    <w:p>
      <w:pPr>
        <w:pStyle w:val="BodyText"/>
        <w:spacing w:before="4"/>
        <w:rPr>
          <w:rFonts w:ascii="Calibri"/>
          <w:sz w:val="16"/>
        </w:rPr>
      </w:pPr>
    </w:p>
    <w:p>
      <w:pPr>
        <w:pStyle w:val="BodyText"/>
        <w:spacing w:line="417" w:lineRule="auto"/>
        <w:ind w:left="960" w:right="6790"/>
        <w:rPr>
          <w:rFonts w:ascii="Calibri" w:eastAsia="Calibri"/>
        </w:rPr>
      </w:pPr>
      <w:r>
        <w:rPr/>
        <w:t>法定代表人：赖任军电话：</w:t>
      </w:r>
      <w:r>
        <w:rPr>
          <w:rFonts w:ascii="Calibri" w:eastAsia="Calibri"/>
        </w:rPr>
        <w:t>0755-84355914 </w:t>
      </w:r>
      <w:r>
        <w:rPr/>
        <w:t>传真：</w:t>
      </w:r>
      <w:r>
        <w:rPr>
          <w:rFonts w:ascii="Calibri" w:eastAsia="Calibri"/>
        </w:rPr>
        <w:t>0755-26920530</w:t>
      </w:r>
    </w:p>
    <w:p>
      <w:pPr>
        <w:pStyle w:val="BodyText"/>
        <w:ind w:left="960"/>
      </w:pPr>
      <w:r>
        <w:rPr/>
        <w:t>联系人：陈丽霞</w:t>
      </w:r>
    </w:p>
    <w:p>
      <w:pPr>
        <w:pStyle w:val="BodyText"/>
        <w:spacing w:before="7"/>
        <w:rPr>
          <w:sz w:val="15"/>
        </w:rPr>
      </w:pPr>
    </w:p>
    <w:p>
      <w:pPr>
        <w:pStyle w:val="BodyText"/>
        <w:ind w:left="960"/>
        <w:rPr>
          <w:rFonts w:ascii="Calibri" w:eastAsia="Calibri"/>
        </w:rPr>
      </w:pPr>
      <w:r>
        <w:rPr/>
        <w:t>网址：</w:t>
      </w:r>
      <w:hyperlink r:id="rId93">
        <w:r>
          <w:rPr>
            <w:rFonts w:ascii="Calibri" w:eastAsia="Calibri"/>
          </w:rPr>
          <w:t>www.jfzinv.com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400-9302-888</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北京蛋卷基金销售有限公司</w:t>
      </w:r>
    </w:p>
    <w:p>
      <w:pPr>
        <w:pStyle w:val="BodyText"/>
        <w:spacing w:before="7"/>
        <w:rPr>
          <w:sz w:val="15"/>
        </w:rPr>
      </w:pPr>
    </w:p>
    <w:p>
      <w:pPr>
        <w:pStyle w:val="BodyText"/>
        <w:ind w:left="960"/>
        <w:rPr>
          <w:rFonts w:ascii="Calibri" w:eastAsia="Calibri"/>
        </w:rPr>
      </w:pPr>
      <w:r>
        <w:rPr/>
        <w:t>住所：北京市朝阳区阜通东大街 </w:t>
      </w:r>
      <w:r>
        <w:rPr>
          <w:rFonts w:ascii="Calibri" w:eastAsia="Calibri"/>
        </w:rPr>
        <w:t>1 </w:t>
      </w:r>
      <w:r>
        <w:rPr/>
        <w:t>号院 </w:t>
      </w:r>
      <w:r>
        <w:rPr>
          <w:rFonts w:ascii="Calibri" w:eastAsia="Calibri"/>
        </w:rPr>
        <w:t>6 </w:t>
      </w:r>
      <w:r>
        <w:rPr/>
        <w:t>号楼 </w:t>
      </w:r>
      <w:r>
        <w:rPr>
          <w:rFonts w:ascii="Calibri" w:eastAsia="Calibri"/>
        </w:rPr>
        <w:t>2 </w:t>
      </w:r>
      <w:r>
        <w:rPr/>
        <w:t>单元 </w:t>
      </w:r>
      <w:r>
        <w:rPr>
          <w:rFonts w:ascii="Calibri" w:eastAsia="Calibri"/>
        </w:rPr>
        <w:t>21 </w:t>
      </w:r>
      <w:r>
        <w:rPr/>
        <w:t>层 </w:t>
      </w:r>
      <w:r>
        <w:rPr>
          <w:rFonts w:ascii="Calibri" w:eastAsia="Calibri"/>
        </w:rPr>
        <w:t>222507</w:t>
      </w:r>
    </w:p>
    <w:p>
      <w:pPr>
        <w:pStyle w:val="BodyText"/>
        <w:spacing w:before="3"/>
        <w:rPr>
          <w:rFonts w:ascii="Calibri"/>
          <w:sz w:val="16"/>
        </w:rPr>
      </w:pPr>
    </w:p>
    <w:p>
      <w:pPr>
        <w:pStyle w:val="BodyText"/>
        <w:ind w:left="960"/>
        <w:rPr>
          <w:rFonts w:ascii="Calibri" w:eastAsia="Calibri"/>
        </w:rPr>
      </w:pPr>
      <w:r>
        <w:rPr/>
        <w:t>办公地址：北京市朝阳区阜通东大街 </w:t>
      </w:r>
      <w:r>
        <w:rPr>
          <w:rFonts w:ascii="Calibri" w:eastAsia="Calibri"/>
        </w:rPr>
        <w:t>1 </w:t>
      </w:r>
      <w:r>
        <w:rPr/>
        <w:t>号院 </w:t>
      </w:r>
      <w:r>
        <w:rPr>
          <w:rFonts w:ascii="Calibri" w:eastAsia="Calibri"/>
        </w:rPr>
        <w:t>6 </w:t>
      </w:r>
      <w:r>
        <w:rPr/>
        <w:t>号楼 </w:t>
      </w:r>
      <w:r>
        <w:rPr>
          <w:rFonts w:ascii="Calibri" w:eastAsia="Calibri"/>
        </w:rPr>
        <w:t>2 </w:t>
      </w:r>
      <w:r>
        <w:rPr/>
        <w:t>单元 </w:t>
      </w:r>
      <w:r>
        <w:rPr>
          <w:rFonts w:ascii="Calibri" w:eastAsia="Calibri"/>
        </w:rPr>
        <w:t>21 </w:t>
      </w:r>
      <w:r>
        <w:rPr/>
        <w:t>层 </w:t>
      </w:r>
      <w:r>
        <w:rPr>
          <w:rFonts w:ascii="Calibri" w:eastAsia="Calibri"/>
        </w:rPr>
        <w:t>222507</w:t>
      </w:r>
    </w:p>
    <w:p>
      <w:pPr>
        <w:pStyle w:val="BodyText"/>
        <w:spacing w:before="4"/>
        <w:rPr>
          <w:rFonts w:ascii="Calibri"/>
          <w:sz w:val="16"/>
        </w:rPr>
      </w:pPr>
    </w:p>
    <w:p>
      <w:pPr>
        <w:pStyle w:val="BodyText"/>
        <w:spacing w:line="417" w:lineRule="auto"/>
        <w:ind w:left="960" w:right="6870"/>
        <w:jc w:val="both"/>
        <w:rPr>
          <w:rFonts w:ascii="Calibri" w:eastAsia="Calibri"/>
        </w:rPr>
      </w:pPr>
      <w:r>
        <w:rPr/>
        <w:t>法定代表人：钟斐斐电话：</w:t>
      </w:r>
      <w:r>
        <w:rPr>
          <w:rFonts w:ascii="Calibri" w:eastAsia="Calibri"/>
        </w:rPr>
        <w:t>010-61840688 </w:t>
      </w:r>
      <w:r>
        <w:rPr/>
        <w:t>传真：</w:t>
      </w:r>
      <w:r>
        <w:rPr>
          <w:rFonts w:ascii="Calibri" w:eastAsia="Calibri"/>
        </w:rPr>
        <w:t>010-61840699</w:t>
      </w:r>
    </w:p>
    <w:p>
      <w:pPr>
        <w:spacing w:after="0" w:line="417" w:lineRule="auto"/>
        <w:jc w:val="both"/>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联系人：袁永姣</w:t>
      </w:r>
    </w:p>
    <w:p>
      <w:pPr>
        <w:pStyle w:val="BodyText"/>
        <w:spacing w:before="6"/>
        <w:rPr>
          <w:sz w:val="15"/>
        </w:rPr>
      </w:pPr>
    </w:p>
    <w:p>
      <w:pPr>
        <w:pStyle w:val="BodyText"/>
        <w:spacing w:line="417" w:lineRule="auto"/>
        <w:ind w:left="960" w:right="6043"/>
        <w:rPr>
          <w:rFonts w:ascii="Calibri" w:eastAsia="Calibri"/>
        </w:rPr>
      </w:pPr>
      <w:r>
        <w:rPr/>
        <w:t>网址：</w:t>
      </w:r>
      <w:r>
        <w:rPr>
          <w:rFonts w:ascii="Calibri" w:eastAsia="Calibri"/>
        </w:rPr>
        <w:t>https://danjuanapp.com </w:t>
      </w:r>
      <w:r>
        <w:rPr/>
        <w:t>客户服务电话：</w:t>
      </w:r>
      <w:r>
        <w:rPr>
          <w:rFonts w:ascii="Calibri" w:eastAsia="Calibri"/>
        </w:rPr>
        <w:t>400-159-9288</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上海中欧财富基金销售有限公司</w:t>
      </w:r>
    </w:p>
    <w:p>
      <w:pPr>
        <w:pStyle w:val="BodyText"/>
        <w:spacing w:before="7"/>
        <w:rPr>
          <w:sz w:val="15"/>
        </w:rPr>
      </w:pPr>
    </w:p>
    <w:p>
      <w:pPr>
        <w:pStyle w:val="BodyText"/>
        <w:spacing w:line="417" w:lineRule="auto"/>
        <w:ind w:left="960" w:right="2983"/>
      </w:pPr>
      <w:r>
        <w:rPr>
          <w:spacing w:val="-2"/>
        </w:rPr>
        <w:t>住所：中国</w:t>
      </w:r>
      <w:r>
        <w:rPr/>
        <w:t>（</w:t>
      </w:r>
      <w:r>
        <w:rPr>
          <w:spacing w:val="-2"/>
        </w:rPr>
        <w:t>上海</w:t>
      </w:r>
      <w:r>
        <w:rPr>
          <w:spacing w:val="-3"/>
        </w:rPr>
        <w:t>）</w:t>
      </w:r>
      <w:r>
        <w:rPr>
          <w:spacing w:val="-7"/>
        </w:rPr>
        <w:t>自由贸易试验区陆家嘴环路 </w:t>
      </w:r>
      <w:r>
        <w:rPr>
          <w:rFonts w:ascii="Calibri" w:eastAsia="Calibri"/>
        </w:rPr>
        <w:t>333</w:t>
      </w:r>
      <w:r>
        <w:rPr>
          <w:rFonts w:ascii="Calibri" w:eastAsia="Calibri"/>
          <w:spacing w:val="13"/>
        </w:rPr>
        <w:t> </w:t>
      </w:r>
      <w:r>
        <w:rPr>
          <w:spacing w:val="-25"/>
        </w:rPr>
        <w:t>号 </w:t>
      </w:r>
      <w:r>
        <w:rPr>
          <w:rFonts w:ascii="Calibri" w:eastAsia="Calibri"/>
        </w:rPr>
        <w:t>729S</w:t>
      </w:r>
      <w:r>
        <w:rPr>
          <w:rFonts w:ascii="Calibri" w:eastAsia="Calibri"/>
          <w:spacing w:val="8"/>
        </w:rPr>
        <w:t> </w:t>
      </w:r>
      <w:r>
        <w:rPr/>
        <w:t>室</w:t>
      </w:r>
      <w:r>
        <w:rPr>
          <w:spacing w:val="-7"/>
        </w:rPr>
        <w:t>办公地址：上海市虹口区公平路 </w:t>
      </w:r>
      <w:r>
        <w:rPr>
          <w:rFonts w:ascii="Calibri" w:eastAsia="Calibri"/>
        </w:rPr>
        <w:t>18</w:t>
      </w:r>
      <w:r>
        <w:rPr>
          <w:rFonts w:ascii="Calibri" w:eastAsia="Calibri"/>
          <w:spacing w:val="4"/>
        </w:rPr>
        <w:t> </w:t>
      </w:r>
      <w:r>
        <w:rPr>
          <w:spacing w:val="-26"/>
        </w:rPr>
        <w:t>号 </w:t>
      </w:r>
      <w:r>
        <w:rPr>
          <w:rFonts w:ascii="Calibri" w:eastAsia="Calibri"/>
        </w:rPr>
        <w:t>8</w:t>
      </w:r>
      <w:r>
        <w:rPr>
          <w:rFonts w:ascii="Calibri" w:eastAsia="Calibri"/>
          <w:spacing w:val="4"/>
        </w:rPr>
        <w:t> </w:t>
      </w:r>
      <w:r>
        <w:rPr>
          <w:spacing w:val="-11"/>
        </w:rPr>
        <w:t>栋嘉昱大厦 </w:t>
      </w:r>
      <w:r>
        <w:rPr>
          <w:rFonts w:ascii="Calibri" w:eastAsia="Calibri"/>
        </w:rPr>
        <w:t>6</w:t>
      </w:r>
      <w:r>
        <w:rPr>
          <w:rFonts w:ascii="Calibri" w:eastAsia="Calibri"/>
          <w:spacing w:val="5"/>
        </w:rPr>
        <w:t> </w:t>
      </w:r>
      <w:r>
        <w:rPr/>
        <w:t>层</w:t>
      </w:r>
    </w:p>
    <w:p>
      <w:pPr>
        <w:pStyle w:val="BodyText"/>
        <w:spacing w:line="269" w:lineRule="exact"/>
        <w:ind w:left="960"/>
      </w:pPr>
      <w:r>
        <w:rPr/>
        <w:t>法定代表人：许欣</w:t>
      </w:r>
    </w:p>
    <w:p>
      <w:pPr>
        <w:pStyle w:val="BodyText"/>
        <w:spacing w:before="7"/>
        <w:rPr>
          <w:sz w:val="15"/>
        </w:rPr>
      </w:pPr>
    </w:p>
    <w:p>
      <w:pPr>
        <w:pStyle w:val="BodyText"/>
        <w:spacing w:line="417" w:lineRule="auto"/>
        <w:ind w:left="960" w:right="6407"/>
        <w:rPr>
          <w:rFonts w:ascii="Calibri" w:eastAsia="Calibri"/>
        </w:rPr>
      </w:pPr>
      <w:r>
        <w:rPr/>
        <w:t>电话：</w:t>
      </w:r>
      <w:r>
        <w:rPr>
          <w:rFonts w:ascii="Calibri" w:eastAsia="Calibri"/>
        </w:rPr>
        <w:t>021-68609600-5952 </w:t>
      </w:r>
      <w:r>
        <w:rPr/>
        <w:t>传真：</w:t>
      </w:r>
      <w:r>
        <w:rPr>
          <w:rFonts w:ascii="Calibri" w:eastAsia="Calibri"/>
        </w:rPr>
        <w:t>021-33830351</w:t>
      </w:r>
    </w:p>
    <w:p>
      <w:pPr>
        <w:pStyle w:val="BodyText"/>
        <w:spacing w:line="269" w:lineRule="exact"/>
        <w:ind w:left="960"/>
      </w:pPr>
      <w:r>
        <w:rPr/>
        <w:t>联系人：黎静</w:t>
      </w:r>
    </w:p>
    <w:p>
      <w:pPr>
        <w:pStyle w:val="BodyText"/>
        <w:spacing w:before="7"/>
        <w:rPr>
          <w:sz w:val="15"/>
        </w:rPr>
      </w:pPr>
    </w:p>
    <w:p>
      <w:pPr>
        <w:pStyle w:val="BodyText"/>
        <w:spacing w:line="417" w:lineRule="auto"/>
        <w:ind w:left="960" w:right="6098"/>
        <w:rPr>
          <w:rFonts w:ascii="Calibri" w:eastAsia="Calibri"/>
        </w:rPr>
      </w:pPr>
      <w:r>
        <w:rPr/>
        <w:t>网址：</w:t>
      </w:r>
      <w:hyperlink r:id="rId94">
        <w:r>
          <w:rPr>
            <w:rFonts w:ascii="Calibri" w:eastAsia="Calibri"/>
          </w:rPr>
          <w:t>www.qiangungun.com </w:t>
        </w:r>
      </w:hyperlink>
      <w:r>
        <w:rPr/>
        <w:t>客户服务电话：</w:t>
      </w:r>
      <w:r>
        <w:rPr>
          <w:rFonts w:ascii="Calibri" w:eastAsia="Calibri"/>
        </w:rPr>
        <w:t>400-700-9700</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天津万家财富资产管理有限公司</w:t>
      </w:r>
    </w:p>
    <w:p>
      <w:pPr>
        <w:pStyle w:val="BodyText"/>
        <w:spacing w:before="7"/>
        <w:rPr>
          <w:sz w:val="15"/>
        </w:rPr>
      </w:pPr>
    </w:p>
    <w:p>
      <w:pPr>
        <w:pStyle w:val="BodyText"/>
        <w:ind w:left="960"/>
      </w:pPr>
      <w:r>
        <w:rPr/>
        <w:t>住所：天津自贸区（中心商务区）迎宾大道 </w:t>
      </w:r>
      <w:r>
        <w:rPr>
          <w:rFonts w:ascii="Calibri" w:eastAsia="Calibri"/>
        </w:rPr>
        <w:t>1988 </w:t>
      </w:r>
      <w:r>
        <w:rPr/>
        <w:t>号滨海浙商大厦公寓 </w:t>
      </w:r>
      <w:r>
        <w:rPr>
          <w:rFonts w:ascii="Calibri" w:eastAsia="Calibri"/>
        </w:rPr>
        <w:t>2-2413 </w:t>
      </w:r>
      <w:r>
        <w:rPr/>
        <w:t>室</w:t>
      </w:r>
    </w:p>
    <w:p>
      <w:pPr>
        <w:pStyle w:val="BodyText"/>
        <w:spacing w:before="7"/>
        <w:rPr>
          <w:sz w:val="15"/>
        </w:rPr>
      </w:pPr>
    </w:p>
    <w:p>
      <w:pPr>
        <w:pStyle w:val="BodyText"/>
        <w:spacing w:line="417" w:lineRule="auto"/>
        <w:ind w:left="960" w:right="3187"/>
      </w:pPr>
      <w:r>
        <w:rPr>
          <w:spacing w:val="-6"/>
        </w:rPr>
        <w:t>办公地址：北京市西城区丰盛胡同 </w:t>
      </w:r>
      <w:r>
        <w:rPr>
          <w:rFonts w:ascii="Calibri" w:eastAsia="Calibri"/>
        </w:rPr>
        <w:t>28 </w:t>
      </w:r>
      <w:r>
        <w:rPr>
          <w:spacing w:val="-9"/>
        </w:rPr>
        <w:t>号太平洋保险大厦 </w:t>
      </w:r>
      <w:r>
        <w:rPr>
          <w:rFonts w:ascii="Calibri" w:eastAsia="Calibri"/>
        </w:rPr>
        <w:t>5 </w:t>
      </w:r>
      <w:r>
        <w:rPr/>
        <w:t>层</w:t>
      </w:r>
      <w:r>
        <w:rPr>
          <w:spacing w:val="-3"/>
        </w:rPr>
        <w:t>法定代表人：李修辞</w:t>
      </w:r>
    </w:p>
    <w:p>
      <w:pPr>
        <w:pStyle w:val="BodyText"/>
        <w:spacing w:line="417" w:lineRule="auto"/>
        <w:ind w:left="960" w:right="6898"/>
        <w:rPr>
          <w:rFonts w:ascii="Calibri" w:eastAsia="Calibri"/>
        </w:rPr>
      </w:pPr>
      <w:r>
        <w:rPr/>
        <w:t>电话：</w:t>
      </w:r>
      <w:r>
        <w:rPr>
          <w:rFonts w:ascii="Calibri" w:eastAsia="Calibri"/>
        </w:rPr>
        <w:t>18511290872 </w:t>
      </w:r>
      <w:r>
        <w:rPr/>
        <w:t>传真：</w:t>
      </w:r>
      <w:r>
        <w:rPr>
          <w:rFonts w:ascii="Calibri" w:eastAsia="Calibri"/>
        </w:rPr>
        <w:t>010-59013828</w:t>
      </w:r>
    </w:p>
    <w:p>
      <w:pPr>
        <w:pStyle w:val="BodyText"/>
        <w:spacing w:line="269" w:lineRule="exact"/>
        <w:ind w:left="960"/>
      </w:pPr>
      <w:r>
        <w:rPr/>
        <w:t>联系人：邵玉磊</w:t>
      </w:r>
    </w:p>
    <w:p>
      <w:pPr>
        <w:pStyle w:val="BodyText"/>
        <w:spacing w:before="6"/>
        <w:rPr>
          <w:sz w:val="15"/>
        </w:rPr>
      </w:pPr>
    </w:p>
    <w:p>
      <w:pPr>
        <w:pStyle w:val="BodyText"/>
        <w:spacing w:line="417" w:lineRule="auto"/>
        <w:ind w:left="960" w:right="6057"/>
        <w:rPr>
          <w:rFonts w:ascii="Calibri" w:eastAsia="Calibri"/>
        </w:rPr>
      </w:pPr>
      <w:r>
        <w:rPr/>
        <w:t>网址：</w:t>
      </w:r>
      <w:hyperlink r:id="rId95">
        <w:r>
          <w:rPr>
            <w:rFonts w:ascii="Calibri" w:eastAsia="Calibri"/>
          </w:rPr>
          <w:t>www.wanjiawealth.com </w:t>
        </w:r>
      </w:hyperlink>
      <w:r>
        <w:rPr/>
        <w:t>客户服务电话：</w:t>
      </w:r>
      <w:r>
        <w:rPr>
          <w:rFonts w:ascii="Calibri" w:eastAsia="Calibri"/>
        </w:rPr>
        <w:t>010-59013842</w:t>
      </w: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上海华夏财富投资管理有限公司</w:t>
      </w:r>
    </w:p>
    <w:p>
      <w:pPr>
        <w:pStyle w:val="BodyText"/>
        <w:spacing w:before="6"/>
        <w:rPr>
          <w:sz w:val="15"/>
        </w:rPr>
      </w:pPr>
    </w:p>
    <w:p>
      <w:pPr>
        <w:pStyle w:val="BodyText"/>
        <w:ind w:left="960"/>
      </w:pPr>
      <w:r>
        <w:rPr/>
        <w:t>住所：上海市虹口区东大名路 </w:t>
      </w:r>
      <w:r>
        <w:rPr>
          <w:rFonts w:ascii="Calibri" w:eastAsia="Calibri"/>
        </w:rPr>
        <w:t>687 </w:t>
      </w:r>
      <w:r>
        <w:rPr/>
        <w:t>号一幢二楼 </w:t>
      </w:r>
      <w:r>
        <w:rPr>
          <w:rFonts w:ascii="Calibri" w:eastAsia="Calibri"/>
        </w:rPr>
        <w:t>268 </w:t>
      </w:r>
      <w:r>
        <w:rPr/>
        <w:t>室</w:t>
      </w:r>
    </w:p>
    <w:p>
      <w:pPr>
        <w:pStyle w:val="BodyText"/>
        <w:spacing w:before="7"/>
        <w:rPr>
          <w:sz w:val="15"/>
        </w:rPr>
      </w:pPr>
    </w:p>
    <w:p>
      <w:pPr>
        <w:pStyle w:val="BodyText"/>
        <w:spacing w:line="417" w:lineRule="auto"/>
        <w:ind w:left="960" w:right="3337"/>
      </w:pPr>
      <w:r>
        <w:rPr/>
        <w:t>办公地址：北京市西城区金融大街 </w:t>
      </w:r>
      <w:r>
        <w:rPr>
          <w:rFonts w:ascii="Calibri" w:eastAsia="Calibri"/>
        </w:rPr>
        <w:t>33 </w:t>
      </w:r>
      <w:r>
        <w:rPr/>
        <w:t>号通泰大厦</w:t>
      </w:r>
      <w:r>
        <w:rPr>
          <w:rFonts w:ascii="Calibri" w:eastAsia="Calibri"/>
        </w:rPr>
        <w:t>B </w:t>
      </w:r>
      <w:r>
        <w:rPr/>
        <w:t>座 </w:t>
      </w:r>
      <w:r>
        <w:rPr>
          <w:rFonts w:ascii="Calibri" w:eastAsia="Calibri"/>
        </w:rPr>
        <w:t>8 </w:t>
      </w:r>
      <w:r>
        <w:rPr/>
        <w:t>层法定代表人：毛淮平</w:t>
      </w:r>
    </w:p>
    <w:p>
      <w:pPr>
        <w:pStyle w:val="BodyText"/>
        <w:spacing w:line="417" w:lineRule="auto"/>
        <w:ind w:left="960" w:right="6898"/>
        <w:rPr>
          <w:rFonts w:ascii="Calibri" w:eastAsia="Calibri"/>
        </w:rPr>
      </w:pPr>
      <w:r>
        <w:rPr/>
        <w:t>电话：</w:t>
      </w:r>
      <w:r>
        <w:rPr>
          <w:rFonts w:ascii="Calibri" w:eastAsia="Calibri"/>
        </w:rPr>
        <w:t>010-88066326 </w:t>
      </w:r>
      <w:r>
        <w:rPr/>
        <w:t>传真：</w:t>
      </w:r>
      <w:r>
        <w:rPr>
          <w:rFonts w:ascii="Calibri" w:eastAsia="Calibri"/>
        </w:rPr>
        <w:t>010-63136184</w:t>
      </w:r>
    </w:p>
    <w:p>
      <w:pPr>
        <w:pStyle w:val="BodyText"/>
        <w:spacing w:line="269" w:lineRule="exact"/>
        <w:ind w:left="960"/>
      </w:pPr>
      <w:r>
        <w:rPr/>
        <w:t>联系人：张静怡</w:t>
      </w:r>
    </w:p>
    <w:p>
      <w:pPr>
        <w:pStyle w:val="BodyText"/>
        <w:spacing w:before="7"/>
        <w:rPr>
          <w:sz w:val="15"/>
        </w:rPr>
      </w:pPr>
    </w:p>
    <w:p>
      <w:pPr>
        <w:pStyle w:val="BodyText"/>
        <w:spacing w:line="417" w:lineRule="auto"/>
        <w:ind w:left="960" w:right="6098"/>
        <w:rPr>
          <w:rFonts w:ascii="Calibri" w:eastAsia="Calibri"/>
        </w:rPr>
      </w:pPr>
      <w:r>
        <w:rPr/>
        <w:t>网址：</w:t>
      </w:r>
      <w:hyperlink r:id="rId96">
        <w:r>
          <w:rPr>
            <w:rFonts w:ascii="Calibri" w:eastAsia="Calibri"/>
          </w:rPr>
          <w:t>www.amcfortune.com </w:t>
        </w:r>
      </w:hyperlink>
      <w:r>
        <w:rPr/>
        <w:t>客户服务电话：</w:t>
      </w:r>
      <w:r>
        <w:rPr>
          <w:rFonts w:ascii="Calibri" w:eastAsia="Calibri"/>
        </w:rPr>
        <w:t>400-817-5666</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2"/>
        </w:numPr>
        <w:tabs>
          <w:tab w:pos="1598" w:val="left" w:leader="none"/>
        </w:tabs>
        <w:spacing w:line="240" w:lineRule="auto" w:before="72" w:after="0"/>
        <w:ind w:left="1597" w:right="0" w:hanging="638"/>
        <w:jc w:val="left"/>
        <w:rPr>
          <w:sz w:val="21"/>
        </w:rPr>
      </w:pPr>
      <w:r>
        <w:rPr>
          <w:spacing w:val="-3"/>
          <w:sz w:val="21"/>
        </w:rPr>
        <w:t>中信期货有限公司</w:t>
      </w:r>
    </w:p>
    <w:p>
      <w:pPr>
        <w:pStyle w:val="BodyText"/>
        <w:spacing w:before="6"/>
        <w:rPr>
          <w:sz w:val="15"/>
        </w:rPr>
      </w:pPr>
    </w:p>
    <w:p>
      <w:pPr>
        <w:pStyle w:val="BodyText"/>
        <w:spacing w:line="417" w:lineRule="auto"/>
        <w:ind w:left="960" w:right="871"/>
      </w:pPr>
      <w:r>
        <w:rPr>
          <w:spacing w:val="-7"/>
        </w:rPr>
        <w:t>住所：深圳市福田区中心三路 </w:t>
      </w:r>
      <w:r>
        <w:rPr>
          <w:rFonts w:ascii="Calibri" w:eastAsia="Calibri"/>
        </w:rPr>
        <w:t>8 </w:t>
      </w:r>
      <w:r>
        <w:rPr>
          <w:spacing w:val="-3"/>
        </w:rPr>
        <w:t>号卓越时代广场（</w:t>
      </w:r>
      <w:r>
        <w:rPr/>
        <w:t>二期</w:t>
      </w:r>
      <w:r>
        <w:rPr>
          <w:spacing w:val="-3"/>
        </w:rPr>
        <w:t>）</w:t>
      </w:r>
      <w:r>
        <w:rPr>
          <w:spacing w:val="-18"/>
        </w:rPr>
        <w:t>北座 </w:t>
      </w:r>
      <w:r>
        <w:rPr>
          <w:rFonts w:ascii="Calibri" w:eastAsia="Calibri"/>
        </w:rPr>
        <w:t>13 </w:t>
      </w:r>
      <w:r>
        <w:rPr>
          <w:spacing w:val="-25"/>
        </w:rPr>
        <w:t>层 </w:t>
      </w:r>
      <w:r>
        <w:rPr>
          <w:rFonts w:ascii="Calibri" w:eastAsia="Calibri"/>
        </w:rPr>
        <w:t>1301-1305</w:t>
      </w:r>
      <w:r>
        <w:rPr>
          <w:spacing w:val="-3"/>
        </w:rPr>
        <w:t>、</w:t>
      </w:r>
      <w:r>
        <w:rPr>
          <w:rFonts w:ascii="Calibri" w:eastAsia="Calibri"/>
        </w:rPr>
        <w:t>14 </w:t>
      </w:r>
      <w:r>
        <w:rPr/>
        <w:t>层</w:t>
      </w:r>
      <w:r>
        <w:rPr>
          <w:spacing w:val="-5"/>
        </w:rPr>
        <w:t>办公地址：深圳市福田区中心三路 </w:t>
      </w:r>
      <w:r>
        <w:rPr>
          <w:rFonts w:ascii="Calibri" w:eastAsia="Calibri"/>
        </w:rPr>
        <w:t>8 </w:t>
      </w:r>
      <w:r>
        <w:rPr>
          <w:spacing w:val="-3"/>
        </w:rPr>
        <w:t>号卓越时代广场</w:t>
      </w:r>
      <w:r>
        <w:rPr/>
        <w:t>（</w:t>
      </w:r>
      <w:r>
        <w:rPr>
          <w:spacing w:val="-2"/>
        </w:rPr>
        <w:t>二期</w:t>
      </w:r>
      <w:r>
        <w:rPr>
          <w:spacing w:val="-3"/>
        </w:rPr>
        <w:t>）</w:t>
      </w:r>
      <w:r>
        <w:rPr>
          <w:spacing w:val="-11"/>
        </w:rPr>
        <w:t>北座 </w:t>
      </w:r>
      <w:r>
        <w:rPr>
          <w:rFonts w:ascii="Calibri" w:eastAsia="Calibri"/>
        </w:rPr>
        <w:t>13 </w:t>
      </w:r>
      <w:r>
        <w:rPr>
          <w:spacing w:val="-15"/>
        </w:rPr>
        <w:t>层 </w:t>
      </w:r>
      <w:r>
        <w:rPr>
          <w:rFonts w:ascii="Calibri" w:eastAsia="Calibri"/>
        </w:rPr>
        <w:t>1301-1305</w:t>
      </w:r>
      <w:r>
        <w:rPr/>
        <w:t>、</w:t>
      </w:r>
    </w:p>
    <w:p>
      <w:pPr>
        <w:pStyle w:val="BodyText"/>
        <w:spacing w:line="269" w:lineRule="exact"/>
        <w:ind w:left="540"/>
      </w:pPr>
      <w:r>
        <w:rPr>
          <w:rFonts w:ascii="Calibri" w:eastAsia="Calibri"/>
        </w:rPr>
        <w:t>14 </w:t>
      </w:r>
      <w:r>
        <w:rPr/>
        <w:t>层</w:t>
      </w:r>
    </w:p>
    <w:p>
      <w:pPr>
        <w:pStyle w:val="BodyText"/>
        <w:spacing w:before="7"/>
        <w:rPr>
          <w:sz w:val="15"/>
        </w:rPr>
      </w:pPr>
    </w:p>
    <w:p>
      <w:pPr>
        <w:pStyle w:val="BodyText"/>
        <w:spacing w:line="417" w:lineRule="auto"/>
        <w:ind w:left="960" w:right="6742"/>
        <w:rPr>
          <w:rFonts w:ascii="Calibri" w:eastAsia="Calibri"/>
        </w:rPr>
      </w:pPr>
      <w:r>
        <w:rPr/>
        <w:t>法定代表人：张皓 电话：</w:t>
      </w:r>
      <w:r>
        <w:rPr>
          <w:rFonts w:ascii="Calibri" w:eastAsia="Calibri"/>
        </w:rPr>
        <w:t>010-60833754 </w:t>
      </w:r>
      <w:r>
        <w:rPr/>
        <w:t>传真：</w:t>
      </w:r>
      <w:r>
        <w:rPr>
          <w:rFonts w:ascii="Calibri" w:eastAsia="Calibri"/>
        </w:rPr>
        <w:t>0755-83217421</w:t>
      </w:r>
    </w:p>
    <w:p>
      <w:pPr>
        <w:pStyle w:val="BodyText"/>
        <w:ind w:left="960"/>
      </w:pPr>
      <w:r>
        <w:rPr/>
        <w:t>联系人：刘宏莹</w:t>
      </w:r>
    </w:p>
    <w:p>
      <w:pPr>
        <w:pStyle w:val="BodyText"/>
        <w:spacing w:before="7"/>
        <w:rPr>
          <w:sz w:val="15"/>
        </w:rPr>
      </w:pPr>
    </w:p>
    <w:p>
      <w:pPr>
        <w:pStyle w:val="BodyText"/>
        <w:ind w:left="960"/>
        <w:rPr>
          <w:rFonts w:ascii="Calibri" w:eastAsia="Calibri"/>
        </w:rPr>
      </w:pPr>
      <w:r>
        <w:rPr/>
        <w:t>网址：</w:t>
      </w:r>
      <w:hyperlink r:id="rId97">
        <w:r>
          <w:rPr>
            <w:rFonts w:ascii="Calibri" w:eastAsia="Calibri"/>
          </w:rPr>
          <w:t>www.citicsf.com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400-990-8826</w:t>
      </w:r>
    </w:p>
    <w:p>
      <w:pPr>
        <w:pStyle w:val="BodyText"/>
        <w:spacing w:before="4"/>
        <w:rPr>
          <w:rFonts w:ascii="Calibri"/>
          <w:sz w:val="16"/>
        </w:rPr>
      </w:pPr>
    </w:p>
    <w:p>
      <w:pPr>
        <w:pStyle w:val="ListParagraph"/>
        <w:numPr>
          <w:ilvl w:val="0"/>
          <w:numId w:val="32"/>
        </w:numPr>
        <w:tabs>
          <w:tab w:pos="1598" w:val="left" w:leader="none"/>
        </w:tabs>
        <w:spacing w:line="417" w:lineRule="auto" w:before="0" w:after="0"/>
        <w:ind w:left="960" w:right="6027" w:firstLine="0"/>
        <w:jc w:val="left"/>
        <w:rPr>
          <w:sz w:val="21"/>
        </w:rPr>
      </w:pPr>
      <w:r>
        <w:rPr>
          <w:spacing w:val="-4"/>
          <w:sz w:val="21"/>
        </w:rPr>
        <w:t>弘业期货股份有限公司</w:t>
      </w:r>
      <w:r>
        <w:rPr>
          <w:spacing w:val="-8"/>
          <w:sz w:val="21"/>
        </w:rPr>
        <w:t>住所：南京市中华路 </w:t>
      </w:r>
      <w:r>
        <w:rPr>
          <w:rFonts w:ascii="Calibri" w:eastAsia="Calibri"/>
          <w:sz w:val="21"/>
        </w:rPr>
        <w:t>50</w:t>
      </w:r>
      <w:r>
        <w:rPr>
          <w:rFonts w:ascii="Calibri" w:eastAsia="Calibri"/>
          <w:spacing w:val="7"/>
          <w:sz w:val="21"/>
        </w:rPr>
        <w:t> </w:t>
      </w:r>
      <w:r>
        <w:rPr>
          <w:sz w:val="21"/>
        </w:rPr>
        <w:t>号</w:t>
      </w:r>
    </w:p>
    <w:p>
      <w:pPr>
        <w:pStyle w:val="BodyText"/>
        <w:spacing w:line="417" w:lineRule="auto"/>
        <w:ind w:left="960" w:right="5024"/>
      </w:pPr>
      <w:r>
        <w:rPr/>
        <w:t>办公地址：南京市中华路 </w:t>
      </w:r>
      <w:r>
        <w:rPr>
          <w:rFonts w:ascii="Calibri" w:eastAsia="Calibri"/>
        </w:rPr>
        <w:t>50 </w:t>
      </w:r>
      <w:r>
        <w:rPr/>
        <w:t>号弘业大厦法定代表人：周剑秋</w:t>
      </w:r>
    </w:p>
    <w:p>
      <w:pPr>
        <w:pStyle w:val="BodyText"/>
        <w:spacing w:line="417" w:lineRule="auto"/>
        <w:ind w:left="960" w:right="6898"/>
        <w:rPr>
          <w:rFonts w:ascii="Calibri" w:eastAsia="Calibri"/>
        </w:rPr>
      </w:pPr>
      <w:r>
        <w:rPr/>
        <w:t>电话：</w:t>
      </w:r>
      <w:r>
        <w:rPr>
          <w:rFonts w:ascii="Calibri" w:eastAsia="Calibri"/>
        </w:rPr>
        <w:t>025-52278981 </w:t>
      </w:r>
      <w:r>
        <w:rPr/>
        <w:t>传真：</w:t>
      </w:r>
      <w:r>
        <w:rPr>
          <w:rFonts w:ascii="Calibri" w:eastAsia="Calibri"/>
        </w:rPr>
        <w:t>025-52278733</w:t>
      </w:r>
    </w:p>
    <w:p>
      <w:pPr>
        <w:pStyle w:val="BodyText"/>
        <w:spacing w:line="269" w:lineRule="exact"/>
        <w:ind w:left="960"/>
      </w:pPr>
      <w:r>
        <w:rPr/>
        <w:t>联系人：张苏怡</w:t>
      </w:r>
    </w:p>
    <w:p>
      <w:pPr>
        <w:pStyle w:val="BodyText"/>
        <w:spacing w:before="6"/>
        <w:rPr>
          <w:sz w:val="15"/>
        </w:rPr>
      </w:pPr>
    </w:p>
    <w:p>
      <w:pPr>
        <w:pStyle w:val="BodyText"/>
        <w:spacing w:before="1"/>
        <w:ind w:left="960"/>
        <w:rPr>
          <w:rFonts w:ascii="Calibri" w:eastAsia="Calibri"/>
        </w:rPr>
      </w:pPr>
      <w:r>
        <w:rPr/>
        <w:t>网址：</w:t>
      </w:r>
      <w:hyperlink r:id="rId98">
        <w:r>
          <w:rPr>
            <w:rFonts w:ascii="Calibri" w:eastAsia="Calibri"/>
          </w:rPr>
          <w:t>www.ftol.com.cn</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400-828-8288</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国泰君安证券股份有限公司</w:t>
      </w:r>
    </w:p>
    <w:p>
      <w:pPr>
        <w:pStyle w:val="BodyText"/>
        <w:spacing w:before="6"/>
        <w:rPr>
          <w:sz w:val="15"/>
        </w:rPr>
      </w:pPr>
    </w:p>
    <w:p>
      <w:pPr>
        <w:pStyle w:val="BodyText"/>
        <w:spacing w:before="1"/>
        <w:ind w:left="960"/>
      </w:pPr>
      <w:r>
        <w:rPr/>
        <w:t>住所：中国（上海）自由贸易试验区商城路 </w:t>
      </w:r>
      <w:r>
        <w:rPr>
          <w:rFonts w:ascii="Calibri" w:eastAsia="Calibri"/>
        </w:rPr>
        <w:t>618 </w:t>
      </w:r>
      <w:r>
        <w:rPr/>
        <w:t>号</w:t>
      </w:r>
    </w:p>
    <w:p>
      <w:pPr>
        <w:pStyle w:val="BodyText"/>
        <w:spacing w:before="7"/>
        <w:rPr>
          <w:sz w:val="15"/>
        </w:rPr>
      </w:pPr>
    </w:p>
    <w:p>
      <w:pPr>
        <w:pStyle w:val="BodyText"/>
        <w:spacing w:line="417" w:lineRule="auto"/>
        <w:ind w:left="960" w:right="3656"/>
      </w:pPr>
      <w:r>
        <w:rPr/>
        <w:t>办公地址：上海市静安区南京西路 </w:t>
      </w:r>
      <w:r>
        <w:rPr>
          <w:rFonts w:ascii="Calibri" w:eastAsia="Calibri"/>
        </w:rPr>
        <w:t>768 </w:t>
      </w:r>
      <w:r>
        <w:rPr/>
        <w:t>号国泰君安大厦法定代表人：贺青</w:t>
      </w:r>
    </w:p>
    <w:p>
      <w:pPr>
        <w:pStyle w:val="BodyText"/>
        <w:spacing w:line="417" w:lineRule="auto"/>
        <w:ind w:left="960" w:right="6898"/>
        <w:rPr>
          <w:rFonts w:ascii="Calibri" w:eastAsia="Calibri"/>
        </w:rPr>
      </w:pPr>
      <w:r>
        <w:rPr/>
        <w:t>电话：</w:t>
      </w:r>
      <w:r>
        <w:rPr>
          <w:rFonts w:ascii="Calibri" w:eastAsia="Calibri"/>
        </w:rPr>
        <w:t>021-38676666 </w:t>
      </w:r>
      <w:r>
        <w:rPr/>
        <w:t>传真：</w:t>
      </w:r>
      <w:r>
        <w:rPr>
          <w:rFonts w:ascii="Calibri" w:eastAsia="Calibri"/>
        </w:rPr>
        <w:t>021-38670666</w:t>
      </w:r>
    </w:p>
    <w:p>
      <w:pPr>
        <w:pStyle w:val="BodyText"/>
        <w:spacing w:line="269" w:lineRule="exact"/>
        <w:ind w:left="960"/>
      </w:pPr>
      <w:r>
        <w:rPr/>
        <w:t>联系人：黄博铭</w:t>
      </w:r>
    </w:p>
    <w:p>
      <w:pPr>
        <w:pStyle w:val="BodyText"/>
        <w:spacing w:before="6"/>
        <w:rPr>
          <w:sz w:val="15"/>
        </w:rPr>
      </w:pPr>
    </w:p>
    <w:p>
      <w:pPr>
        <w:pStyle w:val="BodyText"/>
        <w:spacing w:line="417" w:lineRule="auto"/>
        <w:ind w:left="960" w:right="6761"/>
        <w:rPr>
          <w:rFonts w:ascii="Calibri" w:eastAsia="Calibri"/>
        </w:rPr>
      </w:pPr>
      <w:r>
        <w:rPr/>
        <w:t>网址：</w:t>
      </w:r>
      <w:hyperlink r:id="rId99">
        <w:r>
          <w:rPr>
            <w:rFonts w:ascii="Calibri" w:eastAsia="Calibri"/>
          </w:rPr>
          <w:t>www.gtja.com </w:t>
        </w:r>
      </w:hyperlink>
      <w:r>
        <w:rPr/>
        <w:t>客户服务电话：</w:t>
      </w:r>
      <w:r>
        <w:rPr>
          <w:rFonts w:ascii="Calibri" w:eastAsia="Calibri"/>
        </w:rPr>
        <w:t>95521</w:t>
      </w: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中信建投证券股份有限公司</w:t>
      </w:r>
    </w:p>
    <w:p>
      <w:pPr>
        <w:pStyle w:val="BodyText"/>
        <w:spacing w:before="7"/>
        <w:rPr>
          <w:sz w:val="15"/>
        </w:rPr>
      </w:pPr>
    </w:p>
    <w:p>
      <w:pPr>
        <w:pStyle w:val="BodyText"/>
        <w:ind w:left="960"/>
      </w:pPr>
      <w:r>
        <w:rPr/>
        <w:t>住所：北京市朝阳区安立路 </w:t>
      </w:r>
      <w:r>
        <w:rPr>
          <w:rFonts w:ascii="Calibri" w:eastAsia="Calibri"/>
        </w:rPr>
        <w:t>66 </w:t>
      </w:r>
      <w:r>
        <w:rPr/>
        <w:t>号 </w:t>
      </w:r>
      <w:r>
        <w:rPr>
          <w:rFonts w:ascii="Calibri" w:eastAsia="Calibri"/>
        </w:rPr>
        <w:t>4 </w:t>
      </w:r>
      <w:r>
        <w:rPr/>
        <w:t>号楼</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5185"/>
      </w:pPr>
      <w:r>
        <w:rPr>
          <w:spacing w:val="-6"/>
        </w:rPr>
        <w:t>办公地址：北京市朝阳门内大街 </w:t>
      </w:r>
      <w:r>
        <w:rPr>
          <w:rFonts w:ascii="Calibri" w:eastAsia="Calibri"/>
        </w:rPr>
        <w:t>188</w:t>
      </w:r>
      <w:r>
        <w:rPr>
          <w:rFonts w:ascii="Calibri" w:eastAsia="Calibri"/>
          <w:spacing w:val="13"/>
        </w:rPr>
        <w:t> </w:t>
      </w:r>
      <w:r>
        <w:rPr>
          <w:spacing w:val="-12"/>
        </w:rPr>
        <w:t>号</w:t>
      </w:r>
      <w:r>
        <w:rPr>
          <w:spacing w:val="-3"/>
        </w:rPr>
        <w:t>法定代表人：王常青</w:t>
      </w:r>
    </w:p>
    <w:p>
      <w:pPr>
        <w:pStyle w:val="BodyText"/>
        <w:spacing w:line="417" w:lineRule="auto"/>
        <w:ind w:left="960" w:right="6761"/>
        <w:rPr>
          <w:rFonts w:ascii="Calibri" w:eastAsia="Calibri"/>
        </w:rPr>
      </w:pPr>
      <w:r>
        <w:rPr>
          <w:spacing w:val="-3"/>
        </w:rPr>
        <w:t>客户服务电话：</w:t>
      </w:r>
      <w:r>
        <w:rPr>
          <w:rFonts w:ascii="Calibri" w:eastAsia="Calibri"/>
          <w:spacing w:val="-5"/>
        </w:rPr>
        <w:t>95587 </w:t>
      </w:r>
      <w:r>
        <w:rPr/>
        <w:t>传真：</w:t>
      </w:r>
      <w:r>
        <w:rPr>
          <w:rFonts w:ascii="Calibri" w:eastAsia="Calibri"/>
        </w:rPr>
        <w:t>010-65182261</w:t>
      </w:r>
    </w:p>
    <w:p>
      <w:pPr>
        <w:pStyle w:val="BodyText"/>
        <w:spacing w:line="269" w:lineRule="exact"/>
        <w:ind w:left="960"/>
      </w:pPr>
      <w:r>
        <w:rPr/>
        <w:t>联系人：权唐</w:t>
      </w:r>
    </w:p>
    <w:p>
      <w:pPr>
        <w:pStyle w:val="BodyText"/>
        <w:spacing w:before="7"/>
        <w:rPr>
          <w:sz w:val="15"/>
        </w:rPr>
      </w:pPr>
    </w:p>
    <w:p>
      <w:pPr>
        <w:pStyle w:val="BodyText"/>
        <w:ind w:left="960"/>
        <w:rPr>
          <w:rFonts w:ascii="Calibri" w:eastAsia="Calibri"/>
        </w:rPr>
      </w:pPr>
      <w:r>
        <w:rPr/>
        <w:t>网址：</w:t>
      </w:r>
      <w:hyperlink r:id="rId100">
        <w:r>
          <w:rPr>
            <w:rFonts w:ascii="Calibri" w:eastAsia="Calibri"/>
          </w:rPr>
          <w:t>www.csc108.com</w:t>
        </w:r>
      </w:hyperlink>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国信证券股份有限公司</w:t>
      </w:r>
    </w:p>
    <w:p>
      <w:pPr>
        <w:pStyle w:val="BodyText"/>
        <w:spacing w:before="8"/>
        <w:rPr>
          <w:sz w:val="15"/>
        </w:rPr>
      </w:pPr>
    </w:p>
    <w:p>
      <w:pPr>
        <w:pStyle w:val="BodyText"/>
        <w:ind w:left="960"/>
      </w:pPr>
      <w:r>
        <w:rPr/>
        <w:t>住所：深圳市罗湖区红岭中路 </w:t>
      </w:r>
      <w:r>
        <w:rPr>
          <w:rFonts w:ascii="Calibri" w:eastAsia="Calibri"/>
        </w:rPr>
        <w:t>1012 </w:t>
      </w:r>
      <w:r>
        <w:rPr/>
        <w:t>号国信证券大厦十六层至二十六层</w:t>
      </w:r>
    </w:p>
    <w:p>
      <w:pPr>
        <w:pStyle w:val="BodyText"/>
        <w:spacing w:before="6"/>
        <w:rPr>
          <w:sz w:val="15"/>
        </w:rPr>
      </w:pPr>
    </w:p>
    <w:p>
      <w:pPr>
        <w:pStyle w:val="BodyText"/>
        <w:spacing w:line="417" w:lineRule="auto" w:before="1"/>
        <w:ind w:left="960" w:right="1869"/>
      </w:pPr>
      <w:r>
        <w:rPr/>
        <w:t>办公地址：深圳市罗湖区红岭中路 </w:t>
      </w:r>
      <w:r>
        <w:rPr>
          <w:rFonts w:ascii="Calibri" w:eastAsia="Calibri"/>
        </w:rPr>
        <w:t>1012 </w:t>
      </w:r>
      <w:r>
        <w:rPr/>
        <w:t>号国信证券大厦十六层至二十六层法定代表人：何如</w:t>
      </w:r>
    </w:p>
    <w:p>
      <w:pPr>
        <w:pStyle w:val="BodyText"/>
        <w:spacing w:line="417" w:lineRule="auto"/>
        <w:ind w:left="960" w:right="6790"/>
        <w:rPr>
          <w:rFonts w:ascii="Calibri" w:eastAsia="Calibri"/>
        </w:rPr>
      </w:pPr>
      <w:r>
        <w:rPr/>
        <w:t>电话：</w:t>
      </w:r>
      <w:r>
        <w:rPr>
          <w:rFonts w:ascii="Calibri" w:eastAsia="Calibri"/>
        </w:rPr>
        <w:t>0755-82130833 </w:t>
      </w:r>
      <w:r>
        <w:rPr/>
        <w:t>传真：</w:t>
      </w:r>
      <w:r>
        <w:rPr>
          <w:rFonts w:ascii="Calibri" w:eastAsia="Calibri"/>
        </w:rPr>
        <w:t>0755-82133952</w:t>
      </w:r>
    </w:p>
    <w:p>
      <w:pPr>
        <w:pStyle w:val="BodyText"/>
        <w:spacing w:line="269" w:lineRule="exact"/>
        <w:ind w:left="960"/>
      </w:pPr>
      <w:r>
        <w:rPr/>
        <w:t>联系人：李颖</w:t>
      </w:r>
    </w:p>
    <w:p>
      <w:pPr>
        <w:pStyle w:val="BodyText"/>
        <w:spacing w:before="6"/>
        <w:rPr>
          <w:sz w:val="15"/>
        </w:rPr>
      </w:pPr>
    </w:p>
    <w:p>
      <w:pPr>
        <w:pStyle w:val="BodyText"/>
        <w:spacing w:line="417" w:lineRule="auto"/>
        <w:ind w:left="960" w:right="6309"/>
        <w:rPr>
          <w:rFonts w:ascii="Calibri" w:eastAsia="Calibri"/>
        </w:rPr>
      </w:pPr>
      <w:r>
        <w:rPr/>
        <w:t>网址：</w:t>
      </w:r>
      <w:hyperlink r:id="rId101">
        <w:r>
          <w:rPr>
            <w:rFonts w:ascii="Calibri" w:eastAsia="Calibri"/>
          </w:rPr>
          <w:t>www.guosen.com.cn </w:t>
        </w:r>
      </w:hyperlink>
      <w:r>
        <w:rPr/>
        <w:t>客户服务电话：</w:t>
      </w:r>
      <w:r>
        <w:rPr>
          <w:rFonts w:ascii="Calibri" w:eastAsia="Calibri"/>
        </w:rPr>
        <w:t>95536</w:t>
      </w: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招商证券股份有限公司</w:t>
      </w:r>
    </w:p>
    <w:p>
      <w:pPr>
        <w:pStyle w:val="BodyText"/>
        <w:spacing w:before="7"/>
        <w:rPr>
          <w:sz w:val="15"/>
        </w:rPr>
      </w:pPr>
    </w:p>
    <w:p>
      <w:pPr>
        <w:pStyle w:val="BodyText"/>
        <w:ind w:left="960"/>
      </w:pPr>
      <w:r>
        <w:rPr/>
        <w:t>住所：深圳市福田区福田街道福华一路 </w:t>
      </w:r>
      <w:r>
        <w:rPr>
          <w:rFonts w:ascii="Calibri" w:eastAsia="Calibri"/>
        </w:rPr>
        <w:t>111 </w:t>
      </w:r>
      <w:r>
        <w:rPr/>
        <w:t>号</w:t>
      </w:r>
    </w:p>
    <w:p>
      <w:pPr>
        <w:pStyle w:val="BodyText"/>
        <w:spacing w:before="6"/>
        <w:rPr>
          <w:sz w:val="15"/>
        </w:rPr>
      </w:pPr>
    </w:p>
    <w:p>
      <w:pPr>
        <w:pStyle w:val="BodyText"/>
        <w:spacing w:line="417" w:lineRule="auto"/>
        <w:ind w:left="960" w:right="4076"/>
      </w:pPr>
      <w:r>
        <w:rPr/>
        <w:t>办公地址：深圳市福田区福田街道福华一路 </w:t>
      </w:r>
      <w:r>
        <w:rPr>
          <w:rFonts w:ascii="Calibri" w:eastAsia="Calibri"/>
        </w:rPr>
        <w:t>111 </w:t>
      </w:r>
      <w:r>
        <w:rPr/>
        <w:t>号法定代表人：霍达</w:t>
      </w:r>
    </w:p>
    <w:p>
      <w:pPr>
        <w:pStyle w:val="BodyText"/>
        <w:spacing w:line="417" w:lineRule="auto"/>
        <w:ind w:left="960" w:right="6790"/>
        <w:rPr>
          <w:rFonts w:ascii="Calibri" w:eastAsia="Calibri"/>
        </w:rPr>
      </w:pPr>
      <w:r>
        <w:rPr/>
        <w:t>电话：</w:t>
      </w:r>
      <w:r>
        <w:rPr>
          <w:rFonts w:ascii="Calibri" w:eastAsia="Calibri"/>
        </w:rPr>
        <w:t>0755-82943666 </w:t>
      </w:r>
      <w:r>
        <w:rPr/>
        <w:t>传真：</w:t>
      </w:r>
      <w:r>
        <w:rPr>
          <w:rFonts w:ascii="Calibri" w:eastAsia="Calibri"/>
        </w:rPr>
        <w:t>0755-82943636</w:t>
      </w:r>
    </w:p>
    <w:p>
      <w:pPr>
        <w:pStyle w:val="BodyText"/>
        <w:ind w:left="960"/>
      </w:pPr>
      <w:r>
        <w:rPr/>
        <w:t>联系人：黄健</w:t>
      </w:r>
    </w:p>
    <w:p>
      <w:pPr>
        <w:pStyle w:val="BodyText"/>
        <w:spacing w:before="7"/>
        <w:rPr>
          <w:sz w:val="15"/>
        </w:rPr>
      </w:pPr>
    </w:p>
    <w:p>
      <w:pPr>
        <w:pStyle w:val="BodyText"/>
        <w:spacing w:line="417" w:lineRule="auto"/>
        <w:ind w:left="960" w:right="6238"/>
        <w:rPr>
          <w:rFonts w:ascii="Calibri" w:eastAsia="Calibri"/>
        </w:rPr>
      </w:pPr>
      <w:r>
        <w:rPr/>
        <w:t>网址：</w:t>
      </w:r>
      <w:hyperlink r:id="rId102">
        <w:r>
          <w:rPr>
            <w:rFonts w:ascii="Calibri" w:eastAsia="Calibri"/>
          </w:rPr>
          <w:t>www.newone.com.cn </w:t>
        </w:r>
      </w:hyperlink>
      <w:r>
        <w:rPr/>
        <w:t>客户服务电话：</w:t>
      </w:r>
      <w:r>
        <w:rPr>
          <w:rFonts w:ascii="Calibri" w:eastAsia="Calibri"/>
        </w:rPr>
        <w:t>95565</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中信证券股份有限公司</w:t>
      </w:r>
    </w:p>
    <w:p>
      <w:pPr>
        <w:pStyle w:val="BodyText"/>
        <w:spacing w:before="7"/>
        <w:rPr>
          <w:sz w:val="15"/>
        </w:rPr>
      </w:pPr>
    </w:p>
    <w:p>
      <w:pPr>
        <w:pStyle w:val="BodyText"/>
        <w:ind w:left="960"/>
      </w:pPr>
      <w:r>
        <w:rPr/>
        <w:t>住所：广东省深圳市福田区中心三路 </w:t>
      </w:r>
      <w:r>
        <w:rPr>
          <w:rFonts w:ascii="Calibri" w:eastAsia="Calibri"/>
        </w:rPr>
        <w:t>8 </w:t>
      </w:r>
      <w:r>
        <w:rPr/>
        <w:t>号卓越时代广场（二期）北座</w:t>
      </w:r>
    </w:p>
    <w:p>
      <w:pPr>
        <w:pStyle w:val="BodyText"/>
        <w:spacing w:before="6"/>
        <w:rPr>
          <w:sz w:val="15"/>
        </w:rPr>
      </w:pPr>
    </w:p>
    <w:p>
      <w:pPr>
        <w:pStyle w:val="BodyText"/>
        <w:spacing w:line="417" w:lineRule="auto" w:before="1"/>
        <w:ind w:left="960" w:right="3762"/>
      </w:pPr>
      <w:r>
        <w:rPr/>
        <w:t>办公地址：北京市朝阳区亮马桥路 </w:t>
      </w:r>
      <w:r>
        <w:rPr>
          <w:rFonts w:ascii="Calibri" w:eastAsia="Calibri"/>
        </w:rPr>
        <w:t>48 </w:t>
      </w:r>
      <w:r>
        <w:rPr/>
        <w:t>号中信证券大厦法定代表人：张佑君</w:t>
      </w:r>
    </w:p>
    <w:p>
      <w:pPr>
        <w:pStyle w:val="BodyText"/>
        <w:spacing w:line="417" w:lineRule="auto"/>
        <w:ind w:left="960" w:right="6898"/>
        <w:rPr>
          <w:rFonts w:ascii="Calibri" w:eastAsia="Calibri"/>
        </w:rPr>
      </w:pPr>
      <w:r>
        <w:rPr/>
        <w:t>电话：</w:t>
      </w:r>
      <w:r>
        <w:rPr>
          <w:rFonts w:ascii="Calibri" w:eastAsia="Calibri"/>
        </w:rPr>
        <w:t>010-60838888 </w:t>
      </w:r>
      <w:r>
        <w:rPr/>
        <w:t>传真：</w:t>
      </w:r>
      <w:r>
        <w:rPr>
          <w:rFonts w:ascii="Calibri" w:eastAsia="Calibri"/>
        </w:rPr>
        <w:t>010-60836029</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联系人：郑慧</w:t>
      </w:r>
    </w:p>
    <w:p>
      <w:pPr>
        <w:pStyle w:val="BodyText"/>
        <w:spacing w:before="6"/>
        <w:rPr>
          <w:sz w:val="15"/>
        </w:rPr>
      </w:pPr>
    </w:p>
    <w:p>
      <w:pPr>
        <w:pStyle w:val="BodyText"/>
        <w:spacing w:line="417" w:lineRule="auto"/>
        <w:ind w:left="960" w:right="6507"/>
        <w:rPr>
          <w:rFonts w:ascii="Calibri" w:eastAsia="Calibri"/>
        </w:rPr>
      </w:pPr>
      <w:r>
        <w:rPr/>
        <w:t>网址：</w:t>
      </w:r>
      <w:hyperlink r:id="rId103">
        <w:r>
          <w:rPr>
            <w:rFonts w:ascii="Calibri" w:eastAsia="Calibri"/>
          </w:rPr>
          <w:t>www.cs.ecitic.com </w:t>
        </w:r>
      </w:hyperlink>
      <w:r>
        <w:rPr/>
        <w:t>客户服务电话：</w:t>
      </w:r>
      <w:r>
        <w:rPr>
          <w:rFonts w:ascii="Calibri" w:eastAsia="Calibri"/>
        </w:rPr>
        <w:t>95548</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中国银河证券股份有限公司</w:t>
      </w:r>
    </w:p>
    <w:p>
      <w:pPr>
        <w:pStyle w:val="BodyText"/>
        <w:spacing w:before="7"/>
        <w:rPr>
          <w:sz w:val="15"/>
        </w:rPr>
      </w:pPr>
    </w:p>
    <w:p>
      <w:pPr>
        <w:pStyle w:val="BodyText"/>
        <w:ind w:left="960"/>
      </w:pPr>
      <w:r>
        <w:rPr/>
        <w:t>住所：北京市西城区金融大街 </w:t>
      </w:r>
      <w:r>
        <w:rPr>
          <w:rFonts w:ascii="Calibri" w:eastAsia="Calibri"/>
        </w:rPr>
        <w:t>35 </w:t>
      </w:r>
      <w:r>
        <w:rPr/>
        <w:t>号 </w:t>
      </w:r>
      <w:r>
        <w:rPr>
          <w:rFonts w:ascii="Calibri" w:eastAsia="Calibri"/>
        </w:rPr>
        <w:t>2-6 </w:t>
      </w:r>
      <w:r>
        <w:rPr/>
        <w:t>层</w:t>
      </w:r>
    </w:p>
    <w:p>
      <w:pPr>
        <w:pStyle w:val="BodyText"/>
        <w:spacing w:before="7"/>
        <w:rPr>
          <w:sz w:val="15"/>
        </w:rPr>
      </w:pPr>
    </w:p>
    <w:p>
      <w:pPr>
        <w:pStyle w:val="BodyText"/>
        <w:spacing w:line="417" w:lineRule="auto"/>
        <w:ind w:left="960" w:right="3394"/>
      </w:pPr>
      <w:r>
        <w:rPr>
          <w:spacing w:val="-6"/>
        </w:rPr>
        <w:t>办公地址：北京市西城区金融大街 </w:t>
      </w:r>
      <w:r>
        <w:rPr>
          <w:rFonts w:ascii="Calibri" w:eastAsia="Calibri"/>
        </w:rPr>
        <w:t>35 </w:t>
      </w:r>
      <w:r>
        <w:rPr>
          <w:spacing w:val="-9"/>
        </w:rPr>
        <w:t>号国际企业大厦 </w:t>
      </w:r>
      <w:r>
        <w:rPr>
          <w:rFonts w:ascii="Calibri" w:eastAsia="Calibri"/>
        </w:rPr>
        <w:t>C </w:t>
      </w:r>
      <w:r>
        <w:rPr/>
        <w:t>座</w:t>
      </w:r>
      <w:r>
        <w:rPr>
          <w:spacing w:val="-3"/>
        </w:rPr>
        <w:t>法定代表人：陈共炎</w:t>
      </w:r>
    </w:p>
    <w:p>
      <w:pPr>
        <w:pStyle w:val="BodyText"/>
        <w:spacing w:line="417" w:lineRule="auto"/>
        <w:ind w:left="960" w:right="6898"/>
        <w:rPr>
          <w:rFonts w:ascii="Calibri" w:eastAsia="Calibri"/>
        </w:rPr>
      </w:pPr>
      <w:r>
        <w:rPr/>
        <w:t>电话：</w:t>
      </w:r>
      <w:r>
        <w:rPr>
          <w:rFonts w:ascii="Calibri" w:eastAsia="Calibri"/>
        </w:rPr>
        <w:t>010-83574507 </w:t>
      </w:r>
      <w:r>
        <w:rPr/>
        <w:t>传真：</w:t>
      </w:r>
      <w:r>
        <w:rPr>
          <w:rFonts w:ascii="Calibri" w:eastAsia="Calibri"/>
        </w:rPr>
        <w:t>010-66568990</w:t>
      </w:r>
    </w:p>
    <w:p>
      <w:pPr>
        <w:pStyle w:val="BodyText"/>
        <w:spacing w:line="269" w:lineRule="exact"/>
        <w:ind w:left="960"/>
      </w:pPr>
      <w:r>
        <w:rPr/>
        <w:t>联系人：辛国政</w:t>
      </w:r>
    </w:p>
    <w:p>
      <w:pPr>
        <w:pStyle w:val="BodyText"/>
        <w:spacing w:before="7"/>
        <w:rPr>
          <w:sz w:val="15"/>
        </w:rPr>
      </w:pPr>
    </w:p>
    <w:p>
      <w:pPr>
        <w:pStyle w:val="BodyText"/>
        <w:ind w:left="960"/>
        <w:rPr>
          <w:rFonts w:ascii="Calibri" w:eastAsia="Calibri"/>
        </w:rPr>
      </w:pPr>
      <w:r>
        <w:rPr/>
        <w:t>网址：</w:t>
      </w:r>
      <w:hyperlink r:id="rId104">
        <w:r>
          <w:rPr>
            <w:rFonts w:ascii="Calibri" w:eastAsia="Calibri"/>
          </w:rPr>
          <w:t>www.chinastock.com.cn</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4008-888-888 </w:t>
      </w:r>
      <w:r>
        <w:rPr/>
        <w:t>或 </w:t>
      </w:r>
      <w:r>
        <w:rPr>
          <w:rFonts w:ascii="Calibri" w:eastAsia="Calibri"/>
        </w:rPr>
        <w:t>95551</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海通证券股份有限公司</w:t>
      </w:r>
    </w:p>
    <w:p>
      <w:pPr>
        <w:pStyle w:val="BodyText"/>
        <w:spacing w:before="7"/>
        <w:rPr>
          <w:sz w:val="15"/>
        </w:rPr>
      </w:pPr>
    </w:p>
    <w:p>
      <w:pPr>
        <w:pStyle w:val="BodyText"/>
        <w:ind w:left="960"/>
      </w:pPr>
      <w:r>
        <w:rPr/>
        <w:t>住所：上海市黄浦区广东路 </w:t>
      </w:r>
      <w:r>
        <w:rPr>
          <w:rFonts w:ascii="Calibri" w:eastAsia="Calibri"/>
        </w:rPr>
        <w:t>689 </w:t>
      </w:r>
      <w:r>
        <w:rPr/>
        <w:t>号</w:t>
      </w:r>
    </w:p>
    <w:p>
      <w:pPr>
        <w:pStyle w:val="BodyText"/>
        <w:spacing w:before="7"/>
        <w:rPr>
          <w:sz w:val="15"/>
        </w:rPr>
      </w:pPr>
    </w:p>
    <w:p>
      <w:pPr>
        <w:pStyle w:val="BodyText"/>
        <w:spacing w:line="417" w:lineRule="auto"/>
        <w:ind w:left="960" w:right="5126"/>
      </w:pPr>
      <w:r>
        <w:rPr/>
        <w:t>办公地址：上海市黄浦区广东路 </w:t>
      </w:r>
      <w:r>
        <w:rPr>
          <w:rFonts w:ascii="Calibri" w:eastAsia="Calibri"/>
        </w:rPr>
        <w:t>689 </w:t>
      </w:r>
      <w:r>
        <w:rPr/>
        <w:t>号法定代表人：周杰</w:t>
      </w:r>
    </w:p>
    <w:p>
      <w:pPr>
        <w:pStyle w:val="BodyText"/>
        <w:spacing w:line="417" w:lineRule="auto"/>
        <w:ind w:left="960" w:right="6898"/>
        <w:rPr>
          <w:rFonts w:ascii="Calibri" w:eastAsia="Calibri"/>
        </w:rPr>
      </w:pPr>
      <w:r>
        <w:rPr/>
        <w:t>电话：</w:t>
      </w:r>
      <w:r>
        <w:rPr>
          <w:rFonts w:ascii="Calibri" w:eastAsia="Calibri"/>
        </w:rPr>
        <w:t>021-23219000 </w:t>
      </w:r>
      <w:r>
        <w:rPr/>
        <w:t>传真：</w:t>
      </w:r>
      <w:r>
        <w:rPr>
          <w:rFonts w:ascii="Calibri" w:eastAsia="Calibri"/>
        </w:rPr>
        <w:t>021-63410456</w:t>
      </w:r>
    </w:p>
    <w:p>
      <w:pPr>
        <w:pStyle w:val="BodyText"/>
        <w:spacing w:line="417" w:lineRule="auto"/>
        <w:ind w:left="960" w:right="6661"/>
        <w:rPr>
          <w:rFonts w:ascii="Calibri" w:eastAsia="Calibri"/>
        </w:rPr>
      </w:pPr>
      <w:r>
        <w:rPr/>
        <w:t>联系人：金芸、李笑鸣网址：</w:t>
      </w:r>
      <w:hyperlink r:id="rId105">
        <w:r>
          <w:rPr>
            <w:rFonts w:ascii="Calibri" w:eastAsia="Calibri"/>
          </w:rPr>
          <w:t>www.htsec.com</w:t>
        </w:r>
      </w:hyperlink>
    </w:p>
    <w:p>
      <w:pPr>
        <w:pStyle w:val="BodyText"/>
        <w:spacing w:line="269" w:lineRule="exact"/>
        <w:ind w:left="960"/>
        <w:rPr>
          <w:rFonts w:ascii="Calibri" w:eastAsia="Calibri"/>
        </w:rPr>
      </w:pPr>
      <w:r>
        <w:rPr/>
        <w:t>客户服务电话：</w:t>
      </w:r>
      <w:r>
        <w:rPr>
          <w:rFonts w:ascii="Calibri" w:eastAsia="Calibri"/>
        </w:rPr>
        <w:t>95553</w:t>
      </w:r>
      <w:r>
        <w:rPr/>
        <w:t>、</w:t>
      </w:r>
      <w:r>
        <w:rPr>
          <w:rFonts w:ascii="Calibri" w:eastAsia="Calibri"/>
        </w:rPr>
        <w:t>400-888-8001</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申万宏源证券有限公司</w:t>
      </w:r>
    </w:p>
    <w:p>
      <w:pPr>
        <w:pStyle w:val="BodyText"/>
        <w:spacing w:before="7"/>
        <w:rPr>
          <w:sz w:val="15"/>
        </w:rPr>
      </w:pPr>
    </w:p>
    <w:p>
      <w:pPr>
        <w:pStyle w:val="BodyText"/>
        <w:ind w:left="960"/>
      </w:pPr>
      <w:r>
        <w:rPr/>
        <w:t>住所：上海市徐汇区长乐路 </w:t>
      </w:r>
      <w:r>
        <w:rPr>
          <w:rFonts w:ascii="Calibri" w:eastAsia="Calibri"/>
        </w:rPr>
        <w:t>989 </w:t>
      </w:r>
      <w:r>
        <w:rPr/>
        <w:t>号 </w:t>
      </w:r>
      <w:r>
        <w:rPr>
          <w:rFonts w:ascii="Calibri" w:eastAsia="Calibri"/>
        </w:rPr>
        <w:t>45 </w:t>
      </w:r>
      <w:r>
        <w:rPr/>
        <w:t>层</w:t>
      </w:r>
    </w:p>
    <w:p>
      <w:pPr>
        <w:pStyle w:val="BodyText"/>
        <w:spacing w:before="7"/>
        <w:rPr>
          <w:sz w:val="15"/>
        </w:rPr>
      </w:pPr>
    </w:p>
    <w:p>
      <w:pPr>
        <w:pStyle w:val="BodyText"/>
        <w:spacing w:line="417" w:lineRule="auto"/>
        <w:ind w:left="960" w:right="3598"/>
      </w:pPr>
      <w:r>
        <w:rPr>
          <w:spacing w:val="-7"/>
        </w:rPr>
        <w:t>办公地址：上海市徐汇区长乐路 </w:t>
      </w:r>
      <w:r>
        <w:rPr>
          <w:rFonts w:ascii="Calibri" w:eastAsia="Calibri"/>
        </w:rPr>
        <w:t>989 </w:t>
      </w:r>
      <w:r>
        <w:rPr>
          <w:spacing w:val="-26"/>
        </w:rPr>
        <w:t>号 </w:t>
      </w:r>
      <w:r>
        <w:rPr>
          <w:rFonts w:ascii="Calibri" w:eastAsia="Calibri"/>
        </w:rPr>
        <w:t>45 </w:t>
      </w:r>
      <w:r>
        <w:rPr>
          <w:spacing w:val="-3"/>
        </w:rPr>
        <w:t>层</w:t>
      </w:r>
      <w:r>
        <w:rPr/>
        <w:t>（</w:t>
      </w:r>
      <w:r>
        <w:rPr>
          <w:rFonts w:ascii="Calibri" w:eastAsia="Calibri"/>
        </w:rPr>
        <w:t>200031</w:t>
      </w:r>
      <w:r>
        <w:rPr/>
        <w:t>） </w:t>
      </w:r>
      <w:r>
        <w:rPr>
          <w:spacing w:val="-3"/>
        </w:rPr>
        <w:t>法定代表人：李梅</w:t>
      </w:r>
    </w:p>
    <w:p>
      <w:pPr>
        <w:pStyle w:val="BodyText"/>
        <w:spacing w:line="417" w:lineRule="auto"/>
        <w:ind w:left="960" w:right="6898"/>
        <w:rPr>
          <w:rFonts w:ascii="Calibri" w:eastAsia="Calibri"/>
        </w:rPr>
      </w:pPr>
      <w:r>
        <w:rPr/>
        <w:t>电话：</w:t>
      </w:r>
      <w:r>
        <w:rPr>
          <w:rFonts w:ascii="Calibri" w:eastAsia="Calibri"/>
        </w:rPr>
        <w:t>021-33389888 </w:t>
      </w:r>
      <w:r>
        <w:rPr/>
        <w:t>传真：</w:t>
      </w:r>
      <w:r>
        <w:rPr>
          <w:rFonts w:ascii="Calibri" w:eastAsia="Calibri"/>
        </w:rPr>
        <w:t>021-33388224</w:t>
      </w:r>
    </w:p>
    <w:p>
      <w:pPr>
        <w:pStyle w:val="BodyText"/>
        <w:spacing w:line="269" w:lineRule="exact"/>
        <w:ind w:left="960"/>
      </w:pPr>
      <w:r>
        <w:rPr/>
        <w:t>联系人：陈宇</w:t>
      </w:r>
    </w:p>
    <w:p>
      <w:pPr>
        <w:pStyle w:val="BodyText"/>
        <w:spacing w:before="7"/>
        <w:rPr>
          <w:sz w:val="15"/>
        </w:rPr>
      </w:pPr>
    </w:p>
    <w:p>
      <w:pPr>
        <w:pStyle w:val="BodyText"/>
        <w:ind w:left="960"/>
        <w:rPr>
          <w:rFonts w:ascii="Calibri" w:eastAsia="Calibri"/>
        </w:rPr>
      </w:pPr>
      <w:r>
        <w:rPr/>
        <w:t>网址：</w:t>
      </w:r>
      <w:hyperlink r:id="rId106">
        <w:r>
          <w:rPr>
            <w:rFonts w:ascii="Calibri" w:eastAsia="Calibri"/>
          </w:rPr>
          <w:t>www.swhysc.com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95523</w:t>
      </w:r>
      <w:r>
        <w:rPr/>
        <w:t>、</w:t>
      </w:r>
      <w:r>
        <w:rPr>
          <w:rFonts w:ascii="Calibri" w:eastAsia="Calibri"/>
        </w:rPr>
        <w:t>400-889-5523</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2"/>
        </w:numPr>
        <w:tabs>
          <w:tab w:pos="1598" w:val="left" w:leader="none"/>
        </w:tabs>
        <w:spacing w:line="417" w:lineRule="auto" w:before="72" w:after="0"/>
        <w:ind w:left="960" w:right="6027" w:firstLine="0"/>
        <w:jc w:val="left"/>
        <w:rPr>
          <w:sz w:val="21"/>
        </w:rPr>
      </w:pPr>
      <w:r>
        <w:rPr>
          <w:spacing w:val="-4"/>
          <w:sz w:val="21"/>
        </w:rPr>
        <w:t>兴业证券股份有限公司</w:t>
      </w:r>
      <w:r>
        <w:rPr>
          <w:spacing w:val="-8"/>
          <w:sz w:val="21"/>
        </w:rPr>
        <w:t>住所：福州市湖东路 </w:t>
      </w:r>
      <w:r>
        <w:rPr>
          <w:rFonts w:ascii="Calibri" w:eastAsia="Calibri"/>
          <w:sz w:val="21"/>
        </w:rPr>
        <w:t>268</w:t>
      </w:r>
      <w:r>
        <w:rPr>
          <w:rFonts w:ascii="Calibri" w:eastAsia="Calibri"/>
          <w:spacing w:val="5"/>
          <w:sz w:val="21"/>
        </w:rPr>
        <w:t> </w:t>
      </w:r>
      <w:r>
        <w:rPr>
          <w:sz w:val="21"/>
        </w:rPr>
        <w:t>号</w:t>
      </w:r>
    </w:p>
    <w:p>
      <w:pPr>
        <w:pStyle w:val="BodyText"/>
        <w:spacing w:line="417" w:lineRule="auto"/>
        <w:ind w:left="960" w:right="5022"/>
      </w:pPr>
      <w:r>
        <w:rPr/>
        <w:t>办公地址：上海市浦东新区长柳路 </w:t>
      </w:r>
      <w:r>
        <w:rPr>
          <w:rFonts w:ascii="Calibri" w:eastAsia="Calibri"/>
        </w:rPr>
        <w:t>36 </w:t>
      </w:r>
      <w:r>
        <w:rPr/>
        <w:t>号法定代表人：杨华辉</w:t>
      </w:r>
    </w:p>
    <w:p>
      <w:pPr>
        <w:pStyle w:val="BodyText"/>
        <w:spacing w:line="417" w:lineRule="auto"/>
        <w:ind w:left="960" w:right="6898"/>
        <w:rPr>
          <w:rFonts w:ascii="Calibri" w:eastAsia="Calibri"/>
        </w:rPr>
      </w:pPr>
      <w:r>
        <w:rPr/>
        <w:t>电话：</w:t>
      </w:r>
      <w:r>
        <w:rPr>
          <w:rFonts w:ascii="Calibri" w:eastAsia="Calibri"/>
        </w:rPr>
        <w:t>021-38565547 </w:t>
      </w:r>
      <w:r>
        <w:rPr/>
        <w:t>传真：</w:t>
      </w:r>
      <w:r>
        <w:rPr>
          <w:rFonts w:ascii="Calibri" w:eastAsia="Calibri"/>
        </w:rPr>
        <w:t>021-38565955</w:t>
      </w:r>
    </w:p>
    <w:p>
      <w:pPr>
        <w:pStyle w:val="BodyText"/>
        <w:spacing w:line="269" w:lineRule="exact"/>
        <w:ind w:left="960"/>
      </w:pPr>
      <w:r>
        <w:rPr/>
        <w:t>联系人：乔琳雪</w:t>
      </w:r>
    </w:p>
    <w:p>
      <w:pPr>
        <w:pStyle w:val="BodyText"/>
        <w:spacing w:before="6"/>
        <w:rPr>
          <w:sz w:val="15"/>
        </w:rPr>
      </w:pPr>
    </w:p>
    <w:p>
      <w:pPr>
        <w:pStyle w:val="BodyText"/>
        <w:spacing w:line="417" w:lineRule="auto"/>
        <w:ind w:left="960" w:right="6550"/>
        <w:rPr>
          <w:rFonts w:ascii="Calibri" w:eastAsia="Calibri"/>
        </w:rPr>
      </w:pPr>
      <w:r>
        <w:rPr/>
        <w:t>网址：</w:t>
      </w:r>
      <w:hyperlink r:id="rId107">
        <w:r>
          <w:rPr>
            <w:rFonts w:ascii="Calibri" w:eastAsia="Calibri"/>
          </w:rPr>
          <w:t>www.xyzq.com.cn </w:t>
        </w:r>
      </w:hyperlink>
      <w:r>
        <w:rPr/>
        <w:t>客户服务电话：</w:t>
      </w:r>
      <w:r>
        <w:rPr>
          <w:rFonts w:ascii="Calibri" w:eastAsia="Calibri"/>
        </w:rPr>
        <w:t>95562</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长江证券股份有限公司</w:t>
      </w:r>
    </w:p>
    <w:p>
      <w:pPr>
        <w:pStyle w:val="BodyText"/>
        <w:spacing w:before="7"/>
        <w:rPr>
          <w:sz w:val="15"/>
        </w:rPr>
      </w:pPr>
    </w:p>
    <w:p>
      <w:pPr>
        <w:pStyle w:val="BodyText"/>
        <w:ind w:left="960"/>
      </w:pPr>
      <w:r>
        <w:rPr/>
        <w:t>住所：武汉市新华路特 </w:t>
      </w:r>
      <w:r>
        <w:rPr>
          <w:rFonts w:ascii="Calibri" w:eastAsia="Calibri"/>
        </w:rPr>
        <w:t>8 </w:t>
      </w:r>
      <w:r>
        <w:rPr/>
        <w:t>号长江证券大厦</w:t>
      </w:r>
    </w:p>
    <w:p>
      <w:pPr>
        <w:pStyle w:val="BodyText"/>
        <w:spacing w:before="6"/>
        <w:rPr>
          <w:sz w:val="15"/>
        </w:rPr>
      </w:pPr>
    </w:p>
    <w:p>
      <w:pPr>
        <w:pStyle w:val="BodyText"/>
        <w:spacing w:line="417" w:lineRule="auto" w:before="1"/>
        <w:ind w:left="960" w:right="4499"/>
      </w:pPr>
      <w:r>
        <w:rPr/>
        <w:t>办公地址：武汉市新华路特 </w:t>
      </w:r>
      <w:r>
        <w:rPr>
          <w:rFonts w:ascii="Calibri" w:eastAsia="Calibri"/>
        </w:rPr>
        <w:t>8 </w:t>
      </w:r>
      <w:r>
        <w:rPr/>
        <w:t>号长江证券大厦法定代表人：杨泽柱</w:t>
      </w:r>
    </w:p>
    <w:p>
      <w:pPr>
        <w:pStyle w:val="BodyText"/>
        <w:spacing w:line="417" w:lineRule="auto"/>
        <w:ind w:left="960" w:right="6898"/>
        <w:rPr>
          <w:rFonts w:ascii="Calibri" w:eastAsia="Calibri"/>
        </w:rPr>
      </w:pPr>
      <w:r>
        <w:rPr/>
        <w:t>电话：</w:t>
      </w:r>
      <w:r>
        <w:rPr>
          <w:rFonts w:ascii="Calibri" w:eastAsia="Calibri"/>
        </w:rPr>
        <w:t>027-65799999 </w:t>
      </w:r>
      <w:r>
        <w:rPr/>
        <w:t>传真：</w:t>
      </w:r>
      <w:r>
        <w:rPr>
          <w:rFonts w:ascii="Calibri" w:eastAsia="Calibri"/>
        </w:rPr>
        <w:t>027-85481900</w:t>
      </w:r>
    </w:p>
    <w:p>
      <w:pPr>
        <w:pStyle w:val="BodyText"/>
        <w:ind w:left="960"/>
      </w:pPr>
      <w:r>
        <w:rPr/>
        <w:t>联系人：李良</w:t>
      </w:r>
    </w:p>
    <w:p>
      <w:pPr>
        <w:pStyle w:val="BodyText"/>
        <w:spacing w:before="6"/>
        <w:rPr>
          <w:sz w:val="15"/>
        </w:rPr>
      </w:pPr>
    </w:p>
    <w:p>
      <w:pPr>
        <w:pStyle w:val="BodyText"/>
        <w:ind w:left="960"/>
        <w:rPr>
          <w:rFonts w:ascii="Calibri" w:eastAsia="Calibri"/>
        </w:rPr>
      </w:pPr>
      <w:r>
        <w:rPr/>
        <w:t>网址：</w:t>
      </w:r>
      <w:hyperlink r:id="rId108">
        <w:r>
          <w:rPr>
            <w:rFonts w:ascii="Calibri" w:eastAsia="Calibri"/>
          </w:rPr>
          <w:t>www.95579.com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95579</w:t>
      </w:r>
      <w:r>
        <w:rPr/>
        <w:t>、</w:t>
      </w:r>
      <w:r>
        <w:rPr>
          <w:rFonts w:ascii="Calibri" w:eastAsia="Calibri"/>
        </w:rPr>
        <w:t>400-888-8999</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安信证券股份有限公司</w:t>
      </w:r>
    </w:p>
    <w:p>
      <w:pPr>
        <w:pStyle w:val="BodyText"/>
        <w:spacing w:before="7"/>
        <w:rPr>
          <w:sz w:val="15"/>
        </w:rPr>
      </w:pPr>
    </w:p>
    <w:p>
      <w:pPr>
        <w:pStyle w:val="BodyText"/>
        <w:ind w:left="960"/>
      </w:pPr>
      <w:r>
        <w:rPr/>
        <w:t>住所：深圳市福田区金田路 </w:t>
      </w:r>
      <w:r>
        <w:rPr>
          <w:rFonts w:ascii="Calibri" w:eastAsia="Calibri"/>
        </w:rPr>
        <w:t>4018 </w:t>
      </w:r>
      <w:r>
        <w:rPr/>
        <w:t>号安联大厦 </w:t>
      </w:r>
      <w:r>
        <w:rPr>
          <w:rFonts w:ascii="Calibri" w:eastAsia="Calibri"/>
        </w:rPr>
        <w:t>35 </w:t>
      </w:r>
      <w:r>
        <w:rPr/>
        <w:t>层、</w:t>
      </w:r>
      <w:r>
        <w:rPr>
          <w:rFonts w:ascii="Calibri" w:eastAsia="Calibri"/>
        </w:rPr>
        <w:t>28 </w:t>
      </w:r>
      <w:r>
        <w:rPr/>
        <w:t>层 </w:t>
      </w:r>
      <w:r>
        <w:rPr>
          <w:rFonts w:ascii="Calibri" w:eastAsia="Calibri"/>
        </w:rPr>
        <w:t>A02 </w:t>
      </w:r>
      <w:r>
        <w:rPr/>
        <w:t>单元</w:t>
      </w:r>
    </w:p>
    <w:p>
      <w:pPr>
        <w:pStyle w:val="BodyText"/>
        <w:spacing w:before="7"/>
        <w:rPr>
          <w:sz w:val="15"/>
        </w:rPr>
      </w:pPr>
    </w:p>
    <w:p>
      <w:pPr>
        <w:pStyle w:val="BodyText"/>
        <w:spacing w:line="417" w:lineRule="auto"/>
        <w:ind w:left="960" w:right="2170"/>
      </w:pPr>
      <w:r>
        <w:rPr>
          <w:spacing w:val="-7"/>
        </w:rPr>
        <w:t>办公地址：深圳市福田区金田路 </w:t>
      </w:r>
      <w:r>
        <w:rPr>
          <w:rFonts w:ascii="Calibri" w:eastAsia="Calibri"/>
        </w:rPr>
        <w:t>4018 </w:t>
      </w:r>
      <w:r>
        <w:rPr>
          <w:spacing w:val="-12"/>
        </w:rPr>
        <w:t>号安联大厦 </w:t>
      </w:r>
      <w:r>
        <w:rPr>
          <w:rFonts w:ascii="Calibri" w:eastAsia="Calibri"/>
        </w:rPr>
        <w:t>35 </w:t>
      </w:r>
      <w:r>
        <w:rPr>
          <w:spacing w:val="-2"/>
        </w:rPr>
        <w:t>层、</w:t>
      </w:r>
      <w:r>
        <w:rPr>
          <w:rFonts w:ascii="Calibri" w:eastAsia="Calibri"/>
        </w:rPr>
        <w:t>28 </w:t>
      </w:r>
      <w:r>
        <w:rPr>
          <w:spacing w:val="-25"/>
        </w:rPr>
        <w:t>层 </w:t>
      </w:r>
      <w:r>
        <w:rPr>
          <w:rFonts w:ascii="Calibri" w:eastAsia="Calibri"/>
        </w:rPr>
        <w:t>A02 </w:t>
      </w:r>
      <w:r>
        <w:rPr>
          <w:spacing w:val="-3"/>
        </w:rPr>
        <w:t>单元法定代表人：黄炎勋</w:t>
      </w:r>
    </w:p>
    <w:p>
      <w:pPr>
        <w:pStyle w:val="BodyText"/>
        <w:spacing w:line="417" w:lineRule="auto"/>
        <w:ind w:left="960" w:right="6790"/>
        <w:rPr>
          <w:rFonts w:ascii="Calibri" w:eastAsia="Calibri"/>
        </w:rPr>
      </w:pPr>
      <w:r>
        <w:rPr/>
        <w:t>电话：</w:t>
      </w:r>
      <w:r>
        <w:rPr>
          <w:rFonts w:ascii="Calibri" w:eastAsia="Calibri"/>
        </w:rPr>
        <w:t>0755-82558305 </w:t>
      </w:r>
      <w:r>
        <w:rPr/>
        <w:t>传真：</w:t>
      </w:r>
      <w:r>
        <w:rPr>
          <w:rFonts w:ascii="Calibri" w:eastAsia="Calibri"/>
        </w:rPr>
        <w:t>0755-82558355</w:t>
      </w:r>
    </w:p>
    <w:p>
      <w:pPr>
        <w:pStyle w:val="BodyText"/>
        <w:spacing w:line="269" w:lineRule="exact"/>
        <w:ind w:left="960"/>
      </w:pPr>
      <w:r>
        <w:rPr/>
        <w:t>联系人：陈剑虹</w:t>
      </w:r>
    </w:p>
    <w:p>
      <w:pPr>
        <w:pStyle w:val="BodyText"/>
        <w:spacing w:before="7"/>
        <w:rPr>
          <w:sz w:val="15"/>
        </w:rPr>
      </w:pPr>
    </w:p>
    <w:p>
      <w:pPr>
        <w:pStyle w:val="BodyText"/>
        <w:spacing w:line="417" w:lineRule="auto"/>
        <w:ind w:left="960" w:right="6250"/>
        <w:rPr>
          <w:rFonts w:ascii="Calibri" w:eastAsia="Calibri"/>
        </w:rPr>
      </w:pPr>
      <w:r>
        <w:rPr/>
        <w:t>网址：</w:t>
      </w:r>
      <w:hyperlink r:id="rId109">
        <w:r>
          <w:rPr>
            <w:rFonts w:ascii="Calibri" w:eastAsia="Calibri"/>
          </w:rPr>
          <w:t>www.essence.com.cn </w:t>
        </w:r>
      </w:hyperlink>
      <w:r>
        <w:rPr/>
        <w:t>客户服务电话：</w:t>
      </w:r>
      <w:r>
        <w:rPr>
          <w:rFonts w:ascii="Calibri" w:eastAsia="Calibri"/>
        </w:rPr>
        <w:t>95517</w:t>
      </w:r>
    </w:p>
    <w:p>
      <w:pPr>
        <w:pStyle w:val="ListParagraph"/>
        <w:numPr>
          <w:ilvl w:val="0"/>
          <w:numId w:val="32"/>
        </w:numPr>
        <w:tabs>
          <w:tab w:pos="1598" w:val="left" w:leader="none"/>
        </w:tabs>
        <w:spacing w:line="417" w:lineRule="auto" w:before="0" w:after="0"/>
        <w:ind w:left="960" w:right="5818" w:firstLine="0"/>
        <w:jc w:val="left"/>
        <w:rPr>
          <w:sz w:val="21"/>
        </w:rPr>
      </w:pPr>
      <w:r>
        <w:rPr>
          <w:spacing w:val="-3"/>
          <w:sz w:val="21"/>
        </w:rPr>
        <w:t>西南证券股份有限公司 </w:t>
      </w:r>
      <w:r>
        <w:rPr>
          <w:spacing w:val="-7"/>
          <w:sz w:val="21"/>
        </w:rPr>
        <w:t>住所：重庆市江北区桥北苑 </w:t>
      </w:r>
      <w:r>
        <w:rPr>
          <w:rFonts w:ascii="Calibri" w:eastAsia="Calibri"/>
          <w:sz w:val="21"/>
        </w:rPr>
        <w:t>8</w:t>
      </w:r>
      <w:r>
        <w:rPr>
          <w:rFonts w:ascii="Calibri" w:eastAsia="Calibri"/>
          <w:spacing w:val="10"/>
          <w:sz w:val="21"/>
        </w:rPr>
        <w:t> </w:t>
      </w:r>
      <w:r>
        <w:rPr>
          <w:spacing w:val="-13"/>
          <w:sz w:val="21"/>
        </w:rPr>
        <w:t>号</w:t>
      </w:r>
    </w:p>
    <w:p>
      <w:pPr>
        <w:pStyle w:val="BodyText"/>
        <w:ind w:left="960"/>
      </w:pPr>
      <w:r>
        <w:rPr/>
        <w:t>办公地址：重庆市江北区桥北苑 </w:t>
      </w:r>
      <w:r>
        <w:rPr>
          <w:rFonts w:ascii="Calibri" w:eastAsia="Calibri"/>
        </w:rPr>
        <w:t>8 </w:t>
      </w:r>
      <w:r>
        <w:rPr/>
        <w:t>号西南证券大厦</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870"/>
        <w:jc w:val="both"/>
        <w:rPr>
          <w:rFonts w:ascii="Calibri" w:eastAsia="Calibri"/>
        </w:rPr>
      </w:pPr>
      <w:r>
        <w:rPr/>
        <w:t>法定代表人：廖庆轩电话：</w:t>
      </w:r>
      <w:r>
        <w:rPr>
          <w:rFonts w:ascii="Calibri" w:eastAsia="Calibri"/>
        </w:rPr>
        <w:t>023-67616310 </w:t>
      </w:r>
      <w:r>
        <w:rPr/>
        <w:t>传真：</w:t>
      </w:r>
      <w:r>
        <w:rPr>
          <w:rFonts w:ascii="Calibri" w:eastAsia="Calibri"/>
        </w:rPr>
        <w:t>023-63786212</w:t>
      </w:r>
    </w:p>
    <w:p>
      <w:pPr>
        <w:pStyle w:val="BodyText"/>
        <w:spacing w:line="269" w:lineRule="exact"/>
        <w:ind w:left="960"/>
      </w:pPr>
      <w:r>
        <w:rPr/>
        <w:t>联系人：周青</w:t>
      </w:r>
    </w:p>
    <w:p>
      <w:pPr>
        <w:pStyle w:val="BodyText"/>
        <w:spacing w:before="7"/>
        <w:rPr>
          <w:sz w:val="15"/>
        </w:rPr>
      </w:pPr>
    </w:p>
    <w:p>
      <w:pPr>
        <w:pStyle w:val="BodyText"/>
        <w:ind w:left="960"/>
        <w:rPr>
          <w:rFonts w:ascii="Calibri" w:eastAsia="Calibri"/>
        </w:rPr>
      </w:pPr>
      <w:r>
        <w:rPr/>
        <w:t>网址：</w:t>
      </w:r>
      <w:hyperlink r:id="rId110">
        <w:r>
          <w:rPr>
            <w:rFonts w:ascii="Calibri" w:eastAsia="Calibri"/>
          </w:rPr>
          <w:t>www.swsc.com.cn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400-809-6096</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万联证券股份有限公司</w:t>
      </w:r>
    </w:p>
    <w:p>
      <w:pPr>
        <w:pStyle w:val="BodyText"/>
        <w:spacing w:before="8"/>
        <w:rPr>
          <w:sz w:val="15"/>
        </w:rPr>
      </w:pPr>
    </w:p>
    <w:p>
      <w:pPr>
        <w:pStyle w:val="BodyText"/>
        <w:ind w:left="960"/>
      </w:pPr>
      <w:r>
        <w:rPr/>
        <w:t>住所：广州市天河区珠江东路 </w:t>
      </w:r>
      <w:r>
        <w:rPr>
          <w:rFonts w:ascii="Calibri" w:eastAsia="Calibri"/>
        </w:rPr>
        <w:t>11 </w:t>
      </w:r>
      <w:r>
        <w:rPr/>
        <w:t>号高德置地广场 </w:t>
      </w:r>
      <w:r>
        <w:rPr>
          <w:rFonts w:ascii="Calibri" w:eastAsia="Calibri"/>
        </w:rPr>
        <w:t>F </w:t>
      </w:r>
      <w:r>
        <w:rPr/>
        <w:t>座 </w:t>
      </w:r>
      <w:r>
        <w:rPr>
          <w:rFonts w:ascii="Calibri" w:eastAsia="Calibri"/>
        </w:rPr>
        <w:t>18</w:t>
      </w:r>
      <w:r>
        <w:rPr/>
        <w:t>、</w:t>
      </w:r>
      <w:r>
        <w:rPr>
          <w:rFonts w:ascii="Calibri" w:eastAsia="Calibri"/>
        </w:rPr>
        <w:t>19 </w:t>
      </w:r>
      <w:r>
        <w:rPr/>
        <w:t>楼</w:t>
      </w:r>
    </w:p>
    <w:p>
      <w:pPr>
        <w:pStyle w:val="BodyText"/>
        <w:spacing w:before="6"/>
        <w:rPr>
          <w:sz w:val="15"/>
        </w:rPr>
      </w:pPr>
    </w:p>
    <w:p>
      <w:pPr>
        <w:pStyle w:val="BodyText"/>
        <w:spacing w:line="417" w:lineRule="auto"/>
        <w:ind w:left="960" w:right="2458"/>
      </w:pPr>
      <w:r>
        <w:rPr>
          <w:spacing w:val="-6"/>
        </w:rPr>
        <w:t>办公地址：广州市天河区珠江东路 </w:t>
      </w:r>
      <w:r>
        <w:rPr>
          <w:rFonts w:ascii="Calibri" w:eastAsia="Calibri"/>
        </w:rPr>
        <w:t>11</w:t>
      </w:r>
      <w:r>
        <w:rPr>
          <w:rFonts w:ascii="Calibri" w:eastAsia="Calibri"/>
          <w:spacing w:val="11"/>
        </w:rPr>
        <w:t> </w:t>
      </w:r>
      <w:r>
        <w:rPr>
          <w:spacing w:val="-9"/>
        </w:rPr>
        <w:t>号高德置地广场 </w:t>
      </w:r>
      <w:r>
        <w:rPr>
          <w:rFonts w:ascii="Calibri" w:eastAsia="Calibri"/>
        </w:rPr>
        <w:t>F</w:t>
      </w:r>
      <w:r>
        <w:rPr>
          <w:rFonts w:ascii="Calibri" w:eastAsia="Calibri"/>
          <w:spacing w:val="9"/>
        </w:rPr>
        <w:t> </w:t>
      </w:r>
      <w:r>
        <w:rPr>
          <w:spacing w:val="-26"/>
        </w:rPr>
        <w:t>座 </w:t>
      </w:r>
      <w:r>
        <w:rPr>
          <w:rFonts w:ascii="Calibri" w:eastAsia="Calibri"/>
        </w:rPr>
        <w:t>18</w:t>
      </w:r>
      <w:r>
        <w:rPr>
          <w:spacing w:val="-3"/>
        </w:rPr>
        <w:t>、</w:t>
      </w:r>
      <w:r>
        <w:rPr>
          <w:rFonts w:ascii="Calibri" w:eastAsia="Calibri"/>
        </w:rPr>
        <w:t>19</w:t>
      </w:r>
      <w:r>
        <w:rPr>
          <w:rFonts w:ascii="Calibri" w:eastAsia="Calibri"/>
          <w:spacing w:val="8"/>
        </w:rPr>
        <w:t> </w:t>
      </w:r>
      <w:r>
        <w:rPr/>
        <w:t>楼</w:t>
      </w:r>
      <w:r>
        <w:rPr>
          <w:spacing w:val="-3"/>
        </w:rPr>
        <w:t>法定代表人：张建军</w:t>
      </w:r>
    </w:p>
    <w:p>
      <w:pPr>
        <w:pStyle w:val="BodyText"/>
        <w:spacing w:line="269" w:lineRule="exact"/>
        <w:ind w:left="960"/>
        <w:rPr>
          <w:rFonts w:ascii="Calibri" w:eastAsia="Calibri"/>
        </w:rPr>
      </w:pPr>
      <w:r>
        <w:rPr>
          <w:spacing w:val="-2"/>
        </w:rPr>
        <w:t>电话：</w:t>
      </w:r>
      <w:r>
        <w:rPr>
          <w:rFonts w:ascii="Calibri" w:eastAsia="Calibri"/>
          <w:spacing w:val="-1"/>
        </w:rPr>
        <w:t>020-38286588</w:t>
      </w:r>
    </w:p>
    <w:p>
      <w:pPr>
        <w:pStyle w:val="BodyText"/>
        <w:spacing w:before="4"/>
        <w:rPr>
          <w:rFonts w:ascii="Calibri"/>
          <w:sz w:val="16"/>
        </w:rPr>
      </w:pPr>
    </w:p>
    <w:p>
      <w:pPr>
        <w:pStyle w:val="BodyText"/>
        <w:ind w:left="960"/>
        <w:rPr>
          <w:rFonts w:ascii="Calibri" w:eastAsia="Calibri"/>
        </w:rPr>
      </w:pPr>
      <w:r>
        <w:rPr/>
        <w:t>传真：</w:t>
      </w:r>
      <w:r>
        <w:rPr>
          <w:rFonts w:ascii="Calibri" w:eastAsia="Calibri"/>
        </w:rPr>
        <w:t>020-22373718-1013</w:t>
      </w:r>
    </w:p>
    <w:p>
      <w:pPr>
        <w:pStyle w:val="BodyText"/>
        <w:spacing w:before="4"/>
        <w:rPr>
          <w:rFonts w:ascii="Calibri"/>
          <w:sz w:val="16"/>
        </w:rPr>
      </w:pPr>
    </w:p>
    <w:p>
      <w:pPr>
        <w:pStyle w:val="BodyText"/>
        <w:ind w:left="960"/>
      </w:pPr>
      <w:r>
        <w:rPr/>
        <w:t>联系人：王鑫</w:t>
      </w:r>
    </w:p>
    <w:p>
      <w:pPr>
        <w:pStyle w:val="BodyText"/>
        <w:spacing w:before="6"/>
        <w:rPr>
          <w:sz w:val="15"/>
        </w:rPr>
      </w:pPr>
    </w:p>
    <w:p>
      <w:pPr>
        <w:pStyle w:val="BodyText"/>
        <w:spacing w:line="417" w:lineRule="auto"/>
        <w:ind w:left="960" w:right="6540"/>
        <w:rPr>
          <w:rFonts w:ascii="Calibri" w:eastAsia="Calibri"/>
        </w:rPr>
      </w:pPr>
      <w:r>
        <w:rPr/>
        <w:t>网址：</w:t>
      </w:r>
      <w:hyperlink r:id="rId111">
        <w:r>
          <w:rPr>
            <w:rFonts w:ascii="Calibri" w:eastAsia="Calibri"/>
          </w:rPr>
          <w:t>www.wlzq.com.cn </w:t>
        </w:r>
      </w:hyperlink>
      <w:r>
        <w:rPr/>
        <w:t>客户服务电话：</w:t>
      </w:r>
      <w:r>
        <w:rPr>
          <w:rFonts w:ascii="Calibri" w:eastAsia="Calibri"/>
        </w:rPr>
        <w:t>95322</w:t>
      </w: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渤海证券股份有限公司</w:t>
      </w:r>
    </w:p>
    <w:p>
      <w:pPr>
        <w:pStyle w:val="BodyText"/>
        <w:spacing w:before="6"/>
        <w:rPr>
          <w:sz w:val="15"/>
        </w:rPr>
      </w:pPr>
    </w:p>
    <w:p>
      <w:pPr>
        <w:pStyle w:val="BodyText"/>
        <w:ind w:left="960"/>
      </w:pPr>
      <w:r>
        <w:rPr/>
        <w:t>住所：天津经济技术开发区第二大街 </w:t>
      </w:r>
      <w:r>
        <w:rPr>
          <w:rFonts w:ascii="Calibri" w:eastAsia="Calibri"/>
        </w:rPr>
        <w:t>42 </w:t>
      </w:r>
      <w:r>
        <w:rPr/>
        <w:t>号写字楼 </w:t>
      </w:r>
      <w:r>
        <w:rPr>
          <w:rFonts w:ascii="Calibri" w:eastAsia="Calibri"/>
        </w:rPr>
        <w:t>101 </w:t>
      </w:r>
      <w:r>
        <w:rPr/>
        <w:t>室</w:t>
      </w:r>
    </w:p>
    <w:p>
      <w:pPr>
        <w:pStyle w:val="BodyText"/>
        <w:spacing w:before="7"/>
        <w:rPr>
          <w:sz w:val="15"/>
        </w:rPr>
      </w:pPr>
    </w:p>
    <w:p>
      <w:pPr>
        <w:pStyle w:val="BodyText"/>
        <w:spacing w:line="417" w:lineRule="auto"/>
        <w:ind w:left="960" w:right="5129"/>
      </w:pPr>
      <w:r>
        <w:rPr/>
        <w:t>办公地址：天津市南开区滨水西道 </w:t>
      </w:r>
      <w:r>
        <w:rPr>
          <w:rFonts w:ascii="Calibri" w:eastAsia="Calibri"/>
        </w:rPr>
        <w:t>8 </w:t>
      </w:r>
      <w:r>
        <w:rPr/>
        <w:t>号法定代表人：王春峰</w:t>
      </w:r>
    </w:p>
    <w:p>
      <w:pPr>
        <w:pStyle w:val="BodyText"/>
        <w:spacing w:line="417" w:lineRule="auto"/>
        <w:ind w:left="960" w:right="6898"/>
        <w:rPr>
          <w:rFonts w:ascii="Calibri" w:eastAsia="Calibri"/>
        </w:rPr>
      </w:pPr>
      <w:r>
        <w:rPr/>
        <w:t>电话：</w:t>
      </w:r>
      <w:r>
        <w:rPr>
          <w:rFonts w:ascii="Calibri" w:eastAsia="Calibri"/>
        </w:rPr>
        <w:t>022-28451991 </w:t>
      </w:r>
      <w:r>
        <w:rPr/>
        <w:t>传真：</w:t>
      </w:r>
      <w:r>
        <w:rPr>
          <w:rFonts w:ascii="Calibri" w:eastAsia="Calibri"/>
        </w:rPr>
        <w:t>022-28451892</w:t>
      </w:r>
    </w:p>
    <w:p>
      <w:pPr>
        <w:pStyle w:val="BodyText"/>
        <w:ind w:left="960"/>
      </w:pPr>
      <w:r>
        <w:rPr/>
        <w:t>联系人：蔡霆</w:t>
      </w:r>
    </w:p>
    <w:p>
      <w:pPr>
        <w:pStyle w:val="BodyText"/>
        <w:spacing w:before="7"/>
        <w:rPr>
          <w:sz w:val="15"/>
        </w:rPr>
      </w:pPr>
    </w:p>
    <w:p>
      <w:pPr>
        <w:pStyle w:val="BodyText"/>
        <w:ind w:left="960"/>
        <w:rPr>
          <w:rFonts w:ascii="Calibri" w:eastAsia="Calibri"/>
        </w:rPr>
      </w:pPr>
      <w:r>
        <w:rPr/>
        <w:t>网址：</w:t>
      </w:r>
      <w:hyperlink r:id="rId112">
        <w:r>
          <w:rPr>
            <w:rFonts w:ascii="Calibri" w:eastAsia="Calibri"/>
          </w:rPr>
          <w:t>www.ewww.com.cn</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400-651-5988</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山西证券股份有限公司</w:t>
      </w:r>
    </w:p>
    <w:p>
      <w:pPr>
        <w:pStyle w:val="BodyText"/>
        <w:spacing w:before="7"/>
        <w:rPr>
          <w:sz w:val="15"/>
        </w:rPr>
      </w:pPr>
    </w:p>
    <w:p>
      <w:pPr>
        <w:pStyle w:val="BodyText"/>
        <w:ind w:left="960"/>
      </w:pPr>
      <w:r>
        <w:rPr/>
        <w:t>住所：山西省太原市府西街 </w:t>
      </w:r>
      <w:r>
        <w:rPr>
          <w:rFonts w:ascii="Calibri" w:eastAsia="Calibri"/>
        </w:rPr>
        <w:t>69 </w:t>
      </w:r>
      <w:r>
        <w:rPr/>
        <w:t>号山西国贸中心东塔楼</w:t>
      </w:r>
    </w:p>
    <w:p>
      <w:pPr>
        <w:pStyle w:val="BodyText"/>
        <w:spacing w:before="6"/>
        <w:rPr>
          <w:sz w:val="15"/>
        </w:rPr>
      </w:pPr>
    </w:p>
    <w:p>
      <w:pPr>
        <w:pStyle w:val="BodyText"/>
        <w:spacing w:line="417" w:lineRule="auto"/>
        <w:ind w:left="960" w:right="3341"/>
      </w:pPr>
      <w:r>
        <w:rPr/>
        <w:t>办公地址：山西省太原市府西街 </w:t>
      </w:r>
      <w:r>
        <w:rPr>
          <w:rFonts w:ascii="Calibri" w:eastAsia="Calibri"/>
        </w:rPr>
        <w:t>69 </w:t>
      </w:r>
      <w:r>
        <w:rPr/>
        <w:t>号山西国贸中心东塔楼法定代表人：侯巍</w:t>
      </w:r>
    </w:p>
    <w:p>
      <w:pPr>
        <w:pStyle w:val="BodyText"/>
        <w:spacing w:line="417" w:lineRule="auto" w:before="1"/>
        <w:ind w:left="960" w:right="6898"/>
        <w:rPr>
          <w:rFonts w:ascii="Calibri" w:eastAsia="Calibri"/>
        </w:rPr>
      </w:pPr>
      <w:r>
        <w:rPr/>
        <w:t>电话：</w:t>
      </w:r>
      <w:r>
        <w:rPr>
          <w:rFonts w:ascii="Calibri" w:eastAsia="Calibri"/>
        </w:rPr>
        <w:t>0351-8686703 </w:t>
      </w:r>
      <w:r>
        <w:rPr/>
        <w:t>传真：</w:t>
      </w:r>
      <w:r>
        <w:rPr>
          <w:rFonts w:ascii="Calibri" w:eastAsia="Calibri"/>
        </w:rPr>
        <w:t>0351-8686619</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联系人：张治国</w:t>
      </w:r>
    </w:p>
    <w:p>
      <w:pPr>
        <w:pStyle w:val="BodyText"/>
        <w:spacing w:before="6"/>
        <w:rPr>
          <w:sz w:val="15"/>
        </w:rPr>
      </w:pPr>
    </w:p>
    <w:p>
      <w:pPr>
        <w:pStyle w:val="BodyText"/>
        <w:spacing w:line="417" w:lineRule="auto"/>
        <w:ind w:left="960" w:right="6560"/>
        <w:rPr>
          <w:rFonts w:ascii="Calibri" w:eastAsia="Calibri"/>
        </w:rPr>
      </w:pPr>
      <w:r>
        <w:rPr/>
        <w:t>网址：</w:t>
      </w:r>
      <w:hyperlink r:id="rId113">
        <w:r>
          <w:rPr>
            <w:rFonts w:ascii="Calibri" w:eastAsia="Calibri"/>
          </w:rPr>
          <w:t>www.i618.com.cn </w:t>
        </w:r>
      </w:hyperlink>
      <w:r>
        <w:rPr/>
        <w:t>客户服务电话：</w:t>
      </w:r>
      <w:r>
        <w:rPr>
          <w:rFonts w:ascii="Calibri" w:eastAsia="Calibri"/>
        </w:rPr>
        <w:t>95573</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60"/>
        <w:rPr>
          <w:rFonts w:ascii="Calibri" w:eastAsia="Calibri"/>
        </w:rPr>
      </w:pPr>
      <w:r>
        <w:rPr/>
        <w:t>住所：山东省青岛市崂山区深圳路 </w:t>
      </w:r>
      <w:r>
        <w:rPr>
          <w:rFonts w:ascii="Calibri" w:eastAsia="Calibri"/>
        </w:rPr>
        <w:t>222 </w:t>
      </w:r>
      <w:r>
        <w:rPr/>
        <w:t>号 </w:t>
      </w:r>
      <w:r>
        <w:rPr>
          <w:rFonts w:ascii="Calibri" w:eastAsia="Calibri"/>
        </w:rPr>
        <w:t>1 </w:t>
      </w:r>
      <w:r>
        <w:rPr/>
        <w:t>号楼 </w:t>
      </w:r>
      <w:r>
        <w:rPr>
          <w:rFonts w:ascii="Calibri" w:eastAsia="Calibri"/>
        </w:rPr>
        <w:t>2001</w:t>
      </w:r>
    </w:p>
    <w:p>
      <w:pPr>
        <w:pStyle w:val="BodyText"/>
        <w:spacing w:before="3"/>
        <w:rPr>
          <w:rFonts w:ascii="Calibri"/>
          <w:sz w:val="16"/>
        </w:rPr>
      </w:pPr>
    </w:p>
    <w:p>
      <w:pPr>
        <w:pStyle w:val="BodyText"/>
        <w:spacing w:line="417" w:lineRule="auto" w:before="1"/>
        <w:ind w:left="960" w:right="2767"/>
      </w:pPr>
      <w:r>
        <w:rPr>
          <w:spacing w:val="-6"/>
        </w:rPr>
        <w:t>办公地址：山东省青岛市市南区东海西路 </w:t>
      </w:r>
      <w:r>
        <w:rPr>
          <w:rFonts w:ascii="Calibri" w:eastAsia="Calibri"/>
        </w:rPr>
        <w:t>28 </w:t>
      </w:r>
      <w:r>
        <w:rPr>
          <w:spacing w:val="-9"/>
        </w:rPr>
        <w:t>号龙翔广场东座 </w:t>
      </w:r>
      <w:r>
        <w:rPr>
          <w:rFonts w:ascii="Calibri" w:eastAsia="Calibri"/>
        </w:rPr>
        <w:t>5 </w:t>
      </w:r>
      <w:r>
        <w:rPr/>
        <w:t>层</w:t>
      </w:r>
      <w:r>
        <w:rPr>
          <w:spacing w:val="-3"/>
        </w:rPr>
        <w:t>法定代表人：姜晓林</w:t>
      </w:r>
    </w:p>
    <w:p>
      <w:pPr>
        <w:pStyle w:val="BodyText"/>
        <w:spacing w:line="417" w:lineRule="auto"/>
        <w:ind w:left="960" w:right="6790"/>
        <w:rPr>
          <w:rFonts w:ascii="Calibri" w:eastAsia="Calibri"/>
        </w:rPr>
      </w:pPr>
      <w:r>
        <w:rPr/>
        <w:t>电话：</w:t>
      </w:r>
      <w:r>
        <w:rPr>
          <w:rFonts w:ascii="Calibri" w:eastAsia="Calibri"/>
        </w:rPr>
        <w:t>0531-89606165 </w:t>
      </w:r>
      <w:r>
        <w:rPr/>
        <w:t>传真：</w:t>
      </w:r>
      <w:r>
        <w:rPr>
          <w:rFonts w:ascii="Calibri" w:eastAsia="Calibri"/>
        </w:rPr>
        <w:t>0532-85022605</w:t>
      </w:r>
    </w:p>
    <w:p>
      <w:pPr>
        <w:pStyle w:val="BodyText"/>
        <w:spacing w:line="269" w:lineRule="exact"/>
        <w:ind w:left="960"/>
      </w:pPr>
      <w:r>
        <w:rPr/>
        <w:t>联系人：刘晓明</w:t>
      </w:r>
    </w:p>
    <w:p>
      <w:pPr>
        <w:pStyle w:val="BodyText"/>
        <w:spacing w:before="6"/>
        <w:rPr>
          <w:sz w:val="15"/>
        </w:rPr>
      </w:pPr>
    </w:p>
    <w:p>
      <w:pPr>
        <w:pStyle w:val="BodyText"/>
        <w:spacing w:line="417" w:lineRule="auto" w:before="1"/>
        <w:ind w:left="960" w:right="6430"/>
        <w:rPr>
          <w:rFonts w:ascii="Calibri" w:eastAsia="Calibri"/>
        </w:rPr>
      </w:pPr>
      <w:r>
        <w:rPr/>
        <w:t>网址：</w:t>
      </w:r>
      <w:hyperlink r:id="rId114">
        <w:r>
          <w:rPr>
            <w:rFonts w:ascii="Calibri" w:eastAsia="Calibri"/>
          </w:rPr>
          <w:t>http://sd.citics.com </w:t>
        </w:r>
      </w:hyperlink>
      <w:r>
        <w:rPr/>
        <w:t>客户服务电话：</w:t>
      </w:r>
      <w:r>
        <w:rPr>
          <w:rFonts w:ascii="Calibri" w:eastAsia="Calibri"/>
        </w:rPr>
        <w:t>95548</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东兴证券股份有限公司</w:t>
      </w:r>
    </w:p>
    <w:p>
      <w:pPr>
        <w:pStyle w:val="BodyText"/>
        <w:spacing w:before="6"/>
        <w:rPr>
          <w:sz w:val="15"/>
        </w:rPr>
      </w:pPr>
    </w:p>
    <w:p>
      <w:pPr>
        <w:pStyle w:val="BodyText"/>
        <w:ind w:left="960"/>
      </w:pPr>
      <w:r>
        <w:rPr/>
        <w:t>住所：北京市西城区金融大街 </w:t>
      </w:r>
      <w:r>
        <w:rPr>
          <w:rFonts w:ascii="Calibri" w:eastAsia="Calibri"/>
        </w:rPr>
        <w:t>5 </w:t>
      </w:r>
      <w:r>
        <w:rPr/>
        <w:t>号新盛大厦</w:t>
      </w:r>
      <w:r>
        <w:rPr>
          <w:rFonts w:ascii="Calibri" w:eastAsia="Calibri"/>
        </w:rPr>
        <w:t>B </w:t>
      </w:r>
      <w:r>
        <w:rPr/>
        <w:t>座 </w:t>
      </w:r>
      <w:r>
        <w:rPr>
          <w:rFonts w:ascii="Calibri" w:eastAsia="Calibri"/>
        </w:rPr>
        <w:t>12-15 </w:t>
      </w:r>
      <w:r>
        <w:rPr/>
        <w:t>层</w:t>
      </w:r>
    </w:p>
    <w:p>
      <w:pPr>
        <w:pStyle w:val="BodyText"/>
        <w:spacing w:before="7"/>
        <w:rPr>
          <w:sz w:val="15"/>
        </w:rPr>
      </w:pPr>
    </w:p>
    <w:p>
      <w:pPr>
        <w:pStyle w:val="BodyText"/>
        <w:spacing w:line="417" w:lineRule="auto" w:before="1"/>
        <w:ind w:left="960" w:right="3059"/>
      </w:pPr>
      <w:r>
        <w:rPr/>
        <w:t>办公地址：北京市西城区金融大街 </w:t>
      </w:r>
      <w:r>
        <w:rPr>
          <w:rFonts w:ascii="Calibri" w:eastAsia="Calibri"/>
        </w:rPr>
        <w:t>5 </w:t>
      </w:r>
      <w:r>
        <w:rPr/>
        <w:t>号新盛大厦</w:t>
      </w:r>
      <w:r>
        <w:rPr>
          <w:rFonts w:ascii="Calibri" w:eastAsia="Calibri"/>
        </w:rPr>
        <w:t>B </w:t>
      </w:r>
      <w:r>
        <w:rPr/>
        <w:t>座 </w:t>
      </w:r>
      <w:r>
        <w:rPr>
          <w:rFonts w:ascii="Calibri" w:eastAsia="Calibri"/>
        </w:rPr>
        <w:t>12-15 </w:t>
      </w:r>
      <w:r>
        <w:rPr/>
        <w:t>层法定代表人：魏庆华</w:t>
      </w:r>
    </w:p>
    <w:p>
      <w:pPr>
        <w:pStyle w:val="BodyText"/>
        <w:spacing w:line="417" w:lineRule="auto"/>
        <w:ind w:left="960" w:right="6898"/>
        <w:rPr>
          <w:rFonts w:ascii="Calibri" w:eastAsia="Calibri"/>
        </w:rPr>
      </w:pPr>
      <w:r>
        <w:rPr/>
        <w:t>电话：</w:t>
      </w:r>
      <w:r>
        <w:rPr>
          <w:rFonts w:ascii="Calibri" w:eastAsia="Calibri"/>
        </w:rPr>
        <w:t>010-66555316 </w:t>
      </w:r>
      <w:r>
        <w:rPr/>
        <w:t>传真：</w:t>
      </w:r>
      <w:r>
        <w:rPr>
          <w:rFonts w:ascii="Calibri" w:eastAsia="Calibri"/>
        </w:rPr>
        <w:t>010-66555246</w:t>
      </w:r>
    </w:p>
    <w:p>
      <w:pPr>
        <w:pStyle w:val="BodyText"/>
        <w:spacing w:line="269" w:lineRule="exact"/>
        <w:ind w:left="960"/>
      </w:pPr>
      <w:r>
        <w:rPr/>
        <w:t>联系人：汤漫川</w:t>
      </w:r>
    </w:p>
    <w:p>
      <w:pPr>
        <w:pStyle w:val="BodyText"/>
        <w:spacing w:before="6"/>
        <w:rPr>
          <w:sz w:val="15"/>
        </w:rPr>
      </w:pPr>
    </w:p>
    <w:p>
      <w:pPr>
        <w:pStyle w:val="BodyText"/>
        <w:spacing w:line="417" w:lineRule="auto"/>
        <w:ind w:left="960" w:right="6615"/>
        <w:rPr>
          <w:rFonts w:ascii="Calibri" w:eastAsia="Calibri"/>
        </w:rPr>
      </w:pPr>
      <w:r>
        <w:rPr/>
        <w:t>网址：</w:t>
      </w:r>
      <w:hyperlink r:id="rId115">
        <w:r>
          <w:rPr>
            <w:rFonts w:ascii="Calibri" w:eastAsia="Calibri"/>
          </w:rPr>
          <w:t>www.dxzq.net.cn </w:t>
        </w:r>
      </w:hyperlink>
      <w:r>
        <w:rPr/>
        <w:t>客户服务电话：</w:t>
      </w:r>
      <w:r>
        <w:rPr>
          <w:rFonts w:ascii="Calibri" w:eastAsia="Calibri"/>
        </w:rPr>
        <w:t>95309</w:t>
      </w: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东吴证券股份有限公司</w:t>
      </w:r>
    </w:p>
    <w:p>
      <w:pPr>
        <w:pStyle w:val="BodyText"/>
        <w:spacing w:before="7"/>
        <w:rPr>
          <w:sz w:val="15"/>
        </w:rPr>
      </w:pPr>
    </w:p>
    <w:p>
      <w:pPr>
        <w:pStyle w:val="BodyText"/>
        <w:ind w:left="960"/>
      </w:pPr>
      <w:r>
        <w:rPr/>
        <w:t>住所：苏州工业园区翠园路 </w:t>
      </w:r>
      <w:r>
        <w:rPr>
          <w:rFonts w:ascii="Calibri" w:eastAsia="Calibri"/>
        </w:rPr>
        <w:t>181 </w:t>
      </w:r>
      <w:r>
        <w:rPr/>
        <w:t>号</w:t>
      </w:r>
    </w:p>
    <w:p>
      <w:pPr>
        <w:pStyle w:val="BodyText"/>
        <w:spacing w:before="7"/>
        <w:rPr>
          <w:sz w:val="15"/>
        </w:rPr>
      </w:pPr>
    </w:p>
    <w:p>
      <w:pPr>
        <w:pStyle w:val="BodyText"/>
        <w:spacing w:line="417" w:lineRule="auto"/>
        <w:ind w:left="960" w:right="5339"/>
      </w:pPr>
      <w:r>
        <w:rPr/>
        <w:t>办公地址：苏州工业园区星阳街 </w:t>
      </w:r>
      <w:r>
        <w:rPr>
          <w:rFonts w:ascii="Calibri" w:eastAsia="Calibri"/>
        </w:rPr>
        <w:t>5 </w:t>
      </w:r>
      <w:r>
        <w:rPr/>
        <w:t>号法定代表人：范力</w:t>
      </w:r>
    </w:p>
    <w:p>
      <w:pPr>
        <w:pStyle w:val="BodyText"/>
        <w:spacing w:line="417" w:lineRule="auto"/>
        <w:ind w:left="960" w:right="6790"/>
        <w:rPr>
          <w:rFonts w:ascii="Calibri" w:eastAsia="Calibri"/>
        </w:rPr>
      </w:pPr>
      <w:r>
        <w:rPr/>
        <w:t>电话：</w:t>
      </w:r>
      <w:r>
        <w:rPr>
          <w:rFonts w:ascii="Calibri" w:eastAsia="Calibri"/>
        </w:rPr>
        <w:t>0512-65581136 </w:t>
      </w:r>
      <w:r>
        <w:rPr/>
        <w:t>传真：</w:t>
      </w:r>
      <w:r>
        <w:rPr>
          <w:rFonts w:ascii="Calibri" w:eastAsia="Calibri"/>
        </w:rPr>
        <w:t>0512-65588021</w:t>
      </w:r>
    </w:p>
    <w:p>
      <w:pPr>
        <w:pStyle w:val="BodyText"/>
        <w:spacing w:line="269" w:lineRule="exact"/>
        <w:ind w:left="960"/>
      </w:pPr>
      <w:r>
        <w:rPr/>
        <w:t>联系人：方晓丹</w:t>
      </w:r>
    </w:p>
    <w:p>
      <w:pPr>
        <w:pStyle w:val="BodyText"/>
        <w:spacing w:before="6"/>
        <w:rPr>
          <w:sz w:val="15"/>
        </w:rPr>
      </w:pPr>
    </w:p>
    <w:p>
      <w:pPr>
        <w:pStyle w:val="BodyText"/>
        <w:spacing w:line="417" w:lineRule="auto" w:before="1"/>
        <w:ind w:left="960" w:right="6475"/>
        <w:rPr>
          <w:rFonts w:ascii="Calibri" w:eastAsia="Calibri"/>
        </w:rPr>
      </w:pPr>
      <w:r>
        <w:rPr/>
        <w:t>网址：</w:t>
      </w:r>
      <w:hyperlink r:id="rId116">
        <w:r>
          <w:rPr>
            <w:rFonts w:ascii="Calibri" w:eastAsia="Calibri"/>
          </w:rPr>
          <w:t>www.dwzq.com.cn </w:t>
        </w:r>
      </w:hyperlink>
      <w:r>
        <w:rPr/>
        <w:t>客户服务电话：</w:t>
      </w:r>
      <w:r>
        <w:rPr>
          <w:rFonts w:ascii="Calibri" w:eastAsia="Calibri"/>
        </w:rPr>
        <w:t>95330</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2"/>
        </w:numPr>
        <w:tabs>
          <w:tab w:pos="1598" w:val="left" w:leader="none"/>
        </w:tabs>
        <w:spacing w:line="240" w:lineRule="auto" w:before="72" w:after="0"/>
        <w:ind w:left="1597" w:right="0" w:hanging="638"/>
        <w:jc w:val="left"/>
        <w:rPr>
          <w:sz w:val="21"/>
        </w:rPr>
      </w:pPr>
      <w:r>
        <w:rPr>
          <w:spacing w:val="-3"/>
          <w:sz w:val="21"/>
        </w:rPr>
        <w:t>信达证券股份有限公司</w:t>
      </w:r>
    </w:p>
    <w:p>
      <w:pPr>
        <w:pStyle w:val="BodyText"/>
        <w:spacing w:before="6"/>
        <w:rPr>
          <w:sz w:val="15"/>
        </w:rPr>
      </w:pPr>
    </w:p>
    <w:p>
      <w:pPr>
        <w:pStyle w:val="BodyText"/>
        <w:ind w:left="960"/>
      </w:pPr>
      <w:r>
        <w:rPr/>
        <w:t>住所：北京市西城区闹市口大街 </w:t>
      </w:r>
      <w:r>
        <w:rPr>
          <w:rFonts w:ascii="Calibri" w:eastAsia="Calibri"/>
        </w:rPr>
        <w:t>9 </w:t>
      </w:r>
      <w:r>
        <w:rPr/>
        <w:t>号院 </w:t>
      </w:r>
      <w:r>
        <w:rPr>
          <w:rFonts w:ascii="Calibri" w:eastAsia="Calibri"/>
        </w:rPr>
        <w:t>1 </w:t>
      </w:r>
      <w:r>
        <w:rPr/>
        <w:t>号楼</w:t>
      </w:r>
    </w:p>
    <w:p>
      <w:pPr>
        <w:pStyle w:val="BodyText"/>
        <w:spacing w:before="7"/>
        <w:rPr>
          <w:sz w:val="15"/>
        </w:rPr>
      </w:pPr>
    </w:p>
    <w:p>
      <w:pPr>
        <w:pStyle w:val="BodyText"/>
        <w:spacing w:line="417" w:lineRule="auto"/>
        <w:ind w:left="960" w:right="4135"/>
      </w:pPr>
      <w:r>
        <w:rPr>
          <w:spacing w:val="-6"/>
        </w:rPr>
        <w:t>办公地址：北京市西城区闹市口大街 </w:t>
      </w:r>
      <w:r>
        <w:rPr>
          <w:rFonts w:ascii="Calibri" w:eastAsia="Calibri"/>
        </w:rPr>
        <w:t>9 </w:t>
      </w:r>
      <w:r>
        <w:rPr>
          <w:spacing w:val="-17"/>
        </w:rPr>
        <w:t>号院 </w:t>
      </w:r>
      <w:r>
        <w:rPr>
          <w:rFonts w:ascii="Calibri" w:eastAsia="Calibri"/>
        </w:rPr>
        <w:t>1 </w:t>
      </w:r>
      <w:r>
        <w:rPr/>
        <w:t>号楼</w:t>
      </w:r>
      <w:r>
        <w:rPr>
          <w:spacing w:val="-3"/>
        </w:rPr>
        <w:t>法定代表人：肖林</w:t>
      </w:r>
    </w:p>
    <w:p>
      <w:pPr>
        <w:pStyle w:val="BodyText"/>
        <w:spacing w:line="417" w:lineRule="auto"/>
        <w:ind w:left="960" w:right="6898"/>
        <w:rPr>
          <w:rFonts w:ascii="Calibri" w:eastAsia="Calibri"/>
        </w:rPr>
      </w:pPr>
      <w:r>
        <w:rPr/>
        <w:t>电话：</w:t>
      </w:r>
      <w:r>
        <w:rPr>
          <w:rFonts w:ascii="Calibri" w:eastAsia="Calibri"/>
        </w:rPr>
        <w:t>010-83252185 </w:t>
      </w:r>
      <w:r>
        <w:rPr/>
        <w:t>传真：</w:t>
      </w:r>
      <w:r>
        <w:rPr>
          <w:rFonts w:ascii="Calibri" w:eastAsia="Calibri"/>
        </w:rPr>
        <w:t>010-63080978</w:t>
      </w:r>
    </w:p>
    <w:p>
      <w:pPr>
        <w:pStyle w:val="BodyText"/>
        <w:spacing w:line="269" w:lineRule="exact"/>
        <w:ind w:left="960"/>
      </w:pPr>
      <w:r>
        <w:rPr/>
        <w:t>联系人：付婷</w:t>
      </w:r>
    </w:p>
    <w:p>
      <w:pPr>
        <w:pStyle w:val="BodyText"/>
        <w:spacing w:before="7"/>
        <w:rPr>
          <w:sz w:val="15"/>
        </w:rPr>
      </w:pPr>
    </w:p>
    <w:p>
      <w:pPr>
        <w:pStyle w:val="BodyText"/>
        <w:spacing w:line="417" w:lineRule="auto"/>
        <w:ind w:left="960" w:right="6550"/>
        <w:rPr>
          <w:rFonts w:ascii="Calibri" w:eastAsia="Calibri"/>
        </w:rPr>
      </w:pPr>
      <w:r>
        <w:rPr/>
        <w:t>网址：</w:t>
      </w:r>
      <w:hyperlink r:id="rId117">
        <w:r>
          <w:rPr>
            <w:rFonts w:ascii="Calibri" w:eastAsia="Calibri"/>
          </w:rPr>
          <w:t>www.cindasc.com </w:t>
        </w:r>
      </w:hyperlink>
      <w:r>
        <w:rPr/>
        <w:t>客户服务电话：</w:t>
      </w:r>
      <w:r>
        <w:rPr>
          <w:rFonts w:ascii="Calibri" w:eastAsia="Calibri"/>
        </w:rPr>
        <w:t>95321</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长城证券股份有限公司</w:t>
      </w:r>
    </w:p>
    <w:p>
      <w:pPr>
        <w:pStyle w:val="BodyText"/>
        <w:spacing w:before="7"/>
        <w:rPr>
          <w:sz w:val="15"/>
        </w:rPr>
      </w:pPr>
    </w:p>
    <w:p>
      <w:pPr>
        <w:pStyle w:val="BodyText"/>
        <w:ind w:left="960"/>
      </w:pPr>
      <w:r>
        <w:rPr/>
        <w:t>住所：深圳市福田区福田街道金田路 </w:t>
      </w:r>
      <w:r>
        <w:rPr>
          <w:rFonts w:ascii="Calibri" w:eastAsia="Calibri"/>
        </w:rPr>
        <w:t>2026 </w:t>
      </w:r>
      <w:r>
        <w:rPr/>
        <w:t>号能源大厦南塔楼 </w:t>
      </w:r>
      <w:r>
        <w:rPr>
          <w:rFonts w:ascii="Calibri" w:eastAsia="Calibri"/>
        </w:rPr>
        <w:t>10-19 </w:t>
      </w:r>
      <w:r>
        <w:rPr/>
        <w:t>层</w:t>
      </w:r>
    </w:p>
    <w:p>
      <w:pPr>
        <w:pStyle w:val="BodyText"/>
        <w:spacing w:before="6"/>
        <w:rPr>
          <w:sz w:val="15"/>
        </w:rPr>
      </w:pPr>
    </w:p>
    <w:p>
      <w:pPr>
        <w:pStyle w:val="BodyText"/>
        <w:spacing w:line="417" w:lineRule="auto" w:before="1"/>
        <w:ind w:left="960" w:right="1963"/>
      </w:pPr>
      <w:r>
        <w:rPr>
          <w:spacing w:val="-6"/>
        </w:rPr>
        <w:t>办公地址：深圳市福田区福田街道金田路 </w:t>
      </w:r>
      <w:r>
        <w:rPr>
          <w:rFonts w:ascii="Calibri" w:eastAsia="Calibri"/>
        </w:rPr>
        <w:t>2026 </w:t>
      </w:r>
      <w:r>
        <w:rPr>
          <w:spacing w:val="-8"/>
        </w:rPr>
        <w:t>号能源大厦南塔楼 </w:t>
      </w:r>
      <w:r>
        <w:rPr>
          <w:rFonts w:ascii="Calibri" w:eastAsia="Calibri"/>
        </w:rPr>
        <w:t>10-19 </w:t>
      </w:r>
      <w:r>
        <w:rPr/>
        <w:t>层</w:t>
      </w:r>
      <w:r>
        <w:rPr>
          <w:spacing w:val="-3"/>
        </w:rPr>
        <w:t>法定代表人：曹宏</w:t>
      </w:r>
    </w:p>
    <w:p>
      <w:pPr>
        <w:pStyle w:val="BodyText"/>
        <w:spacing w:line="417" w:lineRule="auto"/>
        <w:ind w:left="960" w:right="6790"/>
        <w:rPr>
          <w:rFonts w:ascii="Calibri" w:eastAsia="Calibri"/>
        </w:rPr>
      </w:pPr>
      <w:r>
        <w:rPr/>
        <w:t>电话：</w:t>
      </w:r>
      <w:r>
        <w:rPr>
          <w:rFonts w:ascii="Calibri" w:eastAsia="Calibri"/>
        </w:rPr>
        <w:t>0755-83530715 </w:t>
      </w:r>
      <w:r>
        <w:rPr/>
        <w:t>传真：</w:t>
      </w:r>
      <w:r>
        <w:rPr>
          <w:rFonts w:ascii="Calibri" w:eastAsia="Calibri"/>
        </w:rPr>
        <w:t>0755-83515567</w:t>
      </w:r>
    </w:p>
    <w:p>
      <w:pPr>
        <w:pStyle w:val="BodyText"/>
        <w:ind w:left="960"/>
      </w:pPr>
      <w:r>
        <w:rPr/>
        <w:t>联系人：梁浩</w:t>
      </w:r>
    </w:p>
    <w:p>
      <w:pPr>
        <w:pStyle w:val="BodyText"/>
        <w:spacing w:before="6"/>
        <w:rPr>
          <w:sz w:val="15"/>
        </w:rPr>
      </w:pPr>
    </w:p>
    <w:p>
      <w:pPr>
        <w:pStyle w:val="BodyText"/>
        <w:spacing w:line="417" w:lineRule="auto"/>
        <w:ind w:left="960" w:right="6761"/>
        <w:rPr>
          <w:rFonts w:ascii="Calibri" w:eastAsia="Calibri"/>
        </w:rPr>
      </w:pPr>
      <w:r>
        <w:rPr/>
        <w:t>网址：</w:t>
      </w:r>
      <w:hyperlink r:id="rId118">
        <w:r>
          <w:rPr>
            <w:rFonts w:ascii="Calibri" w:eastAsia="Calibri"/>
          </w:rPr>
          <w:t>www.cgws.com </w:t>
        </w:r>
      </w:hyperlink>
      <w:r>
        <w:rPr/>
        <w:t>客户服务电话：</w:t>
      </w:r>
      <w:r>
        <w:rPr>
          <w:rFonts w:ascii="Calibri" w:eastAsia="Calibri"/>
        </w:rPr>
        <w:t>95514</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光大证券股份有限公司</w:t>
      </w:r>
    </w:p>
    <w:p>
      <w:pPr>
        <w:pStyle w:val="BodyText"/>
        <w:spacing w:before="7"/>
        <w:rPr>
          <w:sz w:val="15"/>
        </w:rPr>
      </w:pPr>
    </w:p>
    <w:p>
      <w:pPr>
        <w:pStyle w:val="BodyText"/>
        <w:ind w:left="960"/>
      </w:pPr>
      <w:r>
        <w:rPr/>
        <w:t>住所：上海市静安区新闸路 </w:t>
      </w:r>
      <w:r>
        <w:rPr>
          <w:rFonts w:ascii="Calibri" w:eastAsia="Calibri"/>
        </w:rPr>
        <w:t>1508 </w:t>
      </w:r>
      <w:r>
        <w:rPr/>
        <w:t>号</w:t>
      </w:r>
    </w:p>
    <w:p>
      <w:pPr>
        <w:pStyle w:val="BodyText"/>
        <w:spacing w:before="6"/>
        <w:rPr>
          <w:sz w:val="15"/>
        </w:rPr>
      </w:pPr>
    </w:p>
    <w:p>
      <w:pPr>
        <w:pStyle w:val="BodyText"/>
        <w:spacing w:line="417" w:lineRule="auto"/>
        <w:ind w:left="960" w:right="5020"/>
      </w:pPr>
      <w:r>
        <w:rPr/>
        <w:t>办公地址：上海市静安区新闸路 </w:t>
      </w:r>
      <w:r>
        <w:rPr>
          <w:rFonts w:ascii="Calibri" w:eastAsia="Calibri"/>
        </w:rPr>
        <w:t>1508 </w:t>
      </w:r>
      <w:r>
        <w:rPr/>
        <w:t>号法定代表人：薛峰</w:t>
      </w:r>
    </w:p>
    <w:p>
      <w:pPr>
        <w:pStyle w:val="BodyText"/>
        <w:spacing w:line="417" w:lineRule="auto" w:before="1"/>
        <w:ind w:left="960" w:right="6898"/>
        <w:rPr>
          <w:rFonts w:ascii="Calibri" w:eastAsia="Calibri"/>
        </w:rPr>
      </w:pPr>
      <w:r>
        <w:rPr/>
        <w:t>电话：</w:t>
      </w:r>
      <w:r>
        <w:rPr>
          <w:rFonts w:ascii="Calibri" w:eastAsia="Calibri"/>
        </w:rPr>
        <w:t>021-22169081 </w:t>
      </w:r>
      <w:r>
        <w:rPr/>
        <w:t>传真：</w:t>
      </w:r>
      <w:r>
        <w:rPr>
          <w:rFonts w:ascii="Calibri" w:eastAsia="Calibri"/>
        </w:rPr>
        <w:t>021-22169134</w:t>
      </w:r>
    </w:p>
    <w:p>
      <w:pPr>
        <w:pStyle w:val="BodyText"/>
        <w:spacing w:line="269" w:lineRule="exact"/>
        <w:ind w:left="960"/>
      </w:pPr>
      <w:r>
        <w:rPr/>
        <w:t>联系人：刘晨</w:t>
      </w:r>
    </w:p>
    <w:p>
      <w:pPr>
        <w:pStyle w:val="BodyText"/>
        <w:spacing w:before="6"/>
        <w:rPr>
          <w:sz w:val="15"/>
        </w:rPr>
      </w:pPr>
    </w:p>
    <w:p>
      <w:pPr>
        <w:pStyle w:val="BodyText"/>
        <w:spacing w:before="1"/>
        <w:ind w:left="960"/>
        <w:rPr>
          <w:rFonts w:ascii="Calibri" w:eastAsia="Calibri"/>
        </w:rPr>
      </w:pPr>
      <w:r>
        <w:rPr/>
        <w:t>网址：</w:t>
      </w:r>
      <w:hyperlink r:id="rId119">
        <w:r>
          <w:rPr>
            <w:rFonts w:ascii="Calibri" w:eastAsia="Calibri"/>
          </w:rPr>
          <w:t>www.ebscn.com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95525</w:t>
      </w:r>
      <w:r>
        <w:rPr/>
        <w:t>、</w:t>
      </w:r>
      <w:r>
        <w:rPr>
          <w:rFonts w:ascii="Calibri" w:eastAsia="Calibri"/>
        </w:rPr>
        <w:t>400-888-8788</w:t>
      </w:r>
    </w:p>
    <w:p>
      <w:pPr>
        <w:pStyle w:val="BodyText"/>
        <w:spacing w:before="4"/>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中信证券华南股份有限公司</w:t>
      </w:r>
    </w:p>
    <w:p>
      <w:pPr>
        <w:pStyle w:val="BodyText"/>
        <w:spacing w:before="7"/>
        <w:rPr>
          <w:sz w:val="15"/>
        </w:rPr>
      </w:pPr>
    </w:p>
    <w:p>
      <w:pPr>
        <w:pStyle w:val="BodyText"/>
        <w:ind w:left="960"/>
      </w:pPr>
      <w:r>
        <w:rPr/>
        <w:t>住所：广州市天河区珠江西路 </w:t>
      </w:r>
      <w:r>
        <w:rPr>
          <w:rFonts w:ascii="Calibri" w:eastAsia="Calibri"/>
        </w:rPr>
        <w:t>5 </w:t>
      </w:r>
      <w:r>
        <w:rPr/>
        <w:t>号广州国际金融中心主塔 </w:t>
      </w:r>
      <w:r>
        <w:rPr>
          <w:rFonts w:ascii="Calibri" w:eastAsia="Calibri"/>
        </w:rPr>
        <w:t>19 </w:t>
      </w:r>
      <w:r>
        <w:rPr/>
        <w:t>层、</w:t>
      </w:r>
      <w:r>
        <w:rPr>
          <w:rFonts w:ascii="Calibri" w:eastAsia="Calibri"/>
        </w:rPr>
        <w:t>20 </w:t>
      </w:r>
      <w:r>
        <w:rPr/>
        <w:t>层</w:t>
      </w:r>
    </w:p>
    <w:p>
      <w:pPr>
        <w:pStyle w:val="BodyText"/>
        <w:spacing w:before="6"/>
        <w:rPr>
          <w:sz w:val="15"/>
        </w:rPr>
      </w:pPr>
    </w:p>
    <w:p>
      <w:pPr>
        <w:pStyle w:val="BodyText"/>
        <w:spacing w:before="1"/>
        <w:ind w:left="960"/>
      </w:pPr>
      <w:r>
        <w:rPr/>
        <w:t>办公地址：广州市天河区珠江西路 </w:t>
      </w:r>
      <w:r>
        <w:rPr>
          <w:rFonts w:ascii="Calibri" w:eastAsia="Calibri"/>
        </w:rPr>
        <w:t>5 </w:t>
      </w:r>
      <w:r>
        <w:rPr/>
        <w:t>号广州国际金融中心主塔 </w:t>
      </w:r>
      <w:r>
        <w:rPr>
          <w:rFonts w:ascii="Calibri" w:eastAsia="Calibri"/>
        </w:rPr>
        <w:t>19 </w:t>
      </w:r>
      <w:r>
        <w:rPr/>
        <w:t>层、</w:t>
      </w:r>
      <w:r>
        <w:rPr>
          <w:rFonts w:ascii="Calibri" w:eastAsia="Calibri"/>
        </w:rPr>
        <w:t>20 </w:t>
      </w:r>
      <w:r>
        <w:rPr/>
        <w:t>层</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870"/>
        <w:jc w:val="both"/>
        <w:rPr>
          <w:rFonts w:ascii="Calibri" w:eastAsia="Calibri"/>
        </w:rPr>
      </w:pPr>
      <w:r>
        <w:rPr/>
        <w:t>法定代表人：胡伏云电话：</w:t>
      </w:r>
      <w:r>
        <w:rPr>
          <w:rFonts w:ascii="Calibri" w:eastAsia="Calibri"/>
        </w:rPr>
        <w:t>020-88836999 </w:t>
      </w:r>
      <w:r>
        <w:rPr/>
        <w:t>传真：</w:t>
      </w:r>
      <w:r>
        <w:rPr>
          <w:rFonts w:ascii="Calibri" w:eastAsia="Calibri"/>
        </w:rPr>
        <w:t>020-88836984</w:t>
      </w:r>
    </w:p>
    <w:p>
      <w:pPr>
        <w:pStyle w:val="BodyText"/>
        <w:spacing w:line="269" w:lineRule="exact"/>
        <w:ind w:left="960"/>
      </w:pPr>
      <w:r>
        <w:rPr/>
        <w:t>联系人：陈靖</w:t>
      </w:r>
    </w:p>
    <w:p>
      <w:pPr>
        <w:pStyle w:val="BodyText"/>
        <w:spacing w:before="7"/>
        <w:rPr>
          <w:sz w:val="15"/>
        </w:rPr>
      </w:pPr>
    </w:p>
    <w:p>
      <w:pPr>
        <w:pStyle w:val="BodyText"/>
        <w:spacing w:line="417" w:lineRule="auto"/>
        <w:ind w:left="960" w:right="6663"/>
        <w:rPr>
          <w:rFonts w:ascii="Calibri" w:eastAsia="Calibri"/>
        </w:rPr>
      </w:pPr>
      <w:r>
        <w:rPr/>
        <w:t>网址：</w:t>
      </w:r>
      <w:hyperlink r:id="rId120">
        <w:r>
          <w:rPr>
            <w:rFonts w:ascii="Calibri" w:eastAsia="Calibri"/>
          </w:rPr>
          <w:t>www.gzs.com.cn </w:t>
        </w:r>
      </w:hyperlink>
      <w:r>
        <w:rPr/>
        <w:t>客户服务电话：</w:t>
      </w:r>
      <w:r>
        <w:rPr>
          <w:rFonts w:ascii="Calibri" w:eastAsia="Calibri"/>
        </w:rPr>
        <w:t>95548</w:t>
      </w:r>
    </w:p>
    <w:p>
      <w:pPr>
        <w:pStyle w:val="ListParagraph"/>
        <w:numPr>
          <w:ilvl w:val="0"/>
          <w:numId w:val="32"/>
        </w:numPr>
        <w:tabs>
          <w:tab w:pos="1598" w:val="left" w:leader="none"/>
        </w:tabs>
        <w:spacing w:line="417" w:lineRule="auto" w:before="0" w:after="0"/>
        <w:ind w:left="960" w:right="5919" w:firstLine="0"/>
        <w:jc w:val="left"/>
        <w:rPr>
          <w:sz w:val="21"/>
        </w:rPr>
      </w:pPr>
      <w:r>
        <w:rPr>
          <w:spacing w:val="-3"/>
          <w:sz w:val="21"/>
        </w:rPr>
        <w:t>东北证券股份有限公司</w:t>
      </w:r>
      <w:r>
        <w:rPr>
          <w:spacing w:val="-8"/>
          <w:sz w:val="21"/>
        </w:rPr>
        <w:t>住所：长春市生态大街 </w:t>
      </w:r>
      <w:r>
        <w:rPr>
          <w:rFonts w:ascii="Calibri" w:eastAsia="Calibri"/>
          <w:sz w:val="21"/>
        </w:rPr>
        <w:t>6666</w:t>
      </w:r>
      <w:r>
        <w:rPr>
          <w:rFonts w:ascii="Calibri" w:eastAsia="Calibri"/>
          <w:spacing w:val="10"/>
          <w:sz w:val="21"/>
        </w:rPr>
        <w:t> </w:t>
      </w:r>
      <w:r>
        <w:rPr>
          <w:spacing w:val="-12"/>
          <w:sz w:val="21"/>
        </w:rPr>
        <w:t>号</w:t>
      </w:r>
    </w:p>
    <w:p>
      <w:pPr>
        <w:pStyle w:val="BodyText"/>
        <w:spacing w:line="417" w:lineRule="auto"/>
        <w:ind w:left="960" w:right="5440"/>
      </w:pPr>
      <w:r>
        <w:rPr/>
        <w:t>办公地址：长春市生态大街 </w:t>
      </w:r>
      <w:r>
        <w:rPr>
          <w:rFonts w:ascii="Calibri" w:eastAsia="Calibri"/>
        </w:rPr>
        <w:t>6666 </w:t>
      </w:r>
      <w:r>
        <w:rPr/>
        <w:t>号法定代表人：李福春</w:t>
      </w:r>
    </w:p>
    <w:p>
      <w:pPr>
        <w:pStyle w:val="BodyText"/>
        <w:spacing w:line="417" w:lineRule="auto"/>
        <w:ind w:left="960" w:right="6790"/>
        <w:rPr>
          <w:rFonts w:ascii="Calibri" w:eastAsia="Calibri"/>
        </w:rPr>
      </w:pPr>
      <w:r>
        <w:rPr/>
        <w:t>电话：</w:t>
      </w:r>
      <w:r>
        <w:rPr>
          <w:rFonts w:ascii="Calibri" w:eastAsia="Calibri"/>
        </w:rPr>
        <w:t>0431-85096517 </w:t>
      </w:r>
      <w:r>
        <w:rPr/>
        <w:t>传真：</w:t>
      </w:r>
      <w:r>
        <w:rPr>
          <w:rFonts w:ascii="Calibri" w:eastAsia="Calibri"/>
        </w:rPr>
        <w:t>0431-85096795</w:t>
      </w:r>
    </w:p>
    <w:p>
      <w:pPr>
        <w:pStyle w:val="BodyText"/>
        <w:spacing w:line="417" w:lineRule="auto"/>
        <w:ind w:left="960" w:right="6953"/>
        <w:rPr>
          <w:rFonts w:ascii="Calibri" w:eastAsia="Calibri"/>
        </w:rPr>
      </w:pPr>
      <w:r>
        <w:rPr/>
        <w:t>联系人：安岩岩 网址：</w:t>
      </w:r>
      <w:hyperlink r:id="rId121">
        <w:r>
          <w:rPr>
            <w:rFonts w:ascii="Calibri" w:eastAsia="Calibri"/>
          </w:rPr>
          <w:t>www.nesc.cn</w:t>
        </w:r>
      </w:hyperlink>
    </w:p>
    <w:p>
      <w:pPr>
        <w:pStyle w:val="BodyText"/>
        <w:ind w:left="960"/>
        <w:rPr>
          <w:rFonts w:ascii="Calibri" w:eastAsia="Calibri"/>
        </w:rPr>
      </w:pPr>
      <w:r>
        <w:rPr/>
        <w:t>客户服务电话：</w:t>
      </w:r>
      <w:r>
        <w:rPr>
          <w:rFonts w:ascii="Calibri" w:eastAsia="Calibri"/>
        </w:rPr>
        <w:t>95360</w:t>
      </w:r>
    </w:p>
    <w:p>
      <w:pPr>
        <w:pStyle w:val="BodyText"/>
        <w:spacing w:before="3"/>
        <w:rPr>
          <w:rFonts w:ascii="Calibri"/>
          <w:sz w:val="16"/>
        </w:rPr>
      </w:pPr>
    </w:p>
    <w:p>
      <w:pPr>
        <w:pStyle w:val="ListParagraph"/>
        <w:numPr>
          <w:ilvl w:val="0"/>
          <w:numId w:val="32"/>
        </w:numPr>
        <w:tabs>
          <w:tab w:pos="1598" w:val="left" w:leader="none"/>
        </w:tabs>
        <w:spacing w:line="240" w:lineRule="auto" w:before="0" w:after="0"/>
        <w:ind w:left="1597" w:right="0" w:hanging="638"/>
        <w:jc w:val="left"/>
        <w:rPr>
          <w:sz w:val="21"/>
        </w:rPr>
      </w:pPr>
      <w:r>
        <w:rPr>
          <w:spacing w:val="-3"/>
          <w:sz w:val="21"/>
        </w:rPr>
        <w:t>南京证券股份有限公司</w:t>
      </w:r>
    </w:p>
    <w:p>
      <w:pPr>
        <w:pStyle w:val="BodyText"/>
        <w:spacing w:before="7"/>
        <w:rPr>
          <w:sz w:val="15"/>
        </w:rPr>
      </w:pPr>
    </w:p>
    <w:p>
      <w:pPr>
        <w:pStyle w:val="BodyText"/>
        <w:ind w:left="960"/>
      </w:pPr>
      <w:r>
        <w:rPr/>
        <w:t>住所：江苏省南京市江东中路 </w:t>
      </w:r>
      <w:r>
        <w:rPr>
          <w:rFonts w:ascii="Calibri" w:eastAsia="Calibri"/>
        </w:rPr>
        <w:t>389 </w:t>
      </w:r>
      <w:r>
        <w:rPr/>
        <w:t>号</w:t>
      </w:r>
    </w:p>
    <w:p>
      <w:pPr>
        <w:pStyle w:val="BodyText"/>
        <w:spacing w:before="6"/>
        <w:rPr>
          <w:sz w:val="15"/>
        </w:rPr>
      </w:pPr>
    </w:p>
    <w:p>
      <w:pPr>
        <w:pStyle w:val="BodyText"/>
        <w:spacing w:line="417" w:lineRule="auto" w:before="1"/>
        <w:ind w:left="960" w:right="4917"/>
      </w:pPr>
      <w:r>
        <w:rPr/>
        <w:t>办公地址：江苏省南京市江东中路 </w:t>
      </w:r>
      <w:r>
        <w:rPr>
          <w:rFonts w:ascii="Calibri" w:eastAsia="Calibri"/>
        </w:rPr>
        <w:t>389 </w:t>
      </w:r>
      <w:r>
        <w:rPr/>
        <w:t>号法定代表人：李剑锋</w:t>
      </w:r>
    </w:p>
    <w:p>
      <w:pPr>
        <w:pStyle w:val="BodyText"/>
        <w:spacing w:line="417" w:lineRule="auto"/>
        <w:ind w:left="960" w:right="6898"/>
        <w:rPr>
          <w:rFonts w:ascii="Calibri" w:eastAsia="Calibri"/>
        </w:rPr>
      </w:pPr>
      <w:r>
        <w:rPr/>
        <w:t>电话：</w:t>
      </w:r>
      <w:r>
        <w:rPr>
          <w:rFonts w:ascii="Calibri" w:eastAsia="Calibri"/>
        </w:rPr>
        <w:t>025-58519523 </w:t>
      </w:r>
      <w:r>
        <w:rPr/>
        <w:t>传真：</w:t>
      </w:r>
      <w:r>
        <w:rPr>
          <w:rFonts w:ascii="Calibri" w:eastAsia="Calibri"/>
        </w:rPr>
        <w:t>025-83369725</w:t>
      </w:r>
    </w:p>
    <w:p>
      <w:pPr>
        <w:pStyle w:val="BodyText"/>
        <w:ind w:left="960"/>
      </w:pPr>
      <w:r>
        <w:rPr/>
        <w:t>联系人：王万君</w:t>
      </w:r>
    </w:p>
    <w:p>
      <w:pPr>
        <w:pStyle w:val="BodyText"/>
        <w:spacing w:before="6"/>
        <w:rPr>
          <w:sz w:val="15"/>
        </w:rPr>
      </w:pPr>
    </w:p>
    <w:p>
      <w:pPr>
        <w:pStyle w:val="BodyText"/>
        <w:spacing w:line="417" w:lineRule="auto"/>
        <w:ind w:left="960" w:right="6575"/>
        <w:rPr>
          <w:rFonts w:ascii="Calibri" w:eastAsia="Calibri"/>
        </w:rPr>
      </w:pPr>
      <w:r>
        <w:rPr/>
        <w:t>网址：</w:t>
      </w:r>
      <w:hyperlink r:id="rId122">
        <w:r>
          <w:rPr>
            <w:rFonts w:ascii="Calibri" w:eastAsia="Calibri"/>
          </w:rPr>
          <w:t>www.njzq.com.cn </w:t>
        </w:r>
      </w:hyperlink>
      <w:r>
        <w:rPr/>
        <w:t>客户服务电话：</w:t>
      </w:r>
      <w:r>
        <w:rPr>
          <w:rFonts w:ascii="Calibri" w:eastAsia="Calibri"/>
        </w:rPr>
        <w:t>95386</w:t>
      </w:r>
    </w:p>
    <w:p>
      <w:pPr>
        <w:pStyle w:val="ListParagraph"/>
        <w:numPr>
          <w:ilvl w:val="0"/>
          <w:numId w:val="32"/>
        </w:numPr>
        <w:tabs>
          <w:tab w:pos="1598" w:val="left" w:leader="none"/>
        </w:tabs>
        <w:spacing w:line="417" w:lineRule="auto" w:before="0" w:after="0"/>
        <w:ind w:left="960" w:right="6025" w:firstLine="0"/>
        <w:jc w:val="left"/>
        <w:rPr>
          <w:sz w:val="21"/>
        </w:rPr>
      </w:pPr>
      <w:r>
        <w:rPr>
          <w:spacing w:val="-4"/>
          <w:sz w:val="21"/>
        </w:rPr>
        <w:t>上海证券有限责任公司</w:t>
      </w:r>
      <w:r>
        <w:rPr>
          <w:spacing w:val="-8"/>
          <w:sz w:val="21"/>
        </w:rPr>
        <w:t>住所：上海市西藏中路 </w:t>
      </w:r>
      <w:r>
        <w:rPr>
          <w:rFonts w:ascii="Calibri" w:eastAsia="Calibri"/>
          <w:sz w:val="21"/>
        </w:rPr>
        <w:t>336</w:t>
      </w:r>
      <w:r>
        <w:rPr>
          <w:rFonts w:ascii="Calibri" w:eastAsia="Calibri"/>
          <w:spacing w:val="12"/>
          <w:sz w:val="21"/>
        </w:rPr>
        <w:t> </w:t>
      </w:r>
      <w:r>
        <w:rPr>
          <w:spacing w:val="-13"/>
          <w:sz w:val="21"/>
        </w:rPr>
        <w:t>号</w:t>
      </w:r>
    </w:p>
    <w:p>
      <w:pPr>
        <w:pStyle w:val="BodyText"/>
        <w:spacing w:line="417" w:lineRule="auto"/>
        <w:ind w:left="960" w:right="5546"/>
      </w:pPr>
      <w:r>
        <w:rPr/>
        <w:t>办公地址：上海市西藏中路 </w:t>
      </w:r>
      <w:r>
        <w:rPr>
          <w:rFonts w:ascii="Calibri" w:eastAsia="Calibri"/>
        </w:rPr>
        <w:t>336 </w:t>
      </w:r>
      <w:r>
        <w:rPr/>
        <w:t>号法定代表人：龚德雄</w:t>
      </w:r>
    </w:p>
    <w:p>
      <w:pPr>
        <w:pStyle w:val="BodyText"/>
        <w:spacing w:line="417" w:lineRule="auto"/>
        <w:ind w:left="960" w:right="6898"/>
        <w:rPr>
          <w:rFonts w:ascii="Calibri" w:eastAsia="Calibri"/>
        </w:rPr>
      </w:pPr>
      <w:r>
        <w:rPr/>
        <w:t>电话：</w:t>
      </w:r>
      <w:r>
        <w:rPr>
          <w:rFonts w:ascii="Calibri" w:eastAsia="Calibri"/>
        </w:rPr>
        <w:t>021-51539888 </w:t>
      </w:r>
      <w:r>
        <w:rPr/>
        <w:t>传真：</w:t>
      </w:r>
      <w:r>
        <w:rPr>
          <w:rFonts w:ascii="Calibri" w:eastAsia="Calibri"/>
        </w:rPr>
        <w:t>021-65217206</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联系人：张瑾</w:t>
      </w:r>
    </w:p>
    <w:p>
      <w:pPr>
        <w:pStyle w:val="BodyText"/>
        <w:spacing w:before="6"/>
        <w:rPr>
          <w:sz w:val="15"/>
        </w:rPr>
      </w:pPr>
    </w:p>
    <w:p>
      <w:pPr>
        <w:pStyle w:val="BodyText"/>
        <w:ind w:left="960"/>
        <w:rPr>
          <w:rFonts w:ascii="Calibri" w:eastAsia="Calibri"/>
        </w:rPr>
      </w:pPr>
      <w:r>
        <w:rPr/>
        <w:t>网址：</w:t>
      </w:r>
      <w:hyperlink r:id="rId123">
        <w:r>
          <w:rPr>
            <w:rFonts w:ascii="Calibri" w:eastAsia="Calibri"/>
          </w:rPr>
          <w:t>www.962518.com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400-891-8918</w:t>
      </w:r>
    </w:p>
    <w:p>
      <w:pPr>
        <w:pStyle w:val="BodyText"/>
        <w:spacing w:before="3"/>
        <w:rPr>
          <w:rFonts w:ascii="Calibri"/>
          <w:sz w:val="16"/>
        </w:rPr>
      </w:pPr>
    </w:p>
    <w:p>
      <w:pPr>
        <w:pStyle w:val="ListParagraph"/>
        <w:numPr>
          <w:ilvl w:val="0"/>
          <w:numId w:val="32"/>
        </w:numPr>
        <w:tabs>
          <w:tab w:pos="1598" w:val="left" w:leader="none"/>
        </w:tabs>
        <w:spacing w:line="240" w:lineRule="auto" w:before="1" w:after="0"/>
        <w:ind w:left="1597" w:right="0" w:hanging="638"/>
        <w:jc w:val="left"/>
        <w:rPr>
          <w:sz w:val="21"/>
        </w:rPr>
      </w:pPr>
      <w:r>
        <w:rPr>
          <w:spacing w:val="-3"/>
          <w:sz w:val="21"/>
        </w:rPr>
        <w:t>新时代证券股份有限公司</w:t>
      </w:r>
    </w:p>
    <w:p>
      <w:pPr>
        <w:pStyle w:val="BodyText"/>
        <w:spacing w:before="6"/>
        <w:rPr>
          <w:sz w:val="15"/>
        </w:rPr>
      </w:pPr>
    </w:p>
    <w:p>
      <w:pPr>
        <w:pStyle w:val="BodyText"/>
        <w:ind w:left="960"/>
        <w:rPr>
          <w:rFonts w:ascii="Calibri" w:eastAsia="Calibri"/>
        </w:rPr>
      </w:pPr>
      <w:r>
        <w:rPr/>
        <w:t>住所：北京市海淀区北三环西路 </w:t>
      </w:r>
      <w:r>
        <w:rPr>
          <w:rFonts w:ascii="Calibri" w:eastAsia="Calibri"/>
        </w:rPr>
        <w:t>99 </w:t>
      </w:r>
      <w:r>
        <w:rPr/>
        <w:t>号院 </w:t>
      </w:r>
      <w:r>
        <w:rPr>
          <w:rFonts w:ascii="Calibri" w:eastAsia="Calibri"/>
        </w:rPr>
        <w:t>1 </w:t>
      </w:r>
      <w:r>
        <w:rPr/>
        <w:t>号楼 </w:t>
      </w:r>
      <w:r>
        <w:rPr>
          <w:rFonts w:ascii="Calibri" w:eastAsia="Calibri"/>
        </w:rPr>
        <w:t>15 </w:t>
      </w:r>
      <w:r>
        <w:rPr/>
        <w:t>层 </w:t>
      </w:r>
      <w:r>
        <w:rPr>
          <w:rFonts w:ascii="Calibri" w:eastAsia="Calibri"/>
        </w:rPr>
        <w:t>1501</w:t>
      </w:r>
    </w:p>
    <w:p>
      <w:pPr>
        <w:pStyle w:val="BodyText"/>
        <w:spacing w:before="4"/>
        <w:rPr>
          <w:rFonts w:ascii="Calibri"/>
          <w:sz w:val="16"/>
        </w:rPr>
      </w:pPr>
    </w:p>
    <w:p>
      <w:pPr>
        <w:pStyle w:val="BodyText"/>
        <w:ind w:left="960"/>
        <w:rPr>
          <w:rFonts w:ascii="Calibri" w:eastAsia="Calibri"/>
        </w:rPr>
      </w:pPr>
      <w:r>
        <w:rPr/>
        <w:t>办公地址：北京市海淀区北三环西路 </w:t>
      </w:r>
      <w:r>
        <w:rPr>
          <w:rFonts w:ascii="Calibri" w:eastAsia="Calibri"/>
        </w:rPr>
        <w:t>99 </w:t>
      </w:r>
      <w:r>
        <w:rPr/>
        <w:t>号院 </w:t>
      </w:r>
      <w:r>
        <w:rPr>
          <w:rFonts w:ascii="Calibri" w:eastAsia="Calibri"/>
        </w:rPr>
        <w:t>1 </w:t>
      </w:r>
      <w:r>
        <w:rPr/>
        <w:t>号楼 </w:t>
      </w:r>
      <w:r>
        <w:rPr>
          <w:rFonts w:ascii="Calibri" w:eastAsia="Calibri"/>
        </w:rPr>
        <w:t>15 </w:t>
      </w:r>
      <w:r>
        <w:rPr/>
        <w:t>层 </w:t>
      </w:r>
      <w:r>
        <w:rPr>
          <w:rFonts w:ascii="Calibri" w:eastAsia="Calibri"/>
        </w:rPr>
        <w:t>1501</w:t>
      </w:r>
    </w:p>
    <w:p>
      <w:pPr>
        <w:pStyle w:val="BodyText"/>
        <w:spacing w:before="3"/>
        <w:rPr>
          <w:rFonts w:ascii="Calibri"/>
          <w:sz w:val="16"/>
        </w:rPr>
      </w:pPr>
    </w:p>
    <w:p>
      <w:pPr>
        <w:pStyle w:val="BodyText"/>
        <w:spacing w:line="417" w:lineRule="auto" w:before="1"/>
        <w:ind w:left="960" w:right="6837"/>
        <w:rPr>
          <w:rFonts w:ascii="Calibri" w:eastAsia="Calibri"/>
        </w:rPr>
      </w:pPr>
      <w:r>
        <w:rPr/>
        <w:t>法定代表人：林雯电话：</w:t>
      </w:r>
      <w:r>
        <w:rPr>
          <w:rFonts w:ascii="Calibri" w:eastAsia="Calibri"/>
        </w:rPr>
        <w:t>010-83561146 </w:t>
      </w:r>
      <w:r>
        <w:rPr/>
        <w:t>传真：</w:t>
      </w:r>
      <w:r>
        <w:rPr>
          <w:rFonts w:ascii="Calibri" w:eastAsia="Calibri"/>
        </w:rPr>
        <w:t>010-83561094</w:t>
      </w:r>
    </w:p>
    <w:p>
      <w:pPr>
        <w:pStyle w:val="BodyText"/>
        <w:ind w:left="960"/>
      </w:pPr>
      <w:r>
        <w:rPr/>
        <w:t>联系人：田芳芳</w:t>
      </w:r>
    </w:p>
    <w:p>
      <w:pPr>
        <w:pStyle w:val="BodyText"/>
        <w:spacing w:before="6"/>
        <w:rPr>
          <w:sz w:val="15"/>
        </w:rPr>
      </w:pPr>
    </w:p>
    <w:p>
      <w:pPr>
        <w:pStyle w:val="BodyText"/>
        <w:spacing w:line="417" w:lineRule="auto"/>
        <w:ind w:left="960" w:right="6761"/>
        <w:rPr>
          <w:rFonts w:ascii="Calibri" w:eastAsia="Calibri"/>
        </w:rPr>
      </w:pPr>
      <w:r>
        <w:rPr/>
        <w:t>网址：</w:t>
      </w:r>
      <w:hyperlink r:id="rId124">
        <w:r>
          <w:rPr>
            <w:rFonts w:ascii="Calibri" w:eastAsia="Calibri"/>
          </w:rPr>
          <w:t>www.xsdzq.cn </w:t>
        </w:r>
      </w:hyperlink>
      <w:r>
        <w:rPr/>
        <w:t>客户服务电话：</w:t>
      </w:r>
      <w:r>
        <w:rPr>
          <w:rFonts w:ascii="Calibri" w:eastAsia="Calibri"/>
        </w:rPr>
        <w:t>95399</w:t>
      </w:r>
    </w:p>
    <w:p>
      <w:pPr>
        <w:pStyle w:val="ListParagraph"/>
        <w:numPr>
          <w:ilvl w:val="0"/>
          <w:numId w:val="32"/>
        </w:numPr>
        <w:tabs>
          <w:tab w:pos="1598" w:val="left" w:leader="none"/>
        </w:tabs>
        <w:spacing w:line="269" w:lineRule="exact" w:before="0" w:after="0"/>
        <w:ind w:left="1597" w:right="0" w:hanging="638"/>
        <w:jc w:val="left"/>
        <w:rPr>
          <w:sz w:val="21"/>
        </w:rPr>
      </w:pPr>
      <w:r>
        <w:rPr>
          <w:spacing w:val="-3"/>
          <w:sz w:val="21"/>
        </w:rPr>
        <w:t>大同证券有限责任公司</w:t>
      </w:r>
    </w:p>
    <w:p>
      <w:pPr>
        <w:pStyle w:val="BodyText"/>
        <w:spacing w:before="7"/>
        <w:rPr>
          <w:sz w:val="15"/>
        </w:rPr>
      </w:pPr>
    </w:p>
    <w:p>
      <w:pPr>
        <w:pStyle w:val="BodyText"/>
        <w:ind w:left="960"/>
      </w:pPr>
      <w:r>
        <w:rPr/>
        <w:t>住所：大同市城区迎宾街 </w:t>
      </w:r>
      <w:r>
        <w:rPr>
          <w:rFonts w:ascii="Calibri" w:eastAsia="Calibri"/>
        </w:rPr>
        <w:t>15 </w:t>
      </w:r>
      <w:r>
        <w:rPr/>
        <w:t>号桐城中央 </w:t>
      </w:r>
      <w:r>
        <w:rPr>
          <w:rFonts w:ascii="Calibri" w:eastAsia="Calibri"/>
        </w:rPr>
        <w:t>21 </w:t>
      </w:r>
      <w:r>
        <w:rPr/>
        <w:t>层</w:t>
      </w:r>
    </w:p>
    <w:p>
      <w:pPr>
        <w:pStyle w:val="BodyText"/>
        <w:spacing w:before="7"/>
        <w:rPr>
          <w:sz w:val="15"/>
        </w:rPr>
      </w:pPr>
    </w:p>
    <w:p>
      <w:pPr>
        <w:pStyle w:val="BodyText"/>
        <w:ind w:left="960"/>
        <w:rPr>
          <w:rFonts w:ascii="Calibri" w:eastAsia="Calibri"/>
        </w:rPr>
      </w:pPr>
      <w:r>
        <w:rPr/>
        <w:t>办公地址：山西省太原市长治路 </w:t>
      </w:r>
      <w:r>
        <w:rPr>
          <w:rFonts w:ascii="Calibri" w:eastAsia="Calibri"/>
        </w:rPr>
        <w:t>111 </w:t>
      </w:r>
      <w:r>
        <w:rPr/>
        <w:t>号山西世贸中心 </w:t>
      </w:r>
      <w:r>
        <w:rPr>
          <w:rFonts w:ascii="Calibri" w:eastAsia="Calibri"/>
        </w:rPr>
        <w:t>A </w:t>
      </w:r>
      <w:r>
        <w:rPr/>
        <w:t>座 </w:t>
      </w:r>
      <w:r>
        <w:rPr>
          <w:rFonts w:ascii="Calibri" w:eastAsia="Calibri"/>
        </w:rPr>
        <w:t>F12</w:t>
      </w:r>
      <w:r>
        <w:rPr/>
        <w:t>、</w:t>
      </w:r>
      <w:r>
        <w:rPr>
          <w:rFonts w:ascii="Calibri" w:eastAsia="Calibri"/>
        </w:rPr>
        <w:t>F13</w:t>
      </w:r>
    </w:p>
    <w:p>
      <w:pPr>
        <w:pStyle w:val="BodyText"/>
        <w:spacing w:before="4"/>
        <w:rPr>
          <w:rFonts w:ascii="Calibri"/>
          <w:sz w:val="16"/>
        </w:rPr>
      </w:pPr>
    </w:p>
    <w:p>
      <w:pPr>
        <w:pStyle w:val="BodyText"/>
        <w:spacing w:line="417" w:lineRule="auto"/>
        <w:ind w:left="960" w:right="6837"/>
        <w:rPr>
          <w:rFonts w:ascii="Calibri" w:eastAsia="Calibri"/>
        </w:rPr>
      </w:pPr>
      <w:r>
        <w:rPr/>
        <w:t>法定代表人：董祥电话：</w:t>
      </w:r>
      <w:r>
        <w:rPr>
          <w:rFonts w:ascii="Calibri" w:eastAsia="Calibri"/>
        </w:rPr>
        <w:t>0351-4130322 </w:t>
      </w:r>
      <w:r>
        <w:rPr/>
        <w:t>传真：</w:t>
      </w:r>
      <w:r>
        <w:rPr>
          <w:rFonts w:ascii="Calibri" w:eastAsia="Calibri"/>
        </w:rPr>
        <w:t>0351-4192803</w:t>
      </w:r>
    </w:p>
    <w:p>
      <w:pPr>
        <w:pStyle w:val="BodyText"/>
        <w:spacing w:line="269" w:lineRule="exact"/>
        <w:ind w:left="960"/>
      </w:pPr>
      <w:r>
        <w:rPr/>
        <w:t>联系人：薛津</w:t>
      </w:r>
    </w:p>
    <w:p>
      <w:pPr>
        <w:pStyle w:val="BodyText"/>
        <w:spacing w:before="6"/>
        <w:rPr>
          <w:sz w:val="15"/>
        </w:rPr>
      </w:pPr>
    </w:p>
    <w:p>
      <w:pPr>
        <w:pStyle w:val="BodyText"/>
        <w:spacing w:before="1"/>
        <w:ind w:left="960"/>
        <w:rPr>
          <w:rFonts w:ascii="Calibri" w:eastAsia="Calibri"/>
        </w:rPr>
      </w:pPr>
      <w:r>
        <w:rPr/>
        <w:t>网址：</w:t>
      </w:r>
      <w:hyperlink r:id="rId125">
        <w:r>
          <w:rPr>
            <w:rFonts w:ascii="Calibri" w:eastAsia="Calibri"/>
          </w:rPr>
          <w:t>www.dtsbc.com.cn</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400-712-1212</w:t>
      </w:r>
    </w:p>
    <w:p>
      <w:pPr>
        <w:pStyle w:val="BodyText"/>
        <w:spacing w:before="4"/>
        <w:rPr>
          <w:rFonts w:ascii="Calibri"/>
          <w:sz w:val="16"/>
        </w:rPr>
      </w:pPr>
    </w:p>
    <w:p>
      <w:pPr>
        <w:pStyle w:val="ListParagraph"/>
        <w:numPr>
          <w:ilvl w:val="0"/>
          <w:numId w:val="32"/>
        </w:numPr>
        <w:tabs>
          <w:tab w:pos="1703" w:val="left" w:leader="none"/>
        </w:tabs>
        <w:spacing w:line="240" w:lineRule="auto" w:before="0" w:after="0"/>
        <w:ind w:left="1703" w:right="0" w:hanging="743"/>
        <w:jc w:val="left"/>
        <w:rPr>
          <w:sz w:val="21"/>
        </w:rPr>
      </w:pPr>
      <w:r>
        <w:rPr>
          <w:spacing w:val="-3"/>
          <w:sz w:val="21"/>
        </w:rPr>
        <w:t>国联证券股份有限公司</w:t>
      </w:r>
    </w:p>
    <w:p>
      <w:pPr>
        <w:pStyle w:val="BodyText"/>
        <w:spacing w:before="7"/>
        <w:rPr>
          <w:sz w:val="15"/>
        </w:rPr>
      </w:pPr>
    </w:p>
    <w:p>
      <w:pPr>
        <w:pStyle w:val="BodyText"/>
        <w:ind w:left="960"/>
      </w:pPr>
      <w:r>
        <w:rPr/>
        <w:t>住所：无锡市太湖新城金融一街 </w:t>
      </w:r>
      <w:r>
        <w:rPr>
          <w:rFonts w:ascii="Calibri" w:eastAsia="Calibri"/>
        </w:rPr>
        <w:t>8 </w:t>
      </w:r>
      <w:r>
        <w:rPr/>
        <w:t>号国联金融大厦</w:t>
      </w:r>
    </w:p>
    <w:p>
      <w:pPr>
        <w:pStyle w:val="BodyText"/>
        <w:spacing w:before="7"/>
        <w:rPr>
          <w:sz w:val="15"/>
        </w:rPr>
      </w:pPr>
    </w:p>
    <w:p>
      <w:pPr>
        <w:pStyle w:val="BodyText"/>
        <w:spacing w:line="417" w:lineRule="auto"/>
        <w:ind w:left="960" w:right="3659"/>
      </w:pPr>
      <w:r>
        <w:rPr/>
        <w:t>办公地址：无锡市太湖新城金融一街 </w:t>
      </w:r>
      <w:r>
        <w:rPr>
          <w:rFonts w:ascii="Calibri" w:eastAsia="Calibri"/>
        </w:rPr>
        <w:t>8 </w:t>
      </w:r>
      <w:r>
        <w:rPr/>
        <w:t>号国联金融大厦法定代表人：姚志勇</w:t>
      </w:r>
    </w:p>
    <w:p>
      <w:pPr>
        <w:pStyle w:val="BodyText"/>
        <w:spacing w:line="417" w:lineRule="auto"/>
        <w:ind w:left="960" w:right="6790"/>
        <w:rPr>
          <w:rFonts w:ascii="Calibri" w:eastAsia="Calibri"/>
        </w:rPr>
      </w:pPr>
      <w:r>
        <w:rPr/>
        <w:t>电话：</w:t>
      </w:r>
      <w:r>
        <w:rPr>
          <w:rFonts w:ascii="Calibri" w:eastAsia="Calibri"/>
        </w:rPr>
        <w:t>0510-82831662 </w:t>
      </w:r>
      <w:r>
        <w:rPr/>
        <w:t>传真：</w:t>
      </w:r>
      <w:r>
        <w:rPr>
          <w:rFonts w:ascii="Calibri" w:eastAsia="Calibri"/>
        </w:rPr>
        <w:t>0510-82830162</w:t>
      </w:r>
    </w:p>
    <w:p>
      <w:pPr>
        <w:pStyle w:val="BodyText"/>
        <w:spacing w:line="269" w:lineRule="exact"/>
        <w:ind w:left="960"/>
      </w:pPr>
      <w:r>
        <w:rPr/>
        <w:t>联系人：祁昊</w:t>
      </w:r>
    </w:p>
    <w:p>
      <w:pPr>
        <w:pStyle w:val="BodyText"/>
        <w:spacing w:before="7"/>
        <w:rPr>
          <w:sz w:val="15"/>
        </w:rPr>
      </w:pPr>
    </w:p>
    <w:p>
      <w:pPr>
        <w:pStyle w:val="BodyText"/>
        <w:spacing w:line="417" w:lineRule="auto"/>
        <w:ind w:left="960" w:right="6608"/>
        <w:rPr>
          <w:rFonts w:ascii="Calibri" w:eastAsia="Calibri"/>
        </w:rPr>
      </w:pPr>
      <w:r>
        <w:rPr/>
        <w:t>网址：</w:t>
      </w:r>
      <w:hyperlink r:id="rId126">
        <w:r>
          <w:rPr>
            <w:rFonts w:ascii="Calibri" w:eastAsia="Calibri"/>
          </w:rPr>
          <w:t>www.glsc.com.cn </w:t>
        </w:r>
      </w:hyperlink>
      <w:r>
        <w:rPr/>
        <w:t>客户服务电话：</w:t>
      </w:r>
      <w:r>
        <w:rPr>
          <w:rFonts w:ascii="Calibri" w:eastAsia="Calibri"/>
        </w:rPr>
        <w:t>95570</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2"/>
        </w:numPr>
        <w:tabs>
          <w:tab w:pos="1703" w:val="left" w:leader="none"/>
        </w:tabs>
        <w:spacing w:line="240" w:lineRule="auto" w:before="72" w:after="0"/>
        <w:ind w:left="1703" w:right="0" w:hanging="743"/>
        <w:jc w:val="left"/>
        <w:rPr>
          <w:sz w:val="21"/>
        </w:rPr>
      </w:pPr>
      <w:r>
        <w:rPr>
          <w:spacing w:val="-3"/>
          <w:sz w:val="21"/>
        </w:rPr>
        <w:t>平安证券股份有限公司</w:t>
      </w:r>
    </w:p>
    <w:p>
      <w:pPr>
        <w:pStyle w:val="BodyText"/>
        <w:spacing w:before="6"/>
        <w:rPr>
          <w:sz w:val="15"/>
        </w:rPr>
      </w:pPr>
    </w:p>
    <w:p>
      <w:pPr>
        <w:pStyle w:val="BodyText"/>
        <w:spacing w:line="417" w:lineRule="auto"/>
        <w:ind w:left="960" w:right="1954"/>
      </w:pPr>
      <w:r>
        <w:rPr>
          <w:spacing w:val="-6"/>
        </w:rPr>
        <w:t>住所：深圳市福田区福田街道益田路 </w:t>
      </w:r>
      <w:r>
        <w:rPr>
          <w:rFonts w:ascii="Calibri" w:eastAsia="Calibri"/>
        </w:rPr>
        <w:t>5023 </w:t>
      </w:r>
      <w:r>
        <w:rPr>
          <w:spacing w:val="-9"/>
        </w:rPr>
        <w:t>号平安金融中心 </w:t>
      </w:r>
      <w:r>
        <w:rPr>
          <w:rFonts w:ascii="Calibri" w:eastAsia="Calibri"/>
        </w:rPr>
        <w:t>B </w:t>
      </w:r>
      <w:r>
        <w:rPr>
          <w:spacing w:val="-17"/>
        </w:rPr>
        <w:t>座第 </w:t>
      </w:r>
      <w:r>
        <w:rPr>
          <w:rFonts w:ascii="Calibri" w:eastAsia="Calibri"/>
        </w:rPr>
        <w:t>22-25 </w:t>
      </w:r>
      <w:r>
        <w:rPr/>
        <w:t>层</w:t>
      </w:r>
      <w:r>
        <w:rPr>
          <w:spacing w:val="-6"/>
        </w:rPr>
        <w:t>办公地址：深圳市福田中心区金田路 </w:t>
      </w:r>
      <w:r>
        <w:rPr>
          <w:rFonts w:ascii="Calibri" w:eastAsia="Calibri"/>
        </w:rPr>
        <w:t>4036 </w:t>
      </w:r>
      <w:r>
        <w:rPr>
          <w:spacing w:val="-11"/>
        </w:rPr>
        <w:t>号荣超大厦 </w:t>
      </w:r>
      <w:r>
        <w:rPr>
          <w:rFonts w:ascii="Calibri" w:eastAsia="Calibri"/>
        </w:rPr>
        <w:t>16-20 </w:t>
      </w:r>
      <w:r>
        <w:rPr/>
        <w:t>层</w:t>
      </w:r>
    </w:p>
    <w:p>
      <w:pPr>
        <w:pStyle w:val="BodyText"/>
        <w:spacing w:line="417" w:lineRule="auto"/>
        <w:ind w:left="960" w:right="6870"/>
        <w:rPr>
          <w:rFonts w:ascii="Calibri" w:eastAsia="Calibri"/>
        </w:rPr>
      </w:pPr>
      <w:r>
        <w:rPr/>
        <w:t>法定代表人：何之江电话：</w:t>
      </w:r>
      <w:r>
        <w:rPr>
          <w:rFonts w:ascii="Calibri" w:eastAsia="Calibri"/>
        </w:rPr>
        <w:t>13916661875 </w:t>
      </w:r>
      <w:r>
        <w:rPr/>
        <w:t>传真：</w:t>
      </w:r>
      <w:r>
        <w:rPr>
          <w:rFonts w:ascii="Calibri" w:eastAsia="Calibri"/>
        </w:rPr>
        <w:t>021-33830395</w:t>
      </w:r>
    </w:p>
    <w:p>
      <w:pPr>
        <w:pStyle w:val="BodyText"/>
        <w:spacing w:line="269" w:lineRule="exact"/>
        <w:ind w:left="960"/>
      </w:pPr>
      <w:r>
        <w:rPr/>
        <w:t>联系人：王阳</w:t>
      </w:r>
    </w:p>
    <w:p>
      <w:pPr>
        <w:pStyle w:val="BodyText"/>
        <w:spacing w:before="7"/>
        <w:rPr>
          <w:sz w:val="15"/>
        </w:rPr>
      </w:pPr>
    </w:p>
    <w:p>
      <w:pPr>
        <w:pStyle w:val="BodyText"/>
        <w:spacing w:line="417" w:lineRule="auto"/>
        <w:ind w:left="960" w:right="6589"/>
        <w:rPr>
          <w:rFonts w:ascii="Calibri" w:eastAsia="Calibri"/>
        </w:rPr>
      </w:pPr>
      <w:r>
        <w:rPr/>
        <w:t>网址：</w:t>
      </w:r>
      <w:hyperlink r:id="rId127">
        <w:r>
          <w:rPr>
            <w:rFonts w:ascii="Calibri" w:eastAsia="Calibri"/>
          </w:rPr>
          <w:t>www.pingan.com </w:t>
        </w:r>
      </w:hyperlink>
      <w:r>
        <w:rPr/>
        <w:t>客户服务电话：</w:t>
      </w:r>
      <w:r>
        <w:rPr>
          <w:rFonts w:ascii="Calibri" w:eastAsia="Calibri"/>
        </w:rPr>
        <w:t>95511-8</w:t>
      </w:r>
    </w:p>
    <w:p>
      <w:pPr>
        <w:pStyle w:val="ListParagraph"/>
        <w:numPr>
          <w:ilvl w:val="0"/>
          <w:numId w:val="32"/>
        </w:numPr>
        <w:tabs>
          <w:tab w:pos="1703" w:val="left" w:leader="none"/>
        </w:tabs>
        <w:spacing w:line="269" w:lineRule="exact" w:before="0" w:after="0"/>
        <w:ind w:left="1703" w:right="0" w:hanging="743"/>
        <w:jc w:val="left"/>
        <w:rPr>
          <w:sz w:val="21"/>
        </w:rPr>
      </w:pPr>
      <w:r>
        <w:rPr>
          <w:spacing w:val="-3"/>
          <w:sz w:val="21"/>
        </w:rPr>
        <w:t>华安证券股份有限公司</w:t>
      </w:r>
    </w:p>
    <w:p>
      <w:pPr>
        <w:pStyle w:val="BodyText"/>
        <w:spacing w:before="7"/>
        <w:rPr>
          <w:sz w:val="15"/>
        </w:rPr>
      </w:pPr>
    </w:p>
    <w:p>
      <w:pPr>
        <w:pStyle w:val="BodyText"/>
        <w:ind w:left="960"/>
      </w:pPr>
      <w:r>
        <w:rPr/>
        <w:t>住所：安徽省合肥市政务文化新区天鹅湖路 </w:t>
      </w:r>
      <w:r>
        <w:rPr>
          <w:rFonts w:ascii="Calibri" w:eastAsia="Calibri"/>
        </w:rPr>
        <w:t>198 </w:t>
      </w:r>
      <w:r>
        <w:rPr/>
        <w:t>号</w:t>
      </w:r>
    </w:p>
    <w:p>
      <w:pPr>
        <w:pStyle w:val="BodyText"/>
        <w:spacing w:before="7"/>
        <w:rPr>
          <w:sz w:val="15"/>
        </w:rPr>
      </w:pPr>
    </w:p>
    <w:p>
      <w:pPr>
        <w:pStyle w:val="BodyText"/>
        <w:spacing w:line="417" w:lineRule="auto"/>
        <w:ind w:left="960" w:right="2338"/>
      </w:pPr>
      <w:r>
        <w:rPr>
          <w:spacing w:val="-6"/>
        </w:rPr>
        <w:t>办公地址：安徽省合肥市政务文化新区天鹅湖路 </w:t>
      </w:r>
      <w:r>
        <w:rPr>
          <w:rFonts w:ascii="Calibri" w:eastAsia="Calibri"/>
        </w:rPr>
        <w:t>198 </w:t>
      </w:r>
      <w:r>
        <w:rPr>
          <w:spacing w:val="-11"/>
        </w:rPr>
        <w:t>号财智中心 </w:t>
      </w:r>
      <w:r>
        <w:rPr>
          <w:rFonts w:ascii="Calibri" w:eastAsia="Calibri"/>
        </w:rPr>
        <w:t>B1 </w:t>
      </w:r>
      <w:r>
        <w:rPr/>
        <w:t>座</w:t>
      </w:r>
      <w:r>
        <w:rPr>
          <w:spacing w:val="-3"/>
        </w:rPr>
        <w:t>法定代表人：章宏韬</w:t>
      </w:r>
    </w:p>
    <w:p>
      <w:pPr>
        <w:pStyle w:val="BodyText"/>
        <w:spacing w:line="417" w:lineRule="auto"/>
        <w:ind w:left="960" w:right="6790"/>
        <w:rPr>
          <w:rFonts w:ascii="Calibri" w:eastAsia="Calibri"/>
        </w:rPr>
      </w:pPr>
      <w:r>
        <w:rPr/>
        <w:t>电话：</w:t>
      </w:r>
      <w:r>
        <w:rPr>
          <w:rFonts w:ascii="Calibri" w:eastAsia="Calibri"/>
        </w:rPr>
        <w:t>0551-65161666 </w:t>
      </w:r>
      <w:r>
        <w:rPr/>
        <w:t>传真：</w:t>
      </w:r>
      <w:r>
        <w:rPr>
          <w:rFonts w:ascii="Calibri" w:eastAsia="Calibri"/>
        </w:rPr>
        <w:t>0551-65161600</w:t>
      </w:r>
    </w:p>
    <w:p>
      <w:pPr>
        <w:pStyle w:val="BodyText"/>
        <w:ind w:left="960"/>
      </w:pPr>
      <w:r>
        <w:rPr/>
        <w:t>联系人：范超</w:t>
      </w:r>
    </w:p>
    <w:p>
      <w:pPr>
        <w:pStyle w:val="BodyText"/>
        <w:spacing w:before="6"/>
        <w:rPr>
          <w:sz w:val="15"/>
        </w:rPr>
      </w:pPr>
    </w:p>
    <w:p>
      <w:pPr>
        <w:pStyle w:val="BodyText"/>
        <w:spacing w:line="417" w:lineRule="auto"/>
        <w:ind w:left="960" w:right="6761"/>
        <w:rPr>
          <w:rFonts w:ascii="Calibri" w:eastAsia="Calibri"/>
        </w:rPr>
      </w:pPr>
      <w:r>
        <w:rPr/>
        <w:t>网址：</w:t>
      </w:r>
      <w:hyperlink r:id="rId128">
        <w:r>
          <w:rPr>
            <w:rFonts w:ascii="Calibri" w:eastAsia="Calibri"/>
          </w:rPr>
          <w:t>www.hazq.com </w:t>
        </w:r>
      </w:hyperlink>
      <w:r>
        <w:rPr/>
        <w:t>客户服务电话：</w:t>
      </w:r>
      <w:r>
        <w:rPr>
          <w:rFonts w:ascii="Calibri" w:eastAsia="Calibri"/>
        </w:rPr>
        <w:t>95318</w:t>
      </w:r>
    </w:p>
    <w:p>
      <w:pPr>
        <w:pStyle w:val="ListParagraph"/>
        <w:numPr>
          <w:ilvl w:val="0"/>
          <w:numId w:val="32"/>
        </w:numPr>
        <w:tabs>
          <w:tab w:pos="1703" w:val="left" w:leader="none"/>
        </w:tabs>
        <w:spacing w:line="269" w:lineRule="exact" w:before="0" w:after="0"/>
        <w:ind w:left="1703" w:right="0" w:hanging="743"/>
        <w:jc w:val="left"/>
        <w:rPr>
          <w:sz w:val="21"/>
        </w:rPr>
      </w:pPr>
      <w:r>
        <w:rPr>
          <w:spacing w:val="-3"/>
          <w:sz w:val="21"/>
        </w:rPr>
        <w:t>财信证券有限责任公司</w:t>
      </w:r>
    </w:p>
    <w:p>
      <w:pPr>
        <w:pStyle w:val="BodyText"/>
        <w:spacing w:before="7"/>
        <w:rPr>
          <w:sz w:val="15"/>
        </w:rPr>
      </w:pPr>
    </w:p>
    <w:p>
      <w:pPr>
        <w:pStyle w:val="BodyText"/>
        <w:ind w:left="960"/>
      </w:pPr>
      <w:r>
        <w:rPr/>
        <w:t>住所：长沙市芙蓉中路二段 </w:t>
      </w:r>
      <w:r>
        <w:rPr>
          <w:rFonts w:ascii="Calibri" w:eastAsia="Calibri"/>
        </w:rPr>
        <w:t>80 </w:t>
      </w:r>
      <w:r>
        <w:rPr/>
        <w:t>号顺天国际财富中心 </w:t>
      </w:r>
      <w:r>
        <w:rPr>
          <w:rFonts w:ascii="Calibri" w:eastAsia="Calibri"/>
        </w:rPr>
        <w:t>26 </w:t>
      </w:r>
      <w:r>
        <w:rPr/>
        <w:t>层</w:t>
      </w:r>
    </w:p>
    <w:p>
      <w:pPr>
        <w:pStyle w:val="BodyText"/>
        <w:spacing w:before="7"/>
        <w:rPr>
          <w:sz w:val="15"/>
        </w:rPr>
      </w:pPr>
    </w:p>
    <w:p>
      <w:pPr>
        <w:pStyle w:val="BodyText"/>
        <w:spacing w:line="417" w:lineRule="auto"/>
        <w:ind w:left="960" w:right="2806"/>
      </w:pPr>
      <w:r>
        <w:rPr>
          <w:spacing w:val="-6"/>
        </w:rPr>
        <w:t>办公地址：长沙市芙蓉中路二段 </w:t>
      </w:r>
      <w:r>
        <w:rPr>
          <w:rFonts w:ascii="Calibri" w:eastAsia="Calibri"/>
        </w:rPr>
        <w:t>80 </w:t>
      </w:r>
      <w:r>
        <w:rPr>
          <w:spacing w:val="-8"/>
        </w:rPr>
        <w:t>号顺天国际财富中心 </w:t>
      </w:r>
      <w:r>
        <w:rPr>
          <w:rFonts w:ascii="Calibri" w:eastAsia="Calibri"/>
        </w:rPr>
        <w:t>26-28 </w:t>
      </w:r>
      <w:r>
        <w:rPr/>
        <w:t>层</w:t>
      </w:r>
      <w:r>
        <w:rPr>
          <w:spacing w:val="-3"/>
        </w:rPr>
        <w:t>法定代表人：蔡一兵</w:t>
      </w:r>
    </w:p>
    <w:p>
      <w:pPr>
        <w:pStyle w:val="BodyText"/>
        <w:spacing w:line="417" w:lineRule="auto"/>
        <w:ind w:left="960" w:right="6790"/>
        <w:rPr>
          <w:rFonts w:ascii="Calibri" w:eastAsia="Calibri"/>
        </w:rPr>
      </w:pPr>
      <w:r>
        <w:rPr/>
        <w:t>电话：</w:t>
      </w:r>
      <w:r>
        <w:rPr>
          <w:rFonts w:ascii="Calibri" w:eastAsia="Calibri"/>
        </w:rPr>
        <w:t>0731-84403347 </w:t>
      </w:r>
      <w:r>
        <w:rPr/>
        <w:t>传真：</w:t>
      </w:r>
      <w:r>
        <w:rPr>
          <w:rFonts w:ascii="Calibri" w:eastAsia="Calibri"/>
        </w:rPr>
        <w:t>0731-84403439</w:t>
      </w:r>
    </w:p>
    <w:p>
      <w:pPr>
        <w:pStyle w:val="BodyText"/>
        <w:spacing w:line="269" w:lineRule="exact"/>
        <w:ind w:left="960"/>
      </w:pPr>
      <w:r>
        <w:rPr/>
        <w:t>联系人：郭静</w:t>
      </w:r>
    </w:p>
    <w:p>
      <w:pPr>
        <w:pStyle w:val="BodyText"/>
        <w:spacing w:before="7"/>
        <w:rPr>
          <w:sz w:val="15"/>
        </w:rPr>
      </w:pPr>
    </w:p>
    <w:p>
      <w:pPr>
        <w:pStyle w:val="BodyText"/>
        <w:spacing w:line="417" w:lineRule="auto"/>
        <w:ind w:left="960" w:right="6761"/>
        <w:rPr>
          <w:rFonts w:ascii="Calibri" w:eastAsia="Calibri"/>
        </w:rPr>
      </w:pPr>
      <w:r>
        <w:rPr/>
        <w:t>网址：</w:t>
      </w:r>
      <w:hyperlink r:id="rId129">
        <w:r>
          <w:rPr>
            <w:rFonts w:ascii="Calibri" w:eastAsia="Calibri"/>
          </w:rPr>
          <w:t>www.cfzq.com </w:t>
        </w:r>
      </w:hyperlink>
      <w:r>
        <w:rPr/>
        <w:t>客户服务电话：</w:t>
      </w:r>
      <w:r>
        <w:rPr>
          <w:rFonts w:ascii="Calibri" w:eastAsia="Calibri"/>
        </w:rPr>
        <w:t>95317</w:t>
      </w:r>
    </w:p>
    <w:p>
      <w:pPr>
        <w:pStyle w:val="ListParagraph"/>
        <w:numPr>
          <w:ilvl w:val="0"/>
          <w:numId w:val="32"/>
        </w:numPr>
        <w:tabs>
          <w:tab w:pos="1703" w:val="left" w:leader="none"/>
        </w:tabs>
        <w:spacing w:line="269" w:lineRule="exact" w:before="0" w:after="0"/>
        <w:ind w:left="1703" w:right="0" w:hanging="743"/>
        <w:jc w:val="left"/>
        <w:rPr>
          <w:sz w:val="21"/>
        </w:rPr>
      </w:pPr>
      <w:r>
        <w:rPr>
          <w:spacing w:val="-3"/>
          <w:sz w:val="21"/>
        </w:rPr>
        <w:t>中原证券股份有限公司</w:t>
      </w:r>
    </w:p>
    <w:p>
      <w:pPr>
        <w:pStyle w:val="BodyText"/>
        <w:spacing w:before="7"/>
        <w:rPr>
          <w:sz w:val="15"/>
        </w:rPr>
      </w:pPr>
    </w:p>
    <w:p>
      <w:pPr>
        <w:pStyle w:val="BodyText"/>
        <w:ind w:left="960"/>
      </w:pPr>
      <w:r>
        <w:rPr/>
        <w:t>住所：郑州市郑东新区商务外环路 </w:t>
      </w:r>
      <w:r>
        <w:rPr>
          <w:rFonts w:ascii="Calibri" w:eastAsia="Calibri"/>
        </w:rPr>
        <w:t>10 </w:t>
      </w:r>
      <w:r>
        <w:rPr/>
        <w:t>号</w:t>
      </w:r>
    </w:p>
    <w:p>
      <w:pPr>
        <w:pStyle w:val="BodyText"/>
        <w:spacing w:before="6"/>
        <w:rPr>
          <w:sz w:val="15"/>
        </w:rPr>
      </w:pPr>
    </w:p>
    <w:p>
      <w:pPr>
        <w:pStyle w:val="BodyText"/>
        <w:spacing w:before="1"/>
        <w:ind w:left="960"/>
      </w:pPr>
      <w:r>
        <w:rPr/>
        <w:t>办公地址：郑州市郑东新区商务外环路 </w:t>
      </w:r>
      <w:r>
        <w:rPr>
          <w:rFonts w:ascii="Calibri" w:eastAsia="Calibri"/>
        </w:rPr>
        <w:t>10 </w:t>
      </w:r>
      <w:r>
        <w:rPr/>
        <w:t>号</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790"/>
        <w:rPr>
          <w:rFonts w:ascii="Calibri" w:eastAsia="Calibri"/>
        </w:rPr>
      </w:pPr>
      <w:r>
        <w:rPr/>
        <w:t>法定代表人：菅明军电话：</w:t>
      </w:r>
      <w:r>
        <w:rPr>
          <w:rFonts w:ascii="Calibri" w:eastAsia="Calibri"/>
        </w:rPr>
        <w:t>0371-69099882 </w:t>
      </w:r>
      <w:r>
        <w:rPr/>
        <w:t>传真：</w:t>
      </w:r>
      <w:r>
        <w:rPr>
          <w:rFonts w:ascii="Calibri" w:eastAsia="Calibri"/>
        </w:rPr>
        <w:t>0371-65585899</w:t>
      </w:r>
    </w:p>
    <w:p>
      <w:pPr>
        <w:pStyle w:val="BodyText"/>
        <w:spacing w:line="417" w:lineRule="auto"/>
        <w:ind w:left="960" w:right="5818"/>
        <w:rPr>
          <w:rFonts w:ascii="Calibri" w:eastAsia="Calibri"/>
        </w:rPr>
      </w:pPr>
      <w:r>
        <w:rPr/>
        <w:t>联系人：程月艳、李盼盼、党静网址：</w:t>
      </w:r>
      <w:hyperlink r:id="rId130">
        <w:r>
          <w:rPr>
            <w:rFonts w:ascii="Calibri" w:eastAsia="Calibri"/>
          </w:rPr>
          <w:t>www.ccnew.com</w:t>
        </w:r>
      </w:hyperlink>
    </w:p>
    <w:p>
      <w:pPr>
        <w:pStyle w:val="BodyText"/>
        <w:spacing w:line="269" w:lineRule="exact"/>
        <w:ind w:left="960"/>
        <w:rPr>
          <w:rFonts w:ascii="Calibri" w:eastAsia="Calibri"/>
        </w:rPr>
      </w:pPr>
      <w:r>
        <w:rPr/>
        <w:t>客户服务电话：</w:t>
      </w:r>
      <w:r>
        <w:rPr>
          <w:rFonts w:ascii="Calibri" w:eastAsia="Calibri"/>
        </w:rPr>
        <w:t>95377</w:t>
      </w:r>
    </w:p>
    <w:p>
      <w:pPr>
        <w:pStyle w:val="BodyText"/>
        <w:spacing w:before="3"/>
        <w:rPr>
          <w:rFonts w:ascii="Calibri"/>
          <w:sz w:val="16"/>
        </w:rPr>
      </w:pPr>
    </w:p>
    <w:p>
      <w:pPr>
        <w:pStyle w:val="ListParagraph"/>
        <w:numPr>
          <w:ilvl w:val="0"/>
          <w:numId w:val="32"/>
        </w:numPr>
        <w:tabs>
          <w:tab w:pos="1703" w:val="left" w:leader="none"/>
        </w:tabs>
        <w:spacing w:line="240" w:lineRule="auto" w:before="0" w:after="0"/>
        <w:ind w:left="1703" w:right="0" w:hanging="743"/>
        <w:jc w:val="left"/>
        <w:rPr>
          <w:sz w:val="21"/>
        </w:rPr>
      </w:pPr>
      <w:r>
        <w:rPr>
          <w:spacing w:val="-3"/>
          <w:sz w:val="21"/>
        </w:rPr>
        <w:t>国都证券股份有限公司</w:t>
      </w:r>
    </w:p>
    <w:p>
      <w:pPr>
        <w:pStyle w:val="BodyText"/>
        <w:spacing w:before="8"/>
        <w:rPr>
          <w:sz w:val="15"/>
        </w:rPr>
      </w:pPr>
    </w:p>
    <w:p>
      <w:pPr>
        <w:pStyle w:val="BodyText"/>
        <w:ind w:left="960"/>
      </w:pPr>
      <w:r>
        <w:rPr/>
        <w:t>住所：北京市东城区东直门南大街 </w:t>
      </w:r>
      <w:r>
        <w:rPr>
          <w:rFonts w:ascii="Calibri" w:eastAsia="Calibri"/>
        </w:rPr>
        <w:t>3 </w:t>
      </w:r>
      <w:r>
        <w:rPr/>
        <w:t>号国华投资大厦 </w:t>
      </w:r>
      <w:r>
        <w:rPr>
          <w:rFonts w:ascii="Calibri" w:eastAsia="Calibri"/>
        </w:rPr>
        <w:t>9 </w:t>
      </w:r>
      <w:r>
        <w:rPr/>
        <w:t>层、</w:t>
      </w:r>
      <w:r>
        <w:rPr>
          <w:rFonts w:ascii="Calibri" w:eastAsia="Calibri"/>
        </w:rPr>
        <w:t>10 </w:t>
      </w:r>
      <w:r>
        <w:rPr/>
        <w:t>层</w:t>
      </w:r>
    </w:p>
    <w:p>
      <w:pPr>
        <w:pStyle w:val="BodyText"/>
        <w:spacing w:before="6"/>
        <w:rPr>
          <w:sz w:val="15"/>
        </w:rPr>
      </w:pPr>
    </w:p>
    <w:p>
      <w:pPr>
        <w:pStyle w:val="BodyText"/>
        <w:spacing w:line="417" w:lineRule="auto" w:before="1"/>
        <w:ind w:left="960" w:right="2400"/>
      </w:pPr>
      <w:r>
        <w:rPr>
          <w:spacing w:val="-6"/>
        </w:rPr>
        <w:t>办公地址：北京市东城区东直门南大街 </w:t>
      </w:r>
      <w:r>
        <w:rPr>
          <w:rFonts w:ascii="Calibri" w:eastAsia="Calibri"/>
        </w:rPr>
        <w:t>3</w:t>
      </w:r>
      <w:r>
        <w:rPr>
          <w:rFonts w:ascii="Calibri" w:eastAsia="Calibri"/>
          <w:spacing w:val="13"/>
        </w:rPr>
        <w:t> </w:t>
      </w:r>
      <w:r>
        <w:rPr>
          <w:spacing w:val="-9"/>
        </w:rPr>
        <w:t>号国华投资大厦 </w:t>
      </w:r>
      <w:r>
        <w:rPr>
          <w:rFonts w:ascii="Calibri" w:eastAsia="Calibri"/>
        </w:rPr>
        <w:t>9</w:t>
      </w:r>
      <w:r>
        <w:rPr>
          <w:rFonts w:ascii="Calibri" w:eastAsia="Calibri"/>
          <w:spacing w:val="9"/>
        </w:rPr>
        <w:t> </w:t>
      </w:r>
      <w:r>
        <w:rPr>
          <w:spacing w:val="-2"/>
        </w:rPr>
        <w:t>层、</w:t>
      </w:r>
      <w:r>
        <w:rPr>
          <w:rFonts w:ascii="Calibri" w:eastAsia="Calibri"/>
        </w:rPr>
        <w:t>10</w:t>
      </w:r>
      <w:r>
        <w:rPr>
          <w:rFonts w:ascii="Calibri" w:eastAsia="Calibri"/>
          <w:spacing w:val="12"/>
        </w:rPr>
        <w:t> </w:t>
      </w:r>
      <w:r>
        <w:rPr/>
        <w:t>层</w:t>
      </w:r>
      <w:r>
        <w:rPr>
          <w:spacing w:val="-3"/>
        </w:rPr>
        <w:t>法定代表人：翁振杰</w:t>
      </w:r>
    </w:p>
    <w:p>
      <w:pPr>
        <w:pStyle w:val="BodyText"/>
        <w:spacing w:line="269" w:lineRule="exact"/>
        <w:ind w:left="960"/>
        <w:rPr>
          <w:rFonts w:ascii="Calibri" w:eastAsia="Calibri"/>
        </w:rPr>
      </w:pPr>
      <w:r>
        <w:rPr>
          <w:spacing w:val="-2"/>
        </w:rPr>
        <w:t>电话：</w:t>
      </w:r>
      <w:r>
        <w:rPr>
          <w:rFonts w:ascii="Calibri" w:eastAsia="Calibri"/>
          <w:spacing w:val="-1"/>
        </w:rPr>
        <w:t>010-84183389</w:t>
      </w:r>
    </w:p>
    <w:p>
      <w:pPr>
        <w:pStyle w:val="BodyText"/>
        <w:spacing w:before="3"/>
        <w:rPr>
          <w:rFonts w:ascii="Calibri"/>
          <w:sz w:val="16"/>
        </w:rPr>
      </w:pPr>
    </w:p>
    <w:p>
      <w:pPr>
        <w:pStyle w:val="BodyText"/>
        <w:ind w:left="960"/>
        <w:rPr>
          <w:rFonts w:ascii="Calibri" w:eastAsia="Calibri"/>
        </w:rPr>
      </w:pPr>
      <w:r>
        <w:rPr/>
        <w:t>传真：</w:t>
      </w:r>
      <w:r>
        <w:rPr>
          <w:rFonts w:ascii="Calibri" w:eastAsia="Calibri"/>
        </w:rPr>
        <w:t>010-84183311-3389</w:t>
      </w:r>
    </w:p>
    <w:p>
      <w:pPr>
        <w:pStyle w:val="BodyText"/>
        <w:spacing w:before="4"/>
        <w:rPr>
          <w:rFonts w:ascii="Calibri"/>
          <w:sz w:val="16"/>
        </w:rPr>
      </w:pPr>
    </w:p>
    <w:p>
      <w:pPr>
        <w:pStyle w:val="BodyText"/>
        <w:ind w:left="960"/>
      </w:pPr>
      <w:r>
        <w:rPr/>
        <w:t>联系人：黄静</w:t>
      </w:r>
    </w:p>
    <w:p>
      <w:pPr>
        <w:pStyle w:val="BodyText"/>
        <w:spacing w:before="6"/>
        <w:rPr>
          <w:sz w:val="15"/>
        </w:rPr>
      </w:pPr>
    </w:p>
    <w:p>
      <w:pPr>
        <w:pStyle w:val="BodyText"/>
        <w:spacing w:before="1"/>
        <w:ind w:left="960"/>
        <w:rPr>
          <w:rFonts w:ascii="Calibri" w:eastAsia="Calibri"/>
        </w:rPr>
      </w:pPr>
      <w:r>
        <w:rPr/>
        <w:t>网址：</w:t>
      </w:r>
      <w:hyperlink r:id="rId131">
        <w:r>
          <w:rPr>
            <w:rFonts w:ascii="Calibri" w:eastAsia="Calibri"/>
          </w:rPr>
          <w:t>www.guodu.com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400-818-8118</w:t>
      </w:r>
    </w:p>
    <w:p>
      <w:pPr>
        <w:pStyle w:val="BodyText"/>
        <w:spacing w:before="3"/>
        <w:rPr>
          <w:rFonts w:ascii="Calibri"/>
          <w:sz w:val="16"/>
        </w:rPr>
      </w:pPr>
    </w:p>
    <w:p>
      <w:pPr>
        <w:pStyle w:val="ListParagraph"/>
        <w:numPr>
          <w:ilvl w:val="0"/>
          <w:numId w:val="32"/>
        </w:numPr>
        <w:tabs>
          <w:tab w:pos="1703" w:val="left" w:leader="none"/>
        </w:tabs>
        <w:spacing w:line="240" w:lineRule="auto" w:before="0" w:after="0"/>
        <w:ind w:left="1703" w:right="0" w:hanging="743"/>
        <w:jc w:val="left"/>
        <w:rPr>
          <w:sz w:val="21"/>
        </w:rPr>
      </w:pPr>
      <w:r>
        <w:rPr>
          <w:spacing w:val="-3"/>
          <w:sz w:val="21"/>
        </w:rPr>
        <w:t>东海证券股份有限公司</w:t>
      </w:r>
    </w:p>
    <w:p>
      <w:pPr>
        <w:pStyle w:val="BodyText"/>
        <w:spacing w:before="7"/>
        <w:rPr>
          <w:sz w:val="15"/>
        </w:rPr>
      </w:pPr>
    </w:p>
    <w:p>
      <w:pPr>
        <w:pStyle w:val="BodyText"/>
        <w:ind w:left="960"/>
      </w:pPr>
      <w:r>
        <w:rPr/>
        <w:t>住所：江苏省常州延陵西路 </w:t>
      </w:r>
      <w:r>
        <w:rPr>
          <w:rFonts w:ascii="Calibri" w:eastAsia="Calibri"/>
        </w:rPr>
        <w:t>23 </w:t>
      </w:r>
      <w:r>
        <w:rPr/>
        <w:t>号投资广场 </w:t>
      </w:r>
      <w:r>
        <w:rPr>
          <w:rFonts w:ascii="Calibri" w:eastAsia="Calibri"/>
        </w:rPr>
        <w:t>18 </w:t>
      </w:r>
      <w:r>
        <w:rPr/>
        <w:t>层</w:t>
      </w:r>
    </w:p>
    <w:p>
      <w:pPr>
        <w:pStyle w:val="BodyText"/>
        <w:spacing w:before="7"/>
        <w:rPr>
          <w:sz w:val="15"/>
        </w:rPr>
      </w:pPr>
    </w:p>
    <w:p>
      <w:pPr>
        <w:pStyle w:val="BodyText"/>
        <w:spacing w:line="417" w:lineRule="auto"/>
        <w:ind w:left="960" w:right="3549"/>
      </w:pPr>
      <w:r>
        <w:rPr/>
        <w:t>办公地址：上海市浦东新区东方路 </w:t>
      </w:r>
      <w:r>
        <w:rPr>
          <w:rFonts w:ascii="Calibri" w:eastAsia="Calibri"/>
        </w:rPr>
        <w:t>1928 </w:t>
      </w:r>
      <w:r>
        <w:rPr/>
        <w:t>号东海证券大厦法定代表人：钱俊文</w:t>
      </w:r>
    </w:p>
    <w:p>
      <w:pPr>
        <w:pStyle w:val="BodyText"/>
        <w:spacing w:line="417" w:lineRule="auto"/>
        <w:ind w:left="960" w:right="6898"/>
        <w:rPr>
          <w:rFonts w:ascii="Calibri" w:eastAsia="Calibri"/>
        </w:rPr>
      </w:pPr>
      <w:r>
        <w:rPr/>
        <w:t>电话：</w:t>
      </w:r>
      <w:r>
        <w:rPr>
          <w:rFonts w:ascii="Calibri" w:eastAsia="Calibri"/>
        </w:rPr>
        <w:t>021-20333333 </w:t>
      </w:r>
      <w:r>
        <w:rPr/>
        <w:t>传真：</w:t>
      </w:r>
      <w:r>
        <w:rPr>
          <w:rFonts w:ascii="Calibri" w:eastAsia="Calibri"/>
        </w:rPr>
        <w:t>021-50498825</w:t>
      </w:r>
    </w:p>
    <w:p>
      <w:pPr>
        <w:pStyle w:val="BodyText"/>
        <w:ind w:left="960"/>
      </w:pPr>
      <w:r>
        <w:rPr/>
        <w:t>联系人：王一彦</w:t>
      </w:r>
    </w:p>
    <w:p>
      <w:pPr>
        <w:pStyle w:val="BodyText"/>
        <w:spacing w:before="6"/>
        <w:rPr>
          <w:sz w:val="15"/>
        </w:rPr>
      </w:pPr>
    </w:p>
    <w:p>
      <w:pPr>
        <w:pStyle w:val="BodyText"/>
        <w:ind w:left="960"/>
        <w:rPr>
          <w:rFonts w:ascii="Calibri" w:eastAsia="Calibri"/>
        </w:rPr>
      </w:pPr>
      <w:r>
        <w:rPr/>
        <w:t>网址：</w:t>
      </w:r>
      <w:hyperlink r:id="rId132">
        <w:r>
          <w:rPr>
            <w:rFonts w:ascii="Calibri" w:eastAsia="Calibri"/>
          </w:rPr>
          <w:t>www.longone.com.cn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95531</w:t>
      </w:r>
      <w:r>
        <w:rPr/>
        <w:t>、</w:t>
      </w:r>
      <w:r>
        <w:rPr>
          <w:rFonts w:ascii="Calibri" w:eastAsia="Calibri"/>
        </w:rPr>
        <w:t>400-888-8588</w:t>
      </w:r>
    </w:p>
    <w:p>
      <w:pPr>
        <w:pStyle w:val="BodyText"/>
        <w:spacing w:before="3"/>
        <w:rPr>
          <w:rFonts w:ascii="Calibri"/>
          <w:sz w:val="16"/>
        </w:rPr>
      </w:pPr>
    </w:p>
    <w:p>
      <w:pPr>
        <w:pStyle w:val="ListParagraph"/>
        <w:numPr>
          <w:ilvl w:val="0"/>
          <w:numId w:val="32"/>
        </w:numPr>
        <w:tabs>
          <w:tab w:pos="1703" w:val="left" w:leader="none"/>
        </w:tabs>
        <w:spacing w:line="240" w:lineRule="auto" w:before="1" w:after="0"/>
        <w:ind w:left="1703" w:right="0" w:hanging="743"/>
        <w:jc w:val="left"/>
        <w:rPr>
          <w:sz w:val="21"/>
        </w:rPr>
      </w:pPr>
      <w:r>
        <w:rPr>
          <w:spacing w:val="-3"/>
          <w:sz w:val="21"/>
        </w:rPr>
        <w:t>中银国际证券股份有限公司</w:t>
      </w:r>
    </w:p>
    <w:p>
      <w:pPr>
        <w:pStyle w:val="BodyText"/>
        <w:spacing w:before="6"/>
        <w:rPr>
          <w:sz w:val="15"/>
        </w:rPr>
      </w:pPr>
    </w:p>
    <w:p>
      <w:pPr>
        <w:pStyle w:val="BodyText"/>
        <w:ind w:left="960"/>
      </w:pPr>
      <w:r>
        <w:rPr/>
        <w:t>住所：上海浦东新区银城中路 </w:t>
      </w:r>
      <w:r>
        <w:rPr>
          <w:rFonts w:ascii="Calibri" w:eastAsia="Calibri"/>
        </w:rPr>
        <w:t>200 </w:t>
      </w:r>
      <w:r>
        <w:rPr/>
        <w:t>号中银大厦 </w:t>
      </w:r>
      <w:r>
        <w:rPr>
          <w:rFonts w:ascii="Calibri" w:eastAsia="Calibri"/>
        </w:rPr>
        <w:t>39 </w:t>
      </w:r>
      <w:r>
        <w:rPr/>
        <w:t>层</w:t>
      </w:r>
    </w:p>
    <w:p>
      <w:pPr>
        <w:pStyle w:val="BodyText"/>
        <w:spacing w:before="7"/>
        <w:rPr>
          <w:sz w:val="15"/>
        </w:rPr>
      </w:pPr>
    </w:p>
    <w:p>
      <w:pPr>
        <w:pStyle w:val="BodyText"/>
        <w:spacing w:line="417" w:lineRule="auto"/>
        <w:ind w:left="960" w:right="3607"/>
      </w:pPr>
      <w:r>
        <w:rPr>
          <w:spacing w:val="-6"/>
        </w:rPr>
        <w:t>办公地址：上海浦东新区银城中路 </w:t>
      </w:r>
      <w:r>
        <w:rPr>
          <w:rFonts w:ascii="Calibri" w:eastAsia="Calibri"/>
        </w:rPr>
        <w:t>200 </w:t>
      </w:r>
      <w:r>
        <w:rPr>
          <w:spacing w:val="-11"/>
        </w:rPr>
        <w:t>号中银大厦 </w:t>
      </w:r>
      <w:r>
        <w:rPr>
          <w:rFonts w:ascii="Calibri" w:eastAsia="Calibri"/>
        </w:rPr>
        <w:t>39 </w:t>
      </w:r>
      <w:r>
        <w:rPr/>
        <w:t>层</w:t>
      </w:r>
      <w:r>
        <w:rPr>
          <w:spacing w:val="-3"/>
        </w:rPr>
        <w:t>法定代表人：宁敏</w:t>
      </w:r>
    </w:p>
    <w:p>
      <w:pPr>
        <w:pStyle w:val="BodyText"/>
        <w:spacing w:line="417" w:lineRule="auto"/>
        <w:ind w:left="960" w:right="6898"/>
        <w:rPr>
          <w:rFonts w:ascii="Calibri" w:eastAsia="Calibri"/>
        </w:rPr>
      </w:pPr>
      <w:r>
        <w:rPr/>
        <w:t>电话：</w:t>
      </w:r>
      <w:r>
        <w:rPr>
          <w:rFonts w:ascii="Calibri" w:eastAsia="Calibri"/>
        </w:rPr>
        <w:t>021-20328000 </w:t>
      </w:r>
      <w:r>
        <w:rPr/>
        <w:t>传真：</w:t>
      </w:r>
      <w:r>
        <w:rPr>
          <w:rFonts w:ascii="Calibri" w:eastAsia="Calibri"/>
        </w:rPr>
        <w:t>021-50372474</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联系人：王炜哲</w:t>
      </w:r>
    </w:p>
    <w:p>
      <w:pPr>
        <w:pStyle w:val="BodyText"/>
        <w:spacing w:before="6"/>
        <w:rPr>
          <w:sz w:val="15"/>
        </w:rPr>
      </w:pPr>
    </w:p>
    <w:p>
      <w:pPr>
        <w:pStyle w:val="BodyText"/>
        <w:spacing w:line="417" w:lineRule="auto"/>
        <w:ind w:left="960" w:right="6098"/>
        <w:rPr>
          <w:rFonts w:ascii="Calibri" w:eastAsia="Calibri"/>
        </w:rPr>
      </w:pPr>
      <w:r>
        <w:rPr/>
        <w:t>网址：</w:t>
      </w:r>
      <w:hyperlink r:id="rId133">
        <w:r>
          <w:rPr>
            <w:rFonts w:ascii="Calibri" w:eastAsia="Calibri"/>
          </w:rPr>
          <w:t>www.bocichina.com.cn </w:t>
        </w:r>
      </w:hyperlink>
      <w:r>
        <w:rPr/>
        <w:t>客户服务电话：</w:t>
      </w:r>
      <w:r>
        <w:rPr>
          <w:rFonts w:ascii="Calibri" w:eastAsia="Calibri"/>
        </w:rPr>
        <w:t>400-620-8888</w:t>
      </w:r>
    </w:p>
    <w:p>
      <w:pPr>
        <w:pStyle w:val="ListParagraph"/>
        <w:numPr>
          <w:ilvl w:val="0"/>
          <w:numId w:val="32"/>
        </w:numPr>
        <w:tabs>
          <w:tab w:pos="1703" w:val="left" w:leader="none"/>
        </w:tabs>
        <w:spacing w:line="269" w:lineRule="exact" w:before="0" w:after="0"/>
        <w:ind w:left="1703" w:right="0" w:hanging="743"/>
        <w:jc w:val="left"/>
        <w:rPr>
          <w:sz w:val="21"/>
        </w:rPr>
      </w:pPr>
      <w:r>
        <w:rPr>
          <w:spacing w:val="-3"/>
          <w:sz w:val="21"/>
        </w:rPr>
        <w:t>国盛证券有限责任公司</w:t>
      </w:r>
    </w:p>
    <w:p>
      <w:pPr>
        <w:pStyle w:val="BodyText"/>
        <w:spacing w:before="7"/>
        <w:rPr>
          <w:sz w:val="15"/>
        </w:rPr>
      </w:pPr>
    </w:p>
    <w:p>
      <w:pPr>
        <w:pStyle w:val="BodyText"/>
        <w:ind w:left="960"/>
      </w:pPr>
      <w:r>
        <w:rPr/>
        <w:t>住所：南昌市北京西路 </w:t>
      </w:r>
      <w:r>
        <w:rPr>
          <w:rFonts w:ascii="Calibri" w:eastAsia="Calibri"/>
        </w:rPr>
        <w:t>88 </w:t>
      </w:r>
      <w:r>
        <w:rPr/>
        <w:t>号江信国际金融大厦</w:t>
      </w:r>
    </w:p>
    <w:p>
      <w:pPr>
        <w:pStyle w:val="BodyText"/>
        <w:spacing w:before="7"/>
        <w:rPr>
          <w:sz w:val="15"/>
        </w:rPr>
      </w:pPr>
    </w:p>
    <w:p>
      <w:pPr>
        <w:pStyle w:val="BodyText"/>
        <w:spacing w:line="417" w:lineRule="auto"/>
        <w:ind w:left="960" w:right="2289"/>
      </w:pPr>
      <w:r>
        <w:rPr/>
        <w:t>办公地址：江西省南昌市红谷滩新区凤凰中大道 </w:t>
      </w:r>
      <w:r>
        <w:rPr>
          <w:rFonts w:ascii="Calibri" w:eastAsia="Calibri"/>
        </w:rPr>
        <w:t>1115 </w:t>
      </w:r>
      <w:r>
        <w:rPr/>
        <w:t>号北京银行大楼法定代表人：徐丽峰</w:t>
      </w:r>
    </w:p>
    <w:p>
      <w:pPr>
        <w:pStyle w:val="BodyText"/>
        <w:spacing w:line="417" w:lineRule="auto"/>
        <w:ind w:left="960" w:right="5410"/>
        <w:rPr>
          <w:rFonts w:ascii="Calibri" w:eastAsia="Calibri"/>
        </w:rPr>
      </w:pPr>
      <w:r>
        <w:rPr/>
        <w:t>电话：</w:t>
      </w:r>
      <w:r>
        <w:rPr>
          <w:rFonts w:ascii="Calibri" w:eastAsia="Calibri"/>
        </w:rPr>
        <w:t>0791-86283372</w:t>
      </w:r>
      <w:r>
        <w:rPr/>
        <w:t>、</w:t>
      </w:r>
      <w:r>
        <w:rPr>
          <w:rFonts w:ascii="Calibri" w:eastAsia="Calibri"/>
        </w:rPr>
        <w:t>15170012175 </w:t>
      </w:r>
      <w:r>
        <w:rPr/>
        <w:t>传真：</w:t>
      </w:r>
      <w:r>
        <w:rPr>
          <w:rFonts w:ascii="Calibri" w:eastAsia="Calibri"/>
        </w:rPr>
        <w:t>0791-86281305</w:t>
      </w:r>
    </w:p>
    <w:p>
      <w:pPr>
        <w:pStyle w:val="BodyText"/>
        <w:spacing w:line="269" w:lineRule="exact"/>
        <w:ind w:left="960"/>
      </w:pPr>
      <w:r>
        <w:rPr/>
        <w:t>联系人：占文驰</w:t>
      </w:r>
    </w:p>
    <w:p>
      <w:pPr>
        <w:pStyle w:val="BodyText"/>
        <w:spacing w:before="7"/>
        <w:rPr>
          <w:sz w:val="15"/>
        </w:rPr>
      </w:pPr>
    </w:p>
    <w:p>
      <w:pPr>
        <w:pStyle w:val="BodyText"/>
        <w:spacing w:line="417" w:lineRule="auto"/>
        <w:ind w:left="960" w:right="6602"/>
        <w:rPr>
          <w:rFonts w:ascii="Calibri" w:eastAsia="Calibri"/>
        </w:rPr>
      </w:pPr>
      <w:r>
        <w:rPr/>
        <w:t>网 址 ：</w:t>
      </w:r>
      <w:hyperlink r:id="rId134">
        <w:r>
          <w:rPr>
            <w:rFonts w:ascii="Calibri" w:eastAsia="Calibri"/>
          </w:rPr>
          <w:t>www.gszq.com</w:t>
        </w:r>
      </w:hyperlink>
      <w:r>
        <w:rPr>
          <w:rFonts w:ascii="Calibri" w:eastAsia="Calibri"/>
        </w:rPr>
        <w:t> </w:t>
      </w:r>
      <w:r>
        <w:rPr/>
        <w:t>客户服务电话：</w:t>
      </w:r>
      <w:r>
        <w:rPr>
          <w:rFonts w:ascii="Calibri" w:eastAsia="Calibri"/>
        </w:rPr>
        <w:t>956080</w:t>
      </w:r>
    </w:p>
    <w:p>
      <w:pPr>
        <w:pStyle w:val="ListParagraph"/>
        <w:numPr>
          <w:ilvl w:val="0"/>
          <w:numId w:val="32"/>
        </w:numPr>
        <w:tabs>
          <w:tab w:pos="1703" w:val="left" w:leader="none"/>
        </w:tabs>
        <w:spacing w:line="269" w:lineRule="exact" w:before="0" w:after="0"/>
        <w:ind w:left="1703" w:right="0" w:hanging="743"/>
        <w:jc w:val="left"/>
        <w:rPr>
          <w:sz w:val="21"/>
        </w:rPr>
      </w:pPr>
      <w:r>
        <w:rPr>
          <w:spacing w:val="-3"/>
          <w:sz w:val="21"/>
        </w:rPr>
        <w:t>华西证券股份有限公司</w:t>
      </w:r>
    </w:p>
    <w:p>
      <w:pPr>
        <w:pStyle w:val="BodyText"/>
        <w:spacing w:before="6"/>
        <w:rPr>
          <w:sz w:val="15"/>
        </w:rPr>
      </w:pPr>
    </w:p>
    <w:p>
      <w:pPr>
        <w:pStyle w:val="BodyText"/>
        <w:spacing w:before="1"/>
        <w:ind w:left="960"/>
      </w:pPr>
      <w:r>
        <w:rPr/>
        <w:t>住所：四川省成都市高新区天府二街 </w:t>
      </w:r>
      <w:r>
        <w:rPr>
          <w:rFonts w:ascii="Calibri" w:eastAsia="Calibri"/>
        </w:rPr>
        <w:t>198 </w:t>
      </w:r>
      <w:r>
        <w:rPr/>
        <w:t>号</w:t>
      </w:r>
    </w:p>
    <w:p>
      <w:pPr>
        <w:pStyle w:val="BodyText"/>
        <w:spacing w:before="6"/>
        <w:rPr>
          <w:sz w:val="15"/>
        </w:rPr>
      </w:pPr>
    </w:p>
    <w:p>
      <w:pPr>
        <w:pStyle w:val="BodyText"/>
        <w:spacing w:line="417" w:lineRule="auto" w:before="1"/>
        <w:ind w:left="960" w:right="4286"/>
      </w:pPr>
      <w:r>
        <w:rPr/>
        <w:t>办公地址：四川省成都市高新区天府二街 </w:t>
      </w:r>
      <w:r>
        <w:rPr>
          <w:rFonts w:ascii="Calibri" w:eastAsia="Calibri"/>
        </w:rPr>
        <w:t>198 </w:t>
      </w:r>
      <w:r>
        <w:rPr/>
        <w:t>号法定代表人：杨炯洋</w:t>
      </w:r>
    </w:p>
    <w:p>
      <w:pPr>
        <w:pStyle w:val="BodyText"/>
        <w:spacing w:line="417" w:lineRule="auto"/>
        <w:ind w:left="960" w:right="6898"/>
        <w:rPr>
          <w:rFonts w:ascii="Calibri" w:eastAsia="Calibri"/>
        </w:rPr>
      </w:pPr>
      <w:r>
        <w:rPr/>
        <w:t>电话：</w:t>
      </w:r>
      <w:r>
        <w:rPr>
          <w:rFonts w:ascii="Calibri" w:eastAsia="Calibri"/>
        </w:rPr>
        <w:t>010-58124967 </w:t>
      </w:r>
      <w:r>
        <w:rPr/>
        <w:t>传真：</w:t>
      </w:r>
      <w:r>
        <w:rPr>
          <w:rFonts w:ascii="Calibri" w:eastAsia="Calibri"/>
        </w:rPr>
        <w:t>028-86150040</w:t>
      </w:r>
    </w:p>
    <w:p>
      <w:pPr>
        <w:pStyle w:val="BodyText"/>
        <w:spacing w:line="269" w:lineRule="exact"/>
        <w:ind w:left="960"/>
      </w:pPr>
      <w:r>
        <w:rPr/>
        <w:t>联系人：谢国梅</w:t>
      </w:r>
    </w:p>
    <w:p>
      <w:pPr>
        <w:pStyle w:val="BodyText"/>
        <w:spacing w:before="6"/>
        <w:rPr>
          <w:sz w:val="15"/>
        </w:rPr>
      </w:pPr>
    </w:p>
    <w:p>
      <w:pPr>
        <w:pStyle w:val="BodyText"/>
        <w:spacing w:line="417" w:lineRule="auto"/>
        <w:ind w:left="960" w:right="6407"/>
        <w:rPr>
          <w:rFonts w:ascii="Calibri" w:eastAsia="Calibri"/>
        </w:rPr>
      </w:pPr>
      <w:r>
        <w:rPr/>
        <w:t>网址：</w:t>
      </w:r>
      <w:hyperlink r:id="rId135">
        <w:r>
          <w:rPr>
            <w:rFonts w:ascii="Calibri" w:eastAsia="Calibri"/>
          </w:rPr>
          <w:t>www.hx168.com.cn </w:t>
        </w:r>
      </w:hyperlink>
      <w:r>
        <w:rPr/>
        <w:t>客户服务电话：</w:t>
      </w:r>
      <w:r>
        <w:rPr>
          <w:rFonts w:ascii="Calibri" w:eastAsia="Calibri"/>
        </w:rPr>
        <w:t>95584</w:t>
      </w:r>
    </w:p>
    <w:p>
      <w:pPr>
        <w:pStyle w:val="ListParagraph"/>
        <w:numPr>
          <w:ilvl w:val="0"/>
          <w:numId w:val="32"/>
        </w:numPr>
        <w:tabs>
          <w:tab w:pos="1703" w:val="left" w:leader="none"/>
        </w:tabs>
        <w:spacing w:line="240" w:lineRule="auto" w:before="0" w:after="0"/>
        <w:ind w:left="1703" w:right="0" w:hanging="743"/>
        <w:jc w:val="left"/>
        <w:rPr>
          <w:sz w:val="21"/>
        </w:rPr>
      </w:pPr>
      <w:r>
        <w:rPr>
          <w:spacing w:val="-3"/>
          <w:sz w:val="21"/>
        </w:rPr>
        <w:t>申万宏源西部证券有限公司</w:t>
      </w:r>
    </w:p>
    <w:p>
      <w:pPr>
        <w:pStyle w:val="BodyText"/>
        <w:spacing w:before="7"/>
        <w:rPr>
          <w:sz w:val="15"/>
        </w:rPr>
      </w:pPr>
    </w:p>
    <w:p>
      <w:pPr>
        <w:pStyle w:val="BodyText"/>
        <w:ind w:left="960"/>
      </w:pPr>
      <w:r>
        <w:rPr/>
        <w:t>住所：新疆乌鲁木齐市高新区（新市区）北京南路 </w:t>
      </w:r>
      <w:r>
        <w:rPr>
          <w:rFonts w:ascii="Calibri" w:eastAsia="Calibri"/>
        </w:rPr>
        <w:t>358 </w:t>
      </w:r>
      <w:r>
        <w:rPr/>
        <w:t>号大成国际大厦 </w:t>
      </w:r>
      <w:r>
        <w:rPr>
          <w:rFonts w:ascii="Calibri" w:eastAsia="Calibri"/>
        </w:rPr>
        <w:t>20 </w:t>
      </w:r>
      <w:r>
        <w:rPr/>
        <w:t>楼 </w:t>
      </w:r>
      <w:r>
        <w:rPr>
          <w:rFonts w:ascii="Calibri" w:eastAsia="Calibri"/>
        </w:rPr>
        <w:t>2005 </w:t>
      </w:r>
      <w:r>
        <w:rPr/>
        <w:t>室</w:t>
      </w:r>
    </w:p>
    <w:p>
      <w:pPr>
        <w:pStyle w:val="BodyText"/>
        <w:spacing w:before="7"/>
        <w:rPr>
          <w:sz w:val="15"/>
        </w:rPr>
      </w:pPr>
    </w:p>
    <w:p>
      <w:pPr>
        <w:pStyle w:val="BodyText"/>
        <w:ind w:left="960"/>
        <w:rPr>
          <w:rFonts w:ascii="Calibri" w:eastAsia="Calibri"/>
        </w:rPr>
      </w:pPr>
      <w:r>
        <w:rPr/>
        <w:t>办公地址：新疆乌鲁木齐市高新区（新市区）北京南路 </w:t>
      </w:r>
      <w:r>
        <w:rPr>
          <w:rFonts w:ascii="Calibri" w:eastAsia="Calibri"/>
        </w:rPr>
        <w:t>358 </w:t>
      </w:r>
      <w:r>
        <w:rPr/>
        <w:t>号大成国际大厦 </w:t>
      </w:r>
      <w:r>
        <w:rPr>
          <w:rFonts w:ascii="Calibri" w:eastAsia="Calibri"/>
        </w:rPr>
        <w:t>20 </w:t>
      </w:r>
      <w:r>
        <w:rPr/>
        <w:t>楼 </w:t>
      </w:r>
      <w:r>
        <w:rPr>
          <w:rFonts w:ascii="Calibri" w:eastAsia="Calibri"/>
        </w:rPr>
        <w:t>2005</w:t>
      </w:r>
    </w:p>
    <w:p>
      <w:pPr>
        <w:pStyle w:val="BodyText"/>
        <w:spacing w:before="3"/>
        <w:rPr>
          <w:rFonts w:ascii="Calibri"/>
          <w:sz w:val="16"/>
        </w:rPr>
      </w:pPr>
    </w:p>
    <w:p>
      <w:pPr>
        <w:pStyle w:val="BodyText"/>
        <w:ind w:left="540"/>
      </w:pPr>
      <w:r>
        <w:rPr/>
        <w:t>室（</w:t>
      </w:r>
      <w:r>
        <w:rPr>
          <w:rFonts w:ascii="Calibri" w:eastAsia="Calibri"/>
        </w:rPr>
        <w:t>830002</w:t>
      </w:r>
      <w:r>
        <w:rPr/>
        <w:t>）</w:t>
      </w:r>
    </w:p>
    <w:p>
      <w:pPr>
        <w:pStyle w:val="BodyText"/>
        <w:spacing w:before="7"/>
        <w:rPr>
          <w:sz w:val="15"/>
        </w:rPr>
      </w:pPr>
    </w:p>
    <w:p>
      <w:pPr>
        <w:pStyle w:val="BodyText"/>
        <w:spacing w:line="417" w:lineRule="auto"/>
        <w:ind w:left="960" w:right="6870"/>
        <w:jc w:val="both"/>
        <w:rPr>
          <w:rFonts w:ascii="Calibri" w:eastAsia="Calibri"/>
        </w:rPr>
      </w:pPr>
      <w:r>
        <w:rPr/>
        <w:t>法定代表人：韩志谦电话：</w:t>
      </w:r>
      <w:r>
        <w:rPr>
          <w:rFonts w:ascii="Calibri" w:eastAsia="Calibri"/>
        </w:rPr>
        <w:t>0991-2307105 </w:t>
      </w:r>
      <w:r>
        <w:rPr/>
        <w:t>传真：</w:t>
      </w:r>
      <w:r>
        <w:rPr>
          <w:rFonts w:ascii="Calibri" w:eastAsia="Calibri"/>
        </w:rPr>
        <w:t>0991-2301927</w:t>
      </w:r>
    </w:p>
    <w:p>
      <w:pPr>
        <w:pStyle w:val="BodyText"/>
        <w:ind w:left="960"/>
      </w:pPr>
      <w:r>
        <w:rPr/>
        <w:t>联系人：王怀春</w:t>
      </w:r>
    </w:p>
    <w:p>
      <w:pPr>
        <w:pStyle w:val="BodyText"/>
        <w:spacing w:before="7"/>
        <w:rPr>
          <w:sz w:val="15"/>
        </w:rPr>
      </w:pPr>
    </w:p>
    <w:p>
      <w:pPr>
        <w:pStyle w:val="BodyText"/>
        <w:ind w:left="960"/>
        <w:rPr>
          <w:rFonts w:ascii="Calibri" w:eastAsia="Calibri"/>
        </w:rPr>
      </w:pPr>
      <w:r>
        <w:rPr/>
        <w:t>网址：</w:t>
      </w:r>
      <w:hyperlink r:id="rId136">
        <w:r>
          <w:rPr>
            <w:rFonts w:ascii="Calibri" w:eastAsia="Calibri"/>
          </w:rPr>
          <w:t>www.hysec.com</w:t>
        </w:r>
      </w:hyperlink>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客户服务电话：</w:t>
      </w:r>
      <w:r>
        <w:rPr>
          <w:rFonts w:ascii="Calibri" w:eastAsia="Calibri"/>
        </w:rPr>
        <w:t>400-800-0562</w:t>
      </w:r>
    </w:p>
    <w:p>
      <w:pPr>
        <w:pStyle w:val="BodyText"/>
        <w:spacing w:before="3"/>
        <w:rPr>
          <w:rFonts w:ascii="Calibri"/>
          <w:sz w:val="16"/>
        </w:rPr>
      </w:pPr>
    </w:p>
    <w:p>
      <w:pPr>
        <w:pStyle w:val="ListParagraph"/>
        <w:numPr>
          <w:ilvl w:val="0"/>
          <w:numId w:val="32"/>
        </w:numPr>
        <w:tabs>
          <w:tab w:pos="1703" w:val="left" w:leader="none"/>
        </w:tabs>
        <w:spacing w:line="240" w:lineRule="auto" w:before="0" w:after="0"/>
        <w:ind w:left="1703" w:right="0" w:hanging="743"/>
        <w:jc w:val="left"/>
        <w:rPr>
          <w:sz w:val="21"/>
        </w:rPr>
      </w:pPr>
      <w:r>
        <w:rPr>
          <w:spacing w:val="-3"/>
          <w:sz w:val="21"/>
        </w:rPr>
        <w:t>中泰证券股份有限公司</w:t>
      </w:r>
    </w:p>
    <w:p>
      <w:pPr>
        <w:pStyle w:val="BodyText"/>
        <w:spacing w:before="7"/>
        <w:rPr>
          <w:sz w:val="15"/>
        </w:rPr>
      </w:pPr>
    </w:p>
    <w:p>
      <w:pPr>
        <w:pStyle w:val="BodyText"/>
        <w:ind w:left="960"/>
      </w:pPr>
      <w:r>
        <w:rPr/>
        <w:t>住所：山东省济南市市中区经七路 </w:t>
      </w:r>
      <w:r>
        <w:rPr>
          <w:rFonts w:ascii="Calibri" w:eastAsia="Calibri"/>
        </w:rPr>
        <w:t>86 </w:t>
      </w:r>
      <w:r>
        <w:rPr/>
        <w:t>号</w:t>
      </w:r>
    </w:p>
    <w:p>
      <w:pPr>
        <w:pStyle w:val="BodyText"/>
        <w:spacing w:before="6"/>
        <w:rPr>
          <w:sz w:val="15"/>
        </w:rPr>
      </w:pPr>
    </w:p>
    <w:p>
      <w:pPr>
        <w:pStyle w:val="BodyText"/>
        <w:spacing w:line="417" w:lineRule="auto" w:before="1"/>
        <w:ind w:left="960" w:right="4602"/>
      </w:pPr>
      <w:r>
        <w:rPr/>
        <w:t>办公地址：山东省济南市市中区经七路 </w:t>
      </w:r>
      <w:r>
        <w:rPr>
          <w:rFonts w:ascii="Calibri" w:eastAsia="Calibri"/>
        </w:rPr>
        <w:t>86 </w:t>
      </w:r>
      <w:r>
        <w:rPr/>
        <w:t>号法定代表人：李玮</w:t>
      </w:r>
    </w:p>
    <w:p>
      <w:pPr>
        <w:pStyle w:val="BodyText"/>
        <w:spacing w:line="417" w:lineRule="auto"/>
        <w:ind w:left="960" w:right="6898"/>
        <w:rPr>
          <w:rFonts w:ascii="Calibri" w:eastAsia="Calibri"/>
        </w:rPr>
      </w:pPr>
      <w:r>
        <w:rPr/>
        <w:t>电话：</w:t>
      </w:r>
      <w:r>
        <w:rPr>
          <w:rFonts w:ascii="Calibri" w:eastAsia="Calibri"/>
        </w:rPr>
        <w:t>021-20315290 </w:t>
      </w:r>
      <w:r>
        <w:rPr/>
        <w:t>传真：</w:t>
      </w:r>
      <w:r>
        <w:rPr>
          <w:rFonts w:ascii="Calibri" w:eastAsia="Calibri"/>
        </w:rPr>
        <w:t>021-20315125</w:t>
      </w:r>
    </w:p>
    <w:p>
      <w:pPr>
        <w:pStyle w:val="BodyText"/>
        <w:ind w:left="960"/>
      </w:pPr>
      <w:r>
        <w:rPr/>
        <w:t>联系人：许曼华</w:t>
      </w:r>
    </w:p>
    <w:p>
      <w:pPr>
        <w:pStyle w:val="BodyText"/>
        <w:spacing w:before="6"/>
        <w:rPr>
          <w:sz w:val="15"/>
        </w:rPr>
      </w:pPr>
    </w:p>
    <w:p>
      <w:pPr>
        <w:pStyle w:val="BodyText"/>
        <w:spacing w:line="417" w:lineRule="auto"/>
        <w:ind w:left="960" w:right="6692"/>
        <w:rPr>
          <w:rFonts w:ascii="Calibri" w:eastAsia="Calibri"/>
        </w:rPr>
      </w:pPr>
      <w:r>
        <w:rPr/>
        <w:t>网址：</w:t>
      </w:r>
      <w:hyperlink r:id="rId137">
        <w:r>
          <w:rPr>
            <w:rFonts w:ascii="Calibri" w:eastAsia="Calibri"/>
          </w:rPr>
          <w:t>www.zts.com.cn </w:t>
        </w:r>
      </w:hyperlink>
      <w:r>
        <w:rPr/>
        <w:t>客户服务电话：</w:t>
      </w:r>
      <w:r>
        <w:rPr>
          <w:rFonts w:ascii="Calibri" w:eastAsia="Calibri"/>
        </w:rPr>
        <w:t>95538</w:t>
      </w:r>
    </w:p>
    <w:p>
      <w:pPr>
        <w:pStyle w:val="ListParagraph"/>
        <w:numPr>
          <w:ilvl w:val="0"/>
          <w:numId w:val="32"/>
        </w:numPr>
        <w:tabs>
          <w:tab w:pos="1703" w:val="left" w:leader="none"/>
        </w:tabs>
        <w:spacing w:line="269" w:lineRule="exact" w:before="0" w:after="0"/>
        <w:ind w:left="1703" w:right="0" w:hanging="743"/>
        <w:jc w:val="left"/>
        <w:rPr>
          <w:sz w:val="21"/>
        </w:rPr>
      </w:pPr>
      <w:r>
        <w:rPr>
          <w:spacing w:val="-3"/>
          <w:sz w:val="21"/>
        </w:rPr>
        <w:t>世纪证券有限责任公司</w:t>
      </w:r>
    </w:p>
    <w:p>
      <w:pPr>
        <w:pStyle w:val="BodyText"/>
        <w:spacing w:before="7"/>
        <w:rPr>
          <w:sz w:val="15"/>
        </w:rPr>
      </w:pPr>
    </w:p>
    <w:p>
      <w:pPr>
        <w:pStyle w:val="BodyText"/>
        <w:ind w:left="960"/>
      </w:pPr>
      <w:r>
        <w:rPr/>
        <w:t>住所：深圳市前海深港合作区南山街道桂湾五路 </w:t>
      </w:r>
      <w:r>
        <w:rPr>
          <w:rFonts w:ascii="Calibri" w:eastAsia="Calibri"/>
        </w:rPr>
        <w:t>128 </w:t>
      </w:r>
      <w:r>
        <w:rPr/>
        <w:t>号前海深港基金小镇对冲基金中心</w:t>
      </w:r>
    </w:p>
    <w:p>
      <w:pPr>
        <w:pStyle w:val="BodyText"/>
        <w:spacing w:before="5"/>
        <w:rPr>
          <w:sz w:val="11"/>
        </w:rPr>
      </w:pPr>
    </w:p>
    <w:p>
      <w:pPr>
        <w:pStyle w:val="BodyText"/>
        <w:spacing w:before="58"/>
        <w:ind w:left="540"/>
        <w:rPr>
          <w:rFonts w:ascii="Calibri"/>
        </w:rPr>
      </w:pPr>
      <w:r>
        <w:rPr>
          <w:rFonts w:ascii="Calibri"/>
        </w:rPr>
        <w:t>406</w:t>
      </w:r>
    </w:p>
    <w:p>
      <w:pPr>
        <w:pStyle w:val="BodyText"/>
        <w:spacing w:before="1"/>
        <w:rPr>
          <w:rFonts w:ascii="Calibri"/>
          <w:sz w:val="11"/>
        </w:rPr>
      </w:pPr>
    </w:p>
    <w:p>
      <w:pPr>
        <w:pStyle w:val="BodyText"/>
        <w:spacing w:line="417" w:lineRule="auto" w:before="71"/>
        <w:ind w:left="960" w:right="3486"/>
      </w:pPr>
      <w:r>
        <w:rPr/>
        <w:t>办公地址：深圳市福田区深南大道招商银行大厦 </w:t>
      </w:r>
      <w:r>
        <w:rPr>
          <w:rFonts w:ascii="Calibri" w:eastAsia="Calibri"/>
        </w:rPr>
        <w:t>40-42 </w:t>
      </w:r>
      <w:r>
        <w:rPr/>
        <w:t>层法定代表人：李强</w:t>
      </w:r>
    </w:p>
    <w:p>
      <w:pPr>
        <w:pStyle w:val="BodyText"/>
        <w:spacing w:line="417" w:lineRule="auto"/>
        <w:ind w:left="960" w:right="6098"/>
        <w:rPr>
          <w:rFonts w:ascii="Calibri" w:eastAsia="Calibri"/>
        </w:rPr>
      </w:pPr>
      <w:r>
        <w:rPr/>
        <w:t>客户服务电话：</w:t>
      </w:r>
      <w:r>
        <w:rPr>
          <w:rFonts w:ascii="Calibri" w:eastAsia="Calibri"/>
        </w:rPr>
        <w:t>400-832-3000 </w:t>
      </w:r>
      <w:r>
        <w:rPr/>
        <w:t>传真：</w:t>
      </w:r>
      <w:r>
        <w:rPr>
          <w:rFonts w:ascii="Calibri" w:eastAsia="Calibri"/>
        </w:rPr>
        <w:t>0755-83199511</w:t>
      </w:r>
    </w:p>
    <w:p>
      <w:pPr>
        <w:pStyle w:val="BodyText"/>
        <w:spacing w:line="269" w:lineRule="exact"/>
        <w:ind w:left="960"/>
      </w:pPr>
      <w:r>
        <w:rPr/>
        <w:t>联系人：王雯</w:t>
      </w:r>
    </w:p>
    <w:p>
      <w:pPr>
        <w:pStyle w:val="BodyText"/>
        <w:spacing w:before="7"/>
        <w:rPr>
          <w:sz w:val="15"/>
        </w:rPr>
      </w:pPr>
    </w:p>
    <w:p>
      <w:pPr>
        <w:pStyle w:val="BodyText"/>
        <w:ind w:left="960"/>
        <w:rPr>
          <w:rFonts w:ascii="Calibri" w:eastAsia="Calibri"/>
        </w:rPr>
      </w:pPr>
      <w:r>
        <w:rPr/>
        <w:t>网址：</w:t>
      </w:r>
      <w:hyperlink r:id="rId138">
        <w:r>
          <w:rPr>
            <w:rFonts w:ascii="Calibri" w:eastAsia="Calibri"/>
          </w:rPr>
          <w:t>www.csco.com.cn</w:t>
        </w:r>
      </w:hyperlink>
    </w:p>
    <w:p>
      <w:pPr>
        <w:pStyle w:val="BodyText"/>
        <w:spacing w:before="4"/>
        <w:rPr>
          <w:rFonts w:ascii="Calibri"/>
          <w:sz w:val="16"/>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第一创业证券股份有限公司</w:t>
      </w:r>
    </w:p>
    <w:p>
      <w:pPr>
        <w:pStyle w:val="BodyText"/>
        <w:spacing w:before="6"/>
        <w:rPr>
          <w:sz w:val="15"/>
        </w:rPr>
      </w:pPr>
    </w:p>
    <w:p>
      <w:pPr>
        <w:pStyle w:val="BodyText"/>
        <w:spacing w:before="1"/>
        <w:ind w:left="960"/>
      </w:pPr>
      <w:r>
        <w:rPr/>
        <w:t>住所：深圳市福田区福华一路 </w:t>
      </w:r>
      <w:r>
        <w:rPr>
          <w:rFonts w:ascii="Calibri" w:eastAsia="Calibri"/>
        </w:rPr>
        <w:t>115 </w:t>
      </w:r>
      <w:r>
        <w:rPr/>
        <w:t>号投行大厦 </w:t>
      </w:r>
      <w:r>
        <w:rPr>
          <w:rFonts w:ascii="Calibri" w:eastAsia="Calibri"/>
        </w:rPr>
        <w:t>20 </w:t>
      </w:r>
      <w:r>
        <w:rPr/>
        <w:t>楼</w:t>
      </w:r>
    </w:p>
    <w:p>
      <w:pPr>
        <w:pStyle w:val="BodyText"/>
        <w:spacing w:before="7"/>
        <w:rPr>
          <w:sz w:val="15"/>
        </w:rPr>
      </w:pPr>
    </w:p>
    <w:p>
      <w:pPr>
        <w:pStyle w:val="BodyText"/>
        <w:spacing w:line="417" w:lineRule="auto"/>
        <w:ind w:left="960" w:right="3607"/>
      </w:pPr>
      <w:r>
        <w:rPr>
          <w:spacing w:val="-6"/>
        </w:rPr>
        <w:t>办公地址：深圳市福田区福华一路 </w:t>
      </w:r>
      <w:r>
        <w:rPr>
          <w:rFonts w:ascii="Calibri" w:eastAsia="Calibri"/>
        </w:rPr>
        <w:t>115 </w:t>
      </w:r>
      <w:r>
        <w:rPr>
          <w:spacing w:val="-11"/>
        </w:rPr>
        <w:t>号投行大厦 </w:t>
      </w:r>
      <w:r>
        <w:rPr>
          <w:rFonts w:ascii="Calibri" w:eastAsia="Calibri"/>
        </w:rPr>
        <w:t>18 </w:t>
      </w:r>
      <w:r>
        <w:rPr/>
        <w:t>楼</w:t>
      </w:r>
      <w:r>
        <w:rPr>
          <w:spacing w:val="-3"/>
        </w:rPr>
        <w:t>法定代表人：刘学民</w:t>
      </w:r>
    </w:p>
    <w:p>
      <w:pPr>
        <w:pStyle w:val="BodyText"/>
        <w:spacing w:line="417" w:lineRule="auto"/>
        <w:ind w:left="960" w:right="6790"/>
        <w:rPr>
          <w:rFonts w:ascii="Calibri" w:eastAsia="Calibri"/>
        </w:rPr>
      </w:pPr>
      <w:r>
        <w:rPr/>
        <w:t>电话：</w:t>
      </w:r>
      <w:r>
        <w:rPr>
          <w:rFonts w:ascii="Calibri" w:eastAsia="Calibri"/>
        </w:rPr>
        <w:t>0755-23838750 </w:t>
      </w:r>
      <w:r>
        <w:rPr/>
        <w:t>传真：</w:t>
      </w:r>
      <w:r>
        <w:rPr>
          <w:rFonts w:ascii="Calibri" w:eastAsia="Calibri"/>
        </w:rPr>
        <w:t>0755-25838701</w:t>
      </w:r>
    </w:p>
    <w:p>
      <w:pPr>
        <w:pStyle w:val="BodyText"/>
        <w:spacing w:line="269" w:lineRule="exact"/>
        <w:ind w:left="960"/>
      </w:pPr>
      <w:r>
        <w:rPr/>
        <w:t>联系人：单晶</w:t>
      </w:r>
    </w:p>
    <w:p>
      <w:pPr>
        <w:pStyle w:val="BodyText"/>
        <w:spacing w:before="6"/>
        <w:rPr>
          <w:sz w:val="15"/>
        </w:rPr>
      </w:pPr>
    </w:p>
    <w:p>
      <w:pPr>
        <w:pStyle w:val="BodyText"/>
        <w:spacing w:line="417" w:lineRule="auto"/>
        <w:ind w:left="960" w:right="6031"/>
        <w:rPr>
          <w:rFonts w:ascii="Calibri" w:eastAsia="Calibri"/>
        </w:rPr>
      </w:pPr>
      <w:r>
        <w:rPr/>
        <w:t>网址：</w:t>
      </w:r>
      <w:hyperlink r:id="rId139">
        <w:r>
          <w:rPr>
            <w:rFonts w:ascii="Calibri" w:eastAsia="Calibri"/>
          </w:rPr>
          <w:t>www.firstcapital.com.cn </w:t>
        </w:r>
      </w:hyperlink>
      <w:r>
        <w:rPr/>
        <w:t>客户服务电话：</w:t>
      </w:r>
      <w:r>
        <w:rPr>
          <w:rFonts w:ascii="Calibri" w:eastAsia="Calibri"/>
        </w:rPr>
        <w:t>95358</w:t>
      </w: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金元证券股份有限公司</w:t>
      </w:r>
    </w:p>
    <w:p>
      <w:pPr>
        <w:pStyle w:val="BodyText"/>
        <w:spacing w:before="7"/>
        <w:rPr>
          <w:sz w:val="15"/>
        </w:rPr>
      </w:pPr>
    </w:p>
    <w:p>
      <w:pPr>
        <w:pStyle w:val="BodyText"/>
        <w:ind w:left="960"/>
      </w:pPr>
      <w:r>
        <w:rPr/>
        <w:t>住所：海口市南宝路 </w:t>
      </w:r>
      <w:r>
        <w:rPr>
          <w:rFonts w:ascii="Calibri" w:eastAsia="Calibri"/>
        </w:rPr>
        <w:t>36 </w:t>
      </w:r>
      <w:r>
        <w:rPr/>
        <w:t>号证券大厦 </w:t>
      </w:r>
      <w:r>
        <w:rPr>
          <w:rFonts w:ascii="Calibri" w:eastAsia="Calibri"/>
        </w:rPr>
        <w:t>4 </w:t>
      </w:r>
      <w:r>
        <w:rPr/>
        <w:t>楼</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3711"/>
      </w:pPr>
      <w:r>
        <w:rPr>
          <w:spacing w:val="-7"/>
        </w:rPr>
        <w:t>办公地址：深圳市深南大道 </w:t>
      </w:r>
      <w:r>
        <w:rPr>
          <w:rFonts w:ascii="Calibri" w:eastAsia="Calibri"/>
        </w:rPr>
        <w:t>4001 </w:t>
      </w:r>
      <w:r>
        <w:rPr>
          <w:spacing w:val="-9"/>
        </w:rPr>
        <w:t>号时代金融中心 </w:t>
      </w:r>
      <w:r>
        <w:rPr>
          <w:rFonts w:ascii="Calibri" w:eastAsia="Calibri"/>
        </w:rPr>
        <w:t>17 </w:t>
      </w:r>
      <w:r>
        <w:rPr/>
        <w:t>层</w:t>
      </w:r>
      <w:r>
        <w:rPr>
          <w:spacing w:val="-3"/>
        </w:rPr>
        <w:t>法定代表人：陆涛</w:t>
      </w:r>
    </w:p>
    <w:p>
      <w:pPr>
        <w:pStyle w:val="BodyText"/>
        <w:spacing w:line="417" w:lineRule="auto"/>
        <w:ind w:left="960" w:right="6790"/>
        <w:rPr>
          <w:rFonts w:ascii="Calibri" w:eastAsia="Calibri"/>
        </w:rPr>
      </w:pPr>
      <w:r>
        <w:rPr/>
        <w:t>电话：</w:t>
      </w:r>
      <w:r>
        <w:rPr>
          <w:rFonts w:ascii="Calibri" w:eastAsia="Calibri"/>
        </w:rPr>
        <w:t>0755-83025022 </w:t>
      </w:r>
      <w:r>
        <w:rPr/>
        <w:t>传真：</w:t>
      </w:r>
      <w:r>
        <w:rPr>
          <w:rFonts w:ascii="Calibri" w:eastAsia="Calibri"/>
        </w:rPr>
        <w:t>0755-83025625</w:t>
      </w:r>
    </w:p>
    <w:p>
      <w:pPr>
        <w:pStyle w:val="BodyText"/>
        <w:spacing w:line="417" w:lineRule="auto"/>
        <w:ind w:left="960" w:right="7054"/>
        <w:rPr>
          <w:rFonts w:ascii="Calibri" w:eastAsia="Calibri"/>
        </w:rPr>
      </w:pPr>
      <w:r>
        <w:rPr>
          <w:spacing w:val="-2"/>
        </w:rPr>
        <w:t>联系人：马贤清 </w:t>
      </w:r>
      <w:r>
        <w:rPr>
          <w:spacing w:val="-4"/>
        </w:rPr>
        <w:t>网址：</w:t>
      </w:r>
      <w:hyperlink r:id="rId140">
        <w:r>
          <w:rPr>
            <w:rFonts w:ascii="Calibri" w:eastAsia="Calibri"/>
            <w:spacing w:val="-5"/>
          </w:rPr>
          <w:t>www.jyzq.cn</w:t>
        </w:r>
      </w:hyperlink>
    </w:p>
    <w:p>
      <w:pPr>
        <w:pStyle w:val="BodyText"/>
        <w:spacing w:line="269" w:lineRule="exact"/>
        <w:ind w:left="960"/>
        <w:rPr>
          <w:rFonts w:ascii="Calibri" w:eastAsia="Calibri"/>
        </w:rPr>
      </w:pPr>
      <w:r>
        <w:rPr/>
        <w:t>客户服务电话：</w:t>
      </w:r>
      <w:r>
        <w:rPr>
          <w:rFonts w:ascii="Calibri" w:eastAsia="Calibri"/>
        </w:rPr>
        <w:t>95372</w:t>
      </w:r>
    </w:p>
    <w:p>
      <w:pPr>
        <w:pStyle w:val="BodyText"/>
        <w:spacing w:before="4"/>
        <w:rPr>
          <w:rFonts w:ascii="Calibri"/>
          <w:sz w:val="16"/>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中航证券有限公司</w:t>
      </w:r>
    </w:p>
    <w:p>
      <w:pPr>
        <w:pStyle w:val="BodyText"/>
        <w:spacing w:before="6"/>
        <w:rPr>
          <w:sz w:val="15"/>
        </w:rPr>
      </w:pPr>
    </w:p>
    <w:p>
      <w:pPr>
        <w:pStyle w:val="BodyText"/>
        <w:spacing w:before="1"/>
        <w:ind w:left="960"/>
      </w:pPr>
      <w:r>
        <w:rPr/>
        <w:t>住所：江西省南昌市红谷滩新区红谷中大道 </w:t>
      </w:r>
      <w:r>
        <w:rPr>
          <w:rFonts w:ascii="Calibri" w:eastAsia="Calibri"/>
        </w:rPr>
        <w:t>1619 </w:t>
      </w:r>
      <w:r>
        <w:rPr/>
        <w:t>号南昌国际金融大厦</w:t>
      </w:r>
      <w:r>
        <w:rPr>
          <w:rFonts w:ascii="Calibri" w:eastAsia="Calibri"/>
        </w:rPr>
        <w:t>A </w:t>
      </w:r>
      <w:r>
        <w:rPr/>
        <w:t>栋 </w:t>
      </w:r>
      <w:r>
        <w:rPr>
          <w:rFonts w:ascii="Calibri" w:eastAsia="Calibri"/>
        </w:rPr>
        <w:t>41 </w:t>
      </w:r>
      <w:r>
        <w:rPr/>
        <w:t>层</w:t>
      </w:r>
    </w:p>
    <w:p>
      <w:pPr>
        <w:pStyle w:val="BodyText"/>
        <w:spacing w:before="6"/>
        <w:rPr>
          <w:sz w:val="15"/>
        </w:rPr>
      </w:pPr>
    </w:p>
    <w:p>
      <w:pPr>
        <w:pStyle w:val="BodyText"/>
        <w:spacing w:line="417" w:lineRule="auto"/>
        <w:ind w:left="960" w:right="962"/>
      </w:pPr>
      <w:r>
        <w:rPr>
          <w:spacing w:val="-6"/>
        </w:rPr>
        <w:t>办公地址：江西省南昌市红谷滩新区红谷中大道 </w:t>
      </w:r>
      <w:r>
        <w:rPr>
          <w:rFonts w:ascii="Calibri" w:eastAsia="Calibri"/>
        </w:rPr>
        <w:t>1619 </w:t>
      </w:r>
      <w:r>
        <w:rPr>
          <w:spacing w:val="-8"/>
        </w:rPr>
        <w:t>号南昌国际金融大厦 </w:t>
      </w:r>
      <w:r>
        <w:rPr>
          <w:rFonts w:ascii="Calibri" w:eastAsia="Calibri"/>
        </w:rPr>
        <w:t>A </w:t>
      </w:r>
      <w:r>
        <w:rPr>
          <w:spacing w:val="-24"/>
        </w:rPr>
        <w:t>栋 </w:t>
      </w:r>
      <w:r>
        <w:rPr>
          <w:rFonts w:ascii="Calibri" w:eastAsia="Calibri"/>
        </w:rPr>
        <w:t>41 </w:t>
      </w:r>
      <w:r>
        <w:rPr/>
        <w:t>层</w:t>
      </w:r>
      <w:r>
        <w:rPr>
          <w:spacing w:val="-3"/>
        </w:rPr>
        <w:t>法定代表人：王宜四</w:t>
      </w:r>
    </w:p>
    <w:p>
      <w:pPr>
        <w:pStyle w:val="BodyText"/>
        <w:spacing w:line="417" w:lineRule="auto"/>
        <w:ind w:left="960" w:right="6790"/>
        <w:rPr>
          <w:rFonts w:ascii="Calibri" w:eastAsia="Calibri"/>
        </w:rPr>
      </w:pPr>
      <w:r>
        <w:rPr/>
        <w:t>电话：</w:t>
      </w:r>
      <w:r>
        <w:rPr>
          <w:rFonts w:ascii="Calibri" w:eastAsia="Calibri"/>
        </w:rPr>
        <w:t>0791-86768681 </w:t>
      </w:r>
      <w:r>
        <w:rPr/>
        <w:t>传真：</w:t>
      </w:r>
      <w:r>
        <w:rPr>
          <w:rFonts w:ascii="Calibri" w:eastAsia="Calibri"/>
        </w:rPr>
        <w:t>0791-86770178</w:t>
      </w:r>
    </w:p>
    <w:p>
      <w:pPr>
        <w:pStyle w:val="BodyText"/>
        <w:spacing w:line="269" w:lineRule="exact"/>
        <w:ind w:left="960"/>
      </w:pPr>
      <w:r>
        <w:rPr/>
        <w:t>联系人：戴蕾</w:t>
      </w:r>
    </w:p>
    <w:p>
      <w:pPr>
        <w:pStyle w:val="BodyText"/>
        <w:spacing w:before="7"/>
        <w:rPr>
          <w:sz w:val="15"/>
        </w:rPr>
      </w:pPr>
    </w:p>
    <w:p>
      <w:pPr>
        <w:pStyle w:val="BodyText"/>
        <w:spacing w:line="417" w:lineRule="auto"/>
        <w:ind w:left="960" w:right="6572"/>
        <w:rPr>
          <w:rFonts w:ascii="Calibri" w:eastAsia="Calibri"/>
        </w:rPr>
      </w:pPr>
      <w:r>
        <w:rPr/>
        <w:t>网址：</w:t>
      </w:r>
      <w:hyperlink r:id="rId141">
        <w:r>
          <w:rPr>
            <w:rFonts w:ascii="Calibri" w:eastAsia="Calibri"/>
          </w:rPr>
          <w:t>www.avicsec.com </w:t>
        </w:r>
      </w:hyperlink>
      <w:r>
        <w:rPr/>
        <w:t>客户服务电话：</w:t>
      </w:r>
      <w:r>
        <w:rPr>
          <w:rFonts w:ascii="Calibri" w:eastAsia="Calibri"/>
        </w:rPr>
        <w:t>95335</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西部证券股份有限公司</w:t>
      </w:r>
    </w:p>
    <w:p>
      <w:pPr>
        <w:pStyle w:val="BodyText"/>
        <w:spacing w:before="7"/>
        <w:rPr>
          <w:sz w:val="15"/>
        </w:rPr>
      </w:pPr>
    </w:p>
    <w:p>
      <w:pPr>
        <w:pStyle w:val="BodyText"/>
        <w:ind w:left="960"/>
      </w:pPr>
      <w:r>
        <w:rPr/>
        <w:t>住所：陕西省西安市新城区东新街 </w:t>
      </w:r>
      <w:r>
        <w:rPr>
          <w:rFonts w:ascii="Calibri" w:eastAsia="Calibri"/>
        </w:rPr>
        <w:t>319 </w:t>
      </w:r>
      <w:r>
        <w:rPr/>
        <w:t>号 </w:t>
      </w:r>
      <w:r>
        <w:rPr>
          <w:rFonts w:ascii="Calibri" w:eastAsia="Calibri"/>
        </w:rPr>
        <w:t>8 </w:t>
      </w:r>
      <w:r>
        <w:rPr/>
        <w:t>幢 </w:t>
      </w:r>
      <w:r>
        <w:rPr>
          <w:rFonts w:ascii="Calibri" w:eastAsia="Calibri"/>
        </w:rPr>
        <w:t>10000 </w:t>
      </w:r>
      <w:r>
        <w:rPr/>
        <w:t>室</w:t>
      </w:r>
    </w:p>
    <w:p>
      <w:pPr>
        <w:pStyle w:val="BodyText"/>
        <w:spacing w:before="7"/>
        <w:rPr>
          <w:sz w:val="15"/>
        </w:rPr>
      </w:pPr>
    </w:p>
    <w:p>
      <w:pPr>
        <w:pStyle w:val="BodyText"/>
        <w:spacing w:line="417" w:lineRule="auto"/>
        <w:ind w:left="960" w:right="3286"/>
      </w:pPr>
      <w:r>
        <w:rPr>
          <w:spacing w:val="-6"/>
        </w:rPr>
        <w:t>办公地址：陕西省西安市新城区东新街 </w:t>
      </w:r>
      <w:r>
        <w:rPr>
          <w:rFonts w:ascii="Calibri" w:eastAsia="Calibri"/>
        </w:rPr>
        <w:t>319 </w:t>
      </w:r>
      <w:r>
        <w:rPr>
          <w:spacing w:val="-26"/>
        </w:rPr>
        <w:t>号 </w:t>
      </w:r>
      <w:r>
        <w:rPr>
          <w:rFonts w:ascii="Calibri" w:eastAsia="Calibri"/>
        </w:rPr>
        <w:t>8 </w:t>
      </w:r>
      <w:r>
        <w:rPr>
          <w:spacing w:val="-26"/>
        </w:rPr>
        <w:t>幢 </w:t>
      </w:r>
      <w:r>
        <w:rPr>
          <w:rFonts w:ascii="Calibri" w:eastAsia="Calibri"/>
        </w:rPr>
        <w:t>10000 </w:t>
      </w:r>
      <w:r>
        <w:rPr/>
        <w:t>室</w:t>
      </w:r>
      <w:r>
        <w:rPr>
          <w:spacing w:val="-3"/>
        </w:rPr>
        <w:t>法定代表人：徐朝晖</w:t>
      </w:r>
    </w:p>
    <w:p>
      <w:pPr>
        <w:pStyle w:val="BodyText"/>
        <w:spacing w:line="417" w:lineRule="auto"/>
        <w:ind w:left="960" w:right="6898"/>
        <w:rPr>
          <w:rFonts w:ascii="Calibri" w:eastAsia="Calibri"/>
        </w:rPr>
      </w:pPr>
      <w:r>
        <w:rPr/>
        <w:t>电话：</w:t>
      </w:r>
      <w:r>
        <w:rPr>
          <w:rFonts w:ascii="Calibri" w:eastAsia="Calibri"/>
        </w:rPr>
        <w:t>029-87211526 </w:t>
      </w:r>
      <w:r>
        <w:rPr/>
        <w:t>传真：</w:t>
      </w:r>
      <w:r>
        <w:rPr>
          <w:rFonts w:ascii="Calibri" w:eastAsia="Calibri"/>
        </w:rPr>
        <w:t>029-87424426</w:t>
      </w:r>
    </w:p>
    <w:p>
      <w:pPr>
        <w:pStyle w:val="BodyText"/>
        <w:ind w:left="960"/>
      </w:pPr>
      <w:r>
        <w:rPr/>
        <w:t>联系人：梁承华</w:t>
      </w:r>
    </w:p>
    <w:p>
      <w:pPr>
        <w:pStyle w:val="BodyText"/>
        <w:spacing w:before="6"/>
        <w:rPr>
          <w:sz w:val="15"/>
        </w:rPr>
      </w:pPr>
    </w:p>
    <w:p>
      <w:pPr>
        <w:pStyle w:val="BodyText"/>
        <w:spacing w:line="417" w:lineRule="auto"/>
        <w:ind w:left="960" w:right="6391"/>
        <w:rPr>
          <w:rFonts w:ascii="Calibri" w:eastAsia="Calibri"/>
        </w:rPr>
      </w:pPr>
      <w:r>
        <w:rPr/>
        <w:t>网址：</w:t>
      </w:r>
      <w:hyperlink r:id="rId142">
        <w:r>
          <w:rPr>
            <w:rFonts w:ascii="Calibri" w:eastAsia="Calibri"/>
          </w:rPr>
          <w:t>www.westsecu.com </w:t>
        </w:r>
      </w:hyperlink>
      <w:r>
        <w:rPr/>
        <w:t>客户服务电话：</w:t>
      </w:r>
      <w:r>
        <w:rPr>
          <w:rFonts w:ascii="Calibri" w:eastAsia="Calibri"/>
        </w:rPr>
        <w:t>95582</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华福证券有限责任公司</w:t>
      </w:r>
    </w:p>
    <w:p>
      <w:pPr>
        <w:pStyle w:val="BodyText"/>
        <w:spacing w:before="7"/>
        <w:rPr>
          <w:sz w:val="15"/>
        </w:rPr>
      </w:pPr>
    </w:p>
    <w:p>
      <w:pPr>
        <w:pStyle w:val="BodyText"/>
        <w:ind w:left="960"/>
      </w:pPr>
      <w:r>
        <w:rPr/>
        <w:t>住所：福州市五四路 </w:t>
      </w:r>
      <w:r>
        <w:rPr>
          <w:rFonts w:ascii="Calibri" w:eastAsia="Calibri"/>
        </w:rPr>
        <w:t>157 </w:t>
      </w:r>
      <w:r>
        <w:rPr/>
        <w:t>号新天地大厦 </w:t>
      </w:r>
      <w:r>
        <w:rPr>
          <w:rFonts w:ascii="Calibri" w:eastAsia="Calibri"/>
        </w:rPr>
        <w:t>7</w:t>
      </w:r>
      <w:r>
        <w:rPr/>
        <w:t>、</w:t>
      </w:r>
      <w:r>
        <w:rPr>
          <w:rFonts w:ascii="Calibri" w:eastAsia="Calibri"/>
        </w:rPr>
        <w:t>8 </w:t>
      </w:r>
      <w:r>
        <w:rPr/>
        <w:t>层</w:t>
      </w:r>
    </w:p>
    <w:p>
      <w:pPr>
        <w:pStyle w:val="BodyText"/>
        <w:spacing w:before="7"/>
        <w:rPr>
          <w:sz w:val="15"/>
        </w:rPr>
      </w:pPr>
    </w:p>
    <w:p>
      <w:pPr>
        <w:pStyle w:val="BodyText"/>
        <w:spacing w:line="417" w:lineRule="auto"/>
        <w:ind w:left="960" w:right="3819"/>
      </w:pPr>
      <w:r>
        <w:rPr>
          <w:spacing w:val="-8"/>
        </w:rPr>
        <w:t>办公地址：福州市五四路 </w:t>
      </w:r>
      <w:r>
        <w:rPr>
          <w:rFonts w:ascii="Calibri" w:eastAsia="Calibri"/>
        </w:rPr>
        <w:t>157 </w:t>
      </w:r>
      <w:r>
        <w:rPr>
          <w:spacing w:val="-10"/>
        </w:rPr>
        <w:t>号新天地大厦 </w:t>
      </w:r>
      <w:r>
        <w:rPr>
          <w:rFonts w:ascii="Calibri" w:eastAsia="Calibri"/>
        </w:rPr>
        <w:t>7 </w:t>
      </w:r>
      <w:r>
        <w:rPr>
          <w:spacing w:val="-25"/>
        </w:rPr>
        <w:t>至 </w:t>
      </w:r>
      <w:r>
        <w:rPr>
          <w:rFonts w:ascii="Calibri" w:eastAsia="Calibri"/>
        </w:rPr>
        <w:t>10 </w:t>
      </w:r>
      <w:r>
        <w:rPr/>
        <w:t>层</w:t>
      </w:r>
      <w:r>
        <w:rPr>
          <w:spacing w:val="-3"/>
        </w:rPr>
        <w:t>法定代表人：黄金琳</w:t>
      </w:r>
    </w:p>
    <w:p>
      <w:pPr>
        <w:pStyle w:val="BodyText"/>
        <w:ind w:left="960"/>
        <w:rPr>
          <w:rFonts w:ascii="Calibri" w:eastAsia="Calibri"/>
        </w:rPr>
      </w:pPr>
      <w:r>
        <w:rPr/>
        <w:t>电话：</w:t>
      </w:r>
      <w:r>
        <w:rPr>
          <w:rFonts w:ascii="Calibri" w:eastAsia="Calibri"/>
        </w:rPr>
        <w:t>0591-87383623</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rPr>
          <w:rFonts w:ascii="Calibri" w:eastAsia="Calibri"/>
        </w:rPr>
      </w:pPr>
      <w:r>
        <w:rPr/>
        <w:t>传真：</w:t>
      </w:r>
      <w:r>
        <w:rPr>
          <w:rFonts w:ascii="Calibri" w:eastAsia="Calibri"/>
        </w:rPr>
        <w:t>0591-87383610</w:t>
      </w:r>
    </w:p>
    <w:p>
      <w:pPr>
        <w:pStyle w:val="BodyText"/>
        <w:spacing w:before="3"/>
        <w:rPr>
          <w:rFonts w:ascii="Calibri"/>
          <w:sz w:val="16"/>
        </w:rPr>
      </w:pPr>
    </w:p>
    <w:p>
      <w:pPr>
        <w:pStyle w:val="BodyText"/>
        <w:ind w:left="960"/>
      </w:pPr>
      <w:r>
        <w:rPr/>
        <w:t>联系人：张腾</w:t>
      </w:r>
    </w:p>
    <w:p>
      <w:pPr>
        <w:pStyle w:val="BodyText"/>
        <w:spacing w:before="7"/>
        <w:rPr>
          <w:sz w:val="15"/>
        </w:rPr>
      </w:pPr>
    </w:p>
    <w:p>
      <w:pPr>
        <w:pStyle w:val="BodyText"/>
        <w:spacing w:line="417" w:lineRule="auto"/>
        <w:ind w:left="960" w:right="6563"/>
        <w:rPr>
          <w:rFonts w:ascii="Calibri" w:eastAsia="Calibri"/>
        </w:rPr>
      </w:pPr>
      <w:r>
        <w:rPr/>
        <w:t>网址：</w:t>
      </w:r>
      <w:hyperlink r:id="rId143">
        <w:r>
          <w:rPr>
            <w:rFonts w:ascii="Calibri" w:eastAsia="Calibri"/>
          </w:rPr>
          <w:t>www.hfzq.com.cn </w:t>
        </w:r>
      </w:hyperlink>
      <w:r>
        <w:rPr/>
        <w:t>客户服务电话：</w:t>
      </w:r>
      <w:r>
        <w:rPr>
          <w:rFonts w:ascii="Calibri" w:eastAsia="Calibri"/>
        </w:rPr>
        <w:t>95547</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华龙证券股份有限公司</w:t>
      </w:r>
    </w:p>
    <w:p>
      <w:pPr>
        <w:pStyle w:val="BodyText"/>
        <w:spacing w:before="6"/>
        <w:rPr>
          <w:sz w:val="15"/>
        </w:rPr>
      </w:pPr>
    </w:p>
    <w:p>
      <w:pPr>
        <w:pStyle w:val="BodyText"/>
        <w:spacing w:before="1"/>
        <w:ind w:left="960"/>
      </w:pPr>
      <w:r>
        <w:rPr/>
        <w:t>住所：甘肃省兰州市静宁路 </w:t>
      </w:r>
      <w:r>
        <w:rPr>
          <w:rFonts w:ascii="Calibri" w:eastAsia="Calibri"/>
        </w:rPr>
        <w:t>308 </w:t>
      </w:r>
      <w:r>
        <w:rPr/>
        <w:t>号</w:t>
      </w:r>
    </w:p>
    <w:p>
      <w:pPr>
        <w:pStyle w:val="BodyText"/>
        <w:spacing w:before="6"/>
        <w:rPr>
          <w:sz w:val="15"/>
        </w:rPr>
      </w:pPr>
    </w:p>
    <w:p>
      <w:pPr>
        <w:pStyle w:val="BodyText"/>
        <w:spacing w:line="417" w:lineRule="auto"/>
        <w:ind w:left="960" w:right="5185"/>
      </w:pPr>
      <w:r>
        <w:rPr>
          <w:spacing w:val="-6"/>
        </w:rPr>
        <w:t>办公地址：甘肃省兰州市静宁路 </w:t>
      </w:r>
      <w:r>
        <w:rPr>
          <w:rFonts w:ascii="Calibri" w:eastAsia="Calibri"/>
        </w:rPr>
        <w:t>308</w:t>
      </w:r>
      <w:r>
        <w:rPr>
          <w:rFonts w:ascii="Calibri" w:eastAsia="Calibri"/>
          <w:spacing w:val="13"/>
        </w:rPr>
        <w:t> </w:t>
      </w:r>
      <w:r>
        <w:rPr>
          <w:spacing w:val="-12"/>
        </w:rPr>
        <w:t>号</w:t>
      </w:r>
      <w:r>
        <w:rPr>
          <w:spacing w:val="-3"/>
        </w:rPr>
        <w:t>法定代表人：李晓安</w:t>
      </w:r>
    </w:p>
    <w:p>
      <w:pPr>
        <w:pStyle w:val="BodyText"/>
        <w:spacing w:before="1"/>
        <w:ind w:left="960"/>
        <w:rPr>
          <w:rFonts w:ascii="Calibri" w:eastAsia="Calibri"/>
        </w:rPr>
      </w:pPr>
      <w:r>
        <w:rPr>
          <w:spacing w:val="-2"/>
        </w:rPr>
        <w:t>电话：</w:t>
      </w:r>
      <w:r>
        <w:rPr>
          <w:rFonts w:ascii="Calibri" w:eastAsia="Calibri"/>
          <w:spacing w:val="-1"/>
        </w:rPr>
        <w:t>0931-4890100</w:t>
      </w:r>
    </w:p>
    <w:p>
      <w:pPr>
        <w:pStyle w:val="BodyText"/>
        <w:spacing w:before="3"/>
        <w:rPr>
          <w:rFonts w:ascii="Calibri"/>
          <w:sz w:val="16"/>
        </w:rPr>
      </w:pPr>
    </w:p>
    <w:p>
      <w:pPr>
        <w:pStyle w:val="BodyText"/>
        <w:ind w:left="960"/>
      </w:pPr>
      <w:r>
        <w:rPr/>
        <w:t>联系人：李昕田</w:t>
      </w:r>
    </w:p>
    <w:p>
      <w:pPr>
        <w:pStyle w:val="BodyText"/>
        <w:spacing w:before="7"/>
        <w:rPr>
          <w:sz w:val="15"/>
        </w:rPr>
      </w:pPr>
    </w:p>
    <w:p>
      <w:pPr>
        <w:pStyle w:val="BodyText"/>
        <w:ind w:left="960"/>
        <w:rPr>
          <w:rFonts w:ascii="Calibri" w:eastAsia="Calibri"/>
        </w:rPr>
      </w:pPr>
      <w:r>
        <w:rPr/>
        <w:t>网址：</w:t>
      </w:r>
      <w:hyperlink r:id="rId144">
        <w:r>
          <w:rPr>
            <w:rFonts w:ascii="Calibri" w:eastAsia="Calibri"/>
          </w:rPr>
          <w:t>www.hlzqgs.com</w:t>
        </w:r>
      </w:hyperlink>
    </w:p>
    <w:p>
      <w:pPr>
        <w:pStyle w:val="BodyText"/>
        <w:spacing w:before="3"/>
        <w:rPr>
          <w:rFonts w:ascii="Calibri"/>
          <w:sz w:val="16"/>
        </w:rPr>
      </w:pPr>
    </w:p>
    <w:p>
      <w:pPr>
        <w:pStyle w:val="BodyText"/>
        <w:spacing w:before="1"/>
        <w:ind w:left="960"/>
      </w:pPr>
      <w:r>
        <w:rPr/>
        <w:t>客户服务电话：</w:t>
      </w:r>
      <w:r>
        <w:rPr>
          <w:rFonts w:ascii="Calibri" w:eastAsia="Calibri"/>
        </w:rPr>
        <w:t>95368</w:t>
      </w:r>
      <w:r>
        <w:rPr/>
        <w:t>、</w:t>
      </w:r>
      <w:r>
        <w:rPr>
          <w:rFonts w:ascii="Calibri" w:eastAsia="Calibri"/>
        </w:rPr>
        <w:t>400-468-8888</w:t>
      </w:r>
      <w:r>
        <w:rPr/>
        <w:t>（全国）</w:t>
      </w:r>
    </w:p>
    <w:p>
      <w:pPr>
        <w:pStyle w:val="BodyText"/>
        <w:spacing w:before="6"/>
        <w:rPr>
          <w:sz w:val="15"/>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中国国际金融股份有限公司</w:t>
      </w:r>
    </w:p>
    <w:p>
      <w:pPr>
        <w:pStyle w:val="BodyText"/>
        <w:spacing w:before="7"/>
        <w:rPr>
          <w:sz w:val="15"/>
        </w:rPr>
      </w:pPr>
    </w:p>
    <w:p>
      <w:pPr>
        <w:pStyle w:val="BodyText"/>
        <w:ind w:left="960"/>
      </w:pPr>
      <w:r>
        <w:rPr/>
        <w:t>住所：北京市建国门外大街 </w:t>
      </w:r>
      <w:r>
        <w:rPr>
          <w:rFonts w:ascii="Calibri" w:eastAsia="Calibri"/>
        </w:rPr>
        <w:t>1 </w:t>
      </w:r>
      <w:r>
        <w:rPr/>
        <w:t>号国贸大厦 </w:t>
      </w:r>
      <w:r>
        <w:rPr>
          <w:rFonts w:ascii="Calibri" w:eastAsia="Calibri"/>
        </w:rPr>
        <w:t>2 </w:t>
      </w:r>
      <w:r>
        <w:rPr/>
        <w:t>座 </w:t>
      </w:r>
      <w:r>
        <w:rPr>
          <w:rFonts w:ascii="Calibri" w:eastAsia="Calibri"/>
        </w:rPr>
        <w:t>27 </w:t>
      </w:r>
      <w:r>
        <w:rPr/>
        <w:t>层及 </w:t>
      </w:r>
      <w:r>
        <w:rPr>
          <w:rFonts w:ascii="Calibri" w:eastAsia="Calibri"/>
        </w:rPr>
        <w:t>28 </w:t>
      </w:r>
      <w:r>
        <w:rPr/>
        <w:t>层</w:t>
      </w:r>
    </w:p>
    <w:p>
      <w:pPr>
        <w:pStyle w:val="BodyText"/>
        <w:spacing w:before="7"/>
        <w:rPr>
          <w:sz w:val="15"/>
        </w:rPr>
      </w:pPr>
    </w:p>
    <w:p>
      <w:pPr>
        <w:pStyle w:val="BodyText"/>
        <w:spacing w:line="417" w:lineRule="auto"/>
        <w:ind w:left="960" w:right="2868"/>
      </w:pPr>
      <w:r>
        <w:rPr>
          <w:spacing w:val="-7"/>
        </w:rPr>
        <w:t>办公地址：北京市建国门外大街 </w:t>
      </w:r>
      <w:r>
        <w:rPr>
          <w:rFonts w:ascii="Calibri" w:eastAsia="Calibri"/>
        </w:rPr>
        <w:t>1 </w:t>
      </w:r>
      <w:r>
        <w:rPr>
          <w:spacing w:val="-11"/>
        </w:rPr>
        <w:t>号国贸大厦 </w:t>
      </w:r>
      <w:r>
        <w:rPr>
          <w:rFonts w:ascii="Calibri" w:eastAsia="Calibri"/>
        </w:rPr>
        <w:t>2 </w:t>
      </w:r>
      <w:r>
        <w:rPr>
          <w:spacing w:val="-26"/>
        </w:rPr>
        <w:t>座 </w:t>
      </w:r>
      <w:r>
        <w:rPr>
          <w:rFonts w:ascii="Calibri" w:eastAsia="Calibri"/>
        </w:rPr>
        <w:t>27 </w:t>
      </w:r>
      <w:r>
        <w:rPr>
          <w:spacing w:val="-18"/>
        </w:rPr>
        <w:t>层及 </w:t>
      </w:r>
      <w:r>
        <w:rPr>
          <w:rFonts w:ascii="Calibri" w:eastAsia="Calibri"/>
        </w:rPr>
        <w:t>28 </w:t>
      </w:r>
      <w:r>
        <w:rPr/>
        <w:t>层</w:t>
      </w:r>
      <w:r>
        <w:rPr>
          <w:spacing w:val="-3"/>
        </w:rPr>
        <w:t>法定代表人：金立群</w:t>
      </w:r>
    </w:p>
    <w:p>
      <w:pPr>
        <w:pStyle w:val="BodyText"/>
        <w:spacing w:line="417" w:lineRule="auto"/>
        <w:ind w:left="960" w:right="6898"/>
        <w:rPr>
          <w:rFonts w:ascii="Calibri" w:eastAsia="Calibri"/>
        </w:rPr>
      </w:pPr>
      <w:r>
        <w:rPr/>
        <w:t>电话：</w:t>
      </w:r>
      <w:r>
        <w:rPr>
          <w:rFonts w:ascii="Calibri" w:eastAsia="Calibri"/>
        </w:rPr>
        <w:t>010-65051166 </w:t>
      </w:r>
      <w:r>
        <w:rPr/>
        <w:t>传真：</w:t>
      </w:r>
      <w:r>
        <w:rPr>
          <w:rFonts w:ascii="Calibri" w:eastAsia="Calibri"/>
        </w:rPr>
        <w:t>010-65058065</w:t>
      </w:r>
    </w:p>
    <w:p>
      <w:pPr>
        <w:pStyle w:val="BodyText"/>
        <w:spacing w:line="417" w:lineRule="auto"/>
        <w:ind w:left="960" w:right="6450"/>
        <w:rPr>
          <w:rFonts w:ascii="Calibri" w:eastAsia="Calibri"/>
        </w:rPr>
      </w:pPr>
      <w:r>
        <w:rPr/>
        <w:t>联系人：罗春蓉、武明明网址：</w:t>
      </w:r>
      <w:hyperlink r:id="rId145">
        <w:r>
          <w:rPr>
            <w:rFonts w:ascii="Calibri" w:eastAsia="Calibri"/>
          </w:rPr>
          <w:t>www.cicc.com.cn</w:t>
        </w:r>
      </w:hyperlink>
    </w:p>
    <w:p>
      <w:pPr>
        <w:pStyle w:val="BodyText"/>
        <w:spacing w:line="269" w:lineRule="exact"/>
        <w:ind w:left="960"/>
        <w:rPr>
          <w:rFonts w:ascii="Calibri" w:eastAsia="Calibri"/>
        </w:rPr>
      </w:pPr>
      <w:r>
        <w:rPr/>
        <w:t>客户服务电话：</w:t>
      </w:r>
      <w:r>
        <w:rPr>
          <w:rFonts w:ascii="Calibri" w:eastAsia="Calibri"/>
        </w:rPr>
        <w:t>010-65051166</w:t>
      </w:r>
    </w:p>
    <w:p>
      <w:pPr>
        <w:pStyle w:val="BodyText"/>
        <w:spacing w:before="4"/>
        <w:rPr>
          <w:rFonts w:ascii="Calibri"/>
          <w:sz w:val="16"/>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上海华信证券有限责任公司</w:t>
      </w:r>
    </w:p>
    <w:p>
      <w:pPr>
        <w:pStyle w:val="BodyText"/>
        <w:spacing w:before="6"/>
        <w:rPr>
          <w:sz w:val="15"/>
        </w:rPr>
      </w:pPr>
    </w:p>
    <w:p>
      <w:pPr>
        <w:pStyle w:val="BodyText"/>
        <w:spacing w:before="1"/>
        <w:ind w:left="960"/>
      </w:pPr>
      <w:r>
        <w:rPr/>
        <w:t>住所：上海市浦东新区世纪大道 </w:t>
      </w:r>
      <w:r>
        <w:rPr>
          <w:rFonts w:ascii="Calibri" w:eastAsia="Calibri"/>
        </w:rPr>
        <w:t>100 </w:t>
      </w:r>
      <w:r>
        <w:rPr/>
        <w:t>号环球金融中心</w:t>
      </w:r>
    </w:p>
    <w:p>
      <w:pPr>
        <w:pStyle w:val="BodyText"/>
        <w:spacing w:before="6"/>
        <w:rPr>
          <w:sz w:val="15"/>
        </w:rPr>
      </w:pPr>
    </w:p>
    <w:p>
      <w:pPr>
        <w:pStyle w:val="BodyText"/>
        <w:spacing w:line="417" w:lineRule="auto"/>
        <w:ind w:left="960" w:right="3607"/>
      </w:pPr>
      <w:r>
        <w:rPr>
          <w:spacing w:val="-6"/>
        </w:rPr>
        <w:t>办公地址：上海市黄埔区南京西路 </w:t>
      </w:r>
      <w:r>
        <w:rPr>
          <w:rFonts w:ascii="Calibri" w:eastAsia="Calibri"/>
        </w:rPr>
        <w:t>399</w:t>
      </w:r>
      <w:r>
        <w:rPr>
          <w:rFonts w:ascii="Calibri" w:eastAsia="Calibri"/>
          <w:spacing w:val="10"/>
        </w:rPr>
        <w:t> </w:t>
      </w:r>
      <w:r>
        <w:rPr>
          <w:spacing w:val="-11"/>
        </w:rPr>
        <w:t>号明天广场 </w:t>
      </w:r>
      <w:r>
        <w:rPr>
          <w:rFonts w:ascii="Calibri" w:eastAsia="Calibri"/>
        </w:rPr>
        <w:t>20</w:t>
      </w:r>
      <w:r>
        <w:rPr>
          <w:rFonts w:ascii="Calibri" w:eastAsia="Calibri"/>
          <w:spacing w:val="9"/>
        </w:rPr>
        <w:t> </w:t>
      </w:r>
      <w:r>
        <w:rPr/>
        <w:t>楼</w:t>
      </w:r>
      <w:r>
        <w:rPr>
          <w:spacing w:val="-3"/>
        </w:rPr>
        <w:t>法定代表人：陈灿辉</w:t>
      </w:r>
    </w:p>
    <w:p>
      <w:pPr>
        <w:pStyle w:val="BodyText"/>
        <w:spacing w:line="269" w:lineRule="exact"/>
        <w:ind w:left="960"/>
        <w:rPr>
          <w:rFonts w:ascii="Calibri" w:eastAsia="Calibri"/>
        </w:rPr>
      </w:pPr>
      <w:r>
        <w:rPr>
          <w:spacing w:val="-2"/>
        </w:rPr>
        <w:t>电话：</w:t>
      </w:r>
      <w:r>
        <w:rPr>
          <w:rFonts w:ascii="Calibri" w:eastAsia="Calibri"/>
          <w:spacing w:val="-1"/>
        </w:rPr>
        <w:t>021-63898427</w:t>
      </w:r>
    </w:p>
    <w:p>
      <w:pPr>
        <w:pStyle w:val="BodyText"/>
        <w:spacing w:before="4"/>
        <w:rPr>
          <w:rFonts w:ascii="Calibri"/>
          <w:sz w:val="16"/>
        </w:rPr>
      </w:pPr>
    </w:p>
    <w:p>
      <w:pPr>
        <w:pStyle w:val="BodyText"/>
        <w:ind w:left="960"/>
        <w:rPr>
          <w:rFonts w:ascii="Calibri" w:eastAsia="Calibri"/>
        </w:rPr>
      </w:pPr>
      <w:r>
        <w:rPr/>
        <w:t>传真：</w:t>
      </w:r>
      <w:r>
        <w:rPr>
          <w:rFonts w:ascii="Calibri" w:eastAsia="Calibri"/>
        </w:rPr>
        <w:t>021-68776977-8427</w:t>
      </w:r>
    </w:p>
    <w:p>
      <w:pPr>
        <w:pStyle w:val="BodyText"/>
        <w:spacing w:before="3"/>
        <w:rPr>
          <w:rFonts w:ascii="Calibri"/>
          <w:sz w:val="16"/>
        </w:rPr>
      </w:pPr>
    </w:p>
    <w:p>
      <w:pPr>
        <w:pStyle w:val="BodyText"/>
        <w:spacing w:before="1"/>
        <w:ind w:left="960"/>
      </w:pPr>
      <w:r>
        <w:rPr/>
        <w:t>联系人：徐璐</w:t>
      </w:r>
    </w:p>
    <w:p>
      <w:pPr>
        <w:pStyle w:val="BodyText"/>
        <w:spacing w:before="7"/>
        <w:rPr>
          <w:sz w:val="15"/>
        </w:rPr>
      </w:pPr>
    </w:p>
    <w:p>
      <w:pPr>
        <w:pStyle w:val="BodyText"/>
        <w:ind w:left="960"/>
        <w:rPr>
          <w:rFonts w:ascii="Calibri" w:eastAsia="Calibri"/>
        </w:rPr>
      </w:pPr>
      <w:r>
        <w:rPr/>
        <w:t>网址：</w:t>
      </w:r>
      <w:hyperlink r:id="rId146">
        <w:r>
          <w:rPr>
            <w:rFonts w:ascii="Calibri" w:eastAsia="Calibri"/>
          </w:rPr>
          <w:t>www.shhxzq.com</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400-820-5999</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3"/>
        </w:numPr>
        <w:tabs>
          <w:tab w:pos="1703" w:val="left" w:leader="none"/>
        </w:tabs>
        <w:spacing w:line="240" w:lineRule="auto" w:before="72" w:after="0"/>
        <w:ind w:left="1703" w:right="0" w:hanging="743"/>
        <w:jc w:val="left"/>
        <w:rPr>
          <w:sz w:val="21"/>
        </w:rPr>
      </w:pPr>
      <w:r>
        <w:rPr>
          <w:spacing w:val="-3"/>
          <w:sz w:val="21"/>
        </w:rPr>
        <w:t>华鑫证券有限责任公司</w:t>
      </w:r>
    </w:p>
    <w:p>
      <w:pPr>
        <w:pStyle w:val="BodyText"/>
        <w:spacing w:before="6"/>
        <w:rPr>
          <w:sz w:val="15"/>
        </w:rPr>
      </w:pPr>
    </w:p>
    <w:p>
      <w:pPr>
        <w:pStyle w:val="BodyText"/>
        <w:spacing w:line="417" w:lineRule="auto"/>
        <w:ind w:left="960" w:right="1116"/>
      </w:pPr>
      <w:r>
        <w:rPr>
          <w:spacing w:val="-6"/>
        </w:rPr>
        <w:t>住所：深圳市福田区莲花街道福中社区深南大道 </w:t>
      </w:r>
      <w:r>
        <w:rPr>
          <w:rFonts w:ascii="Calibri" w:eastAsia="Calibri"/>
        </w:rPr>
        <w:t>2008 </w:t>
      </w:r>
      <w:r>
        <w:rPr>
          <w:spacing w:val="-9"/>
        </w:rPr>
        <w:t>号中国凤凰大厦 </w:t>
      </w:r>
      <w:r>
        <w:rPr>
          <w:rFonts w:ascii="Calibri" w:eastAsia="Calibri"/>
        </w:rPr>
        <w:t>1 </w:t>
      </w:r>
      <w:r>
        <w:rPr>
          <w:spacing w:val="-24"/>
        </w:rPr>
        <w:t>栋 </w:t>
      </w:r>
      <w:r>
        <w:rPr>
          <w:rFonts w:ascii="Calibri" w:eastAsia="Calibri"/>
        </w:rPr>
        <w:t>20C-1 </w:t>
      </w:r>
      <w:r>
        <w:rPr/>
        <w:t>房</w:t>
      </w:r>
      <w:r>
        <w:rPr>
          <w:spacing w:val="-7"/>
        </w:rPr>
        <w:t>办公地址：上海市徐汇区宛平南路 </w:t>
      </w:r>
      <w:r>
        <w:rPr>
          <w:rFonts w:ascii="Calibri" w:eastAsia="Calibri"/>
        </w:rPr>
        <w:t>8 </w:t>
      </w:r>
      <w:r>
        <w:rPr/>
        <w:t>号</w:t>
      </w:r>
    </w:p>
    <w:p>
      <w:pPr>
        <w:pStyle w:val="BodyText"/>
        <w:spacing w:line="417" w:lineRule="auto"/>
        <w:ind w:left="960" w:right="6837"/>
        <w:rPr>
          <w:rFonts w:ascii="Calibri" w:eastAsia="Calibri"/>
        </w:rPr>
      </w:pPr>
      <w:r>
        <w:rPr/>
        <w:t>法定代表人：俞洋电话：</w:t>
      </w:r>
      <w:r>
        <w:rPr>
          <w:rFonts w:ascii="Calibri" w:eastAsia="Calibri"/>
        </w:rPr>
        <w:t>021-54967552 </w:t>
      </w:r>
      <w:r>
        <w:rPr/>
        <w:t>传真：</w:t>
      </w:r>
      <w:r>
        <w:rPr>
          <w:rFonts w:ascii="Calibri" w:eastAsia="Calibri"/>
        </w:rPr>
        <w:t>021-54967032</w:t>
      </w:r>
    </w:p>
    <w:p>
      <w:pPr>
        <w:pStyle w:val="BodyText"/>
        <w:spacing w:line="269" w:lineRule="exact"/>
        <w:ind w:left="960"/>
      </w:pPr>
      <w:r>
        <w:rPr/>
        <w:t>联系人：杨莉娟</w:t>
      </w:r>
    </w:p>
    <w:p>
      <w:pPr>
        <w:pStyle w:val="BodyText"/>
        <w:spacing w:before="7"/>
        <w:rPr>
          <w:sz w:val="15"/>
        </w:rPr>
      </w:pPr>
    </w:p>
    <w:p>
      <w:pPr>
        <w:pStyle w:val="BodyText"/>
        <w:ind w:left="960"/>
        <w:rPr>
          <w:rFonts w:ascii="Calibri" w:eastAsia="Calibri"/>
        </w:rPr>
      </w:pPr>
      <w:r>
        <w:rPr/>
        <w:t>网址：</w:t>
      </w:r>
      <w:hyperlink r:id="rId147">
        <w:r>
          <w:rPr>
            <w:rFonts w:ascii="Calibri" w:eastAsia="Calibri"/>
          </w:rPr>
          <w:t>www.cfsc.com.cn</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95323</w:t>
      </w:r>
      <w:r>
        <w:rPr/>
        <w:t>、</w:t>
      </w:r>
      <w:r>
        <w:rPr>
          <w:rFonts w:ascii="Calibri" w:eastAsia="Calibri"/>
        </w:rPr>
        <w:t>400-109-9918</w:t>
      </w:r>
    </w:p>
    <w:p>
      <w:pPr>
        <w:pStyle w:val="BodyText"/>
        <w:spacing w:before="3"/>
        <w:rPr>
          <w:rFonts w:ascii="Calibri"/>
          <w:sz w:val="16"/>
        </w:rPr>
      </w:pPr>
    </w:p>
    <w:p>
      <w:pPr>
        <w:pStyle w:val="ListParagraph"/>
        <w:numPr>
          <w:ilvl w:val="0"/>
          <w:numId w:val="33"/>
        </w:numPr>
        <w:tabs>
          <w:tab w:pos="1703" w:val="left" w:leader="none"/>
        </w:tabs>
        <w:spacing w:line="240" w:lineRule="auto" w:before="1" w:after="0"/>
        <w:ind w:left="1703" w:right="0" w:hanging="743"/>
        <w:jc w:val="left"/>
        <w:rPr>
          <w:sz w:val="21"/>
        </w:rPr>
      </w:pPr>
      <w:r>
        <w:rPr>
          <w:spacing w:val="-3"/>
          <w:sz w:val="21"/>
        </w:rPr>
        <w:t>中国中金财富证券有限公司</w:t>
      </w:r>
    </w:p>
    <w:p>
      <w:pPr>
        <w:pStyle w:val="BodyText"/>
        <w:spacing w:before="6"/>
        <w:rPr>
          <w:sz w:val="15"/>
        </w:rPr>
      </w:pPr>
    </w:p>
    <w:p>
      <w:pPr>
        <w:pStyle w:val="BodyText"/>
        <w:ind w:left="960"/>
      </w:pPr>
      <w:r>
        <w:rPr/>
        <w:t>住所：深圳市福田区益田路与福中路交界处荣超商务中心 </w:t>
      </w:r>
      <w:r>
        <w:rPr>
          <w:rFonts w:ascii="Calibri" w:eastAsia="Calibri"/>
        </w:rPr>
        <w:t>A </w:t>
      </w:r>
      <w:r>
        <w:rPr/>
        <w:t>栋第 </w:t>
      </w:r>
      <w:r>
        <w:rPr>
          <w:rFonts w:ascii="Calibri" w:eastAsia="Calibri"/>
        </w:rPr>
        <w:t>18 </w:t>
      </w:r>
      <w:r>
        <w:rPr/>
        <w:t>层</w:t>
      </w:r>
      <w:r>
        <w:rPr>
          <w:rFonts w:ascii="Calibri" w:eastAsia="Calibri"/>
        </w:rPr>
        <w:t>-21 </w:t>
      </w:r>
      <w:r>
        <w:rPr/>
        <w:t>层及第 </w:t>
      </w:r>
      <w:r>
        <w:rPr>
          <w:rFonts w:ascii="Calibri" w:eastAsia="Calibri"/>
        </w:rPr>
        <w:t>04 </w:t>
      </w:r>
      <w:r>
        <w:rPr/>
        <w:t>层</w:t>
      </w:r>
    </w:p>
    <w:p>
      <w:pPr>
        <w:pStyle w:val="BodyText"/>
        <w:spacing w:before="7"/>
        <w:rPr>
          <w:sz w:val="15"/>
        </w:rPr>
      </w:pPr>
    </w:p>
    <w:p>
      <w:pPr>
        <w:pStyle w:val="BodyText"/>
        <w:ind w:left="540"/>
      </w:pPr>
      <w:r>
        <w:rPr>
          <w:rFonts w:ascii="Calibri" w:eastAsia="Calibri"/>
        </w:rPr>
        <w:t>01.02.03.05.11.12.13.15.16.18.19.20.21.22.23 </w:t>
      </w:r>
      <w:r>
        <w:rPr/>
        <w:t>单元</w:t>
      </w:r>
    </w:p>
    <w:p>
      <w:pPr>
        <w:pStyle w:val="BodyText"/>
        <w:spacing w:before="7"/>
        <w:rPr>
          <w:sz w:val="15"/>
        </w:rPr>
      </w:pPr>
    </w:p>
    <w:p>
      <w:pPr>
        <w:pStyle w:val="BodyText"/>
        <w:spacing w:line="417" w:lineRule="auto"/>
        <w:ind w:left="960" w:right="1483"/>
      </w:pPr>
      <w:r>
        <w:rPr>
          <w:spacing w:val="-7"/>
        </w:rPr>
        <w:t>办公地址：深圳市福田区益田路 </w:t>
      </w:r>
      <w:r>
        <w:rPr>
          <w:rFonts w:ascii="Calibri" w:eastAsia="Calibri"/>
        </w:rPr>
        <w:t>6003 </w:t>
      </w:r>
      <w:r>
        <w:rPr>
          <w:spacing w:val="-9"/>
        </w:rPr>
        <w:t>号荣超商务中心 </w:t>
      </w:r>
      <w:r>
        <w:rPr>
          <w:rFonts w:ascii="Calibri" w:eastAsia="Calibri"/>
        </w:rPr>
        <w:t>A </w:t>
      </w:r>
      <w:r>
        <w:rPr>
          <w:spacing w:val="-17"/>
        </w:rPr>
        <w:t>栋第 </w:t>
      </w:r>
      <w:r>
        <w:rPr>
          <w:rFonts w:ascii="Calibri" w:eastAsia="Calibri"/>
        </w:rPr>
        <w:t>04</w:t>
      </w:r>
      <w:r>
        <w:rPr>
          <w:spacing w:val="-3"/>
        </w:rPr>
        <w:t>、</w:t>
      </w:r>
      <w:r>
        <w:rPr>
          <w:rFonts w:ascii="Calibri" w:eastAsia="Calibri"/>
        </w:rPr>
        <w:t>18 </w:t>
      </w:r>
      <w:r>
        <w:rPr>
          <w:spacing w:val="-18"/>
        </w:rPr>
        <w:t>层至 </w:t>
      </w:r>
      <w:r>
        <w:rPr>
          <w:rFonts w:ascii="Calibri" w:eastAsia="Calibri"/>
        </w:rPr>
        <w:t>21 </w:t>
      </w:r>
      <w:r>
        <w:rPr/>
        <w:t>层</w:t>
      </w:r>
      <w:r>
        <w:rPr>
          <w:spacing w:val="-3"/>
        </w:rPr>
        <w:t>法定代表人：高涛</w:t>
      </w:r>
    </w:p>
    <w:p>
      <w:pPr>
        <w:pStyle w:val="BodyText"/>
        <w:spacing w:line="417" w:lineRule="auto"/>
        <w:ind w:left="960" w:right="6790"/>
        <w:rPr>
          <w:rFonts w:ascii="Calibri" w:eastAsia="Calibri"/>
        </w:rPr>
      </w:pPr>
      <w:r>
        <w:rPr/>
        <w:t>电话：</w:t>
      </w:r>
      <w:r>
        <w:rPr>
          <w:rFonts w:ascii="Calibri" w:eastAsia="Calibri"/>
        </w:rPr>
        <w:t>0755-88320851 </w:t>
      </w:r>
      <w:r>
        <w:rPr/>
        <w:t>传真：</w:t>
      </w:r>
      <w:r>
        <w:rPr>
          <w:rFonts w:ascii="Calibri" w:eastAsia="Calibri"/>
        </w:rPr>
        <w:t>0755-82026942</w:t>
      </w:r>
    </w:p>
    <w:p>
      <w:pPr>
        <w:pStyle w:val="BodyText"/>
        <w:spacing w:line="269" w:lineRule="exact"/>
        <w:ind w:left="960"/>
      </w:pPr>
      <w:r>
        <w:rPr/>
        <w:t>联系人：胡芷境</w:t>
      </w:r>
    </w:p>
    <w:p>
      <w:pPr>
        <w:pStyle w:val="BodyText"/>
        <w:spacing w:before="6"/>
        <w:rPr>
          <w:sz w:val="15"/>
        </w:rPr>
      </w:pPr>
    </w:p>
    <w:p>
      <w:pPr>
        <w:pStyle w:val="BodyText"/>
        <w:spacing w:before="1"/>
        <w:ind w:left="960"/>
        <w:rPr>
          <w:rFonts w:ascii="Calibri" w:eastAsia="Calibri"/>
        </w:rPr>
      </w:pPr>
      <w:r>
        <w:rPr/>
        <w:t>网址：</w:t>
      </w:r>
      <w:hyperlink r:id="rId148">
        <w:r>
          <w:rPr>
            <w:rFonts w:ascii="Calibri" w:eastAsia="Calibri"/>
          </w:rPr>
          <w:t>www.china-invs.cn</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400-600-8008</w:t>
      </w:r>
      <w:r>
        <w:rPr/>
        <w:t>、</w:t>
      </w:r>
      <w:r>
        <w:rPr>
          <w:rFonts w:ascii="Calibri" w:eastAsia="Calibri"/>
        </w:rPr>
        <w:t>95532</w:t>
      </w:r>
    </w:p>
    <w:p>
      <w:pPr>
        <w:pStyle w:val="BodyText"/>
        <w:spacing w:before="4"/>
        <w:rPr>
          <w:rFonts w:ascii="Calibri"/>
          <w:sz w:val="16"/>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中山证券有限责任公司</w:t>
      </w:r>
    </w:p>
    <w:p>
      <w:pPr>
        <w:pStyle w:val="BodyText"/>
        <w:spacing w:before="6"/>
        <w:rPr>
          <w:sz w:val="15"/>
        </w:rPr>
      </w:pPr>
    </w:p>
    <w:p>
      <w:pPr>
        <w:pStyle w:val="BodyText"/>
        <w:spacing w:before="1"/>
        <w:ind w:left="960"/>
      </w:pPr>
      <w:r>
        <w:rPr/>
        <w:t>住所：深圳市南山区创业路 </w:t>
      </w:r>
      <w:r>
        <w:rPr>
          <w:rFonts w:ascii="Calibri" w:eastAsia="Calibri"/>
        </w:rPr>
        <w:t>1777 </w:t>
      </w:r>
      <w:r>
        <w:rPr/>
        <w:t>号海信南方大厦 </w:t>
      </w:r>
      <w:r>
        <w:rPr>
          <w:rFonts w:ascii="Calibri" w:eastAsia="Calibri"/>
        </w:rPr>
        <w:t>21</w:t>
      </w:r>
      <w:r>
        <w:rPr/>
        <w:t>、</w:t>
      </w:r>
      <w:r>
        <w:rPr>
          <w:rFonts w:ascii="Calibri" w:eastAsia="Calibri"/>
        </w:rPr>
        <w:t>22 </w:t>
      </w:r>
      <w:r>
        <w:rPr/>
        <w:t>层</w:t>
      </w:r>
    </w:p>
    <w:p>
      <w:pPr>
        <w:pStyle w:val="BodyText"/>
        <w:spacing w:before="7"/>
        <w:rPr>
          <w:sz w:val="15"/>
        </w:rPr>
      </w:pPr>
    </w:p>
    <w:p>
      <w:pPr>
        <w:pStyle w:val="BodyText"/>
        <w:spacing w:line="417" w:lineRule="auto"/>
        <w:ind w:left="960" w:right="2866"/>
      </w:pPr>
      <w:r>
        <w:rPr>
          <w:spacing w:val="-6"/>
        </w:rPr>
        <w:t>办公地址：深圳市南山区创业路 </w:t>
      </w:r>
      <w:r>
        <w:rPr>
          <w:rFonts w:ascii="Calibri" w:eastAsia="Calibri"/>
        </w:rPr>
        <w:t>1777 </w:t>
      </w:r>
      <w:r>
        <w:rPr>
          <w:spacing w:val="-9"/>
        </w:rPr>
        <w:t>号海信南方大厦 </w:t>
      </w:r>
      <w:r>
        <w:rPr>
          <w:rFonts w:ascii="Calibri" w:eastAsia="Calibri"/>
        </w:rPr>
        <w:t>21</w:t>
      </w:r>
      <w:r>
        <w:rPr>
          <w:spacing w:val="-3"/>
        </w:rPr>
        <w:t>、</w:t>
      </w:r>
      <w:r>
        <w:rPr>
          <w:rFonts w:ascii="Calibri" w:eastAsia="Calibri"/>
        </w:rPr>
        <w:t>22 </w:t>
      </w:r>
      <w:r>
        <w:rPr/>
        <w:t>层</w:t>
      </w:r>
      <w:r>
        <w:rPr>
          <w:spacing w:val="-3"/>
        </w:rPr>
        <w:t>法定代表人：林炳城</w:t>
      </w:r>
    </w:p>
    <w:p>
      <w:pPr>
        <w:pStyle w:val="BodyText"/>
        <w:spacing w:line="417" w:lineRule="auto"/>
        <w:ind w:left="960" w:right="6790"/>
        <w:rPr>
          <w:rFonts w:ascii="Calibri" w:eastAsia="Calibri"/>
        </w:rPr>
      </w:pPr>
      <w:r>
        <w:rPr/>
        <w:t>电话：</w:t>
      </w:r>
      <w:r>
        <w:rPr>
          <w:rFonts w:ascii="Calibri" w:eastAsia="Calibri"/>
        </w:rPr>
        <w:t>0755-82943755 </w:t>
      </w:r>
      <w:r>
        <w:rPr/>
        <w:t>传真：</w:t>
      </w:r>
      <w:r>
        <w:rPr>
          <w:rFonts w:ascii="Calibri" w:eastAsia="Calibri"/>
        </w:rPr>
        <w:t>0755-82960582</w:t>
      </w:r>
    </w:p>
    <w:p>
      <w:pPr>
        <w:pStyle w:val="BodyText"/>
        <w:spacing w:line="269" w:lineRule="exact"/>
        <w:ind w:left="960"/>
      </w:pPr>
      <w:r>
        <w:rPr/>
        <w:t>联系人：罗艺琳</w:t>
      </w:r>
    </w:p>
    <w:p>
      <w:pPr>
        <w:pStyle w:val="BodyText"/>
        <w:spacing w:before="6"/>
        <w:rPr>
          <w:sz w:val="15"/>
        </w:rPr>
      </w:pPr>
    </w:p>
    <w:p>
      <w:pPr>
        <w:pStyle w:val="BodyText"/>
        <w:spacing w:line="417" w:lineRule="auto"/>
        <w:ind w:left="960" w:right="6761"/>
        <w:rPr>
          <w:rFonts w:ascii="Calibri" w:eastAsia="Calibri"/>
        </w:rPr>
      </w:pPr>
      <w:r>
        <w:rPr/>
        <w:t>网址：</w:t>
      </w:r>
      <w:hyperlink r:id="rId149">
        <w:r>
          <w:rPr>
            <w:rFonts w:ascii="Calibri" w:eastAsia="Calibri"/>
          </w:rPr>
          <w:t>www.zszq.com </w:t>
        </w:r>
      </w:hyperlink>
      <w:r>
        <w:rPr/>
        <w:t>客户服务电话：</w:t>
      </w:r>
      <w:r>
        <w:rPr>
          <w:rFonts w:ascii="Calibri" w:eastAsia="Calibri"/>
        </w:rPr>
        <w:t>95329</w:t>
      </w: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国融证券股份有限公司</w:t>
      </w:r>
    </w:p>
    <w:p>
      <w:pPr>
        <w:pStyle w:val="BodyText"/>
        <w:spacing w:before="7"/>
        <w:rPr>
          <w:sz w:val="15"/>
        </w:rPr>
      </w:pPr>
    </w:p>
    <w:p>
      <w:pPr>
        <w:pStyle w:val="BodyText"/>
        <w:ind w:left="960"/>
      </w:pPr>
      <w:r>
        <w:rPr/>
        <w:t>住所：内蒙古自治区呼和浩特市武川县腾飞大道 </w:t>
      </w:r>
      <w:r>
        <w:rPr>
          <w:rFonts w:ascii="Calibri" w:eastAsia="Calibri"/>
        </w:rPr>
        <w:t>1 </w:t>
      </w:r>
      <w:r>
        <w:rPr/>
        <w:t>号 </w:t>
      </w:r>
      <w:r>
        <w:rPr>
          <w:rFonts w:ascii="Calibri" w:eastAsia="Calibri"/>
        </w:rPr>
        <w:t>4 </w:t>
      </w:r>
      <w:r>
        <w:rPr/>
        <w:t>楼</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2770"/>
      </w:pPr>
      <w:r>
        <w:rPr>
          <w:spacing w:val="-6"/>
        </w:rPr>
        <w:t>办公地址：北京市西城区闹市口大街 </w:t>
      </w:r>
      <w:r>
        <w:rPr>
          <w:rFonts w:ascii="Calibri" w:eastAsia="Calibri"/>
        </w:rPr>
        <w:t>1 </w:t>
      </w:r>
      <w:r>
        <w:rPr>
          <w:spacing w:val="-8"/>
        </w:rPr>
        <w:t>号长安兴融中心西楼 </w:t>
      </w:r>
      <w:r>
        <w:rPr>
          <w:rFonts w:ascii="Calibri" w:eastAsia="Calibri"/>
        </w:rPr>
        <w:t>11 </w:t>
      </w:r>
      <w:r>
        <w:rPr/>
        <w:t>层</w:t>
      </w:r>
      <w:r>
        <w:rPr>
          <w:spacing w:val="-3"/>
        </w:rPr>
        <w:t>法定代表人：张智河</w:t>
      </w:r>
    </w:p>
    <w:p>
      <w:pPr>
        <w:pStyle w:val="BodyText"/>
        <w:spacing w:line="417" w:lineRule="auto"/>
        <w:ind w:left="960" w:right="6898"/>
        <w:rPr>
          <w:rFonts w:ascii="Calibri" w:eastAsia="Calibri"/>
        </w:rPr>
      </w:pPr>
      <w:r>
        <w:rPr/>
        <w:t>电话：</w:t>
      </w:r>
      <w:r>
        <w:rPr>
          <w:rFonts w:ascii="Calibri" w:eastAsia="Calibri"/>
        </w:rPr>
        <w:t>010-83991719 </w:t>
      </w:r>
      <w:r>
        <w:rPr/>
        <w:t>传真：</w:t>
      </w:r>
      <w:r>
        <w:rPr>
          <w:rFonts w:ascii="Calibri" w:eastAsia="Calibri"/>
        </w:rPr>
        <w:t>010-66412537</w:t>
      </w:r>
    </w:p>
    <w:p>
      <w:pPr>
        <w:pStyle w:val="BodyText"/>
        <w:spacing w:line="269" w:lineRule="exact"/>
        <w:ind w:left="960"/>
      </w:pPr>
      <w:r>
        <w:rPr/>
        <w:t>联系人：叶密林</w:t>
      </w:r>
    </w:p>
    <w:p>
      <w:pPr>
        <w:pStyle w:val="BodyText"/>
        <w:spacing w:before="7"/>
        <w:rPr>
          <w:sz w:val="15"/>
        </w:rPr>
      </w:pPr>
    </w:p>
    <w:p>
      <w:pPr>
        <w:pStyle w:val="BodyText"/>
        <w:spacing w:line="417" w:lineRule="auto"/>
        <w:ind w:left="960" w:right="6157"/>
        <w:rPr>
          <w:rFonts w:ascii="Calibri" w:eastAsia="Calibri"/>
        </w:rPr>
      </w:pPr>
      <w:r>
        <w:rPr/>
        <w:t>网址：</w:t>
      </w:r>
      <w:r>
        <w:rPr>
          <w:rFonts w:ascii="Calibri" w:eastAsia="Calibri"/>
        </w:rPr>
        <w:t>https:</w:t>
      </w:r>
      <w:hyperlink r:id="rId150">
        <w:r>
          <w:rPr>
            <w:rFonts w:ascii="Calibri" w:eastAsia="Calibri"/>
          </w:rPr>
          <w:t>//www</w:t>
        </w:r>
      </w:hyperlink>
      <w:r>
        <w:rPr>
          <w:rFonts w:ascii="Calibri" w:eastAsia="Calibri"/>
        </w:rPr>
        <w:t>.g</w:t>
      </w:r>
      <w:hyperlink r:id="rId150">
        <w:r>
          <w:rPr>
            <w:rFonts w:ascii="Calibri" w:eastAsia="Calibri"/>
          </w:rPr>
          <w:t>rzq.com </w:t>
        </w:r>
      </w:hyperlink>
      <w:r>
        <w:rPr/>
        <w:t>客户服务电话：</w:t>
      </w:r>
      <w:r>
        <w:rPr>
          <w:rFonts w:ascii="Calibri" w:eastAsia="Calibri"/>
        </w:rPr>
        <w:t>95385</w:t>
      </w: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粤开证券股份有限公司</w:t>
      </w:r>
    </w:p>
    <w:p>
      <w:pPr>
        <w:pStyle w:val="BodyText"/>
        <w:spacing w:before="7"/>
        <w:rPr>
          <w:sz w:val="15"/>
        </w:rPr>
      </w:pPr>
    </w:p>
    <w:p>
      <w:pPr>
        <w:pStyle w:val="BodyText"/>
        <w:spacing w:line="417" w:lineRule="auto"/>
        <w:ind w:left="960" w:right="2026"/>
      </w:pPr>
      <w:r>
        <w:rPr>
          <w:spacing w:val="-6"/>
        </w:rPr>
        <w:t>住所：广州经济技术开发区科学大道 </w:t>
      </w:r>
      <w:r>
        <w:rPr>
          <w:rFonts w:ascii="Calibri" w:eastAsia="Calibri"/>
        </w:rPr>
        <w:t>60 </w:t>
      </w:r>
      <w:r>
        <w:rPr>
          <w:spacing w:val="-8"/>
        </w:rPr>
        <w:t>号开发区金控中心 </w:t>
      </w:r>
      <w:r>
        <w:rPr>
          <w:rFonts w:ascii="Calibri" w:eastAsia="Calibri"/>
        </w:rPr>
        <w:t>21</w:t>
      </w:r>
      <w:r>
        <w:rPr>
          <w:spacing w:val="-3"/>
        </w:rPr>
        <w:t>、</w:t>
      </w:r>
      <w:r>
        <w:rPr>
          <w:rFonts w:ascii="Calibri" w:eastAsia="Calibri"/>
        </w:rPr>
        <w:t>22</w:t>
      </w:r>
      <w:r>
        <w:rPr>
          <w:spacing w:val="-3"/>
        </w:rPr>
        <w:t>、</w:t>
      </w:r>
      <w:r>
        <w:rPr>
          <w:rFonts w:ascii="Calibri" w:eastAsia="Calibri"/>
        </w:rPr>
        <w:t>23 </w:t>
      </w:r>
      <w:r>
        <w:rPr/>
        <w:t>层</w:t>
      </w:r>
      <w:r>
        <w:rPr>
          <w:spacing w:val="-7"/>
        </w:rPr>
        <w:t>办公地址：深圳市福田区深南中路 </w:t>
      </w:r>
      <w:r>
        <w:rPr>
          <w:rFonts w:ascii="Calibri" w:eastAsia="Calibri"/>
        </w:rPr>
        <w:t>2002 </w:t>
      </w:r>
      <w:r>
        <w:rPr>
          <w:spacing w:val="-9"/>
        </w:rPr>
        <w:t>号中广核大厦北楼 </w:t>
      </w:r>
      <w:r>
        <w:rPr>
          <w:rFonts w:ascii="Calibri" w:eastAsia="Calibri"/>
        </w:rPr>
        <w:t>10 </w:t>
      </w:r>
      <w:r>
        <w:rPr/>
        <w:t>层</w:t>
      </w:r>
    </w:p>
    <w:p>
      <w:pPr>
        <w:pStyle w:val="BodyText"/>
        <w:spacing w:line="417" w:lineRule="auto"/>
        <w:ind w:left="960" w:right="6790"/>
        <w:rPr>
          <w:rFonts w:ascii="Calibri" w:eastAsia="Calibri"/>
        </w:rPr>
      </w:pPr>
      <w:r>
        <w:rPr/>
        <w:t>法定代表人：严亦斌电话：</w:t>
      </w:r>
      <w:r>
        <w:rPr>
          <w:rFonts w:ascii="Calibri" w:eastAsia="Calibri"/>
        </w:rPr>
        <w:t>0755-83331195</w:t>
      </w:r>
    </w:p>
    <w:p>
      <w:pPr>
        <w:pStyle w:val="BodyText"/>
        <w:spacing w:line="269" w:lineRule="exact"/>
        <w:ind w:left="960"/>
      </w:pPr>
      <w:r>
        <w:rPr/>
        <w:t>联系人：彭莲</w:t>
      </w:r>
    </w:p>
    <w:p>
      <w:pPr>
        <w:pStyle w:val="BodyText"/>
        <w:spacing w:before="6"/>
        <w:rPr>
          <w:sz w:val="15"/>
        </w:rPr>
      </w:pPr>
    </w:p>
    <w:p>
      <w:pPr>
        <w:pStyle w:val="BodyText"/>
        <w:spacing w:line="417" w:lineRule="auto"/>
        <w:ind w:left="960" w:right="6224"/>
        <w:rPr>
          <w:rFonts w:ascii="Calibri" w:eastAsia="Calibri"/>
        </w:rPr>
      </w:pPr>
      <w:r>
        <w:rPr/>
        <w:t>网址：</w:t>
      </w:r>
      <w:hyperlink r:id="rId151">
        <w:r>
          <w:rPr>
            <w:rFonts w:ascii="Calibri" w:eastAsia="Calibri"/>
          </w:rPr>
          <w:t>http://www.ykzq.com </w:t>
        </w:r>
      </w:hyperlink>
      <w:r>
        <w:rPr/>
        <w:t>客户服务电话：</w:t>
      </w:r>
      <w:r>
        <w:rPr>
          <w:rFonts w:ascii="Calibri" w:eastAsia="Calibri"/>
        </w:rPr>
        <w:t>95564</w:t>
      </w: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江海证券有限公司</w:t>
      </w:r>
    </w:p>
    <w:p>
      <w:pPr>
        <w:pStyle w:val="BodyText"/>
        <w:spacing w:before="7"/>
        <w:rPr>
          <w:sz w:val="15"/>
        </w:rPr>
      </w:pPr>
    </w:p>
    <w:p>
      <w:pPr>
        <w:pStyle w:val="BodyText"/>
        <w:ind w:left="960"/>
      </w:pPr>
      <w:r>
        <w:rPr/>
        <w:t>住所：哈尔滨市香坊区赣水路 </w:t>
      </w:r>
      <w:r>
        <w:rPr>
          <w:rFonts w:ascii="Calibri" w:eastAsia="Calibri"/>
        </w:rPr>
        <w:t>56 </w:t>
      </w:r>
      <w:r>
        <w:rPr/>
        <w:t>号</w:t>
      </w:r>
    </w:p>
    <w:p>
      <w:pPr>
        <w:pStyle w:val="BodyText"/>
        <w:spacing w:before="7"/>
        <w:rPr>
          <w:sz w:val="15"/>
        </w:rPr>
      </w:pPr>
    </w:p>
    <w:p>
      <w:pPr>
        <w:pStyle w:val="BodyText"/>
        <w:spacing w:line="417" w:lineRule="auto"/>
        <w:ind w:left="960" w:right="4706"/>
      </w:pPr>
      <w:r>
        <w:rPr/>
        <w:t>办公地址：哈尔滨市松北区创新三路 </w:t>
      </w:r>
      <w:r>
        <w:rPr>
          <w:rFonts w:ascii="Calibri" w:eastAsia="Calibri"/>
        </w:rPr>
        <w:t>833 </w:t>
      </w:r>
      <w:r>
        <w:rPr/>
        <w:t>号法定代表人：赵洪波</w:t>
      </w:r>
    </w:p>
    <w:p>
      <w:pPr>
        <w:pStyle w:val="BodyText"/>
        <w:spacing w:line="417" w:lineRule="auto"/>
        <w:ind w:left="960" w:right="6790"/>
        <w:rPr>
          <w:rFonts w:ascii="Calibri" w:eastAsia="Calibri"/>
        </w:rPr>
      </w:pPr>
      <w:r>
        <w:rPr/>
        <w:t>电话：</w:t>
      </w:r>
      <w:r>
        <w:rPr>
          <w:rFonts w:ascii="Calibri" w:eastAsia="Calibri"/>
        </w:rPr>
        <w:t>0451-87765732 </w:t>
      </w:r>
      <w:r>
        <w:rPr/>
        <w:t>传真：</w:t>
      </w:r>
      <w:r>
        <w:rPr>
          <w:rFonts w:ascii="Calibri" w:eastAsia="Calibri"/>
        </w:rPr>
        <w:t>0451-82337279</w:t>
      </w:r>
    </w:p>
    <w:p>
      <w:pPr>
        <w:pStyle w:val="BodyText"/>
        <w:ind w:left="960"/>
      </w:pPr>
      <w:r>
        <w:rPr/>
        <w:t>联系人：姜志伟</w:t>
      </w:r>
    </w:p>
    <w:p>
      <w:pPr>
        <w:pStyle w:val="BodyText"/>
        <w:spacing w:before="6"/>
        <w:rPr>
          <w:sz w:val="15"/>
        </w:rPr>
      </w:pPr>
    </w:p>
    <w:p>
      <w:pPr>
        <w:pStyle w:val="BodyText"/>
        <w:spacing w:line="417" w:lineRule="auto"/>
        <w:ind w:left="960" w:right="6575"/>
        <w:rPr>
          <w:rFonts w:ascii="Calibri" w:eastAsia="Calibri"/>
        </w:rPr>
      </w:pPr>
      <w:r>
        <w:rPr/>
        <w:t>网址：</w:t>
      </w:r>
      <w:hyperlink r:id="rId152">
        <w:r>
          <w:rPr>
            <w:rFonts w:ascii="Calibri" w:eastAsia="Calibri"/>
          </w:rPr>
          <w:t>www.jhzq.com.cn </w:t>
        </w:r>
      </w:hyperlink>
      <w:r>
        <w:rPr/>
        <w:t>客户服务电话：</w:t>
      </w:r>
      <w:r>
        <w:rPr>
          <w:rFonts w:ascii="Calibri" w:eastAsia="Calibri"/>
        </w:rPr>
        <w:t>956007</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国金证券股份有限公司</w:t>
      </w:r>
    </w:p>
    <w:p>
      <w:pPr>
        <w:pStyle w:val="BodyText"/>
        <w:spacing w:before="7"/>
        <w:rPr>
          <w:sz w:val="15"/>
        </w:rPr>
      </w:pPr>
    </w:p>
    <w:p>
      <w:pPr>
        <w:pStyle w:val="BodyText"/>
        <w:ind w:left="960"/>
      </w:pPr>
      <w:r>
        <w:rPr/>
        <w:t>住所：成都市青羊区东城根上街 </w:t>
      </w:r>
      <w:r>
        <w:rPr>
          <w:rFonts w:ascii="Calibri" w:eastAsia="Calibri"/>
        </w:rPr>
        <w:t>95 </w:t>
      </w:r>
      <w:r>
        <w:rPr/>
        <w:t>号</w:t>
      </w:r>
    </w:p>
    <w:p>
      <w:pPr>
        <w:pStyle w:val="BodyText"/>
        <w:spacing w:before="7"/>
        <w:rPr>
          <w:sz w:val="15"/>
        </w:rPr>
      </w:pPr>
    </w:p>
    <w:p>
      <w:pPr>
        <w:pStyle w:val="BodyText"/>
        <w:spacing w:line="417" w:lineRule="auto"/>
        <w:ind w:left="960" w:right="4813"/>
      </w:pPr>
      <w:r>
        <w:rPr/>
        <w:t>办公地址：成都市青羊区东城根上街 </w:t>
      </w:r>
      <w:r>
        <w:rPr>
          <w:rFonts w:ascii="Calibri" w:eastAsia="Calibri"/>
        </w:rPr>
        <w:t>95 </w:t>
      </w:r>
      <w:r>
        <w:rPr/>
        <w:t>号法定代表人：冉云</w:t>
      </w:r>
    </w:p>
    <w:p>
      <w:pPr>
        <w:pStyle w:val="BodyText"/>
        <w:spacing w:line="417" w:lineRule="auto"/>
        <w:ind w:left="960" w:right="5450"/>
        <w:rPr>
          <w:rFonts w:ascii="Calibri" w:eastAsia="Calibri"/>
        </w:rPr>
      </w:pPr>
      <w:r>
        <w:rPr/>
        <w:t>电话：</w:t>
      </w:r>
      <w:r>
        <w:rPr>
          <w:rFonts w:ascii="Calibri" w:eastAsia="Calibri"/>
        </w:rPr>
        <w:t>028-86690057</w:t>
      </w:r>
      <w:r>
        <w:rPr/>
        <w:t>、</w:t>
      </w:r>
      <w:r>
        <w:rPr>
          <w:rFonts w:ascii="Calibri" w:eastAsia="Calibri"/>
        </w:rPr>
        <w:t>028-86690058 </w:t>
      </w:r>
      <w:r>
        <w:rPr/>
        <w:t>传真：</w:t>
      </w:r>
      <w:r>
        <w:rPr>
          <w:rFonts w:ascii="Calibri" w:eastAsia="Calibri"/>
        </w:rPr>
        <w:t>028-86690126</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line="417" w:lineRule="auto" w:before="72"/>
        <w:ind w:left="960" w:right="6630"/>
        <w:jc w:val="both"/>
        <w:rPr>
          <w:rFonts w:ascii="Calibri" w:eastAsia="Calibri"/>
        </w:rPr>
      </w:pPr>
      <w:r>
        <w:rPr>
          <w:spacing w:val="-3"/>
        </w:rPr>
        <w:t>联系人：刘婧漪、贾鹏</w:t>
      </w:r>
      <w:r>
        <w:rPr>
          <w:spacing w:val="-4"/>
        </w:rPr>
        <w:t>网址：</w:t>
      </w:r>
      <w:hyperlink r:id="rId153">
        <w:r>
          <w:rPr>
            <w:rFonts w:ascii="Calibri" w:eastAsia="Calibri"/>
            <w:spacing w:val="-4"/>
          </w:rPr>
          <w:t>www.gjzq.com.cn </w:t>
        </w:r>
      </w:hyperlink>
      <w:r>
        <w:rPr>
          <w:spacing w:val="-2"/>
        </w:rPr>
        <w:t>客户服务电话：</w:t>
      </w:r>
      <w:r>
        <w:rPr>
          <w:rFonts w:ascii="Calibri" w:eastAsia="Calibri"/>
        </w:rPr>
        <w:t>95310</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爱建证券有限责任公司</w:t>
      </w:r>
    </w:p>
    <w:p>
      <w:pPr>
        <w:pStyle w:val="BodyText"/>
        <w:spacing w:before="6"/>
        <w:rPr>
          <w:sz w:val="15"/>
        </w:rPr>
      </w:pPr>
    </w:p>
    <w:p>
      <w:pPr>
        <w:pStyle w:val="BodyText"/>
        <w:ind w:left="960"/>
      </w:pPr>
      <w:r>
        <w:rPr/>
        <w:t>住所：中国（上海）自由贸易试验区世纪大道 </w:t>
      </w:r>
      <w:r>
        <w:rPr>
          <w:rFonts w:ascii="Calibri" w:eastAsia="Calibri"/>
        </w:rPr>
        <w:t>1600 </w:t>
      </w:r>
      <w:r>
        <w:rPr/>
        <w:t>号 </w:t>
      </w:r>
      <w:r>
        <w:rPr>
          <w:rFonts w:ascii="Calibri" w:eastAsia="Calibri"/>
        </w:rPr>
        <w:t>1 </w:t>
      </w:r>
      <w:r>
        <w:rPr/>
        <w:t>幢 </w:t>
      </w:r>
      <w:r>
        <w:rPr>
          <w:rFonts w:ascii="Calibri" w:eastAsia="Calibri"/>
        </w:rPr>
        <w:t>32 </w:t>
      </w:r>
      <w:r>
        <w:rPr/>
        <w:t>楼</w:t>
      </w:r>
    </w:p>
    <w:p>
      <w:pPr>
        <w:pStyle w:val="BodyText"/>
        <w:spacing w:before="7"/>
        <w:rPr>
          <w:sz w:val="15"/>
        </w:rPr>
      </w:pPr>
    </w:p>
    <w:p>
      <w:pPr>
        <w:pStyle w:val="BodyText"/>
        <w:spacing w:line="417" w:lineRule="auto"/>
        <w:ind w:left="960" w:right="2451"/>
      </w:pPr>
      <w:r>
        <w:rPr>
          <w:spacing w:val="-3"/>
        </w:rPr>
        <w:t>办公地址：中国</w:t>
      </w:r>
      <w:r>
        <w:rPr/>
        <w:t>（</w:t>
      </w:r>
      <w:r>
        <w:rPr>
          <w:spacing w:val="-2"/>
        </w:rPr>
        <w:t>上海</w:t>
      </w:r>
      <w:r>
        <w:rPr>
          <w:spacing w:val="-3"/>
        </w:rPr>
        <w:t>）</w:t>
      </w:r>
      <w:r>
        <w:rPr>
          <w:spacing w:val="-7"/>
        </w:rPr>
        <w:t>自由贸易试验区世纪大道 </w:t>
      </w:r>
      <w:r>
        <w:rPr>
          <w:rFonts w:ascii="Calibri" w:eastAsia="Calibri"/>
        </w:rPr>
        <w:t>1600 </w:t>
      </w:r>
      <w:r>
        <w:rPr>
          <w:spacing w:val="-25"/>
        </w:rPr>
        <w:t>号 </w:t>
      </w:r>
      <w:r>
        <w:rPr>
          <w:rFonts w:ascii="Calibri" w:eastAsia="Calibri"/>
        </w:rPr>
        <w:t>1 </w:t>
      </w:r>
      <w:r>
        <w:rPr>
          <w:spacing w:val="-24"/>
        </w:rPr>
        <w:t>幢 </w:t>
      </w:r>
      <w:r>
        <w:rPr>
          <w:rFonts w:ascii="Calibri" w:eastAsia="Calibri"/>
        </w:rPr>
        <w:t>32 </w:t>
      </w:r>
      <w:r>
        <w:rPr/>
        <w:t>楼</w:t>
      </w:r>
      <w:r>
        <w:rPr>
          <w:spacing w:val="-3"/>
        </w:rPr>
        <w:t>法定代表人：祝健</w:t>
      </w:r>
    </w:p>
    <w:p>
      <w:pPr>
        <w:pStyle w:val="BodyText"/>
        <w:spacing w:line="417" w:lineRule="auto"/>
        <w:ind w:left="960" w:right="6898"/>
        <w:rPr>
          <w:rFonts w:ascii="Calibri" w:eastAsia="Calibri"/>
        </w:rPr>
      </w:pPr>
      <w:r>
        <w:rPr/>
        <w:t>电话：</w:t>
      </w:r>
      <w:r>
        <w:rPr>
          <w:rFonts w:ascii="Calibri" w:eastAsia="Calibri"/>
        </w:rPr>
        <w:t>021-32229888 </w:t>
      </w:r>
      <w:r>
        <w:rPr/>
        <w:t>传真：</w:t>
      </w:r>
      <w:r>
        <w:rPr>
          <w:rFonts w:ascii="Calibri" w:eastAsia="Calibri"/>
        </w:rPr>
        <w:t>021-68728703</w:t>
      </w:r>
    </w:p>
    <w:p>
      <w:pPr>
        <w:pStyle w:val="BodyText"/>
        <w:spacing w:line="269" w:lineRule="exact"/>
        <w:ind w:left="960"/>
      </w:pPr>
      <w:r>
        <w:rPr/>
        <w:t>联系人：庄丽珍</w:t>
      </w:r>
    </w:p>
    <w:p>
      <w:pPr>
        <w:pStyle w:val="BodyText"/>
        <w:spacing w:before="7"/>
        <w:rPr>
          <w:sz w:val="15"/>
        </w:rPr>
      </w:pPr>
    </w:p>
    <w:p>
      <w:pPr>
        <w:pStyle w:val="BodyText"/>
        <w:ind w:left="960"/>
        <w:rPr>
          <w:rFonts w:ascii="Calibri" w:eastAsia="Calibri"/>
        </w:rPr>
      </w:pPr>
      <w:r>
        <w:rPr/>
        <w:t>网址：</w:t>
      </w:r>
      <w:hyperlink r:id="rId154">
        <w:r>
          <w:rPr>
            <w:rFonts w:ascii="Calibri" w:eastAsia="Calibri"/>
          </w:rPr>
          <w:t>www.ajzq.com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400-196-2502</w:t>
      </w:r>
    </w:p>
    <w:p>
      <w:pPr>
        <w:pStyle w:val="BodyText"/>
        <w:spacing w:before="3"/>
        <w:rPr>
          <w:rFonts w:ascii="Calibri"/>
          <w:sz w:val="16"/>
        </w:rPr>
      </w:pPr>
    </w:p>
    <w:p>
      <w:pPr>
        <w:pStyle w:val="ListParagraph"/>
        <w:numPr>
          <w:ilvl w:val="0"/>
          <w:numId w:val="33"/>
        </w:numPr>
        <w:tabs>
          <w:tab w:pos="1703" w:val="left" w:leader="none"/>
        </w:tabs>
        <w:spacing w:line="417" w:lineRule="auto" w:before="0" w:after="0"/>
        <w:ind w:left="960" w:right="5607" w:firstLine="0"/>
        <w:jc w:val="left"/>
        <w:rPr>
          <w:sz w:val="21"/>
        </w:rPr>
      </w:pPr>
      <w:r>
        <w:rPr>
          <w:spacing w:val="-3"/>
          <w:sz w:val="21"/>
        </w:rPr>
        <w:t>华融证券股份有限公司  </w:t>
      </w:r>
      <w:r>
        <w:rPr>
          <w:spacing w:val="-7"/>
          <w:sz w:val="21"/>
        </w:rPr>
        <w:t>住所：北京市西城区金融大街 </w:t>
      </w:r>
      <w:r>
        <w:rPr>
          <w:rFonts w:ascii="Calibri" w:eastAsia="Calibri"/>
          <w:sz w:val="21"/>
        </w:rPr>
        <w:t>8</w:t>
      </w:r>
      <w:r>
        <w:rPr>
          <w:rFonts w:ascii="Calibri" w:eastAsia="Calibri"/>
          <w:spacing w:val="14"/>
          <w:sz w:val="21"/>
        </w:rPr>
        <w:t> </w:t>
      </w:r>
      <w:r>
        <w:rPr>
          <w:spacing w:val="-13"/>
          <w:sz w:val="21"/>
        </w:rPr>
        <w:t>号</w:t>
      </w:r>
    </w:p>
    <w:p>
      <w:pPr>
        <w:pStyle w:val="BodyText"/>
        <w:spacing w:line="417" w:lineRule="auto"/>
        <w:ind w:left="960" w:right="2921"/>
      </w:pPr>
      <w:r>
        <w:rPr/>
        <w:t>办公地址：北京市朝阳区朝阳门北大街 </w:t>
      </w:r>
      <w:r>
        <w:rPr>
          <w:rFonts w:ascii="Calibri" w:eastAsia="Calibri"/>
        </w:rPr>
        <w:t>18 </w:t>
      </w:r>
      <w:r>
        <w:rPr/>
        <w:t>号中国人保寿险大厦法定代表人：祝献忠</w:t>
      </w:r>
    </w:p>
    <w:p>
      <w:pPr>
        <w:pStyle w:val="BodyText"/>
        <w:spacing w:line="417" w:lineRule="auto"/>
        <w:ind w:left="960" w:right="6898"/>
        <w:rPr>
          <w:rFonts w:ascii="Calibri" w:eastAsia="Calibri"/>
        </w:rPr>
      </w:pPr>
      <w:r>
        <w:rPr/>
        <w:t>电话：</w:t>
      </w:r>
      <w:r>
        <w:rPr>
          <w:rFonts w:ascii="Calibri" w:eastAsia="Calibri"/>
        </w:rPr>
        <w:t>010-85556048 </w:t>
      </w:r>
      <w:r>
        <w:rPr/>
        <w:t>传真：</w:t>
      </w:r>
      <w:r>
        <w:rPr>
          <w:rFonts w:ascii="Calibri" w:eastAsia="Calibri"/>
        </w:rPr>
        <w:t>010-85556088</w:t>
      </w:r>
    </w:p>
    <w:p>
      <w:pPr>
        <w:pStyle w:val="BodyText"/>
        <w:spacing w:line="269" w:lineRule="exact"/>
        <w:ind w:left="960"/>
      </w:pPr>
      <w:r>
        <w:rPr/>
        <w:t>联系人：孙燕波</w:t>
      </w:r>
    </w:p>
    <w:p>
      <w:pPr>
        <w:pStyle w:val="BodyText"/>
        <w:spacing w:before="7"/>
        <w:rPr>
          <w:sz w:val="15"/>
        </w:rPr>
      </w:pPr>
    </w:p>
    <w:p>
      <w:pPr>
        <w:pStyle w:val="BodyText"/>
        <w:spacing w:line="417" w:lineRule="auto"/>
        <w:ind w:left="960" w:right="6469"/>
        <w:rPr>
          <w:rFonts w:ascii="Calibri" w:eastAsia="Calibri"/>
        </w:rPr>
      </w:pPr>
      <w:r>
        <w:rPr/>
        <w:t>网址：</w:t>
      </w:r>
      <w:hyperlink r:id="rId155">
        <w:r>
          <w:rPr>
            <w:rFonts w:ascii="Calibri" w:eastAsia="Calibri"/>
          </w:rPr>
          <w:t>www.hrsec.com.cn </w:t>
        </w:r>
      </w:hyperlink>
      <w:r>
        <w:rPr/>
        <w:t>客户服务电话：</w:t>
      </w:r>
      <w:r>
        <w:rPr>
          <w:rFonts w:ascii="Calibri" w:eastAsia="Calibri"/>
        </w:rPr>
        <w:t>95390</w:t>
      </w: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天风证券股份有限公司</w:t>
      </w:r>
    </w:p>
    <w:p>
      <w:pPr>
        <w:pStyle w:val="BodyText"/>
        <w:spacing w:before="7"/>
        <w:rPr>
          <w:sz w:val="15"/>
        </w:rPr>
      </w:pPr>
    </w:p>
    <w:p>
      <w:pPr>
        <w:pStyle w:val="BodyText"/>
        <w:ind w:left="960"/>
      </w:pPr>
      <w:r>
        <w:rPr/>
        <w:t>住所：湖北省武汉市东湖新技术开发区关东园路 </w:t>
      </w:r>
      <w:r>
        <w:rPr>
          <w:rFonts w:ascii="Calibri" w:eastAsia="Calibri"/>
        </w:rPr>
        <w:t>2 </w:t>
      </w:r>
      <w:r>
        <w:rPr/>
        <w:t>号高科大厦四楼</w:t>
      </w:r>
    </w:p>
    <w:p>
      <w:pPr>
        <w:pStyle w:val="BodyText"/>
        <w:spacing w:before="6"/>
        <w:rPr>
          <w:sz w:val="15"/>
        </w:rPr>
      </w:pPr>
    </w:p>
    <w:p>
      <w:pPr>
        <w:pStyle w:val="BodyText"/>
        <w:spacing w:line="417" w:lineRule="auto" w:before="1"/>
        <w:ind w:left="960" w:right="2188"/>
      </w:pPr>
      <w:r>
        <w:rPr/>
        <w:t>办公地址：湖北省武汉市东湖新技术开发区关东园路 </w:t>
      </w:r>
      <w:r>
        <w:rPr>
          <w:rFonts w:ascii="Calibri" w:eastAsia="Calibri"/>
        </w:rPr>
        <w:t>2 </w:t>
      </w:r>
      <w:r>
        <w:rPr/>
        <w:t>号高科大厦四楼法定代表人：余磊</w:t>
      </w:r>
    </w:p>
    <w:p>
      <w:pPr>
        <w:pStyle w:val="BodyText"/>
        <w:spacing w:line="417" w:lineRule="auto"/>
        <w:ind w:left="960" w:right="6898"/>
        <w:rPr>
          <w:rFonts w:ascii="Calibri" w:eastAsia="Calibri"/>
        </w:rPr>
      </w:pPr>
      <w:r>
        <w:rPr/>
        <w:t>电话：</w:t>
      </w:r>
      <w:r>
        <w:rPr>
          <w:rFonts w:ascii="Calibri" w:eastAsia="Calibri"/>
        </w:rPr>
        <w:t>027-87618882 </w:t>
      </w:r>
      <w:r>
        <w:rPr/>
        <w:t>传真：</w:t>
      </w:r>
      <w:r>
        <w:rPr>
          <w:rFonts w:ascii="Calibri" w:eastAsia="Calibri"/>
        </w:rPr>
        <w:t>027-87618863</w:t>
      </w:r>
    </w:p>
    <w:p>
      <w:pPr>
        <w:pStyle w:val="BodyText"/>
        <w:spacing w:line="269" w:lineRule="exact"/>
        <w:ind w:left="960"/>
      </w:pPr>
      <w:r>
        <w:rPr/>
        <w:t>联系人：翟璟</w:t>
      </w:r>
    </w:p>
    <w:p>
      <w:pPr>
        <w:pStyle w:val="BodyText"/>
        <w:spacing w:before="6"/>
        <w:rPr>
          <w:sz w:val="15"/>
        </w:rPr>
      </w:pPr>
    </w:p>
    <w:p>
      <w:pPr>
        <w:pStyle w:val="BodyText"/>
        <w:ind w:left="960"/>
        <w:rPr>
          <w:rFonts w:ascii="Calibri" w:eastAsia="Calibri"/>
        </w:rPr>
      </w:pPr>
      <w:r>
        <w:rPr/>
        <w:t>网址：</w:t>
      </w:r>
      <w:hyperlink r:id="rId156">
        <w:r>
          <w:rPr>
            <w:rFonts w:ascii="Calibri" w:eastAsia="Calibri"/>
          </w:rPr>
          <w:t>www.tfzq.com</w:t>
        </w:r>
      </w:hyperlink>
    </w:p>
    <w:p>
      <w:pPr>
        <w:pStyle w:val="BodyText"/>
        <w:spacing w:before="4"/>
        <w:rPr>
          <w:rFonts w:ascii="Calibri"/>
          <w:sz w:val="16"/>
        </w:rPr>
      </w:pPr>
    </w:p>
    <w:p>
      <w:pPr>
        <w:pStyle w:val="BodyText"/>
        <w:ind w:left="960"/>
        <w:rPr>
          <w:rFonts w:ascii="Calibri" w:eastAsia="Calibri"/>
        </w:rPr>
      </w:pPr>
      <w:r>
        <w:rPr/>
        <w:t>客户服务电话：</w:t>
      </w:r>
      <w:r>
        <w:rPr>
          <w:rFonts w:ascii="Calibri" w:eastAsia="Calibri"/>
        </w:rPr>
        <w:t>400-800-5000</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ListParagraph"/>
        <w:numPr>
          <w:ilvl w:val="0"/>
          <w:numId w:val="33"/>
        </w:numPr>
        <w:tabs>
          <w:tab w:pos="1703" w:val="left" w:leader="none"/>
        </w:tabs>
        <w:spacing w:line="240" w:lineRule="auto" w:before="72" w:after="0"/>
        <w:ind w:left="1703" w:right="0" w:hanging="743"/>
        <w:jc w:val="left"/>
        <w:rPr>
          <w:sz w:val="21"/>
        </w:rPr>
      </w:pPr>
      <w:r>
        <w:rPr>
          <w:spacing w:val="-3"/>
          <w:sz w:val="21"/>
        </w:rPr>
        <w:t>万和证券股份有限公司</w:t>
      </w:r>
    </w:p>
    <w:p>
      <w:pPr>
        <w:pStyle w:val="BodyText"/>
        <w:spacing w:before="6"/>
        <w:rPr>
          <w:sz w:val="15"/>
        </w:rPr>
      </w:pPr>
    </w:p>
    <w:p>
      <w:pPr>
        <w:pStyle w:val="BodyText"/>
        <w:ind w:left="960"/>
      </w:pPr>
      <w:r>
        <w:rPr/>
        <w:t>住所：海口市南沙路 </w:t>
      </w:r>
      <w:r>
        <w:rPr>
          <w:rFonts w:ascii="Calibri" w:eastAsia="Calibri"/>
        </w:rPr>
        <w:t>49 </w:t>
      </w:r>
      <w:r>
        <w:rPr/>
        <w:t>号通信广场二楼</w:t>
      </w:r>
    </w:p>
    <w:p>
      <w:pPr>
        <w:pStyle w:val="BodyText"/>
        <w:spacing w:before="7"/>
        <w:rPr>
          <w:sz w:val="15"/>
        </w:rPr>
      </w:pPr>
    </w:p>
    <w:p>
      <w:pPr>
        <w:pStyle w:val="BodyText"/>
        <w:spacing w:line="417" w:lineRule="auto"/>
        <w:ind w:left="960" w:right="2659"/>
      </w:pPr>
      <w:r>
        <w:rPr>
          <w:spacing w:val="-6"/>
        </w:rPr>
        <w:t>办公地址：深圳市福田区深南大道 </w:t>
      </w:r>
      <w:r>
        <w:rPr>
          <w:rFonts w:ascii="Calibri" w:eastAsia="Calibri"/>
        </w:rPr>
        <w:t>7028 </w:t>
      </w:r>
      <w:r>
        <w:rPr>
          <w:spacing w:val="-9"/>
        </w:rPr>
        <w:t>号时代科技大厦 </w:t>
      </w:r>
      <w:r>
        <w:rPr>
          <w:rFonts w:ascii="Calibri" w:eastAsia="Calibri"/>
        </w:rPr>
        <w:t>20 </w:t>
      </w:r>
      <w:r>
        <w:rPr>
          <w:spacing w:val="-2"/>
        </w:rPr>
        <w:t>层西厅</w:t>
      </w:r>
      <w:r>
        <w:rPr>
          <w:spacing w:val="-3"/>
        </w:rPr>
        <w:t>法定代表人：冯周让</w:t>
      </w:r>
    </w:p>
    <w:p>
      <w:pPr>
        <w:pStyle w:val="BodyText"/>
        <w:spacing w:line="417" w:lineRule="auto"/>
        <w:ind w:left="960" w:right="6790"/>
        <w:rPr>
          <w:rFonts w:ascii="Calibri" w:eastAsia="Calibri"/>
        </w:rPr>
      </w:pPr>
      <w:r>
        <w:rPr/>
        <w:t>电话：</w:t>
      </w:r>
      <w:r>
        <w:rPr>
          <w:rFonts w:ascii="Calibri" w:eastAsia="Calibri"/>
        </w:rPr>
        <w:t>0755-82830333 </w:t>
      </w:r>
      <w:r>
        <w:rPr/>
        <w:t>传真：</w:t>
      </w:r>
      <w:r>
        <w:rPr>
          <w:rFonts w:ascii="Calibri" w:eastAsia="Calibri"/>
        </w:rPr>
        <w:t>0755-25842783</w:t>
      </w:r>
    </w:p>
    <w:p>
      <w:pPr>
        <w:pStyle w:val="BodyText"/>
        <w:spacing w:line="269" w:lineRule="exact"/>
        <w:ind w:left="960"/>
      </w:pPr>
      <w:r>
        <w:rPr/>
        <w:t>联系人：王少峰</w:t>
      </w:r>
    </w:p>
    <w:p>
      <w:pPr>
        <w:pStyle w:val="BodyText"/>
        <w:spacing w:before="7"/>
        <w:rPr>
          <w:sz w:val="15"/>
        </w:rPr>
      </w:pPr>
    </w:p>
    <w:p>
      <w:pPr>
        <w:pStyle w:val="BodyText"/>
        <w:spacing w:line="417" w:lineRule="auto"/>
        <w:ind w:left="960" w:right="5504"/>
        <w:rPr>
          <w:rFonts w:ascii="Calibri" w:eastAsia="Calibri"/>
        </w:rPr>
      </w:pPr>
      <w:r>
        <w:rPr/>
        <w:t>网址：</w:t>
      </w:r>
      <w:hyperlink r:id="rId157">
        <w:r>
          <w:rPr>
            <w:rFonts w:ascii="Calibri" w:eastAsia="Calibri"/>
          </w:rPr>
          <w:t>http://www.wanhesec.com.cn </w:t>
        </w:r>
      </w:hyperlink>
      <w:r>
        <w:rPr/>
        <w:t>客户服务电话：</w:t>
      </w:r>
      <w:r>
        <w:rPr>
          <w:rFonts w:ascii="Calibri" w:eastAsia="Calibri"/>
        </w:rPr>
        <w:t>4008-882-882</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太平洋证券股份有限公司</w:t>
      </w:r>
    </w:p>
    <w:p>
      <w:pPr>
        <w:pStyle w:val="BodyText"/>
        <w:spacing w:before="7"/>
        <w:rPr>
          <w:sz w:val="15"/>
        </w:rPr>
      </w:pPr>
    </w:p>
    <w:p>
      <w:pPr>
        <w:pStyle w:val="BodyText"/>
        <w:ind w:left="960"/>
      </w:pPr>
      <w:r>
        <w:rPr/>
        <w:t>住所：云南省昆明市青年路 </w:t>
      </w:r>
      <w:r>
        <w:rPr>
          <w:rFonts w:ascii="Calibri" w:eastAsia="Calibri"/>
        </w:rPr>
        <w:t>389 </w:t>
      </w:r>
      <w:r>
        <w:rPr/>
        <w:t>号志远大厦 </w:t>
      </w:r>
      <w:r>
        <w:rPr>
          <w:rFonts w:ascii="Calibri" w:eastAsia="Calibri"/>
        </w:rPr>
        <w:t>18 </w:t>
      </w:r>
      <w:r>
        <w:rPr/>
        <w:t>层</w:t>
      </w:r>
    </w:p>
    <w:p>
      <w:pPr>
        <w:pStyle w:val="BodyText"/>
        <w:spacing w:before="6"/>
        <w:rPr>
          <w:sz w:val="15"/>
        </w:rPr>
      </w:pPr>
    </w:p>
    <w:p>
      <w:pPr>
        <w:pStyle w:val="BodyText"/>
        <w:spacing w:line="417" w:lineRule="auto" w:before="1"/>
        <w:ind w:left="960" w:right="3065"/>
      </w:pPr>
      <w:r>
        <w:rPr>
          <w:spacing w:val="-6"/>
        </w:rPr>
        <w:t>办公地址：北京市西城区北展北街 </w:t>
      </w:r>
      <w:r>
        <w:rPr>
          <w:rFonts w:ascii="Calibri" w:eastAsia="Calibri"/>
        </w:rPr>
        <w:t>9</w:t>
      </w:r>
      <w:r>
        <w:rPr>
          <w:rFonts w:ascii="Calibri" w:eastAsia="Calibri"/>
          <w:spacing w:val="12"/>
        </w:rPr>
        <w:t> </w:t>
      </w:r>
      <w:r>
        <w:rPr>
          <w:spacing w:val="5"/>
        </w:rPr>
        <w:t>号华远企业号</w:t>
      </w:r>
      <w:r>
        <w:rPr>
          <w:rFonts w:ascii="Calibri" w:eastAsia="Calibri"/>
        </w:rPr>
        <w:t>D</w:t>
      </w:r>
      <w:r>
        <w:rPr>
          <w:rFonts w:ascii="Calibri" w:eastAsia="Calibri"/>
          <w:spacing w:val="10"/>
        </w:rPr>
        <w:t> </w:t>
      </w:r>
      <w:r>
        <w:rPr>
          <w:spacing w:val="-25"/>
        </w:rPr>
        <w:t>座 </w:t>
      </w:r>
      <w:r>
        <w:rPr>
          <w:rFonts w:ascii="Calibri" w:eastAsia="Calibri"/>
        </w:rPr>
        <w:t>3</w:t>
      </w:r>
      <w:r>
        <w:rPr>
          <w:rFonts w:ascii="Calibri" w:eastAsia="Calibri"/>
          <w:spacing w:val="12"/>
        </w:rPr>
        <w:t> </w:t>
      </w:r>
      <w:r>
        <w:rPr>
          <w:spacing w:val="-3"/>
        </w:rPr>
        <w:t>单元法定代表人：李长伟</w:t>
      </w:r>
    </w:p>
    <w:p>
      <w:pPr>
        <w:pStyle w:val="BodyText"/>
        <w:spacing w:line="417" w:lineRule="auto"/>
        <w:ind w:left="960" w:right="5515"/>
        <w:rPr>
          <w:rFonts w:ascii="Calibri" w:eastAsia="Calibri"/>
        </w:rPr>
      </w:pPr>
      <w:r>
        <w:rPr>
          <w:spacing w:val="-1"/>
        </w:rPr>
        <w:t>电话：</w:t>
      </w:r>
      <w:r>
        <w:rPr>
          <w:rFonts w:ascii="Calibri" w:eastAsia="Calibri"/>
          <w:spacing w:val="-1"/>
        </w:rPr>
        <w:t>010-88321717</w:t>
      </w:r>
      <w:r>
        <w:rPr>
          <w:spacing w:val="-3"/>
        </w:rPr>
        <w:t>、</w:t>
      </w:r>
      <w:r>
        <w:rPr>
          <w:rFonts w:ascii="Calibri" w:eastAsia="Calibri"/>
        </w:rPr>
        <w:t>18500505235 </w:t>
      </w:r>
      <w:r>
        <w:rPr/>
        <w:t>传真：</w:t>
      </w:r>
      <w:r>
        <w:rPr>
          <w:rFonts w:ascii="Calibri" w:eastAsia="Calibri"/>
        </w:rPr>
        <w:t>010-88321763</w:t>
      </w:r>
    </w:p>
    <w:p>
      <w:pPr>
        <w:pStyle w:val="BodyText"/>
        <w:ind w:left="960"/>
      </w:pPr>
      <w:r>
        <w:rPr/>
        <w:t>联系人：唐昌田</w:t>
      </w:r>
    </w:p>
    <w:p>
      <w:pPr>
        <w:pStyle w:val="BodyText"/>
        <w:spacing w:before="6"/>
        <w:rPr>
          <w:sz w:val="15"/>
        </w:rPr>
      </w:pPr>
    </w:p>
    <w:p>
      <w:pPr>
        <w:pStyle w:val="BodyText"/>
        <w:spacing w:line="417" w:lineRule="auto"/>
        <w:ind w:left="960" w:right="6714"/>
        <w:rPr>
          <w:rFonts w:ascii="Calibri" w:eastAsia="Calibri"/>
        </w:rPr>
      </w:pPr>
      <w:r>
        <w:rPr/>
        <w:t>网址：</w:t>
      </w:r>
      <w:hyperlink r:id="rId158">
        <w:r>
          <w:rPr>
            <w:rFonts w:ascii="Calibri" w:eastAsia="Calibri"/>
          </w:rPr>
          <w:t>www.tpyzq.com </w:t>
        </w:r>
      </w:hyperlink>
      <w:r>
        <w:rPr/>
        <w:t>客户服务电话：</w:t>
      </w:r>
      <w:r>
        <w:rPr>
          <w:rFonts w:ascii="Calibri" w:eastAsia="Calibri"/>
        </w:rPr>
        <w:t>95397</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开源证券股份有限公司</w:t>
      </w:r>
    </w:p>
    <w:p>
      <w:pPr>
        <w:pStyle w:val="BodyText"/>
        <w:spacing w:before="7"/>
        <w:rPr>
          <w:sz w:val="15"/>
        </w:rPr>
      </w:pPr>
    </w:p>
    <w:p>
      <w:pPr>
        <w:pStyle w:val="BodyText"/>
        <w:ind w:left="960"/>
      </w:pPr>
      <w:r>
        <w:rPr/>
        <w:t>住所：陕西省西安市高新区锦业路 </w:t>
      </w:r>
      <w:r>
        <w:rPr>
          <w:rFonts w:ascii="Calibri" w:eastAsia="Calibri"/>
        </w:rPr>
        <w:t>1 </w:t>
      </w:r>
      <w:r>
        <w:rPr/>
        <w:t>号都市之门</w:t>
      </w:r>
      <w:r>
        <w:rPr>
          <w:rFonts w:ascii="Calibri" w:eastAsia="Calibri"/>
        </w:rPr>
        <w:t>B </w:t>
      </w:r>
      <w:r>
        <w:rPr/>
        <w:t>座 </w:t>
      </w:r>
      <w:r>
        <w:rPr>
          <w:rFonts w:ascii="Calibri" w:eastAsia="Calibri"/>
        </w:rPr>
        <w:t>5 </w:t>
      </w:r>
      <w:r>
        <w:rPr/>
        <w:t>层</w:t>
      </w:r>
    </w:p>
    <w:p>
      <w:pPr>
        <w:pStyle w:val="BodyText"/>
        <w:spacing w:before="6"/>
        <w:rPr>
          <w:sz w:val="15"/>
        </w:rPr>
      </w:pPr>
    </w:p>
    <w:p>
      <w:pPr>
        <w:pStyle w:val="BodyText"/>
        <w:spacing w:line="417" w:lineRule="auto"/>
        <w:ind w:left="960" w:right="3077"/>
      </w:pPr>
      <w:r>
        <w:rPr>
          <w:spacing w:val="-6"/>
        </w:rPr>
        <w:t>办公地址：陕西省西安市高新区锦业路 </w:t>
      </w:r>
      <w:r>
        <w:rPr>
          <w:rFonts w:ascii="Calibri" w:eastAsia="Calibri"/>
        </w:rPr>
        <w:t>1 </w:t>
      </w:r>
      <w:r>
        <w:rPr>
          <w:spacing w:val="-11"/>
        </w:rPr>
        <w:t>号都市之门 </w:t>
      </w:r>
      <w:r>
        <w:rPr>
          <w:rFonts w:ascii="Calibri" w:eastAsia="Calibri"/>
        </w:rPr>
        <w:t>B </w:t>
      </w:r>
      <w:r>
        <w:rPr>
          <w:spacing w:val="-25"/>
        </w:rPr>
        <w:t>座 </w:t>
      </w:r>
      <w:r>
        <w:rPr>
          <w:rFonts w:ascii="Calibri" w:eastAsia="Calibri"/>
        </w:rPr>
        <w:t>5 </w:t>
      </w:r>
      <w:r>
        <w:rPr/>
        <w:t>层</w:t>
      </w:r>
      <w:r>
        <w:rPr>
          <w:spacing w:val="-3"/>
        </w:rPr>
        <w:t>法定代表人：李刚</w:t>
      </w:r>
    </w:p>
    <w:p>
      <w:pPr>
        <w:pStyle w:val="BodyText"/>
        <w:spacing w:line="417" w:lineRule="auto" w:before="1"/>
        <w:ind w:left="960" w:right="6898"/>
        <w:rPr>
          <w:rFonts w:ascii="Calibri" w:eastAsia="Calibri"/>
        </w:rPr>
      </w:pPr>
      <w:r>
        <w:rPr/>
        <w:t>电话：</w:t>
      </w:r>
      <w:r>
        <w:rPr>
          <w:rFonts w:ascii="Calibri" w:eastAsia="Calibri"/>
        </w:rPr>
        <w:t>029-88447611 </w:t>
      </w:r>
      <w:r>
        <w:rPr/>
        <w:t>传真：</w:t>
      </w:r>
      <w:r>
        <w:rPr>
          <w:rFonts w:ascii="Calibri" w:eastAsia="Calibri"/>
        </w:rPr>
        <w:t>029-88447611</w:t>
      </w:r>
    </w:p>
    <w:p>
      <w:pPr>
        <w:pStyle w:val="BodyText"/>
        <w:spacing w:line="269" w:lineRule="exact"/>
        <w:ind w:left="960"/>
      </w:pPr>
      <w:r>
        <w:rPr/>
        <w:t>联系人：曹欣</w:t>
      </w:r>
    </w:p>
    <w:p>
      <w:pPr>
        <w:pStyle w:val="BodyText"/>
        <w:spacing w:before="6"/>
        <w:rPr>
          <w:sz w:val="15"/>
        </w:rPr>
      </w:pPr>
    </w:p>
    <w:p>
      <w:pPr>
        <w:pStyle w:val="BodyText"/>
        <w:spacing w:before="1"/>
        <w:ind w:left="960"/>
        <w:rPr>
          <w:rFonts w:ascii="Calibri" w:eastAsia="Calibri"/>
        </w:rPr>
      </w:pPr>
      <w:r>
        <w:rPr/>
        <w:t>网址：</w:t>
      </w:r>
      <w:hyperlink r:id="rId159">
        <w:r>
          <w:rPr>
            <w:rFonts w:ascii="Calibri" w:eastAsia="Calibri"/>
          </w:rPr>
          <w:t>www.kysec.cn</w:t>
        </w:r>
      </w:hyperlink>
    </w:p>
    <w:p>
      <w:pPr>
        <w:pStyle w:val="BodyText"/>
        <w:spacing w:before="3"/>
        <w:rPr>
          <w:rFonts w:ascii="Calibri"/>
          <w:sz w:val="16"/>
        </w:rPr>
      </w:pPr>
    </w:p>
    <w:p>
      <w:pPr>
        <w:pStyle w:val="BodyText"/>
        <w:ind w:left="960"/>
        <w:rPr>
          <w:rFonts w:ascii="Calibri" w:eastAsia="Calibri"/>
        </w:rPr>
      </w:pPr>
      <w:r>
        <w:rPr/>
        <w:t>客户服务电话：</w:t>
      </w:r>
      <w:r>
        <w:rPr>
          <w:rFonts w:ascii="Calibri" w:eastAsia="Calibri"/>
        </w:rPr>
        <w:t>95325</w:t>
      </w:r>
      <w:r>
        <w:rPr/>
        <w:t>、</w:t>
      </w:r>
      <w:r>
        <w:rPr>
          <w:rFonts w:ascii="Calibri" w:eastAsia="Calibri"/>
        </w:rPr>
        <w:t>400-860-8866</w:t>
      </w:r>
    </w:p>
    <w:p>
      <w:pPr>
        <w:pStyle w:val="BodyText"/>
        <w:spacing w:before="4"/>
        <w:rPr>
          <w:rFonts w:ascii="Calibri"/>
          <w:sz w:val="16"/>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川财证券有限责任公司</w:t>
      </w:r>
    </w:p>
    <w:p>
      <w:pPr>
        <w:pStyle w:val="BodyText"/>
        <w:spacing w:before="7"/>
        <w:rPr>
          <w:sz w:val="15"/>
        </w:rPr>
      </w:pPr>
    </w:p>
    <w:p>
      <w:pPr>
        <w:pStyle w:val="BodyText"/>
        <w:spacing w:line="417" w:lineRule="auto"/>
        <w:ind w:left="960" w:right="817"/>
      </w:pPr>
      <w:r>
        <w:rPr/>
        <w:t>住所：中国（四川）自由贸易试验区成都市高新区交子大道 </w:t>
      </w:r>
      <w:r>
        <w:rPr>
          <w:rFonts w:ascii="Calibri" w:eastAsia="Calibri"/>
        </w:rPr>
        <w:t>177 </w:t>
      </w:r>
      <w:r>
        <w:rPr/>
        <w:t>号中海国际</w:t>
      </w:r>
      <w:r>
        <w:rPr>
          <w:rFonts w:ascii="Calibri" w:eastAsia="Calibri"/>
        </w:rPr>
        <w:t>B </w:t>
      </w:r>
      <w:r>
        <w:rPr/>
        <w:t>座 </w:t>
      </w:r>
      <w:r>
        <w:rPr>
          <w:rFonts w:ascii="Calibri" w:eastAsia="Calibri"/>
        </w:rPr>
        <w:t>17 </w:t>
      </w:r>
      <w:r>
        <w:rPr/>
        <w:t>楼办公地址：成都市高新区交子大道 </w:t>
      </w:r>
      <w:r>
        <w:rPr>
          <w:rFonts w:ascii="Calibri" w:eastAsia="Calibri"/>
        </w:rPr>
        <w:t>177 </w:t>
      </w:r>
      <w:r>
        <w:rPr/>
        <w:t>号中海国际</w:t>
      </w:r>
      <w:r>
        <w:rPr>
          <w:rFonts w:ascii="Calibri" w:eastAsia="Calibri"/>
        </w:rPr>
        <w:t>B </w:t>
      </w:r>
      <w:r>
        <w:rPr/>
        <w:t>座 </w:t>
      </w:r>
      <w:r>
        <w:rPr>
          <w:rFonts w:ascii="Calibri" w:eastAsia="Calibri"/>
        </w:rPr>
        <w:t>17 </w:t>
      </w:r>
      <w:r>
        <w:rPr/>
        <w:t>楼</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870"/>
        <w:jc w:val="both"/>
        <w:rPr>
          <w:rFonts w:ascii="Calibri" w:eastAsia="Calibri"/>
        </w:rPr>
      </w:pPr>
      <w:r>
        <w:rPr/>
        <w:t>法定代表人：孟建军电话：</w:t>
      </w:r>
      <w:r>
        <w:rPr>
          <w:rFonts w:ascii="Calibri" w:eastAsia="Calibri"/>
        </w:rPr>
        <w:t>028-86583053 </w:t>
      </w:r>
      <w:r>
        <w:rPr/>
        <w:t>传真：</w:t>
      </w:r>
      <w:r>
        <w:rPr>
          <w:rFonts w:ascii="Calibri" w:eastAsia="Calibri"/>
        </w:rPr>
        <w:t>028-86583002</w:t>
      </w:r>
    </w:p>
    <w:p>
      <w:pPr>
        <w:pStyle w:val="BodyText"/>
        <w:spacing w:line="269" w:lineRule="exact"/>
        <w:ind w:left="960"/>
      </w:pPr>
      <w:r>
        <w:rPr/>
        <w:t>联系人：匡婷</w:t>
      </w:r>
    </w:p>
    <w:p>
      <w:pPr>
        <w:pStyle w:val="BodyText"/>
        <w:spacing w:before="7"/>
        <w:rPr>
          <w:sz w:val="15"/>
        </w:rPr>
      </w:pPr>
    </w:p>
    <w:p>
      <w:pPr>
        <w:pStyle w:val="BodyText"/>
        <w:spacing w:line="417" w:lineRule="auto"/>
        <w:ind w:left="960" w:right="6057"/>
        <w:rPr>
          <w:rFonts w:ascii="Calibri" w:eastAsia="Calibri"/>
        </w:rPr>
      </w:pPr>
      <w:r>
        <w:rPr>
          <w:spacing w:val="-1"/>
        </w:rPr>
        <w:t>网址：</w:t>
      </w:r>
      <w:hyperlink r:id="rId160">
        <w:r>
          <w:rPr>
            <w:rFonts w:ascii="Calibri" w:eastAsia="Calibri"/>
            <w:spacing w:val="-3"/>
          </w:rPr>
          <w:t>http://www.cczp.com</w:t>
        </w:r>
      </w:hyperlink>
      <w:r>
        <w:rPr>
          <w:rFonts w:ascii="Calibri" w:eastAsia="Calibri"/>
          <w:spacing w:val="-3"/>
        </w:rPr>
        <w:t>  </w:t>
      </w:r>
      <w:r>
        <w:rPr>
          <w:spacing w:val="-3"/>
        </w:rPr>
        <w:t>客户服务电话：</w:t>
      </w:r>
      <w:r>
        <w:rPr>
          <w:rFonts w:ascii="Calibri" w:eastAsia="Calibri"/>
          <w:spacing w:val="-1"/>
        </w:rPr>
        <w:t>028-86585518</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联储证券有限责任公司</w:t>
      </w:r>
    </w:p>
    <w:p>
      <w:pPr>
        <w:pStyle w:val="BodyText"/>
        <w:spacing w:before="7"/>
        <w:rPr>
          <w:sz w:val="15"/>
        </w:rPr>
      </w:pPr>
    </w:p>
    <w:p>
      <w:pPr>
        <w:pStyle w:val="BodyText"/>
        <w:ind w:left="960"/>
      </w:pPr>
      <w:r>
        <w:rPr/>
        <w:t>住所：深圳市福田区福田街道岗厦社区深南大道南侧金地中心大厦 </w:t>
      </w:r>
      <w:r>
        <w:rPr>
          <w:rFonts w:ascii="Calibri" w:eastAsia="Calibri"/>
        </w:rPr>
        <w:t>9 </w:t>
      </w:r>
      <w:r>
        <w:rPr/>
        <w:t>楼</w:t>
      </w:r>
    </w:p>
    <w:p>
      <w:pPr>
        <w:pStyle w:val="BodyText"/>
        <w:spacing w:before="7"/>
        <w:rPr>
          <w:sz w:val="15"/>
        </w:rPr>
      </w:pPr>
    </w:p>
    <w:p>
      <w:pPr>
        <w:pStyle w:val="BodyText"/>
        <w:spacing w:line="417" w:lineRule="auto"/>
        <w:ind w:left="960" w:right="2347"/>
      </w:pPr>
      <w:r>
        <w:rPr>
          <w:spacing w:val="-6"/>
        </w:rPr>
        <w:t>办公地址：北京市朝阳区安定路 </w:t>
      </w:r>
      <w:r>
        <w:rPr>
          <w:rFonts w:ascii="Calibri" w:eastAsia="Calibri"/>
        </w:rPr>
        <w:t>5 </w:t>
      </w:r>
      <w:r>
        <w:rPr>
          <w:spacing w:val="-17"/>
        </w:rPr>
        <w:t>号院 </w:t>
      </w:r>
      <w:r>
        <w:rPr>
          <w:rFonts w:ascii="Calibri" w:eastAsia="Calibri"/>
        </w:rPr>
        <w:t>3 </w:t>
      </w:r>
      <w:r>
        <w:rPr>
          <w:spacing w:val="-8"/>
        </w:rPr>
        <w:t>号楼中建财富国际中心 </w:t>
      </w:r>
      <w:r>
        <w:rPr>
          <w:rFonts w:ascii="Calibri" w:eastAsia="Calibri"/>
        </w:rPr>
        <w:t>27 </w:t>
      </w:r>
      <w:r>
        <w:rPr/>
        <w:t>层</w:t>
      </w:r>
      <w:r>
        <w:rPr>
          <w:spacing w:val="-3"/>
        </w:rPr>
        <w:t>法定代表人：吕春卫</w:t>
      </w:r>
    </w:p>
    <w:p>
      <w:pPr>
        <w:pStyle w:val="BodyText"/>
        <w:spacing w:line="417" w:lineRule="auto"/>
        <w:ind w:left="960" w:right="6898"/>
        <w:rPr>
          <w:rFonts w:ascii="Calibri" w:eastAsia="Calibri"/>
        </w:rPr>
      </w:pPr>
      <w:r>
        <w:rPr/>
        <w:t>电话：</w:t>
      </w:r>
      <w:r>
        <w:rPr>
          <w:rFonts w:ascii="Calibri" w:eastAsia="Calibri"/>
        </w:rPr>
        <w:t>010-86499427 </w:t>
      </w:r>
      <w:r>
        <w:rPr/>
        <w:t>传真：</w:t>
      </w:r>
      <w:r>
        <w:rPr>
          <w:rFonts w:ascii="Calibri" w:eastAsia="Calibri"/>
        </w:rPr>
        <w:t>010-86499401</w:t>
      </w:r>
    </w:p>
    <w:p>
      <w:pPr>
        <w:pStyle w:val="BodyText"/>
        <w:spacing w:line="269" w:lineRule="exact"/>
        <w:ind w:left="960"/>
      </w:pPr>
      <w:r>
        <w:rPr/>
        <w:t>联系人：丁倩云</w:t>
      </w:r>
    </w:p>
    <w:p>
      <w:pPr>
        <w:pStyle w:val="BodyText"/>
        <w:spacing w:before="6"/>
        <w:rPr>
          <w:sz w:val="15"/>
        </w:rPr>
      </w:pPr>
    </w:p>
    <w:p>
      <w:pPr>
        <w:pStyle w:val="BodyText"/>
        <w:spacing w:before="1"/>
        <w:ind w:left="960"/>
        <w:rPr>
          <w:rFonts w:ascii="Calibri" w:eastAsia="Calibri"/>
        </w:rPr>
      </w:pPr>
      <w:r>
        <w:rPr/>
        <w:t>网址：</w:t>
      </w:r>
      <w:hyperlink r:id="rId161">
        <w:r>
          <w:rPr>
            <w:rFonts w:ascii="Calibri" w:eastAsia="Calibri"/>
          </w:rPr>
          <w:t>www.lczq.com</w:t>
        </w:r>
      </w:hyperlink>
    </w:p>
    <w:p>
      <w:pPr>
        <w:pStyle w:val="BodyText"/>
        <w:spacing w:before="3"/>
        <w:rPr>
          <w:rFonts w:ascii="Calibri"/>
          <w:sz w:val="16"/>
        </w:rPr>
      </w:pPr>
    </w:p>
    <w:p>
      <w:pPr>
        <w:pStyle w:val="BodyText"/>
        <w:spacing w:before="1"/>
        <w:ind w:left="960"/>
        <w:rPr>
          <w:rFonts w:ascii="Calibri" w:eastAsia="Calibri"/>
        </w:rPr>
      </w:pPr>
      <w:r>
        <w:rPr/>
        <w:t>客户服务电话：</w:t>
      </w:r>
      <w:r>
        <w:rPr>
          <w:rFonts w:ascii="Calibri" w:eastAsia="Calibri"/>
        </w:rPr>
        <w:t>400-620-6868</w:t>
      </w:r>
    </w:p>
    <w:p>
      <w:pPr>
        <w:pStyle w:val="BodyText"/>
        <w:spacing w:before="3"/>
        <w:rPr>
          <w:rFonts w:ascii="Calibri"/>
          <w:sz w:val="16"/>
        </w:rPr>
      </w:pPr>
    </w:p>
    <w:p>
      <w:pPr>
        <w:pStyle w:val="ListParagraph"/>
        <w:numPr>
          <w:ilvl w:val="0"/>
          <w:numId w:val="33"/>
        </w:numPr>
        <w:tabs>
          <w:tab w:pos="1703" w:val="left" w:leader="none"/>
        </w:tabs>
        <w:spacing w:line="240" w:lineRule="auto" w:before="0" w:after="0"/>
        <w:ind w:left="1703" w:right="0" w:hanging="743"/>
        <w:jc w:val="left"/>
        <w:rPr>
          <w:sz w:val="21"/>
        </w:rPr>
      </w:pPr>
      <w:r>
        <w:rPr>
          <w:spacing w:val="-3"/>
          <w:sz w:val="21"/>
        </w:rPr>
        <w:t>华瑞保险销售有限公司</w:t>
      </w:r>
    </w:p>
    <w:p>
      <w:pPr>
        <w:pStyle w:val="BodyText"/>
        <w:spacing w:before="7"/>
        <w:rPr>
          <w:sz w:val="15"/>
        </w:rPr>
      </w:pPr>
    </w:p>
    <w:p>
      <w:pPr>
        <w:pStyle w:val="BodyText"/>
        <w:spacing w:line="417" w:lineRule="auto"/>
        <w:ind w:left="960" w:right="1417"/>
        <w:rPr>
          <w:rFonts w:ascii="Calibri" w:eastAsia="Calibri"/>
        </w:rPr>
      </w:pPr>
      <w:r>
        <w:rPr/>
        <w:t>住所：上海市嘉定区南翔镇众仁路 </w:t>
      </w:r>
      <w:r>
        <w:rPr>
          <w:rFonts w:ascii="Calibri" w:eastAsia="Calibri"/>
        </w:rPr>
        <w:t>399 </w:t>
      </w:r>
      <w:r>
        <w:rPr/>
        <w:t>号运通星财富广场 </w:t>
      </w:r>
      <w:r>
        <w:rPr>
          <w:rFonts w:ascii="Calibri" w:eastAsia="Calibri"/>
        </w:rPr>
        <w:t>1 </w:t>
      </w:r>
      <w:r>
        <w:rPr/>
        <w:t>号楼</w:t>
      </w:r>
      <w:r>
        <w:rPr>
          <w:rFonts w:ascii="Calibri" w:eastAsia="Calibri"/>
        </w:rPr>
        <w:t>B </w:t>
      </w:r>
      <w:r>
        <w:rPr/>
        <w:t>座 </w:t>
      </w:r>
      <w:r>
        <w:rPr>
          <w:rFonts w:ascii="Calibri" w:eastAsia="Calibri"/>
        </w:rPr>
        <w:t>13</w:t>
      </w:r>
      <w:r>
        <w:rPr/>
        <w:t>、</w:t>
      </w:r>
      <w:r>
        <w:rPr>
          <w:rFonts w:ascii="Calibri" w:eastAsia="Calibri"/>
        </w:rPr>
        <w:t>14 </w:t>
      </w:r>
      <w:r>
        <w:rPr/>
        <w:t>层办公地址：上海市浦东新区向城路 </w:t>
      </w:r>
      <w:r>
        <w:rPr>
          <w:rFonts w:ascii="Calibri" w:eastAsia="Calibri"/>
        </w:rPr>
        <w:t>288 </w:t>
      </w:r>
      <w:r>
        <w:rPr/>
        <w:t>号国华人寿金融大厦 </w:t>
      </w:r>
      <w:r>
        <w:rPr>
          <w:rFonts w:ascii="Calibri" w:eastAsia="Calibri"/>
        </w:rPr>
        <w:t>8 </w:t>
      </w:r>
      <w:r>
        <w:rPr/>
        <w:t>层 </w:t>
      </w:r>
      <w:r>
        <w:rPr>
          <w:rFonts w:ascii="Calibri" w:eastAsia="Calibri"/>
        </w:rPr>
        <w:t>806</w:t>
      </w:r>
    </w:p>
    <w:p>
      <w:pPr>
        <w:pStyle w:val="BodyText"/>
        <w:spacing w:line="417" w:lineRule="auto"/>
        <w:ind w:left="960" w:right="6837"/>
        <w:rPr>
          <w:rFonts w:ascii="Calibri" w:eastAsia="Calibri"/>
        </w:rPr>
      </w:pPr>
      <w:r>
        <w:rPr/>
        <w:t>法定代表人：路昊电话：</w:t>
      </w:r>
      <w:r>
        <w:rPr>
          <w:rFonts w:ascii="Calibri" w:eastAsia="Calibri"/>
        </w:rPr>
        <w:t>021-68595698 </w:t>
      </w:r>
      <w:r>
        <w:rPr/>
        <w:t>传真：</w:t>
      </w:r>
      <w:r>
        <w:rPr>
          <w:rFonts w:ascii="Calibri" w:eastAsia="Calibri"/>
        </w:rPr>
        <w:t>021-68595766</w:t>
      </w:r>
    </w:p>
    <w:p>
      <w:pPr>
        <w:pStyle w:val="BodyText"/>
        <w:ind w:left="960"/>
      </w:pPr>
      <w:r>
        <w:rPr/>
        <w:t>联系人：茆勇强</w:t>
      </w:r>
    </w:p>
    <w:p>
      <w:pPr>
        <w:pStyle w:val="BodyText"/>
        <w:spacing w:before="6"/>
        <w:rPr>
          <w:sz w:val="15"/>
        </w:rPr>
      </w:pPr>
    </w:p>
    <w:p>
      <w:pPr>
        <w:pStyle w:val="BodyText"/>
        <w:spacing w:line="417" w:lineRule="auto" w:before="1"/>
        <w:ind w:left="960" w:right="6209"/>
        <w:rPr>
          <w:rFonts w:ascii="Calibri" w:eastAsia="Calibri"/>
        </w:rPr>
      </w:pPr>
      <w:r>
        <w:rPr/>
        <w:t>网址：</w:t>
      </w:r>
      <w:hyperlink r:id="rId162">
        <w:r>
          <w:rPr>
            <w:rFonts w:ascii="Calibri" w:eastAsia="Calibri"/>
          </w:rPr>
          <w:t>www.huaruisales.com </w:t>
        </w:r>
      </w:hyperlink>
      <w:r>
        <w:rPr/>
        <w:t>客户服务电话：</w:t>
      </w:r>
      <w:r>
        <w:rPr>
          <w:rFonts w:ascii="Calibri" w:eastAsia="Calibri"/>
        </w:rPr>
        <w:t>952303</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玄元保险代理有限公司</w:t>
      </w:r>
    </w:p>
    <w:p>
      <w:pPr>
        <w:pStyle w:val="BodyText"/>
        <w:spacing w:before="6"/>
        <w:rPr>
          <w:sz w:val="15"/>
        </w:rPr>
      </w:pPr>
    </w:p>
    <w:p>
      <w:pPr>
        <w:pStyle w:val="BodyText"/>
        <w:ind w:left="960"/>
      </w:pPr>
      <w:r>
        <w:rPr/>
        <w:t>住所：中国（上海）自由贸易试验区张杨路 </w:t>
      </w:r>
      <w:r>
        <w:rPr>
          <w:rFonts w:ascii="Calibri" w:eastAsia="Calibri"/>
        </w:rPr>
        <w:t>707 </w:t>
      </w:r>
      <w:r>
        <w:rPr/>
        <w:t>号 </w:t>
      </w:r>
      <w:r>
        <w:rPr>
          <w:rFonts w:ascii="Calibri" w:eastAsia="Calibri"/>
        </w:rPr>
        <w:t>1105 </w:t>
      </w:r>
      <w:r>
        <w:rPr/>
        <w:t>室</w:t>
      </w:r>
    </w:p>
    <w:p>
      <w:pPr>
        <w:pStyle w:val="BodyText"/>
        <w:spacing w:before="7"/>
        <w:rPr>
          <w:sz w:val="15"/>
        </w:rPr>
      </w:pPr>
    </w:p>
    <w:p>
      <w:pPr>
        <w:pStyle w:val="BodyText"/>
        <w:spacing w:line="417" w:lineRule="auto"/>
        <w:ind w:left="960" w:right="2974"/>
      </w:pPr>
      <w:r>
        <w:rPr>
          <w:spacing w:val="-3"/>
        </w:rPr>
        <w:t>办公地址：中国</w:t>
      </w:r>
      <w:r>
        <w:rPr/>
        <w:t>（</w:t>
      </w:r>
      <w:r>
        <w:rPr>
          <w:spacing w:val="-2"/>
        </w:rPr>
        <w:t>上海</w:t>
      </w:r>
      <w:r>
        <w:rPr>
          <w:spacing w:val="-3"/>
        </w:rPr>
        <w:t>）</w:t>
      </w:r>
      <w:r>
        <w:rPr>
          <w:spacing w:val="-8"/>
        </w:rPr>
        <w:t>自由贸易试验区张杨路 </w:t>
      </w:r>
      <w:r>
        <w:rPr>
          <w:rFonts w:ascii="Calibri" w:eastAsia="Calibri"/>
        </w:rPr>
        <w:t>707 </w:t>
      </w:r>
      <w:r>
        <w:rPr>
          <w:spacing w:val="-25"/>
        </w:rPr>
        <w:t>号 </w:t>
      </w:r>
      <w:r>
        <w:rPr>
          <w:rFonts w:ascii="Calibri" w:eastAsia="Calibri"/>
        </w:rPr>
        <w:t>1105 </w:t>
      </w:r>
      <w:r>
        <w:rPr/>
        <w:t>室</w:t>
      </w:r>
      <w:r>
        <w:rPr>
          <w:spacing w:val="-3"/>
        </w:rPr>
        <w:t>法定代表人：马永谙</w:t>
      </w:r>
    </w:p>
    <w:p>
      <w:pPr>
        <w:pStyle w:val="BodyText"/>
        <w:spacing w:line="417" w:lineRule="auto"/>
        <w:ind w:left="960" w:right="6898"/>
        <w:rPr>
          <w:rFonts w:ascii="Calibri" w:eastAsia="Calibri"/>
        </w:rPr>
      </w:pPr>
      <w:r>
        <w:rPr/>
        <w:t>电话：</w:t>
      </w:r>
      <w:r>
        <w:rPr>
          <w:rFonts w:ascii="Calibri" w:eastAsia="Calibri"/>
        </w:rPr>
        <w:t>13752528013 </w:t>
      </w:r>
      <w:r>
        <w:rPr/>
        <w:t>传真：</w:t>
      </w:r>
      <w:r>
        <w:rPr>
          <w:rFonts w:ascii="Calibri" w:eastAsia="Calibri"/>
        </w:rPr>
        <w:t>021-50701053</w:t>
      </w:r>
    </w:p>
    <w:p>
      <w:pPr>
        <w:spacing w:after="0" w:line="417" w:lineRule="auto"/>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联系人：卢亚博</w:t>
      </w:r>
    </w:p>
    <w:p>
      <w:pPr>
        <w:pStyle w:val="BodyText"/>
        <w:spacing w:before="6"/>
        <w:rPr>
          <w:sz w:val="15"/>
        </w:rPr>
      </w:pPr>
    </w:p>
    <w:p>
      <w:pPr>
        <w:pStyle w:val="BodyText"/>
        <w:spacing w:line="417" w:lineRule="auto"/>
        <w:ind w:left="960" w:right="4557"/>
        <w:rPr>
          <w:rFonts w:ascii="Calibri" w:eastAsia="Calibri"/>
        </w:rPr>
      </w:pPr>
      <w:r>
        <w:rPr/>
        <w:t>网址：</w:t>
      </w:r>
      <w:r>
        <w:rPr>
          <w:rFonts w:ascii="Calibri" w:eastAsia="Calibri"/>
        </w:rPr>
        <w:t>http://www.xyinsure.com:7100/kfit_xybx </w:t>
      </w:r>
      <w:r>
        <w:rPr/>
        <w:t>客户服务电话：</w:t>
      </w:r>
      <w:r>
        <w:rPr>
          <w:rFonts w:ascii="Calibri" w:eastAsia="Calibri"/>
        </w:rPr>
        <w:t>400-080-8208</w:t>
      </w:r>
    </w:p>
    <w:p>
      <w:pPr>
        <w:pStyle w:val="ListParagraph"/>
        <w:numPr>
          <w:ilvl w:val="0"/>
          <w:numId w:val="33"/>
        </w:numPr>
        <w:tabs>
          <w:tab w:pos="1703" w:val="left" w:leader="none"/>
        </w:tabs>
        <w:spacing w:line="269" w:lineRule="exact" w:before="0" w:after="0"/>
        <w:ind w:left="1703" w:right="0" w:hanging="743"/>
        <w:jc w:val="left"/>
        <w:rPr>
          <w:sz w:val="21"/>
        </w:rPr>
      </w:pPr>
      <w:r>
        <w:rPr>
          <w:spacing w:val="-3"/>
          <w:sz w:val="21"/>
        </w:rPr>
        <w:t>阳光人寿保险股份有限公司</w:t>
      </w:r>
    </w:p>
    <w:p>
      <w:pPr>
        <w:pStyle w:val="BodyText"/>
        <w:spacing w:before="7"/>
        <w:rPr>
          <w:sz w:val="15"/>
        </w:rPr>
      </w:pPr>
    </w:p>
    <w:p>
      <w:pPr>
        <w:pStyle w:val="BodyText"/>
        <w:ind w:left="960"/>
      </w:pPr>
      <w:r>
        <w:rPr/>
        <w:t>住所：海南省三亚市迎宾路 </w:t>
      </w:r>
      <w:r>
        <w:rPr>
          <w:rFonts w:ascii="Calibri" w:eastAsia="Calibri"/>
        </w:rPr>
        <w:t>360-1 </w:t>
      </w:r>
      <w:r>
        <w:rPr/>
        <w:t>号三亚阳光金融广场 </w:t>
      </w:r>
      <w:r>
        <w:rPr>
          <w:rFonts w:ascii="Calibri" w:eastAsia="Calibri"/>
        </w:rPr>
        <w:t>16 </w:t>
      </w:r>
      <w:r>
        <w:rPr/>
        <w:t>层</w:t>
      </w:r>
    </w:p>
    <w:p>
      <w:pPr>
        <w:pStyle w:val="BodyText"/>
        <w:spacing w:before="7"/>
        <w:rPr>
          <w:sz w:val="15"/>
        </w:rPr>
      </w:pPr>
    </w:p>
    <w:p>
      <w:pPr>
        <w:pStyle w:val="BodyText"/>
        <w:spacing w:line="417" w:lineRule="auto"/>
        <w:ind w:left="960" w:right="2031"/>
      </w:pPr>
      <w:r>
        <w:rPr>
          <w:spacing w:val="-6"/>
        </w:rPr>
        <w:t>办公地址：北京市朝阳区朝阳门外大街乙 </w:t>
      </w:r>
      <w:r>
        <w:rPr>
          <w:rFonts w:ascii="Calibri" w:eastAsia="Calibri"/>
        </w:rPr>
        <w:t>12 </w:t>
      </w:r>
      <w:r>
        <w:rPr>
          <w:spacing w:val="-18"/>
        </w:rPr>
        <w:t>号院 </w:t>
      </w:r>
      <w:r>
        <w:rPr>
          <w:rFonts w:ascii="Calibri" w:eastAsia="Calibri"/>
        </w:rPr>
        <w:t>1 </w:t>
      </w:r>
      <w:r>
        <w:rPr>
          <w:spacing w:val="-9"/>
        </w:rPr>
        <w:t>号昆泰国际大厦 </w:t>
      </w:r>
      <w:r>
        <w:rPr>
          <w:rFonts w:ascii="Calibri" w:eastAsia="Calibri"/>
        </w:rPr>
        <w:t>12 </w:t>
      </w:r>
      <w:r>
        <w:rPr/>
        <w:t>层</w:t>
      </w:r>
      <w:r>
        <w:rPr>
          <w:spacing w:val="-3"/>
        </w:rPr>
        <w:t>法定代表人：李科</w:t>
      </w:r>
    </w:p>
    <w:p>
      <w:pPr>
        <w:pStyle w:val="BodyText"/>
        <w:spacing w:line="417" w:lineRule="auto"/>
        <w:ind w:left="960" w:right="6898"/>
        <w:rPr>
          <w:rFonts w:ascii="Calibri" w:eastAsia="Calibri"/>
        </w:rPr>
      </w:pPr>
      <w:r>
        <w:rPr/>
        <w:t>电话：</w:t>
      </w:r>
      <w:r>
        <w:rPr>
          <w:rFonts w:ascii="Calibri" w:eastAsia="Calibri"/>
        </w:rPr>
        <w:t>010-85632771 </w:t>
      </w:r>
      <w:r>
        <w:rPr/>
        <w:t>传真：</w:t>
      </w:r>
      <w:r>
        <w:rPr>
          <w:rFonts w:ascii="Calibri" w:eastAsia="Calibri"/>
        </w:rPr>
        <w:t>010-85632773</w:t>
      </w:r>
    </w:p>
    <w:p>
      <w:pPr>
        <w:pStyle w:val="BodyText"/>
        <w:spacing w:line="269" w:lineRule="exact"/>
        <w:ind w:left="960"/>
      </w:pPr>
      <w:r>
        <w:rPr/>
        <w:t>联系人：王超</w:t>
      </w:r>
    </w:p>
    <w:p>
      <w:pPr>
        <w:pStyle w:val="BodyText"/>
        <w:spacing w:before="7"/>
        <w:rPr>
          <w:sz w:val="15"/>
        </w:rPr>
      </w:pPr>
    </w:p>
    <w:p>
      <w:pPr>
        <w:pStyle w:val="BodyText"/>
        <w:spacing w:line="417" w:lineRule="auto"/>
        <w:ind w:left="960" w:right="6030"/>
        <w:rPr>
          <w:rFonts w:ascii="Calibri" w:eastAsia="Calibri"/>
        </w:rPr>
      </w:pPr>
      <w:r>
        <w:rPr/>
        <w:t>网址：</w:t>
      </w:r>
      <w:hyperlink r:id="rId163">
        <w:r>
          <w:rPr>
            <w:rFonts w:ascii="Calibri" w:eastAsia="Calibri"/>
          </w:rPr>
          <w:t>http://fund.sinosig.com/ </w:t>
        </w:r>
      </w:hyperlink>
      <w:r>
        <w:rPr/>
        <w:t>客户服务电话：</w:t>
      </w:r>
      <w:r>
        <w:rPr>
          <w:rFonts w:ascii="Calibri" w:eastAsia="Calibri"/>
        </w:rPr>
        <w:t>95510</w:t>
      </w:r>
    </w:p>
    <w:p>
      <w:pPr>
        <w:pStyle w:val="BodyText"/>
        <w:spacing w:line="269" w:lineRule="exact"/>
        <w:ind w:left="960"/>
      </w:pPr>
      <w:r>
        <w:rPr>
          <w:rFonts w:ascii="Calibri" w:eastAsia="Calibri"/>
        </w:rPr>
        <w:t>3</w:t>
      </w:r>
      <w:r>
        <w:rPr/>
        <w:t>、美元代销机构</w:t>
      </w:r>
    </w:p>
    <w:p>
      <w:pPr>
        <w:pStyle w:val="BodyText"/>
        <w:spacing w:before="6"/>
        <w:rPr>
          <w:sz w:val="15"/>
        </w:rPr>
      </w:pPr>
    </w:p>
    <w:p>
      <w:pPr>
        <w:pStyle w:val="BodyText"/>
        <w:spacing w:line="417" w:lineRule="auto" w:before="1"/>
        <w:ind w:left="540" w:right="871" w:firstLine="419"/>
      </w:pPr>
      <w:r>
        <w:rPr>
          <w:spacing w:val="-9"/>
        </w:rPr>
        <w:t>中国银行股份有限公司、中信银行股份有限公司、中国民生银行股份有限公司、交通银</w:t>
      </w:r>
      <w:r>
        <w:rPr>
          <w:spacing w:val="-5"/>
        </w:rPr>
        <w:t>行股份有限公司。</w:t>
      </w:r>
    </w:p>
    <w:p>
      <w:pPr>
        <w:pStyle w:val="BodyText"/>
        <w:spacing w:line="417" w:lineRule="auto"/>
        <w:ind w:left="540" w:right="873" w:firstLine="419"/>
      </w:pPr>
      <w:r>
        <w:rPr>
          <w:rFonts w:ascii="Calibri" w:eastAsia="Calibri"/>
        </w:rPr>
        <w:t>4</w:t>
      </w:r>
      <w:r>
        <w:rPr/>
        <w:t>、基金管理人可以根据情况变化增加或者减少销售机构。销售机构可以根据情况增加或者减少其销售城市、网点。</w:t>
      </w:r>
    </w:p>
    <w:p>
      <w:pPr>
        <w:pStyle w:val="BodyText"/>
        <w:spacing w:line="269" w:lineRule="exact"/>
        <w:ind w:left="960"/>
      </w:pPr>
      <w:r>
        <w:rPr/>
        <w:t>（二）登记机构</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Calibri" w:eastAsia="Calibri"/>
        </w:rPr>
        <w:t>3</w:t>
      </w:r>
      <w:r>
        <w:rPr/>
        <w:t>号院</w:t>
      </w:r>
    </w:p>
    <w:p>
      <w:pPr>
        <w:pStyle w:val="BodyText"/>
        <w:spacing w:before="7"/>
        <w:rPr>
          <w:sz w:val="15"/>
        </w:rPr>
      </w:pPr>
    </w:p>
    <w:p>
      <w:pPr>
        <w:pStyle w:val="BodyText"/>
        <w:spacing w:line="417" w:lineRule="auto"/>
        <w:ind w:left="960" w:right="3706"/>
      </w:pPr>
      <w:r>
        <w:rPr>
          <w:spacing w:val="-3"/>
        </w:rPr>
        <w:t>办公地址：北京市西城区金融大街</w:t>
      </w:r>
      <w:r>
        <w:rPr>
          <w:rFonts w:ascii="Calibri" w:eastAsia="Calibri"/>
        </w:rPr>
        <w:t>33</w:t>
      </w:r>
      <w:r>
        <w:rPr>
          <w:spacing w:val="-3"/>
        </w:rPr>
        <w:t>号通泰大厦</w:t>
      </w:r>
      <w:r>
        <w:rPr>
          <w:rFonts w:ascii="Calibri" w:eastAsia="Calibri"/>
          <w:spacing w:val="-3"/>
        </w:rPr>
        <w:t>B</w:t>
      </w:r>
      <w:r>
        <w:rPr>
          <w:spacing w:val="-3"/>
        </w:rPr>
        <w:t>座</w:t>
      </w:r>
      <w:r>
        <w:rPr>
          <w:rFonts w:ascii="Calibri" w:eastAsia="Calibri"/>
        </w:rPr>
        <w:t>8</w:t>
      </w:r>
      <w:r>
        <w:rPr/>
        <w:t>层</w:t>
      </w:r>
      <w:r>
        <w:rPr>
          <w:spacing w:val="-3"/>
        </w:rPr>
        <w:t>法定代表人：杨明辉</w:t>
      </w:r>
    </w:p>
    <w:p>
      <w:pPr>
        <w:pStyle w:val="BodyText"/>
        <w:spacing w:line="417" w:lineRule="auto"/>
        <w:ind w:left="960" w:right="6098"/>
        <w:rPr>
          <w:rFonts w:ascii="Calibri" w:eastAsia="Calibri"/>
        </w:rPr>
      </w:pPr>
      <w:r>
        <w:rPr>
          <w:spacing w:val="-3"/>
        </w:rPr>
        <w:t>客户服务电话：</w:t>
      </w:r>
      <w:r>
        <w:rPr>
          <w:rFonts w:ascii="Calibri" w:eastAsia="Calibri"/>
          <w:spacing w:val="-1"/>
        </w:rPr>
        <w:t>400-818-6666 </w:t>
      </w:r>
      <w:r>
        <w:rPr/>
        <w:t>传真：</w:t>
      </w:r>
      <w:r>
        <w:rPr>
          <w:rFonts w:ascii="Calibri" w:eastAsia="Calibri"/>
        </w:rPr>
        <w:t>010-63136700</w:t>
      </w:r>
    </w:p>
    <w:p>
      <w:pPr>
        <w:pStyle w:val="BodyText"/>
        <w:spacing w:line="269" w:lineRule="exact"/>
        <w:ind w:left="960"/>
      </w:pPr>
      <w:r>
        <w:rPr/>
        <w:t>联系人：朱威</w:t>
      </w:r>
    </w:p>
    <w:p>
      <w:pPr>
        <w:pStyle w:val="BodyText"/>
        <w:spacing w:before="7"/>
        <w:rPr>
          <w:sz w:val="15"/>
        </w:rPr>
      </w:pPr>
    </w:p>
    <w:p>
      <w:pPr>
        <w:pStyle w:val="BodyText"/>
        <w:ind w:left="960"/>
      </w:pPr>
      <w:r>
        <w:rPr/>
        <w:t>（三）律师事务所</w:t>
      </w:r>
    </w:p>
    <w:p>
      <w:pPr>
        <w:pStyle w:val="BodyText"/>
        <w:spacing w:before="6"/>
        <w:rPr>
          <w:sz w:val="15"/>
        </w:rPr>
      </w:pPr>
    </w:p>
    <w:p>
      <w:pPr>
        <w:pStyle w:val="BodyText"/>
        <w:spacing w:before="1"/>
        <w:ind w:left="960"/>
      </w:pPr>
      <w:r>
        <w:rPr/>
        <w:t>名称：北京市天元律师事务所</w:t>
      </w:r>
    </w:p>
    <w:p>
      <w:pPr>
        <w:pStyle w:val="BodyText"/>
        <w:spacing w:before="6"/>
        <w:rPr>
          <w:sz w:val="15"/>
        </w:rPr>
      </w:pPr>
    </w:p>
    <w:p>
      <w:pPr>
        <w:pStyle w:val="BodyText"/>
        <w:ind w:left="960"/>
      </w:pPr>
      <w:r>
        <w:rPr/>
        <w:t>住所：北京市西城区丰盛胡同 </w:t>
      </w:r>
      <w:r>
        <w:rPr>
          <w:rFonts w:ascii="Calibri" w:eastAsia="Calibri"/>
        </w:rPr>
        <w:t>28 </w:t>
      </w:r>
      <w:r>
        <w:rPr/>
        <w:t>号太平洋保险大厦 </w:t>
      </w:r>
      <w:r>
        <w:rPr>
          <w:rFonts w:ascii="Calibri" w:eastAsia="Calibri"/>
        </w:rPr>
        <w:t>10 </w:t>
      </w:r>
      <w:r>
        <w:rPr/>
        <w:t>层</w:t>
      </w:r>
    </w:p>
    <w:p>
      <w:pPr>
        <w:pStyle w:val="BodyText"/>
        <w:spacing w:before="7"/>
        <w:rPr>
          <w:sz w:val="15"/>
        </w:rPr>
      </w:pPr>
    </w:p>
    <w:p>
      <w:pPr>
        <w:pStyle w:val="BodyText"/>
        <w:spacing w:line="417" w:lineRule="auto"/>
        <w:ind w:left="960" w:right="3082"/>
      </w:pPr>
      <w:r>
        <w:rPr>
          <w:spacing w:val="-6"/>
        </w:rPr>
        <w:t>办公地址：北京市西城区丰盛胡同 </w:t>
      </w:r>
      <w:r>
        <w:rPr>
          <w:rFonts w:ascii="Calibri" w:eastAsia="Calibri"/>
        </w:rPr>
        <w:t>28 </w:t>
      </w:r>
      <w:r>
        <w:rPr>
          <w:spacing w:val="-9"/>
        </w:rPr>
        <w:t>号太平洋保险大厦 </w:t>
      </w:r>
      <w:r>
        <w:rPr>
          <w:rFonts w:ascii="Calibri" w:eastAsia="Calibri"/>
        </w:rPr>
        <w:t>10 </w:t>
      </w:r>
      <w:r>
        <w:rPr/>
        <w:t>层</w:t>
      </w:r>
      <w:r>
        <w:rPr>
          <w:spacing w:val="-3"/>
        </w:rPr>
        <w:t>法定代表人：朱小辉</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6478"/>
        <w:rPr>
          <w:rFonts w:ascii="Calibri" w:eastAsia="Calibri"/>
        </w:rPr>
      </w:pPr>
      <w:r>
        <w:rPr/>
        <w:t>联系电话：</w:t>
      </w:r>
      <w:r>
        <w:rPr>
          <w:rFonts w:ascii="Calibri" w:eastAsia="Calibri"/>
        </w:rPr>
        <w:t>010-57763888 </w:t>
      </w:r>
      <w:r>
        <w:rPr/>
        <w:t>传真：</w:t>
      </w:r>
      <w:r>
        <w:rPr>
          <w:rFonts w:ascii="Calibri" w:eastAsia="Calibri"/>
        </w:rPr>
        <w:t>010-57763777</w:t>
      </w:r>
    </w:p>
    <w:p>
      <w:pPr>
        <w:pStyle w:val="BodyText"/>
        <w:spacing w:line="269" w:lineRule="exact"/>
        <w:ind w:left="960"/>
      </w:pPr>
      <w:r>
        <w:rPr/>
        <w:t>联系人：李晗</w:t>
      </w:r>
    </w:p>
    <w:p>
      <w:pPr>
        <w:pStyle w:val="BodyText"/>
        <w:spacing w:before="7"/>
        <w:rPr>
          <w:sz w:val="15"/>
        </w:rPr>
      </w:pPr>
    </w:p>
    <w:p>
      <w:pPr>
        <w:pStyle w:val="BodyText"/>
        <w:ind w:left="960"/>
      </w:pPr>
      <w:r>
        <w:rPr/>
        <w:t>经办律师：吴冠雄、李晗</w:t>
      </w:r>
    </w:p>
    <w:p>
      <w:pPr>
        <w:pStyle w:val="BodyText"/>
        <w:spacing w:before="7"/>
        <w:rPr>
          <w:sz w:val="15"/>
        </w:rPr>
      </w:pPr>
    </w:p>
    <w:p>
      <w:pPr>
        <w:pStyle w:val="BodyText"/>
        <w:ind w:left="960"/>
      </w:pPr>
      <w:r>
        <w:rPr/>
        <w:t>（四）会计师事务所</w:t>
      </w:r>
    </w:p>
    <w:p>
      <w:pPr>
        <w:pStyle w:val="BodyText"/>
        <w:spacing w:before="6"/>
        <w:rPr>
          <w:sz w:val="15"/>
        </w:rPr>
      </w:pPr>
    </w:p>
    <w:p>
      <w:pPr>
        <w:pStyle w:val="BodyText"/>
        <w:spacing w:before="1"/>
        <w:ind w:left="960"/>
      </w:pPr>
      <w:r>
        <w:rPr/>
        <w:t>名称：普华永道中天会计师事务所（特殊普通合伙）</w:t>
      </w:r>
    </w:p>
    <w:p>
      <w:pPr>
        <w:pStyle w:val="BodyText"/>
        <w:spacing w:before="6"/>
        <w:rPr>
          <w:sz w:val="15"/>
        </w:rPr>
      </w:pPr>
    </w:p>
    <w:p>
      <w:pPr>
        <w:pStyle w:val="BodyText"/>
        <w:ind w:left="960"/>
      </w:pPr>
      <w:r>
        <w:rPr/>
        <w:t>住所：上海市浦东新区陆家嘴环路</w:t>
      </w:r>
      <w:r>
        <w:rPr>
          <w:rFonts w:ascii="Calibri" w:eastAsia="Calibri"/>
        </w:rPr>
        <w:t>1318</w:t>
      </w:r>
      <w:r>
        <w:rPr/>
        <w:t>号星展银行大厦</w:t>
      </w:r>
      <w:r>
        <w:rPr>
          <w:rFonts w:ascii="Calibri" w:eastAsia="Calibri"/>
        </w:rPr>
        <w:t>6</w:t>
      </w:r>
      <w:r>
        <w:rPr/>
        <w:t>楼</w:t>
      </w:r>
    </w:p>
    <w:p>
      <w:pPr>
        <w:pStyle w:val="BodyText"/>
        <w:spacing w:before="8"/>
        <w:rPr>
          <w:sz w:val="15"/>
        </w:rPr>
      </w:pPr>
    </w:p>
    <w:p>
      <w:pPr>
        <w:pStyle w:val="BodyText"/>
        <w:spacing w:line="417" w:lineRule="auto"/>
        <w:ind w:left="960" w:right="1927"/>
      </w:pPr>
      <w:r>
        <w:rPr/>
        <w:t>办公地址：上海市黄浦区湖滨路</w:t>
      </w:r>
      <w:r>
        <w:rPr>
          <w:rFonts w:ascii="Calibri" w:eastAsia="Calibri"/>
        </w:rPr>
        <w:t>202</w:t>
      </w:r>
      <w:r>
        <w:rPr/>
        <w:t>号领展企业广场二座普华永道中心</w:t>
      </w:r>
      <w:r>
        <w:rPr>
          <w:rFonts w:ascii="Calibri" w:eastAsia="Calibri"/>
        </w:rPr>
        <w:t>11</w:t>
      </w:r>
      <w:r>
        <w:rPr/>
        <w:t>楼执行事务合伙人：李丹</w:t>
      </w:r>
    </w:p>
    <w:p>
      <w:pPr>
        <w:pStyle w:val="BodyText"/>
        <w:spacing w:line="417" w:lineRule="auto"/>
        <w:ind w:left="960" w:right="6478"/>
        <w:rPr>
          <w:rFonts w:ascii="Calibri" w:eastAsia="Calibri"/>
        </w:rPr>
      </w:pPr>
      <w:r>
        <w:rPr/>
        <w:t>联系电话：</w:t>
      </w:r>
      <w:r>
        <w:rPr>
          <w:rFonts w:ascii="Calibri" w:eastAsia="Calibri"/>
        </w:rPr>
        <w:t>021-23238888 </w:t>
      </w:r>
      <w:r>
        <w:rPr/>
        <w:t>传真：</w:t>
      </w:r>
      <w:r>
        <w:rPr>
          <w:rFonts w:ascii="Calibri" w:eastAsia="Calibri"/>
        </w:rPr>
        <w:t>021-23238800</w:t>
      </w:r>
    </w:p>
    <w:p>
      <w:pPr>
        <w:pStyle w:val="BodyText"/>
        <w:spacing w:line="269" w:lineRule="exact"/>
        <w:ind w:left="960"/>
      </w:pPr>
      <w:r>
        <w:rPr/>
        <w:t>联系人：单峰、程红粤</w:t>
      </w:r>
    </w:p>
    <w:p>
      <w:pPr>
        <w:pStyle w:val="BodyText"/>
        <w:spacing w:before="6"/>
        <w:rPr>
          <w:sz w:val="15"/>
        </w:rPr>
      </w:pPr>
    </w:p>
    <w:p>
      <w:pPr>
        <w:pStyle w:val="BodyText"/>
        <w:ind w:left="960"/>
      </w:pPr>
      <w:r>
        <w:rPr/>
        <w:t>经办注册会计师：单峰、程红粤</w:t>
      </w:r>
    </w:p>
    <w:p>
      <w:pPr>
        <w:pStyle w:val="BodyText"/>
        <w:rPr>
          <w:sz w:val="20"/>
        </w:rPr>
      </w:pPr>
    </w:p>
    <w:p>
      <w:pPr>
        <w:pStyle w:val="BodyText"/>
        <w:spacing w:before="2"/>
        <w:rPr>
          <w:sz w:val="22"/>
        </w:rPr>
      </w:pPr>
    </w:p>
    <w:p>
      <w:pPr>
        <w:pStyle w:val="Heading1"/>
        <w:ind w:left="410"/>
      </w:pPr>
      <w:bookmarkStart w:name="_bookmark19" w:id="20"/>
      <w:bookmarkEnd w:id="20"/>
      <w:r>
        <w:rPr>
          <w:b w:val="0"/>
        </w:rPr>
      </w:r>
      <w:r>
        <w:rPr/>
        <w:t>二十、基金合同的内容摘要</w:t>
      </w:r>
    </w:p>
    <w:p>
      <w:pPr>
        <w:pStyle w:val="BodyText"/>
        <w:rPr>
          <w:b/>
          <w:sz w:val="20"/>
        </w:rPr>
      </w:pPr>
    </w:p>
    <w:p>
      <w:pPr>
        <w:pStyle w:val="BodyText"/>
        <w:spacing w:before="2"/>
        <w:rPr>
          <w:b/>
        </w:rPr>
      </w:pPr>
    </w:p>
    <w:p>
      <w:pPr>
        <w:tabs>
          <w:tab w:pos="2796" w:val="left" w:leader="none"/>
        </w:tabs>
        <w:spacing w:line="417" w:lineRule="auto" w:before="1"/>
        <w:ind w:left="1742" w:right="1557" w:hanging="783"/>
        <w:jc w:val="left"/>
        <w:rPr>
          <w:b/>
          <w:sz w:val="21"/>
        </w:rPr>
      </w:pPr>
      <w:r>
        <w:rPr>
          <w:sz w:val="21"/>
        </w:rPr>
        <w:t>以下</w:t>
      </w:r>
      <w:r>
        <w:rPr>
          <w:spacing w:val="-3"/>
          <w:sz w:val="21"/>
        </w:rPr>
        <w:t>内</w:t>
      </w:r>
      <w:r>
        <w:rPr>
          <w:sz w:val="21"/>
        </w:rPr>
        <w:t>容</w:t>
      </w:r>
      <w:r>
        <w:rPr>
          <w:spacing w:val="-3"/>
          <w:sz w:val="21"/>
        </w:rPr>
        <w:t>摘</w:t>
      </w:r>
      <w:r>
        <w:rPr>
          <w:sz w:val="21"/>
        </w:rPr>
        <w:t>自</w:t>
      </w:r>
      <w:r>
        <w:rPr>
          <w:spacing w:val="-3"/>
          <w:sz w:val="21"/>
        </w:rPr>
        <w:t>《</w:t>
      </w:r>
      <w:r>
        <w:rPr>
          <w:sz w:val="21"/>
        </w:rPr>
        <w:t>华</w:t>
      </w:r>
      <w:r>
        <w:rPr>
          <w:spacing w:val="-3"/>
          <w:sz w:val="21"/>
        </w:rPr>
        <w:t>夏</w:t>
      </w:r>
      <w:r>
        <w:rPr>
          <w:sz w:val="21"/>
        </w:rPr>
        <w:t>大</w:t>
      </w:r>
      <w:r>
        <w:rPr>
          <w:spacing w:val="-3"/>
          <w:sz w:val="21"/>
        </w:rPr>
        <w:t>中</w:t>
      </w:r>
      <w:r>
        <w:rPr>
          <w:sz w:val="21"/>
        </w:rPr>
        <w:t>华信</w:t>
      </w:r>
      <w:r>
        <w:rPr>
          <w:spacing w:val="-3"/>
          <w:sz w:val="21"/>
        </w:rPr>
        <w:t>用</w:t>
      </w:r>
      <w:r>
        <w:rPr>
          <w:sz w:val="21"/>
        </w:rPr>
        <w:t>精</w:t>
      </w:r>
      <w:r>
        <w:rPr>
          <w:spacing w:val="-3"/>
          <w:sz w:val="21"/>
        </w:rPr>
        <w:t>选</w:t>
      </w:r>
      <w:r>
        <w:rPr>
          <w:sz w:val="21"/>
        </w:rPr>
        <w:t>债</w:t>
      </w:r>
      <w:r>
        <w:rPr>
          <w:spacing w:val="-3"/>
          <w:sz w:val="21"/>
        </w:rPr>
        <w:t>券</w:t>
      </w:r>
      <w:r>
        <w:rPr>
          <w:sz w:val="21"/>
        </w:rPr>
        <w:t>型</w:t>
      </w:r>
      <w:r>
        <w:rPr>
          <w:spacing w:val="-3"/>
          <w:sz w:val="21"/>
        </w:rPr>
        <w:t>证</w:t>
      </w:r>
      <w:r>
        <w:rPr>
          <w:sz w:val="21"/>
        </w:rPr>
        <w:t>券</w:t>
      </w:r>
      <w:r>
        <w:rPr>
          <w:spacing w:val="-3"/>
          <w:sz w:val="21"/>
        </w:rPr>
        <w:t>投</w:t>
      </w:r>
      <w:r>
        <w:rPr>
          <w:sz w:val="21"/>
        </w:rPr>
        <w:t>资基</w:t>
      </w:r>
      <w:r>
        <w:rPr>
          <w:spacing w:val="-3"/>
          <w:sz w:val="21"/>
        </w:rPr>
        <w:t>金</w:t>
      </w:r>
      <w:r>
        <w:rPr>
          <w:sz w:val="21"/>
        </w:rPr>
        <w:t>（</w:t>
      </w:r>
      <w:r>
        <w:rPr>
          <w:rFonts w:ascii="Calibri" w:eastAsia="Calibri"/>
          <w:sz w:val="21"/>
        </w:rPr>
        <w:t>QDII</w:t>
      </w:r>
      <w:r>
        <w:rPr>
          <w:sz w:val="21"/>
        </w:rPr>
        <w:t>）</w:t>
      </w:r>
      <w:r>
        <w:rPr>
          <w:spacing w:val="-3"/>
          <w:sz w:val="21"/>
        </w:rPr>
        <w:t>基</w:t>
      </w:r>
      <w:r>
        <w:rPr>
          <w:sz w:val="21"/>
        </w:rPr>
        <w:t>金</w:t>
      </w:r>
      <w:r>
        <w:rPr>
          <w:spacing w:val="-3"/>
          <w:sz w:val="21"/>
        </w:rPr>
        <w:t>合</w:t>
      </w:r>
      <w:r>
        <w:rPr>
          <w:sz w:val="21"/>
        </w:rPr>
        <w:t>同</w:t>
      </w:r>
      <w:r>
        <w:rPr>
          <w:spacing w:val="-108"/>
          <w:sz w:val="21"/>
        </w:rPr>
        <w:t>》</w:t>
      </w:r>
      <w:r>
        <w:rPr>
          <w:sz w:val="21"/>
        </w:rPr>
        <w:t>。</w:t>
      </w:r>
      <w:r>
        <w:rPr>
          <w:b/>
          <w:sz w:val="21"/>
        </w:rPr>
        <w:t>第一部分</w:t>
        <w:tab/>
        <w:t>基金份额持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管人的权利、义务</w:t>
      </w:r>
    </w:p>
    <w:p>
      <w:pPr>
        <w:pStyle w:val="BodyText"/>
        <w:spacing w:line="269" w:lineRule="exact"/>
        <w:ind w:left="960"/>
      </w:pPr>
      <w:r>
        <w:rPr/>
        <w:t>一、基金管理人</w:t>
      </w:r>
    </w:p>
    <w:p>
      <w:pPr>
        <w:pStyle w:val="BodyText"/>
        <w:spacing w:before="6"/>
        <w:rPr>
          <w:sz w:val="15"/>
        </w:rPr>
      </w:pPr>
    </w:p>
    <w:p>
      <w:pPr>
        <w:pStyle w:val="BodyText"/>
        <w:ind w:left="960"/>
      </w:pPr>
      <w:r>
        <w:rPr/>
        <w:t>（一）基金管理人简况</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Calibri" w:eastAsia="Calibri"/>
        </w:rPr>
        <w:t>3</w:t>
      </w:r>
      <w:r>
        <w:rPr/>
        <w:t>号院</w:t>
      </w:r>
    </w:p>
    <w:p>
      <w:pPr>
        <w:pStyle w:val="BodyText"/>
        <w:spacing w:before="7"/>
        <w:rPr>
          <w:sz w:val="15"/>
        </w:rPr>
      </w:pPr>
    </w:p>
    <w:p>
      <w:pPr>
        <w:pStyle w:val="BodyText"/>
        <w:spacing w:line="417" w:lineRule="auto"/>
        <w:ind w:left="960" w:right="3706"/>
      </w:pPr>
      <w:r>
        <w:rPr/>
        <w:t>办公地址：北京市西城区金融大街</w:t>
      </w:r>
      <w:r>
        <w:rPr>
          <w:rFonts w:ascii="Calibri" w:eastAsia="Calibri"/>
        </w:rPr>
        <w:t>33</w:t>
      </w:r>
      <w:r>
        <w:rPr/>
        <w:t>号通泰大厦</w:t>
      </w:r>
      <w:r>
        <w:rPr>
          <w:rFonts w:ascii="Calibri" w:eastAsia="Calibri"/>
        </w:rPr>
        <w:t>B</w:t>
      </w:r>
      <w:r>
        <w:rPr/>
        <w:t>座</w:t>
      </w:r>
      <w:r>
        <w:rPr>
          <w:rFonts w:ascii="Calibri" w:eastAsia="Calibri"/>
        </w:rPr>
        <w:t>8</w:t>
      </w:r>
      <w:r>
        <w:rPr/>
        <w:t>层法定代表人：杨明辉</w:t>
      </w:r>
    </w:p>
    <w:p>
      <w:pPr>
        <w:pStyle w:val="BodyText"/>
        <w:spacing w:line="269" w:lineRule="exact"/>
        <w:ind w:left="960"/>
      </w:pPr>
      <w:r>
        <w:rPr>
          <w:spacing w:val="-2"/>
        </w:rPr>
        <w:t>设立日期：</w:t>
      </w:r>
      <w:r>
        <w:rPr>
          <w:rFonts w:ascii="Calibri" w:eastAsia="Calibri"/>
          <w:spacing w:val="-1"/>
        </w:rPr>
        <w:t>1998</w:t>
      </w:r>
      <w:r>
        <w:rPr>
          <w:spacing w:val="-1"/>
        </w:rPr>
        <w:t>年</w:t>
      </w:r>
      <w:r>
        <w:rPr>
          <w:rFonts w:ascii="Calibri" w:eastAsia="Calibri"/>
          <w:spacing w:val="-1"/>
        </w:rPr>
        <w:t>4</w:t>
      </w:r>
      <w:r>
        <w:rPr>
          <w:spacing w:val="-1"/>
        </w:rPr>
        <w:t>月</w:t>
      </w:r>
      <w:r>
        <w:rPr>
          <w:rFonts w:ascii="Calibri" w:eastAsia="Calibri"/>
          <w:spacing w:val="-1"/>
        </w:rPr>
        <w:t>9</w:t>
      </w:r>
      <w:r>
        <w:rPr>
          <w:spacing w:val="-1"/>
        </w:rPr>
        <w:t>日</w:t>
      </w:r>
    </w:p>
    <w:p>
      <w:pPr>
        <w:pStyle w:val="BodyText"/>
        <w:spacing w:before="7"/>
        <w:rPr>
          <w:sz w:val="15"/>
        </w:rPr>
      </w:pPr>
    </w:p>
    <w:p>
      <w:pPr>
        <w:pStyle w:val="BodyText"/>
        <w:spacing w:line="417" w:lineRule="auto"/>
        <w:ind w:left="960" w:right="2743"/>
      </w:pPr>
      <w:r>
        <w:rPr>
          <w:spacing w:val="-3"/>
        </w:rPr>
        <w:t>批准设立机关及批准设立文号：中国证监会证监基字</w:t>
      </w:r>
      <w:r>
        <w:rPr>
          <w:rFonts w:ascii="Calibri" w:eastAsia="Calibri"/>
        </w:rPr>
        <w:t>[1998]16</w:t>
      </w:r>
      <w:r>
        <w:rPr>
          <w:spacing w:val="-3"/>
        </w:rPr>
        <w:t>号文组织形式：有限责任公司</w:t>
      </w:r>
    </w:p>
    <w:p>
      <w:pPr>
        <w:pStyle w:val="BodyText"/>
        <w:spacing w:line="417" w:lineRule="auto"/>
        <w:ind w:left="960" w:right="6289"/>
      </w:pPr>
      <w:r>
        <w:rPr/>
        <w:t>注册资本：</w:t>
      </w:r>
      <w:r>
        <w:rPr>
          <w:rFonts w:ascii="Calibri" w:eastAsia="Calibri"/>
        </w:rPr>
        <w:t>2.38</w:t>
      </w:r>
      <w:r>
        <w:rPr/>
        <w:t>亿元人民币存续期限：</w:t>
      </w:r>
      <w:r>
        <w:rPr>
          <w:rFonts w:ascii="Calibri" w:eastAsia="Calibri"/>
        </w:rPr>
        <w:t>100</w:t>
      </w:r>
      <w:r>
        <w:rPr/>
        <w:t>年</w:t>
      </w:r>
    </w:p>
    <w:p>
      <w:pPr>
        <w:pStyle w:val="BodyText"/>
        <w:ind w:left="960"/>
        <w:rPr>
          <w:rFonts w:ascii="Calibri" w:eastAsia="Calibri"/>
        </w:rPr>
      </w:pPr>
      <w:r>
        <w:rPr/>
        <w:t>联系电话：</w:t>
      </w:r>
      <w:r>
        <w:rPr>
          <w:rFonts w:ascii="Calibri" w:eastAsia="Calibri"/>
        </w:rPr>
        <w:t>400-818-6666</w:t>
      </w:r>
    </w:p>
    <w:p>
      <w:pPr>
        <w:spacing w:after="0"/>
        <w:rPr>
          <w:rFonts w:ascii="Calibri" w:eastAsia="Calibri"/>
        </w:rPr>
        <w:sectPr>
          <w:pgSz w:w="11910" w:h="16840"/>
          <w:pgMar w:header="872" w:footer="995" w:top="1100" w:bottom="1180" w:left="1260" w:right="920"/>
        </w:sectPr>
      </w:pPr>
    </w:p>
    <w:p>
      <w:pPr>
        <w:pStyle w:val="BodyText"/>
        <w:spacing w:before="8"/>
        <w:rPr>
          <w:rFonts w:ascii="Calibri"/>
          <w:sz w:val="28"/>
        </w:rPr>
      </w:pPr>
    </w:p>
    <w:p>
      <w:pPr>
        <w:pStyle w:val="BodyText"/>
        <w:spacing w:before="72"/>
        <w:ind w:left="960"/>
      </w:pPr>
      <w:r>
        <w:rPr/>
        <w:t>（二）基金管理人的权利与义务</w:t>
      </w:r>
    </w:p>
    <w:p>
      <w:pPr>
        <w:pStyle w:val="BodyText"/>
        <w:spacing w:before="6"/>
        <w:rPr>
          <w:sz w:val="15"/>
        </w:rPr>
      </w:pPr>
    </w:p>
    <w:p>
      <w:pPr>
        <w:pStyle w:val="BodyText"/>
        <w:ind w:left="960"/>
      </w:pPr>
      <w:r>
        <w:rPr>
          <w:rFonts w:ascii="Calibri" w:eastAsia="Calibri"/>
        </w:rPr>
        <w:t>1</w:t>
      </w:r>
      <w:r>
        <w:rPr/>
        <w:t>、根据《基金法》、《运作办法》及其他有关规定，基金管理人的权利包括但不限于：</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依法募集资金。</w:t>
      </w:r>
    </w:p>
    <w:p>
      <w:pPr>
        <w:pStyle w:val="BodyText"/>
        <w:spacing w:before="7"/>
        <w:rPr>
          <w:sz w:val="15"/>
        </w:rPr>
      </w:pPr>
    </w:p>
    <w:p>
      <w:pPr>
        <w:pStyle w:val="ListParagraph"/>
        <w:numPr>
          <w:ilvl w:val="0"/>
          <w:numId w:val="34"/>
        </w:numPr>
        <w:tabs>
          <w:tab w:pos="1492" w:val="left" w:leader="none"/>
        </w:tabs>
        <w:spacing w:line="417" w:lineRule="auto" w:before="0" w:after="0"/>
        <w:ind w:left="540" w:right="874" w:firstLine="419"/>
        <w:jc w:val="left"/>
        <w:rPr>
          <w:sz w:val="21"/>
        </w:rPr>
      </w:pPr>
      <w:r>
        <w:rPr>
          <w:spacing w:val="-3"/>
          <w:sz w:val="21"/>
        </w:rPr>
        <w:t>自《基金合同》生效之日起，根据法律法规和《基金合同》独立运用并管理基金财产。</w:t>
      </w:r>
    </w:p>
    <w:p>
      <w:pPr>
        <w:pStyle w:val="ListParagraph"/>
        <w:numPr>
          <w:ilvl w:val="0"/>
          <w:numId w:val="34"/>
        </w:numPr>
        <w:tabs>
          <w:tab w:pos="1492" w:val="left" w:leader="none"/>
        </w:tabs>
        <w:spacing w:line="417" w:lineRule="auto" w:before="0" w:after="0"/>
        <w:ind w:left="540" w:right="874" w:firstLine="419"/>
        <w:jc w:val="left"/>
        <w:rPr>
          <w:sz w:val="21"/>
        </w:rPr>
      </w:pPr>
      <w:r>
        <w:rPr>
          <w:spacing w:val="-3"/>
          <w:sz w:val="21"/>
        </w:rPr>
        <w:t>依照《基金合同》收取基金管理费以及法律法规规定或中国证监会批准的其他费用。</w:t>
      </w: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销售基金份额。</w:t>
      </w:r>
    </w:p>
    <w:p>
      <w:pPr>
        <w:pStyle w:val="BodyText"/>
        <w:spacing w:before="6"/>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4"/>
        </w:numPr>
        <w:tabs>
          <w:tab w:pos="1492" w:val="left" w:leader="none"/>
        </w:tabs>
        <w:spacing w:line="417" w:lineRule="auto" w:before="0" w:after="0"/>
        <w:ind w:left="540" w:right="87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34"/>
        </w:numPr>
        <w:tabs>
          <w:tab w:pos="1492" w:val="left" w:leader="none"/>
        </w:tabs>
        <w:spacing w:line="417" w:lineRule="auto" w:before="0" w:after="0"/>
        <w:ind w:left="540" w:right="87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4"/>
        </w:numPr>
        <w:tabs>
          <w:tab w:pos="1598" w:val="left" w:leader="none"/>
        </w:tabs>
        <w:spacing w:line="269" w:lineRule="exact" w:before="0" w:after="0"/>
        <w:ind w:left="1597" w:right="0" w:hanging="638"/>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34"/>
        </w:numPr>
        <w:tabs>
          <w:tab w:pos="1598" w:val="left" w:leader="none"/>
        </w:tabs>
        <w:spacing w:line="240" w:lineRule="auto" w:before="0" w:after="0"/>
        <w:ind w:left="1597" w:right="0" w:hanging="638"/>
        <w:jc w:val="left"/>
        <w:rPr>
          <w:sz w:val="21"/>
        </w:rPr>
      </w:pPr>
      <w:r>
        <w:rPr>
          <w:spacing w:val="-3"/>
          <w:sz w:val="21"/>
        </w:rPr>
        <w:t>在《基金合同》约定的范围内，拒绝或暂停受理申购与赎回申请。</w:t>
      </w:r>
    </w:p>
    <w:p>
      <w:pPr>
        <w:pStyle w:val="BodyText"/>
        <w:spacing w:before="6"/>
        <w:rPr>
          <w:sz w:val="15"/>
        </w:rPr>
      </w:pPr>
    </w:p>
    <w:p>
      <w:pPr>
        <w:pStyle w:val="ListParagraph"/>
        <w:numPr>
          <w:ilvl w:val="0"/>
          <w:numId w:val="34"/>
        </w:numPr>
        <w:tabs>
          <w:tab w:pos="1598" w:val="left" w:leader="none"/>
        </w:tabs>
        <w:spacing w:line="417" w:lineRule="auto" w:before="1" w:after="0"/>
        <w:ind w:left="540" w:right="87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4"/>
        </w:numPr>
        <w:tabs>
          <w:tab w:pos="1598" w:val="left" w:leader="none"/>
        </w:tabs>
        <w:spacing w:line="269" w:lineRule="exact" w:before="0" w:after="0"/>
        <w:ind w:left="1597" w:right="0" w:hanging="638"/>
        <w:jc w:val="left"/>
        <w:rPr>
          <w:sz w:val="21"/>
        </w:rPr>
      </w:pPr>
      <w:r>
        <w:rPr>
          <w:spacing w:val="-3"/>
          <w:sz w:val="21"/>
        </w:rPr>
        <w:t>在条件允许的前提下，为基金的利益依法为基金进行融资。</w:t>
      </w:r>
    </w:p>
    <w:p>
      <w:pPr>
        <w:pStyle w:val="BodyText"/>
        <w:spacing w:before="7"/>
        <w:rPr>
          <w:sz w:val="15"/>
        </w:rPr>
      </w:pPr>
    </w:p>
    <w:p>
      <w:pPr>
        <w:pStyle w:val="ListParagraph"/>
        <w:numPr>
          <w:ilvl w:val="0"/>
          <w:numId w:val="34"/>
        </w:numPr>
        <w:tabs>
          <w:tab w:pos="1598" w:val="left" w:leader="none"/>
        </w:tabs>
        <w:spacing w:line="417" w:lineRule="auto" w:before="0" w:after="0"/>
        <w:ind w:left="540" w:right="87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4"/>
        </w:numPr>
        <w:tabs>
          <w:tab w:pos="1598" w:val="left" w:leader="none"/>
        </w:tabs>
        <w:spacing w:line="417" w:lineRule="auto" w:before="0" w:after="0"/>
        <w:ind w:left="540" w:right="87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4"/>
        </w:numPr>
        <w:tabs>
          <w:tab w:pos="1598" w:val="left" w:leader="none"/>
        </w:tabs>
        <w:spacing w:line="417" w:lineRule="auto" w:before="0" w:after="0"/>
        <w:ind w:left="540" w:right="874" w:firstLine="419"/>
        <w:jc w:val="left"/>
        <w:rPr>
          <w:sz w:val="21"/>
        </w:rPr>
      </w:pPr>
      <w:r>
        <w:rPr>
          <w:spacing w:val="-10"/>
          <w:sz w:val="21"/>
        </w:rPr>
        <w:t>在符合有关法律、法规的前提下，制订和调整有关基金认购、申购、赎回、转 </w:t>
      </w:r>
      <w:r>
        <w:rPr>
          <w:spacing w:val="-7"/>
          <w:sz w:val="21"/>
        </w:rPr>
        <w:t>换和非交易过户的业务规则。</w:t>
      </w:r>
    </w:p>
    <w:p>
      <w:pPr>
        <w:pStyle w:val="ListParagraph"/>
        <w:numPr>
          <w:ilvl w:val="0"/>
          <w:numId w:val="34"/>
        </w:numPr>
        <w:tabs>
          <w:tab w:pos="1598" w:val="left" w:leader="none"/>
        </w:tabs>
        <w:spacing w:line="417" w:lineRule="auto" w:before="0" w:after="0"/>
        <w:ind w:left="540" w:right="874" w:firstLine="419"/>
        <w:jc w:val="left"/>
        <w:rPr>
          <w:sz w:val="21"/>
        </w:rPr>
      </w:pPr>
      <w:r>
        <w:rPr>
          <w:spacing w:val="-10"/>
          <w:sz w:val="21"/>
        </w:rPr>
        <w:t>根据有关规定，选择、更换或撤消境外投资顾问、证券经纪代理商以及证券登 </w:t>
      </w:r>
      <w:r>
        <w:rPr>
          <w:spacing w:val="-7"/>
          <w:sz w:val="21"/>
        </w:rPr>
        <w:t>记机构，并对其行为进行必要的监督。</w:t>
      </w:r>
    </w:p>
    <w:p>
      <w:pPr>
        <w:pStyle w:val="ListParagraph"/>
        <w:numPr>
          <w:ilvl w:val="0"/>
          <w:numId w:val="34"/>
        </w:numPr>
        <w:tabs>
          <w:tab w:pos="1598" w:val="left" w:leader="none"/>
        </w:tabs>
        <w:spacing w:line="240" w:lineRule="auto" w:before="0" w:after="0"/>
        <w:ind w:left="1597" w:right="0" w:hanging="638"/>
        <w:jc w:val="left"/>
        <w:rPr>
          <w:sz w:val="21"/>
        </w:rPr>
      </w:pPr>
      <w:r>
        <w:rPr>
          <w:spacing w:val="-3"/>
          <w:sz w:val="21"/>
        </w:rPr>
        <w:t>法律法规及中国证监会规定的和《基金合同》约定的其他权利。</w:t>
      </w:r>
    </w:p>
    <w:p>
      <w:pPr>
        <w:spacing w:after="0" w:line="240" w:lineRule="auto"/>
        <w:jc w:val="left"/>
        <w:rPr>
          <w:sz w:val="21"/>
        </w:rPr>
        <w:sectPr>
          <w:footerReference w:type="default" r:id="rId164"/>
          <w:pgSz w:w="11910" w:h="16840"/>
          <w:pgMar w:footer="995" w:header="872" w:top="1100" w:bottom="1180" w:left="1260" w:right="920"/>
          <w:pgNumType w:start="110"/>
        </w:sectPr>
      </w:pPr>
    </w:p>
    <w:p>
      <w:pPr>
        <w:pStyle w:val="BodyText"/>
        <w:spacing w:before="4"/>
        <w:rPr>
          <w:sz w:val="27"/>
        </w:rPr>
      </w:pPr>
    </w:p>
    <w:p>
      <w:pPr>
        <w:pStyle w:val="BodyText"/>
        <w:spacing w:before="71"/>
        <w:ind w:left="960"/>
      </w:pPr>
      <w:r>
        <w:rPr>
          <w:rFonts w:ascii="Calibri" w:eastAsia="Calibri"/>
        </w:rPr>
        <w:t>2</w:t>
      </w:r>
      <w:r>
        <w:rPr/>
        <w:t>、根据《基金法》、《运作办法》及其他有关规定，基金管理人的义务包括但不限于：</w:t>
      </w:r>
    </w:p>
    <w:p>
      <w:pPr>
        <w:pStyle w:val="BodyText"/>
        <w:spacing w:before="7"/>
        <w:rPr>
          <w:sz w:val="15"/>
        </w:rPr>
      </w:pPr>
    </w:p>
    <w:p>
      <w:pPr>
        <w:pStyle w:val="ListParagraph"/>
        <w:numPr>
          <w:ilvl w:val="0"/>
          <w:numId w:val="35"/>
        </w:numPr>
        <w:tabs>
          <w:tab w:pos="1492" w:val="left" w:leader="none"/>
        </w:tabs>
        <w:spacing w:line="417" w:lineRule="auto" w:before="0" w:after="0"/>
        <w:ind w:left="540" w:right="87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办理基金备案手续。</w:t>
      </w:r>
    </w:p>
    <w:p>
      <w:pPr>
        <w:pStyle w:val="BodyText"/>
        <w:spacing w:before="7"/>
        <w:rPr>
          <w:sz w:val="15"/>
        </w:rPr>
      </w:pPr>
    </w:p>
    <w:p>
      <w:pPr>
        <w:pStyle w:val="ListParagraph"/>
        <w:numPr>
          <w:ilvl w:val="0"/>
          <w:numId w:val="35"/>
        </w:numPr>
        <w:tabs>
          <w:tab w:pos="1492" w:val="left" w:leader="none"/>
        </w:tabs>
        <w:spacing w:line="240" w:lineRule="auto" w:before="0" w:after="0"/>
        <w:ind w:left="1491" w:right="0" w:hanging="532"/>
        <w:jc w:val="left"/>
        <w:rPr>
          <w:sz w:val="21"/>
        </w:rPr>
      </w:pPr>
      <w:r>
        <w:rPr>
          <w:spacing w:val="-15"/>
          <w:sz w:val="21"/>
        </w:rPr>
        <w:t>自《基金合同》生效之日起，以诚实信用、谨慎勤勉的原则管理和运用基金财产。</w:t>
      </w:r>
    </w:p>
    <w:p>
      <w:pPr>
        <w:pStyle w:val="BodyText"/>
        <w:spacing w:before="6"/>
        <w:rPr>
          <w:sz w:val="15"/>
        </w:rPr>
      </w:pPr>
    </w:p>
    <w:p>
      <w:pPr>
        <w:pStyle w:val="ListParagraph"/>
        <w:numPr>
          <w:ilvl w:val="0"/>
          <w:numId w:val="35"/>
        </w:numPr>
        <w:tabs>
          <w:tab w:pos="1492" w:val="left" w:leader="none"/>
        </w:tabs>
        <w:spacing w:line="417" w:lineRule="auto" w:before="1" w:after="0"/>
        <w:ind w:left="540" w:right="87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5"/>
        </w:numPr>
        <w:tabs>
          <w:tab w:pos="1492" w:val="left" w:leader="none"/>
        </w:tabs>
        <w:spacing w:line="417" w:lineRule="auto" w:before="0" w:after="0"/>
        <w:ind w:left="540" w:right="87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35"/>
        </w:numPr>
        <w:tabs>
          <w:tab w:pos="1492" w:val="left" w:leader="none"/>
        </w:tabs>
        <w:spacing w:line="417" w:lineRule="auto" w:before="0" w:after="0"/>
        <w:ind w:left="54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5"/>
        </w:numPr>
        <w:tabs>
          <w:tab w:pos="1490" w:val="left" w:leader="none"/>
        </w:tabs>
        <w:spacing w:line="417" w:lineRule="auto" w:before="0" w:after="0"/>
        <w:ind w:left="540" w:right="87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5"/>
        </w:numPr>
        <w:tabs>
          <w:tab w:pos="1598" w:val="left" w:leader="none"/>
        </w:tabs>
        <w:spacing w:line="240" w:lineRule="auto" w:before="0" w:after="0"/>
        <w:ind w:left="1597" w:right="0" w:hanging="638"/>
        <w:jc w:val="left"/>
        <w:rPr>
          <w:sz w:val="21"/>
        </w:rPr>
      </w:pPr>
      <w:r>
        <w:rPr>
          <w:spacing w:val="-3"/>
          <w:sz w:val="21"/>
        </w:rPr>
        <w:t>编制季度、中期和年度基金报告。</w:t>
      </w:r>
    </w:p>
    <w:p>
      <w:pPr>
        <w:pStyle w:val="BodyText"/>
        <w:spacing w:before="6"/>
        <w:rPr>
          <w:sz w:val="15"/>
        </w:rPr>
      </w:pPr>
    </w:p>
    <w:p>
      <w:pPr>
        <w:pStyle w:val="ListParagraph"/>
        <w:numPr>
          <w:ilvl w:val="0"/>
          <w:numId w:val="35"/>
        </w:numPr>
        <w:tabs>
          <w:tab w:pos="1598" w:val="left" w:leader="none"/>
        </w:tabs>
        <w:spacing w:line="240" w:lineRule="auto" w:before="1" w:after="0"/>
        <w:ind w:left="1597" w:right="0" w:hanging="638"/>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35"/>
        </w:numPr>
        <w:tabs>
          <w:tab w:pos="1598" w:val="left" w:leader="none"/>
        </w:tabs>
        <w:spacing w:line="417" w:lineRule="auto" w:before="0" w:after="0"/>
        <w:ind w:left="540" w:right="87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5"/>
        </w:numPr>
        <w:tabs>
          <w:tab w:pos="1598" w:val="left" w:leader="none"/>
        </w:tabs>
        <w:spacing w:line="417" w:lineRule="auto" w:before="1" w:after="0"/>
        <w:ind w:left="540" w:right="874"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5"/>
        </w:numPr>
        <w:tabs>
          <w:tab w:pos="1598" w:val="left" w:leader="none"/>
        </w:tabs>
        <w:spacing w:line="269" w:lineRule="exact" w:before="0" w:after="0"/>
        <w:ind w:left="1597" w:right="0" w:hanging="638"/>
        <w:jc w:val="left"/>
        <w:rPr>
          <w:sz w:val="21"/>
        </w:rPr>
      </w:pPr>
      <w:r>
        <w:rPr>
          <w:spacing w:val="-3"/>
          <w:sz w:val="21"/>
        </w:rPr>
        <w:t>按规定受理申购与赎回申请，及时、足额支付赎回款项。</w:t>
      </w:r>
    </w:p>
    <w:p>
      <w:pPr>
        <w:pStyle w:val="BodyText"/>
        <w:spacing w:before="6"/>
        <w:rPr>
          <w:sz w:val="15"/>
        </w:rPr>
      </w:pPr>
    </w:p>
    <w:p>
      <w:pPr>
        <w:pStyle w:val="ListParagraph"/>
        <w:numPr>
          <w:ilvl w:val="0"/>
          <w:numId w:val="35"/>
        </w:numPr>
        <w:tabs>
          <w:tab w:pos="1598" w:val="left" w:leader="none"/>
        </w:tabs>
        <w:spacing w:line="417" w:lineRule="auto" w:before="0" w:after="0"/>
        <w:ind w:left="540" w:right="874" w:firstLine="419"/>
        <w:jc w:val="left"/>
        <w:rPr>
          <w:sz w:val="21"/>
        </w:rPr>
      </w:pPr>
      <w:r>
        <w:rPr>
          <w:spacing w:val="-21"/>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5"/>
        </w:numPr>
        <w:tabs>
          <w:tab w:pos="1605" w:val="left" w:leader="none"/>
        </w:tabs>
        <w:spacing w:line="417" w:lineRule="auto" w:before="0" w:after="0"/>
        <w:ind w:left="540" w:right="873" w:firstLine="419"/>
        <w:jc w:val="left"/>
        <w:rPr>
          <w:sz w:val="21"/>
        </w:rPr>
      </w:pPr>
      <w:r>
        <w:rPr>
          <w:sz w:val="21"/>
        </w:rPr>
        <w:t>按规定保存基金财产管理业务活动的会计账册、报表、记录和其他相关资料</w:t>
      </w:r>
      <w:r>
        <w:rPr>
          <w:rFonts w:ascii="Calibri" w:eastAsia="Calibri"/>
          <w:sz w:val="21"/>
        </w:rPr>
        <w:t>15 </w:t>
      </w:r>
      <w:r>
        <w:rPr>
          <w:spacing w:val="-1"/>
          <w:sz w:val="21"/>
        </w:rPr>
        <w:t>年以上。</w:t>
      </w:r>
    </w:p>
    <w:p>
      <w:pPr>
        <w:pStyle w:val="ListParagraph"/>
        <w:numPr>
          <w:ilvl w:val="0"/>
          <w:numId w:val="35"/>
        </w:numPr>
        <w:tabs>
          <w:tab w:pos="1598" w:val="left" w:leader="none"/>
        </w:tabs>
        <w:spacing w:line="417" w:lineRule="auto" w:before="0" w:after="0"/>
        <w:ind w:left="540" w:right="871" w:firstLine="419"/>
        <w:jc w:val="left"/>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者能够按照《基金合同》规定的时间和方式，随时查阅到与基金有关的公开资料，并在支付合</w:t>
      </w:r>
    </w:p>
    <w:p>
      <w:pPr>
        <w:spacing w:after="0" w:line="417"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before="71"/>
        <w:ind w:left="540"/>
      </w:pPr>
      <w:r>
        <w:rPr/>
        <w:t>理成本的条件下得到有关资料的复印件。</w:t>
      </w:r>
    </w:p>
    <w:p>
      <w:pPr>
        <w:pStyle w:val="BodyText"/>
        <w:spacing w:before="7"/>
        <w:rPr>
          <w:sz w:val="15"/>
        </w:rPr>
      </w:pPr>
    </w:p>
    <w:p>
      <w:pPr>
        <w:pStyle w:val="ListParagraph"/>
        <w:numPr>
          <w:ilvl w:val="0"/>
          <w:numId w:val="35"/>
        </w:numPr>
        <w:tabs>
          <w:tab w:pos="1598" w:val="left" w:leader="none"/>
        </w:tabs>
        <w:spacing w:line="240" w:lineRule="auto" w:before="0" w:after="0"/>
        <w:ind w:left="1597" w:right="0" w:hanging="638"/>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35"/>
        </w:numPr>
        <w:tabs>
          <w:tab w:pos="1595" w:val="left" w:leader="none"/>
        </w:tabs>
        <w:spacing w:line="417" w:lineRule="auto" w:before="0" w:after="0"/>
        <w:ind w:left="540" w:right="871" w:firstLine="419"/>
        <w:jc w:val="left"/>
        <w:rPr>
          <w:sz w:val="21"/>
        </w:rPr>
      </w:pPr>
      <w:r>
        <w:rPr>
          <w:spacing w:val="-9"/>
          <w:sz w:val="21"/>
        </w:rPr>
        <w:t>面临解散、依法被撤销或者被依法宣告破产时，及时报告中国证监会并通知基 </w:t>
      </w:r>
      <w:r>
        <w:rPr>
          <w:spacing w:val="-7"/>
          <w:sz w:val="21"/>
        </w:rPr>
        <w:t>金托管人。</w:t>
      </w:r>
    </w:p>
    <w:p>
      <w:pPr>
        <w:pStyle w:val="ListParagraph"/>
        <w:numPr>
          <w:ilvl w:val="0"/>
          <w:numId w:val="35"/>
        </w:numPr>
        <w:tabs>
          <w:tab w:pos="1598" w:val="left" w:leader="none"/>
        </w:tabs>
        <w:spacing w:line="417" w:lineRule="auto" w:before="0" w:after="0"/>
        <w:ind w:left="540" w:right="87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5"/>
        </w:numPr>
        <w:tabs>
          <w:tab w:pos="1598" w:val="left" w:leader="none"/>
        </w:tabs>
        <w:spacing w:line="417" w:lineRule="auto" w:before="0" w:after="0"/>
        <w:ind w:left="540" w:right="87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5"/>
        </w:numPr>
        <w:tabs>
          <w:tab w:pos="1598" w:val="left" w:leader="none"/>
        </w:tabs>
        <w:spacing w:line="417" w:lineRule="auto" w:before="0" w:after="0"/>
        <w:ind w:left="540" w:right="87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5"/>
        </w:numPr>
        <w:tabs>
          <w:tab w:pos="1598" w:val="left" w:leader="none"/>
        </w:tabs>
        <w:spacing w:line="269" w:lineRule="exact" w:before="0" w:after="0"/>
        <w:ind w:left="1597" w:right="0" w:hanging="638"/>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5"/>
        </w:numPr>
        <w:tabs>
          <w:tab w:pos="1598" w:val="left" w:leader="none"/>
        </w:tabs>
        <w:spacing w:line="417" w:lineRule="auto" w:before="0" w:after="0"/>
        <w:ind w:left="540" w:right="874" w:firstLine="419"/>
        <w:jc w:val="both"/>
        <w:rPr>
          <w:sz w:val="21"/>
        </w:rPr>
      </w:pPr>
      <w:r>
        <w:rPr>
          <w:spacing w:val="-8"/>
          <w:sz w:val="21"/>
        </w:rPr>
        <w:t>基金管理人在募集期间未能达到基金的备案条件，《基金合同》不能生效，基金管理人承担全部募集费用，将已募集资金并加计银行同期存款利息在基金募集期结束后</w:t>
      </w:r>
      <w:r>
        <w:rPr>
          <w:rFonts w:ascii="Calibri" w:eastAsia="Calibri"/>
          <w:sz w:val="21"/>
        </w:rPr>
        <w:t>30 </w:t>
      </w:r>
      <w:r>
        <w:rPr>
          <w:spacing w:val="-3"/>
          <w:sz w:val="21"/>
        </w:rPr>
        <w:t>日内退还基金认购人。</w:t>
      </w:r>
    </w:p>
    <w:p>
      <w:pPr>
        <w:pStyle w:val="ListParagraph"/>
        <w:numPr>
          <w:ilvl w:val="0"/>
          <w:numId w:val="35"/>
        </w:numPr>
        <w:tabs>
          <w:tab w:pos="1598" w:val="left" w:leader="none"/>
        </w:tabs>
        <w:spacing w:line="240" w:lineRule="auto" w:before="0" w:after="0"/>
        <w:ind w:left="1597" w:right="0" w:hanging="638"/>
        <w:jc w:val="left"/>
        <w:rPr>
          <w:sz w:val="21"/>
        </w:rPr>
      </w:pPr>
      <w:r>
        <w:rPr>
          <w:spacing w:val="-3"/>
          <w:sz w:val="21"/>
        </w:rPr>
        <w:t>执行生效的基金份额持有人大会的决议。</w:t>
      </w:r>
    </w:p>
    <w:p>
      <w:pPr>
        <w:pStyle w:val="BodyText"/>
        <w:spacing w:before="6"/>
        <w:rPr>
          <w:sz w:val="15"/>
        </w:rPr>
      </w:pPr>
    </w:p>
    <w:p>
      <w:pPr>
        <w:pStyle w:val="ListParagraph"/>
        <w:numPr>
          <w:ilvl w:val="0"/>
          <w:numId w:val="35"/>
        </w:numPr>
        <w:tabs>
          <w:tab w:pos="1598" w:val="left" w:leader="none"/>
        </w:tabs>
        <w:spacing w:line="240" w:lineRule="auto" w:before="1" w:after="0"/>
        <w:ind w:left="1597" w:right="0" w:hanging="638"/>
        <w:jc w:val="left"/>
        <w:rPr>
          <w:sz w:val="21"/>
        </w:rPr>
      </w:pPr>
      <w:r>
        <w:rPr>
          <w:spacing w:val="-3"/>
          <w:sz w:val="21"/>
        </w:rPr>
        <w:t>建立并保存基金份额持有人名册。</w:t>
      </w:r>
    </w:p>
    <w:p>
      <w:pPr>
        <w:pStyle w:val="BodyText"/>
        <w:spacing w:before="6"/>
        <w:rPr>
          <w:sz w:val="15"/>
        </w:rPr>
      </w:pPr>
    </w:p>
    <w:p>
      <w:pPr>
        <w:pStyle w:val="ListParagraph"/>
        <w:numPr>
          <w:ilvl w:val="0"/>
          <w:numId w:val="35"/>
        </w:numPr>
        <w:tabs>
          <w:tab w:pos="1598" w:val="left" w:leader="none"/>
        </w:tabs>
        <w:spacing w:line="417" w:lineRule="auto" w:before="0" w:after="0"/>
        <w:ind w:left="960" w:right="2244" w:firstLine="0"/>
        <w:jc w:val="left"/>
        <w:rPr>
          <w:sz w:val="21"/>
        </w:rPr>
      </w:pPr>
      <w:r>
        <w:rPr>
          <w:spacing w:val="-3"/>
          <w:sz w:val="21"/>
        </w:rPr>
        <w:t>法律法规及中国证监会规定的和《基金合同》约定的其他义务。二、基金托管人</w:t>
      </w:r>
    </w:p>
    <w:p>
      <w:pPr>
        <w:pStyle w:val="BodyText"/>
        <w:spacing w:line="269" w:lineRule="exact"/>
        <w:ind w:left="960"/>
      </w:pPr>
      <w:r>
        <w:rPr/>
        <w:t>（一）基金托管人简况</w:t>
      </w:r>
    </w:p>
    <w:p>
      <w:pPr>
        <w:pStyle w:val="BodyText"/>
        <w:spacing w:before="7"/>
        <w:rPr>
          <w:sz w:val="15"/>
        </w:rPr>
      </w:pPr>
    </w:p>
    <w:p>
      <w:pPr>
        <w:pStyle w:val="BodyText"/>
        <w:spacing w:line="417" w:lineRule="auto"/>
        <w:ind w:left="960" w:right="5818"/>
      </w:pPr>
      <w:r>
        <w:rPr>
          <w:spacing w:val="-3"/>
        </w:rPr>
        <w:t>名称：中国银行股份有限公司 </w:t>
      </w:r>
      <w:r>
        <w:rPr>
          <w:spacing w:val="-4"/>
        </w:rPr>
        <w:t>住所：北京市复兴门内大街１号</w:t>
      </w:r>
      <w:r>
        <w:rPr>
          <w:spacing w:val="-3"/>
        </w:rPr>
        <w:t>法定代表人：刘连舸</w:t>
      </w:r>
    </w:p>
    <w:p>
      <w:pPr>
        <w:pStyle w:val="BodyText"/>
        <w:ind w:left="960"/>
      </w:pPr>
      <w:r>
        <w:rPr/>
        <w:t>成立时间：</w:t>
      </w:r>
      <w:r>
        <w:rPr>
          <w:rFonts w:ascii="Calibri" w:eastAsia="Calibri"/>
        </w:rPr>
        <w:t>1983</w:t>
      </w:r>
      <w:r>
        <w:rPr/>
        <w:t>年</w:t>
      </w:r>
      <w:r>
        <w:rPr>
          <w:rFonts w:ascii="Calibri" w:eastAsia="Calibri"/>
        </w:rPr>
        <w:t>10</w:t>
      </w:r>
      <w:r>
        <w:rPr/>
        <w:t>月</w:t>
      </w:r>
      <w:r>
        <w:rPr>
          <w:rFonts w:ascii="Calibri" w:eastAsia="Calibri"/>
        </w:rPr>
        <w:t>31</w:t>
      </w:r>
      <w:r>
        <w:rPr/>
        <w:t>日</w:t>
      </w:r>
    </w:p>
    <w:p>
      <w:pPr>
        <w:pStyle w:val="BodyText"/>
        <w:spacing w:before="7"/>
        <w:rPr>
          <w:sz w:val="15"/>
        </w:rPr>
      </w:pPr>
    </w:p>
    <w:p>
      <w:pPr>
        <w:pStyle w:val="BodyText"/>
        <w:spacing w:line="417" w:lineRule="auto"/>
        <w:ind w:left="540" w:right="871" w:firstLine="419"/>
      </w:pPr>
      <w:r>
        <w:rPr>
          <w:spacing w:val="-9"/>
        </w:rPr>
        <w:t>批准设立机关和批准设立文号：国务院批转中国人民银行《关于改革中国银行体制的请</w:t>
      </w:r>
      <w:r>
        <w:rPr>
          <w:spacing w:val="-33"/>
        </w:rPr>
        <w:t>示报告》</w:t>
      </w:r>
      <w:r>
        <w:rPr>
          <w:spacing w:val="-3"/>
        </w:rPr>
        <w:t>（</w:t>
      </w:r>
      <w:r>
        <w:rPr/>
        <w:t>国发</w:t>
      </w:r>
      <w:r>
        <w:rPr>
          <w:rFonts w:ascii="Calibri" w:eastAsia="Calibri"/>
        </w:rPr>
        <w:t>[1979]72</w:t>
      </w:r>
      <w:r>
        <w:rPr>
          <w:spacing w:val="-3"/>
        </w:rPr>
        <w:t>号）</w:t>
      </w:r>
    </w:p>
    <w:p>
      <w:pPr>
        <w:pStyle w:val="BodyText"/>
        <w:spacing w:line="269" w:lineRule="exact"/>
        <w:ind w:left="960"/>
      </w:pPr>
      <w:r>
        <w:rPr/>
        <w:t>组织形式：股份有限公司</w:t>
      </w:r>
    </w:p>
    <w:p>
      <w:pPr>
        <w:pStyle w:val="BodyText"/>
        <w:spacing w:before="7"/>
        <w:rPr>
          <w:sz w:val="15"/>
        </w:rPr>
      </w:pPr>
    </w:p>
    <w:p>
      <w:pPr>
        <w:pStyle w:val="BodyText"/>
        <w:spacing w:line="417" w:lineRule="auto"/>
        <w:ind w:left="960" w:right="1827"/>
      </w:pPr>
      <w:r>
        <w:rPr/>
        <w:t>注册资本：人民币贰仟玖佰肆拾叁亿捌仟柒佰柒拾玖万壹仟贰佰肆拾壹元整存续期间：持续经营</w:t>
      </w:r>
    </w:p>
    <w:p>
      <w:pPr>
        <w:pStyle w:val="BodyText"/>
        <w:ind w:left="960"/>
      </w:pPr>
      <w:r>
        <w:rPr/>
        <w:t>基金托管资格批文及文号：中国证监会证监基字【</w:t>
      </w:r>
      <w:r>
        <w:rPr>
          <w:rFonts w:ascii="Calibri" w:eastAsia="Calibri"/>
        </w:rPr>
        <w:t>1998</w:t>
      </w:r>
      <w:r>
        <w:rPr/>
        <w:t>】</w:t>
      </w:r>
      <w:r>
        <w:rPr>
          <w:rFonts w:ascii="Calibri" w:eastAsia="Calibri"/>
        </w:rPr>
        <w:t>24</w:t>
      </w:r>
      <w:r>
        <w:rPr/>
        <w:t>号</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pPr>
      <w:r>
        <w:rPr/>
        <w:t>（二）基金托管人的权利与义务</w:t>
      </w:r>
    </w:p>
    <w:p>
      <w:pPr>
        <w:pStyle w:val="BodyText"/>
        <w:spacing w:before="7"/>
        <w:rPr>
          <w:sz w:val="15"/>
        </w:rPr>
      </w:pPr>
    </w:p>
    <w:p>
      <w:pPr>
        <w:pStyle w:val="BodyText"/>
        <w:ind w:left="960"/>
      </w:pPr>
      <w:r>
        <w:rPr>
          <w:rFonts w:ascii="Calibri" w:eastAsia="Calibri"/>
        </w:rPr>
        <w:t>1</w:t>
      </w:r>
      <w:r>
        <w:rPr/>
        <w:t>、根据《基金法》、《运作办法》及其他有关规定，基金托管人的权利包括但不限于：</w:t>
      </w:r>
    </w:p>
    <w:p>
      <w:pPr>
        <w:pStyle w:val="BodyText"/>
        <w:spacing w:before="7"/>
        <w:rPr>
          <w:sz w:val="15"/>
        </w:rPr>
      </w:pPr>
    </w:p>
    <w:p>
      <w:pPr>
        <w:pStyle w:val="ListParagraph"/>
        <w:numPr>
          <w:ilvl w:val="0"/>
          <w:numId w:val="36"/>
        </w:numPr>
        <w:tabs>
          <w:tab w:pos="1492" w:val="left" w:leader="none"/>
        </w:tabs>
        <w:spacing w:line="417" w:lineRule="auto" w:before="0" w:after="0"/>
        <w:ind w:left="540" w:right="874" w:firstLine="419"/>
        <w:jc w:val="left"/>
        <w:rPr>
          <w:sz w:val="21"/>
        </w:rPr>
      </w:pPr>
      <w:r>
        <w:rPr>
          <w:spacing w:val="-3"/>
          <w:sz w:val="21"/>
        </w:rPr>
        <w:t>自《基金合同》生效之日起，依法律法规和《基金合同》的规定安全保管基金财产。</w:t>
      </w:r>
    </w:p>
    <w:p>
      <w:pPr>
        <w:pStyle w:val="ListParagraph"/>
        <w:numPr>
          <w:ilvl w:val="0"/>
          <w:numId w:val="36"/>
        </w:numPr>
        <w:tabs>
          <w:tab w:pos="1492" w:val="left" w:leader="none"/>
        </w:tabs>
        <w:spacing w:line="417" w:lineRule="auto" w:before="0" w:after="0"/>
        <w:ind w:left="540" w:right="873" w:firstLine="419"/>
        <w:jc w:val="left"/>
        <w:rPr>
          <w:sz w:val="21"/>
        </w:rPr>
      </w:pPr>
      <w:r>
        <w:rPr>
          <w:spacing w:val="-3"/>
          <w:sz w:val="21"/>
        </w:rPr>
        <w:t>依《基金合同》约定获得基金托管费以及法律法规规定或监管部门批准的其他费用。</w:t>
      </w:r>
    </w:p>
    <w:p>
      <w:pPr>
        <w:pStyle w:val="ListParagraph"/>
        <w:numPr>
          <w:ilvl w:val="0"/>
          <w:numId w:val="36"/>
        </w:numPr>
        <w:tabs>
          <w:tab w:pos="1492" w:val="left" w:leader="none"/>
        </w:tabs>
        <w:spacing w:line="417" w:lineRule="auto" w:before="0" w:after="0"/>
        <w:ind w:left="540" w:right="87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在基金管理人更换时，提名新的基金管理人。</w:t>
      </w:r>
    </w:p>
    <w:p>
      <w:pPr>
        <w:pStyle w:val="BodyText"/>
        <w:spacing w:before="6"/>
        <w:rPr>
          <w:sz w:val="15"/>
        </w:rPr>
      </w:pPr>
    </w:p>
    <w:p>
      <w:pPr>
        <w:pStyle w:val="ListParagraph"/>
        <w:numPr>
          <w:ilvl w:val="0"/>
          <w:numId w:val="36"/>
        </w:numPr>
        <w:tabs>
          <w:tab w:pos="1490" w:val="left" w:leader="none"/>
        </w:tabs>
        <w:spacing w:line="240" w:lineRule="auto" w:before="1" w:after="0"/>
        <w:ind w:left="1489" w:right="0" w:hanging="530"/>
        <w:jc w:val="left"/>
        <w:rPr>
          <w:sz w:val="21"/>
        </w:rPr>
      </w:pPr>
      <w:r>
        <w:rPr>
          <w:spacing w:val="-3"/>
          <w:sz w:val="21"/>
        </w:rPr>
        <w:t>选择、更换负责境外资产托管业务的境外资产托管人。</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Calibri" w:eastAsia="Calibri"/>
        </w:rPr>
        <w:t>2</w:t>
      </w:r>
      <w:r>
        <w:rPr/>
        <w:t>、根据《基金法》、《运作办法》及其他有关规定，基金托管人的义务包括但不限于：</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37"/>
        </w:numPr>
        <w:tabs>
          <w:tab w:pos="1492" w:val="left" w:leader="none"/>
        </w:tabs>
        <w:spacing w:line="417" w:lineRule="auto" w:before="0" w:after="0"/>
        <w:ind w:left="540" w:right="87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37"/>
        </w:numPr>
        <w:tabs>
          <w:tab w:pos="1492" w:val="left" w:leader="none"/>
        </w:tabs>
        <w:spacing w:line="417" w:lineRule="auto" w:before="0" w:after="0"/>
        <w:ind w:left="540" w:right="76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37"/>
        </w:numPr>
        <w:tabs>
          <w:tab w:pos="1492" w:val="left" w:leader="none"/>
        </w:tabs>
        <w:spacing w:line="417" w:lineRule="auto" w:before="0" w:after="0"/>
        <w:ind w:left="54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37"/>
        </w:numPr>
        <w:tabs>
          <w:tab w:pos="1492" w:val="left" w:leader="none"/>
        </w:tabs>
        <w:spacing w:line="417" w:lineRule="auto" w:before="0" w:after="0"/>
        <w:ind w:left="540" w:right="873"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37"/>
        </w:numPr>
        <w:tabs>
          <w:tab w:pos="1492" w:val="left" w:leader="none"/>
        </w:tabs>
        <w:spacing w:line="417" w:lineRule="auto" w:before="0" w:after="0"/>
        <w:ind w:left="540" w:right="87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复核、审查基金管理人计算的基金资产净值、基金份额申购、赎回价格。</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ListParagraph"/>
        <w:numPr>
          <w:ilvl w:val="0"/>
          <w:numId w:val="37"/>
        </w:numPr>
        <w:tabs>
          <w:tab w:pos="1490" w:val="left" w:leader="none"/>
        </w:tabs>
        <w:spacing w:line="240" w:lineRule="auto" w:before="71" w:after="0"/>
        <w:ind w:left="148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37"/>
        </w:numPr>
        <w:tabs>
          <w:tab w:pos="1598" w:val="left" w:leader="none"/>
        </w:tabs>
        <w:spacing w:line="417" w:lineRule="auto" w:before="0" w:after="0"/>
        <w:ind w:left="540" w:right="87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保存基金托管业务活动的记录、账册、报表和其他相关资料</w:t>
      </w:r>
      <w:r>
        <w:rPr>
          <w:rFonts w:ascii="Calibri" w:eastAsia="Calibri"/>
          <w:sz w:val="21"/>
        </w:rPr>
        <w:t>15</w:t>
      </w:r>
      <w:r>
        <w:rPr>
          <w:spacing w:val="-3"/>
          <w:sz w:val="21"/>
        </w:rPr>
        <w:t>年以上。</w:t>
      </w:r>
    </w:p>
    <w:p>
      <w:pPr>
        <w:pStyle w:val="BodyText"/>
        <w:spacing w:before="7"/>
        <w:rPr>
          <w:sz w:val="15"/>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建立并保存基金份额持有人名册。</w:t>
      </w:r>
    </w:p>
    <w:p>
      <w:pPr>
        <w:pStyle w:val="BodyText"/>
        <w:spacing w:before="6"/>
        <w:rPr>
          <w:sz w:val="15"/>
        </w:rPr>
      </w:pPr>
    </w:p>
    <w:p>
      <w:pPr>
        <w:pStyle w:val="ListParagraph"/>
        <w:numPr>
          <w:ilvl w:val="0"/>
          <w:numId w:val="37"/>
        </w:numPr>
        <w:tabs>
          <w:tab w:pos="1598" w:val="left" w:leader="none"/>
        </w:tabs>
        <w:spacing w:line="240" w:lineRule="auto" w:before="1" w:after="0"/>
        <w:ind w:left="1597" w:right="0" w:hanging="638"/>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37"/>
        </w:numPr>
        <w:tabs>
          <w:tab w:pos="1598" w:val="left" w:leader="none"/>
        </w:tabs>
        <w:spacing w:line="417" w:lineRule="auto" w:before="0" w:after="0"/>
        <w:ind w:left="540" w:right="871" w:firstLine="419"/>
        <w:jc w:val="left"/>
        <w:rPr>
          <w:sz w:val="21"/>
        </w:rPr>
      </w:pPr>
      <w:r>
        <w:rPr>
          <w:spacing w:val="-20"/>
          <w:sz w:val="21"/>
        </w:rPr>
        <w:t>依据《基金法》、《基金合同》及其他有关规定，召集基金份额持有人大会或配 </w:t>
      </w:r>
      <w:r>
        <w:rPr>
          <w:spacing w:val="-3"/>
          <w:sz w:val="21"/>
        </w:rPr>
        <w:t>合基金份额持有人、基金管理人依法召集基金份额持有人大会。</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37"/>
        </w:numPr>
        <w:tabs>
          <w:tab w:pos="1598" w:val="left" w:leader="none"/>
        </w:tabs>
        <w:spacing w:line="240" w:lineRule="auto" w:before="0" w:after="0"/>
        <w:ind w:left="1597" w:right="0" w:hanging="638"/>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37"/>
        </w:numPr>
        <w:tabs>
          <w:tab w:pos="1595" w:val="left" w:leader="none"/>
        </w:tabs>
        <w:spacing w:line="417" w:lineRule="auto" w:before="0" w:after="0"/>
        <w:ind w:left="540" w:right="871" w:firstLine="419"/>
        <w:jc w:val="left"/>
        <w:rPr>
          <w:sz w:val="21"/>
        </w:rPr>
      </w:pPr>
      <w:r>
        <w:rPr>
          <w:spacing w:val="-9"/>
          <w:sz w:val="21"/>
        </w:rPr>
        <w:t>面临解散、依法被撤销或者被依法宣告破产时，及时报告中国证监会和银行监 </w:t>
      </w:r>
      <w:r>
        <w:rPr>
          <w:spacing w:val="-6"/>
          <w:sz w:val="21"/>
        </w:rPr>
        <w:t>管机构，并通知基金管理人。</w:t>
      </w:r>
    </w:p>
    <w:p>
      <w:pPr>
        <w:pStyle w:val="ListParagraph"/>
        <w:numPr>
          <w:ilvl w:val="0"/>
          <w:numId w:val="37"/>
        </w:numPr>
        <w:tabs>
          <w:tab w:pos="1598" w:val="left" w:leader="none"/>
        </w:tabs>
        <w:spacing w:line="417" w:lineRule="auto" w:before="0" w:after="0"/>
        <w:ind w:left="540" w:right="87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37"/>
        </w:numPr>
        <w:tabs>
          <w:tab w:pos="1598" w:val="left" w:leader="none"/>
        </w:tabs>
        <w:spacing w:line="417" w:lineRule="auto" w:before="0" w:after="0"/>
        <w:ind w:left="540" w:right="873" w:firstLine="419"/>
        <w:jc w:val="left"/>
        <w:rPr>
          <w:sz w:val="21"/>
        </w:rPr>
      </w:pPr>
      <w:r>
        <w:rPr>
          <w:spacing w:val="-7"/>
          <w:sz w:val="21"/>
        </w:rPr>
        <w:t>按规定监督基金管理人按法律法规和《基金合同》规定履行自己的义务，基金 </w:t>
      </w:r>
      <w:r>
        <w:rPr>
          <w:spacing w:val="-21"/>
          <w:sz w:val="21"/>
        </w:rPr>
        <w:t>管理人因违反《基金合同》造成基金财产损失时，应为基金份额持有人利益向基金管理人追偿</w:t>
      </w:r>
      <w:r>
        <w:rPr>
          <w:sz w:val="21"/>
        </w:rPr>
        <w:t>。</w:t>
      </w:r>
    </w:p>
    <w:p>
      <w:pPr>
        <w:pStyle w:val="ListParagraph"/>
        <w:numPr>
          <w:ilvl w:val="0"/>
          <w:numId w:val="37"/>
        </w:numPr>
        <w:tabs>
          <w:tab w:pos="1598" w:val="left" w:leader="none"/>
        </w:tabs>
        <w:spacing w:line="269" w:lineRule="exact" w:before="0" w:after="0"/>
        <w:ind w:left="1597" w:right="0" w:hanging="638"/>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37"/>
        </w:numPr>
        <w:tabs>
          <w:tab w:pos="1595" w:val="left" w:leader="none"/>
        </w:tabs>
        <w:spacing w:line="417" w:lineRule="auto" w:before="1" w:after="0"/>
        <w:ind w:left="540" w:right="874" w:firstLine="419"/>
        <w:jc w:val="left"/>
        <w:rPr>
          <w:sz w:val="21"/>
        </w:rPr>
      </w:pPr>
      <w:r>
        <w:rPr>
          <w:spacing w:val="-15"/>
          <w:sz w:val="21"/>
        </w:rPr>
        <w:t>保存基金管理人就管理本基金的资金汇出、汇入、兑换、收汇、付汇、资金往来 </w:t>
      </w:r>
      <w:r>
        <w:rPr>
          <w:spacing w:val="-8"/>
          <w:sz w:val="21"/>
        </w:rPr>
        <w:t>、委托及成交记录等相关资料，其保存的时间应当不少于</w:t>
      </w:r>
      <w:r>
        <w:rPr>
          <w:rFonts w:ascii="Calibri" w:eastAsia="Calibri"/>
          <w:sz w:val="21"/>
        </w:rPr>
        <w:t>20</w:t>
      </w:r>
      <w:r>
        <w:rPr>
          <w:sz w:val="21"/>
        </w:rPr>
        <w:t>年。</w:t>
      </w:r>
    </w:p>
    <w:p>
      <w:pPr>
        <w:pStyle w:val="ListParagraph"/>
        <w:numPr>
          <w:ilvl w:val="0"/>
          <w:numId w:val="37"/>
        </w:numPr>
        <w:tabs>
          <w:tab w:pos="1598" w:val="left" w:leader="none"/>
        </w:tabs>
        <w:spacing w:line="417" w:lineRule="auto" w:before="0" w:after="0"/>
        <w:ind w:left="960" w:right="2244"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87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8" w:lineRule="exact"/>
        <w:ind w:left="960"/>
      </w:pPr>
      <w:r>
        <w:rPr>
          <w:spacing w:val="-3"/>
        </w:rPr>
        <w:t>每份基金份额具有同等的合法权益。</w:t>
      </w:r>
    </w:p>
    <w:p>
      <w:pPr>
        <w:pStyle w:val="BodyText"/>
        <w:spacing w:before="7"/>
        <w:rPr>
          <w:sz w:val="15"/>
        </w:rPr>
      </w:pPr>
    </w:p>
    <w:p>
      <w:pPr>
        <w:pStyle w:val="BodyText"/>
        <w:spacing w:line="417" w:lineRule="auto"/>
        <w:ind w:left="540" w:right="874" w:firstLine="419"/>
      </w:pPr>
      <w:r>
        <w:rPr>
          <w:rFonts w:ascii="Calibri" w:eastAsia="Calibri"/>
        </w:rPr>
        <w:t>1</w:t>
      </w:r>
      <w:r>
        <w:rPr>
          <w:spacing w:val="-17"/>
        </w:rPr>
        <w:t>、根据《基金法》、《运作办法》及其他有关规定，基金份额持有人的权利包括但不限于：</w:t>
      </w:r>
    </w:p>
    <w:p>
      <w:pPr>
        <w:spacing w:after="0" w:line="417" w:lineRule="auto"/>
        <w:sectPr>
          <w:pgSz w:w="11910" w:h="16840"/>
          <w:pgMar w:header="872" w:footer="995" w:top="1100" w:bottom="1180" w:left="1260" w:right="920"/>
        </w:sectPr>
      </w:pPr>
    </w:p>
    <w:p>
      <w:pPr>
        <w:pStyle w:val="BodyText"/>
        <w:spacing w:before="4"/>
        <w:rPr>
          <w:sz w:val="27"/>
        </w:rPr>
      </w:pPr>
    </w:p>
    <w:p>
      <w:pPr>
        <w:pStyle w:val="ListParagraph"/>
        <w:numPr>
          <w:ilvl w:val="0"/>
          <w:numId w:val="38"/>
        </w:numPr>
        <w:tabs>
          <w:tab w:pos="1490" w:val="left" w:leader="none"/>
        </w:tabs>
        <w:spacing w:line="240" w:lineRule="auto" w:before="71" w:after="0"/>
        <w:ind w:left="1489" w:right="0" w:hanging="530"/>
        <w:jc w:val="left"/>
        <w:rPr>
          <w:sz w:val="21"/>
        </w:rPr>
      </w:pPr>
      <w:r>
        <w:rPr>
          <w:spacing w:val="-3"/>
          <w:sz w:val="21"/>
        </w:rPr>
        <w:t>分享基金财产收益。</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依法申请赎回其持有的基金份额。</w:t>
      </w:r>
    </w:p>
    <w:p>
      <w:pPr>
        <w:pStyle w:val="BodyText"/>
        <w:spacing w:before="6"/>
        <w:rPr>
          <w:sz w:val="15"/>
        </w:rPr>
      </w:pPr>
    </w:p>
    <w:p>
      <w:pPr>
        <w:pStyle w:val="ListParagraph"/>
        <w:numPr>
          <w:ilvl w:val="0"/>
          <w:numId w:val="38"/>
        </w:numPr>
        <w:tabs>
          <w:tab w:pos="1490" w:val="left" w:leader="none"/>
        </w:tabs>
        <w:spacing w:line="240" w:lineRule="auto" w:before="1" w:after="0"/>
        <w:ind w:left="1489" w:right="0" w:hanging="530"/>
        <w:jc w:val="left"/>
        <w:rPr>
          <w:sz w:val="21"/>
        </w:rPr>
      </w:pPr>
      <w:r>
        <w:rPr>
          <w:spacing w:val="-3"/>
          <w:sz w:val="21"/>
        </w:rPr>
        <w:t>按照规定要求召开基金份额持有人大会，或者召集基金份额持有人大会。</w:t>
      </w:r>
    </w:p>
    <w:p>
      <w:pPr>
        <w:pStyle w:val="BodyText"/>
        <w:spacing w:before="6"/>
        <w:rPr>
          <w:sz w:val="15"/>
        </w:rPr>
      </w:pPr>
    </w:p>
    <w:p>
      <w:pPr>
        <w:pStyle w:val="ListParagraph"/>
        <w:numPr>
          <w:ilvl w:val="0"/>
          <w:numId w:val="38"/>
        </w:numPr>
        <w:tabs>
          <w:tab w:pos="1492" w:val="left" w:leader="none"/>
        </w:tabs>
        <w:spacing w:line="417" w:lineRule="auto" w:before="0" w:after="0"/>
        <w:ind w:left="540" w:right="87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查阅或者复制公开披露的基金信息资料。</w:t>
      </w:r>
    </w:p>
    <w:p>
      <w:pPr>
        <w:pStyle w:val="BodyText"/>
        <w:spacing w:before="8"/>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监督基金管理人的投资运作。</w:t>
      </w:r>
    </w:p>
    <w:p>
      <w:pPr>
        <w:pStyle w:val="BodyText"/>
        <w:spacing w:before="6"/>
        <w:rPr>
          <w:sz w:val="15"/>
        </w:rPr>
      </w:pPr>
    </w:p>
    <w:p>
      <w:pPr>
        <w:pStyle w:val="ListParagraph"/>
        <w:numPr>
          <w:ilvl w:val="0"/>
          <w:numId w:val="38"/>
        </w:numPr>
        <w:tabs>
          <w:tab w:pos="1492" w:val="left" w:leader="none"/>
        </w:tabs>
        <w:spacing w:line="417" w:lineRule="auto" w:before="0" w:after="0"/>
        <w:ind w:left="540" w:right="874" w:firstLine="419"/>
        <w:jc w:val="left"/>
        <w:rPr>
          <w:sz w:val="21"/>
        </w:rPr>
      </w:pPr>
      <w:r>
        <w:rPr>
          <w:spacing w:val="-3"/>
          <w:sz w:val="21"/>
        </w:rPr>
        <w:t>对基金管理人、基金托管人、基金服务机构损害其合法权益的行为依法提起诉讼或仲裁。</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540" w:right="874" w:firstLine="419"/>
      </w:pPr>
      <w:r>
        <w:rPr>
          <w:rFonts w:ascii="Calibri" w:eastAsia="Calibri"/>
        </w:rPr>
        <w:t>2</w:t>
      </w:r>
      <w:r>
        <w:rPr>
          <w:spacing w:val="-17"/>
        </w:rPr>
        <w:t>、根据《基金法》、《运作办法》及其他有关规定，基金份额持有人的义务包括但不限于：</w:t>
      </w:r>
    </w:p>
    <w:p>
      <w:pPr>
        <w:pStyle w:val="ListParagraph"/>
        <w:numPr>
          <w:ilvl w:val="0"/>
          <w:numId w:val="39"/>
        </w:numPr>
        <w:tabs>
          <w:tab w:pos="1490" w:val="left" w:leader="none"/>
        </w:tabs>
        <w:spacing w:line="269" w:lineRule="exact" w:before="0" w:after="0"/>
        <w:ind w:left="1489" w:right="0" w:hanging="530"/>
        <w:jc w:val="left"/>
        <w:rPr>
          <w:sz w:val="21"/>
        </w:rPr>
      </w:pPr>
      <w:r>
        <w:rPr>
          <w:spacing w:val="-11"/>
          <w:sz w:val="21"/>
        </w:rPr>
        <w:t>认真阅读并遵守《基金合同》。</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缴纳基金认购、申购、赎回款项及法律法规和《基金合同》所规定的费用。</w:t>
      </w:r>
    </w:p>
    <w:p>
      <w:pPr>
        <w:pStyle w:val="BodyText"/>
        <w:spacing w:before="6"/>
        <w:rPr>
          <w:sz w:val="15"/>
        </w:rPr>
      </w:pPr>
    </w:p>
    <w:p>
      <w:pPr>
        <w:pStyle w:val="ListParagraph"/>
        <w:numPr>
          <w:ilvl w:val="0"/>
          <w:numId w:val="39"/>
        </w:numPr>
        <w:tabs>
          <w:tab w:pos="1490" w:val="left" w:leader="none"/>
        </w:tabs>
        <w:spacing w:line="240" w:lineRule="auto" w:before="1" w:after="0"/>
        <w:ind w:left="1489" w:right="0" w:hanging="530"/>
        <w:jc w:val="left"/>
        <w:rPr>
          <w:sz w:val="21"/>
        </w:rPr>
      </w:pPr>
      <w:r>
        <w:rPr>
          <w:spacing w:val="-3"/>
          <w:sz w:val="21"/>
        </w:rPr>
        <w:t>在其持有的基金份额范围内，承担基金亏损或者《基金合同》终止的有限责任。</w:t>
      </w:r>
    </w:p>
    <w:p>
      <w:pPr>
        <w:pStyle w:val="BodyText"/>
        <w:spacing w:before="6"/>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法律法规及中国证监会规定的和《基金合同》约定的其他义务。</w:t>
      </w:r>
    </w:p>
    <w:p>
      <w:pPr>
        <w:pStyle w:val="BodyText"/>
        <w:spacing w:before="7"/>
        <w:rPr>
          <w:sz w:val="15"/>
        </w:rPr>
      </w:pPr>
    </w:p>
    <w:p>
      <w:pPr>
        <w:tabs>
          <w:tab w:pos="3008" w:val="left" w:leader="none"/>
        </w:tabs>
        <w:spacing w:before="0"/>
        <w:ind w:left="1953" w:right="0" w:firstLine="0"/>
        <w:jc w:val="left"/>
        <w:rPr>
          <w:b/>
          <w:sz w:val="21"/>
        </w:rPr>
      </w:pPr>
      <w:r>
        <w:rPr>
          <w:b/>
          <w:sz w:val="21"/>
        </w:rPr>
        <w:t>第二部分</w:t>
        <w:tab/>
        <w:t>基金份额持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的程序和规则</w:t>
      </w:r>
    </w:p>
    <w:p>
      <w:pPr>
        <w:pStyle w:val="BodyText"/>
        <w:spacing w:before="7"/>
        <w:rPr>
          <w:b/>
          <w:sz w:val="15"/>
        </w:rPr>
      </w:pPr>
    </w:p>
    <w:p>
      <w:pPr>
        <w:pStyle w:val="BodyText"/>
        <w:spacing w:line="417" w:lineRule="auto"/>
        <w:ind w:left="540" w:right="76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960"/>
      </w:pPr>
      <w:r>
        <w:rPr/>
        <w:t>一、召开事由</w:t>
      </w:r>
    </w:p>
    <w:p>
      <w:pPr>
        <w:pStyle w:val="BodyText"/>
        <w:spacing w:before="6"/>
        <w:rPr>
          <w:sz w:val="15"/>
        </w:rPr>
      </w:pPr>
    </w:p>
    <w:p>
      <w:pPr>
        <w:pStyle w:val="BodyText"/>
        <w:spacing w:line="417" w:lineRule="auto"/>
        <w:ind w:left="540" w:right="874" w:firstLine="419"/>
      </w:pPr>
      <w:r>
        <w:rPr>
          <w:rFonts w:ascii="Calibri" w:eastAsia="Calibri"/>
        </w:rPr>
        <w:t>1</w:t>
      </w:r>
      <w:r>
        <w:rPr/>
        <w:t>、当出现或需要决定下列事由之一的，应当召开基金份额持有人大会，法律法规和中国证监会另有规定的除外：</w:t>
      </w:r>
    </w:p>
    <w:p>
      <w:pPr>
        <w:pStyle w:val="ListParagraph"/>
        <w:numPr>
          <w:ilvl w:val="0"/>
          <w:numId w:val="40"/>
        </w:numPr>
        <w:tabs>
          <w:tab w:pos="1490" w:val="left" w:leader="none"/>
        </w:tabs>
        <w:spacing w:line="240" w:lineRule="auto" w:before="1" w:after="0"/>
        <w:ind w:left="1489" w:right="0" w:hanging="530"/>
        <w:jc w:val="left"/>
        <w:rPr>
          <w:sz w:val="21"/>
        </w:rPr>
      </w:pPr>
      <w:r>
        <w:rPr>
          <w:spacing w:val="-16"/>
          <w:sz w:val="21"/>
        </w:rPr>
        <w:t>终止《基金合同》。</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ListParagraph"/>
        <w:numPr>
          <w:ilvl w:val="0"/>
          <w:numId w:val="40"/>
        </w:numPr>
        <w:tabs>
          <w:tab w:pos="1490" w:val="left" w:leader="none"/>
        </w:tabs>
        <w:spacing w:line="240" w:lineRule="auto" w:before="71" w:after="0"/>
        <w:ind w:left="1489" w:right="0" w:hanging="530"/>
        <w:jc w:val="left"/>
        <w:rPr>
          <w:sz w:val="21"/>
        </w:rPr>
      </w:pPr>
      <w:r>
        <w:rPr>
          <w:spacing w:val="-3"/>
          <w:sz w:val="21"/>
        </w:rPr>
        <w:t>更换基金管理人。</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更换基金托管人。</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转换基金运作方式。</w:t>
      </w:r>
    </w:p>
    <w:p>
      <w:pPr>
        <w:pStyle w:val="BodyText"/>
        <w:spacing w:before="6"/>
        <w:rPr>
          <w:sz w:val="15"/>
        </w:rPr>
      </w:pPr>
    </w:p>
    <w:p>
      <w:pPr>
        <w:pStyle w:val="ListParagraph"/>
        <w:numPr>
          <w:ilvl w:val="0"/>
          <w:numId w:val="40"/>
        </w:numPr>
        <w:tabs>
          <w:tab w:pos="1490" w:val="left" w:leader="none"/>
        </w:tabs>
        <w:spacing w:line="240" w:lineRule="auto" w:before="1" w:after="0"/>
        <w:ind w:left="1489" w:right="0" w:hanging="530"/>
        <w:jc w:val="left"/>
        <w:rPr>
          <w:sz w:val="21"/>
        </w:rPr>
      </w:pPr>
      <w:r>
        <w:rPr>
          <w:spacing w:val="-3"/>
          <w:sz w:val="21"/>
        </w:rPr>
        <w:t>调整基金管理人、基金托管人的报酬标准。</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变更基金类别。</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本基金与其他基金的合并。</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变更基金投资目标、范围或策略。</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变更基金份额持有人大会程序。</w:t>
      </w:r>
    </w:p>
    <w:p>
      <w:pPr>
        <w:pStyle w:val="BodyText"/>
        <w:spacing w:before="7"/>
        <w:rPr>
          <w:sz w:val="15"/>
        </w:rPr>
      </w:pPr>
    </w:p>
    <w:p>
      <w:pPr>
        <w:pStyle w:val="ListParagraph"/>
        <w:numPr>
          <w:ilvl w:val="0"/>
          <w:numId w:val="40"/>
        </w:numPr>
        <w:tabs>
          <w:tab w:pos="1598" w:val="left" w:leader="none"/>
        </w:tabs>
        <w:spacing w:line="240" w:lineRule="auto" w:before="0" w:after="0"/>
        <w:ind w:left="1597" w:right="0" w:hanging="638"/>
        <w:jc w:val="left"/>
        <w:rPr>
          <w:sz w:val="21"/>
        </w:rPr>
      </w:pPr>
      <w:r>
        <w:rPr>
          <w:spacing w:val="-3"/>
          <w:sz w:val="21"/>
        </w:rPr>
        <w:t>基金管理人或基金托管人要求召开基金份额持有人大会。</w:t>
      </w:r>
    </w:p>
    <w:p>
      <w:pPr>
        <w:pStyle w:val="BodyText"/>
        <w:spacing w:before="7"/>
        <w:rPr>
          <w:sz w:val="15"/>
        </w:rPr>
      </w:pPr>
    </w:p>
    <w:p>
      <w:pPr>
        <w:pStyle w:val="ListParagraph"/>
        <w:numPr>
          <w:ilvl w:val="0"/>
          <w:numId w:val="40"/>
        </w:numPr>
        <w:tabs>
          <w:tab w:pos="1598" w:val="left" w:leader="none"/>
        </w:tabs>
        <w:spacing w:line="417" w:lineRule="auto" w:before="0" w:after="0"/>
        <w:ind w:left="540" w:right="871" w:firstLine="419"/>
        <w:jc w:val="both"/>
        <w:rPr>
          <w:sz w:val="21"/>
        </w:rPr>
      </w:pPr>
      <w:r>
        <w:rPr>
          <w:spacing w:val="-3"/>
          <w:sz w:val="21"/>
        </w:rPr>
        <w:t>单独或合计持有本基金总份额</w:t>
      </w:r>
      <w:r>
        <w:rPr>
          <w:rFonts w:ascii="Calibri" w:eastAsia="Calibri"/>
          <w:sz w:val="21"/>
        </w:rPr>
        <w:t>10%</w:t>
      </w:r>
      <w:r>
        <w:rPr>
          <w:spacing w:val="-26"/>
          <w:sz w:val="21"/>
        </w:rPr>
        <w:t>以上</w:t>
      </w:r>
      <w:r>
        <w:rPr>
          <w:sz w:val="21"/>
        </w:rPr>
        <w:t>（含</w:t>
      </w:r>
      <w:r>
        <w:rPr>
          <w:rFonts w:ascii="Calibri" w:eastAsia="Calibri"/>
          <w:spacing w:val="-14"/>
          <w:sz w:val="21"/>
        </w:rPr>
        <w:t>10%</w:t>
      </w:r>
      <w:r>
        <w:rPr>
          <w:spacing w:val="-14"/>
          <w:sz w:val="21"/>
        </w:rPr>
        <w:t>）</w:t>
      </w:r>
      <w:r>
        <w:rPr>
          <w:spacing w:val="-7"/>
          <w:sz w:val="21"/>
        </w:rPr>
        <w:t>基金份额的基金份额持有人</w:t>
      </w:r>
      <w:r>
        <w:rPr>
          <w:sz w:val="21"/>
        </w:rPr>
        <w:t>（ </w:t>
      </w:r>
      <w:r>
        <w:rPr>
          <w:spacing w:val="-6"/>
          <w:sz w:val="21"/>
        </w:rPr>
        <w:t>以基金管理人收到提议当日的基金份额计算，下同</w:t>
      </w:r>
      <w:r>
        <w:rPr>
          <w:spacing w:val="-48"/>
          <w:sz w:val="21"/>
        </w:rPr>
        <w:t>）</w:t>
      </w:r>
      <w:r>
        <w:rPr>
          <w:spacing w:val="-3"/>
          <w:sz w:val="21"/>
        </w:rPr>
        <w:t>就同一事项书面要求召开基金份额持有</w:t>
      </w:r>
      <w:r>
        <w:rPr>
          <w:sz w:val="21"/>
        </w:rPr>
        <w:t>人大会。</w:t>
      </w:r>
    </w:p>
    <w:p>
      <w:pPr>
        <w:pStyle w:val="ListParagraph"/>
        <w:numPr>
          <w:ilvl w:val="0"/>
          <w:numId w:val="40"/>
        </w:numPr>
        <w:tabs>
          <w:tab w:pos="1598" w:val="left" w:leader="none"/>
        </w:tabs>
        <w:spacing w:line="269" w:lineRule="exact" w:before="0" w:after="0"/>
        <w:ind w:left="1597" w:right="0" w:hanging="638"/>
        <w:jc w:val="left"/>
        <w:rPr>
          <w:sz w:val="21"/>
        </w:rPr>
      </w:pPr>
      <w:r>
        <w:rPr>
          <w:spacing w:val="-3"/>
          <w:sz w:val="21"/>
        </w:rPr>
        <w:t>对基金当事人权利和义务产生重大影响的其他事项。</w:t>
      </w:r>
    </w:p>
    <w:p>
      <w:pPr>
        <w:pStyle w:val="BodyText"/>
        <w:spacing w:before="6"/>
        <w:rPr>
          <w:sz w:val="15"/>
        </w:rPr>
      </w:pPr>
    </w:p>
    <w:p>
      <w:pPr>
        <w:pStyle w:val="ListParagraph"/>
        <w:numPr>
          <w:ilvl w:val="0"/>
          <w:numId w:val="40"/>
        </w:numPr>
        <w:tabs>
          <w:tab w:pos="1598" w:val="left" w:leader="none"/>
        </w:tabs>
        <w:spacing w:line="417" w:lineRule="auto" w:before="0" w:after="0"/>
        <w:ind w:left="540" w:right="871"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417" w:lineRule="auto" w:before="1"/>
        <w:ind w:left="540" w:right="768" w:firstLine="419"/>
      </w:pPr>
      <w:r>
        <w:rPr>
          <w:rFonts w:ascii="Calibri" w:eastAsia="Calibri"/>
        </w:rPr>
        <w:t>2</w:t>
      </w:r>
      <w:r>
        <w:rPr>
          <w:spacing w:val="-3"/>
        </w:rPr>
        <w:t>、在法律法规规定、基金合同约定的范围内，对基金份额持有人无实质性不利影响的</w:t>
      </w:r>
      <w:r>
        <w:rPr>
          <w:spacing w:val="-17"/>
        </w:rPr>
        <w:t>前提下，以下情况可由基金管理人和基金托管人协商后修改，不需召开基金份额持有人大会：</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法律法规要求增加的基金费用的收取。</w:t>
      </w:r>
    </w:p>
    <w:p>
      <w:pPr>
        <w:pStyle w:val="BodyText"/>
        <w:spacing w:before="6"/>
        <w:rPr>
          <w:sz w:val="15"/>
        </w:rPr>
      </w:pPr>
    </w:p>
    <w:p>
      <w:pPr>
        <w:pStyle w:val="ListParagraph"/>
        <w:numPr>
          <w:ilvl w:val="0"/>
          <w:numId w:val="41"/>
        </w:numPr>
        <w:tabs>
          <w:tab w:pos="1492" w:val="left" w:leader="none"/>
        </w:tabs>
        <w:spacing w:line="417" w:lineRule="auto" w:before="0" w:after="0"/>
        <w:ind w:left="540" w:right="874" w:firstLine="419"/>
        <w:jc w:val="left"/>
        <w:rPr>
          <w:sz w:val="21"/>
        </w:rPr>
      </w:pPr>
      <w:r>
        <w:rPr>
          <w:spacing w:val="-3"/>
          <w:sz w:val="21"/>
        </w:rPr>
        <w:t>增加、减少、调整基金份额类别设置或调整本基金的申购费率、赎回费率、销售服务费率或收费方式。</w:t>
      </w:r>
    </w:p>
    <w:p>
      <w:pPr>
        <w:pStyle w:val="ListParagraph"/>
        <w:numPr>
          <w:ilvl w:val="0"/>
          <w:numId w:val="41"/>
        </w:numPr>
        <w:tabs>
          <w:tab w:pos="1492" w:val="left" w:leader="none"/>
        </w:tabs>
        <w:spacing w:line="417" w:lineRule="auto" w:before="0" w:after="0"/>
        <w:ind w:left="540" w:right="874" w:firstLine="419"/>
        <w:jc w:val="left"/>
        <w:rPr>
          <w:sz w:val="21"/>
        </w:rPr>
      </w:pPr>
      <w:r>
        <w:rPr>
          <w:spacing w:val="-3"/>
          <w:sz w:val="21"/>
        </w:rPr>
        <w:t>基金管理人、登记机构、销售机构调整有关基金认购、申购、赎回、转换、收益分配、非交易过户、转托管等业务的规则。</w:t>
      </w: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增加、减少或调整基金销售币种。</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1"/>
        </w:numPr>
        <w:tabs>
          <w:tab w:pos="1490" w:val="left" w:leader="none"/>
        </w:tabs>
        <w:spacing w:line="417" w:lineRule="auto" w:before="0" w:after="0"/>
        <w:ind w:left="540" w:right="87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1"/>
        </w:numPr>
        <w:tabs>
          <w:tab w:pos="1490" w:val="left" w:leader="none"/>
        </w:tabs>
        <w:spacing w:line="417" w:lineRule="auto" w:before="0" w:after="0"/>
        <w:ind w:left="960" w:right="1090"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40" w:right="874" w:firstLine="419"/>
      </w:pPr>
      <w:r>
        <w:rPr>
          <w:rFonts w:ascii="Calibri" w:eastAsia="Calibri"/>
        </w:rPr>
        <w:t>1</w:t>
      </w:r>
      <w:r>
        <w:rPr/>
        <w:t>、除法律法规规定或《基金合同》另有约定外，基金份额持有人大会由基金管理人召集。</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before="71"/>
        <w:ind w:left="960"/>
      </w:pPr>
      <w:r>
        <w:rPr>
          <w:rFonts w:ascii="Calibri" w:eastAsia="Calibri"/>
        </w:rPr>
        <w:t>2</w:t>
      </w:r>
      <w:r>
        <w:rPr/>
        <w:t>、基金管理人未按规定召集或不能召集时，由基金托管人召集。</w:t>
      </w:r>
    </w:p>
    <w:p>
      <w:pPr>
        <w:pStyle w:val="BodyText"/>
        <w:spacing w:before="7"/>
        <w:rPr>
          <w:sz w:val="15"/>
        </w:rPr>
      </w:pPr>
    </w:p>
    <w:p>
      <w:pPr>
        <w:pStyle w:val="BodyText"/>
        <w:spacing w:line="417" w:lineRule="auto"/>
        <w:ind w:left="540" w:right="765" w:firstLine="419"/>
      </w:pPr>
      <w:r>
        <w:rPr>
          <w:rFonts w:ascii="Calibri" w:eastAsia="Calibri"/>
        </w:rPr>
        <w:t>3</w:t>
      </w:r>
      <w:r>
        <w:rPr>
          <w:spacing w:val="-3"/>
        </w:rPr>
        <w:t>、基金托管人认为有必要召开基金份额持有人大会的，应当向基金管理人提出书面提议。基金管理人应当自收到书面提议之日起</w:t>
      </w:r>
      <w:r>
        <w:rPr>
          <w:rFonts w:ascii="Calibri" w:eastAsia="Calibri"/>
        </w:rPr>
        <w:t>10</w:t>
      </w:r>
      <w:r>
        <w:rPr>
          <w:spacing w:val="-3"/>
        </w:rPr>
        <w:t>日内决定是否召集，并书面告知基金托管人。基金管理人决定召集的，应当自出具书面决定之日起</w:t>
      </w:r>
      <w:r>
        <w:rPr>
          <w:rFonts w:ascii="Calibri" w:eastAsia="Calibri"/>
        </w:rPr>
        <w:t>60</w:t>
      </w:r>
      <w:r>
        <w:rPr>
          <w:spacing w:val="-3"/>
        </w:rPr>
        <w:t>日内召开；基金管理人决定不召集， 基金托管人仍认为有必要召开的，应当由基金托管人自行召集。</w:t>
      </w:r>
    </w:p>
    <w:p>
      <w:pPr>
        <w:pStyle w:val="BodyText"/>
        <w:spacing w:line="417" w:lineRule="auto"/>
        <w:ind w:left="540" w:right="871" w:firstLine="419"/>
        <w:jc w:val="both"/>
      </w:pPr>
      <w:r>
        <w:rPr>
          <w:rFonts w:ascii="Calibri" w:eastAsia="Calibri"/>
        </w:rPr>
        <w:t>4</w:t>
      </w:r>
      <w:r>
        <w:rPr>
          <w:spacing w:val="-7"/>
        </w:rPr>
        <w:t>、代表基金份额</w:t>
      </w:r>
      <w:r>
        <w:rPr>
          <w:rFonts w:ascii="Calibri" w:eastAsia="Calibri"/>
        </w:rPr>
        <w:t>10%</w:t>
      </w:r>
      <w:r>
        <w:rPr>
          <w:spacing w:val="-18"/>
        </w:rPr>
        <w:t>以上</w:t>
      </w:r>
      <w:r>
        <w:rPr/>
        <w:t>（</w:t>
      </w:r>
      <w:r>
        <w:rPr>
          <w:spacing w:val="-3"/>
        </w:rPr>
        <w:t>含</w:t>
      </w:r>
      <w:r>
        <w:rPr>
          <w:rFonts w:ascii="Calibri" w:eastAsia="Calibri"/>
          <w:spacing w:val="-9"/>
        </w:rPr>
        <w:t>10%</w:t>
      </w:r>
      <w:r>
        <w:rPr>
          <w:spacing w:val="-9"/>
        </w:rPr>
        <w:t>）</w:t>
      </w:r>
      <w:r>
        <w:rPr>
          <w:spacing w:val="-3"/>
        </w:rPr>
        <w:t>的基金份额持有人就同一事项书面要求召开基金份</w:t>
      </w:r>
      <w:r>
        <w:rPr>
          <w:spacing w:val="-11"/>
        </w:rPr>
        <w:t>额持有人大会，应当向基金管理人提出书面提议。基金管理人应当自收到书面提议之日起</w:t>
      </w:r>
      <w:r>
        <w:rPr>
          <w:rFonts w:ascii="Calibri" w:eastAsia="Calibri"/>
        </w:rPr>
        <w:t>10 </w:t>
      </w:r>
      <w:r>
        <w:rPr>
          <w:spacing w:val="-11"/>
        </w:rPr>
        <w:t>日内决定是否召集，并书面告知提出提议的基金份额持有人代表和基金托管人。基金管理人</w:t>
      </w:r>
      <w:r>
        <w:rPr>
          <w:spacing w:val="-9"/>
        </w:rPr>
        <w:t>决定召集的，应当自出具书面决定之日起</w:t>
      </w:r>
      <w:r>
        <w:rPr>
          <w:rFonts w:ascii="Calibri" w:eastAsia="Calibri"/>
        </w:rPr>
        <w:t>60</w:t>
      </w:r>
      <w:r>
        <w:rPr>
          <w:spacing w:val="-10"/>
        </w:rPr>
        <w:t>日内召开；基金管理人决定不召集，代表基金份额</w:t>
      </w:r>
      <w:r>
        <w:rPr>
          <w:rFonts w:ascii="Calibri" w:eastAsia="Calibri"/>
          <w:spacing w:val="-10"/>
        </w:rPr>
        <w:t>10%</w:t>
      </w:r>
      <w:r>
        <w:rPr>
          <w:spacing w:val="-7"/>
        </w:rPr>
        <w:t>以上</w:t>
      </w:r>
      <w:r>
        <w:rPr/>
        <w:t>（</w:t>
      </w:r>
      <w:r>
        <w:rPr>
          <w:spacing w:val="-3"/>
        </w:rPr>
        <w:t>含</w:t>
      </w:r>
      <w:r>
        <w:rPr>
          <w:rFonts w:ascii="Calibri" w:eastAsia="Calibri"/>
        </w:rPr>
        <w:t>10%</w:t>
      </w:r>
      <w:r>
        <w:rPr/>
        <w:t>）</w:t>
      </w:r>
      <w:r>
        <w:rPr>
          <w:spacing w:val="-3"/>
        </w:rPr>
        <w:t>的基金份额持有人仍认为有必要召开的，应当向基金托管人提出书面</w:t>
      </w:r>
      <w:r>
        <w:rPr>
          <w:spacing w:val="-9"/>
        </w:rPr>
        <w:t>提议。基金托管人应当自收到书面提议之日起</w:t>
      </w:r>
      <w:r>
        <w:rPr>
          <w:rFonts w:ascii="Calibri" w:eastAsia="Calibri"/>
        </w:rPr>
        <w:t>10</w:t>
      </w:r>
      <w:r>
        <w:rPr>
          <w:spacing w:val="-9"/>
        </w:rPr>
        <w:t>日内决定是否召集，并书面告知提出提议的</w:t>
      </w:r>
      <w:r>
        <w:rPr>
          <w:spacing w:val="-10"/>
        </w:rPr>
        <w:t>基金份额持有人代表和基金管理人；基金托管人决定召集的，应当自出具书面决定之日起</w:t>
      </w:r>
      <w:r>
        <w:rPr>
          <w:rFonts w:ascii="Calibri" w:eastAsia="Calibri"/>
        </w:rPr>
        <w:t>60 </w:t>
      </w:r>
      <w:r>
        <w:rPr>
          <w:spacing w:val="-1"/>
        </w:rPr>
        <w:t>日内召开。</w:t>
      </w:r>
    </w:p>
    <w:p>
      <w:pPr>
        <w:pStyle w:val="BodyText"/>
        <w:spacing w:line="417" w:lineRule="auto"/>
        <w:ind w:left="540" w:right="871" w:firstLine="419"/>
        <w:jc w:val="both"/>
      </w:pPr>
      <w:r>
        <w:rPr>
          <w:rFonts w:ascii="Calibri" w:eastAsia="Calibri"/>
        </w:rPr>
        <w:t>5</w:t>
      </w:r>
      <w:r>
        <w:rPr>
          <w:spacing w:val="-7"/>
        </w:rPr>
        <w:t>、代表基金份额</w:t>
      </w:r>
      <w:r>
        <w:rPr>
          <w:rFonts w:ascii="Calibri" w:eastAsia="Calibri"/>
        </w:rPr>
        <w:t>10%</w:t>
      </w:r>
      <w:r>
        <w:rPr>
          <w:spacing w:val="-18"/>
        </w:rPr>
        <w:t>以上</w:t>
      </w:r>
      <w:r>
        <w:rPr/>
        <w:t>（</w:t>
      </w:r>
      <w:r>
        <w:rPr>
          <w:spacing w:val="-3"/>
        </w:rPr>
        <w:t>含</w:t>
      </w:r>
      <w:r>
        <w:rPr>
          <w:rFonts w:ascii="Calibri" w:eastAsia="Calibri"/>
          <w:spacing w:val="-9"/>
        </w:rPr>
        <w:t>10%</w:t>
      </w:r>
      <w:r>
        <w:rPr>
          <w:spacing w:val="-9"/>
        </w:rPr>
        <w:t>）</w:t>
      </w:r>
      <w:r>
        <w:rPr>
          <w:spacing w:val="-3"/>
        </w:rPr>
        <w:t>的基金份额持有人就同一事项要求召开基金份额持</w:t>
      </w:r>
      <w:r>
        <w:rPr>
          <w:spacing w:val="-7"/>
        </w:rPr>
        <w:t>有人大会，而基金管理人、基金托管人都不召集的，单独或合计代表基金份额</w:t>
      </w:r>
      <w:r>
        <w:rPr>
          <w:rFonts w:ascii="Calibri" w:eastAsia="Calibri"/>
        </w:rPr>
        <w:t>10%</w:t>
      </w:r>
      <w:r>
        <w:rPr>
          <w:spacing w:val="-7"/>
        </w:rPr>
        <w:t>以上</w:t>
      </w:r>
      <w:r>
        <w:rPr/>
        <w:t>（含</w:t>
      </w:r>
      <w:r>
        <w:rPr>
          <w:rFonts w:ascii="Calibri" w:eastAsia="Calibri"/>
          <w:spacing w:val="-5"/>
        </w:rPr>
        <w:t>10%</w:t>
      </w:r>
      <w:r>
        <w:rPr>
          <w:spacing w:val="-5"/>
        </w:rPr>
        <w:t>）</w:t>
      </w:r>
      <w:r>
        <w:rPr>
          <w:spacing w:val="-4"/>
        </w:rPr>
        <w:t>的基金份额持有人有权自行召集，并至少提前</w:t>
      </w:r>
      <w:r>
        <w:rPr>
          <w:rFonts w:ascii="Calibri" w:eastAsia="Calibri"/>
        </w:rPr>
        <w:t>30</w:t>
      </w:r>
      <w:r>
        <w:rPr>
          <w:spacing w:val="-5"/>
        </w:rPr>
        <w:t>日报中国证监会备案。基金份额持有</w:t>
      </w:r>
      <w:r>
        <w:rPr>
          <w:spacing w:val="-9"/>
        </w:rPr>
        <w:t>人依法自行召集基金份额持有人大会的，基金管理人、基金托管人应当配合，不得阻碍、干扰。</w:t>
      </w:r>
    </w:p>
    <w:p>
      <w:pPr>
        <w:pStyle w:val="BodyText"/>
        <w:spacing w:line="417" w:lineRule="auto"/>
        <w:ind w:left="960" w:right="881"/>
      </w:pPr>
      <w:r>
        <w:rPr>
          <w:rFonts w:ascii="Calibri" w:eastAsia="Calibri"/>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873" w:firstLine="419"/>
      </w:pPr>
      <w:r>
        <w:rPr>
          <w:rFonts w:ascii="Calibri" w:eastAsia="Calibri"/>
        </w:rPr>
        <w:t>1</w:t>
      </w:r>
      <w:r>
        <w:rPr/>
        <w:t>、召开基金份额持有人大会，召集人应于会议召开前</w:t>
      </w:r>
      <w:r>
        <w:rPr>
          <w:rFonts w:ascii="Calibri" w:eastAsia="Calibri"/>
        </w:rPr>
        <w:t>30</w:t>
      </w:r>
      <w:r>
        <w:rPr/>
        <w:t>日，在指定媒介公告。基金份额持有人大会通知应至少载明以下内容：</w:t>
      </w: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会议召开的时间、地点和会议形式。</w:t>
      </w:r>
    </w:p>
    <w:p>
      <w:pPr>
        <w:pStyle w:val="ListParagraph"/>
        <w:numPr>
          <w:ilvl w:val="0"/>
          <w:numId w:val="42"/>
        </w:numPr>
        <w:tabs>
          <w:tab w:pos="1490" w:val="left" w:leader="none"/>
        </w:tabs>
        <w:spacing w:line="240" w:lineRule="auto" w:before="197" w:after="0"/>
        <w:ind w:left="148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6"/>
        <w:rPr>
          <w:sz w:val="15"/>
        </w:rPr>
      </w:pPr>
    </w:p>
    <w:p>
      <w:pPr>
        <w:pStyle w:val="ListParagraph"/>
        <w:numPr>
          <w:ilvl w:val="0"/>
          <w:numId w:val="42"/>
        </w:numPr>
        <w:tabs>
          <w:tab w:pos="1492" w:val="left" w:leader="none"/>
        </w:tabs>
        <w:spacing w:line="417" w:lineRule="auto" w:before="1" w:after="0"/>
        <w:ind w:left="540" w:right="874" w:firstLine="419"/>
        <w:jc w:val="left"/>
        <w:rPr>
          <w:sz w:val="21"/>
        </w:rPr>
      </w:pPr>
      <w:r>
        <w:rPr>
          <w:spacing w:val="-3"/>
          <w:sz w:val="21"/>
        </w:rPr>
        <w:t>授权委托证明的内容要求（包括但不限于代理人身份，代理权限和代理有效期限等</w:t>
      </w:r>
      <w:r>
        <w:rPr>
          <w:spacing w:val="-106"/>
          <w:sz w:val="21"/>
        </w:rPr>
        <w:t>）</w:t>
      </w:r>
      <w:r>
        <w:rPr>
          <w:spacing w:val="-3"/>
          <w:sz w:val="21"/>
        </w:rPr>
        <w:t>、送达时间和地点。</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2"/>
        </w:numPr>
        <w:tabs>
          <w:tab w:pos="1490" w:val="left" w:leader="none"/>
        </w:tabs>
        <w:spacing w:line="240" w:lineRule="auto" w:before="1" w:after="0"/>
        <w:ind w:left="1489" w:right="0" w:hanging="530"/>
        <w:jc w:val="left"/>
        <w:rPr>
          <w:sz w:val="21"/>
        </w:rPr>
      </w:pPr>
      <w:r>
        <w:rPr>
          <w:spacing w:val="-3"/>
          <w:sz w:val="21"/>
        </w:rPr>
        <w:t>召集人需要通知的其他事项。</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jc w:val="both"/>
      </w:pPr>
      <w:r>
        <w:rPr>
          <w:rFonts w:ascii="Calibri" w:eastAsia="Calibri"/>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871" w:firstLine="419"/>
        <w:jc w:val="both"/>
      </w:pPr>
      <w:r>
        <w:rPr>
          <w:rFonts w:ascii="Calibri" w:eastAsia="Calibri"/>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960"/>
      </w:pPr>
      <w:r>
        <w:rPr/>
        <w:t>四、基金份额持有人出席会议的方式</w:t>
      </w:r>
    </w:p>
    <w:p>
      <w:pPr>
        <w:pStyle w:val="BodyText"/>
        <w:spacing w:before="6"/>
        <w:rPr>
          <w:sz w:val="15"/>
        </w:rPr>
      </w:pPr>
    </w:p>
    <w:p>
      <w:pPr>
        <w:pStyle w:val="BodyText"/>
        <w:spacing w:line="417" w:lineRule="auto" w:before="1"/>
        <w:ind w:left="540" w:right="87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871" w:firstLine="419"/>
        <w:jc w:val="both"/>
      </w:pPr>
      <w:r>
        <w:rPr>
          <w:rFonts w:ascii="Calibri" w:eastAsia="Calibri"/>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3"/>
        </w:numPr>
        <w:tabs>
          <w:tab w:pos="1492" w:val="left" w:leader="none"/>
        </w:tabs>
        <w:spacing w:line="417" w:lineRule="auto" w:before="0" w:after="0"/>
        <w:ind w:left="540" w:right="87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3"/>
        </w:numPr>
        <w:tabs>
          <w:tab w:pos="1492" w:val="left" w:leader="none"/>
        </w:tabs>
        <w:spacing w:line="417" w:lineRule="auto" w:before="0" w:after="0"/>
        <w:ind w:left="540" w:right="873" w:firstLine="419"/>
        <w:jc w:val="left"/>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3"/>
          <w:w w:val="100"/>
          <w:sz w:val="21"/>
        </w:rPr>
        <w:t>（</w:t>
      </w:r>
      <w:r>
        <w:rPr>
          <w:w w:val="100"/>
          <w:sz w:val="21"/>
        </w:rPr>
        <w:t>含</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108"/>
          <w:w w:val="100"/>
          <w:sz w:val="21"/>
        </w:rPr>
        <w:t>）。</w:t>
      </w:r>
    </w:p>
    <w:p>
      <w:pPr>
        <w:pStyle w:val="BodyText"/>
        <w:spacing w:line="417" w:lineRule="auto"/>
        <w:ind w:left="540" w:right="87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5"/>
        </w:rPr>
        <w:t>新召集基金份额持有人大会。重新召集的基金份额持有人大会，应当有代表</w:t>
      </w:r>
      <w:r>
        <w:rPr>
          <w:rFonts w:ascii="Calibri" w:eastAsia="Calibri"/>
        </w:rPr>
        <w:t>1/3</w:t>
      </w:r>
      <w:r>
        <w:rPr>
          <w:spacing w:val="-45"/>
        </w:rPr>
        <w:t>以上</w:t>
      </w:r>
      <w:r>
        <w:rPr/>
        <w:t>（含</w:t>
      </w:r>
      <w:r>
        <w:rPr>
          <w:rFonts w:ascii="Calibri" w:eastAsia="Calibri"/>
        </w:rPr>
        <w:t>1/3</w:t>
      </w:r>
      <w:r>
        <w:rPr/>
        <w:t>） </w:t>
      </w:r>
      <w:r>
        <w:rPr>
          <w:spacing w:val="-3"/>
        </w:rPr>
        <w:t>基金份额的基金份额持有人或其代理人参加，方可召开。</w:t>
      </w:r>
    </w:p>
    <w:p>
      <w:pPr>
        <w:pStyle w:val="BodyText"/>
        <w:spacing w:line="417" w:lineRule="auto"/>
        <w:ind w:left="540" w:right="874" w:firstLine="419"/>
      </w:pPr>
      <w:r>
        <w:rPr>
          <w:rFonts w:ascii="Calibri" w:eastAsia="Calibri"/>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960"/>
      </w:pPr>
      <w:r>
        <w:rPr/>
        <w:t>在同时符合以下条件时，通讯开会的方式视为有效：</w:t>
      </w:r>
    </w:p>
    <w:p>
      <w:pPr>
        <w:pStyle w:val="BodyText"/>
        <w:spacing w:before="5"/>
        <w:rPr>
          <w:sz w:val="15"/>
        </w:rPr>
      </w:pPr>
    </w:p>
    <w:p>
      <w:pPr>
        <w:pStyle w:val="ListParagraph"/>
        <w:numPr>
          <w:ilvl w:val="0"/>
          <w:numId w:val="44"/>
        </w:numPr>
        <w:tabs>
          <w:tab w:pos="1490" w:val="left" w:leader="none"/>
        </w:tabs>
        <w:spacing w:line="417" w:lineRule="auto" w:before="0" w:after="0"/>
        <w:ind w:left="540" w:right="873" w:firstLine="419"/>
        <w:jc w:val="left"/>
        <w:rPr>
          <w:sz w:val="21"/>
        </w:rPr>
      </w:pPr>
      <w:r>
        <w:rPr>
          <w:spacing w:val="-10"/>
          <w:sz w:val="21"/>
        </w:rPr>
        <w:t>会议召集人按《基金合同》约定公布会议通知后，在</w:t>
      </w:r>
      <w:r>
        <w:rPr>
          <w:rFonts w:ascii="Calibri" w:eastAsia="Calibri"/>
          <w:sz w:val="21"/>
        </w:rPr>
        <w:t>2</w:t>
      </w:r>
      <w:r>
        <w:rPr>
          <w:spacing w:val="-3"/>
          <w:sz w:val="21"/>
        </w:rPr>
        <w:t>个工作日内连续公布相关 </w:t>
      </w:r>
      <w:r>
        <w:rPr>
          <w:spacing w:val="-1"/>
          <w:sz w:val="21"/>
        </w:rPr>
        <w:t>提示性公告。</w:t>
      </w:r>
    </w:p>
    <w:p>
      <w:pPr>
        <w:pStyle w:val="ListParagraph"/>
        <w:numPr>
          <w:ilvl w:val="0"/>
          <w:numId w:val="44"/>
        </w:numPr>
        <w:tabs>
          <w:tab w:pos="1492" w:val="left" w:leader="none"/>
        </w:tabs>
        <w:spacing w:line="240" w:lineRule="auto" w:before="0" w:after="0"/>
        <w:ind w:left="1491" w:right="0" w:hanging="532"/>
        <w:jc w:val="left"/>
        <w:rPr>
          <w:sz w:val="21"/>
        </w:rPr>
      </w:pPr>
      <w:r>
        <w:rPr>
          <w:spacing w:val="-3"/>
          <w:sz w:val="21"/>
        </w:rPr>
        <w:t>召集人按基金合同约定通知基金托管人（如果基金托管人为召集人，则为基金管</w:t>
      </w:r>
    </w:p>
    <w:p>
      <w:pPr>
        <w:spacing w:after="0" w:line="240"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jc w:val="both"/>
      </w:pPr>
      <w:r>
        <w:rPr>
          <w:spacing w:val="-2"/>
        </w:rPr>
        <w:t>理人</w:t>
      </w:r>
      <w:r>
        <w:rPr>
          <w:spacing w:val="-32"/>
        </w:rPr>
        <w:t>）</w:t>
      </w:r>
      <w:r>
        <w:rPr>
          <w:spacing w:val="-6"/>
        </w:rPr>
        <w:t>到指定地点对书面表决意见的计票进行监督。会议召集人在基金托管人</w:t>
      </w:r>
      <w:r>
        <w:rPr>
          <w:spacing w:val="-3"/>
        </w:rPr>
        <w:t>（如果基金托</w:t>
      </w:r>
      <w:r>
        <w:rPr>
          <w:spacing w:val="-9"/>
        </w:rPr>
        <w:t>管人为召集人，则为基金管理人</w:t>
      </w:r>
      <w:r>
        <w:rPr>
          <w:spacing w:val="-48"/>
        </w:rPr>
        <w:t>）</w:t>
      </w:r>
      <w:r>
        <w:rPr>
          <w:spacing w:val="-3"/>
        </w:rPr>
        <w:t>和公证机关的监督下按照会议通知规定的方式收取基金份</w:t>
      </w:r>
      <w:r>
        <w:rPr>
          <w:spacing w:val="-9"/>
        </w:rPr>
        <w:t>额持有人的书面表决意见；基金托管人或基金管理人经通知不参加收取书面表决意见的，不</w:t>
      </w:r>
      <w:r>
        <w:rPr>
          <w:spacing w:val="-5"/>
        </w:rPr>
        <w:t>影响表决效力。</w:t>
      </w:r>
    </w:p>
    <w:p>
      <w:pPr>
        <w:pStyle w:val="ListParagraph"/>
        <w:numPr>
          <w:ilvl w:val="0"/>
          <w:numId w:val="44"/>
        </w:numPr>
        <w:tabs>
          <w:tab w:pos="1492" w:val="left" w:leader="none"/>
        </w:tabs>
        <w:spacing w:line="417" w:lineRule="auto" w:before="0" w:after="0"/>
        <w:ind w:left="540" w:right="873" w:firstLine="419"/>
        <w:jc w:val="left"/>
        <w:rPr>
          <w:sz w:val="21"/>
        </w:rPr>
      </w:pPr>
      <w:r>
        <w:rPr>
          <w:spacing w:val="-3"/>
          <w:sz w:val="21"/>
        </w:rPr>
        <w:t>本人直接出具书面意见或授权他人代表出具书面意见的，基金份额持有人所持有</w:t>
      </w:r>
      <w:r>
        <w:rPr>
          <w:spacing w:val="-3"/>
          <w:w w:val="100"/>
          <w:sz w:val="21"/>
        </w:rPr>
        <w:t>的基金份额不少于在权益登记日基金总份额的</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3"/>
          <w:w w:val="100"/>
          <w:sz w:val="21"/>
        </w:rPr>
        <w:t>（</w:t>
      </w:r>
      <w:r>
        <w:rPr>
          <w:w w:val="100"/>
          <w:sz w:val="21"/>
        </w:rPr>
        <w:t>含</w:t>
      </w:r>
      <w:r>
        <w:rPr>
          <w:rFonts w:ascii="Calibri" w:eastAsia="Calibri"/>
          <w:w w:val="100"/>
          <w:sz w:val="21"/>
        </w:rPr>
        <w:t>1</w:t>
      </w:r>
      <w:r>
        <w:rPr>
          <w:rFonts w:ascii="Calibri" w:eastAsia="Calibri"/>
          <w:spacing w:val="-3"/>
          <w:w w:val="100"/>
          <w:sz w:val="21"/>
        </w:rPr>
        <w:t>/</w:t>
      </w:r>
      <w:r>
        <w:rPr>
          <w:rFonts w:ascii="Calibri" w:eastAsia="Calibri"/>
          <w:spacing w:val="1"/>
          <w:w w:val="100"/>
          <w:sz w:val="21"/>
        </w:rPr>
        <w:t>2</w:t>
      </w:r>
      <w:r>
        <w:rPr>
          <w:spacing w:val="-108"/>
          <w:w w:val="100"/>
          <w:sz w:val="21"/>
        </w:rPr>
        <w:t>）。</w:t>
      </w:r>
    </w:p>
    <w:p>
      <w:pPr>
        <w:pStyle w:val="BodyText"/>
        <w:spacing w:line="417" w:lineRule="auto"/>
        <w:ind w:left="540" w:right="87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5"/>
        </w:rPr>
        <w:t>新召集基金份额持有人大会。重新召集的基金份额持有人大会，应当有代表</w:t>
      </w:r>
      <w:r>
        <w:rPr>
          <w:rFonts w:ascii="Calibri" w:eastAsia="Calibri"/>
        </w:rPr>
        <w:t>1/3</w:t>
      </w:r>
      <w:r>
        <w:rPr>
          <w:spacing w:val="-45"/>
        </w:rPr>
        <w:t>以上</w:t>
      </w:r>
      <w:r>
        <w:rPr/>
        <w:t>（含</w:t>
      </w:r>
      <w:r>
        <w:rPr>
          <w:rFonts w:ascii="Calibri" w:eastAsia="Calibri"/>
        </w:rPr>
        <w:t>1/3</w:t>
      </w:r>
      <w:r>
        <w:rPr/>
        <w:t>） </w:t>
      </w:r>
      <w:r>
        <w:rPr>
          <w:spacing w:val="-3"/>
        </w:rPr>
        <w:t>基金份额的基金份额持有人或其代理人参加，方可召开。</w:t>
      </w:r>
    </w:p>
    <w:p>
      <w:pPr>
        <w:pStyle w:val="ListParagraph"/>
        <w:numPr>
          <w:ilvl w:val="0"/>
          <w:numId w:val="44"/>
        </w:numPr>
        <w:tabs>
          <w:tab w:pos="1490" w:val="left" w:leader="none"/>
        </w:tabs>
        <w:spacing w:line="417" w:lineRule="auto" w:before="0" w:after="0"/>
        <w:ind w:left="540" w:right="871" w:firstLine="419"/>
        <w:jc w:val="both"/>
        <w:rPr>
          <w:sz w:val="21"/>
        </w:rPr>
      </w:pPr>
      <w:r>
        <w:rPr>
          <w:spacing w:val="-13"/>
          <w:sz w:val="21"/>
        </w:rPr>
        <w:t>上述第（</w:t>
      </w:r>
      <w:r>
        <w:rPr>
          <w:rFonts w:ascii="Calibri" w:eastAsia="Calibri"/>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通知的规定，并与基金登记注册机构记录相符。</w:t>
      </w:r>
    </w:p>
    <w:p>
      <w:pPr>
        <w:pStyle w:val="ListParagraph"/>
        <w:numPr>
          <w:ilvl w:val="0"/>
          <w:numId w:val="44"/>
        </w:numPr>
        <w:tabs>
          <w:tab w:pos="1490" w:val="left" w:leader="none"/>
        </w:tabs>
        <w:spacing w:line="269" w:lineRule="exact" w:before="0" w:after="0"/>
        <w:ind w:left="1489" w:right="0" w:hanging="530"/>
        <w:jc w:val="left"/>
        <w:rPr>
          <w:sz w:val="21"/>
        </w:rPr>
      </w:pPr>
      <w:r>
        <w:rPr>
          <w:spacing w:val="-3"/>
          <w:sz w:val="21"/>
        </w:rPr>
        <w:t>会议通知公布前报中国证监会备案。</w:t>
      </w:r>
    </w:p>
    <w:p>
      <w:pPr>
        <w:pStyle w:val="BodyText"/>
        <w:spacing w:before="6"/>
        <w:rPr>
          <w:sz w:val="15"/>
        </w:rPr>
      </w:pPr>
    </w:p>
    <w:p>
      <w:pPr>
        <w:pStyle w:val="BodyText"/>
        <w:spacing w:line="417" w:lineRule="auto"/>
        <w:ind w:left="540" w:right="871" w:firstLine="419"/>
        <w:jc w:val="both"/>
      </w:pPr>
      <w:r>
        <w:rPr>
          <w:rFonts w:ascii="Calibri" w:eastAsia="Calibri"/>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269" w:lineRule="exact"/>
        <w:ind w:left="960"/>
      </w:pPr>
      <w:r>
        <w:rPr/>
        <w:t>五、议事内容与程序</w:t>
      </w:r>
    </w:p>
    <w:p>
      <w:pPr>
        <w:pStyle w:val="BodyText"/>
        <w:spacing w:before="7"/>
        <w:rPr>
          <w:sz w:val="15"/>
        </w:rPr>
      </w:pPr>
    </w:p>
    <w:p>
      <w:pPr>
        <w:pStyle w:val="BodyText"/>
        <w:ind w:left="960"/>
      </w:pPr>
      <w:r>
        <w:rPr>
          <w:rFonts w:ascii="Calibri" w:eastAsia="Calibri"/>
        </w:rPr>
        <w:t>1</w:t>
      </w:r>
      <w:r>
        <w:rPr/>
        <w:t>、议事内容及提案权</w:t>
      </w:r>
    </w:p>
    <w:p>
      <w:pPr>
        <w:pStyle w:val="BodyText"/>
        <w:spacing w:before="6"/>
        <w:rPr>
          <w:sz w:val="15"/>
        </w:rPr>
      </w:pPr>
    </w:p>
    <w:p>
      <w:pPr>
        <w:pStyle w:val="BodyText"/>
        <w:spacing w:line="417" w:lineRule="auto" w:before="1"/>
        <w:ind w:left="540" w:right="87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87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960"/>
      </w:pPr>
      <w:r>
        <w:rPr/>
        <w:t>基金份额持有人大会不得对未事先公告的议事内容进行表决。</w:t>
      </w:r>
    </w:p>
    <w:p>
      <w:pPr>
        <w:pStyle w:val="BodyText"/>
        <w:spacing w:before="6"/>
        <w:rPr>
          <w:sz w:val="15"/>
        </w:rPr>
      </w:pPr>
    </w:p>
    <w:p>
      <w:pPr>
        <w:pStyle w:val="BodyText"/>
        <w:ind w:left="960"/>
      </w:pPr>
      <w:r>
        <w:rPr>
          <w:rFonts w:ascii="Calibri" w:eastAsia="Calibri"/>
        </w:rPr>
        <w:t>2</w:t>
      </w:r>
      <w:r>
        <w:rPr/>
        <w:t>、议事程序</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现场开会</w:t>
      </w:r>
    </w:p>
    <w:p>
      <w:pPr>
        <w:pStyle w:val="BodyText"/>
        <w:spacing w:before="7"/>
        <w:rPr>
          <w:sz w:val="15"/>
        </w:rPr>
      </w:pPr>
    </w:p>
    <w:p>
      <w:pPr>
        <w:pStyle w:val="BodyText"/>
        <w:ind w:left="960"/>
      </w:pPr>
      <w:r>
        <w:rPr/>
        <w:t>在现场开会的方式下，首先由大会主持人按照下列第七条规定程序确定和公布监票人，</w:t>
      </w:r>
    </w:p>
    <w:p>
      <w:pPr>
        <w:spacing w:after="0"/>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8"/>
      </w:pP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5"/>
        </w:rPr>
        <w:t>则由出席大会的基金份额持有人和代理人所持表决权的</w:t>
      </w:r>
      <w:r>
        <w:rPr>
          <w:rFonts w:ascii="Calibri" w:eastAsia="Calibri"/>
        </w:rPr>
        <w:t>50%</w:t>
      </w:r>
      <w:r>
        <w:rPr>
          <w:spacing w:val="-2"/>
        </w:rPr>
        <w:t>以上</w:t>
      </w:r>
      <w:r>
        <w:rPr/>
        <w:t>（</w:t>
      </w:r>
      <w:r>
        <w:rPr>
          <w:spacing w:val="-3"/>
        </w:rPr>
        <w:t>含</w:t>
      </w:r>
      <w:r>
        <w:rPr>
          <w:rFonts w:ascii="Calibri" w:eastAsia="Calibri"/>
        </w:rPr>
        <w:t>50%</w:t>
      </w:r>
      <w:r>
        <w:rPr/>
        <w:t>）</w:t>
      </w:r>
      <w:r>
        <w:rPr>
          <w:spacing w:val="-3"/>
        </w:rPr>
        <w:t>选举产生一名基</w:t>
      </w:r>
      <w:r>
        <w:rPr>
          <w:spacing w:val="-7"/>
        </w:rPr>
        <w:t>金份额持有人作为该次基金份额持有人大会的主持人。基金管理人和基金托管人拒不出席或</w:t>
      </w:r>
      <w:r>
        <w:rPr>
          <w:spacing w:val="-5"/>
        </w:rPr>
        <w:t>主持基金份额持有人大会，不影响基金份额持有人大会作出的决议的效力。</w:t>
      </w:r>
    </w:p>
    <w:p>
      <w:pPr>
        <w:pStyle w:val="BodyText"/>
        <w:spacing w:line="417" w:lineRule="auto"/>
        <w:ind w:left="540" w:right="87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通讯开会</w:t>
      </w:r>
    </w:p>
    <w:p>
      <w:pPr>
        <w:pStyle w:val="BodyText"/>
        <w:spacing w:before="6"/>
        <w:rPr>
          <w:sz w:val="15"/>
        </w:rPr>
      </w:pPr>
    </w:p>
    <w:p>
      <w:pPr>
        <w:pStyle w:val="BodyText"/>
        <w:spacing w:line="417" w:lineRule="auto"/>
        <w:ind w:left="540" w:right="874" w:firstLine="419"/>
      </w:pPr>
      <w:r>
        <w:rPr/>
        <w:t>在通讯开会的情况下，首先由召集人提前</w:t>
      </w:r>
      <w:r>
        <w:rPr>
          <w:rFonts w:ascii="Calibri" w:eastAsia="Calibri"/>
        </w:rPr>
        <w:t>30</w:t>
      </w:r>
      <w:r>
        <w:rPr/>
        <w:t>日公布提案，在所通知的表决截止日期后</w:t>
      </w:r>
      <w:r>
        <w:rPr>
          <w:rFonts w:ascii="Calibri" w:eastAsia="Calibri"/>
        </w:rPr>
        <w:t>5 </w:t>
      </w:r>
      <w:r>
        <w:rPr/>
        <w:t>个工作日内在公证机关监督下由召集人统计全部有效表决，在公证机关监督下形成决议。</w:t>
      </w:r>
    </w:p>
    <w:p>
      <w:pPr>
        <w:pStyle w:val="BodyText"/>
        <w:spacing w:line="269" w:lineRule="exact"/>
        <w:ind w:left="960"/>
      </w:pPr>
      <w:r>
        <w:rPr/>
        <w:t>六、表决</w:t>
      </w:r>
    </w:p>
    <w:p>
      <w:pPr>
        <w:pStyle w:val="BodyText"/>
        <w:spacing w:before="7"/>
        <w:rPr>
          <w:sz w:val="15"/>
        </w:rPr>
      </w:pPr>
    </w:p>
    <w:p>
      <w:pPr>
        <w:pStyle w:val="BodyText"/>
        <w:spacing w:line="417" w:lineRule="auto"/>
        <w:ind w:left="960" w:right="392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873" w:firstLine="419"/>
        <w:jc w:val="both"/>
      </w:pPr>
      <w:r>
        <w:rPr>
          <w:rFonts w:ascii="Calibri" w:eastAsia="Calibri"/>
        </w:rPr>
        <w:t>1</w:t>
      </w:r>
      <w:r>
        <w:rPr/>
        <w:t>、一般决议，一般决议须经参加大会的基金份额持有人或其代理人所持表决权的</w:t>
      </w:r>
      <w:r>
        <w:rPr>
          <w:rFonts w:ascii="Calibri" w:eastAsia="Calibri"/>
        </w:rPr>
        <w:t>50% </w:t>
      </w:r>
      <w:r>
        <w:rPr/>
        <w:t>以上（含</w:t>
      </w:r>
      <w:r>
        <w:rPr>
          <w:rFonts w:ascii="Calibri" w:eastAsia="Calibri"/>
        </w:rPr>
        <w:t>50%</w:t>
      </w:r>
      <w:r>
        <w:rPr/>
        <w:t>）通过方为有效；除下列第</w:t>
      </w:r>
      <w:r>
        <w:rPr>
          <w:rFonts w:ascii="Calibri" w:eastAsia="Calibri"/>
        </w:rPr>
        <w:t>2</w:t>
      </w:r>
      <w:r>
        <w:rPr/>
        <w:t>项所规定的须以特别决议通过事项以外的其他事项均以一般决议的方式通过。</w:t>
      </w:r>
    </w:p>
    <w:p>
      <w:pPr>
        <w:pStyle w:val="BodyText"/>
        <w:spacing w:line="269" w:lineRule="exact"/>
        <w:ind w:left="960"/>
        <w:rPr>
          <w:rFonts w:ascii="Calibri" w:eastAsia="Calibri"/>
        </w:rPr>
      </w:pPr>
      <w:r>
        <w:rPr>
          <w:rFonts w:ascii="Calibri" w:eastAsia="Calibri"/>
          <w:spacing w:val="-1"/>
        </w:rPr>
        <w:t>2</w:t>
      </w:r>
      <w:r>
        <w:rPr>
          <w:spacing w:val="-11"/>
        </w:rPr>
        <w:t>、特别决议，特别决议应当经参加大会的基金份额持有人或其代理人所持表决权的</w:t>
      </w:r>
      <w:r>
        <w:rPr>
          <w:rFonts w:ascii="Calibri" w:eastAsia="Calibri"/>
        </w:rPr>
        <w:t>2/3</w:t>
      </w:r>
    </w:p>
    <w:p>
      <w:pPr>
        <w:pStyle w:val="BodyText"/>
        <w:spacing w:before="3"/>
        <w:rPr>
          <w:rFonts w:ascii="Calibri"/>
          <w:sz w:val="16"/>
        </w:rPr>
      </w:pPr>
    </w:p>
    <w:p>
      <w:pPr>
        <w:pStyle w:val="BodyText"/>
        <w:spacing w:before="1"/>
        <w:ind w:left="540"/>
      </w:pPr>
      <w:r>
        <w:rPr>
          <w:spacing w:val="-1"/>
        </w:rPr>
        <w:t>以上（</w:t>
      </w:r>
      <w:r>
        <w:rPr/>
        <w:t>含</w:t>
      </w:r>
      <w:r>
        <w:rPr>
          <w:rFonts w:ascii="Calibri" w:eastAsia="Calibri"/>
        </w:rPr>
        <w:t>2/3</w:t>
      </w:r>
      <w:r>
        <w:rPr/>
        <w:t>）</w:t>
      </w:r>
      <w:r>
        <w:rPr>
          <w:spacing w:val="-3"/>
        </w:rPr>
        <w:t>通过方可做出。转换基金运作方式、更换基金管理人或者基金托管人、终止</w:t>
      </w:r>
    </w:p>
    <w:p>
      <w:pPr>
        <w:pStyle w:val="BodyText"/>
        <w:spacing w:before="6"/>
        <w:rPr>
          <w:sz w:val="15"/>
        </w:rPr>
      </w:pPr>
    </w:p>
    <w:p>
      <w:pPr>
        <w:pStyle w:val="BodyText"/>
        <w:spacing w:line="417" w:lineRule="auto"/>
        <w:ind w:left="960" w:right="3823" w:hanging="420"/>
      </w:pPr>
      <w:r>
        <w:rPr>
          <w:spacing w:val="-12"/>
        </w:rPr>
        <w:t>《基金合同》、与其他基金合并以特别决议通过方为有效。</w:t>
      </w:r>
      <w:r>
        <w:rPr>
          <w:spacing w:val="-6"/>
        </w:rPr>
        <w:t>基金份额持有人大会采取记名方式进行投票表决。</w:t>
      </w:r>
    </w:p>
    <w:p>
      <w:pPr>
        <w:pStyle w:val="BodyText"/>
        <w:spacing w:line="417" w:lineRule="auto" w:before="1"/>
        <w:ind w:left="540" w:right="87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871" w:firstLine="419"/>
      </w:pPr>
      <w:r>
        <w:rPr>
          <w:spacing w:val="-6"/>
        </w:rPr>
        <w:t>基金份额持有人大会的各项提案或同一项提案内并列的各项议题应当分开审议、逐项表决。</w:t>
      </w:r>
    </w:p>
    <w:p>
      <w:pPr>
        <w:pStyle w:val="BodyText"/>
        <w:ind w:left="960"/>
      </w:pPr>
      <w:r>
        <w:rPr/>
        <w:t>七、计票</w:t>
      </w:r>
    </w:p>
    <w:p>
      <w:pPr>
        <w:pStyle w:val="BodyText"/>
        <w:spacing w:before="6"/>
        <w:rPr>
          <w:sz w:val="15"/>
        </w:rPr>
      </w:pPr>
    </w:p>
    <w:p>
      <w:pPr>
        <w:pStyle w:val="BodyText"/>
        <w:ind w:left="960"/>
      </w:pPr>
      <w:r>
        <w:rPr>
          <w:rFonts w:ascii="Calibri" w:eastAsia="Calibri"/>
        </w:rPr>
        <w:t>1</w:t>
      </w:r>
      <w:r>
        <w:rPr/>
        <w:t>、现场开会</w:t>
      </w:r>
    </w:p>
    <w:p>
      <w:pPr>
        <w:spacing w:after="0"/>
        <w:sectPr>
          <w:footerReference w:type="default" r:id="rId165"/>
          <w:pgSz w:w="11910" w:h="16840"/>
          <w:pgMar w:footer="995" w:header="872" w:top="1100" w:bottom="1180" w:left="1260" w:right="920"/>
          <w:pgNumType w:start="120"/>
        </w:sectPr>
      </w:pPr>
    </w:p>
    <w:p>
      <w:pPr>
        <w:pStyle w:val="BodyText"/>
        <w:spacing w:before="4"/>
        <w:rPr>
          <w:sz w:val="27"/>
        </w:rPr>
      </w:pPr>
    </w:p>
    <w:p>
      <w:pPr>
        <w:pStyle w:val="ListParagraph"/>
        <w:numPr>
          <w:ilvl w:val="0"/>
          <w:numId w:val="46"/>
        </w:numPr>
        <w:tabs>
          <w:tab w:pos="1492" w:val="left" w:leader="none"/>
        </w:tabs>
        <w:spacing w:line="417" w:lineRule="auto" w:before="71" w:after="0"/>
        <w:ind w:left="540" w:right="870"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46"/>
        </w:numPr>
        <w:tabs>
          <w:tab w:pos="1492" w:val="left" w:leader="none"/>
        </w:tabs>
        <w:spacing w:line="417" w:lineRule="auto" w:before="0" w:after="0"/>
        <w:ind w:left="540" w:right="87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6"/>
        </w:numPr>
        <w:tabs>
          <w:tab w:pos="1492" w:val="left" w:leader="none"/>
        </w:tabs>
        <w:spacing w:line="417" w:lineRule="auto" w:before="0" w:after="0"/>
        <w:ind w:left="540" w:right="87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46"/>
        </w:numPr>
        <w:tabs>
          <w:tab w:pos="1492" w:val="left" w:leader="none"/>
        </w:tabs>
        <w:spacing w:line="417" w:lineRule="auto" w:before="0" w:after="0"/>
        <w:ind w:left="540" w:right="87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960"/>
      </w:pPr>
      <w:r>
        <w:rPr>
          <w:rFonts w:ascii="Calibri" w:eastAsia="Calibri"/>
        </w:rPr>
        <w:t>2</w:t>
      </w:r>
      <w:r>
        <w:rPr/>
        <w:t>、通讯开会</w:t>
      </w:r>
    </w:p>
    <w:p>
      <w:pPr>
        <w:pStyle w:val="BodyText"/>
        <w:spacing w:before="6"/>
        <w:rPr>
          <w:sz w:val="15"/>
        </w:rPr>
      </w:pPr>
    </w:p>
    <w:p>
      <w:pPr>
        <w:pStyle w:val="BodyText"/>
        <w:spacing w:line="417" w:lineRule="auto"/>
        <w:ind w:left="540" w:right="87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ind w:left="960"/>
      </w:pPr>
      <w:r>
        <w:rPr/>
        <w:t>八、生效与公告</w:t>
      </w:r>
    </w:p>
    <w:p>
      <w:pPr>
        <w:pStyle w:val="BodyText"/>
        <w:spacing w:before="7"/>
        <w:rPr>
          <w:sz w:val="15"/>
        </w:rPr>
      </w:pPr>
    </w:p>
    <w:p>
      <w:pPr>
        <w:pStyle w:val="BodyText"/>
        <w:spacing w:line="417" w:lineRule="auto"/>
        <w:ind w:left="960" w:right="1301"/>
      </w:pPr>
      <w:r>
        <w:rPr/>
        <w:t>基金份额持有人大会的决议，召集人应当自通过之日起</w:t>
      </w:r>
      <w:r>
        <w:rPr>
          <w:rFonts w:ascii="Calibri" w:eastAsia="Calibri"/>
        </w:rPr>
        <w:t>5</w:t>
      </w:r>
      <w:r>
        <w:rPr/>
        <w:t>日内报中国证监会备案。基金份额持有人大会的决议自表决通过之日起生效。</w:t>
      </w:r>
    </w:p>
    <w:p>
      <w:pPr>
        <w:pStyle w:val="BodyText"/>
        <w:spacing w:line="417" w:lineRule="auto"/>
        <w:ind w:left="540" w:right="871" w:firstLine="419"/>
        <w:jc w:val="both"/>
      </w:pPr>
      <w:r>
        <w:rPr>
          <w:spacing w:val="-3"/>
        </w:rPr>
        <w:t>基金份额持有人大会决议自生效之日起</w:t>
      </w:r>
      <w:r>
        <w:rPr>
          <w:rFonts w:ascii="Calibri" w:eastAsia="Calibri"/>
        </w:rPr>
        <w:t>2</w:t>
      </w:r>
      <w:r>
        <w:rPr>
          <w:spacing w:val="-3"/>
        </w:rPr>
        <w:t>个工作日内在指定媒介上公告。如果采用通讯</w:t>
      </w:r>
      <w:r>
        <w:rPr>
          <w:spacing w:val="-10"/>
        </w:rPr>
        <w:t>方式进行表决，在公告基金份额持有人大会决议时，必须将公证书全文、公证机构、公证员</w:t>
      </w:r>
      <w:r>
        <w:rPr>
          <w:spacing w:val="-5"/>
        </w:rPr>
        <w:t>姓名等一同公告。</w:t>
      </w:r>
    </w:p>
    <w:p>
      <w:pPr>
        <w:pStyle w:val="BodyText"/>
        <w:spacing w:line="417" w:lineRule="auto"/>
        <w:ind w:left="540" w:right="66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269" w:lineRule="exact"/>
        <w:ind w:left="960"/>
      </w:pPr>
      <w:r>
        <w:rPr/>
        <w:t>九、法律法规或监管部门对基金份额持有人大会另有规定的，从其规定。</w:t>
      </w:r>
    </w:p>
    <w:p>
      <w:pPr>
        <w:pStyle w:val="BodyText"/>
        <w:spacing w:before="7"/>
        <w:rPr>
          <w:sz w:val="15"/>
        </w:rPr>
      </w:pPr>
    </w:p>
    <w:p>
      <w:pPr>
        <w:tabs>
          <w:tab w:pos="2796" w:val="left" w:leader="none"/>
        </w:tabs>
        <w:spacing w:line="417" w:lineRule="auto" w:before="0"/>
        <w:ind w:left="960" w:right="1654" w:firstLine="782"/>
        <w:jc w:val="left"/>
        <w:rPr>
          <w:sz w:val="21"/>
        </w:rPr>
      </w:pPr>
      <w:r>
        <w:rPr>
          <w:b/>
          <w:sz w:val="21"/>
        </w:rPr>
        <w:t>第三部分</w:t>
        <w:tab/>
        <w:t>基金合同解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spacing w:after="0" w:line="417" w:lineRule="auto"/>
        <w:jc w:val="left"/>
        <w:rPr>
          <w:sz w:val="21"/>
        </w:rPr>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jc w:val="both"/>
      </w:pPr>
      <w:r>
        <w:rPr>
          <w:rFonts w:ascii="Calibri" w:eastAsia="Calibri"/>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540" w:right="874" w:firstLine="419"/>
      </w:pPr>
      <w:r>
        <w:rPr>
          <w:rFonts w:ascii="Calibri" w:eastAsia="Calibri"/>
        </w:rPr>
        <w:t>2</w:t>
      </w:r>
      <w:r>
        <w:rPr/>
        <w:t>、关于《基金合同》变更的基金份额持有人大会决议自表决通过之日起生效，自决议生效后两日内在指定媒介公告。</w:t>
      </w:r>
    </w:p>
    <w:p>
      <w:pPr>
        <w:pStyle w:val="BodyText"/>
        <w:spacing w:line="269" w:lineRule="exact"/>
        <w:ind w:left="960"/>
      </w:pPr>
      <w:r>
        <w:rPr/>
        <w:t>二、《基金合同》的终止事由</w:t>
      </w:r>
    </w:p>
    <w:p>
      <w:pPr>
        <w:pStyle w:val="BodyText"/>
        <w:spacing w:before="6"/>
        <w:rPr>
          <w:sz w:val="15"/>
        </w:rPr>
      </w:pPr>
    </w:p>
    <w:p>
      <w:pPr>
        <w:pStyle w:val="BodyText"/>
        <w:spacing w:before="1"/>
        <w:ind w:left="960"/>
      </w:pPr>
      <w:r>
        <w:rPr/>
        <w:t>有下列情形之一的，《基金合同》应当终止：</w:t>
      </w:r>
    </w:p>
    <w:p>
      <w:pPr>
        <w:pStyle w:val="BodyText"/>
        <w:spacing w:before="7"/>
        <w:rPr>
          <w:sz w:val="15"/>
        </w:rPr>
      </w:pPr>
    </w:p>
    <w:p>
      <w:pPr>
        <w:pStyle w:val="BodyText"/>
        <w:ind w:left="960"/>
      </w:pPr>
      <w:r>
        <w:rPr>
          <w:rFonts w:ascii="Calibri" w:eastAsia="Calibri"/>
        </w:rPr>
        <w:t>1</w:t>
      </w:r>
      <w:r>
        <w:rPr/>
        <w:t>、基金份额持有人大会决定终止的。</w:t>
      </w:r>
    </w:p>
    <w:p>
      <w:pPr>
        <w:pStyle w:val="BodyText"/>
        <w:spacing w:before="7"/>
        <w:rPr>
          <w:sz w:val="15"/>
        </w:rPr>
      </w:pPr>
    </w:p>
    <w:p>
      <w:pPr>
        <w:pStyle w:val="BodyText"/>
        <w:spacing w:line="417" w:lineRule="auto"/>
        <w:ind w:left="540" w:right="873" w:firstLine="419"/>
      </w:pPr>
      <w:r>
        <w:rPr>
          <w:rFonts w:ascii="Calibri" w:eastAsia="Calibri"/>
        </w:rPr>
        <w:t>2</w:t>
      </w:r>
      <w:r>
        <w:rPr>
          <w:spacing w:val="-11"/>
        </w:rPr>
        <w:t>、基金管理人、基金托管人职责终止，在</w:t>
      </w:r>
      <w:r>
        <w:rPr>
          <w:rFonts w:ascii="Calibri" w:eastAsia="Calibri"/>
        </w:rPr>
        <w:t>6</w:t>
      </w:r>
      <w:r>
        <w:rPr>
          <w:spacing w:val="-5"/>
        </w:rPr>
        <w:t>个月内没有新基金管理人、新基金托管人承接的。</w:t>
      </w:r>
    </w:p>
    <w:p>
      <w:pPr>
        <w:pStyle w:val="BodyText"/>
        <w:spacing w:line="269" w:lineRule="exact"/>
        <w:ind w:left="960"/>
      </w:pPr>
      <w:r>
        <w:rPr>
          <w:rFonts w:ascii="Calibri" w:eastAsia="Calibri"/>
        </w:rPr>
        <w:t>3</w:t>
      </w:r>
      <w:r>
        <w:rPr/>
        <w:t>、《基金合同》约定的其他情形。</w:t>
      </w:r>
    </w:p>
    <w:p>
      <w:pPr>
        <w:pStyle w:val="BodyText"/>
        <w:spacing w:before="6"/>
        <w:rPr>
          <w:sz w:val="15"/>
        </w:rPr>
      </w:pPr>
    </w:p>
    <w:p>
      <w:pPr>
        <w:pStyle w:val="BodyText"/>
        <w:spacing w:line="417" w:lineRule="auto"/>
        <w:ind w:left="960" w:right="4244"/>
      </w:pPr>
      <w:r>
        <w:rPr>
          <w:rFonts w:ascii="Calibri" w:eastAsia="Calibri"/>
        </w:rPr>
        <w:t>4</w:t>
      </w:r>
      <w:r>
        <w:rPr/>
        <w:t>、相关法律法规和中国证监会规定的其他情况。三、基金财产的清算</w:t>
      </w:r>
    </w:p>
    <w:p>
      <w:pPr>
        <w:pStyle w:val="BodyText"/>
        <w:spacing w:line="417" w:lineRule="auto"/>
        <w:ind w:left="540" w:right="873" w:firstLine="419"/>
      </w:pPr>
      <w:r>
        <w:rPr>
          <w:rFonts w:ascii="Calibri" w:eastAsia="Calibri"/>
        </w:rPr>
        <w:t>1</w:t>
      </w:r>
      <w:r>
        <w:rPr/>
        <w:t>、基金财产清算小组：自出现《基金合同》终止事由之日起</w:t>
      </w:r>
      <w:r>
        <w:rPr>
          <w:rFonts w:ascii="Calibri" w:eastAsia="Calibri"/>
        </w:rPr>
        <w:t>30</w:t>
      </w:r>
      <w:r>
        <w:rPr/>
        <w:t>个工作日内成立清算小组，基金管理人组织基金财产清算小组并在中国证监会的监督下进行基金清算。</w:t>
      </w:r>
    </w:p>
    <w:p>
      <w:pPr>
        <w:pStyle w:val="BodyText"/>
        <w:spacing w:line="417" w:lineRule="auto"/>
        <w:ind w:left="540" w:right="871" w:firstLine="419"/>
        <w:jc w:val="both"/>
      </w:pPr>
      <w:r>
        <w:rPr>
          <w:rFonts w:ascii="Calibri" w:eastAsia="Calibri"/>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874" w:firstLine="419"/>
      </w:pPr>
      <w:r>
        <w:rPr>
          <w:rFonts w:ascii="Calibri" w:eastAsia="Calibri"/>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Calibri" w:eastAsia="Calibri"/>
        </w:rPr>
        <w:t>4</w:t>
      </w:r>
      <w:r>
        <w:rPr/>
        <w:t>、基金财产清算程序：</w:t>
      </w:r>
    </w:p>
    <w:p>
      <w:pPr>
        <w:pStyle w:val="BodyText"/>
        <w:spacing w:before="7"/>
        <w:rPr>
          <w:sz w:val="15"/>
        </w:rPr>
      </w:pPr>
    </w:p>
    <w:p>
      <w:pPr>
        <w:pStyle w:val="ListParagraph"/>
        <w:numPr>
          <w:ilvl w:val="0"/>
          <w:numId w:val="47"/>
        </w:numPr>
        <w:tabs>
          <w:tab w:pos="1492" w:val="left" w:leader="none"/>
        </w:tabs>
        <w:spacing w:line="240" w:lineRule="auto" w:before="0" w:after="0"/>
        <w:ind w:left="1491" w:right="0" w:hanging="532"/>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47"/>
        </w:numPr>
        <w:tabs>
          <w:tab w:pos="1490" w:val="left" w:leader="none"/>
        </w:tabs>
        <w:spacing w:line="240" w:lineRule="auto" w:before="1" w:after="0"/>
        <w:ind w:left="148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47"/>
        </w:numPr>
        <w:tabs>
          <w:tab w:pos="1492" w:val="left" w:leader="none"/>
        </w:tabs>
        <w:spacing w:line="417" w:lineRule="auto" w:before="0" w:after="0"/>
        <w:ind w:left="54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7"/>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Calibri" w:eastAsia="Calibri"/>
        </w:rPr>
        <w:t>5</w:t>
      </w:r>
      <w:r>
        <w:rPr/>
        <w:t>、基金财产清算的期限为</w:t>
      </w:r>
      <w:r>
        <w:rPr>
          <w:rFonts w:ascii="Calibri" w:eastAsia="Calibri"/>
        </w:rPr>
        <w:t>6</w:t>
      </w:r>
      <w:r>
        <w:rPr/>
        <w:t>个月。</w:t>
      </w:r>
    </w:p>
    <w:p>
      <w:pPr>
        <w:spacing w:after="0"/>
        <w:sectPr>
          <w:pgSz w:w="11910" w:h="16840"/>
          <w:pgMar w:header="872" w:footer="995" w:top="1100" w:bottom="1180" w:left="1260" w:right="920"/>
        </w:sectPr>
      </w:pPr>
    </w:p>
    <w:p>
      <w:pPr>
        <w:pStyle w:val="BodyText"/>
        <w:spacing w:before="4"/>
        <w:rPr>
          <w:sz w:val="27"/>
        </w:rPr>
      </w:pPr>
    </w:p>
    <w:p>
      <w:pPr>
        <w:spacing w:before="71"/>
        <w:ind w:left="3745" w:right="0" w:firstLine="0"/>
        <w:jc w:val="both"/>
        <w:rPr>
          <w:b/>
          <w:sz w:val="21"/>
        </w:rPr>
      </w:pPr>
      <w:r>
        <w:rPr>
          <w:b/>
          <w:sz w:val="21"/>
        </w:rPr>
        <w:t>第四部分 争议解决方式</w:t>
      </w:r>
    </w:p>
    <w:p>
      <w:pPr>
        <w:pStyle w:val="BodyText"/>
        <w:spacing w:before="7"/>
        <w:rPr>
          <w:b/>
          <w:sz w:val="15"/>
        </w:rPr>
      </w:pPr>
    </w:p>
    <w:p>
      <w:pPr>
        <w:pStyle w:val="BodyText"/>
        <w:spacing w:line="417" w:lineRule="auto"/>
        <w:ind w:left="540" w:right="871" w:firstLine="419"/>
        <w:jc w:val="both"/>
      </w:pPr>
      <w:r>
        <w:rPr>
          <w:spacing w:val="-11"/>
        </w:rPr>
        <w:t>各方当事人同意，因《基金合同》而产生的或与《基金合同》有关的一切争议，如经友</w:t>
      </w:r>
      <w:r>
        <w:rPr>
          <w:spacing w:val="-13"/>
          <w:w w:val="100"/>
        </w:rPr>
        <w:t>好协商未能解决的，□任何一方均有权将争议提交中国国际经济贸易仲裁委员会按照其届时</w:t>
      </w:r>
      <w:r>
        <w:rPr>
          <w:spacing w:val="-12"/>
        </w:rPr>
        <w:t>有效的仲裁规则进行仲裁，仲裁地点为北京，仲裁裁决是终局性的并对各方当事人具有约束</w:t>
      </w:r>
      <w:r>
        <w:rPr>
          <w:spacing w:val="-11"/>
        </w:rPr>
        <w:t>力，仲裁费用由败诉方承担。争议处理期间，各方当事人应恪守各自的职责，继续忠实、勤</w:t>
      </w:r>
      <w:r>
        <w:rPr>
          <w:spacing w:val="-6"/>
        </w:rPr>
        <w:t>勉、尽责地履行基金合同规定的义务，维护基金份额持有人的合法权益。</w:t>
      </w:r>
    </w:p>
    <w:p>
      <w:pPr>
        <w:pStyle w:val="BodyText"/>
        <w:spacing w:line="268" w:lineRule="exact"/>
        <w:ind w:left="960"/>
      </w:pPr>
      <w:r>
        <w:rPr/>
        <w:t>《基金合同》受中国法律管辖。</w:t>
      </w:r>
    </w:p>
    <w:p>
      <w:pPr>
        <w:pStyle w:val="BodyText"/>
        <w:spacing w:before="7"/>
        <w:rPr>
          <w:sz w:val="15"/>
        </w:rPr>
      </w:pPr>
    </w:p>
    <w:p>
      <w:pPr>
        <w:tabs>
          <w:tab w:pos="3322" w:val="left" w:leader="none"/>
        </w:tabs>
        <w:spacing w:before="0"/>
        <w:ind w:left="2268" w:right="0" w:firstLine="0"/>
        <w:jc w:val="left"/>
        <w:rPr>
          <w:b/>
          <w:sz w:val="21"/>
        </w:rPr>
      </w:pPr>
      <w:r>
        <w:rPr>
          <w:b/>
          <w:sz w:val="21"/>
        </w:rPr>
        <w:t>第五部分</w:t>
        <w:tab/>
        <w:t>基金合同存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7"/>
        <w:rPr>
          <w:b/>
          <w:sz w:val="15"/>
        </w:rPr>
      </w:pPr>
    </w:p>
    <w:p>
      <w:pPr>
        <w:pStyle w:val="BodyText"/>
        <w:spacing w:line="417" w:lineRule="auto"/>
        <w:ind w:left="540" w:right="87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540" w:right="87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7"/>
        <w:rPr>
          <w:sz w:val="26"/>
        </w:rPr>
      </w:pPr>
    </w:p>
    <w:p>
      <w:pPr>
        <w:pStyle w:val="Heading1"/>
      </w:pPr>
      <w:bookmarkStart w:name="_bookmark20" w:id="21"/>
      <w:bookmarkEnd w:id="21"/>
      <w:r>
        <w:rPr>
          <w:b w:val="0"/>
        </w:rPr>
      </w:r>
      <w:r>
        <w:rPr/>
        <w:t>二十一、基金托管协议的内容摘要</w:t>
      </w:r>
    </w:p>
    <w:p>
      <w:pPr>
        <w:pStyle w:val="BodyText"/>
        <w:rPr>
          <w:b/>
          <w:sz w:val="20"/>
        </w:rPr>
      </w:pPr>
    </w:p>
    <w:p>
      <w:pPr>
        <w:pStyle w:val="BodyText"/>
        <w:spacing w:before="3"/>
        <w:rPr>
          <w:b/>
        </w:rPr>
      </w:pPr>
    </w:p>
    <w:p>
      <w:pPr>
        <w:pStyle w:val="BodyText"/>
        <w:ind w:left="960"/>
      </w:pPr>
      <w:r>
        <w:rPr/>
        <w:t>以下内容摘自《华夏大中华信用精选债券型证券投资基金（</w:t>
      </w:r>
      <w:r>
        <w:rPr>
          <w:rFonts w:ascii="Calibri" w:eastAsia="Calibri"/>
        </w:rPr>
        <w:t>QDII</w:t>
      </w:r>
      <w:r>
        <w:rPr/>
        <w:t>）托管协议》。</w:t>
      </w:r>
    </w:p>
    <w:p>
      <w:pPr>
        <w:pStyle w:val="BodyText"/>
        <w:spacing w:before="7"/>
        <w:rPr>
          <w:sz w:val="15"/>
        </w:rPr>
      </w:pPr>
    </w:p>
    <w:p>
      <w:pPr>
        <w:spacing w:before="0"/>
        <w:ind w:left="3745" w:right="0" w:firstLine="0"/>
        <w:jc w:val="left"/>
        <w:rPr>
          <w:b/>
          <w:sz w:val="21"/>
        </w:rPr>
      </w:pPr>
      <w:r>
        <w:rPr>
          <w:b/>
          <w:sz w:val="21"/>
        </w:rPr>
        <w:t>一、托管协议当事人</w:t>
      </w:r>
    </w:p>
    <w:p>
      <w:pPr>
        <w:pStyle w:val="BodyText"/>
        <w:spacing w:before="6"/>
        <w:rPr>
          <w:b/>
          <w:sz w:val="15"/>
        </w:rPr>
      </w:pPr>
    </w:p>
    <w:p>
      <w:pPr>
        <w:pStyle w:val="BodyText"/>
        <w:spacing w:line="417" w:lineRule="auto" w:before="1"/>
        <w:ind w:left="960" w:right="5084"/>
      </w:pPr>
      <w:r>
        <w:rPr>
          <w:w w:val="100"/>
        </w:rPr>
        <w:t>（一</w:t>
      </w:r>
      <w:r>
        <w:rPr>
          <w:spacing w:val="-3"/>
          <w:w w:val="100"/>
        </w:rPr>
        <w:t>）基金管理人（</w:t>
      </w:r>
      <w:r>
        <w:rPr>
          <w:spacing w:val="-17"/>
          <w:w w:val="100"/>
        </w:rPr>
        <w:t>或简称“管理人”</w:t>
      </w:r>
      <w:r>
        <w:rPr>
          <w:spacing w:val="-7"/>
          <w:w w:val="100"/>
        </w:rPr>
        <w:t>）</w:t>
      </w:r>
      <w:r>
        <w:rPr>
          <w:spacing w:val="-3"/>
        </w:rPr>
        <w:t>名称：华夏基金管理有限公司</w:t>
      </w:r>
    </w:p>
    <w:p>
      <w:pPr>
        <w:pStyle w:val="BodyText"/>
        <w:spacing w:line="417" w:lineRule="auto"/>
        <w:ind w:left="960" w:right="5129"/>
      </w:pPr>
      <w:r>
        <w:rPr/>
        <w:t>住所：北京市顺义区安庆大街甲 </w:t>
      </w:r>
      <w:r>
        <w:rPr>
          <w:rFonts w:ascii="Calibri" w:eastAsia="Calibri"/>
        </w:rPr>
        <w:t>3 </w:t>
      </w:r>
      <w:r>
        <w:rPr/>
        <w:t>号院法定代表人：杨明辉</w:t>
      </w:r>
    </w:p>
    <w:p>
      <w:pPr>
        <w:pStyle w:val="BodyText"/>
        <w:spacing w:line="269" w:lineRule="exact"/>
        <w:ind w:left="960"/>
      </w:pPr>
      <w:r>
        <w:rPr/>
        <w:t>成立时间：</w:t>
      </w:r>
      <w:r>
        <w:rPr>
          <w:rFonts w:ascii="Calibri" w:eastAsia="Calibri"/>
        </w:rPr>
        <w:t>1998 </w:t>
      </w:r>
      <w:r>
        <w:rPr/>
        <w:t>年 </w:t>
      </w:r>
      <w:r>
        <w:rPr>
          <w:rFonts w:ascii="Calibri" w:eastAsia="Calibri"/>
        </w:rPr>
        <w:t>4 </w:t>
      </w:r>
      <w:r>
        <w:rPr/>
        <w:t>月 </w:t>
      </w:r>
      <w:r>
        <w:rPr>
          <w:rFonts w:ascii="Calibri" w:eastAsia="Calibri"/>
        </w:rPr>
        <w:t>9 </w:t>
      </w:r>
      <w:r>
        <w:rPr/>
        <w:t>日</w:t>
      </w:r>
    </w:p>
    <w:p>
      <w:pPr>
        <w:pStyle w:val="BodyText"/>
        <w:spacing w:before="6"/>
        <w:rPr>
          <w:sz w:val="15"/>
        </w:rPr>
      </w:pPr>
    </w:p>
    <w:p>
      <w:pPr>
        <w:pStyle w:val="BodyText"/>
        <w:spacing w:line="417" w:lineRule="auto" w:before="1"/>
        <w:ind w:left="960" w:right="2691"/>
      </w:pPr>
      <w:r>
        <w:rPr/>
        <w:t>批准设立机关及批准设立文号：中国证监会证监基字</w:t>
      </w:r>
      <w:r>
        <w:rPr>
          <w:rFonts w:ascii="Calibri" w:eastAsia="Calibri"/>
        </w:rPr>
        <w:t>[1998]16 </w:t>
      </w:r>
      <w:r>
        <w:rPr/>
        <w:t>号文注册资本：</w:t>
      </w:r>
      <w:r>
        <w:rPr>
          <w:rFonts w:ascii="Calibri" w:eastAsia="Calibri"/>
        </w:rPr>
        <w:t>2.38 </w:t>
      </w:r>
      <w:r>
        <w:rPr/>
        <w:t>亿元</w:t>
      </w:r>
    </w:p>
    <w:p>
      <w:pPr>
        <w:pStyle w:val="BodyText"/>
        <w:spacing w:line="417" w:lineRule="auto"/>
        <w:ind w:left="960" w:right="6606"/>
      </w:pPr>
      <w:r>
        <w:rPr/>
        <w:t>组织形式</w:t>
      </w:r>
      <w:r>
        <w:rPr>
          <w:rFonts w:ascii="Calibri" w:eastAsia="Calibri"/>
        </w:rPr>
        <w:t>:</w:t>
      </w:r>
      <w:r>
        <w:rPr/>
        <w:t>有限责任公司存续期间：</w:t>
      </w:r>
      <w:r>
        <w:rPr>
          <w:rFonts w:ascii="Calibri" w:eastAsia="Calibri"/>
        </w:rPr>
        <w:t>100 </w:t>
      </w:r>
      <w:r>
        <w:rPr/>
        <w:t>年</w:t>
      </w:r>
    </w:p>
    <w:p>
      <w:pPr>
        <w:pStyle w:val="BodyText"/>
        <w:spacing w:line="417" w:lineRule="auto"/>
        <w:ind w:left="540" w:right="87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spacing w:line="417" w:lineRule="auto"/>
        <w:ind w:left="960" w:right="5084"/>
      </w:pPr>
      <w:r>
        <w:rPr>
          <w:w w:val="100"/>
        </w:rPr>
        <w:t>（二</w:t>
      </w:r>
      <w:r>
        <w:rPr>
          <w:spacing w:val="-3"/>
          <w:w w:val="100"/>
        </w:rPr>
        <w:t>）基金托管人（</w:t>
      </w:r>
      <w:r>
        <w:rPr>
          <w:spacing w:val="-17"/>
          <w:w w:val="100"/>
        </w:rPr>
        <w:t>或简称“托管人”</w:t>
      </w:r>
      <w:r>
        <w:rPr>
          <w:spacing w:val="-7"/>
          <w:w w:val="100"/>
        </w:rPr>
        <w:t>）</w:t>
      </w:r>
      <w:r>
        <w:rPr>
          <w:spacing w:val="-3"/>
        </w:rPr>
        <w:t>名称：中国银行股份有限公司</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960" w:right="5189"/>
      </w:pPr>
      <w:r>
        <w:rPr/>
        <w:t>住所：北京市西城区复兴门内大街１号法定代表人：刘连舸</w:t>
      </w:r>
    </w:p>
    <w:p>
      <w:pPr>
        <w:pStyle w:val="BodyText"/>
        <w:spacing w:line="269" w:lineRule="exact"/>
        <w:ind w:left="960"/>
      </w:pPr>
      <w:r>
        <w:rPr/>
        <w:t>成立时间：</w:t>
      </w:r>
      <w:r>
        <w:rPr>
          <w:rFonts w:ascii="Calibri" w:eastAsia="Calibri"/>
        </w:rPr>
        <w:t>1983 </w:t>
      </w:r>
      <w:r>
        <w:rPr/>
        <w:t>年 </w:t>
      </w:r>
      <w:r>
        <w:rPr>
          <w:rFonts w:ascii="Calibri" w:eastAsia="Calibri"/>
        </w:rPr>
        <w:t>10 </w:t>
      </w:r>
      <w:r>
        <w:rPr/>
        <w:t>月 </w:t>
      </w:r>
      <w:r>
        <w:rPr>
          <w:rFonts w:ascii="Calibri" w:eastAsia="Calibri"/>
        </w:rPr>
        <w:t>31 </w:t>
      </w:r>
      <w:r>
        <w:rPr/>
        <w:t>日</w:t>
      </w:r>
    </w:p>
    <w:p>
      <w:pPr>
        <w:pStyle w:val="BodyText"/>
        <w:spacing w:before="7"/>
        <w:rPr>
          <w:sz w:val="15"/>
        </w:rPr>
      </w:pPr>
    </w:p>
    <w:p>
      <w:pPr>
        <w:pStyle w:val="BodyText"/>
        <w:spacing w:line="417" w:lineRule="auto"/>
        <w:ind w:left="960" w:right="3238"/>
      </w:pPr>
      <w:r>
        <w:rPr/>
        <w:t>基金托管业务批准文号：中国证监会证监基字【</w:t>
      </w:r>
      <w:r>
        <w:rPr>
          <w:rFonts w:ascii="Calibri" w:eastAsia="Calibri"/>
        </w:rPr>
        <w:t>1998</w:t>
      </w:r>
      <w:r>
        <w:rPr/>
        <w:t>】</w:t>
      </w:r>
      <w:r>
        <w:rPr>
          <w:rFonts w:ascii="Calibri" w:eastAsia="Calibri"/>
        </w:rPr>
        <w:t>24 </w:t>
      </w:r>
      <w:r>
        <w:rPr/>
        <w:t>号组织形式：股份有限公司</w:t>
      </w:r>
    </w:p>
    <w:p>
      <w:pPr>
        <w:pStyle w:val="BodyText"/>
        <w:spacing w:line="269" w:lineRule="exact"/>
        <w:ind w:left="960"/>
      </w:pPr>
      <w:r>
        <w:rPr/>
        <w:t>注册资本：人民币贰仟玖佰肆拾叁亿捌仟柒佰柒拾玖万壹仟贰佰肆拾壹元整</w:t>
      </w:r>
    </w:p>
    <w:p>
      <w:pPr>
        <w:pStyle w:val="BodyText"/>
        <w:spacing w:before="7"/>
        <w:rPr>
          <w:sz w:val="15"/>
        </w:rPr>
      </w:pPr>
    </w:p>
    <w:p>
      <w:pPr>
        <w:pStyle w:val="BodyText"/>
        <w:spacing w:line="417" w:lineRule="auto"/>
        <w:ind w:left="540" w:right="765" w:firstLine="419"/>
      </w:pPr>
      <w:r>
        <w:rPr>
          <w:spacing w:val="-3"/>
        </w:rPr>
        <w:t>经营范围：吸收人民币存款；发放短期、中期和长期贷款；办理结算；办理票据贴现； </w:t>
      </w:r>
      <w:r>
        <w:rPr>
          <w:spacing w:val="-10"/>
        </w:rPr>
        <w:t>发行金融债券；代理发行、代理兑付、承销政府债券；买卖政府债券；从事同业拆借；提供</w:t>
      </w:r>
      <w:r>
        <w:rPr>
          <w:spacing w:val="-12"/>
        </w:rPr>
        <w:t>信用证服务及担保；代理收付款项；提供保管箱服务；外汇存款；外汇贷款；外汇汇款；外</w:t>
      </w:r>
      <w:r>
        <w:rPr>
          <w:spacing w:val="-6"/>
        </w:rPr>
        <w:t>币兑换；国际结算；同业外汇拆借；外汇票据的承兑和贴现；外汇借款；外汇担保；结汇、</w:t>
      </w:r>
      <w:r>
        <w:rPr>
          <w:spacing w:val="-17"/>
        </w:rPr>
        <w:t>售汇；发行和代理发行股票以外的外币有价证券；买卖和代理买卖股票以外的外币有价证券； </w:t>
      </w:r>
      <w:r>
        <w:rPr>
          <w:spacing w:val="-13"/>
        </w:rPr>
        <w:t>自营外汇买卖；代客外汇买卖；外汇信用卡的发行和代理国外信用卡的发行及付款；资信调</w:t>
      </w:r>
      <w:r>
        <w:rPr>
          <w:spacing w:val="-12"/>
        </w:rPr>
        <w:t>查、咨询、见证业务；组织或参加银团贷款；国际贵金属买卖；海外分支机构经营当地法律许可的一切银行业务；在港澳地区的分行依据当地法令可发行或参与代理发行当地货币；经</w:t>
      </w:r>
      <w:r>
        <w:rPr>
          <w:spacing w:val="-6"/>
        </w:rPr>
        <w:t>中国银行业监督管理委员会等监管部门批准的其他业务；保险兼业代理</w:t>
      </w:r>
      <w:r>
        <w:rPr/>
        <w:t>（</w:t>
      </w:r>
      <w:r>
        <w:rPr>
          <w:spacing w:val="-11"/>
        </w:rPr>
        <w:t>有效期至 </w:t>
      </w:r>
      <w:r>
        <w:rPr>
          <w:rFonts w:ascii="Calibri" w:eastAsia="Calibri"/>
        </w:rPr>
        <w:t>2018 </w:t>
      </w:r>
      <w:r>
        <w:rPr/>
        <w:t>年</w:t>
      </w:r>
    </w:p>
    <w:p>
      <w:pPr>
        <w:pStyle w:val="BodyText"/>
        <w:spacing w:line="417" w:lineRule="auto"/>
        <w:ind w:left="960" w:right="2191" w:hanging="420"/>
      </w:pPr>
      <w:r>
        <w:rPr>
          <w:rFonts w:ascii="Calibri" w:eastAsia="Calibri"/>
        </w:rPr>
        <w:t>8 </w:t>
      </w:r>
      <w:r>
        <w:rPr>
          <w:spacing w:val="-22"/>
        </w:rPr>
        <w:t>月 </w:t>
      </w:r>
      <w:r>
        <w:rPr>
          <w:rFonts w:ascii="Calibri" w:eastAsia="Calibri"/>
        </w:rPr>
        <w:t>20 </w:t>
      </w:r>
      <w:r>
        <w:rPr>
          <w:spacing w:val="-3"/>
        </w:rPr>
        <w:t>日</w:t>
      </w:r>
      <w:r>
        <w:rPr>
          <w:spacing w:val="-106"/>
        </w:rPr>
        <w:t>）。</w:t>
      </w:r>
      <w:r>
        <w:rPr>
          <w:spacing w:val="-3"/>
        </w:rPr>
        <w:t>（依法须经批准的项目，经相关部门批准后方可开展经营活动</w:t>
      </w:r>
      <w:r>
        <w:rPr/>
        <w:t>） </w:t>
      </w:r>
      <w:r>
        <w:rPr>
          <w:spacing w:val="-3"/>
        </w:rPr>
        <w:t>存续期间：持续经营</w:t>
      </w:r>
    </w:p>
    <w:p>
      <w:pPr>
        <w:spacing w:line="269" w:lineRule="exact" w:before="0"/>
        <w:ind w:left="2479" w:right="0" w:firstLine="0"/>
        <w:jc w:val="left"/>
        <w:rPr>
          <w:b/>
          <w:sz w:val="21"/>
        </w:rPr>
      </w:pPr>
      <w:r>
        <w:rPr>
          <w:b/>
          <w:sz w:val="21"/>
        </w:rPr>
        <w:t>二、基金托管人对基金管理人的业务监督和核查</w:t>
      </w:r>
    </w:p>
    <w:p>
      <w:pPr>
        <w:pStyle w:val="BodyText"/>
        <w:spacing w:before="6"/>
        <w:rPr>
          <w:b/>
          <w:sz w:val="15"/>
        </w:rPr>
      </w:pPr>
    </w:p>
    <w:p>
      <w:pPr>
        <w:pStyle w:val="BodyText"/>
        <w:ind w:left="960"/>
      </w:pPr>
      <w:r>
        <w:rPr/>
        <w:t>（一）基金托管人根据有关法律法规的规定对基金管理人的下列投资运作进行监督：</w:t>
      </w:r>
    </w:p>
    <w:p>
      <w:pPr>
        <w:pStyle w:val="BodyText"/>
        <w:spacing w:before="7"/>
        <w:rPr>
          <w:sz w:val="15"/>
        </w:rPr>
      </w:pPr>
    </w:p>
    <w:p>
      <w:pPr>
        <w:pStyle w:val="BodyText"/>
        <w:spacing w:line="417" w:lineRule="auto"/>
        <w:ind w:left="540" w:right="662" w:firstLine="419"/>
      </w:pPr>
      <w:r>
        <w:rPr>
          <w:rFonts w:ascii="Calibri" w:eastAsia="Calibri"/>
        </w:rPr>
        <w:t>1</w:t>
      </w:r>
      <w:r>
        <w:rPr>
          <w:spacing w:val="-3"/>
        </w:rPr>
        <w:t>、对基金的投资范围、投资对象进行监督。基金管理人应将拟投资的大中华信用债债 </w:t>
      </w:r>
      <w:r>
        <w:rPr>
          <w:spacing w:val="-7"/>
        </w:rPr>
        <w:t>券库等各投资品种的具体范围及时提供给基金托管人。基金管理人可以根据实际情况的变化， </w:t>
      </w:r>
      <w:r>
        <w:rPr>
          <w:spacing w:val="-10"/>
        </w:rPr>
        <w:t>对各投资品种的具体范围予以更新和调整，并及时通知基金托管人。基金托管人根据上述投 </w:t>
      </w:r>
      <w:r>
        <w:rPr>
          <w:spacing w:val="-5"/>
        </w:rPr>
        <w:t>资范围对基金的投资进行监督。</w:t>
      </w:r>
    </w:p>
    <w:p>
      <w:pPr>
        <w:pStyle w:val="BodyText"/>
        <w:ind w:left="960"/>
      </w:pPr>
      <w:r>
        <w:rPr>
          <w:rFonts w:ascii="Calibri" w:eastAsia="Calibri"/>
        </w:rPr>
        <w:t>2</w:t>
      </w:r>
      <w:r>
        <w:rPr/>
        <w:t>、对基金投融资比例进行监督。</w:t>
      </w:r>
    </w:p>
    <w:p>
      <w:pPr>
        <w:pStyle w:val="BodyText"/>
        <w:spacing w:before="6"/>
        <w:rPr>
          <w:sz w:val="15"/>
        </w:rPr>
      </w:pPr>
    </w:p>
    <w:p>
      <w:pPr>
        <w:pStyle w:val="ListParagraph"/>
        <w:numPr>
          <w:ilvl w:val="0"/>
          <w:numId w:val="48"/>
        </w:numPr>
        <w:tabs>
          <w:tab w:pos="1490" w:val="left" w:leader="none"/>
        </w:tabs>
        <w:spacing w:line="240" w:lineRule="auto" w:before="1" w:after="0"/>
        <w:ind w:left="1489" w:right="0" w:hanging="530"/>
        <w:jc w:val="left"/>
        <w:rPr>
          <w:sz w:val="21"/>
        </w:rPr>
      </w:pPr>
      <w:r>
        <w:rPr>
          <w:spacing w:val="-3"/>
          <w:sz w:val="21"/>
        </w:rPr>
        <w:t>本基金境外投资组合应遵循以下限制：</w:t>
      </w:r>
    </w:p>
    <w:p>
      <w:pPr>
        <w:pStyle w:val="BodyText"/>
        <w:spacing w:before="6"/>
        <w:rPr>
          <w:sz w:val="15"/>
        </w:rPr>
      </w:pPr>
    </w:p>
    <w:p>
      <w:pPr>
        <w:pStyle w:val="ListParagraph"/>
        <w:numPr>
          <w:ilvl w:val="0"/>
          <w:numId w:val="49"/>
        </w:numPr>
        <w:tabs>
          <w:tab w:pos="1281" w:val="left" w:leader="none"/>
        </w:tabs>
        <w:spacing w:line="417" w:lineRule="auto" w:before="0" w:after="0"/>
        <w:ind w:left="540" w:right="874" w:firstLine="419"/>
        <w:jc w:val="both"/>
        <w:rPr>
          <w:sz w:val="21"/>
        </w:rPr>
      </w:pPr>
      <w:r>
        <w:rPr>
          <w:spacing w:val="-3"/>
          <w:sz w:val="21"/>
        </w:rPr>
        <w:t>本基金持有同一机构（政府、国际金融组织除外</w:t>
      </w:r>
      <w:r>
        <w:rPr>
          <w:sz w:val="21"/>
        </w:rPr>
        <w:t>）</w:t>
      </w:r>
      <w:r>
        <w:rPr>
          <w:spacing w:val="-3"/>
          <w:sz w:val="21"/>
        </w:rPr>
        <w:t>发行的证券市值不得超过基金资</w:t>
      </w:r>
      <w:r>
        <w:rPr>
          <w:spacing w:val="-14"/>
          <w:sz w:val="21"/>
        </w:rPr>
        <w:t>产净值的 </w:t>
      </w:r>
      <w:r>
        <w:rPr>
          <w:rFonts w:ascii="Calibri" w:eastAsia="Calibri"/>
          <w:sz w:val="21"/>
        </w:rPr>
        <w:t>10%</w:t>
      </w:r>
      <w:r>
        <w:rPr>
          <w:sz w:val="21"/>
        </w:rPr>
        <w:t>。</w:t>
      </w:r>
    </w:p>
    <w:p>
      <w:pPr>
        <w:pStyle w:val="ListParagraph"/>
        <w:numPr>
          <w:ilvl w:val="0"/>
          <w:numId w:val="49"/>
        </w:numPr>
        <w:tabs>
          <w:tab w:pos="1281" w:val="left" w:leader="none"/>
        </w:tabs>
        <w:spacing w:line="417" w:lineRule="auto" w:before="0" w:after="0"/>
        <w:ind w:left="540" w:right="871" w:firstLine="419"/>
        <w:jc w:val="both"/>
        <w:rPr>
          <w:sz w:val="21"/>
        </w:rPr>
      </w:pPr>
      <w:r>
        <w:rPr>
          <w:spacing w:val="-3"/>
          <w:sz w:val="21"/>
        </w:rPr>
        <w:t>本基金不得购买证券用于控制或影响发行该证券的机构或其管理层。本基金管理人</w:t>
      </w:r>
      <w:r>
        <w:rPr>
          <w:spacing w:val="-18"/>
          <w:sz w:val="21"/>
        </w:rPr>
        <w:t>管理的全部基金</w:t>
      </w:r>
      <w:r>
        <w:rPr>
          <w:sz w:val="21"/>
        </w:rPr>
        <w:t>（</w:t>
      </w:r>
      <w:r>
        <w:rPr>
          <w:spacing w:val="-3"/>
          <w:sz w:val="21"/>
        </w:rPr>
        <w:t>含本基金</w:t>
      </w:r>
      <w:r>
        <w:rPr>
          <w:spacing w:val="-101"/>
          <w:sz w:val="21"/>
        </w:rPr>
        <w:t>）</w:t>
      </w:r>
      <w:r>
        <w:rPr>
          <w:spacing w:val="-6"/>
          <w:sz w:val="21"/>
        </w:rPr>
        <w:t>不得持有同一机构 </w:t>
      </w:r>
      <w:r>
        <w:rPr>
          <w:rFonts w:ascii="Calibri" w:eastAsia="Calibri"/>
          <w:sz w:val="21"/>
        </w:rPr>
        <w:t>10%</w:t>
      </w:r>
      <w:r>
        <w:rPr>
          <w:spacing w:val="-10"/>
          <w:sz w:val="21"/>
        </w:rPr>
        <w:t>以上具有投票权的证券发行总量。其中， </w:t>
      </w:r>
      <w:r>
        <w:rPr>
          <w:spacing w:val="-9"/>
          <w:sz w:val="21"/>
        </w:rPr>
        <w:t>此项投资比例限制应当合并计算同一机构境内外上市的总股本，同时应当一并计算全球存托</w:t>
      </w:r>
    </w:p>
    <w:p>
      <w:pPr>
        <w:spacing w:after="0" w:line="417" w:lineRule="auto"/>
        <w:jc w:val="both"/>
        <w:rPr>
          <w:sz w:val="21"/>
        </w:rPr>
        <w:sectPr>
          <w:pgSz w:w="11910" w:h="16840"/>
          <w:pgMar w:header="872" w:footer="995" w:top="1100" w:bottom="1180" w:left="1260" w:right="920"/>
        </w:sectPr>
      </w:pPr>
    </w:p>
    <w:p>
      <w:pPr>
        <w:pStyle w:val="BodyText"/>
        <w:spacing w:before="4"/>
        <w:rPr>
          <w:sz w:val="27"/>
        </w:rPr>
      </w:pPr>
    </w:p>
    <w:p>
      <w:pPr>
        <w:pStyle w:val="BodyText"/>
        <w:spacing w:before="71"/>
        <w:ind w:left="540"/>
      </w:pPr>
      <w:r>
        <w:rPr/>
        <w:t>凭证和美国存托凭证所代表的基础证券，并假设对持有的股本权证行使转换。</w:t>
      </w:r>
    </w:p>
    <w:p>
      <w:pPr>
        <w:pStyle w:val="BodyText"/>
        <w:spacing w:before="7"/>
        <w:rPr>
          <w:sz w:val="15"/>
        </w:rPr>
      </w:pPr>
    </w:p>
    <w:p>
      <w:pPr>
        <w:pStyle w:val="ListParagraph"/>
        <w:numPr>
          <w:ilvl w:val="0"/>
          <w:numId w:val="49"/>
        </w:numPr>
        <w:tabs>
          <w:tab w:pos="1281" w:val="left" w:leader="none"/>
        </w:tabs>
        <w:spacing w:line="417" w:lineRule="auto" w:before="0" w:after="0"/>
        <w:ind w:left="540" w:right="871" w:firstLine="419"/>
        <w:jc w:val="both"/>
        <w:rPr>
          <w:sz w:val="21"/>
        </w:rPr>
      </w:pPr>
      <w:r>
        <w:rPr>
          <w:spacing w:val="-4"/>
          <w:sz w:val="21"/>
        </w:rPr>
        <w:t>本基金持有同一家银行的存款不得超过基金资产净值的 </w:t>
      </w:r>
      <w:r>
        <w:rPr>
          <w:rFonts w:ascii="Calibri" w:eastAsia="Calibri"/>
          <w:sz w:val="21"/>
        </w:rPr>
        <w:t>20%</w:t>
      </w:r>
      <w:r>
        <w:rPr>
          <w:spacing w:val="-3"/>
          <w:sz w:val="21"/>
        </w:rPr>
        <w:t>，其中银行应当是境内中资商业银行或其在境外设立的分行或在最近一个会计年度达到中国证监会认可的信用评级机构评级的境外银行，但在基金托管账户的存款不受此限制。</w:t>
      </w:r>
    </w:p>
    <w:p>
      <w:pPr>
        <w:pStyle w:val="ListParagraph"/>
        <w:numPr>
          <w:ilvl w:val="0"/>
          <w:numId w:val="49"/>
        </w:numPr>
        <w:tabs>
          <w:tab w:pos="1281" w:val="left" w:leader="none"/>
        </w:tabs>
        <w:spacing w:line="417" w:lineRule="auto" w:before="0" w:after="0"/>
        <w:ind w:left="540" w:right="871" w:firstLine="419"/>
        <w:jc w:val="both"/>
        <w:rPr>
          <w:sz w:val="21"/>
        </w:rPr>
      </w:pPr>
      <w:r>
        <w:rPr>
          <w:spacing w:val="-3"/>
          <w:sz w:val="21"/>
        </w:rPr>
        <w:t>本基金持有与中国证监会签署双边监管合作谅解备忘录国家或地区以外的其他国家</w:t>
      </w:r>
      <w:r>
        <w:rPr>
          <w:spacing w:val="-3"/>
          <w:w w:val="100"/>
          <w:sz w:val="21"/>
        </w:rPr>
        <w:t>或地区证券市场挂牌交易的证券资产不得超过基金资产净值的</w:t>
      </w:r>
      <w:r>
        <w:rPr>
          <w:spacing w:val="-53"/>
          <w:sz w:val="21"/>
        </w:rPr>
        <w:t> </w:t>
      </w:r>
      <w:r>
        <w:rPr>
          <w:rFonts w:ascii="Calibri" w:eastAsia="Calibri"/>
          <w:spacing w:val="-2"/>
          <w:w w:val="100"/>
          <w:sz w:val="21"/>
        </w:rPr>
        <w:t>1</w:t>
      </w:r>
      <w:r>
        <w:rPr>
          <w:rFonts w:ascii="Calibri" w:eastAsia="Calibri"/>
          <w:w w:val="100"/>
          <w:sz w:val="21"/>
        </w:rPr>
        <w:t>0</w:t>
      </w:r>
      <w:r>
        <w:rPr>
          <w:rFonts w:ascii="Calibri" w:eastAsia="Calibri"/>
          <w:spacing w:val="-2"/>
          <w:w w:val="100"/>
          <w:sz w:val="21"/>
        </w:rPr>
        <w:t>%</w:t>
      </w:r>
      <w:r>
        <w:rPr>
          <w:spacing w:val="-11"/>
          <w:w w:val="100"/>
          <w:sz w:val="21"/>
        </w:rPr>
        <w:t>，其中持有任一国家或地</w:t>
      </w:r>
      <w:r>
        <w:rPr>
          <w:spacing w:val="-9"/>
          <w:sz w:val="21"/>
        </w:rPr>
        <w:t>区市场的证券资产不得超过基金资产净值的 </w:t>
      </w:r>
      <w:r>
        <w:rPr>
          <w:rFonts w:ascii="Calibri" w:eastAsia="Calibri"/>
          <w:sz w:val="21"/>
        </w:rPr>
        <w:t>3%</w:t>
      </w:r>
      <w:r>
        <w:rPr>
          <w:sz w:val="21"/>
        </w:rPr>
        <w:t>。</w:t>
      </w:r>
    </w:p>
    <w:p>
      <w:pPr>
        <w:pStyle w:val="ListParagraph"/>
        <w:numPr>
          <w:ilvl w:val="0"/>
          <w:numId w:val="49"/>
        </w:numPr>
        <w:tabs>
          <w:tab w:pos="1281" w:val="left" w:leader="none"/>
        </w:tabs>
        <w:spacing w:line="417" w:lineRule="auto" w:before="0" w:after="0"/>
        <w:ind w:left="540" w:right="871" w:firstLine="419"/>
        <w:jc w:val="both"/>
        <w:rPr>
          <w:sz w:val="21"/>
        </w:rPr>
      </w:pPr>
      <w:r>
        <w:rPr>
          <w:spacing w:val="-4"/>
          <w:sz w:val="21"/>
        </w:rPr>
        <w:t>基金持有非流动性资产市值不得超过基金资产净值的 </w:t>
      </w:r>
      <w:r>
        <w:rPr>
          <w:rFonts w:ascii="Calibri" w:eastAsia="Calibri"/>
          <w:sz w:val="21"/>
        </w:rPr>
        <w:t>10%</w:t>
      </w:r>
      <w:r>
        <w:rPr>
          <w:spacing w:val="-3"/>
          <w:sz w:val="21"/>
        </w:rPr>
        <w:t>。其中，非流动性资产是指法律或基金合同规定的流通受限证券以及中国证监会认定的其他资产。</w:t>
      </w:r>
    </w:p>
    <w:p>
      <w:pPr>
        <w:pStyle w:val="ListParagraph"/>
        <w:numPr>
          <w:ilvl w:val="0"/>
          <w:numId w:val="49"/>
        </w:numPr>
        <w:tabs>
          <w:tab w:pos="1281" w:val="left" w:leader="none"/>
        </w:tabs>
        <w:spacing w:line="417" w:lineRule="auto" w:before="0" w:after="0"/>
        <w:ind w:left="540" w:right="871" w:firstLine="419"/>
        <w:jc w:val="both"/>
        <w:rPr>
          <w:sz w:val="21"/>
        </w:rPr>
      </w:pPr>
      <w:r>
        <w:rPr>
          <w:spacing w:val="-4"/>
          <w:sz w:val="21"/>
        </w:rPr>
        <w:t>本基金持有境外基金的市值合计不得超过基金资产净值的 </w:t>
      </w:r>
      <w:r>
        <w:rPr>
          <w:rFonts w:ascii="Calibri" w:eastAsia="Calibri"/>
          <w:sz w:val="21"/>
        </w:rPr>
        <w:t>10%</w:t>
      </w:r>
      <w:r>
        <w:rPr>
          <w:spacing w:val="-3"/>
          <w:sz w:val="21"/>
        </w:rPr>
        <w:t>，但持有货币市场基金不受此限制。</w:t>
      </w:r>
    </w:p>
    <w:p>
      <w:pPr>
        <w:pStyle w:val="ListParagraph"/>
        <w:numPr>
          <w:ilvl w:val="0"/>
          <w:numId w:val="49"/>
        </w:numPr>
        <w:tabs>
          <w:tab w:pos="1281" w:val="left" w:leader="none"/>
        </w:tabs>
        <w:spacing w:line="417" w:lineRule="auto" w:before="0" w:after="0"/>
        <w:ind w:left="540" w:right="874" w:firstLine="419"/>
        <w:jc w:val="both"/>
        <w:rPr>
          <w:sz w:val="21"/>
        </w:rPr>
      </w:pPr>
      <w:r>
        <w:rPr>
          <w:spacing w:val="-3"/>
          <w:sz w:val="21"/>
        </w:rPr>
        <w:t>本基金管理人管理的全部基金</w:t>
      </w:r>
      <w:r>
        <w:rPr>
          <w:sz w:val="21"/>
        </w:rPr>
        <w:t>（</w:t>
      </w:r>
      <w:r>
        <w:rPr>
          <w:spacing w:val="-2"/>
          <w:sz w:val="21"/>
        </w:rPr>
        <w:t>含本基金</w:t>
      </w:r>
      <w:r>
        <w:rPr>
          <w:spacing w:val="-3"/>
          <w:sz w:val="21"/>
        </w:rPr>
        <w:t>）持有任何一只境外基金，不得超过该境</w:t>
      </w:r>
      <w:r>
        <w:rPr>
          <w:spacing w:val="-10"/>
          <w:sz w:val="21"/>
        </w:rPr>
        <w:t>外基金总份额的 </w:t>
      </w:r>
      <w:r>
        <w:rPr>
          <w:rFonts w:ascii="Calibri" w:eastAsia="Calibri"/>
          <w:sz w:val="21"/>
        </w:rPr>
        <w:t>20%</w:t>
      </w:r>
      <w:r>
        <w:rPr>
          <w:sz w:val="21"/>
        </w:rPr>
        <w:t>。</w:t>
      </w:r>
    </w:p>
    <w:p>
      <w:pPr>
        <w:pStyle w:val="ListParagraph"/>
        <w:numPr>
          <w:ilvl w:val="0"/>
          <w:numId w:val="49"/>
        </w:numPr>
        <w:tabs>
          <w:tab w:pos="1281" w:val="left" w:leader="none"/>
        </w:tabs>
        <w:spacing w:line="269" w:lineRule="exact" w:before="0" w:after="0"/>
        <w:ind w:left="1280" w:right="0" w:hanging="321"/>
        <w:jc w:val="both"/>
        <w:rPr>
          <w:sz w:val="21"/>
        </w:rPr>
      </w:pPr>
      <w:r>
        <w:rPr>
          <w:spacing w:val="-5"/>
          <w:sz w:val="21"/>
        </w:rPr>
        <w:t>本基金的金融衍生品全部敞口不得高于基金资产净值的 </w:t>
      </w:r>
      <w:r>
        <w:rPr>
          <w:rFonts w:ascii="Calibri" w:eastAsia="Calibri"/>
          <w:sz w:val="21"/>
        </w:rPr>
        <w:t>100%</w:t>
      </w:r>
      <w:r>
        <w:rPr>
          <w:sz w:val="21"/>
        </w:rPr>
        <w:t>。</w:t>
      </w:r>
    </w:p>
    <w:p>
      <w:pPr>
        <w:pStyle w:val="BodyText"/>
        <w:spacing w:before="6"/>
        <w:rPr>
          <w:sz w:val="15"/>
        </w:rPr>
      </w:pPr>
    </w:p>
    <w:p>
      <w:pPr>
        <w:pStyle w:val="ListParagraph"/>
        <w:numPr>
          <w:ilvl w:val="0"/>
          <w:numId w:val="49"/>
        </w:numPr>
        <w:tabs>
          <w:tab w:pos="1281" w:val="left" w:leader="none"/>
        </w:tabs>
        <w:spacing w:line="417" w:lineRule="auto" w:before="0" w:after="0"/>
        <w:ind w:left="540" w:right="874" w:firstLine="419"/>
        <w:jc w:val="both"/>
        <w:rPr>
          <w:sz w:val="21"/>
        </w:rPr>
      </w:pPr>
      <w:r>
        <w:rPr>
          <w:spacing w:val="-3"/>
          <w:sz w:val="21"/>
        </w:rPr>
        <w:t>本基金投资期货支付的初始保证金、投资期权支付或收取的期权费、投资柜台交易</w:t>
      </w:r>
      <w:r>
        <w:rPr>
          <w:spacing w:val="-6"/>
          <w:sz w:val="21"/>
        </w:rPr>
        <w:t>衍生品支付的初始费用的总额不得高于基金资产净值的 </w:t>
      </w:r>
      <w:r>
        <w:rPr>
          <w:rFonts w:ascii="Calibri" w:eastAsia="Calibri"/>
          <w:sz w:val="21"/>
        </w:rPr>
        <w:t>10%</w:t>
      </w:r>
      <w:r>
        <w:rPr>
          <w:sz w:val="21"/>
        </w:rPr>
        <w:t>。</w:t>
      </w:r>
    </w:p>
    <w:p>
      <w:pPr>
        <w:pStyle w:val="ListParagraph"/>
        <w:numPr>
          <w:ilvl w:val="0"/>
          <w:numId w:val="49"/>
        </w:numPr>
        <w:tabs>
          <w:tab w:pos="1387" w:val="left" w:leader="none"/>
        </w:tabs>
        <w:spacing w:line="417" w:lineRule="auto" w:before="0" w:after="0"/>
        <w:ind w:left="540" w:right="871" w:firstLine="419"/>
        <w:jc w:val="both"/>
        <w:rPr>
          <w:sz w:val="21"/>
        </w:rPr>
      </w:pPr>
      <w:r>
        <w:rPr>
          <w:spacing w:val="-8"/>
          <w:sz w:val="21"/>
        </w:rPr>
        <w:t>本基金参与证券借贷交易、正回购交易，所有已借出而未归还证券总市值或所有 </w:t>
      </w:r>
      <w:r>
        <w:rPr>
          <w:spacing w:val="-4"/>
          <w:sz w:val="21"/>
        </w:rPr>
        <w:t>已售出而未回购证券总市值均不得超过本基金总资产的 </w:t>
      </w:r>
      <w:r>
        <w:rPr>
          <w:rFonts w:ascii="Calibri" w:eastAsia="Calibri"/>
          <w:sz w:val="21"/>
        </w:rPr>
        <w:t>50%</w:t>
      </w:r>
      <w:r>
        <w:rPr>
          <w:spacing w:val="-11"/>
          <w:sz w:val="21"/>
        </w:rPr>
        <w:t>。该比例限制计算，本基金因参</w:t>
      </w:r>
      <w:r>
        <w:rPr>
          <w:spacing w:val="-3"/>
          <w:sz w:val="21"/>
        </w:rPr>
        <w:t>与证券借贷交易、正回购交易而持有的担保物、现金不得计入基金、集合计划总资产。</w:t>
      </w:r>
    </w:p>
    <w:p>
      <w:pPr>
        <w:pStyle w:val="ListParagraph"/>
        <w:numPr>
          <w:ilvl w:val="0"/>
          <w:numId w:val="49"/>
        </w:numPr>
        <w:tabs>
          <w:tab w:pos="1387" w:val="left" w:leader="none"/>
        </w:tabs>
        <w:spacing w:line="269" w:lineRule="exact" w:before="0" w:after="0"/>
        <w:ind w:left="1386" w:right="0" w:hanging="427"/>
        <w:jc w:val="both"/>
        <w:rPr>
          <w:sz w:val="21"/>
        </w:rPr>
      </w:pPr>
      <w:r>
        <w:rPr>
          <w:spacing w:val="-18"/>
          <w:sz w:val="21"/>
        </w:rPr>
        <w:t>为应付赎回、交易清算等临时用途，借入现金的比例不得超过基金资产净值的 </w:t>
      </w:r>
      <w:r>
        <w:rPr>
          <w:rFonts w:ascii="Calibri" w:eastAsia="Calibri"/>
          <w:sz w:val="21"/>
        </w:rPr>
        <w:t>10%</w:t>
      </w:r>
      <w:r>
        <w:rPr>
          <w:sz w:val="21"/>
        </w:rPr>
        <w:t>。</w:t>
      </w:r>
    </w:p>
    <w:p>
      <w:pPr>
        <w:pStyle w:val="BodyText"/>
        <w:spacing w:before="6"/>
        <w:rPr>
          <w:sz w:val="15"/>
        </w:rPr>
      </w:pPr>
    </w:p>
    <w:p>
      <w:pPr>
        <w:pStyle w:val="ListParagraph"/>
        <w:numPr>
          <w:ilvl w:val="0"/>
          <w:numId w:val="48"/>
        </w:numPr>
        <w:tabs>
          <w:tab w:pos="1490" w:val="left" w:leader="none"/>
        </w:tabs>
        <w:spacing w:line="240" w:lineRule="auto" w:before="1" w:after="0"/>
        <w:ind w:left="1489" w:right="0" w:hanging="530"/>
        <w:jc w:val="left"/>
        <w:rPr>
          <w:sz w:val="21"/>
        </w:rPr>
      </w:pPr>
      <w:r>
        <w:rPr>
          <w:spacing w:val="-3"/>
          <w:sz w:val="21"/>
        </w:rPr>
        <w:t>本基金境内投资应遵循以下限制：</w:t>
      </w:r>
    </w:p>
    <w:p>
      <w:pPr>
        <w:pStyle w:val="BodyText"/>
        <w:spacing w:before="7"/>
        <w:rPr>
          <w:sz w:val="15"/>
        </w:rPr>
      </w:pPr>
    </w:p>
    <w:p>
      <w:pPr>
        <w:pStyle w:val="ListParagraph"/>
        <w:numPr>
          <w:ilvl w:val="0"/>
          <w:numId w:val="50"/>
        </w:numPr>
        <w:tabs>
          <w:tab w:pos="1281" w:val="left" w:leader="none"/>
        </w:tabs>
        <w:spacing w:line="240" w:lineRule="auto" w:before="0" w:after="0"/>
        <w:ind w:left="1280" w:right="0" w:hanging="321"/>
        <w:jc w:val="left"/>
        <w:rPr>
          <w:sz w:val="21"/>
        </w:rPr>
      </w:pPr>
      <w:r>
        <w:rPr>
          <w:spacing w:val="-5"/>
          <w:sz w:val="21"/>
        </w:rPr>
        <w:t>本基金持有一家公司发行的证券，其市值不超过基金资产净值的 </w:t>
      </w:r>
      <w:r>
        <w:rPr>
          <w:rFonts w:ascii="Calibri" w:eastAsia="Calibri"/>
          <w:sz w:val="21"/>
        </w:rPr>
        <w:t>10%</w:t>
      </w:r>
      <w:r>
        <w:rPr>
          <w:sz w:val="21"/>
        </w:rPr>
        <w:t>。</w:t>
      </w:r>
    </w:p>
    <w:p>
      <w:pPr>
        <w:pStyle w:val="BodyText"/>
        <w:spacing w:before="6"/>
        <w:rPr>
          <w:sz w:val="15"/>
        </w:rPr>
      </w:pPr>
    </w:p>
    <w:p>
      <w:pPr>
        <w:pStyle w:val="ListParagraph"/>
        <w:numPr>
          <w:ilvl w:val="0"/>
          <w:numId w:val="50"/>
        </w:numPr>
        <w:tabs>
          <w:tab w:pos="1281" w:val="left" w:leader="none"/>
        </w:tabs>
        <w:spacing w:line="240" w:lineRule="auto" w:before="1" w:after="0"/>
        <w:ind w:left="1280" w:right="0" w:hanging="321"/>
        <w:jc w:val="left"/>
        <w:rPr>
          <w:sz w:val="21"/>
        </w:rPr>
      </w:pPr>
      <w:r>
        <w:rPr>
          <w:spacing w:val="-5"/>
          <w:sz w:val="21"/>
        </w:rPr>
        <w:t>同一基金管理人管理的全部基金持有一家公司发行的证券，不超过该证券的 </w:t>
      </w:r>
      <w:r>
        <w:rPr>
          <w:rFonts w:ascii="Calibri" w:eastAsia="Calibri"/>
          <w:sz w:val="21"/>
        </w:rPr>
        <w:t>10%</w:t>
      </w:r>
      <w:r>
        <w:rPr>
          <w:sz w:val="21"/>
        </w:rPr>
        <w:t>。</w:t>
      </w:r>
    </w:p>
    <w:p>
      <w:pPr>
        <w:pStyle w:val="BodyText"/>
        <w:spacing w:before="6"/>
        <w:rPr>
          <w:sz w:val="15"/>
        </w:rPr>
      </w:pPr>
    </w:p>
    <w:p>
      <w:pPr>
        <w:pStyle w:val="ListParagraph"/>
        <w:numPr>
          <w:ilvl w:val="0"/>
          <w:numId w:val="50"/>
        </w:numPr>
        <w:tabs>
          <w:tab w:pos="1281" w:val="left" w:leader="none"/>
        </w:tabs>
        <w:spacing w:line="240" w:lineRule="auto" w:before="0" w:after="0"/>
        <w:ind w:left="1280" w:right="0" w:hanging="321"/>
        <w:jc w:val="left"/>
        <w:rPr>
          <w:sz w:val="21"/>
        </w:rPr>
      </w:pPr>
      <w:r>
        <w:rPr>
          <w:spacing w:val="-5"/>
          <w:sz w:val="21"/>
        </w:rPr>
        <w:t>本基金持有单只中小企业私募债券，其市值不得超过基金资产净值的 </w:t>
      </w:r>
      <w:r>
        <w:rPr>
          <w:rFonts w:ascii="Calibri" w:eastAsia="Calibri"/>
          <w:sz w:val="21"/>
        </w:rPr>
        <w:t>10%</w:t>
      </w:r>
      <w:r>
        <w:rPr>
          <w:sz w:val="21"/>
        </w:rPr>
        <w:t>。</w:t>
      </w:r>
    </w:p>
    <w:p>
      <w:pPr>
        <w:pStyle w:val="BodyText"/>
        <w:spacing w:before="7"/>
        <w:rPr>
          <w:sz w:val="15"/>
        </w:rPr>
      </w:pPr>
    </w:p>
    <w:p>
      <w:pPr>
        <w:pStyle w:val="ListParagraph"/>
        <w:numPr>
          <w:ilvl w:val="0"/>
          <w:numId w:val="50"/>
        </w:numPr>
        <w:tabs>
          <w:tab w:pos="1281" w:val="left" w:leader="none"/>
        </w:tabs>
        <w:spacing w:line="240" w:lineRule="auto" w:before="0" w:after="0"/>
        <w:ind w:left="1280" w:right="0" w:hanging="321"/>
        <w:jc w:val="left"/>
        <w:rPr>
          <w:sz w:val="21"/>
        </w:rPr>
      </w:pPr>
      <w:r>
        <w:rPr>
          <w:spacing w:val="-3"/>
          <w:sz w:val="21"/>
        </w:rPr>
        <w:t>本基金进入全国银行间同业市场进行债券回购的资金余额不得超过基金资产净值的</w:t>
      </w:r>
    </w:p>
    <w:p>
      <w:pPr>
        <w:pStyle w:val="BodyText"/>
        <w:spacing w:before="7"/>
        <w:rPr>
          <w:sz w:val="15"/>
        </w:rPr>
      </w:pPr>
    </w:p>
    <w:p>
      <w:pPr>
        <w:pStyle w:val="BodyText"/>
        <w:ind w:left="540"/>
        <w:jc w:val="both"/>
      </w:pPr>
      <w:r>
        <w:rPr>
          <w:rFonts w:ascii="Calibri" w:eastAsia="Calibri"/>
        </w:rPr>
        <w:t>40%</w:t>
      </w:r>
      <w:r>
        <w:rPr/>
        <w:t>；债券回购最长期限为 </w:t>
      </w:r>
      <w:r>
        <w:rPr>
          <w:rFonts w:ascii="Calibri" w:eastAsia="Calibri"/>
        </w:rPr>
        <w:t>1 </w:t>
      </w:r>
      <w:r>
        <w:rPr/>
        <w:t>年，债券回购到期后不得展期。</w:t>
      </w:r>
    </w:p>
    <w:p>
      <w:pPr>
        <w:pStyle w:val="BodyText"/>
        <w:spacing w:before="6"/>
        <w:rPr>
          <w:sz w:val="15"/>
        </w:rPr>
      </w:pPr>
    </w:p>
    <w:p>
      <w:pPr>
        <w:pStyle w:val="ListParagraph"/>
        <w:numPr>
          <w:ilvl w:val="0"/>
          <w:numId w:val="50"/>
        </w:numPr>
        <w:tabs>
          <w:tab w:pos="1281" w:val="left" w:leader="none"/>
        </w:tabs>
        <w:spacing w:line="417" w:lineRule="auto" w:before="1" w:after="0"/>
        <w:ind w:left="540" w:right="871" w:firstLine="419"/>
        <w:jc w:val="both"/>
        <w:rPr>
          <w:sz w:val="21"/>
        </w:rPr>
      </w:pPr>
      <w:r>
        <w:rPr>
          <w:spacing w:val="-3"/>
          <w:sz w:val="21"/>
        </w:rPr>
        <w:t>本基金投资于同一原始权益人的各类资产支持证券的比例，不得超过基金资产净值</w:t>
      </w:r>
      <w:r>
        <w:rPr>
          <w:spacing w:val="-18"/>
          <w:sz w:val="21"/>
        </w:rPr>
        <w:t>的 </w:t>
      </w:r>
      <w:r>
        <w:rPr>
          <w:rFonts w:ascii="Calibri" w:eastAsia="Calibri"/>
          <w:spacing w:val="-9"/>
          <w:sz w:val="21"/>
        </w:rPr>
        <w:t>10%</w:t>
      </w:r>
      <w:r>
        <w:rPr>
          <w:spacing w:val="-7"/>
          <w:sz w:val="21"/>
        </w:rPr>
        <w:t>；本基金持有的全部资产支持证券，其市值不得超过基金资产净值的 </w:t>
      </w:r>
      <w:r>
        <w:rPr>
          <w:rFonts w:ascii="Calibri" w:eastAsia="Calibri"/>
          <w:spacing w:val="-9"/>
          <w:sz w:val="21"/>
        </w:rPr>
        <w:t>20%</w:t>
      </w:r>
      <w:r>
        <w:rPr>
          <w:spacing w:val="-4"/>
          <w:sz w:val="21"/>
        </w:rPr>
        <w:t>；本基金持</w:t>
      </w:r>
      <w:r>
        <w:rPr>
          <w:spacing w:val="-3"/>
          <w:sz w:val="21"/>
        </w:rPr>
        <w:t>有的同一</w:t>
      </w:r>
      <w:r>
        <w:rPr>
          <w:rFonts w:ascii="Calibri" w:eastAsia="Calibri"/>
          <w:sz w:val="21"/>
        </w:rPr>
        <w:t>(</w:t>
      </w:r>
      <w:r>
        <w:rPr>
          <w:spacing w:val="-3"/>
          <w:sz w:val="21"/>
        </w:rPr>
        <w:t>指同一信用级别</w:t>
      </w:r>
      <w:r>
        <w:rPr>
          <w:rFonts w:ascii="Calibri" w:eastAsia="Calibri"/>
          <w:sz w:val="21"/>
        </w:rPr>
        <w:t>)</w:t>
      </w:r>
      <w:r>
        <w:rPr>
          <w:spacing w:val="-6"/>
          <w:sz w:val="21"/>
        </w:rPr>
        <w:t>资产支持证券的比例，不得超过该资产支持证券规模的 </w:t>
      </w:r>
      <w:r>
        <w:rPr>
          <w:rFonts w:ascii="Calibri" w:eastAsia="Calibri"/>
          <w:sz w:val="21"/>
        </w:rPr>
        <w:t>10%</w:t>
      </w:r>
      <w:r>
        <w:rPr>
          <w:spacing w:val="-2"/>
          <w:sz w:val="21"/>
        </w:rPr>
        <w:t>；本</w:t>
      </w:r>
      <w:r>
        <w:rPr>
          <w:spacing w:val="-6"/>
          <w:sz w:val="21"/>
        </w:rPr>
        <w:t>基金管理人管理的全部基金投资于同一原始权益人的各类资产支持证券，不得超过其各类资</w:t>
      </w:r>
    </w:p>
    <w:p>
      <w:pPr>
        <w:spacing w:after="0" w:line="417" w:lineRule="auto"/>
        <w:jc w:val="both"/>
        <w:rPr>
          <w:sz w:val="21"/>
        </w:rPr>
        <w:sectPr>
          <w:pgSz w:w="11910" w:h="16840"/>
          <w:pgMar w:header="872" w:footer="995" w:top="1100" w:bottom="1180" w:left="1260" w:right="920"/>
        </w:sectPr>
      </w:pPr>
    </w:p>
    <w:p>
      <w:pPr>
        <w:pStyle w:val="BodyText"/>
        <w:spacing w:before="4"/>
        <w:rPr>
          <w:sz w:val="27"/>
        </w:rPr>
      </w:pPr>
    </w:p>
    <w:p>
      <w:pPr>
        <w:pStyle w:val="BodyText"/>
        <w:spacing w:before="71"/>
        <w:ind w:left="540"/>
        <w:jc w:val="both"/>
      </w:pPr>
      <w:r>
        <w:rPr/>
        <w:t>产支持证券合计规模的 </w:t>
      </w:r>
      <w:r>
        <w:rPr>
          <w:rFonts w:ascii="Calibri" w:eastAsia="Calibri"/>
        </w:rPr>
        <w:t>10%</w:t>
      </w:r>
      <w:r>
        <w:rPr/>
        <w:t>；</w:t>
      </w:r>
    </w:p>
    <w:p>
      <w:pPr>
        <w:pStyle w:val="BodyText"/>
        <w:spacing w:before="7"/>
        <w:rPr>
          <w:sz w:val="15"/>
        </w:rPr>
      </w:pPr>
    </w:p>
    <w:p>
      <w:pPr>
        <w:pStyle w:val="ListParagraph"/>
        <w:numPr>
          <w:ilvl w:val="0"/>
          <w:numId w:val="50"/>
        </w:numPr>
        <w:tabs>
          <w:tab w:pos="1281" w:val="left" w:leader="none"/>
        </w:tabs>
        <w:spacing w:line="417" w:lineRule="auto" w:before="0" w:after="0"/>
        <w:ind w:left="540" w:right="873" w:firstLine="419"/>
        <w:jc w:val="both"/>
        <w:rPr>
          <w:sz w:val="21"/>
        </w:rPr>
      </w:pPr>
      <w:r>
        <w:rPr>
          <w:spacing w:val="-4"/>
          <w:sz w:val="21"/>
        </w:rPr>
        <w:t>本基金应投资于信用级别评级为 </w:t>
      </w:r>
      <w:r>
        <w:rPr>
          <w:rFonts w:ascii="Calibri" w:eastAsia="Calibri"/>
          <w:sz w:val="21"/>
        </w:rPr>
        <w:t>BBB</w:t>
      </w:r>
      <w:r>
        <w:rPr>
          <w:rFonts w:ascii="Calibri" w:eastAsia="Calibri"/>
          <w:spacing w:val="46"/>
          <w:sz w:val="21"/>
        </w:rPr>
        <w:t> </w:t>
      </w:r>
      <w:r>
        <w:rPr>
          <w:spacing w:val="-2"/>
          <w:sz w:val="21"/>
        </w:rPr>
        <w:t>以上</w:t>
      </w:r>
      <w:r>
        <w:rPr>
          <w:rFonts w:ascii="Calibri" w:eastAsia="Calibri"/>
          <w:sz w:val="21"/>
        </w:rPr>
        <w:t>(</w:t>
      </w:r>
      <w:r>
        <w:rPr>
          <w:spacing w:val="-8"/>
          <w:sz w:val="21"/>
        </w:rPr>
        <w:t>含 </w:t>
      </w:r>
      <w:r>
        <w:rPr>
          <w:rFonts w:ascii="Calibri" w:eastAsia="Calibri"/>
          <w:sz w:val="21"/>
        </w:rPr>
        <w:t>BBB)</w:t>
      </w:r>
      <w:r>
        <w:rPr>
          <w:spacing w:val="-3"/>
          <w:sz w:val="21"/>
        </w:rPr>
        <w:t>的资产支持证券。基金持有资产</w:t>
      </w:r>
      <w:r>
        <w:rPr>
          <w:spacing w:val="-12"/>
          <w:sz w:val="21"/>
        </w:rPr>
        <w:t>支持证券期间，如果其信用等级下降、不再符合投资标准，应在评级报告发布之日起 </w:t>
      </w:r>
      <w:r>
        <w:rPr>
          <w:rFonts w:ascii="Calibri" w:eastAsia="Calibri"/>
          <w:sz w:val="21"/>
        </w:rPr>
        <w:t>3</w:t>
      </w:r>
      <w:r>
        <w:rPr>
          <w:rFonts w:ascii="Calibri" w:eastAsia="Calibri"/>
          <w:spacing w:val="25"/>
          <w:sz w:val="21"/>
        </w:rPr>
        <w:t> </w:t>
      </w:r>
      <w:r>
        <w:rPr>
          <w:spacing w:val="-3"/>
          <w:sz w:val="21"/>
        </w:rPr>
        <w:t>个月内予以全部卖出。</w:t>
      </w:r>
    </w:p>
    <w:p>
      <w:pPr>
        <w:pStyle w:val="ListParagraph"/>
        <w:numPr>
          <w:ilvl w:val="0"/>
          <w:numId w:val="50"/>
        </w:numPr>
        <w:tabs>
          <w:tab w:pos="1281" w:val="left" w:leader="none"/>
        </w:tabs>
        <w:spacing w:line="417" w:lineRule="auto" w:before="0" w:after="0"/>
        <w:ind w:left="540" w:right="873" w:firstLine="419"/>
        <w:jc w:val="both"/>
        <w:rPr>
          <w:sz w:val="21"/>
        </w:rPr>
      </w:pPr>
      <w:r>
        <w:rPr>
          <w:spacing w:val="-13"/>
          <w:sz w:val="21"/>
        </w:rPr>
        <w:t>在任何交易日日终，持有的买入国债期货合约价值，不得超过基金资产净值的 </w:t>
      </w:r>
      <w:r>
        <w:rPr>
          <w:rFonts w:ascii="Calibri" w:eastAsia="Calibri"/>
          <w:spacing w:val="-13"/>
          <w:sz w:val="21"/>
        </w:rPr>
        <w:t>15%</w:t>
      </w:r>
      <w:r>
        <w:rPr>
          <w:spacing w:val="-13"/>
          <w:sz w:val="21"/>
        </w:rPr>
        <w:t>；基金在任何交易日日终，持有的卖出国债期货合约价值不得超过基金持有的债券总</w:t>
      </w:r>
      <w:r>
        <w:rPr>
          <w:spacing w:val="-4"/>
          <w:sz w:val="21"/>
        </w:rPr>
        <w:t>市值的 </w:t>
      </w:r>
      <w:r>
        <w:rPr>
          <w:rFonts w:ascii="Calibri" w:eastAsia="Calibri"/>
          <w:spacing w:val="-5"/>
          <w:sz w:val="21"/>
        </w:rPr>
        <w:t>30%</w:t>
      </w:r>
      <w:r>
        <w:rPr>
          <w:spacing w:val="-4"/>
          <w:sz w:val="21"/>
        </w:rPr>
        <w:t>；基金在任何交易日内交易</w:t>
      </w:r>
      <w:r>
        <w:rPr>
          <w:sz w:val="21"/>
        </w:rPr>
        <w:t>（</w:t>
      </w:r>
      <w:r>
        <w:rPr>
          <w:spacing w:val="-3"/>
          <w:sz w:val="21"/>
        </w:rPr>
        <w:t>不包括平仓</w:t>
      </w:r>
      <w:r>
        <w:rPr>
          <w:spacing w:val="-13"/>
          <w:sz w:val="21"/>
        </w:rPr>
        <w:t>）</w:t>
      </w:r>
      <w:r>
        <w:rPr>
          <w:spacing w:val="-3"/>
          <w:sz w:val="21"/>
        </w:rPr>
        <w:t>的国债期货合约的成交金额不得超</w:t>
      </w:r>
      <w:r>
        <w:rPr>
          <w:spacing w:val="-7"/>
          <w:sz w:val="21"/>
        </w:rPr>
        <w:t>过上一交易日基金资产净值的 </w:t>
      </w:r>
      <w:r>
        <w:rPr>
          <w:rFonts w:ascii="Calibri" w:eastAsia="Calibri"/>
          <w:sz w:val="21"/>
        </w:rPr>
        <w:t>30%</w:t>
      </w:r>
      <w:r>
        <w:rPr>
          <w:sz w:val="21"/>
        </w:rPr>
        <w:t>。</w:t>
      </w:r>
    </w:p>
    <w:p>
      <w:pPr>
        <w:pStyle w:val="ListParagraph"/>
        <w:numPr>
          <w:ilvl w:val="0"/>
          <w:numId w:val="50"/>
        </w:numPr>
        <w:tabs>
          <w:tab w:pos="1281" w:val="left" w:leader="none"/>
        </w:tabs>
        <w:spacing w:line="417" w:lineRule="auto" w:before="0" w:after="0"/>
        <w:ind w:left="540" w:right="871" w:firstLine="419"/>
        <w:jc w:val="both"/>
        <w:rPr>
          <w:sz w:val="21"/>
        </w:rPr>
      </w:pPr>
      <w:r>
        <w:rPr>
          <w:spacing w:val="-4"/>
          <w:sz w:val="21"/>
        </w:rPr>
        <w:t>本基金主动投资于流动性受限资产的市值合计不得超过本基金资产净值的 </w:t>
      </w:r>
      <w:r>
        <w:rPr>
          <w:rFonts w:ascii="Calibri" w:eastAsia="Calibri"/>
          <w:sz w:val="21"/>
        </w:rPr>
        <w:t>15%</w:t>
      </w:r>
      <w:r>
        <w:rPr>
          <w:spacing w:val="-3"/>
          <w:sz w:val="21"/>
        </w:rPr>
        <w:t>。因</w:t>
      </w:r>
      <w:r>
        <w:rPr>
          <w:spacing w:val="-11"/>
          <w:sz w:val="21"/>
        </w:rPr>
        <w:t>证券市场波动、上市公司股票停牌、基金规模变动等基金管理人之外的因素致使基金不符合</w:t>
      </w:r>
      <w:r>
        <w:rPr>
          <w:spacing w:val="-6"/>
          <w:sz w:val="21"/>
        </w:rPr>
        <w:t>前款所规定比例限制的，基金管理人不得主动新增流动性受限资产的投资。</w:t>
      </w:r>
    </w:p>
    <w:p>
      <w:pPr>
        <w:pStyle w:val="ListParagraph"/>
        <w:numPr>
          <w:ilvl w:val="0"/>
          <w:numId w:val="50"/>
        </w:numPr>
        <w:tabs>
          <w:tab w:pos="1281" w:val="left" w:leader="none"/>
        </w:tabs>
        <w:spacing w:line="417" w:lineRule="auto" w:before="0" w:after="0"/>
        <w:ind w:left="540" w:right="871" w:firstLine="419"/>
        <w:jc w:val="both"/>
        <w:rPr>
          <w:sz w:val="21"/>
        </w:rPr>
      </w:pPr>
      <w:r>
        <w:rPr>
          <w:spacing w:val="-3"/>
          <w:sz w:val="21"/>
        </w:rPr>
        <w:t>本基金与私募类证券资管产品及中国证监会认定的其他主体为交易对手开展逆回购</w:t>
      </w:r>
      <w:r>
        <w:rPr>
          <w:spacing w:val="-11"/>
          <w:sz w:val="21"/>
        </w:rPr>
        <w:t>交易的，可接受质押品的资质要求应当与基金合同约定的投资范围保持一致。本基金管理人承诺本基金与私募类证券资管产品及中国证监会认定的其他主体为交易对手开展逆回购交</w:t>
      </w:r>
      <w:r>
        <w:rPr>
          <w:spacing w:val="-12"/>
          <w:sz w:val="21"/>
        </w:rPr>
        <w:t>易的，可接受质押品的资质要求与基金合同约定的投资范围保持一致，并承担由于不一致所</w:t>
      </w:r>
      <w:r>
        <w:rPr>
          <w:spacing w:val="-6"/>
          <w:sz w:val="21"/>
        </w:rPr>
        <w:t>导致的风险或损失。</w:t>
      </w:r>
    </w:p>
    <w:p>
      <w:pPr>
        <w:pStyle w:val="BodyText"/>
        <w:spacing w:line="269" w:lineRule="exact"/>
        <w:ind w:left="960"/>
      </w:pPr>
      <w:r>
        <w:rPr>
          <w:rFonts w:ascii="Calibri" w:eastAsia="Calibri"/>
        </w:rPr>
        <w:t>3</w:t>
      </w:r>
      <w:r>
        <w:rPr/>
        <w:t>、本基金境内外投资均应遵循以下限制：</w:t>
      </w:r>
    </w:p>
    <w:p>
      <w:pPr>
        <w:pStyle w:val="BodyText"/>
        <w:spacing w:before="6"/>
        <w:rPr>
          <w:sz w:val="15"/>
        </w:rPr>
      </w:pPr>
    </w:p>
    <w:p>
      <w:pPr>
        <w:pStyle w:val="ListParagraph"/>
        <w:numPr>
          <w:ilvl w:val="0"/>
          <w:numId w:val="51"/>
        </w:numPr>
        <w:tabs>
          <w:tab w:pos="1281" w:val="left" w:leader="none"/>
        </w:tabs>
        <w:spacing w:line="417" w:lineRule="auto" w:before="0" w:after="0"/>
        <w:ind w:left="540" w:right="871" w:firstLine="419"/>
        <w:jc w:val="both"/>
        <w:rPr>
          <w:sz w:val="21"/>
        </w:rPr>
      </w:pPr>
      <w:r>
        <w:rPr>
          <w:spacing w:val="-8"/>
          <w:sz w:val="21"/>
        </w:rPr>
        <w:t>现金或者到期日在 </w:t>
      </w:r>
      <w:r>
        <w:rPr>
          <w:rFonts w:ascii="Calibri" w:eastAsia="Calibri"/>
          <w:sz w:val="21"/>
        </w:rPr>
        <w:t>1</w:t>
      </w:r>
      <w:r>
        <w:rPr>
          <w:rFonts w:ascii="Calibri" w:eastAsia="Calibri"/>
          <w:spacing w:val="16"/>
          <w:sz w:val="21"/>
        </w:rPr>
        <w:t> </w:t>
      </w:r>
      <w:r>
        <w:rPr>
          <w:spacing w:val="-6"/>
          <w:sz w:val="21"/>
        </w:rPr>
        <w:t>年以内的政府债券不低于基金资产净值的 </w:t>
      </w:r>
      <w:r>
        <w:rPr>
          <w:rFonts w:ascii="Calibri" w:eastAsia="Calibri"/>
          <w:sz w:val="21"/>
        </w:rPr>
        <w:t>5%</w:t>
      </w:r>
      <w:r>
        <w:rPr>
          <w:spacing w:val="-11"/>
          <w:sz w:val="21"/>
        </w:rPr>
        <w:t>。其中，现金不包</w:t>
      </w:r>
      <w:r>
        <w:rPr>
          <w:spacing w:val="-6"/>
          <w:sz w:val="21"/>
        </w:rPr>
        <w:t>括结算备付金、存出保证金、应收申购款等。</w:t>
      </w:r>
    </w:p>
    <w:p>
      <w:pPr>
        <w:pStyle w:val="ListParagraph"/>
        <w:numPr>
          <w:ilvl w:val="0"/>
          <w:numId w:val="51"/>
        </w:numPr>
        <w:tabs>
          <w:tab w:pos="1281" w:val="left" w:leader="none"/>
        </w:tabs>
        <w:spacing w:line="417" w:lineRule="auto" w:before="0" w:after="0"/>
        <w:ind w:left="540" w:right="874" w:firstLine="419"/>
        <w:jc w:val="both"/>
        <w:rPr>
          <w:sz w:val="21"/>
        </w:rPr>
      </w:pPr>
      <w:r>
        <w:rPr>
          <w:spacing w:val="-3"/>
          <w:sz w:val="21"/>
        </w:rPr>
        <w:t>本基金管理人管理的全部开放式基金持有一家上市公司发行的可流通股票，不得超</w:t>
      </w:r>
      <w:r>
        <w:rPr>
          <w:spacing w:val="-7"/>
          <w:sz w:val="21"/>
        </w:rPr>
        <w:t>过该上市公司可流通股票的 </w:t>
      </w:r>
      <w:r>
        <w:rPr>
          <w:rFonts w:ascii="Calibri" w:eastAsia="Calibri"/>
          <w:sz w:val="21"/>
        </w:rPr>
        <w:t>15%</w:t>
      </w:r>
      <w:r>
        <w:rPr>
          <w:sz w:val="21"/>
        </w:rPr>
        <w:t>。</w:t>
      </w:r>
    </w:p>
    <w:p>
      <w:pPr>
        <w:pStyle w:val="ListParagraph"/>
        <w:numPr>
          <w:ilvl w:val="0"/>
          <w:numId w:val="51"/>
        </w:numPr>
        <w:tabs>
          <w:tab w:pos="1281" w:val="left" w:leader="none"/>
        </w:tabs>
        <w:spacing w:line="417" w:lineRule="auto" w:before="0" w:after="0"/>
        <w:ind w:left="540" w:right="874" w:firstLine="419"/>
        <w:jc w:val="both"/>
        <w:rPr>
          <w:sz w:val="21"/>
        </w:rPr>
      </w:pPr>
      <w:r>
        <w:rPr>
          <w:spacing w:val="-3"/>
          <w:sz w:val="21"/>
        </w:rPr>
        <w:t>本基金管理人管理的全部投资组合持有一家上市公司发行的可流通股票，不得超过</w:t>
      </w:r>
      <w:r>
        <w:rPr>
          <w:spacing w:val="-8"/>
          <w:sz w:val="21"/>
        </w:rPr>
        <w:t>该上市公司可流通股票的 </w:t>
      </w:r>
      <w:r>
        <w:rPr>
          <w:rFonts w:ascii="Calibri" w:eastAsia="Calibri"/>
          <w:sz w:val="21"/>
        </w:rPr>
        <w:t>30%</w:t>
      </w:r>
      <w:r>
        <w:rPr>
          <w:sz w:val="21"/>
        </w:rPr>
        <w:t>。</w:t>
      </w:r>
    </w:p>
    <w:p>
      <w:pPr>
        <w:pStyle w:val="BodyText"/>
        <w:spacing w:line="417" w:lineRule="auto"/>
        <w:ind w:left="540" w:right="871" w:firstLine="419"/>
        <w:jc w:val="both"/>
      </w:pPr>
      <w:r>
        <w:rPr>
          <w:spacing w:val="-12"/>
        </w:rPr>
        <w:t>因证券市场波动、上市公司合并、基金规模变动等基金管理人之外的因素致使基金投资</w:t>
      </w:r>
      <w:r>
        <w:rPr>
          <w:spacing w:val="-6"/>
          <w:w w:val="100"/>
        </w:rPr>
        <w:t>比例不符合上述规定投资比例的，除第</w:t>
      </w:r>
      <w:r>
        <w:rPr>
          <w:spacing w:val="-6"/>
        </w:rPr>
        <w:t> </w:t>
      </w:r>
      <w:r>
        <w:rPr>
          <w:rFonts w:ascii="Calibri" w:eastAsia="Calibri"/>
          <w:w w:val="100"/>
        </w:rPr>
        <w:t>2</w:t>
      </w:r>
      <w:r>
        <w:rPr>
          <w:rFonts w:ascii="Calibri" w:eastAsia="Calibri"/>
        </w:rPr>
        <w:t> </w:t>
      </w:r>
      <w:r>
        <w:rPr>
          <w:w w:val="100"/>
        </w:rPr>
        <w:t>项</w:t>
      </w:r>
      <w:r>
        <w:rPr>
          <w:spacing w:val="-55"/>
        </w:rPr>
        <w:t> </w:t>
      </w:r>
      <w:r>
        <w:rPr>
          <w:rFonts w:ascii="Calibri" w:eastAsia="Calibri"/>
          <w:w w:val="100"/>
        </w:rPr>
        <w:t>6</w:t>
      </w:r>
      <w:r>
        <w:rPr>
          <w:spacing w:val="-106"/>
          <w:w w:val="100"/>
        </w:rPr>
        <w:t>）</w:t>
      </w:r>
      <w:r>
        <w:rPr>
          <w:spacing w:val="-3"/>
          <w:w w:val="100"/>
        </w:rPr>
        <w:t>、</w:t>
      </w:r>
      <w:r>
        <w:rPr>
          <w:rFonts w:ascii="Calibri" w:eastAsia="Calibri"/>
          <w:spacing w:val="1"/>
          <w:w w:val="100"/>
        </w:rPr>
        <w:t>8</w:t>
      </w:r>
      <w:r>
        <w:rPr>
          <w:spacing w:val="-108"/>
          <w:w w:val="100"/>
        </w:rPr>
        <w:t>）</w:t>
      </w:r>
      <w:r>
        <w:rPr>
          <w:w w:val="100"/>
        </w:rPr>
        <w:t>、</w:t>
      </w:r>
      <w:r>
        <w:rPr>
          <w:rFonts w:ascii="Calibri" w:eastAsia="Calibri"/>
          <w:spacing w:val="-2"/>
          <w:w w:val="100"/>
        </w:rPr>
        <w:t>9</w:t>
      </w:r>
      <w:r>
        <w:rPr>
          <w:w w:val="100"/>
        </w:rPr>
        <w:t>）</w:t>
      </w:r>
      <w:r>
        <w:rPr>
          <w:spacing w:val="-2"/>
          <w:w w:val="100"/>
        </w:rPr>
        <w:t>及第</w:t>
      </w:r>
      <w:r>
        <w:rPr>
          <w:spacing w:val="-53"/>
        </w:rPr>
        <w:t> </w:t>
      </w:r>
      <w:r>
        <w:rPr>
          <w:rFonts w:ascii="Calibri" w:eastAsia="Calibri"/>
          <w:w w:val="100"/>
        </w:rPr>
        <w:t>3</w:t>
      </w:r>
      <w:r>
        <w:rPr>
          <w:rFonts w:ascii="Calibri" w:eastAsia="Calibri"/>
        </w:rPr>
        <w:t> </w:t>
      </w:r>
      <w:r>
        <w:rPr>
          <w:w w:val="100"/>
        </w:rPr>
        <w:t>项</w:t>
      </w:r>
      <w:r>
        <w:rPr>
          <w:spacing w:val="-53"/>
        </w:rPr>
        <w:t> </w:t>
      </w:r>
      <w:r>
        <w:rPr>
          <w:rFonts w:ascii="Calibri" w:eastAsia="Calibri"/>
          <w:spacing w:val="-2"/>
          <w:w w:val="100"/>
        </w:rPr>
        <w:t>1</w:t>
      </w:r>
      <w:r>
        <w:rPr>
          <w:w w:val="100"/>
        </w:rPr>
        <w:t>）</w:t>
      </w:r>
      <w:r>
        <w:rPr>
          <w:spacing w:val="-3"/>
          <w:w w:val="100"/>
        </w:rPr>
        <w:t>外，基金管理人应当</w:t>
      </w:r>
      <w:r>
        <w:rPr>
          <w:spacing w:val="-28"/>
        </w:rPr>
        <w:t>在 </w:t>
      </w:r>
      <w:r>
        <w:rPr>
          <w:rFonts w:ascii="Calibri" w:eastAsia="Calibri"/>
        </w:rPr>
        <w:t>30 </w:t>
      </w:r>
      <w:r>
        <w:rPr>
          <w:spacing w:val="-3"/>
        </w:rPr>
        <w:t>个交易日内进行调整。</w:t>
      </w:r>
    </w:p>
    <w:p>
      <w:pPr>
        <w:pStyle w:val="BodyText"/>
        <w:spacing w:line="417" w:lineRule="auto"/>
        <w:ind w:left="540" w:right="871" w:firstLine="419"/>
        <w:jc w:val="both"/>
      </w:pPr>
      <w:r>
        <w:rPr/>
        <w:t>基金管理人应当自基金合同生效之日起六个月内使基金的投资组合比例符合基金合同</w:t>
      </w:r>
      <w:r>
        <w:rPr>
          <w:spacing w:val="-11"/>
        </w:rPr>
        <w:t>的有关约定。期间，基金的投资范围、投资策略应当符合基金合同的约定。基金托管人对基</w:t>
      </w:r>
      <w:r>
        <w:rPr>
          <w:spacing w:val="-6"/>
        </w:rPr>
        <w:t>金的投资的监督与检查自本基金合同生效之日起开始。</w:t>
      </w:r>
    </w:p>
    <w:p>
      <w:pPr>
        <w:pStyle w:val="BodyText"/>
        <w:ind w:left="960"/>
      </w:pPr>
      <w:r>
        <w:rPr/>
        <w:t>法律法规或监管部门取消上述限制，如适用于本基金，基金管理人在履行适当程序后，</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540"/>
      </w:pPr>
      <w:r>
        <w:rPr/>
        <w:t>则本基金投资不再受相关限制。</w:t>
      </w:r>
    </w:p>
    <w:p>
      <w:pPr>
        <w:pStyle w:val="BodyText"/>
        <w:spacing w:before="7"/>
        <w:rPr>
          <w:sz w:val="15"/>
        </w:rPr>
      </w:pPr>
    </w:p>
    <w:p>
      <w:pPr>
        <w:pStyle w:val="BodyText"/>
        <w:spacing w:line="417" w:lineRule="auto"/>
        <w:ind w:left="540" w:right="871" w:firstLine="419"/>
        <w:jc w:val="both"/>
      </w:pPr>
      <w:r>
        <w:rPr/>
        <w:t>（二</w:t>
      </w:r>
      <w:r>
        <w:rPr>
          <w:spacing w:val="-27"/>
        </w:rPr>
        <w:t>）</w:t>
      </w:r>
      <w:r>
        <w:rPr>
          <w:spacing w:val="-7"/>
        </w:rPr>
        <w:t>基金托管人应根据有关法律法规的规定及《基金合同》的约定，对基金资产净值</w:t>
      </w:r>
      <w:r>
        <w:rPr>
          <w:spacing w:val="-12"/>
        </w:rPr>
        <w:t>计算、基金份额净值计算、应收资金到账、基金费用开支及收入确定、基金收益分配、相关</w:t>
      </w:r>
      <w:r>
        <w:rPr>
          <w:spacing w:val="-6"/>
        </w:rPr>
        <w:t>信息披露、基金宣传推介材料中登载基金业绩表现数据等进行复核。</w:t>
      </w:r>
    </w:p>
    <w:p>
      <w:pPr>
        <w:pStyle w:val="BodyText"/>
        <w:spacing w:line="417" w:lineRule="auto"/>
        <w:ind w:left="540" w:right="871" w:firstLine="419"/>
        <w:jc w:val="both"/>
      </w:pPr>
      <w:r>
        <w:rPr/>
        <w:t>（三</w:t>
      </w:r>
      <w:r>
        <w:rPr>
          <w:spacing w:val="-27"/>
        </w:rPr>
        <w:t>）</w:t>
      </w:r>
      <w:r>
        <w:rPr>
          <w:spacing w:val="-6"/>
        </w:rPr>
        <w:t>基金托管人在上述第</w:t>
      </w:r>
      <w:r>
        <w:rPr/>
        <w:t>（</w:t>
      </w:r>
      <w:r>
        <w:rPr>
          <w:spacing w:val="-3"/>
        </w:rPr>
        <w:t>一</w:t>
      </w:r>
      <w:r>
        <w:rPr>
          <w:spacing w:val="-106"/>
        </w:rPr>
        <w:t>）</w:t>
      </w:r>
      <w:r>
        <w:rPr>
          <w:spacing w:val="-130"/>
        </w:rPr>
        <w:t>、</w:t>
      </w:r>
      <w:r>
        <w:rPr>
          <w:spacing w:val="-3"/>
        </w:rPr>
        <w:t>（</w:t>
      </w:r>
      <w:r>
        <w:rPr/>
        <w:t>二</w:t>
      </w:r>
      <w:r>
        <w:rPr>
          <w:spacing w:val="-25"/>
        </w:rPr>
        <w:t>）</w:t>
      </w:r>
      <w:r>
        <w:rPr>
          <w:spacing w:val="-3"/>
        </w:rPr>
        <w:t>款的监督和核查中发现基金管理人违反法律法</w:t>
      </w:r>
      <w:r>
        <w:rPr>
          <w:spacing w:val="-12"/>
        </w:rPr>
        <w:t>规的规定、《基金合同》及本协议的约定，应及时提示基金管理人，基金管理人收到提示后</w:t>
      </w:r>
      <w:r>
        <w:rPr>
          <w:spacing w:val="-10"/>
        </w:rPr>
        <w:t>应及时核对确认并以书面形式对基金托管人发出回函并改正。在限期内，基金托管人有权随</w:t>
      </w:r>
      <w:r>
        <w:rPr>
          <w:spacing w:val="-11"/>
        </w:rPr>
        <w:t>时对提示事项进行复查。基金管理人对基金托管人提示的违规事项未能在限期内纠正的，基</w:t>
      </w:r>
      <w:r>
        <w:rPr>
          <w:spacing w:val="-6"/>
        </w:rPr>
        <w:t>金托管人应及时向中国证监会报告。</w:t>
      </w:r>
    </w:p>
    <w:p>
      <w:pPr>
        <w:pStyle w:val="BodyText"/>
        <w:spacing w:line="417" w:lineRule="auto"/>
        <w:ind w:left="540" w:right="871" w:firstLine="419"/>
        <w:jc w:val="both"/>
      </w:pPr>
      <w:r>
        <w:rPr/>
        <w:t>（</w:t>
      </w:r>
      <w:r>
        <w:rPr>
          <w:spacing w:val="-3"/>
        </w:rPr>
        <w:t>四</w:t>
      </w:r>
      <w:r>
        <w:rPr>
          <w:spacing w:val="-32"/>
        </w:rPr>
        <w:t>）</w:t>
      </w:r>
      <w:r>
        <w:rPr>
          <w:spacing w:val="-6"/>
        </w:rPr>
        <w:t>基金托管人发现基金管理人的投资指令违反法律法规、本协议的规定，应当拒绝</w:t>
      </w:r>
      <w:r>
        <w:rPr>
          <w:spacing w:val="-11"/>
        </w:rPr>
        <w:t>执行，及时提示基金管理人，并依照法律法规的规定及时向中国证监会报告。基金托管人发</w:t>
      </w:r>
      <w:r>
        <w:rPr>
          <w:spacing w:val="-10"/>
        </w:rPr>
        <w:t>现基金管理人依据交易程序已经生效的指令违反法律法规、本协议规定的，应当及时通知基</w:t>
      </w:r>
      <w:r>
        <w:rPr>
          <w:spacing w:val="-5"/>
        </w:rPr>
        <w:t>金管理人，并依照法律法规的规定及时向中国证监会报告。</w:t>
      </w:r>
    </w:p>
    <w:p>
      <w:pPr>
        <w:pStyle w:val="BodyText"/>
        <w:spacing w:line="417" w:lineRule="auto"/>
        <w:ind w:left="540" w:right="871" w:firstLine="419"/>
        <w:jc w:val="both"/>
      </w:pPr>
      <w:r>
        <w:rPr/>
        <w:t>（</w:t>
      </w:r>
      <w:r>
        <w:rPr>
          <w:spacing w:val="-3"/>
        </w:rPr>
        <w:t>五</w:t>
      </w:r>
      <w:r>
        <w:rPr>
          <w:spacing w:val="-32"/>
        </w:rPr>
        <w:t>）</w:t>
      </w:r>
      <w:r>
        <w:rPr>
          <w:spacing w:val="-6"/>
        </w:rPr>
        <w:t>基金管理人应积极配合和协助基金托管人的监督和核查，包括但不限于：在规定</w:t>
      </w:r>
      <w:r>
        <w:rPr>
          <w:spacing w:val="-10"/>
        </w:rPr>
        <w:t>时间内答复基金托管人并改正，就基金托管人的疑义进行解释或举证，对基金托管人按照法规要求需向中国证监会报送基金监督报告的，基金管理人应积极配合提供相关数据资料和制度等。</w:t>
      </w:r>
    </w:p>
    <w:p>
      <w:pPr>
        <w:spacing w:line="269" w:lineRule="exact" w:before="0"/>
        <w:ind w:left="415" w:right="748" w:firstLine="0"/>
        <w:jc w:val="center"/>
        <w:rPr>
          <w:b/>
          <w:sz w:val="21"/>
        </w:rPr>
      </w:pPr>
      <w:r>
        <w:rPr>
          <w:b/>
          <w:sz w:val="21"/>
        </w:rPr>
        <w:t>三、基金管理人对基金托管人的业务核查</w:t>
      </w:r>
    </w:p>
    <w:p>
      <w:pPr>
        <w:pStyle w:val="BodyText"/>
        <w:spacing w:before="5"/>
        <w:rPr>
          <w:b/>
          <w:sz w:val="15"/>
        </w:rPr>
      </w:pPr>
    </w:p>
    <w:p>
      <w:pPr>
        <w:pStyle w:val="BodyText"/>
        <w:spacing w:line="417" w:lineRule="auto"/>
        <w:ind w:left="540" w:right="871" w:firstLine="419"/>
        <w:jc w:val="both"/>
      </w:pPr>
      <w:r>
        <w:rPr/>
        <w:t>（</w:t>
      </w:r>
      <w:r>
        <w:rPr>
          <w:spacing w:val="-3"/>
        </w:rPr>
        <w:t>一</w:t>
      </w:r>
      <w:r>
        <w:rPr>
          <w:spacing w:val="-32"/>
        </w:rPr>
        <w:t>）</w:t>
      </w:r>
      <w:r>
        <w:rPr>
          <w:spacing w:val="-9"/>
        </w:rPr>
        <w:t>在本协议的有效期内，在不违反公平、合理原则以及不妨碍基金托管人遵守相关</w:t>
      </w:r>
      <w:r>
        <w:rPr>
          <w:spacing w:val="-11"/>
        </w:rPr>
        <w:t>法律法规及其行业监管要求的基础上，基金管理人有权对基金托管人履行本协议的情况进行</w:t>
      </w:r>
      <w:r>
        <w:rPr>
          <w:spacing w:val="-12"/>
        </w:rPr>
        <w:t>必要的核查，核查事项包括但不限于基金托管人安全保管基金财产、开设基金财产的资金账户和证券账户、复核基金管理人计算的基金资产净值和基金份额净值、根据基金管理人指令</w:t>
      </w:r>
      <w:r>
        <w:rPr>
          <w:spacing w:val="-6"/>
        </w:rPr>
        <w:t>办理清算交收、相关信息披露和监督基金投资运作等行为。</w:t>
      </w:r>
    </w:p>
    <w:p>
      <w:pPr>
        <w:pStyle w:val="BodyText"/>
        <w:spacing w:line="417" w:lineRule="auto"/>
        <w:ind w:left="540" w:right="768" w:firstLine="419"/>
      </w:pPr>
      <w:r>
        <w:rPr/>
        <w:t>（</w:t>
      </w:r>
      <w:r>
        <w:rPr>
          <w:spacing w:val="-3"/>
        </w:rPr>
        <w:t>二</w:t>
      </w:r>
      <w:r>
        <w:rPr>
          <w:spacing w:val="-32"/>
        </w:rPr>
        <w:t>）</w:t>
      </w:r>
      <w:r>
        <w:rPr>
          <w:spacing w:val="-6"/>
        </w:rPr>
        <w:t>基金管理人发现基金托管人擅自挪用基金财产、未对基金财产实行分账管理、无</w:t>
      </w:r>
      <w:r>
        <w:rPr>
          <w:spacing w:val="-4"/>
        </w:rPr>
        <w:t>正当理由未执行或延迟执行基金管理人资金划拨指令、泄露基金投资信息等违反法律法规、</w:t>
      </w:r>
    </w:p>
    <w:p>
      <w:pPr>
        <w:pStyle w:val="BodyText"/>
        <w:spacing w:line="417" w:lineRule="auto"/>
        <w:ind w:left="540" w:right="871"/>
        <w:jc w:val="both"/>
      </w:pPr>
      <w:r>
        <w:rPr>
          <w:spacing w:val="-10"/>
        </w:rPr>
        <w:t>《基金合同》及本协议有关规定时，应及时以书面形式通知基金托管人限期纠正，基金托管</w:t>
      </w:r>
      <w:r>
        <w:rPr>
          <w:spacing w:val="-9"/>
        </w:rPr>
        <w:t>人收到通知后应及时核对并以书面形式对基金管理人发出回函。在限期内，基金管理人有权</w:t>
      </w:r>
      <w:r>
        <w:rPr>
          <w:spacing w:val="-11"/>
        </w:rPr>
        <w:t>随时对通知事项进行复查，督促基金托管人改正。基金托管人对基金管理人通知的违规事项</w:t>
      </w:r>
      <w:r>
        <w:rPr>
          <w:spacing w:val="-6"/>
        </w:rPr>
        <w:t>未能在限期内纠正的，基金管理人应依照法律法规的规定报告中国证监会。</w:t>
      </w:r>
    </w:p>
    <w:p>
      <w:pPr>
        <w:pStyle w:val="BodyText"/>
        <w:spacing w:line="269" w:lineRule="exact"/>
        <w:ind w:left="960"/>
      </w:pPr>
      <w:r>
        <w:rPr/>
        <w:t>（三）基金托管人应积极配合基金管理人的核查行为，包括但不限于：提交相关资料以</w:t>
      </w:r>
    </w:p>
    <w:p>
      <w:pPr>
        <w:spacing w:after="0" w:line="269" w:lineRule="exact"/>
        <w:sectPr>
          <w:pgSz w:w="11910" w:h="16840"/>
          <w:pgMar w:header="872" w:footer="995" w:top="1100" w:bottom="1180" w:left="1260" w:right="920"/>
        </w:sectPr>
      </w:pPr>
    </w:p>
    <w:p>
      <w:pPr>
        <w:pStyle w:val="BodyText"/>
        <w:spacing w:before="4"/>
        <w:rPr>
          <w:sz w:val="27"/>
        </w:rPr>
      </w:pPr>
    </w:p>
    <w:p>
      <w:pPr>
        <w:pStyle w:val="BodyText"/>
        <w:spacing w:before="71"/>
        <w:ind w:left="540"/>
      </w:pPr>
      <w:r>
        <w:rPr/>
        <w:t>供基金管理人核查托管财产的完整性和真实性，在规定时间内答复基金管理人并改正。</w:t>
      </w:r>
    </w:p>
    <w:p>
      <w:pPr>
        <w:pStyle w:val="BodyText"/>
        <w:spacing w:before="7"/>
        <w:rPr>
          <w:sz w:val="15"/>
        </w:rPr>
      </w:pPr>
    </w:p>
    <w:p>
      <w:pPr>
        <w:spacing w:before="0"/>
        <w:ind w:left="415" w:right="748" w:firstLine="0"/>
        <w:jc w:val="center"/>
        <w:rPr>
          <w:b/>
          <w:sz w:val="21"/>
        </w:rPr>
      </w:pPr>
      <w:r>
        <w:rPr>
          <w:b/>
          <w:sz w:val="21"/>
        </w:rPr>
        <w:t>四、基金财产的保管</w:t>
      </w:r>
    </w:p>
    <w:p>
      <w:pPr>
        <w:pStyle w:val="BodyText"/>
        <w:spacing w:before="7"/>
        <w:rPr>
          <w:b/>
          <w:sz w:val="15"/>
        </w:rPr>
      </w:pPr>
    </w:p>
    <w:p>
      <w:pPr>
        <w:pStyle w:val="BodyText"/>
        <w:ind w:left="960"/>
      </w:pPr>
      <w:r>
        <w:rPr/>
        <w:t>（一）基金财产保管的原则</w:t>
      </w:r>
    </w:p>
    <w:p>
      <w:pPr>
        <w:pStyle w:val="BodyText"/>
        <w:spacing w:before="6"/>
        <w:rPr>
          <w:sz w:val="15"/>
        </w:rPr>
      </w:pPr>
    </w:p>
    <w:p>
      <w:pPr>
        <w:pStyle w:val="BodyText"/>
        <w:spacing w:before="1"/>
        <w:ind w:left="960"/>
      </w:pPr>
      <w:r>
        <w:rPr>
          <w:rFonts w:ascii="Calibri" w:eastAsia="Calibri"/>
        </w:rPr>
        <w:t>1</w:t>
      </w:r>
      <w:r>
        <w:rPr/>
        <w:t>、基金财产应独立于基金管理人、基金托管人的固有财产。</w:t>
      </w:r>
    </w:p>
    <w:p>
      <w:pPr>
        <w:pStyle w:val="BodyText"/>
        <w:spacing w:before="6"/>
        <w:rPr>
          <w:sz w:val="15"/>
        </w:rPr>
      </w:pPr>
    </w:p>
    <w:p>
      <w:pPr>
        <w:pStyle w:val="BodyText"/>
        <w:spacing w:line="417" w:lineRule="auto"/>
        <w:ind w:left="540" w:right="871" w:firstLine="419"/>
      </w:pPr>
      <w:r>
        <w:rPr>
          <w:rFonts w:ascii="Calibri" w:eastAsia="Calibri"/>
        </w:rPr>
        <w:t>2</w:t>
      </w:r>
      <w:r>
        <w:rPr>
          <w:spacing w:val="-9"/>
        </w:rPr>
        <w:t>、基金托管人应安全保管基金财产，未经基金管理人的合法合规指令或法律法规</w:t>
      </w:r>
      <w:r>
        <w:rPr>
          <w:spacing w:val="-47"/>
        </w:rPr>
        <w:t>、《基</w:t>
      </w:r>
      <w:r>
        <w:rPr>
          <w:spacing w:val="-11"/>
        </w:rPr>
        <w:t>金合同》及本协议另有规定，不得自行运用、处分、分配基金的任何财产。</w:t>
      </w:r>
    </w:p>
    <w:p>
      <w:pPr>
        <w:pStyle w:val="BodyText"/>
        <w:spacing w:line="269" w:lineRule="exact"/>
        <w:ind w:left="960"/>
      </w:pPr>
      <w:r>
        <w:rPr>
          <w:rFonts w:ascii="Calibri" w:eastAsia="Calibri"/>
        </w:rPr>
        <w:t>3</w:t>
      </w:r>
      <w:r>
        <w:rPr/>
        <w:t>、基金托管人按照规定开设基金财产的资金账户、证券账户、期货结算账户。</w:t>
      </w:r>
    </w:p>
    <w:p>
      <w:pPr>
        <w:pStyle w:val="BodyText"/>
        <w:spacing w:before="8"/>
        <w:rPr>
          <w:sz w:val="15"/>
        </w:rPr>
      </w:pPr>
    </w:p>
    <w:p>
      <w:pPr>
        <w:pStyle w:val="BodyText"/>
        <w:ind w:left="960"/>
      </w:pPr>
      <w:r>
        <w:rPr>
          <w:rFonts w:ascii="Calibri" w:eastAsia="Calibri"/>
        </w:rPr>
        <w:t>4</w:t>
      </w:r>
      <w:r>
        <w:rPr/>
        <w:t>、基金托管人对所托管的不同基金财产分别设置账户，确保基金财产的完整与独立。</w:t>
      </w:r>
    </w:p>
    <w:p>
      <w:pPr>
        <w:pStyle w:val="BodyText"/>
        <w:spacing w:before="6"/>
        <w:rPr>
          <w:sz w:val="15"/>
        </w:rPr>
      </w:pPr>
    </w:p>
    <w:p>
      <w:pPr>
        <w:pStyle w:val="BodyText"/>
        <w:spacing w:line="417" w:lineRule="auto"/>
        <w:ind w:left="540" w:right="873" w:firstLine="419"/>
      </w:pPr>
      <w:r>
        <w:rPr>
          <w:rFonts w:ascii="Calibri" w:eastAsia="Calibri"/>
        </w:rPr>
        <w:t>5</w:t>
      </w:r>
      <w:r>
        <w:rPr/>
        <w:t>、基金托管人可将基金境外财产安全保管和办理与基金财产过户有关的手续等职责委托给符合法律法规要求的境外第三方机构履行。</w:t>
      </w:r>
    </w:p>
    <w:p>
      <w:pPr>
        <w:pStyle w:val="BodyText"/>
        <w:spacing w:line="417" w:lineRule="auto"/>
        <w:ind w:left="540" w:right="874" w:firstLine="419"/>
      </w:pPr>
      <w:r>
        <w:rPr>
          <w:rFonts w:ascii="Calibri" w:eastAsia="Calibri"/>
        </w:rPr>
        <w:t>6</w:t>
      </w:r>
      <w:r>
        <w:rPr/>
        <w:t>、托管人或其境外托管人按照有关市场的适用法律、法规和市场惯例，支付现金、办理证券登记等托管业务。</w:t>
      </w:r>
    </w:p>
    <w:p>
      <w:pPr>
        <w:spacing w:line="269" w:lineRule="exact" w:before="0"/>
        <w:ind w:left="3217" w:right="0" w:firstLine="0"/>
        <w:jc w:val="left"/>
        <w:rPr>
          <w:b/>
          <w:sz w:val="21"/>
        </w:rPr>
      </w:pPr>
      <w:r>
        <w:rPr>
          <w:b/>
          <w:sz w:val="21"/>
        </w:rPr>
        <w:t>五、基金资产净值的计算和复核</w:t>
      </w:r>
    </w:p>
    <w:p>
      <w:pPr>
        <w:pStyle w:val="BodyText"/>
        <w:spacing w:before="7"/>
        <w:rPr>
          <w:b/>
          <w:sz w:val="15"/>
        </w:rPr>
      </w:pPr>
    </w:p>
    <w:p>
      <w:pPr>
        <w:pStyle w:val="BodyText"/>
        <w:ind w:left="960"/>
      </w:pPr>
      <w:r>
        <w:rPr/>
        <w:t>（一）基金资产净值的计算和复核</w:t>
      </w:r>
    </w:p>
    <w:p>
      <w:pPr>
        <w:pStyle w:val="BodyText"/>
        <w:spacing w:before="7"/>
        <w:rPr>
          <w:sz w:val="15"/>
        </w:rPr>
      </w:pPr>
    </w:p>
    <w:p>
      <w:pPr>
        <w:pStyle w:val="BodyText"/>
        <w:spacing w:line="417" w:lineRule="auto"/>
        <w:ind w:left="540" w:right="874" w:firstLine="419"/>
      </w:pPr>
      <w:r>
        <w:rPr>
          <w:rFonts w:ascii="Calibri" w:eastAsia="Calibri"/>
        </w:rPr>
        <w:t>1</w:t>
      </w:r>
      <w:r>
        <w:rPr/>
        <w:t>、基金资产净值是指基金资产总值减去负债后的价值。基金份额净值是指计算日基金资产净值除以计算日该基金份额总数后的价值。</w:t>
      </w:r>
    </w:p>
    <w:p>
      <w:pPr>
        <w:pStyle w:val="BodyText"/>
        <w:spacing w:line="417" w:lineRule="auto"/>
        <w:ind w:left="540" w:right="871" w:firstLine="419"/>
        <w:jc w:val="both"/>
      </w:pPr>
      <w:r>
        <w:rPr>
          <w:rFonts w:ascii="Calibri" w:eastAsia="Calibri"/>
        </w:rPr>
        <w:t>2</w:t>
      </w:r>
      <w:r>
        <w:rPr>
          <w:spacing w:val="-10"/>
        </w:rPr>
        <w:t>、基金管理人应每开放日对基金财产估值。估值原则应符合《基金合同》、《证券投资</w:t>
      </w:r>
      <w:r>
        <w:rPr>
          <w:spacing w:val="-12"/>
        </w:rPr>
        <w:t>基金会计核算业务指引》及其他法律法规的规定。用于基金信息披露的基金净值信息由基金</w:t>
      </w:r>
      <w:r>
        <w:rPr>
          <w:spacing w:val="-13"/>
        </w:rPr>
        <w:t>管理人负责计算，基金托管人复核。基金管理人应于每个估值日的下一工作日内计算估值日</w:t>
      </w:r>
      <w:r>
        <w:rPr>
          <w:spacing w:val="-12"/>
        </w:rPr>
        <w:t>基金份额净值，并发送给基金托管人。基金托管人应对净值计算结果进行复核，并以双方约</w:t>
      </w:r>
      <w:r>
        <w:rPr>
          <w:spacing w:val="-10"/>
        </w:rPr>
        <w:t>定的方式将复核结果传送给基金管理人，由基金管理人对外公布。月末、年中和年末估值复</w:t>
      </w:r>
      <w:r>
        <w:rPr>
          <w:spacing w:val="-5"/>
        </w:rPr>
        <w:t>核与基金会计账目的核对同时进行。</w:t>
      </w:r>
    </w:p>
    <w:p>
      <w:pPr>
        <w:pStyle w:val="BodyText"/>
        <w:spacing w:line="417" w:lineRule="auto"/>
        <w:ind w:left="540" w:right="873" w:firstLine="419"/>
      </w:pPr>
      <w:r>
        <w:rPr>
          <w:rFonts w:ascii="Calibri" w:eastAsia="Calibri"/>
        </w:rPr>
        <w:t>3</w:t>
      </w:r>
      <w:r>
        <w:rPr>
          <w:spacing w:val="-17"/>
        </w:rPr>
        <w:t>、当相关法律法规或《基金合同》规定的估值方法不能客观反映基金财产公允价值时， </w:t>
      </w:r>
      <w:r>
        <w:rPr>
          <w:spacing w:val="-7"/>
        </w:rPr>
        <w:t>基金管理人可根据具体情况，并与基金托管人商定后，按最能反映公允价值的价格估值。</w:t>
      </w:r>
    </w:p>
    <w:p>
      <w:pPr>
        <w:pStyle w:val="BodyText"/>
        <w:spacing w:line="417" w:lineRule="auto"/>
        <w:ind w:left="540" w:right="871" w:firstLine="419"/>
        <w:jc w:val="both"/>
      </w:pPr>
      <w:r>
        <w:rPr>
          <w:rFonts w:ascii="Calibri" w:eastAsia="Calibri"/>
        </w:rPr>
        <w:t>4</w:t>
      </w:r>
      <w:r>
        <w:rPr>
          <w:spacing w:val="-3"/>
        </w:rPr>
        <w:t>、基金管理人、基金托管人发现基金估值违反《基金合同》订明的估值方法、程序以</w:t>
      </w:r>
      <w:r>
        <w:rPr>
          <w:spacing w:val="-7"/>
        </w:rPr>
        <w:t>及相关法律法规的规定或者未能充分维护基金份额持有人利益时，双方应及时进行协商和纠正。</w:t>
      </w:r>
    </w:p>
    <w:p>
      <w:pPr>
        <w:pStyle w:val="BodyText"/>
        <w:spacing w:line="417" w:lineRule="auto"/>
        <w:ind w:left="540" w:right="871" w:firstLine="419"/>
        <w:jc w:val="both"/>
      </w:pPr>
      <w:r>
        <w:rPr>
          <w:rFonts w:ascii="Calibri" w:eastAsia="Calibri"/>
        </w:rPr>
        <w:t>5</w:t>
      </w:r>
      <w:r>
        <w:rPr>
          <w:spacing w:val="-5"/>
        </w:rPr>
        <w:t>、当基金资产的估值导致基金份额净值小数点后 </w:t>
      </w:r>
      <w:r>
        <w:rPr>
          <w:rFonts w:ascii="Calibri" w:eastAsia="Calibri"/>
        </w:rPr>
        <w:t>3 </w:t>
      </w:r>
      <w:r>
        <w:rPr>
          <w:spacing w:val="-3"/>
        </w:rPr>
        <w:t>位内发生差错时，视为基金份额净</w:t>
      </w:r>
      <w:r>
        <w:rPr>
          <w:spacing w:val="-10"/>
        </w:rPr>
        <w:t>值估值错误。当基金份额净值出现错误时，基金管理人应当立即予以纠正，并采取合理的措</w:t>
      </w:r>
      <w:r>
        <w:rPr>
          <w:spacing w:val="-8"/>
        </w:rPr>
        <w:t>施防止损失进一步扩大；当计价错误达到基金份额净值的 </w:t>
      </w:r>
      <w:r>
        <w:rPr>
          <w:rFonts w:ascii="Calibri" w:eastAsia="Calibri"/>
        </w:rPr>
        <w:t>0.25%</w:t>
      </w:r>
      <w:r>
        <w:rPr>
          <w:spacing w:val="-6"/>
        </w:rPr>
        <w:t>时，基金管理人应当报中国</w:t>
      </w:r>
    </w:p>
    <w:p>
      <w:pPr>
        <w:spacing w:after="0" w:line="417" w:lineRule="auto"/>
        <w:jc w:val="both"/>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70"/>
        <w:jc w:val="both"/>
      </w:pPr>
      <w:r>
        <w:rPr>
          <w:spacing w:val="-3"/>
        </w:rPr>
        <w:t>证监会备案；当计价错误达到基金份额净值的 </w:t>
      </w:r>
      <w:r>
        <w:rPr>
          <w:rFonts w:ascii="Calibri" w:eastAsia="Calibri"/>
        </w:rPr>
        <w:t>0.5%</w:t>
      </w:r>
      <w:r>
        <w:rPr>
          <w:spacing w:val="-3"/>
        </w:rPr>
        <w:t>时，基金管理人应当在报中国证监会备案的同时并及时进行公告。如法律法规或监管机关对前述内容另有规定的，按其规定处理。</w:t>
      </w:r>
    </w:p>
    <w:p>
      <w:pPr>
        <w:pStyle w:val="BodyText"/>
        <w:spacing w:line="417" w:lineRule="auto"/>
        <w:ind w:left="540" w:right="871" w:firstLine="419"/>
        <w:jc w:val="both"/>
      </w:pPr>
      <w:r>
        <w:rPr>
          <w:rFonts w:ascii="Calibri" w:eastAsia="Calibri"/>
        </w:rPr>
        <w:t>6</w:t>
      </w:r>
      <w:r>
        <w:rPr>
          <w:spacing w:val="-3"/>
        </w:rPr>
        <w:t>、由于基金管理人对外公布的任何基金净值数据错误，导致该基金财产或基金份额持</w:t>
      </w:r>
      <w:r>
        <w:rPr>
          <w:spacing w:val="-10"/>
        </w:rPr>
        <w:t>有人的实际损失，基金管理人应对此承担责任。若基金托管人计算的净值数据正确，则基金</w:t>
      </w:r>
      <w:r>
        <w:rPr>
          <w:spacing w:val="-11"/>
        </w:rPr>
        <w:t>托管人对该损失不承担责任；若基金托管人计算的净值数据也不正确，则基金托管人也应承</w:t>
      </w:r>
      <w:r>
        <w:rPr>
          <w:spacing w:val="-12"/>
        </w:rPr>
        <w:t>担部分未正确履行复核义务的责任。如果上述错误造成了基金财产或基金份额持有人的不当得利，且基金管理人及基金托管人已各自承担了赔偿责任，则基金管理人应负责向不当得利</w:t>
      </w:r>
      <w:r>
        <w:rPr>
          <w:spacing w:val="-13"/>
        </w:rPr>
        <w:t>之主体主张返还不当得利。如果返还金额不足以弥补基金管理人和基金托管人已承担的赔偿</w:t>
      </w:r>
      <w:r>
        <w:rPr>
          <w:spacing w:val="-6"/>
        </w:rPr>
        <w:t>金额，则双方按照各自赔偿金额的比例对返还金额进行分配。</w:t>
      </w:r>
    </w:p>
    <w:p>
      <w:pPr>
        <w:pStyle w:val="BodyText"/>
        <w:spacing w:line="417" w:lineRule="auto"/>
        <w:ind w:left="540" w:right="768" w:firstLine="419"/>
      </w:pPr>
      <w:r>
        <w:rPr>
          <w:rFonts w:ascii="Calibri" w:eastAsia="Calibri"/>
        </w:rPr>
        <w:t>7</w:t>
      </w:r>
      <w:r>
        <w:rPr>
          <w:spacing w:val="-3"/>
        </w:rPr>
        <w:t>、由于证券、期货交易所及其登记结算公司发送的数据错误，或由于其他不可抗力原</w:t>
      </w:r>
      <w:r>
        <w:rPr>
          <w:spacing w:val="-10"/>
        </w:rPr>
        <w:t>因，基金管理人和基金托管人虽然已经采取必要、适当、合理的措施进行检查，但是未能发</w:t>
      </w:r>
      <w:r>
        <w:rPr>
          <w:spacing w:val="-5"/>
        </w:rPr>
        <w:t>现该错误的，由此造成的基金资产估值错误，基金管理人和基金托管人可以免除赔偿责任。</w:t>
      </w:r>
      <w:r>
        <w:rPr>
          <w:spacing w:val="-4"/>
        </w:rPr>
        <w:t>但基金管理人和基金托管人应当积极采取必要的措施消除由此造成的影响。</w:t>
      </w:r>
    </w:p>
    <w:p>
      <w:pPr>
        <w:pStyle w:val="BodyText"/>
        <w:spacing w:line="417" w:lineRule="auto"/>
        <w:ind w:left="540" w:right="871" w:firstLine="419"/>
        <w:jc w:val="both"/>
      </w:pPr>
      <w:r>
        <w:rPr>
          <w:rFonts w:ascii="Calibri" w:eastAsia="Calibri"/>
        </w:rPr>
        <w:t>8</w:t>
      </w:r>
      <w:r>
        <w:rPr>
          <w:spacing w:val="-3"/>
        </w:rPr>
        <w:t>、如果基金托管人的复核结果与基金管理人的计算结果存在差异，且双方经协商未能</w:t>
      </w:r>
      <w:r>
        <w:rPr>
          <w:spacing w:val="-11"/>
        </w:rPr>
        <w:t>达成一致，基金管理人可以按照其对基金份额净值的计算结果对外予以公布，基金托管人可</w:t>
      </w:r>
      <w:r>
        <w:rPr>
          <w:spacing w:val="-6"/>
        </w:rPr>
        <w:t>以将相关情况报中国证监会备案。</w:t>
      </w:r>
    </w:p>
    <w:p>
      <w:pPr>
        <w:spacing w:before="0"/>
        <w:ind w:left="415" w:right="748" w:firstLine="0"/>
        <w:jc w:val="center"/>
        <w:rPr>
          <w:b/>
          <w:sz w:val="21"/>
        </w:rPr>
      </w:pPr>
      <w:r>
        <w:rPr>
          <w:b/>
          <w:sz w:val="21"/>
        </w:rPr>
        <w:t>六、基金份额持有人名册的登记与保管</w:t>
      </w:r>
    </w:p>
    <w:p>
      <w:pPr>
        <w:pStyle w:val="BodyText"/>
        <w:spacing w:before="5"/>
        <w:rPr>
          <w:b/>
          <w:sz w:val="15"/>
        </w:rPr>
      </w:pPr>
    </w:p>
    <w:p>
      <w:pPr>
        <w:pStyle w:val="BodyText"/>
        <w:ind w:left="960"/>
      </w:pPr>
      <w:r>
        <w:rPr/>
        <w:t>（一）基金份额持有人名册的内容</w:t>
      </w:r>
    </w:p>
    <w:p>
      <w:pPr>
        <w:pStyle w:val="BodyText"/>
        <w:spacing w:before="7"/>
        <w:rPr>
          <w:sz w:val="15"/>
        </w:rPr>
      </w:pPr>
    </w:p>
    <w:p>
      <w:pPr>
        <w:pStyle w:val="BodyText"/>
        <w:spacing w:line="417" w:lineRule="auto"/>
        <w:ind w:left="960" w:right="986"/>
      </w:pPr>
      <w:r>
        <w:rPr/>
        <w:t>基金份额持有人名册的内容包括但不限于基金份额持有人的名称和持有的基金份额。基金份额持有人名册包括以下几类：</w:t>
      </w:r>
    </w:p>
    <w:p>
      <w:pPr>
        <w:pStyle w:val="BodyText"/>
        <w:spacing w:line="269" w:lineRule="exact"/>
        <w:ind w:left="960"/>
      </w:pPr>
      <w:r>
        <w:rPr>
          <w:rFonts w:ascii="Calibri" w:eastAsia="Calibri"/>
        </w:rPr>
        <w:t>1</w:t>
      </w:r>
      <w:r>
        <w:rPr/>
        <w:t>、基金募集期结束时的基金份额持有人名册。</w:t>
      </w:r>
    </w:p>
    <w:p>
      <w:pPr>
        <w:pStyle w:val="BodyText"/>
        <w:spacing w:before="7"/>
        <w:rPr>
          <w:sz w:val="15"/>
        </w:rPr>
      </w:pPr>
    </w:p>
    <w:p>
      <w:pPr>
        <w:pStyle w:val="BodyText"/>
        <w:spacing w:before="1"/>
        <w:ind w:left="960"/>
      </w:pPr>
      <w:r>
        <w:rPr>
          <w:rFonts w:ascii="Calibri" w:eastAsia="Calibri"/>
        </w:rPr>
        <w:t>2</w:t>
      </w:r>
      <w:r>
        <w:rPr/>
        <w:t>、基金权益登记日的基金份额持有人名册。</w:t>
      </w:r>
    </w:p>
    <w:p>
      <w:pPr>
        <w:pStyle w:val="BodyText"/>
        <w:spacing w:before="6"/>
        <w:rPr>
          <w:sz w:val="15"/>
        </w:rPr>
      </w:pPr>
    </w:p>
    <w:p>
      <w:pPr>
        <w:pStyle w:val="BodyText"/>
        <w:ind w:left="960"/>
      </w:pPr>
      <w:r>
        <w:rPr>
          <w:rFonts w:ascii="Calibri" w:eastAsia="Calibri"/>
        </w:rPr>
        <w:t>3</w:t>
      </w:r>
      <w:r>
        <w:rPr/>
        <w:t>、基金份额持有人大会登记日的基金份额持有人名册。</w:t>
      </w:r>
    </w:p>
    <w:p>
      <w:pPr>
        <w:pStyle w:val="BodyText"/>
        <w:spacing w:before="7"/>
        <w:rPr>
          <w:sz w:val="15"/>
        </w:rPr>
      </w:pPr>
    </w:p>
    <w:p>
      <w:pPr>
        <w:pStyle w:val="BodyText"/>
        <w:ind w:left="960"/>
      </w:pPr>
      <w:r>
        <w:rPr>
          <w:rFonts w:ascii="Calibri" w:eastAsia="Calibri"/>
        </w:rPr>
        <w:t>4</w:t>
      </w:r>
      <w:r>
        <w:rPr/>
        <w:t>、每半年度最后一个交易日的基金份额持有人名册。</w:t>
      </w:r>
    </w:p>
    <w:p>
      <w:pPr>
        <w:pStyle w:val="BodyText"/>
        <w:spacing w:before="7"/>
        <w:rPr>
          <w:sz w:val="15"/>
        </w:rPr>
      </w:pPr>
    </w:p>
    <w:p>
      <w:pPr>
        <w:pStyle w:val="BodyText"/>
        <w:ind w:left="960"/>
      </w:pPr>
      <w:r>
        <w:rPr/>
        <w:t>（二）基金份额持有人名册的提供</w:t>
      </w:r>
    </w:p>
    <w:p>
      <w:pPr>
        <w:pStyle w:val="BodyText"/>
        <w:spacing w:before="6"/>
        <w:rPr>
          <w:sz w:val="15"/>
        </w:rPr>
      </w:pPr>
    </w:p>
    <w:p>
      <w:pPr>
        <w:pStyle w:val="BodyText"/>
        <w:spacing w:line="417" w:lineRule="auto" w:before="1"/>
        <w:ind w:left="540" w:right="768" w:firstLine="419"/>
      </w:pPr>
      <w:r>
        <w:rPr>
          <w:spacing w:val="-7"/>
        </w:rPr>
        <w:t>对于每半年度最后一个交易日的基金份额持有人名册，基金管理人应在每半年度结束后 </w:t>
      </w:r>
      <w:r>
        <w:rPr>
          <w:rFonts w:ascii="Calibri" w:eastAsia="Calibri"/>
          <w:spacing w:val="-7"/>
        </w:rPr>
        <w:t>5</w:t>
      </w:r>
      <w:r>
        <w:rPr>
          <w:rFonts w:ascii="Calibri" w:eastAsia="Calibri"/>
          <w:spacing w:val="20"/>
        </w:rPr>
        <w:t> </w:t>
      </w:r>
      <w:r>
        <w:rPr>
          <w:spacing w:val="-6"/>
        </w:rPr>
        <w:t>个工作日内定期向基金托管人提供。对于基金募集期结束时的基金份额持有人名册、基金</w:t>
      </w:r>
      <w:r>
        <w:rPr>
          <w:spacing w:val="-4"/>
        </w:rPr>
        <w:t>权益登记日的基金份额持有人名册以及基金份额持有人大会登记日的基金份额持有人名册， </w:t>
      </w:r>
      <w:r>
        <w:rPr>
          <w:spacing w:val="-7"/>
        </w:rPr>
        <w:t>基金管理人应在相关的名册生成后 </w:t>
      </w:r>
      <w:r>
        <w:rPr>
          <w:rFonts w:ascii="Calibri" w:eastAsia="Calibri"/>
        </w:rPr>
        <w:t>5 </w:t>
      </w:r>
      <w:r>
        <w:rPr>
          <w:spacing w:val="-3"/>
        </w:rPr>
        <w:t>个工作日内向基金托管人提供。</w:t>
      </w:r>
    </w:p>
    <w:p>
      <w:pPr>
        <w:pStyle w:val="BodyText"/>
        <w:spacing w:line="269" w:lineRule="exact"/>
        <w:ind w:left="960"/>
      </w:pPr>
      <w:r>
        <w:rPr/>
        <w:t>（三）基金份额持有人名册的保管</w:t>
      </w:r>
    </w:p>
    <w:p>
      <w:pPr>
        <w:spacing w:after="0" w:line="269" w:lineRule="exact"/>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768" w:firstLine="419"/>
      </w:pPr>
      <w:r>
        <w:rPr>
          <w:spacing w:val="-3"/>
        </w:rPr>
        <w:t>基金托管人应妥善保管基金份额持有人名册。如基金托管人无法妥善保存持有人名册， </w:t>
      </w:r>
      <w:r>
        <w:rPr>
          <w:spacing w:val="-8"/>
        </w:rPr>
        <w:t>基金管理人应及时向中国证监会报告，并代为履行保管基金份额持有人名册的职责。基金托</w:t>
      </w:r>
      <w:r>
        <w:rPr>
          <w:spacing w:val="-5"/>
        </w:rPr>
        <w:t>管人应对基金管理人由此产生的保管费给予补偿。</w:t>
      </w:r>
    </w:p>
    <w:p>
      <w:pPr>
        <w:spacing w:line="269" w:lineRule="exact" w:before="0"/>
        <w:ind w:left="3850" w:right="0" w:firstLine="0"/>
        <w:jc w:val="left"/>
        <w:rPr>
          <w:b/>
          <w:sz w:val="21"/>
        </w:rPr>
      </w:pPr>
      <w:r>
        <w:rPr>
          <w:b/>
          <w:sz w:val="21"/>
        </w:rPr>
        <w:t>七、争议解决方式</w:t>
      </w:r>
    </w:p>
    <w:p>
      <w:pPr>
        <w:pStyle w:val="BodyText"/>
        <w:spacing w:before="7"/>
        <w:rPr>
          <w:b/>
          <w:sz w:val="15"/>
        </w:rPr>
      </w:pPr>
    </w:p>
    <w:p>
      <w:pPr>
        <w:pStyle w:val="BodyText"/>
        <w:ind w:left="960"/>
      </w:pPr>
      <w:r>
        <w:rPr/>
        <w:t>（一）本协议适用中华人民共和国法律并从其解释。</w:t>
      </w:r>
    </w:p>
    <w:p>
      <w:pPr>
        <w:pStyle w:val="BodyText"/>
        <w:spacing w:before="7"/>
        <w:rPr>
          <w:sz w:val="15"/>
        </w:rPr>
      </w:pPr>
    </w:p>
    <w:p>
      <w:pPr>
        <w:pStyle w:val="BodyText"/>
        <w:spacing w:line="417" w:lineRule="auto"/>
        <w:ind w:left="540" w:right="871" w:firstLine="419"/>
        <w:jc w:val="both"/>
      </w:pPr>
      <w:r>
        <w:rPr/>
        <w:t>（</w:t>
      </w:r>
      <w:r>
        <w:rPr>
          <w:spacing w:val="-3"/>
        </w:rPr>
        <w:t>二</w:t>
      </w:r>
      <w:r>
        <w:rPr>
          <w:spacing w:val="-94"/>
        </w:rPr>
        <w:t>）</w:t>
      </w:r>
      <w:r>
        <w:rPr>
          <w:spacing w:val="-3"/>
        </w:rPr>
        <w:t>基金管理人与基金托管人之间因本协议产生的或与本协议有关的争议可通过友好</w:t>
      </w:r>
      <w:r>
        <w:rPr>
          <w:spacing w:val="-5"/>
        </w:rPr>
        <w:t>协商解决。但若自一方书面提出协商解决争议之日起 </w:t>
      </w:r>
      <w:r>
        <w:rPr>
          <w:rFonts w:ascii="Calibri" w:eastAsia="Calibri"/>
        </w:rPr>
        <w:t>60 </w:t>
      </w:r>
      <w:r>
        <w:rPr>
          <w:spacing w:val="-3"/>
        </w:rPr>
        <w:t>日内争议未能以协商方式解决的， </w:t>
      </w:r>
      <w:r>
        <w:rPr>
          <w:spacing w:val="-6"/>
        </w:rPr>
        <w:t>则任何一方有权将争议提交位于北京的中国国际经济贸易仲裁委员会，并按其时有效的仲裁</w:t>
      </w:r>
      <w:r>
        <w:rPr>
          <w:spacing w:val="-4"/>
        </w:rPr>
        <w:t>规则进行仲裁。仲裁裁决是终局的，对仲裁各方当事人均具有约束力。</w:t>
      </w:r>
    </w:p>
    <w:p>
      <w:pPr>
        <w:pStyle w:val="BodyText"/>
        <w:ind w:left="960"/>
      </w:pPr>
      <w:r>
        <w:rPr/>
        <w:t>（三）除争议所涉的内容之外，本协议的当事人仍应履行本协议的其他规定。</w:t>
      </w:r>
    </w:p>
    <w:p>
      <w:pPr>
        <w:pStyle w:val="BodyText"/>
        <w:spacing w:before="6"/>
        <w:rPr>
          <w:sz w:val="15"/>
        </w:rPr>
      </w:pPr>
    </w:p>
    <w:p>
      <w:pPr>
        <w:spacing w:before="1"/>
        <w:ind w:left="410" w:right="748" w:firstLine="0"/>
        <w:jc w:val="center"/>
        <w:rPr>
          <w:b/>
          <w:sz w:val="21"/>
        </w:rPr>
      </w:pPr>
      <w:r>
        <w:rPr>
          <w:b/>
          <w:sz w:val="21"/>
        </w:rPr>
        <w:t>八、托管协议的修改与终止</w:t>
      </w:r>
    </w:p>
    <w:p>
      <w:pPr>
        <w:pStyle w:val="BodyText"/>
        <w:spacing w:before="6"/>
        <w:rPr>
          <w:b/>
          <w:sz w:val="15"/>
        </w:rPr>
      </w:pPr>
    </w:p>
    <w:p>
      <w:pPr>
        <w:pStyle w:val="BodyText"/>
        <w:ind w:left="960"/>
      </w:pPr>
      <w:r>
        <w:rPr/>
        <w:t>（一）托管协议的变更</w:t>
      </w:r>
    </w:p>
    <w:p>
      <w:pPr>
        <w:pStyle w:val="BodyText"/>
        <w:spacing w:before="7"/>
        <w:rPr>
          <w:sz w:val="15"/>
        </w:rPr>
      </w:pPr>
    </w:p>
    <w:p>
      <w:pPr>
        <w:pStyle w:val="BodyText"/>
        <w:ind w:left="960"/>
      </w:pPr>
      <w:r>
        <w:rPr/>
        <w:t>本协议双方当事人经协商一致，可以对协议进行变更。变更后的新协议，其内容不得与</w:t>
      </w:r>
    </w:p>
    <w:p>
      <w:pPr>
        <w:pStyle w:val="BodyText"/>
        <w:spacing w:before="7"/>
        <w:rPr>
          <w:sz w:val="15"/>
        </w:rPr>
      </w:pPr>
    </w:p>
    <w:p>
      <w:pPr>
        <w:pStyle w:val="BodyText"/>
        <w:ind w:left="540"/>
      </w:pPr>
      <w:r>
        <w:rPr/>
        <w:t>《基金合同》的规定有任何冲突。变更后的协议应报证监会备案。</w:t>
      </w:r>
    </w:p>
    <w:p>
      <w:pPr>
        <w:pStyle w:val="BodyText"/>
        <w:spacing w:before="7"/>
        <w:rPr>
          <w:sz w:val="15"/>
        </w:rPr>
      </w:pPr>
    </w:p>
    <w:p>
      <w:pPr>
        <w:pStyle w:val="BodyText"/>
        <w:ind w:left="960"/>
      </w:pPr>
      <w:r>
        <w:rPr/>
        <w:t>（二）托管协议的终止</w:t>
      </w:r>
    </w:p>
    <w:p>
      <w:pPr>
        <w:pStyle w:val="BodyText"/>
        <w:spacing w:before="6"/>
        <w:rPr>
          <w:sz w:val="15"/>
        </w:rPr>
      </w:pPr>
    </w:p>
    <w:p>
      <w:pPr>
        <w:pStyle w:val="BodyText"/>
        <w:spacing w:before="1"/>
        <w:ind w:left="960"/>
      </w:pPr>
      <w:r>
        <w:rPr/>
        <w:t>发生以下情况，本托管协议应当终止：</w:t>
      </w:r>
    </w:p>
    <w:p>
      <w:pPr>
        <w:pStyle w:val="BodyText"/>
        <w:spacing w:before="6"/>
        <w:rPr>
          <w:sz w:val="15"/>
        </w:rPr>
      </w:pPr>
    </w:p>
    <w:p>
      <w:pPr>
        <w:pStyle w:val="BodyText"/>
        <w:ind w:left="960"/>
      </w:pPr>
      <w:r>
        <w:rPr>
          <w:rFonts w:ascii="Calibri" w:eastAsia="Calibri"/>
        </w:rPr>
        <w:t>1</w:t>
      </w:r>
      <w:r>
        <w:rPr/>
        <w:t>、《基金合同》终止。</w:t>
      </w:r>
    </w:p>
    <w:p>
      <w:pPr>
        <w:pStyle w:val="BodyText"/>
        <w:spacing w:before="7"/>
        <w:rPr>
          <w:sz w:val="15"/>
        </w:rPr>
      </w:pPr>
    </w:p>
    <w:p>
      <w:pPr>
        <w:pStyle w:val="BodyText"/>
        <w:ind w:left="960"/>
      </w:pPr>
      <w:r>
        <w:rPr>
          <w:rFonts w:ascii="Calibri" w:eastAsia="Calibri"/>
        </w:rPr>
        <w:t>2</w:t>
      </w:r>
      <w:r>
        <w:rPr>
          <w:spacing w:val="-3"/>
        </w:rPr>
        <w:t>、本基金更换基金托管人。</w:t>
      </w:r>
    </w:p>
    <w:p>
      <w:pPr>
        <w:pStyle w:val="BodyText"/>
        <w:spacing w:before="7"/>
        <w:rPr>
          <w:sz w:val="15"/>
        </w:rPr>
      </w:pPr>
    </w:p>
    <w:p>
      <w:pPr>
        <w:pStyle w:val="BodyText"/>
        <w:ind w:left="960"/>
      </w:pPr>
      <w:r>
        <w:rPr>
          <w:rFonts w:ascii="Calibri" w:eastAsia="Calibri"/>
        </w:rPr>
        <w:t>3</w:t>
      </w:r>
      <w:r>
        <w:rPr>
          <w:spacing w:val="-3"/>
        </w:rPr>
        <w:t>、本基金更换基金管理人。</w:t>
      </w:r>
    </w:p>
    <w:p>
      <w:pPr>
        <w:pStyle w:val="BodyText"/>
        <w:spacing w:before="6"/>
        <w:rPr>
          <w:sz w:val="15"/>
        </w:rPr>
      </w:pPr>
    </w:p>
    <w:p>
      <w:pPr>
        <w:pStyle w:val="BodyText"/>
        <w:spacing w:before="1"/>
        <w:ind w:left="960"/>
      </w:pPr>
      <w:r>
        <w:rPr>
          <w:rFonts w:ascii="Calibri" w:eastAsia="Calibri"/>
        </w:rPr>
        <w:t>4</w:t>
      </w:r>
      <w:r>
        <w:rPr/>
        <w:t>、发生《基金法》、《运作办法》或其他法律法规规定的终止事项。</w:t>
      </w:r>
    </w:p>
    <w:p>
      <w:pPr>
        <w:pStyle w:val="BodyText"/>
        <w:rPr>
          <w:sz w:val="22"/>
        </w:rPr>
      </w:pPr>
    </w:p>
    <w:p>
      <w:pPr>
        <w:pStyle w:val="BodyText"/>
        <w:spacing w:before="2"/>
        <w:rPr>
          <w:sz w:val="20"/>
        </w:rPr>
      </w:pPr>
    </w:p>
    <w:p>
      <w:pPr>
        <w:spacing w:before="0"/>
        <w:ind w:left="415" w:right="748" w:firstLine="0"/>
        <w:jc w:val="center"/>
        <w:rPr>
          <w:b/>
          <w:sz w:val="21"/>
        </w:rPr>
      </w:pPr>
      <w:bookmarkStart w:name="_bookmark21" w:id="22"/>
      <w:bookmarkEnd w:id="22"/>
      <w:r>
        <w:rPr/>
      </w:r>
      <w:r>
        <w:rPr>
          <w:b/>
          <w:sz w:val="21"/>
        </w:rPr>
        <w:t>二十二、对基金份额持有人的服务</w:t>
      </w:r>
    </w:p>
    <w:p>
      <w:pPr>
        <w:pStyle w:val="BodyText"/>
        <w:rPr>
          <w:b/>
          <w:sz w:val="20"/>
        </w:rPr>
      </w:pPr>
    </w:p>
    <w:p>
      <w:pPr>
        <w:pStyle w:val="BodyText"/>
        <w:spacing w:before="2"/>
        <w:rPr>
          <w:b/>
        </w:rPr>
      </w:pPr>
    </w:p>
    <w:p>
      <w:pPr>
        <w:pStyle w:val="BodyText"/>
        <w:ind w:left="960"/>
      </w:pPr>
      <w:r>
        <w:rPr>
          <w:spacing w:val="-3"/>
        </w:rPr>
        <w:t>对本基金份额持有人的服务主要由基金管理人和代销机构提供。</w:t>
      </w:r>
    </w:p>
    <w:p>
      <w:pPr>
        <w:pStyle w:val="BodyText"/>
        <w:spacing w:before="7"/>
        <w:rPr>
          <w:sz w:val="15"/>
        </w:rPr>
      </w:pPr>
    </w:p>
    <w:p>
      <w:pPr>
        <w:pStyle w:val="BodyText"/>
        <w:spacing w:line="417" w:lineRule="auto"/>
        <w:ind w:left="540" w:right="87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960"/>
      </w:pPr>
      <w:r>
        <w:rPr/>
        <w:t>（一）资料发送</w:t>
      </w:r>
    </w:p>
    <w:p>
      <w:pPr>
        <w:pStyle w:val="BodyText"/>
        <w:spacing w:before="7"/>
        <w:rPr>
          <w:sz w:val="15"/>
        </w:rPr>
      </w:pPr>
    </w:p>
    <w:p>
      <w:pPr>
        <w:pStyle w:val="BodyText"/>
        <w:ind w:left="960"/>
      </w:pPr>
      <w:r>
        <w:rPr>
          <w:rFonts w:ascii="Calibri" w:eastAsia="Calibri"/>
        </w:rPr>
        <w:t>1</w:t>
      </w:r>
      <w:r>
        <w:rPr/>
        <w:t>、基金交易对账单</w:t>
      </w:r>
    </w:p>
    <w:p>
      <w:pPr>
        <w:pStyle w:val="BodyText"/>
        <w:spacing w:before="6"/>
        <w:rPr>
          <w:sz w:val="15"/>
        </w:rPr>
      </w:pPr>
    </w:p>
    <w:p>
      <w:pPr>
        <w:pStyle w:val="BodyText"/>
        <w:spacing w:line="417" w:lineRule="auto" w:before="1"/>
        <w:ind w:left="540" w:right="76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w:t>
      </w:r>
    </w:p>
    <w:p>
      <w:pPr>
        <w:spacing w:after="0" w:line="417" w:lineRule="auto"/>
        <w:sectPr>
          <w:footerReference w:type="default" r:id="rId166"/>
          <w:pgSz w:w="11910" w:h="16840"/>
          <w:pgMar w:footer="995" w:header="872" w:top="1100" w:bottom="1180" w:left="1260" w:right="920"/>
        </w:sectPr>
      </w:pPr>
    </w:p>
    <w:p>
      <w:pPr>
        <w:pStyle w:val="BodyText"/>
        <w:spacing w:before="4"/>
        <w:rPr>
          <w:sz w:val="27"/>
        </w:rPr>
      </w:pPr>
    </w:p>
    <w:p>
      <w:pPr>
        <w:pStyle w:val="BodyText"/>
        <w:spacing w:before="71"/>
        <w:ind w:left="540"/>
      </w:pPr>
      <w:r>
        <w:rPr/>
        <w:t>导致基金管理人无法送出的除外。</w:t>
      </w:r>
    </w:p>
    <w:p>
      <w:pPr>
        <w:pStyle w:val="BodyText"/>
        <w:spacing w:before="7"/>
        <w:rPr>
          <w:sz w:val="15"/>
        </w:rPr>
      </w:pPr>
    </w:p>
    <w:p>
      <w:pPr>
        <w:pStyle w:val="BodyText"/>
        <w:ind w:left="960"/>
      </w:pPr>
      <w:r>
        <w:rPr>
          <w:rFonts w:ascii="Calibri" w:eastAsia="Calibri"/>
        </w:rPr>
        <w:t>2</w:t>
      </w:r>
      <w:r>
        <w:rPr/>
        <w:t>、其他相关的信息资料</w:t>
      </w:r>
    </w:p>
    <w:p>
      <w:pPr>
        <w:pStyle w:val="BodyText"/>
        <w:spacing w:before="7"/>
        <w:rPr>
          <w:sz w:val="15"/>
        </w:rPr>
      </w:pPr>
    </w:p>
    <w:p>
      <w:pPr>
        <w:pStyle w:val="BodyText"/>
        <w:spacing w:line="417" w:lineRule="auto"/>
        <w:ind w:left="540" w:right="767" w:firstLine="419"/>
      </w:pPr>
      <w:r>
        <w:rPr/>
        <w:t>指随基金交易对账单不定期发送的基金资讯材料，如基金新产品或新服务的相关材料、客户服务问答等。</w:t>
      </w:r>
    </w:p>
    <w:p>
      <w:pPr>
        <w:pStyle w:val="BodyText"/>
        <w:spacing w:line="269" w:lineRule="exact"/>
        <w:ind w:left="960"/>
      </w:pPr>
      <w:r>
        <w:rPr/>
        <w:t>（二）电子交易</w:t>
      </w:r>
    </w:p>
    <w:p>
      <w:pPr>
        <w:pStyle w:val="BodyText"/>
        <w:spacing w:before="6"/>
        <w:rPr>
          <w:sz w:val="15"/>
        </w:rPr>
      </w:pPr>
    </w:p>
    <w:p>
      <w:pPr>
        <w:pStyle w:val="BodyText"/>
        <w:spacing w:line="417" w:lineRule="auto" w:before="1"/>
        <w:ind w:left="540" w:right="76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5"/>
        </w:rPr>
        <w:t>在登录本公司网站</w:t>
      </w:r>
      <w:r>
        <w:rPr>
          <w:spacing w:val="-3"/>
        </w:rPr>
        <w:t>（</w:t>
      </w:r>
      <w:hyperlink r:id="rId10">
        <w:r>
          <w:rPr>
            <w:rFonts w:ascii="Calibri" w:eastAsia="Calibri"/>
            <w:spacing w:val="-3"/>
          </w:rPr>
          <w:t>www.ChinaAMC.com</w:t>
        </w:r>
      </w:hyperlink>
      <w:r>
        <w:rPr>
          <w:spacing w:val="-3"/>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960"/>
      </w:pPr>
      <w:r>
        <w:rPr/>
        <w:t>（三）电子邮件及短信服务</w:t>
      </w:r>
    </w:p>
    <w:p>
      <w:pPr>
        <w:pStyle w:val="BodyText"/>
        <w:spacing w:before="7"/>
        <w:rPr>
          <w:sz w:val="15"/>
        </w:rPr>
      </w:pPr>
    </w:p>
    <w:p>
      <w:pPr>
        <w:pStyle w:val="BodyText"/>
        <w:spacing w:line="417" w:lineRule="auto"/>
        <w:ind w:left="540" w:right="87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6"/>
        <w:rPr>
          <w:sz w:val="15"/>
        </w:rPr>
      </w:pPr>
    </w:p>
    <w:p>
      <w:pPr>
        <w:pStyle w:val="BodyText"/>
        <w:spacing w:before="1"/>
        <w:ind w:left="960"/>
      </w:pPr>
      <w:r>
        <w:rPr>
          <w:rFonts w:ascii="Calibri" w:eastAsia="Calibri"/>
        </w:rPr>
        <w:t>1</w:t>
      </w:r>
      <w:r>
        <w:rPr/>
        <w:t>、自动语音服务</w:t>
      </w:r>
    </w:p>
    <w:p>
      <w:pPr>
        <w:pStyle w:val="BodyText"/>
        <w:spacing w:before="6"/>
        <w:rPr>
          <w:sz w:val="15"/>
        </w:rPr>
      </w:pPr>
    </w:p>
    <w:p>
      <w:pPr>
        <w:pStyle w:val="BodyText"/>
        <w:spacing w:line="417" w:lineRule="auto"/>
        <w:ind w:left="540" w:right="876" w:firstLine="419"/>
      </w:pPr>
      <w:r>
        <w:rPr/>
        <w:t>提供每周</w:t>
      </w:r>
      <w:r>
        <w:rPr>
          <w:rFonts w:ascii="Calibri" w:eastAsia="Calibri"/>
        </w:rPr>
        <w:t>7</w:t>
      </w:r>
      <w:r>
        <w:rPr/>
        <w:t>天、每天</w:t>
      </w:r>
      <w:r>
        <w:rPr>
          <w:rFonts w:ascii="Calibri" w:eastAsia="Calibri"/>
        </w:rPr>
        <w:t>24</w:t>
      </w:r>
      <w:r>
        <w:rPr/>
        <w:t>小时的自动语音服务，客户可通过电话查询最新热点问题、基金份额净值、基金账户余额等信息。</w:t>
      </w:r>
    </w:p>
    <w:p>
      <w:pPr>
        <w:pStyle w:val="BodyText"/>
        <w:spacing w:line="269" w:lineRule="exact"/>
        <w:ind w:left="960"/>
      </w:pPr>
      <w:r>
        <w:rPr>
          <w:rFonts w:ascii="Calibri" w:eastAsia="Calibri"/>
        </w:rPr>
        <w:t>2</w:t>
      </w:r>
      <w:r>
        <w:rPr/>
        <w:t>、人工电话服务</w:t>
      </w:r>
    </w:p>
    <w:p>
      <w:pPr>
        <w:pStyle w:val="BodyText"/>
        <w:spacing w:before="7"/>
        <w:rPr>
          <w:sz w:val="15"/>
        </w:rPr>
      </w:pPr>
    </w:p>
    <w:p>
      <w:pPr>
        <w:pStyle w:val="BodyText"/>
        <w:spacing w:line="417" w:lineRule="auto" w:before="1"/>
        <w:ind w:left="540" w:right="871" w:firstLine="419"/>
      </w:pPr>
      <w:r>
        <w:rPr/>
        <w:t>提供每周</w:t>
      </w:r>
      <w:r>
        <w:rPr>
          <w:rFonts w:ascii="Calibri" w:eastAsia="Calibri"/>
        </w:rPr>
        <w:t>7</w:t>
      </w:r>
      <w:r>
        <w:rPr/>
        <w:t>天的人工服务。周一至周五的人工电话服务时间为</w:t>
      </w:r>
      <w:r>
        <w:rPr>
          <w:rFonts w:ascii="Calibri" w:eastAsia="Calibri"/>
        </w:rPr>
        <w:t>8</w:t>
      </w:r>
      <w:r>
        <w:rPr/>
        <w:t>：</w:t>
      </w:r>
      <w:r>
        <w:rPr>
          <w:rFonts w:ascii="Calibri" w:eastAsia="Calibri"/>
        </w:rPr>
        <w:t>30~21</w:t>
      </w:r>
      <w:r>
        <w:rPr/>
        <w:t>：</w:t>
      </w:r>
      <w:r>
        <w:rPr>
          <w:rFonts w:ascii="Calibri" w:eastAsia="Calibri"/>
        </w:rPr>
        <w:t>00</w:t>
      </w:r>
      <w:r>
        <w:rPr/>
        <w:t>，周六至周日的人工电话服务时间为</w:t>
      </w:r>
      <w:r>
        <w:rPr>
          <w:rFonts w:ascii="Calibri" w:eastAsia="Calibri"/>
        </w:rPr>
        <w:t>8</w:t>
      </w:r>
      <w:r>
        <w:rPr/>
        <w:t>：</w:t>
      </w:r>
      <w:r>
        <w:rPr>
          <w:rFonts w:ascii="Calibri" w:eastAsia="Calibri"/>
        </w:rPr>
        <w:t>30~17</w:t>
      </w:r>
      <w:r>
        <w:rPr/>
        <w:t>：</w:t>
      </w:r>
      <w:r>
        <w:rPr>
          <w:rFonts w:ascii="Calibri" w:eastAsia="Calibri"/>
        </w:rPr>
        <w:t>00</w:t>
      </w:r>
      <w:r>
        <w:rPr/>
        <w:t>，法定节假日除外。</w:t>
      </w:r>
    </w:p>
    <w:p>
      <w:pPr>
        <w:pStyle w:val="BodyText"/>
        <w:spacing w:line="417" w:lineRule="auto"/>
        <w:ind w:left="960" w:right="6057"/>
        <w:rPr>
          <w:rFonts w:ascii="Calibri" w:eastAsia="Calibri"/>
        </w:rPr>
      </w:pPr>
      <w:r>
        <w:rPr/>
        <w:t>客户服务电话：</w:t>
      </w:r>
      <w:r>
        <w:rPr>
          <w:rFonts w:ascii="Calibri" w:eastAsia="Calibri"/>
        </w:rPr>
        <w:t>400-818-6666 </w:t>
      </w:r>
      <w:r>
        <w:rPr/>
        <w:t>客户服务传真：</w:t>
      </w:r>
      <w:r>
        <w:rPr>
          <w:rFonts w:ascii="Calibri" w:eastAsia="Calibri"/>
        </w:rPr>
        <w:t>010-63136700</w:t>
      </w:r>
    </w:p>
    <w:p>
      <w:pPr>
        <w:pStyle w:val="BodyText"/>
        <w:spacing w:line="269" w:lineRule="exact"/>
        <w:ind w:left="960"/>
      </w:pPr>
      <w:r>
        <w:rPr/>
        <w:t>（五）在线服务</w:t>
      </w:r>
    </w:p>
    <w:p>
      <w:pPr>
        <w:pStyle w:val="BodyText"/>
        <w:spacing w:before="6"/>
        <w:rPr>
          <w:sz w:val="15"/>
        </w:rPr>
      </w:pPr>
    </w:p>
    <w:p>
      <w:pPr>
        <w:pStyle w:val="BodyText"/>
        <w:ind w:left="960"/>
      </w:pPr>
      <w:r>
        <w:rPr/>
        <w:t>投资者可通过本公司网站、</w:t>
      </w:r>
      <w:r>
        <w:rPr>
          <w:rFonts w:ascii="Calibri" w:eastAsia="Calibri"/>
        </w:rPr>
        <w:t>APP</w:t>
      </w:r>
      <w:r>
        <w:rPr/>
        <w:t>、微信公众号、微官网等渠道获得在线服务。</w:t>
      </w:r>
    </w:p>
    <w:p>
      <w:pPr>
        <w:pStyle w:val="BodyText"/>
        <w:spacing w:before="7"/>
        <w:rPr>
          <w:sz w:val="15"/>
        </w:rPr>
      </w:pPr>
    </w:p>
    <w:p>
      <w:pPr>
        <w:pStyle w:val="BodyText"/>
        <w:ind w:left="960"/>
      </w:pPr>
      <w:r>
        <w:rPr>
          <w:rFonts w:ascii="Calibri" w:eastAsia="Calibri"/>
        </w:rPr>
        <w:t>1</w:t>
      </w:r>
      <w:r>
        <w:rPr/>
        <w:t>、查询服务</w:t>
      </w:r>
    </w:p>
    <w:p>
      <w:pPr>
        <w:pStyle w:val="BodyText"/>
        <w:spacing w:before="7"/>
        <w:rPr>
          <w:sz w:val="15"/>
        </w:rPr>
      </w:pPr>
    </w:p>
    <w:p>
      <w:pPr>
        <w:pStyle w:val="BodyText"/>
        <w:ind w:left="960"/>
      </w:pPr>
      <w:r>
        <w:rPr>
          <w:spacing w:val="-9"/>
          <w:w w:val="100"/>
        </w:rPr>
        <w:t>投资者可登录本公司网站“基金账户查询”，查询基金账户情况、更改个人信息。</w:t>
      </w:r>
    </w:p>
    <w:p>
      <w:pPr>
        <w:pStyle w:val="BodyText"/>
        <w:spacing w:before="6"/>
        <w:rPr>
          <w:sz w:val="15"/>
        </w:rPr>
      </w:pPr>
    </w:p>
    <w:p>
      <w:pPr>
        <w:pStyle w:val="BodyText"/>
        <w:spacing w:before="1"/>
        <w:ind w:left="960"/>
      </w:pPr>
      <w:r>
        <w:rPr>
          <w:rFonts w:ascii="Calibri" w:eastAsia="Calibri"/>
        </w:rPr>
        <w:t>2</w:t>
      </w:r>
      <w:r>
        <w:rPr/>
        <w:t>、自助服务</w:t>
      </w:r>
    </w:p>
    <w:p>
      <w:pPr>
        <w:spacing w:after="0"/>
        <w:sectPr>
          <w:footerReference w:type="default" r:id="rId167"/>
          <w:pgSz w:w="11910" w:h="16840"/>
          <w:pgMar w:footer="995" w:header="872" w:top="1100" w:bottom="1180" w:left="1260" w:right="920"/>
          <w:pgNumType w:start="131"/>
        </w:sectPr>
      </w:pPr>
    </w:p>
    <w:p>
      <w:pPr>
        <w:pStyle w:val="BodyText"/>
        <w:spacing w:before="4"/>
        <w:rPr>
          <w:sz w:val="27"/>
        </w:rPr>
      </w:pPr>
    </w:p>
    <w:p>
      <w:pPr>
        <w:pStyle w:val="BodyText"/>
        <w:spacing w:line="417" w:lineRule="auto" w:before="71"/>
        <w:ind w:left="540" w:right="873" w:firstLine="419"/>
      </w:pPr>
      <w:r>
        <w:rPr/>
        <w:t>在线客服提供每周</w:t>
      </w:r>
      <w:r>
        <w:rPr>
          <w:rFonts w:ascii="Calibri" w:eastAsia="Calibri"/>
        </w:rPr>
        <w:t>7</w:t>
      </w:r>
      <w:r>
        <w:rPr/>
        <w:t>天、每天</w:t>
      </w:r>
      <w:r>
        <w:rPr>
          <w:rFonts w:ascii="Calibri" w:eastAsia="Calibri"/>
        </w:rPr>
        <w:t>24</w:t>
      </w:r>
      <w:r>
        <w:rPr/>
        <w:t>小时的自助服务，投资者可通过在线客服查询最新热点问题、业务规则、基金份额净值等信息。</w:t>
      </w:r>
    </w:p>
    <w:p>
      <w:pPr>
        <w:pStyle w:val="BodyText"/>
        <w:spacing w:line="269" w:lineRule="exact"/>
        <w:ind w:left="960"/>
      </w:pPr>
      <w:r>
        <w:rPr>
          <w:rFonts w:ascii="Calibri" w:eastAsia="Calibri"/>
        </w:rPr>
        <w:t>3</w:t>
      </w:r>
      <w:r>
        <w:rPr/>
        <w:t>、人工服务</w:t>
      </w:r>
    </w:p>
    <w:p>
      <w:pPr>
        <w:pStyle w:val="BodyText"/>
        <w:spacing w:before="7"/>
        <w:rPr>
          <w:sz w:val="15"/>
        </w:rPr>
      </w:pPr>
    </w:p>
    <w:p>
      <w:pPr>
        <w:pStyle w:val="BodyText"/>
        <w:spacing w:line="417" w:lineRule="auto"/>
        <w:ind w:left="540" w:right="871" w:firstLine="419"/>
      </w:pPr>
      <w:r>
        <w:rPr>
          <w:spacing w:val="-3"/>
        </w:rPr>
        <w:t>周一至周五的在线客服人工服务时间为</w:t>
      </w:r>
      <w:r>
        <w:rPr>
          <w:rFonts w:ascii="Calibri" w:eastAsia="Calibri"/>
          <w:spacing w:val="-11"/>
        </w:rPr>
        <w:t>8</w:t>
      </w:r>
      <w:r>
        <w:rPr>
          <w:spacing w:val="-11"/>
        </w:rPr>
        <w:t>：</w:t>
      </w:r>
      <w:r>
        <w:rPr>
          <w:rFonts w:ascii="Calibri" w:eastAsia="Calibri"/>
          <w:spacing w:val="-11"/>
        </w:rPr>
        <w:t>30~21</w:t>
      </w:r>
      <w:r>
        <w:rPr>
          <w:spacing w:val="-11"/>
        </w:rPr>
        <w:t>：</w:t>
      </w:r>
      <w:r>
        <w:rPr>
          <w:rFonts w:ascii="Calibri" w:eastAsia="Calibri"/>
          <w:spacing w:val="-11"/>
        </w:rPr>
        <w:t>00</w:t>
      </w:r>
      <w:r>
        <w:rPr>
          <w:spacing w:val="-4"/>
        </w:rPr>
        <w:t>，周六至周日的在线客服人工服务时间为</w:t>
      </w:r>
      <w:r>
        <w:rPr>
          <w:rFonts w:ascii="Calibri" w:eastAsia="Calibri"/>
        </w:rPr>
        <w:t>8</w:t>
      </w:r>
      <w:r>
        <w:rPr/>
        <w:t>：</w:t>
      </w:r>
      <w:r>
        <w:rPr>
          <w:rFonts w:ascii="Calibri" w:eastAsia="Calibri"/>
        </w:rPr>
        <w:t>30~17</w:t>
      </w:r>
      <w:r>
        <w:rPr/>
        <w:t>：</w:t>
      </w:r>
      <w:r>
        <w:rPr>
          <w:rFonts w:ascii="Calibri" w:eastAsia="Calibri"/>
        </w:rPr>
        <w:t>00</w:t>
      </w:r>
      <w:r>
        <w:rPr>
          <w:spacing w:val="-3"/>
        </w:rPr>
        <w:t>，法定节假日除外。</w:t>
      </w:r>
    </w:p>
    <w:p>
      <w:pPr>
        <w:pStyle w:val="BodyText"/>
        <w:spacing w:line="269" w:lineRule="exact"/>
        <w:ind w:left="960"/>
      </w:pPr>
      <w:r>
        <w:rPr>
          <w:rFonts w:ascii="Calibri" w:eastAsia="Calibri"/>
        </w:rPr>
        <w:t>4</w:t>
      </w:r>
      <w:r>
        <w:rPr/>
        <w:t>、资讯服务</w:t>
      </w:r>
    </w:p>
    <w:p>
      <w:pPr>
        <w:pStyle w:val="BodyText"/>
        <w:spacing w:before="7"/>
        <w:rPr>
          <w:sz w:val="15"/>
        </w:rPr>
      </w:pPr>
    </w:p>
    <w:p>
      <w:pPr>
        <w:pStyle w:val="BodyText"/>
        <w:spacing w:line="417" w:lineRule="auto"/>
        <w:ind w:left="540" w:right="871" w:firstLine="419"/>
      </w:pPr>
      <w:r>
        <w:rPr>
          <w:spacing w:val="-7"/>
        </w:rPr>
        <w:t>投资者可通过本公司网站获取基金和基金管理人各类信息，包括基金法律文件、基金管</w:t>
      </w:r>
      <w:r>
        <w:rPr>
          <w:spacing w:val="-5"/>
        </w:rPr>
        <w:t>理人最新动态、热点问题等。</w:t>
      </w:r>
    </w:p>
    <w:p>
      <w:pPr>
        <w:pStyle w:val="BodyText"/>
        <w:ind w:left="960"/>
        <w:rPr>
          <w:rFonts w:ascii="Calibri" w:eastAsia="Calibri"/>
        </w:rPr>
      </w:pPr>
      <w:r>
        <w:rPr/>
        <w:t>公司网址：</w:t>
      </w:r>
      <w:hyperlink r:id="rId29">
        <w:r>
          <w:rPr>
            <w:rFonts w:ascii="Calibri" w:eastAsia="Calibri"/>
          </w:rPr>
          <w:t>www.ChinaAMC.com</w:t>
        </w:r>
      </w:hyperlink>
    </w:p>
    <w:p>
      <w:pPr>
        <w:pStyle w:val="BodyText"/>
        <w:spacing w:before="4"/>
        <w:rPr>
          <w:rFonts w:ascii="Calibri"/>
          <w:sz w:val="16"/>
        </w:rPr>
      </w:pPr>
    </w:p>
    <w:p>
      <w:pPr>
        <w:pStyle w:val="BodyText"/>
        <w:ind w:left="960"/>
        <w:rPr>
          <w:rFonts w:ascii="Calibri" w:eastAsia="Calibri"/>
        </w:rPr>
      </w:pPr>
      <w:r>
        <w:rPr/>
        <w:t>电子信箱：</w:t>
      </w:r>
      <w:hyperlink r:id="rId168">
        <w:r>
          <w:rPr>
            <w:rFonts w:ascii="Calibri" w:eastAsia="Calibri"/>
          </w:rPr>
          <w:t>service@ChinaAMC.com</w:t>
        </w:r>
      </w:hyperlink>
    </w:p>
    <w:p>
      <w:pPr>
        <w:pStyle w:val="BodyText"/>
        <w:spacing w:before="3"/>
        <w:rPr>
          <w:rFonts w:ascii="Calibri"/>
          <w:sz w:val="16"/>
        </w:rPr>
      </w:pPr>
    </w:p>
    <w:p>
      <w:pPr>
        <w:pStyle w:val="BodyText"/>
        <w:ind w:left="960"/>
      </w:pPr>
      <w:r>
        <w:rPr/>
        <w:t>（六）客户投诉和建议处理</w:t>
      </w:r>
    </w:p>
    <w:p>
      <w:pPr>
        <w:pStyle w:val="BodyText"/>
        <w:spacing w:before="7"/>
        <w:rPr>
          <w:sz w:val="15"/>
        </w:rPr>
      </w:pPr>
    </w:p>
    <w:p>
      <w:pPr>
        <w:pStyle w:val="BodyText"/>
        <w:spacing w:line="417" w:lineRule="auto"/>
        <w:ind w:left="540" w:right="87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1"/>
        <w:rPr>
          <w:sz w:val="28"/>
        </w:rPr>
      </w:pPr>
    </w:p>
    <w:p>
      <w:pPr>
        <w:spacing w:before="0"/>
        <w:ind w:left="413" w:right="748" w:firstLine="0"/>
        <w:jc w:val="center"/>
        <w:rPr>
          <w:b/>
          <w:sz w:val="21"/>
        </w:rPr>
      </w:pPr>
      <w:bookmarkStart w:name="_bookmark22" w:id="23"/>
      <w:bookmarkEnd w:id="23"/>
      <w:r>
        <w:rPr/>
      </w:r>
      <w:r>
        <w:rPr>
          <w:b/>
          <w:sz w:val="21"/>
        </w:rPr>
        <w:t>二十三、其他应披露事项</w:t>
      </w:r>
    </w:p>
    <w:p>
      <w:pPr>
        <w:pStyle w:val="BodyText"/>
        <w:rPr>
          <w:b/>
          <w:sz w:val="20"/>
        </w:rPr>
      </w:pPr>
    </w:p>
    <w:p>
      <w:pPr>
        <w:pStyle w:val="BodyText"/>
        <w:spacing w:before="8"/>
        <w:rPr>
          <w:b/>
          <w:sz w:val="23"/>
        </w:rPr>
      </w:pPr>
    </w:p>
    <w:p>
      <w:pPr>
        <w:pStyle w:val="BodyText"/>
        <w:spacing w:line="417" w:lineRule="auto"/>
        <w:ind w:left="540" w:right="871" w:firstLine="419"/>
        <w:jc w:val="both"/>
      </w:pPr>
      <w:r>
        <w:rPr/>
        <w:t>（一）</w:t>
      </w:r>
      <w:r>
        <w:rPr>
          <w:rFonts w:ascii="Calibri" w:eastAsia="Calibri"/>
        </w:rPr>
        <w:t>2019 </w:t>
      </w:r>
      <w:r>
        <w:rPr>
          <w:spacing w:val="-20"/>
        </w:rPr>
        <w:t>年 </w:t>
      </w:r>
      <w:r>
        <w:rPr>
          <w:rFonts w:ascii="Calibri" w:eastAsia="Calibri"/>
        </w:rPr>
        <w:t>10 </w:t>
      </w:r>
      <w:r>
        <w:rPr>
          <w:spacing w:val="-19"/>
        </w:rPr>
        <w:t>月 </w:t>
      </w:r>
      <w:r>
        <w:rPr>
          <w:rFonts w:ascii="Calibri" w:eastAsia="Calibri"/>
        </w:rPr>
        <w:t>21 </w:t>
      </w:r>
      <w:r>
        <w:rPr>
          <w:spacing w:val="-3"/>
        </w:rPr>
        <w:t>日发布华夏基金管理有限公司关于根据《公开募集证券投资基金信息披露管理办法》修订旗下基金基金合同的公告。</w:t>
      </w:r>
    </w:p>
    <w:p>
      <w:pPr>
        <w:pStyle w:val="BodyText"/>
        <w:spacing w:line="269" w:lineRule="exact"/>
        <w:ind w:left="960"/>
        <w:rPr>
          <w:rFonts w:ascii="Calibri" w:eastAsia="Calibri"/>
        </w:rPr>
      </w:pPr>
      <w:r>
        <w:rPr/>
        <w:t>（二）</w:t>
      </w:r>
      <w:r>
        <w:rPr>
          <w:rFonts w:ascii="Calibri" w:eastAsia="Calibri"/>
        </w:rPr>
        <w:t>2019 </w:t>
      </w:r>
      <w:r>
        <w:rPr/>
        <w:t>年 </w:t>
      </w:r>
      <w:r>
        <w:rPr>
          <w:rFonts w:ascii="Calibri" w:eastAsia="Calibri"/>
        </w:rPr>
        <w:t>10 </w:t>
      </w:r>
      <w:r>
        <w:rPr/>
        <w:t>月 </w:t>
      </w:r>
      <w:r>
        <w:rPr>
          <w:rFonts w:ascii="Calibri" w:eastAsia="Calibri"/>
        </w:rPr>
        <w:t>22 </w:t>
      </w:r>
      <w:r>
        <w:rPr/>
        <w:t>日发布华夏大中华信用精选债券型证券投资基金（</w:t>
      </w:r>
      <w:r>
        <w:rPr>
          <w:rFonts w:ascii="Calibri" w:eastAsia="Calibri"/>
        </w:rPr>
        <w:t>QDII</w:t>
      </w:r>
      <w:r>
        <w:rPr/>
        <w:t>）</w:t>
      </w:r>
      <w:r>
        <w:rPr>
          <w:rFonts w:ascii="Calibri" w:eastAsia="Calibri"/>
        </w:rPr>
        <w:t>2019</w:t>
      </w:r>
    </w:p>
    <w:p>
      <w:pPr>
        <w:pStyle w:val="BodyText"/>
        <w:spacing w:before="4"/>
        <w:rPr>
          <w:rFonts w:ascii="Calibri"/>
          <w:sz w:val="16"/>
        </w:rPr>
      </w:pPr>
    </w:p>
    <w:p>
      <w:pPr>
        <w:pStyle w:val="BodyText"/>
        <w:ind w:left="540"/>
      </w:pPr>
      <w:r>
        <w:rPr/>
        <w:t>年第 </w:t>
      </w:r>
      <w:r>
        <w:rPr>
          <w:rFonts w:ascii="Calibri" w:eastAsia="Calibri"/>
        </w:rPr>
        <w:t>3 </w:t>
      </w:r>
      <w:r>
        <w:rPr/>
        <w:t>季度报告。</w:t>
      </w:r>
    </w:p>
    <w:p>
      <w:pPr>
        <w:pStyle w:val="BodyText"/>
        <w:spacing w:before="6"/>
        <w:rPr>
          <w:sz w:val="15"/>
        </w:rPr>
      </w:pPr>
    </w:p>
    <w:p>
      <w:pPr>
        <w:pStyle w:val="BodyText"/>
        <w:spacing w:line="417" w:lineRule="auto" w:before="1"/>
        <w:ind w:left="540" w:right="871" w:firstLine="419"/>
      </w:pPr>
      <w:r>
        <w:rPr/>
        <w:t>（三）</w:t>
      </w:r>
      <w:r>
        <w:rPr>
          <w:rFonts w:ascii="Calibri" w:eastAsia="Calibri"/>
        </w:rPr>
        <w:t>2020 </w:t>
      </w:r>
      <w:r>
        <w:rPr/>
        <w:t>年 </w:t>
      </w:r>
      <w:r>
        <w:rPr>
          <w:rFonts w:ascii="Calibri" w:eastAsia="Calibri"/>
        </w:rPr>
        <w:t>1 </w:t>
      </w:r>
      <w:r>
        <w:rPr/>
        <w:t>月 </w:t>
      </w:r>
      <w:r>
        <w:rPr>
          <w:rFonts w:ascii="Calibri" w:eastAsia="Calibri"/>
        </w:rPr>
        <w:t>6 </w:t>
      </w:r>
      <w:r>
        <w:rPr/>
        <w:t>日发布华夏大中华信用精选债券型证券投资基金（</w:t>
      </w:r>
      <w:r>
        <w:rPr>
          <w:rFonts w:ascii="Calibri" w:eastAsia="Calibri"/>
        </w:rPr>
        <w:t>QDII</w:t>
      </w:r>
      <w:r>
        <w:rPr/>
        <w:t>）第三次分红公告。</w:t>
      </w:r>
    </w:p>
    <w:p>
      <w:pPr>
        <w:pStyle w:val="BodyText"/>
        <w:ind w:left="960"/>
      </w:pPr>
      <w:r>
        <w:rPr/>
        <w:t>（四）</w:t>
      </w:r>
      <w:r>
        <w:rPr>
          <w:rFonts w:ascii="Calibri" w:eastAsia="Calibri"/>
        </w:rPr>
        <w:t>2020 </w:t>
      </w:r>
      <w:r>
        <w:rPr/>
        <w:t>年 </w:t>
      </w:r>
      <w:r>
        <w:rPr>
          <w:rFonts w:ascii="Calibri" w:eastAsia="Calibri"/>
        </w:rPr>
        <w:t>1 </w:t>
      </w:r>
      <w:r>
        <w:rPr/>
        <w:t>月 </w:t>
      </w:r>
      <w:r>
        <w:rPr>
          <w:rFonts w:ascii="Calibri" w:eastAsia="Calibri"/>
        </w:rPr>
        <w:t>10 </w:t>
      </w:r>
      <w:r>
        <w:rPr/>
        <w:t>日发布华夏基金管理有限公司关于华夏大中华信用精选债券型证</w:t>
      </w:r>
    </w:p>
    <w:p>
      <w:pPr>
        <w:pStyle w:val="BodyText"/>
        <w:spacing w:before="6"/>
        <w:rPr>
          <w:sz w:val="15"/>
        </w:rPr>
      </w:pPr>
    </w:p>
    <w:p>
      <w:pPr>
        <w:pStyle w:val="BodyText"/>
        <w:spacing w:line="417" w:lineRule="auto" w:before="1"/>
        <w:ind w:left="540" w:right="814"/>
      </w:pPr>
      <w:r>
        <w:rPr/>
        <w:t>券投资基金（</w:t>
      </w:r>
      <w:r>
        <w:rPr>
          <w:rFonts w:ascii="Calibri" w:eastAsia="Calibri"/>
        </w:rPr>
        <w:t>QDII</w:t>
      </w:r>
      <w:r>
        <w:rPr/>
        <w:t>）在境外主要投资场所 </w:t>
      </w:r>
      <w:r>
        <w:rPr>
          <w:rFonts w:ascii="Calibri" w:eastAsia="Calibri"/>
        </w:rPr>
        <w:t>2020  </w:t>
      </w:r>
      <w:r>
        <w:rPr/>
        <w:t>年节假日暂停申购、赎回、定期定额申购业务的公告。</w:t>
      </w:r>
    </w:p>
    <w:p>
      <w:pPr>
        <w:pStyle w:val="BodyText"/>
        <w:spacing w:line="417" w:lineRule="auto"/>
        <w:ind w:left="540" w:right="871" w:firstLine="419"/>
      </w:pPr>
      <w:r>
        <w:rPr/>
        <w:t>（</w:t>
      </w:r>
      <w:r>
        <w:rPr>
          <w:spacing w:val="-3"/>
        </w:rPr>
        <w:t>五</w:t>
      </w:r>
      <w:r>
        <w:rPr>
          <w:spacing w:val="-6"/>
        </w:rPr>
        <w:t>）</w:t>
      </w:r>
      <w:r>
        <w:rPr>
          <w:rFonts w:ascii="Calibri" w:eastAsia="Calibri"/>
          <w:spacing w:val="-6"/>
        </w:rPr>
        <w:t>2020 </w:t>
      </w:r>
      <w:r>
        <w:rPr>
          <w:spacing w:val="-24"/>
        </w:rPr>
        <w:t>年 </w:t>
      </w:r>
      <w:r>
        <w:rPr>
          <w:rFonts w:ascii="Calibri" w:eastAsia="Calibri"/>
        </w:rPr>
        <w:t>1 </w:t>
      </w:r>
      <w:r>
        <w:rPr>
          <w:spacing w:val="-23"/>
        </w:rPr>
        <w:t>月 </w:t>
      </w:r>
      <w:r>
        <w:rPr>
          <w:rFonts w:ascii="Calibri" w:eastAsia="Calibri"/>
        </w:rPr>
        <w:t>21 </w:t>
      </w:r>
      <w:r>
        <w:rPr>
          <w:spacing w:val="-5"/>
        </w:rPr>
        <w:t>日发布华夏大中华信用精选债券型证券投资基金</w:t>
      </w:r>
      <w:r>
        <w:rPr>
          <w:spacing w:val="-4"/>
        </w:rPr>
        <w:t>（</w:t>
      </w:r>
      <w:r>
        <w:rPr>
          <w:rFonts w:ascii="Calibri" w:eastAsia="Calibri"/>
          <w:spacing w:val="-4"/>
        </w:rPr>
        <w:t>QDII</w:t>
      </w:r>
      <w:r>
        <w:rPr>
          <w:spacing w:val="-4"/>
        </w:rPr>
        <w:t>）</w:t>
      </w:r>
      <w:r>
        <w:rPr>
          <w:rFonts w:ascii="Calibri" w:eastAsia="Calibri"/>
          <w:spacing w:val="-4"/>
        </w:rPr>
        <w:t>2019 </w:t>
      </w:r>
      <w:r>
        <w:rPr/>
        <w:t>年</w:t>
      </w:r>
      <w:r>
        <w:rPr>
          <w:spacing w:val="-27"/>
        </w:rPr>
        <w:t>第 </w:t>
      </w:r>
      <w:r>
        <w:rPr>
          <w:rFonts w:ascii="Calibri" w:eastAsia="Calibri"/>
        </w:rPr>
        <w:t>4 </w:t>
      </w:r>
      <w:r>
        <w:rPr>
          <w:spacing w:val="-3"/>
        </w:rPr>
        <w:t>季度报告。</w:t>
      </w:r>
    </w:p>
    <w:p>
      <w:pPr>
        <w:pStyle w:val="BodyText"/>
        <w:spacing w:line="417" w:lineRule="auto"/>
        <w:ind w:left="540" w:right="871" w:firstLine="419"/>
      </w:pPr>
      <w:r>
        <w:rPr/>
        <w:t>（</w:t>
      </w:r>
      <w:r>
        <w:rPr>
          <w:spacing w:val="-3"/>
        </w:rPr>
        <w:t>六</w:t>
      </w:r>
      <w:r>
        <w:rPr>
          <w:spacing w:val="-12"/>
        </w:rPr>
        <w:t>）</w:t>
      </w:r>
      <w:r>
        <w:rPr>
          <w:rFonts w:ascii="Calibri" w:eastAsia="Calibri"/>
          <w:spacing w:val="-12"/>
        </w:rPr>
        <w:t>2020 </w:t>
      </w:r>
      <w:r>
        <w:rPr>
          <w:spacing w:val="-24"/>
        </w:rPr>
        <w:t>年 </w:t>
      </w:r>
      <w:r>
        <w:rPr>
          <w:rFonts w:ascii="Calibri" w:eastAsia="Calibri"/>
        </w:rPr>
        <w:t>1 </w:t>
      </w:r>
      <w:r>
        <w:rPr>
          <w:spacing w:val="-22"/>
        </w:rPr>
        <w:t>月 </w:t>
      </w:r>
      <w:r>
        <w:rPr>
          <w:rFonts w:ascii="Calibri" w:eastAsia="Calibri"/>
        </w:rPr>
        <w:t>30 </w:t>
      </w:r>
      <w:r>
        <w:rPr>
          <w:spacing w:val="-3"/>
        </w:rPr>
        <w:t>日发布华夏基金管理有限公司关于根据国家延长春节假期通知及交易所休市安排等调整旗下基金春节后业务办理日期的公告。</w:t>
      </w:r>
    </w:p>
    <w:p>
      <w:pPr>
        <w:spacing w:after="0" w:line="417" w:lineRule="auto"/>
        <w:sectPr>
          <w:pgSz w:w="11910" w:h="16840"/>
          <w:pgMar w:header="872" w:footer="995" w:top="1100" w:bottom="1180" w:left="1260" w:right="920"/>
        </w:sectPr>
      </w:pPr>
    </w:p>
    <w:p>
      <w:pPr>
        <w:pStyle w:val="BodyText"/>
        <w:spacing w:before="4"/>
        <w:rPr>
          <w:sz w:val="27"/>
        </w:rPr>
      </w:pPr>
    </w:p>
    <w:p>
      <w:pPr>
        <w:pStyle w:val="BodyText"/>
        <w:spacing w:line="417" w:lineRule="auto" w:before="71"/>
        <w:ind w:left="540" w:right="871" w:firstLine="419"/>
      </w:pPr>
      <w:r>
        <w:rPr/>
        <w:t>（</w:t>
      </w:r>
      <w:r>
        <w:rPr>
          <w:spacing w:val="-3"/>
        </w:rPr>
        <w:t>七</w:t>
      </w:r>
      <w:r>
        <w:rPr>
          <w:spacing w:val="-12"/>
        </w:rPr>
        <w:t>）</w:t>
      </w:r>
      <w:r>
        <w:rPr>
          <w:rFonts w:ascii="Calibri" w:eastAsia="Calibri"/>
          <w:spacing w:val="-12"/>
        </w:rPr>
        <w:t>2020 </w:t>
      </w:r>
      <w:r>
        <w:rPr>
          <w:spacing w:val="-24"/>
        </w:rPr>
        <w:t>年 </w:t>
      </w:r>
      <w:r>
        <w:rPr>
          <w:rFonts w:ascii="Calibri" w:eastAsia="Calibri"/>
        </w:rPr>
        <w:t>3 </w:t>
      </w:r>
      <w:r>
        <w:rPr>
          <w:spacing w:val="-22"/>
        </w:rPr>
        <w:t>月 </w:t>
      </w:r>
      <w:r>
        <w:rPr>
          <w:rFonts w:ascii="Calibri" w:eastAsia="Calibri"/>
        </w:rPr>
        <w:t>24 </w:t>
      </w:r>
      <w:r>
        <w:rPr>
          <w:spacing w:val="-3"/>
        </w:rPr>
        <w:t>日发布华夏基金管理有限公司关于限制华夏大中华信用精选债券型证券投资基金</w:t>
      </w:r>
      <w:r>
        <w:rPr/>
        <w:t>（</w:t>
      </w:r>
      <w:r>
        <w:rPr>
          <w:rFonts w:ascii="Calibri" w:eastAsia="Calibri"/>
        </w:rPr>
        <w:t>QDII</w:t>
      </w:r>
      <w:r>
        <w:rPr/>
        <w:t>）</w:t>
      </w:r>
      <w:r>
        <w:rPr>
          <w:spacing w:val="-3"/>
        </w:rPr>
        <w:t>申购、定期定额申购业务的公告。</w:t>
      </w:r>
    </w:p>
    <w:p>
      <w:pPr>
        <w:pStyle w:val="BodyText"/>
        <w:spacing w:line="417" w:lineRule="auto"/>
        <w:ind w:left="540" w:right="794" w:firstLine="419"/>
      </w:pPr>
      <w:r>
        <w:rPr/>
        <w:t>（八）</w:t>
      </w:r>
      <w:r>
        <w:rPr>
          <w:rFonts w:ascii="Calibri" w:eastAsia="Calibri"/>
        </w:rPr>
        <w:t>2020 </w:t>
      </w:r>
      <w:r>
        <w:rPr/>
        <w:t>年 </w:t>
      </w:r>
      <w:r>
        <w:rPr>
          <w:rFonts w:ascii="Calibri" w:eastAsia="Calibri"/>
        </w:rPr>
        <w:t>3 </w:t>
      </w:r>
      <w:r>
        <w:rPr/>
        <w:t>月 </w:t>
      </w:r>
      <w:r>
        <w:rPr>
          <w:rFonts w:ascii="Calibri" w:eastAsia="Calibri"/>
        </w:rPr>
        <w:t>26 </w:t>
      </w:r>
      <w:r>
        <w:rPr/>
        <w:t>日发布华夏基金管理有限公司关于旗下公募基金 </w:t>
      </w:r>
      <w:r>
        <w:rPr>
          <w:rFonts w:ascii="Calibri" w:eastAsia="Calibri"/>
        </w:rPr>
        <w:t>2019 </w:t>
      </w:r>
      <w:r>
        <w:rPr/>
        <w:t>年年报延缓审计与披露的公告。</w:t>
      </w:r>
    </w:p>
    <w:p>
      <w:pPr>
        <w:pStyle w:val="BodyText"/>
        <w:spacing w:line="269" w:lineRule="exact"/>
        <w:ind w:left="960"/>
      </w:pPr>
      <w:r>
        <w:rPr/>
        <w:t>（九）</w:t>
      </w:r>
      <w:r>
        <w:rPr>
          <w:rFonts w:ascii="Calibri" w:eastAsia="Calibri"/>
        </w:rPr>
        <w:t>2020 </w:t>
      </w:r>
      <w:r>
        <w:rPr/>
        <w:t>年 </w:t>
      </w:r>
      <w:r>
        <w:rPr>
          <w:rFonts w:ascii="Calibri" w:eastAsia="Calibri"/>
        </w:rPr>
        <w:t>4 </w:t>
      </w:r>
      <w:r>
        <w:rPr/>
        <w:t>月 </w:t>
      </w:r>
      <w:r>
        <w:rPr>
          <w:rFonts w:ascii="Calibri" w:eastAsia="Calibri"/>
        </w:rPr>
        <w:t>1 </w:t>
      </w:r>
      <w:r>
        <w:rPr/>
        <w:t>日发布华夏基金管理有限公司公告。</w:t>
      </w:r>
    </w:p>
    <w:p>
      <w:pPr>
        <w:pStyle w:val="BodyText"/>
        <w:spacing w:before="7"/>
        <w:rPr>
          <w:sz w:val="15"/>
        </w:rPr>
      </w:pPr>
    </w:p>
    <w:p>
      <w:pPr>
        <w:pStyle w:val="BodyText"/>
        <w:spacing w:line="417" w:lineRule="auto"/>
        <w:ind w:left="540" w:right="816" w:firstLine="419"/>
      </w:pPr>
      <w:r>
        <w:rPr/>
        <w:t>（十）</w:t>
      </w:r>
      <w:r>
        <w:rPr>
          <w:rFonts w:ascii="Calibri" w:eastAsia="Calibri"/>
        </w:rPr>
        <w:t>2020 </w:t>
      </w:r>
      <w:r>
        <w:rPr/>
        <w:t>年 </w:t>
      </w:r>
      <w:r>
        <w:rPr>
          <w:rFonts w:ascii="Calibri" w:eastAsia="Calibri"/>
        </w:rPr>
        <w:t>4 </w:t>
      </w:r>
      <w:r>
        <w:rPr/>
        <w:t>月 </w:t>
      </w:r>
      <w:r>
        <w:rPr>
          <w:rFonts w:ascii="Calibri" w:eastAsia="Calibri"/>
        </w:rPr>
        <w:t>9 </w:t>
      </w:r>
      <w:r>
        <w:rPr/>
        <w:t>日发布华夏大中华信用精选债券型证券投资基金（</w:t>
      </w:r>
      <w:r>
        <w:rPr>
          <w:rFonts w:ascii="Calibri" w:eastAsia="Calibri"/>
        </w:rPr>
        <w:t>QDII</w:t>
      </w:r>
      <w:r>
        <w:rPr/>
        <w:t>）</w:t>
      </w:r>
      <w:r>
        <w:rPr>
          <w:rFonts w:ascii="Calibri" w:eastAsia="Calibri"/>
        </w:rPr>
        <w:t>2019 </w:t>
      </w:r>
      <w:r>
        <w:rPr/>
        <w:t>年年度报告。</w:t>
      </w:r>
    </w:p>
    <w:p>
      <w:pPr>
        <w:pStyle w:val="BodyText"/>
        <w:ind w:left="960"/>
        <w:rPr>
          <w:rFonts w:ascii="Calibri" w:eastAsia="Calibri"/>
        </w:rPr>
      </w:pPr>
      <w:r>
        <w:rPr/>
        <w:t>（十一）</w:t>
      </w:r>
      <w:r>
        <w:rPr>
          <w:rFonts w:ascii="Calibri" w:eastAsia="Calibri"/>
        </w:rPr>
        <w:t>2020 </w:t>
      </w:r>
      <w:r>
        <w:rPr/>
        <w:t>年 </w:t>
      </w:r>
      <w:r>
        <w:rPr>
          <w:rFonts w:ascii="Calibri" w:eastAsia="Calibri"/>
        </w:rPr>
        <w:t>4 </w:t>
      </w:r>
      <w:r>
        <w:rPr/>
        <w:t>月 </w:t>
      </w:r>
      <w:r>
        <w:rPr>
          <w:rFonts w:ascii="Calibri" w:eastAsia="Calibri"/>
        </w:rPr>
        <w:t>22 </w:t>
      </w:r>
      <w:r>
        <w:rPr/>
        <w:t>日发布华夏大中华信用精选债券型证券投资基金（</w:t>
      </w:r>
      <w:r>
        <w:rPr>
          <w:rFonts w:ascii="Calibri" w:eastAsia="Calibri"/>
        </w:rPr>
        <w:t>QDII</w:t>
      </w:r>
      <w:r>
        <w:rPr/>
        <w:t>）</w:t>
      </w:r>
      <w:r>
        <w:rPr>
          <w:rFonts w:ascii="Calibri" w:eastAsia="Calibri"/>
        </w:rPr>
        <w:t>2020</w:t>
      </w:r>
    </w:p>
    <w:p>
      <w:pPr>
        <w:pStyle w:val="BodyText"/>
        <w:spacing w:before="3"/>
        <w:rPr>
          <w:rFonts w:ascii="Calibri"/>
          <w:sz w:val="16"/>
        </w:rPr>
      </w:pPr>
    </w:p>
    <w:p>
      <w:pPr>
        <w:pStyle w:val="BodyText"/>
        <w:spacing w:before="1"/>
        <w:ind w:left="540"/>
      </w:pPr>
      <w:r>
        <w:rPr/>
        <w:t>年第 </w:t>
      </w:r>
      <w:r>
        <w:rPr>
          <w:rFonts w:ascii="Calibri" w:eastAsia="Calibri"/>
        </w:rPr>
        <w:t>1 </w:t>
      </w:r>
      <w:r>
        <w:rPr/>
        <w:t>季度报告。</w:t>
      </w:r>
    </w:p>
    <w:p>
      <w:pPr>
        <w:pStyle w:val="BodyText"/>
        <w:spacing w:before="6"/>
        <w:rPr>
          <w:sz w:val="15"/>
        </w:rPr>
      </w:pPr>
    </w:p>
    <w:p>
      <w:pPr>
        <w:pStyle w:val="BodyText"/>
        <w:spacing w:line="417" w:lineRule="auto"/>
        <w:ind w:left="540" w:right="871" w:firstLine="419"/>
      </w:pPr>
      <w:r>
        <w:rPr/>
        <w:t>（</w:t>
      </w:r>
      <w:r>
        <w:rPr>
          <w:spacing w:val="-2"/>
        </w:rPr>
        <w:t>十二</w:t>
      </w:r>
      <w:r>
        <w:rPr>
          <w:spacing w:val="-12"/>
        </w:rPr>
        <w:t>）</w:t>
      </w:r>
      <w:r>
        <w:rPr>
          <w:rFonts w:ascii="Calibri" w:eastAsia="Calibri"/>
          <w:spacing w:val="-12"/>
        </w:rPr>
        <w:t>2020 </w:t>
      </w:r>
      <w:r>
        <w:rPr>
          <w:spacing w:val="-24"/>
        </w:rPr>
        <w:t>年 </w:t>
      </w:r>
      <w:r>
        <w:rPr>
          <w:rFonts w:ascii="Calibri" w:eastAsia="Calibri"/>
        </w:rPr>
        <w:t>5 </w:t>
      </w:r>
      <w:r>
        <w:rPr>
          <w:spacing w:val="-24"/>
        </w:rPr>
        <w:t>月 </w:t>
      </w:r>
      <w:r>
        <w:rPr>
          <w:rFonts w:ascii="Calibri" w:eastAsia="Calibri"/>
        </w:rPr>
        <w:t>18 </w:t>
      </w:r>
      <w:r>
        <w:rPr>
          <w:spacing w:val="-3"/>
        </w:rPr>
        <w:t>日发布华夏基金管理有限公司关于调整华夏大中华信用精选债券型证券投资基金</w:t>
      </w:r>
      <w:r>
        <w:rPr/>
        <w:t>（</w:t>
      </w:r>
      <w:r>
        <w:rPr>
          <w:rFonts w:ascii="Calibri" w:eastAsia="Calibri"/>
        </w:rPr>
        <w:t>QDII</w:t>
      </w:r>
      <w:r>
        <w:rPr/>
        <w:t>）</w:t>
      </w:r>
      <w:r>
        <w:rPr>
          <w:spacing w:val="-3"/>
        </w:rPr>
        <w:t>申购、定期定额申购业务上限的公告。</w:t>
      </w:r>
    </w:p>
    <w:p>
      <w:pPr>
        <w:pStyle w:val="BodyText"/>
        <w:spacing w:line="269" w:lineRule="exact"/>
        <w:ind w:left="960"/>
      </w:pPr>
      <w:r>
        <w:rPr/>
        <w:t>（十三）</w:t>
      </w:r>
      <w:r>
        <w:rPr>
          <w:rFonts w:ascii="Calibri" w:eastAsia="Calibri"/>
        </w:rPr>
        <w:t>2020 </w:t>
      </w:r>
      <w:r>
        <w:rPr/>
        <w:t>年 </w:t>
      </w:r>
      <w:r>
        <w:rPr>
          <w:rFonts w:ascii="Calibri" w:eastAsia="Calibri"/>
        </w:rPr>
        <w:t>7 </w:t>
      </w:r>
      <w:r>
        <w:rPr/>
        <w:t>月 </w:t>
      </w:r>
      <w:r>
        <w:rPr>
          <w:rFonts w:ascii="Calibri" w:eastAsia="Calibri"/>
        </w:rPr>
        <w:t>2 </w:t>
      </w:r>
      <w:r>
        <w:rPr/>
        <w:t>日发布华夏基金管理有限公司住所变更公告。</w:t>
      </w:r>
    </w:p>
    <w:p>
      <w:pPr>
        <w:pStyle w:val="BodyText"/>
        <w:spacing w:before="7"/>
        <w:rPr>
          <w:sz w:val="15"/>
        </w:rPr>
      </w:pPr>
    </w:p>
    <w:p>
      <w:pPr>
        <w:pStyle w:val="BodyText"/>
        <w:spacing w:line="417" w:lineRule="auto"/>
        <w:ind w:left="540" w:right="873" w:firstLine="419"/>
      </w:pPr>
      <w:r>
        <w:rPr/>
        <w:t>（十四）</w:t>
      </w:r>
      <w:r>
        <w:rPr>
          <w:rFonts w:ascii="Calibri" w:eastAsia="Calibri"/>
        </w:rPr>
        <w:t>2020 </w:t>
      </w:r>
      <w:r>
        <w:rPr/>
        <w:t>年 </w:t>
      </w:r>
      <w:r>
        <w:rPr>
          <w:rFonts w:ascii="Calibri" w:eastAsia="Calibri"/>
        </w:rPr>
        <w:t>7 </w:t>
      </w:r>
      <w:r>
        <w:rPr/>
        <w:t>月 </w:t>
      </w:r>
      <w:r>
        <w:rPr>
          <w:rFonts w:ascii="Calibri" w:eastAsia="Calibri"/>
        </w:rPr>
        <w:t>3 </w:t>
      </w:r>
      <w:r>
        <w:rPr/>
        <w:t>日发布华夏大中华信用精选债券型证券投资基金（</w:t>
      </w:r>
      <w:r>
        <w:rPr>
          <w:rFonts w:ascii="Calibri" w:eastAsia="Calibri"/>
        </w:rPr>
        <w:t>QDII</w:t>
      </w:r>
      <w:r>
        <w:rPr/>
        <w:t>）第四次分红公告。</w:t>
      </w:r>
    </w:p>
    <w:p>
      <w:pPr>
        <w:pStyle w:val="BodyText"/>
        <w:ind w:left="960"/>
        <w:rPr>
          <w:rFonts w:ascii="Calibri" w:eastAsia="Calibri"/>
        </w:rPr>
      </w:pPr>
      <w:r>
        <w:rPr/>
        <w:t>（十五）</w:t>
      </w:r>
      <w:r>
        <w:rPr>
          <w:rFonts w:ascii="Calibri" w:eastAsia="Calibri"/>
        </w:rPr>
        <w:t>2020 </w:t>
      </w:r>
      <w:r>
        <w:rPr/>
        <w:t>年 </w:t>
      </w:r>
      <w:r>
        <w:rPr>
          <w:rFonts w:ascii="Calibri" w:eastAsia="Calibri"/>
        </w:rPr>
        <w:t>7 </w:t>
      </w:r>
      <w:r>
        <w:rPr/>
        <w:t>月 </w:t>
      </w:r>
      <w:r>
        <w:rPr>
          <w:rFonts w:ascii="Calibri" w:eastAsia="Calibri"/>
        </w:rPr>
        <w:t>20 </w:t>
      </w:r>
      <w:r>
        <w:rPr/>
        <w:t>日发布华夏大中华信用精选债券型证券投资基金（</w:t>
      </w:r>
      <w:r>
        <w:rPr>
          <w:rFonts w:ascii="Calibri" w:eastAsia="Calibri"/>
        </w:rPr>
        <w:t>QDII</w:t>
      </w:r>
      <w:r>
        <w:rPr/>
        <w:t>）</w:t>
      </w:r>
      <w:r>
        <w:rPr>
          <w:rFonts w:ascii="Calibri" w:eastAsia="Calibri"/>
        </w:rPr>
        <w:t>2020</w:t>
      </w:r>
    </w:p>
    <w:p>
      <w:pPr>
        <w:pStyle w:val="BodyText"/>
        <w:spacing w:before="4"/>
        <w:rPr>
          <w:rFonts w:ascii="Calibri"/>
          <w:sz w:val="16"/>
        </w:rPr>
      </w:pPr>
    </w:p>
    <w:p>
      <w:pPr>
        <w:pStyle w:val="BodyText"/>
        <w:ind w:left="540"/>
      </w:pPr>
      <w:r>
        <w:rPr/>
        <w:t>年第 </w:t>
      </w:r>
      <w:r>
        <w:rPr>
          <w:rFonts w:ascii="Calibri" w:eastAsia="Calibri"/>
        </w:rPr>
        <w:t>2 </w:t>
      </w:r>
      <w:r>
        <w:rPr/>
        <w:t>季度报告。</w:t>
      </w:r>
    </w:p>
    <w:p>
      <w:pPr>
        <w:pStyle w:val="BodyText"/>
        <w:spacing w:before="6"/>
        <w:rPr>
          <w:sz w:val="15"/>
        </w:rPr>
      </w:pPr>
    </w:p>
    <w:p>
      <w:pPr>
        <w:pStyle w:val="BodyText"/>
        <w:spacing w:line="417" w:lineRule="auto" w:before="1"/>
        <w:ind w:left="540" w:right="872" w:firstLine="419"/>
      </w:pPr>
      <w:r>
        <w:rPr/>
        <w:t>（</w:t>
      </w:r>
      <w:r>
        <w:rPr>
          <w:spacing w:val="-2"/>
        </w:rPr>
        <w:t>十六</w:t>
      </w:r>
      <w:r>
        <w:rPr>
          <w:spacing w:val="-3"/>
        </w:rPr>
        <w:t>）</w:t>
      </w:r>
      <w:r>
        <w:rPr>
          <w:rFonts w:ascii="Calibri" w:eastAsia="Calibri"/>
          <w:spacing w:val="-3"/>
        </w:rPr>
        <w:t>2020 </w:t>
      </w:r>
      <w:r>
        <w:rPr>
          <w:spacing w:val="-25"/>
        </w:rPr>
        <w:t>年 </w:t>
      </w:r>
      <w:r>
        <w:rPr>
          <w:rFonts w:ascii="Calibri" w:eastAsia="Calibri"/>
        </w:rPr>
        <w:t>8 </w:t>
      </w:r>
      <w:r>
        <w:rPr>
          <w:spacing w:val="-24"/>
        </w:rPr>
        <w:t>月 </w:t>
      </w:r>
      <w:r>
        <w:rPr>
          <w:rFonts w:ascii="Calibri" w:eastAsia="Calibri"/>
        </w:rPr>
        <w:t>29 </w:t>
      </w:r>
      <w:r>
        <w:rPr>
          <w:spacing w:val="-4"/>
        </w:rPr>
        <w:t>日发布华夏大中华信用精选债券型证券投资基金</w:t>
      </w:r>
      <w:r>
        <w:rPr/>
        <w:t>（</w:t>
      </w:r>
      <w:r>
        <w:rPr>
          <w:rFonts w:ascii="Calibri" w:eastAsia="Calibri"/>
        </w:rPr>
        <w:t>QDII</w:t>
      </w:r>
      <w:r>
        <w:rPr/>
        <w:t>）</w:t>
      </w:r>
      <w:r>
        <w:rPr>
          <w:rFonts w:ascii="Calibri" w:eastAsia="Calibri"/>
        </w:rPr>
        <w:t>2020 </w:t>
      </w:r>
      <w:r>
        <w:rPr>
          <w:spacing w:val="-2"/>
        </w:rPr>
        <w:t>年半年度报告。</w:t>
      </w:r>
    </w:p>
    <w:p>
      <w:pPr>
        <w:pStyle w:val="BodyText"/>
        <w:spacing w:line="417" w:lineRule="auto"/>
        <w:ind w:left="540" w:right="871" w:firstLine="419"/>
      </w:pPr>
      <w:r>
        <w:rPr/>
        <w:t>（</w:t>
      </w:r>
      <w:r>
        <w:rPr>
          <w:spacing w:val="-2"/>
        </w:rPr>
        <w:t>十七</w:t>
      </w:r>
      <w:r>
        <w:rPr>
          <w:spacing w:val="-12"/>
        </w:rPr>
        <w:t>）</w:t>
      </w:r>
      <w:r>
        <w:rPr>
          <w:rFonts w:ascii="Calibri" w:eastAsia="Calibri"/>
          <w:spacing w:val="-12"/>
        </w:rPr>
        <w:t>2020 </w:t>
      </w:r>
      <w:r>
        <w:rPr>
          <w:spacing w:val="-24"/>
        </w:rPr>
        <w:t>年 </w:t>
      </w:r>
      <w:r>
        <w:rPr>
          <w:rFonts w:ascii="Calibri" w:eastAsia="Calibri"/>
        </w:rPr>
        <w:t>9 </w:t>
      </w:r>
      <w:r>
        <w:rPr>
          <w:spacing w:val="-24"/>
        </w:rPr>
        <w:t>月 </w:t>
      </w:r>
      <w:r>
        <w:rPr>
          <w:rFonts w:ascii="Calibri" w:eastAsia="Calibri"/>
        </w:rPr>
        <w:t>12 </w:t>
      </w:r>
      <w:r>
        <w:rPr>
          <w:spacing w:val="-3"/>
        </w:rPr>
        <w:t>日发布华夏基金管理有限公司关于上海分公司营业场所变更的公告。</w:t>
      </w:r>
    </w:p>
    <w:p>
      <w:pPr>
        <w:pStyle w:val="BodyText"/>
        <w:spacing w:line="417" w:lineRule="auto"/>
        <w:ind w:left="540" w:right="873" w:firstLine="419"/>
      </w:pPr>
      <w:r>
        <w:rPr/>
        <w:t>（</w:t>
      </w:r>
      <w:r>
        <w:rPr>
          <w:spacing w:val="-2"/>
        </w:rPr>
        <w:t>十八</w:t>
      </w:r>
      <w:r>
        <w:rPr/>
        <w:t>）</w:t>
      </w:r>
      <w:r>
        <w:rPr>
          <w:rFonts w:ascii="Calibri" w:eastAsia="Calibri"/>
        </w:rPr>
        <w:t>2020</w:t>
      </w:r>
      <w:r>
        <w:rPr>
          <w:rFonts w:ascii="Calibri" w:eastAsia="Calibri"/>
          <w:spacing w:val="14"/>
        </w:rPr>
        <w:t> </w:t>
      </w:r>
      <w:r>
        <w:rPr>
          <w:spacing w:val="-23"/>
        </w:rPr>
        <w:t>年 </w:t>
      </w:r>
      <w:r>
        <w:rPr>
          <w:rFonts w:ascii="Calibri" w:eastAsia="Calibri"/>
        </w:rPr>
        <w:t>9</w:t>
      </w:r>
      <w:r>
        <w:rPr>
          <w:rFonts w:ascii="Calibri" w:eastAsia="Calibri"/>
          <w:spacing w:val="15"/>
        </w:rPr>
        <w:t> </w:t>
      </w:r>
      <w:r>
        <w:rPr>
          <w:spacing w:val="-23"/>
        </w:rPr>
        <w:t>月 </w:t>
      </w:r>
      <w:r>
        <w:rPr>
          <w:rFonts w:ascii="Calibri" w:eastAsia="Calibri"/>
        </w:rPr>
        <w:t>23</w:t>
      </w:r>
      <w:r>
        <w:rPr>
          <w:rFonts w:ascii="Calibri" w:eastAsia="Calibri"/>
          <w:spacing w:val="12"/>
        </w:rPr>
        <w:t> </w:t>
      </w:r>
      <w:r>
        <w:rPr>
          <w:spacing w:val="-12"/>
        </w:rPr>
        <w:t>日发布 </w:t>
      </w:r>
      <w:r>
        <w:rPr>
          <w:rFonts w:ascii="Calibri" w:eastAsia="Calibri"/>
        </w:rPr>
        <w:t>20200923</w:t>
      </w:r>
      <w:r>
        <w:rPr>
          <w:rFonts w:ascii="Calibri" w:eastAsia="Calibri"/>
          <w:spacing w:val="15"/>
        </w:rPr>
        <w:t> </w:t>
      </w:r>
      <w:r>
        <w:rPr>
          <w:spacing w:val="-3"/>
        </w:rPr>
        <w:t>华夏基金管理有限公司关于旗下基金投资关联方承销证券的公告。</w:t>
      </w:r>
    </w:p>
    <w:p>
      <w:pPr>
        <w:pStyle w:val="BodyText"/>
        <w:spacing w:line="417" w:lineRule="auto"/>
        <w:ind w:left="540" w:right="873" w:firstLine="419"/>
      </w:pPr>
      <w:r>
        <w:rPr/>
        <w:t>（</w:t>
      </w:r>
      <w:r>
        <w:rPr>
          <w:spacing w:val="-2"/>
        </w:rPr>
        <w:t>十九</w:t>
      </w:r>
      <w:r>
        <w:rPr/>
        <w:t>）</w:t>
      </w:r>
      <w:r>
        <w:rPr>
          <w:rFonts w:ascii="Calibri" w:eastAsia="Calibri"/>
        </w:rPr>
        <w:t>2020</w:t>
      </w:r>
      <w:r>
        <w:rPr>
          <w:rFonts w:ascii="Calibri" w:eastAsia="Calibri"/>
          <w:spacing w:val="14"/>
        </w:rPr>
        <w:t> </w:t>
      </w:r>
      <w:r>
        <w:rPr>
          <w:spacing w:val="-23"/>
        </w:rPr>
        <w:t>年 </w:t>
      </w:r>
      <w:r>
        <w:rPr>
          <w:rFonts w:ascii="Calibri" w:eastAsia="Calibri"/>
        </w:rPr>
        <w:t>9</w:t>
      </w:r>
      <w:r>
        <w:rPr>
          <w:rFonts w:ascii="Calibri" w:eastAsia="Calibri"/>
          <w:spacing w:val="15"/>
        </w:rPr>
        <w:t> </w:t>
      </w:r>
      <w:r>
        <w:rPr>
          <w:spacing w:val="-23"/>
        </w:rPr>
        <w:t>月 </w:t>
      </w:r>
      <w:r>
        <w:rPr>
          <w:rFonts w:ascii="Calibri" w:eastAsia="Calibri"/>
        </w:rPr>
        <w:t>24</w:t>
      </w:r>
      <w:r>
        <w:rPr>
          <w:rFonts w:ascii="Calibri" w:eastAsia="Calibri"/>
          <w:spacing w:val="12"/>
        </w:rPr>
        <w:t> </w:t>
      </w:r>
      <w:r>
        <w:rPr>
          <w:spacing w:val="-12"/>
        </w:rPr>
        <w:t>日发布 </w:t>
      </w:r>
      <w:r>
        <w:rPr>
          <w:rFonts w:ascii="Calibri" w:eastAsia="Calibri"/>
        </w:rPr>
        <w:t>20200924</w:t>
      </w:r>
      <w:r>
        <w:rPr>
          <w:rFonts w:ascii="Calibri" w:eastAsia="Calibri"/>
          <w:spacing w:val="15"/>
        </w:rPr>
        <w:t> </w:t>
      </w:r>
      <w:r>
        <w:rPr>
          <w:spacing w:val="-3"/>
        </w:rPr>
        <w:t>华夏基金管理有限公司关于旗下基金投资关联方承销证券的公告。</w:t>
      </w:r>
    </w:p>
    <w:p>
      <w:pPr>
        <w:pStyle w:val="Heading1"/>
        <w:spacing w:before="119"/>
        <w:ind w:left="3008" w:right="0"/>
        <w:jc w:val="left"/>
      </w:pPr>
      <w:bookmarkStart w:name="_bookmark23" w:id="24"/>
      <w:bookmarkEnd w:id="24"/>
      <w:r>
        <w:rPr>
          <w:b w:val="0"/>
        </w:rPr>
      </w:r>
      <w:r>
        <w:rPr/>
        <w:t>二十四、招募说明书存放及查阅方式</w:t>
      </w:r>
    </w:p>
    <w:p>
      <w:pPr>
        <w:pStyle w:val="BodyText"/>
        <w:spacing w:before="11"/>
        <w:rPr>
          <w:b/>
          <w:sz w:val="24"/>
        </w:rPr>
      </w:pPr>
    </w:p>
    <w:p>
      <w:pPr>
        <w:pStyle w:val="BodyText"/>
        <w:spacing w:line="417" w:lineRule="auto"/>
        <w:ind w:left="540" w:right="87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20"/>
        <w:ind w:left="3850" w:right="0"/>
        <w:jc w:val="left"/>
      </w:pPr>
      <w:bookmarkStart w:name="_bookmark24" w:id="25"/>
      <w:bookmarkEnd w:id="25"/>
      <w:r>
        <w:rPr>
          <w:b w:val="0"/>
        </w:rPr>
      </w:r>
      <w:r>
        <w:rPr/>
        <w:t>二十五、备查文件</w:t>
      </w:r>
    </w:p>
    <w:p>
      <w:pPr>
        <w:pStyle w:val="BodyText"/>
        <w:spacing w:before="12"/>
        <w:rPr>
          <w:b/>
          <w:sz w:val="24"/>
        </w:rPr>
      </w:pPr>
    </w:p>
    <w:p>
      <w:pPr>
        <w:pStyle w:val="BodyText"/>
        <w:ind w:left="960"/>
      </w:pPr>
      <w:r>
        <w:rPr/>
        <w:t>（一）备查文件目录</w:t>
      </w:r>
    </w:p>
    <w:p>
      <w:pPr>
        <w:spacing w:after="0"/>
        <w:sectPr>
          <w:pgSz w:w="11910" w:h="16840"/>
          <w:pgMar w:header="872" w:footer="995" w:top="1100" w:bottom="1180" w:left="1260" w:right="920"/>
        </w:sectPr>
      </w:pPr>
    </w:p>
    <w:p>
      <w:pPr>
        <w:pStyle w:val="BodyText"/>
        <w:spacing w:before="4"/>
        <w:rPr>
          <w:sz w:val="27"/>
        </w:rPr>
      </w:pPr>
    </w:p>
    <w:p>
      <w:pPr>
        <w:pStyle w:val="BodyText"/>
        <w:spacing w:before="71"/>
        <w:ind w:left="960"/>
      </w:pPr>
      <w:r>
        <w:rPr>
          <w:rFonts w:ascii="Calibri" w:eastAsia="Calibri"/>
        </w:rPr>
        <w:t>1</w:t>
      </w:r>
      <w:r>
        <w:rPr/>
        <w:t>、中国证监会准予华夏大中华信用精选债券型证券投资基金（</w:t>
      </w:r>
      <w:r>
        <w:rPr>
          <w:rFonts w:ascii="Calibri" w:eastAsia="Calibri"/>
        </w:rPr>
        <w:t>QDII</w:t>
      </w:r>
      <w:r>
        <w:rPr/>
        <w:t>）注册的批复。</w:t>
      </w:r>
    </w:p>
    <w:p>
      <w:pPr>
        <w:pStyle w:val="BodyText"/>
        <w:spacing w:before="7"/>
        <w:rPr>
          <w:sz w:val="15"/>
        </w:rPr>
      </w:pPr>
    </w:p>
    <w:p>
      <w:pPr>
        <w:pStyle w:val="BodyText"/>
        <w:ind w:left="960"/>
      </w:pPr>
      <w:r>
        <w:rPr>
          <w:rFonts w:ascii="Calibri" w:eastAsia="Calibri"/>
          <w:spacing w:val="-1"/>
        </w:rPr>
        <w:t>2</w:t>
      </w:r>
      <w:r>
        <w:rPr>
          <w:spacing w:val="-12"/>
        </w:rPr>
        <w:t>、《华夏大中华信用精选债券型证券投资基金</w:t>
      </w:r>
      <w:r>
        <w:rPr/>
        <w:t>（</w:t>
      </w:r>
      <w:r>
        <w:rPr>
          <w:rFonts w:ascii="Calibri" w:eastAsia="Calibri"/>
        </w:rPr>
        <w:t>QDII</w:t>
      </w:r>
      <w:r>
        <w:rPr/>
        <w:t>）</w:t>
      </w:r>
      <w:r>
        <w:rPr>
          <w:spacing w:val="-20"/>
        </w:rPr>
        <w:t>基金合同》。</w:t>
      </w:r>
    </w:p>
    <w:p>
      <w:pPr>
        <w:pStyle w:val="BodyText"/>
        <w:spacing w:before="7"/>
        <w:rPr>
          <w:sz w:val="15"/>
        </w:rPr>
      </w:pPr>
    </w:p>
    <w:p>
      <w:pPr>
        <w:pStyle w:val="BodyText"/>
        <w:ind w:left="960"/>
      </w:pPr>
      <w:r>
        <w:rPr>
          <w:rFonts w:ascii="Calibri" w:eastAsia="Calibri"/>
          <w:spacing w:val="-1"/>
        </w:rPr>
        <w:t>3</w:t>
      </w:r>
      <w:r>
        <w:rPr>
          <w:spacing w:val="-12"/>
        </w:rPr>
        <w:t>、《华夏大中华信用精选债券型证券投资基金</w:t>
      </w:r>
      <w:r>
        <w:rPr/>
        <w:t>（</w:t>
      </w:r>
      <w:r>
        <w:rPr>
          <w:rFonts w:ascii="Calibri" w:eastAsia="Calibri"/>
        </w:rPr>
        <w:t>QDII</w:t>
      </w:r>
      <w:r>
        <w:rPr/>
        <w:t>）</w:t>
      </w:r>
      <w:r>
        <w:rPr>
          <w:spacing w:val="-20"/>
        </w:rPr>
        <w:t>托管协议》。</w:t>
      </w:r>
    </w:p>
    <w:p>
      <w:pPr>
        <w:pStyle w:val="BodyText"/>
        <w:spacing w:before="6"/>
        <w:rPr>
          <w:sz w:val="15"/>
        </w:rPr>
      </w:pPr>
    </w:p>
    <w:p>
      <w:pPr>
        <w:pStyle w:val="BodyText"/>
        <w:spacing w:before="1"/>
        <w:ind w:left="960"/>
      </w:pPr>
      <w:r>
        <w:rPr>
          <w:rFonts w:ascii="Calibri" w:eastAsia="Calibri"/>
        </w:rPr>
        <w:t>4</w:t>
      </w:r>
      <w:r>
        <w:rPr/>
        <w:t>、法律意见书。</w:t>
      </w:r>
    </w:p>
    <w:p>
      <w:pPr>
        <w:pStyle w:val="BodyText"/>
        <w:spacing w:before="6"/>
        <w:rPr>
          <w:sz w:val="15"/>
        </w:rPr>
      </w:pPr>
    </w:p>
    <w:p>
      <w:pPr>
        <w:pStyle w:val="BodyText"/>
        <w:ind w:left="960"/>
      </w:pPr>
      <w:r>
        <w:rPr>
          <w:rFonts w:ascii="Calibri" w:eastAsia="Calibri"/>
        </w:rPr>
        <w:t>5</w:t>
      </w:r>
      <w:r>
        <w:rPr>
          <w:spacing w:val="-3"/>
        </w:rPr>
        <w:t>、基金管理人业务资格批件、营业执照。</w:t>
      </w:r>
    </w:p>
    <w:p>
      <w:pPr>
        <w:pStyle w:val="BodyText"/>
        <w:spacing w:before="7"/>
        <w:rPr>
          <w:sz w:val="15"/>
        </w:rPr>
      </w:pPr>
    </w:p>
    <w:p>
      <w:pPr>
        <w:pStyle w:val="BodyText"/>
        <w:ind w:left="960"/>
      </w:pPr>
      <w:r>
        <w:rPr>
          <w:rFonts w:ascii="Calibri" w:eastAsia="Calibri"/>
        </w:rPr>
        <w:t>6</w:t>
      </w:r>
      <w:r>
        <w:rPr>
          <w:spacing w:val="-3"/>
        </w:rPr>
        <w:t>、基金托管人业务资格批件、营业执照。</w:t>
      </w:r>
    </w:p>
    <w:p>
      <w:pPr>
        <w:pStyle w:val="BodyText"/>
        <w:spacing w:before="7"/>
        <w:rPr>
          <w:sz w:val="15"/>
        </w:rPr>
      </w:pPr>
    </w:p>
    <w:p>
      <w:pPr>
        <w:pStyle w:val="BodyText"/>
        <w:ind w:left="960"/>
      </w:pPr>
      <w:r>
        <w:rPr/>
        <w:t>（二）存放地点</w:t>
      </w:r>
    </w:p>
    <w:p>
      <w:pPr>
        <w:pStyle w:val="BodyText"/>
        <w:spacing w:before="7"/>
        <w:rPr>
          <w:sz w:val="15"/>
        </w:rPr>
      </w:pPr>
    </w:p>
    <w:p>
      <w:pPr>
        <w:pStyle w:val="BodyText"/>
        <w:ind w:left="960"/>
      </w:pPr>
      <w:r>
        <w:rPr/>
        <w:t>备查文件存放于基金管理人和</w:t>
      </w:r>
      <w:r>
        <w:rPr>
          <w:rFonts w:ascii="Calibri" w:eastAsia="Calibri"/>
        </w:rPr>
        <w:t>/</w:t>
      </w:r>
      <w:r>
        <w:rPr/>
        <w:t>或基金托管人处。</w:t>
      </w:r>
    </w:p>
    <w:p>
      <w:pPr>
        <w:pStyle w:val="BodyText"/>
        <w:spacing w:before="7"/>
        <w:rPr>
          <w:sz w:val="15"/>
        </w:rPr>
      </w:pPr>
    </w:p>
    <w:p>
      <w:pPr>
        <w:pStyle w:val="BodyText"/>
        <w:ind w:left="960"/>
      </w:pPr>
      <w:r>
        <w:rPr/>
        <w:t>（三）查阅方式</w:t>
      </w:r>
    </w:p>
    <w:p>
      <w:pPr>
        <w:pStyle w:val="BodyText"/>
        <w:spacing w:before="7"/>
        <w:rPr>
          <w:sz w:val="15"/>
        </w:rPr>
      </w:pPr>
    </w:p>
    <w:p>
      <w:pPr>
        <w:pStyle w:val="BodyText"/>
        <w:spacing w:line="417" w:lineRule="auto"/>
        <w:ind w:left="540" w:right="87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7"/>
        <w:ind w:left="6747" w:right="873"/>
        <w:jc w:val="right"/>
      </w:pPr>
      <w:r>
        <w:rPr/>
        <w:t>华夏基金管理有限公司二〇二〇年九月三十日</w:t>
      </w:r>
    </w:p>
    <w:sectPr>
      <w:pgSz w:w="11910" w:h="16840"/>
      <w:pgMar w:header="872" w:footer="995" w:top="1100" w:bottom="1180" w:left="12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76128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76117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76107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7609728"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76087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7614848"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24.410004pt;margin-top:42.579964pt;width:282pt;height:12pt;mso-position-horizontal-relative:page;mso-position-vertical-relative:page;z-index:-257613824" type="#_x0000_t202" filled="false" stroked="false">
          <v:textbox inset="0,0,0,0">
            <w:txbxContent>
              <w:p>
                <w:pPr>
                  <w:spacing w:before="0"/>
                  <w:ind w:left="20" w:right="0" w:firstLine="0"/>
                  <w:jc w:val="left"/>
                  <w:rPr>
                    <w:sz w:val="18"/>
                  </w:rPr>
                </w:pPr>
                <w:r>
                  <w:rPr>
                    <w:sz w:val="18"/>
                  </w:rPr>
                  <w:t>华夏大中华信用精选债券型证券投资基金（</w:t>
                </w:r>
                <w:r>
                  <w:rPr>
                    <w:rFonts w:ascii="Times New Roman" w:eastAsia="Times New Roman"/>
                    <w:sz w:val="18"/>
                  </w:rPr>
                  <w:t>QDII</w:t>
                </w:r>
                <w:r>
                  <w:rPr>
                    <w:sz w:val="18"/>
                  </w:rPr>
                  <w:t>）招募说明书（更新）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28">
    <w:multiLevelType w:val="hybridMultilevel"/>
    <w:lvl w:ilvl="0">
      <w:start w:val="1"/>
      <w:numFmt w:val="decimal"/>
      <w:lvlText w:val="（%1）"/>
      <w:lvlJc w:val="left"/>
      <w:pPr>
        <w:ind w:left="540" w:hanging="532"/>
        <w:jc w:val="left"/>
      </w:pPr>
      <w:rPr>
        <w:rFonts w:hint="default" w:ascii="宋体" w:hAnsi="宋体" w:eastAsia="宋体" w:cs="宋体"/>
        <w:spacing w:val="-125"/>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50">
    <w:multiLevelType w:val="hybridMultilevel"/>
    <w:lvl w:ilvl="0">
      <w:start w:val="1"/>
      <w:numFmt w:val="decimal"/>
      <w:lvlText w:val="%1）"/>
      <w:lvlJc w:val="left"/>
      <w:pPr>
        <w:ind w:left="540" w:hanging="321"/>
        <w:jc w:val="left"/>
      </w:pPr>
      <w:rPr>
        <w:rFonts w:hint="default" w:ascii="Calibri" w:hAnsi="Calibri" w:eastAsia="Calibri" w:cs="Calibri"/>
        <w:spacing w:val="-32"/>
        <w:w w:val="100"/>
        <w:sz w:val="19"/>
        <w:szCs w:val="19"/>
        <w:lang w:val="zh-CN" w:eastAsia="zh-CN" w:bidi="zh-CN"/>
      </w:rPr>
    </w:lvl>
    <w:lvl w:ilvl="1">
      <w:start w:val="0"/>
      <w:numFmt w:val="bullet"/>
      <w:lvlText w:val="•"/>
      <w:lvlJc w:val="left"/>
      <w:pPr>
        <w:ind w:left="1458" w:hanging="321"/>
      </w:pPr>
      <w:rPr>
        <w:rFonts w:hint="default"/>
        <w:lang w:val="zh-CN" w:eastAsia="zh-CN" w:bidi="zh-CN"/>
      </w:rPr>
    </w:lvl>
    <w:lvl w:ilvl="2">
      <w:start w:val="0"/>
      <w:numFmt w:val="bullet"/>
      <w:lvlText w:val="•"/>
      <w:lvlJc w:val="left"/>
      <w:pPr>
        <w:ind w:left="2377" w:hanging="321"/>
      </w:pPr>
      <w:rPr>
        <w:rFonts w:hint="default"/>
        <w:lang w:val="zh-CN" w:eastAsia="zh-CN" w:bidi="zh-CN"/>
      </w:rPr>
    </w:lvl>
    <w:lvl w:ilvl="3">
      <w:start w:val="0"/>
      <w:numFmt w:val="bullet"/>
      <w:lvlText w:val="•"/>
      <w:lvlJc w:val="left"/>
      <w:pPr>
        <w:ind w:left="3295" w:hanging="321"/>
      </w:pPr>
      <w:rPr>
        <w:rFonts w:hint="default"/>
        <w:lang w:val="zh-CN" w:eastAsia="zh-CN" w:bidi="zh-CN"/>
      </w:rPr>
    </w:lvl>
    <w:lvl w:ilvl="4">
      <w:start w:val="0"/>
      <w:numFmt w:val="bullet"/>
      <w:lvlText w:val="•"/>
      <w:lvlJc w:val="left"/>
      <w:pPr>
        <w:ind w:left="4214" w:hanging="321"/>
      </w:pPr>
      <w:rPr>
        <w:rFonts w:hint="default"/>
        <w:lang w:val="zh-CN" w:eastAsia="zh-CN" w:bidi="zh-CN"/>
      </w:rPr>
    </w:lvl>
    <w:lvl w:ilvl="5">
      <w:start w:val="0"/>
      <w:numFmt w:val="bullet"/>
      <w:lvlText w:val="•"/>
      <w:lvlJc w:val="left"/>
      <w:pPr>
        <w:ind w:left="5133" w:hanging="321"/>
      </w:pPr>
      <w:rPr>
        <w:rFonts w:hint="default"/>
        <w:lang w:val="zh-CN" w:eastAsia="zh-CN" w:bidi="zh-CN"/>
      </w:rPr>
    </w:lvl>
    <w:lvl w:ilvl="6">
      <w:start w:val="0"/>
      <w:numFmt w:val="bullet"/>
      <w:lvlText w:val="•"/>
      <w:lvlJc w:val="left"/>
      <w:pPr>
        <w:ind w:left="6051" w:hanging="321"/>
      </w:pPr>
      <w:rPr>
        <w:rFonts w:hint="default"/>
        <w:lang w:val="zh-CN" w:eastAsia="zh-CN" w:bidi="zh-CN"/>
      </w:rPr>
    </w:lvl>
    <w:lvl w:ilvl="7">
      <w:start w:val="0"/>
      <w:numFmt w:val="bullet"/>
      <w:lvlText w:val="•"/>
      <w:lvlJc w:val="left"/>
      <w:pPr>
        <w:ind w:left="6970" w:hanging="321"/>
      </w:pPr>
      <w:rPr>
        <w:rFonts w:hint="default"/>
        <w:lang w:val="zh-CN" w:eastAsia="zh-CN" w:bidi="zh-CN"/>
      </w:rPr>
    </w:lvl>
    <w:lvl w:ilvl="8">
      <w:start w:val="0"/>
      <w:numFmt w:val="bullet"/>
      <w:lvlText w:val="•"/>
      <w:lvlJc w:val="left"/>
      <w:pPr>
        <w:ind w:left="7889" w:hanging="321"/>
      </w:pPr>
      <w:rPr>
        <w:rFonts w:hint="default"/>
        <w:lang w:val="zh-CN" w:eastAsia="zh-CN" w:bidi="zh-CN"/>
      </w:rPr>
    </w:lvl>
  </w:abstractNum>
  <w:abstractNum w:abstractNumId="49">
    <w:multiLevelType w:val="hybridMultilevel"/>
    <w:lvl w:ilvl="0">
      <w:start w:val="1"/>
      <w:numFmt w:val="decimal"/>
      <w:lvlText w:val="%1）"/>
      <w:lvlJc w:val="left"/>
      <w:pPr>
        <w:ind w:left="1280" w:hanging="321"/>
        <w:jc w:val="left"/>
      </w:pPr>
      <w:rPr>
        <w:rFonts w:hint="default" w:ascii="Calibri" w:hAnsi="Calibri" w:eastAsia="Calibri" w:cs="Calibri"/>
        <w:spacing w:val="-3"/>
        <w:w w:val="100"/>
        <w:sz w:val="19"/>
        <w:szCs w:val="19"/>
        <w:lang w:val="zh-CN" w:eastAsia="zh-CN" w:bidi="zh-CN"/>
      </w:rPr>
    </w:lvl>
    <w:lvl w:ilvl="1">
      <w:start w:val="0"/>
      <w:numFmt w:val="bullet"/>
      <w:lvlText w:val="•"/>
      <w:lvlJc w:val="left"/>
      <w:pPr>
        <w:ind w:left="2124" w:hanging="321"/>
      </w:pPr>
      <w:rPr>
        <w:rFonts w:hint="default"/>
        <w:lang w:val="zh-CN" w:eastAsia="zh-CN" w:bidi="zh-CN"/>
      </w:rPr>
    </w:lvl>
    <w:lvl w:ilvl="2">
      <w:start w:val="0"/>
      <w:numFmt w:val="bullet"/>
      <w:lvlText w:val="•"/>
      <w:lvlJc w:val="left"/>
      <w:pPr>
        <w:ind w:left="2969" w:hanging="321"/>
      </w:pPr>
      <w:rPr>
        <w:rFonts w:hint="default"/>
        <w:lang w:val="zh-CN" w:eastAsia="zh-CN" w:bidi="zh-CN"/>
      </w:rPr>
    </w:lvl>
    <w:lvl w:ilvl="3">
      <w:start w:val="0"/>
      <w:numFmt w:val="bullet"/>
      <w:lvlText w:val="•"/>
      <w:lvlJc w:val="left"/>
      <w:pPr>
        <w:ind w:left="3813" w:hanging="321"/>
      </w:pPr>
      <w:rPr>
        <w:rFonts w:hint="default"/>
        <w:lang w:val="zh-CN" w:eastAsia="zh-CN" w:bidi="zh-CN"/>
      </w:rPr>
    </w:lvl>
    <w:lvl w:ilvl="4">
      <w:start w:val="0"/>
      <w:numFmt w:val="bullet"/>
      <w:lvlText w:val="•"/>
      <w:lvlJc w:val="left"/>
      <w:pPr>
        <w:ind w:left="4658" w:hanging="321"/>
      </w:pPr>
      <w:rPr>
        <w:rFonts w:hint="default"/>
        <w:lang w:val="zh-CN" w:eastAsia="zh-CN" w:bidi="zh-CN"/>
      </w:rPr>
    </w:lvl>
    <w:lvl w:ilvl="5">
      <w:start w:val="0"/>
      <w:numFmt w:val="bullet"/>
      <w:lvlText w:val="•"/>
      <w:lvlJc w:val="left"/>
      <w:pPr>
        <w:ind w:left="5503" w:hanging="321"/>
      </w:pPr>
      <w:rPr>
        <w:rFonts w:hint="default"/>
        <w:lang w:val="zh-CN" w:eastAsia="zh-CN" w:bidi="zh-CN"/>
      </w:rPr>
    </w:lvl>
    <w:lvl w:ilvl="6">
      <w:start w:val="0"/>
      <w:numFmt w:val="bullet"/>
      <w:lvlText w:val="•"/>
      <w:lvlJc w:val="left"/>
      <w:pPr>
        <w:ind w:left="6347" w:hanging="321"/>
      </w:pPr>
      <w:rPr>
        <w:rFonts w:hint="default"/>
        <w:lang w:val="zh-CN" w:eastAsia="zh-CN" w:bidi="zh-CN"/>
      </w:rPr>
    </w:lvl>
    <w:lvl w:ilvl="7">
      <w:start w:val="0"/>
      <w:numFmt w:val="bullet"/>
      <w:lvlText w:val="•"/>
      <w:lvlJc w:val="left"/>
      <w:pPr>
        <w:ind w:left="7192" w:hanging="321"/>
      </w:pPr>
      <w:rPr>
        <w:rFonts w:hint="default"/>
        <w:lang w:val="zh-CN" w:eastAsia="zh-CN" w:bidi="zh-CN"/>
      </w:rPr>
    </w:lvl>
    <w:lvl w:ilvl="8">
      <w:start w:val="0"/>
      <w:numFmt w:val="bullet"/>
      <w:lvlText w:val="•"/>
      <w:lvlJc w:val="left"/>
      <w:pPr>
        <w:ind w:left="8037" w:hanging="321"/>
      </w:pPr>
      <w:rPr>
        <w:rFonts w:hint="default"/>
        <w:lang w:val="zh-CN" w:eastAsia="zh-CN" w:bidi="zh-CN"/>
      </w:rPr>
    </w:lvl>
  </w:abstractNum>
  <w:abstractNum w:abstractNumId="48">
    <w:multiLevelType w:val="hybridMultilevel"/>
    <w:lvl w:ilvl="0">
      <w:start w:val="1"/>
      <w:numFmt w:val="decimal"/>
      <w:lvlText w:val="%1）"/>
      <w:lvlJc w:val="left"/>
      <w:pPr>
        <w:ind w:left="540" w:hanging="321"/>
        <w:jc w:val="left"/>
      </w:pPr>
      <w:rPr>
        <w:rFonts w:hint="default" w:ascii="Calibri" w:hAnsi="Calibri" w:eastAsia="Calibri" w:cs="Calibri"/>
        <w:w w:val="100"/>
        <w:sz w:val="19"/>
        <w:szCs w:val="19"/>
        <w:lang w:val="zh-CN" w:eastAsia="zh-CN" w:bidi="zh-CN"/>
      </w:rPr>
    </w:lvl>
    <w:lvl w:ilvl="1">
      <w:start w:val="0"/>
      <w:numFmt w:val="bullet"/>
      <w:lvlText w:val="•"/>
      <w:lvlJc w:val="left"/>
      <w:pPr>
        <w:ind w:left="1458" w:hanging="321"/>
      </w:pPr>
      <w:rPr>
        <w:rFonts w:hint="default"/>
        <w:lang w:val="zh-CN" w:eastAsia="zh-CN" w:bidi="zh-CN"/>
      </w:rPr>
    </w:lvl>
    <w:lvl w:ilvl="2">
      <w:start w:val="0"/>
      <w:numFmt w:val="bullet"/>
      <w:lvlText w:val="•"/>
      <w:lvlJc w:val="left"/>
      <w:pPr>
        <w:ind w:left="2377" w:hanging="321"/>
      </w:pPr>
      <w:rPr>
        <w:rFonts w:hint="default"/>
        <w:lang w:val="zh-CN" w:eastAsia="zh-CN" w:bidi="zh-CN"/>
      </w:rPr>
    </w:lvl>
    <w:lvl w:ilvl="3">
      <w:start w:val="0"/>
      <w:numFmt w:val="bullet"/>
      <w:lvlText w:val="•"/>
      <w:lvlJc w:val="left"/>
      <w:pPr>
        <w:ind w:left="3295" w:hanging="321"/>
      </w:pPr>
      <w:rPr>
        <w:rFonts w:hint="default"/>
        <w:lang w:val="zh-CN" w:eastAsia="zh-CN" w:bidi="zh-CN"/>
      </w:rPr>
    </w:lvl>
    <w:lvl w:ilvl="4">
      <w:start w:val="0"/>
      <w:numFmt w:val="bullet"/>
      <w:lvlText w:val="•"/>
      <w:lvlJc w:val="left"/>
      <w:pPr>
        <w:ind w:left="4214" w:hanging="321"/>
      </w:pPr>
      <w:rPr>
        <w:rFonts w:hint="default"/>
        <w:lang w:val="zh-CN" w:eastAsia="zh-CN" w:bidi="zh-CN"/>
      </w:rPr>
    </w:lvl>
    <w:lvl w:ilvl="5">
      <w:start w:val="0"/>
      <w:numFmt w:val="bullet"/>
      <w:lvlText w:val="•"/>
      <w:lvlJc w:val="left"/>
      <w:pPr>
        <w:ind w:left="5133" w:hanging="321"/>
      </w:pPr>
      <w:rPr>
        <w:rFonts w:hint="default"/>
        <w:lang w:val="zh-CN" w:eastAsia="zh-CN" w:bidi="zh-CN"/>
      </w:rPr>
    </w:lvl>
    <w:lvl w:ilvl="6">
      <w:start w:val="0"/>
      <w:numFmt w:val="bullet"/>
      <w:lvlText w:val="•"/>
      <w:lvlJc w:val="left"/>
      <w:pPr>
        <w:ind w:left="6051" w:hanging="321"/>
      </w:pPr>
      <w:rPr>
        <w:rFonts w:hint="default"/>
        <w:lang w:val="zh-CN" w:eastAsia="zh-CN" w:bidi="zh-CN"/>
      </w:rPr>
    </w:lvl>
    <w:lvl w:ilvl="7">
      <w:start w:val="0"/>
      <w:numFmt w:val="bullet"/>
      <w:lvlText w:val="•"/>
      <w:lvlJc w:val="left"/>
      <w:pPr>
        <w:ind w:left="6970" w:hanging="321"/>
      </w:pPr>
      <w:rPr>
        <w:rFonts w:hint="default"/>
        <w:lang w:val="zh-CN" w:eastAsia="zh-CN" w:bidi="zh-CN"/>
      </w:rPr>
    </w:lvl>
    <w:lvl w:ilvl="8">
      <w:start w:val="0"/>
      <w:numFmt w:val="bullet"/>
      <w:lvlText w:val="•"/>
      <w:lvlJc w:val="left"/>
      <w:pPr>
        <w:ind w:left="7889" w:hanging="321"/>
      </w:pPr>
      <w:rPr>
        <w:rFonts w:hint="default"/>
        <w:lang w:val="zh-CN" w:eastAsia="zh-CN" w:bidi="zh-CN"/>
      </w:rPr>
    </w:lvl>
  </w:abstractNum>
  <w:abstractNum w:abstractNumId="46">
    <w:multiLevelType w:val="hybridMultilevel"/>
    <w:lvl w:ilvl="0">
      <w:start w:val="1"/>
      <w:numFmt w:val="decimal"/>
      <w:lvlText w:val="（%1）"/>
      <w:lvlJc w:val="left"/>
      <w:pPr>
        <w:ind w:left="1491"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2322" w:hanging="532"/>
      </w:pPr>
      <w:rPr>
        <w:rFonts w:hint="default"/>
        <w:lang w:val="zh-CN" w:eastAsia="zh-CN" w:bidi="zh-CN"/>
      </w:rPr>
    </w:lvl>
    <w:lvl w:ilvl="2">
      <w:start w:val="0"/>
      <w:numFmt w:val="bullet"/>
      <w:lvlText w:val="•"/>
      <w:lvlJc w:val="left"/>
      <w:pPr>
        <w:ind w:left="3145" w:hanging="532"/>
      </w:pPr>
      <w:rPr>
        <w:rFonts w:hint="default"/>
        <w:lang w:val="zh-CN" w:eastAsia="zh-CN" w:bidi="zh-CN"/>
      </w:rPr>
    </w:lvl>
    <w:lvl w:ilvl="3">
      <w:start w:val="0"/>
      <w:numFmt w:val="bullet"/>
      <w:lvlText w:val="•"/>
      <w:lvlJc w:val="left"/>
      <w:pPr>
        <w:ind w:left="3967" w:hanging="532"/>
      </w:pPr>
      <w:rPr>
        <w:rFonts w:hint="default"/>
        <w:lang w:val="zh-CN" w:eastAsia="zh-CN" w:bidi="zh-CN"/>
      </w:rPr>
    </w:lvl>
    <w:lvl w:ilvl="4">
      <w:start w:val="0"/>
      <w:numFmt w:val="bullet"/>
      <w:lvlText w:val="•"/>
      <w:lvlJc w:val="left"/>
      <w:pPr>
        <w:ind w:left="4790" w:hanging="532"/>
      </w:pPr>
      <w:rPr>
        <w:rFonts w:hint="default"/>
        <w:lang w:val="zh-CN" w:eastAsia="zh-CN" w:bidi="zh-CN"/>
      </w:rPr>
    </w:lvl>
    <w:lvl w:ilvl="5">
      <w:start w:val="0"/>
      <w:numFmt w:val="bullet"/>
      <w:lvlText w:val="•"/>
      <w:lvlJc w:val="left"/>
      <w:pPr>
        <w:ind w:left="5613" w:hanging="532"/>
      </w:pPr>
      <w:rPr>
        <w:rFonts w:hint="default"/>
        <w:lang w:val="zh-CN" w:eastAsia="zh-CN" w:bidi="zh-CN"/>
      </w:rPr>
    </w:lvl>
    <w:lvl w:ilvl="6">
      <w:start w:val="0"/>
      <w:numFmt w:val="bullet"/>
      <w:lvlText w:val="•"/>
      <w:lvlJc w:val="left"/>
      <w:pPr>
        <w:ind w:left="6435" w:hanging="532"/>
      </w:pPr>
      <w:rPr>
        <w:rFonts w:hint="default"/>
        <w:lang w:val="zh-CN" w:eastAsia="zh-CN" w:bidi="zh-CN"/>
      </w:rPr>
    </w:lvl>
    <w:lvl w:ilvl="7">
      <w:start w:val="0"/>
      <w:numFmt w:val="bullet"/>
      <w:lvlText w:val="•"/>
      <w:lvlJc w:val="left"/>
      <w:pPr>
        <w:ind w:left="7258" w:hanging="532"/>
      </w:pPr>
      <w:rPr>
        <w:rFonts w:hint="default"/>
        <w:lang w:val="zh-CN" w:eastAsia="zh-CN" w:bidi="zh-CN"/>
      </w:rPr>
    </w:lvl>
    <w:lvl w:ilvl="8">
      <w:start w:val="0"/>
      <w:numFmt w:val="bullet"/>
      <w:lvlText w:val="•"/>
      <w:lvlJc w:val="left"/>
      <w:pPr>
        <w:ind w:left="8081" w:hanging="532"/>
      </w:pPr>
      <w:rPr>
        <w:rFonts w:hint="default"/>
        <w:lang w:val="zh-CN" w:eastAsia="zh-CN" w:bidi="zh-CN"/>
      </w:rPr>
    </w:lvl>
  </w:abstractNum>
  <w:abstractNum w:abstractNumId="45">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44">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3">
    <w:multiLevelType w:val="hybridMultilevel"/>
    <w:lvl w:ilvl="0">
      <w:start w:val="1"/>
      <w:numFmt w:val="decimal"/>
      <w:lvlText w:val="（%1）"/>
      <w:lvlJc w:val="left"/>
      <w:pPr>
        <w:ind w:left="540"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42">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40">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9">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8">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7">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6">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5">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4">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2">
    <w:multiLevelType w:val="hybridMultilevel"/>
    <w:lvl w:ilvl="0">
      <w:start w:val="113"/>
      <w:numFmt w:val="decimal"/>
      <w:lvlText w:val="（%1）"/>
      <w:lvlJc w:val="left"/>
      <w:pPr>
        <w:ind w:left="1703" w:hanging="743"/>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502" w:hanging="743"/>
      </w:pPr>
      <w:rPr>
        <w:rFonts w:hint="default"/>
        <w:lang w:val="zh-CN" w:eastAsia="zh-CN" w:bidi="zh-CN"/>
      </w:rPr>
    </w:lvl>
    <w:lvl w:ilvl="2">
      <w:start w:val="0"/>
      <w:numFmt w:val="bullet"/>
      <w:lvlText w:val="•"/>
      <w:lvlJc w:val="left"/>
      <w:pPr>
        <w:ind w:left="3305" w:hanging="743"/>
      </w:pPr>
      <w:rPr>
        <w:rFonts w:hint="default"/>
        <w:lang w:val="zh-CN" w:eastAsia="zh-CN" w:bidi="zh-CN"/>
      </w:rPr>
    </w:lvl>
    <w:lvl w:ilvl="3">
      <w:start w:val="0"/>
      <w:numFmt w:val="bullet"/>
      <w:lvlText w:val="•"/>
      <w:lvlJc w:val="left"/>
      <w:pPr>
        <w:ind w:left="4107" w:hanging="743"/>
      </w:pPr>
      <w:rPr>
        <w:rFonts w:hint="default"/>
        <w:lang w:val="zh-CN" w:eastAsia="zh-CN" w:bidi="zh-CN"/>
      </w:rPr>
    </w:lvl>
    <w:lvl w:ilvl="4">
      <w:start w:val="0"/>
      <w:numFmt w:val="bullet"/>
      <w:lvlText w:val="•"/>
      <w:lvlJc w:val="left"/>
      <w:pPr>
        <w:ind w:left="4910" w:hanging="743"/>
      </w:pPr>
      <w:rPr>
        <w:rFonts w:hint="default"/>
        <w:lang w:val="zh-CN" w:eastAsia="zh-CN" w:bidi="zh-CN"/>
      </w:rPr>
    </w:lvl>
    <w:lvl w:ilvl="5">
      <w:start w:val="0"/>
      <w:numFmt w:val="bullet"/>
      <w:lvlText w:val="•"/>
      <w:lvlJc w:val="left"/>
      <w:pPr>
        <w:ind w:left="5713" w:hanging="743"/>
      </w:pPr>
      <w:rPr>
        <w:rFonts w:hint="default"/>
        <w:lang w:val="zh-CN" w:eastAsia="zh-CN" w:bidi="zh-CN"/>
      </w:rPr>
    </w:lvl>
    <w:lvl w:ilvl="6">
      <w:start w:val="0"/>
      <w:numFmt w:val="bullet"/>
      <w:lvlText w:val="•"/>
      <w:lvlJc w:val="left"/>
      <w:pPr>
        <w:ind w:left="6515" w:hanging="743"/>
      </w:pPr>
      <w:rPr>
        <w:rFonts w:hint="default"/>
        <w:lang w:val="zh-CN" w:eastAsia="zh-CN" w:bidi="zh-CN"/>
      </w:rPr>
    </w:lvl>
    <w:lvl w:ilvl="7">
      <w:start w:val="0"/>
      <w:numFmt w:val="bullet"/>
      <w:lvlText w:val="•"/>
      <w:lvlJc w:val="left"/>
      <w:pPr>
        <w:ind w:left="7318" w:hanging="743"/>
      </w:pPr>
      <w:rPr>
        <w:rFonts w:hint="default"/>
        <w:lang w:val="zh-CN" w:eastAsia="zh-CN" w:bidi="zh-CN"/>
      </w:rPr>
    </w:lvl>
    <w:lvl w:ilvl="8">
      <w:start w:val="0"/>
      <w:numFmt w:val="bullet"/>
      <w:lvlText w:val="•"/>
      <w:lvlJc w:val="left"/>
      <w:pPr>
        <w:ind w:left="8121" w:hanging="743"/>
      </w:pPr>
      <w:rPr>
        <w:rFonts w:hint="default"/>
        <w:lang w:val="zh-CN" w:eastAsia="zh-CN" w:bidi="zh-CN"/>
      </w:rPr>
    </w:lvl>
  </w:abstractNum>
  <w:abstractNum w:abstractNumId="31">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0">
    <w:multiLevelType w:val="hybridMultilevel"/>
    <w:lvl w:ilvl="0">
      <w:start w:val="1"/>
      <w:numFmt w:val="decimal"/>
      <w:lvlText w:val="（%1）"/>
      <w:lvlJc w:val="left"/>
      <w:pPr>
        <w:ind w:left="1491" w:hanging="532"/>
        <w:jc w:val="left"/>
      </w:pPr>
      <w:rPr>
        <w:rFonts w:hint="default" w:ascii="宋体" w:hAnsi="宋体" w:eastAsia="宋体" w:cs="宋体"/>
        <w:spacing w:val="-108"/>
        <w:w w:val="100"/>
        <w:sz w:val="19"/>
        <w:szCs w:val="19"/>
        <w:lang w:val="zh-CN" w:eastAsia="zh-CN" w:bidi="zh-CN"/>
      </w:rPr>
    </w:lvl>
    <w:lvl w:ilvl="1">
      <w:start w:val="0"/>
      <w:numFmt w:val="bullet"/>
      <w:lvlText w:val="•"/>
      <w:lvlJc w:val="left"/>
      <w:pPr>
        <w:ind w:left="2322" w:hanging="532"/>
      </w:pPr>
      <w:rPr>
        <w:rFonts w:hint="default"/>
        <w:lang w:val="zh-CN" w:eastAsia="zh-CN" w:bidi="zh-CN"/>
      </w:rPr>
    </w:lvl>
    <w:lvl w:ilvl="2">
      <w:start w:val="0"/>
      <w:numFmt w:val="bullet"/>
      <w:lvlText w:val="•"/>
      <w:lvlJc w:val="left"/>
      <w:pPr>
        <w:ind w:left="3145" w:hanging="532"/>
      </w:pPr>
      <w:rPr>
        <w:rFonts w:hint="default"/>
        <w:lang w:val="zh-CN" w:eastAsia="zh-CN" w:bidi="zh-CN"/>
      </w:rPr>
    </w:lvl>
    <w:lvl w:ilvl="3">
      <w:start w:val="0"/>
      <w:numFmt w:val="bullet"/>
      <w:lvlText w:val="•"/>
      <w:lvlJc w:val="left"/>
      <w:pPr>
        <w:ind w:left="3967" w:hanging="532"/>
      </w:pPr>
      <w:rPr>
        <w:rFonts w:hint="default"/>
        <w:lang w:val="zh-CN" w:eastAsia="zh-CN" w:bidi="zh-CN"/>
      </w:rPr>
    </w:lvl>
    <w:lvl w:ilvl="4">
      <w:start w:val="0"/>
      <w:numFmt w:val="bullet"/>
      <w:lvlText w:val="•"/>
      <w:lvlJc w:val="left"/>
      <w:pPr>
        <w:ind w:left="4790" w:hanging="532"/>
      </w:pPr>
      <w:rPr>
        <w:rFonts w:hint="default"/>
        <w:lang w:val="zh-CN" w:eastAsia="zh-CN" w:bidi="zh-CN"/>
      </w:rPr>
    </w:lvl>
    <w:lvl w:ilvl="5">
      <w:start w:val="0"/>
      <w:numFmt w:val="bullet"/>
      <w:lvlText w:val="•"/>
      <w:lvlJc w:val="left"/>
      <w:pPr>
        <w:ind w:left="5613" w:hanging="532"/>
      </w:pPr>
      <w:rPr>
        <w:rFonts w:hint="default"/>
        <w:lang w:val="zh-CN" w:eastAsia="zh-CN" w:bidi="zh-CN"/>
      </w:rPr>
    </w:lvl>
    <w:lvl w:ilvl="6">
      <w:start w:val="0"/>
      <w:numFmt w:val="bullet"/>
      <w:lvlText w:val="•"/>
      <w:lvlJc w:val="left"/>
      <w:pPr>
        <w:ind w:left="6435" w:hanging="532"/>
      </w:pPr>
      <w:rPr>
        <w:rFonts w:hint="default"/>
        <w:lang w:val="zh-CN" w:eastAsia="zh-CN" w:bidi="zh-CN"/>
      </w:rPr>
    </w:lvl>
    <w:lvl w:ilvl="7">
      <w:start w:val="0"/>
      <w:numFmt w:val="bullet"/>
      <w:lvlText w:val="•"/>
      <w:lvlJc w:val="left"/>
      <w:pPr>
        <w:ind w:left="7258" w:hanging="532"/>
      </w:pPr>
      <w:rPr>
        <w:rFonts w:hint="default"/>
        <w:lang w:val="zh-CN" w:eastAsia="zh-CN" w:bidi="zh-CN"/>
      </w:rPr>
    </w:lvl>
    <w:lvl w:ilvl="8">
      <w:start w:val="0"/>
      <w:numFmt w:val="bullet"/>
      <w:lvlText w:val="•"/>
      <w:lvlJc w:val="left"/>
      <w:pPr>
        <w:ind w:left="8081" w:hanging="532"/>
      </w:pPr>
      <w:rPr>
        <w:rFonts w:hint="default"/>
        <w:lang w:val="zh-CN" w:eastAsia="zh-CN" w:bidi="zh-CN"/>
      </w:rPr>
    </w:lvl>
  </w:abstractNum>
  <w:abstractNum w:abstractNumId="29">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27">
    <w:multiLevelType w:val="hybridMultilevel"/>
    <w:lvl w:ilvl="0">
      <w:start w:val="1"/>
      <w:numFmt w:val="decimal"/>
      <w:lvlText w:val="（%1）"/>
      <w:lvlJc w:val="left"/>
      <w:pPr>
        <w:ind w:left="540" w:hanging="532"/>
        <w:jc w:val="left"/>
      </w:pPr>
      <w:rPr>
        <w:rFonts w:hint="default" w:ascii="宋体" w:hAnsi="宋体" w:eastAsia="宋体" w:cs="宋体"/>
        <w:spacing w:val="-70"/>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6">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5">
    <w:multiLevelType w:val="hybridMultilevel"/>
    <w:lvl w:ilvl="0">
      <w:start w:val="1"/>
      <w:numFmt w:val="decimal"/>
      <w:lvlText w:val="（%1）"/>
      <w:lvlJc w:val="left"/>
      <w:pPr>
        <w:ind w:left="540" w:hanging="532"/>
        <w:jc w:val="left"/>
      </w:pPr>
      <w:rPr>
        <w:rFonts w:hint="default" w:ascii="宋体" w:hAnsi="宋体" w:eastAsia="宋体" w:cs="宋体"/>
        <w:spacing w:val="-70"/>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4">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22">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21">
    <w:multiLevelType w:val="hybridMultilevel"/>
    <w:lvl w:ilvl="0">
      <w:start w:val="1"/>
      <w:numFmt w:val="decimal"/>
      <w:lvlText w:val="（%1）"/>
      <w:lvlJc w:val="left"/>
      <w:pPr>
        <w:ind w:left="540" w:hanging="529"/>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20">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9">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8">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17">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5">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3">
    <w:multiLevelType w:val="hybridMultilevel"/>
    <w:lvl w:ilvl="0">
      <w:start w:val="1"/>
      <w:numFmt w:val="decimal"/>
      <w:lvlText w:val="（%1）"/>
      <w:lvlJc w:val="left"/>
      <w:pPr>
        <w:ind w:left="1503"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22" w:hanging="529"/>
      </w:pPr>
      <w:rPr>
        <w:rFonts w:hint="default"/>
        <w:lang w:val="zh-CN" w:eastAsia="zh-CN" w:bidi="zh-CN"/>
      </w:rPr>
    </w:lvl>
    <w:lvl w:ilvl="2">
      <w:start w:val="0"/>
      <w:numFmt w:val="bullet"/>
      <w:lvlText w:val="•"/>
      <w:lvlJc w:val="left"/>
      <w:pPr>
        <w:ind w:left="3145" w:hanging="529"/>
      </w:pPr>
      <w:rPr>
        <w:rFonts w:hint="default"/>
        <w:lang w:val="zh-CN" w:eastAsia="zh-CN" w:bidi="zh-CN"/>
      </w:rPr>
    </w:lvl>
    <w:lvl w:ilvl="3">
      <w:start w:val="0"/>
      <w:numFmt w:val="bullet"/>
      <w:lvlText w:val="•"/>
      <w:lvlJc w:val="left"/>
      <w:pPr>
        <w:ind w:left="3967" w:hanging="529"/>
      </w:pPr>
      <w:rPr>
        <w:rFonts w:hint="default"/>
        <w:lang w:val="zh-CN" w:eastAsia="zh-CN" w:bidi="zh-CN"/>
      </w:rPr>
    </w:lvl>
    <w:lvl w:ilvl="4">
      <w:start w:val="0"/>
      <w:numFmt w:val="bullet"/>
      <w:lvlText w:val="•"/>
      <w:lvlJc w:val="left"/>
      <w:pPr>
        <w:ind w:left="4790" w:hanging="529"/>
      </w:pPr>
      <w:rPr>
        <w:rFonts w:hint="default"/>
        <w:lang w:val="zh-CN" w:eastAsia="zh-CN" w:bidi="zh-CN"/>
      </w:rPr>
    </w:lvl>
    <w:lvl w:ilvl="5">
      <w:start w:val="0"/>
      <w:numFmt w:val="bullet"/>
      <w:lvlText w:val="•"/>
      <w:lvlJc w:val="left"/>
      <w:pPr>
        <w:ind w:left="5613" w:hanging="529"/>
      </w:pPr>
      <w:rPr>
        <w:rFonts w:hint="default"/>
        <w:lang w:val="zh-CN" w:eastAsia="zh-CN" w:bidi="zh-CN"/>
      </w:rPr>
    </w:lvl>
    <w:lvl w:ilvl="6">
      <w:start w:val="0"/>
      <w:numFmt w:val="bullet"/>
      <w:lvlText w:val="•"/>
      <w:lvlJc w:val="left"/>
      <w:pPr>
        <w:ind w:left="6435" w:hanging="529"/>
      </w:pPr>
      <w:rPr>
        <w:rFonts w:hint="default"/>
        <w:lang w:val="zh-CN" w:eastAsia="zh-CN" w:bidi="zh-CN"/>
      </w:rPr>
    </w:lvl>
    <w:lvl w:ilvl="7">
      <w:start w:val="0"/>
      <w:numFmt w:val="bullet"/>
      <w:lvlText w:val="•"/>
      <w:lvlJc w:val="left"/>
      <w:pPr>
        <w:ind w:left="7258" w:hanging="529"/>
      </w:pPr>
      <w:rPr>
        <w:rFonts w:hint="default"/>
        <w:lang w:val="zh-CN" w:eastAsia="zh-CN" w:bidi="zh-CN"/>
      </w:rPr>
    </w:lvl>
    <w:lvl w:ilvl="8">
      <w:start w:val="0"/>
      <w:numFmt w:val="bullet"/>
      <w:lvlText w:val="•"/>
      <w:lvlJc w:val="left"/>
      <w:pPr>
        <w:ind w:left="8081" w:hanging="529"/>
      </w:pPr>
      <w:rPr>
        <w:rFonts w:hint="default"/>
        <w:lang w:val="zh-CN" w:eastAsia="zh-CN" w:bidi="zh-CN"/>
      </w:rPr>
    </w:lvl>
  </w:abstractNum>
  <w:abstractNum w:abstractNumId="12">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29"/>
      </w:pPr>
      <w:rPr>
        <w:rFonts w:hint="default"/>
        <w:lang w:val="zh-CN" w:eastAsia="zh-CN" w:bidi="zh-CN"/>
      </w:rPr>
    </w:lvl>
    <w:lvl w:ilvl="2">
      <w:start w:val="0"/>
      <w:numFmt w:val="bullet"/>
      <w:lvlText w:val="•"/>
      <w:lvlJc w:val="left"/>
      <w:pPr>
        <w:ind w:left="2377" w:hanging="529"/>
      </w:pPr>
      <w:rPr>
        <w:rFonts w:hint="default"/>
        <w:lang w:val="zh-CN" w:eastAsia="zh-CN" w:bidi="zh-CN"/>
      </w:rPr>
    </w:lvl>
    <w:lvl w:ilvl="3">
      <w:start w:val="0"/>
      <w:numFmt w:val="bullet"/>
      <w:lvlText w:val="•"/>
      <w:lvlJc w:val="left"/>
      <w:pPr>
        <w:ind w:left="3295" w:hanging="529"/>
      </w:pPr>
      <w:rPr>
        <w:rFonts w:hint="default"/>
        <w:lang w:val="zh-CN" w:eastAsia="zh-CN" w:bidi="zh-CN"/>
      </w:rPr>
    </w:lvl>
    <w:lvl w:ilvl="4">
      <w:start w:val="0"/>
      <w:numFmt w:val="bullet"/>
      <w:lvlText w:val="•"/>
      <w:lvlJc w:val="left"/>
      <w:pPr>
        <w:ind w:left="4214"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6051" w:hanging="529"/>
      </w:pPr>
      <w:rPr>
        <w:rFonts w:hint="default"/>
        <w:lang w:val="zh-CN" w:eastAsia="zh-CN" w:bidi="zh-CN"/>
      </w:rPr>
    </w:lvl>
    <w:lvl w:ilvl="7">
      <w:start w:val="0"/>
      <w:numFmt w:val="bullet"/>
      <w:lvlText w:val="•"/>
      <w:lvlJc w:val="left"/>
      <w:pPr>
        <w:ind w:left="6970" w:hanging="529"/>
      </w:pPr>
      <w:rPr>
        <w:rFonts w:hint="default"/>
        <w:lang w:val="zh-CN" w:eastAsia="zh-CN" w:bidi="zh-CN"/>
      </w:rPr>
    </w:lvl>
    <w:lvl w:ilvl="8">
      <w:start w:val="0"/>
      <w:numFmt w:val="bullet"/>
      <w:lvlText w:val="•"/>
      <w:lvlJc w:val="left"/>
      <w:pPr>
        <w:ind w:left="7889" w:hanging="529"/>
      </w:pPr>
      <w:rPr>
        <w:rFonts w:hint="default"/>
        <w:lang w:val="zh-CN" w:eastAsia="zh-CN" w:bidi="zh-CN"/>
      </w:rPr>
    </w:lvl>
  </w:abstractNum>
  <w:abstractNum w:abstractNumId="11">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10">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9">
    <w:multiLevelType w:val="hybridMultilevel"/>
    <w:lvl w:ilvl="0">
      <w:start w:val="5"/>
      <w:numFmt w:val="decimal"/>
      <w:lvlText w:val="%1"/>
      <w:lvlJc w:val="left"/>
      <w:pPr>
        <w:ind w:left="912" w:hanging="372"/>
        <w:jc w:val="left"/>
      </w:pPr>
      <w:rPr>
        <w:rFonts w:hint="default"/>
        <w:lang w:val="zh-CN" w:eastAsia="zh-CN" w:bidi="zh-CN"/>
      </w:rPr>
    </w:lvl>
    <w:lvl w:ilvl="1">
      <w:start w:val="1"/>
      <w:numFmt w:val="decimal"/>
      <w:lvlText w:val="%1.%2"/>
      <w:lvlJc w:val="left"/>
      <w:pPr>
        <w:ind w:left="912" w:hanging="372"/>
        <w:jc w:val="left"/>
      </w:pPr>
      <w:rPr>
        <w:rFonts w:hint="default" w:ascii="Calibri" w:hAnsi="Calibri" w:eastAsia="Calibri" w:cs="Calibri"/>
        <w:spacing w:val="-1"/>
        <w:w w:val="100"/>
        <w:sz w:val="21"/>
        <w:szCs w:val="21"/>
        <w:lang w:val="zh-CN" w:eastAsia="zh-CN" w:bidi="zh-CN"/>
      </w:rPr>
    </w:lvl>
    <w:lvl w:ilvl="2">
      <w:start w:val="1"/>
      <w:numFmt w:val="decimal"/>
      <w:lvlText w:val="%1.%2.%3"/>
      <w:lvlJc w:val="left"/>
      <w:pPr>
        <w:ind w:left="540" w:hanging="586"/>
        <w:jc w:val="left"/>
      </w:pPr>
      <w:rPr>
        <w:rFonts w:hint="default" w:ascii="Calibri" w:hAnsi="Calibri" w:eastAsia="Calibri" w:cs="Calibri"/>
        <w:spacing w:val="-3"/>
        <w:w w:val="100"/>
        <w:sz w:val="21"/>
        <w:szCs w:val="21"/>
        <w:lang w:val="zh-CN" w:eastAsia="zh-CN" w:bidi="zh-CN"/>
      </w:rPr>
    </w:lvl>
    <w:lvl w:ilvl="3">
      <w:start w:val="1"/>
      <w:numFmt w:val="decimal"/>
      <w:lvlText w:val="（%4）"/>
      <w:lvlJc w:val="left"/>
      <w:pPr>
        <w:ind w:left="1489" w:hanging="529"/>
        <w:jc w:val="left"/>
      </w:pPr>
      <w:rPr>
        <w:rFonts w:hint="default" w:ascii="宋体" w:hAnsi="宋体" w:eastAsia="宋体" w:cs="宋体"/>
        <w:spacing w:val="-2"/>
        <w:w w:val="100"/>
        <w:sz w:val="19"/>
        <w:szCs w:val="19"/>
        <w:lang w:val="zh-CN" w:eastAsia="zh-CN" w:bidi="zh-CN"/>
      </w:rPr>
    </w:lvl>
    <w:lvl w:ilvl="4">
      <w:start w:val="0"/>
      <w:numFmt w:val="bullet"/>
      <w:lvlText w:val="•"/>
      <w:lvlJc w:val="left"/>
      <w:pPr>
        <w:ind w:left="3541" w:hanging="529"/>
      </w:pPr>
      <w:rPr>
        <w:rFonts w:hint="default"/>
        <w:lang w:val="zh-CN" w:eastAsia="zh-CN" w:bidi="zh-CN"/>
      </w:rPr>
    </w:lvl>
    <w:lvl w:ilvl="5">
      <w:start w:val="0"/>
      <w:numFmt w:val="bullet"/>
      <w:lvlText w:val="•"/>
      <w:lvlJc w:val="left"/>
      <w:pPr>
        <w:ind w:left="4572"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634" w:hanging="529"/>
      </w:pPr>
      <w:rPr>
        <w:rFonts w:hint="default"/>
        <w:lang w:val="zh-CN" w:eastAsia="zh-CN" w:bidi="zh-CN"/>
      </w:rPr>
    </w:lvl>
    <w:lvl w:ilvl="8">
      <w:start w:val="0"/>
      <w:numFmt w:val="bullet"/>
      <w:lvlText w:val="•"/>
      <w:lvlJc w:val="left"/>
      <w:pPr>
        <w:ind w:left="7664" w:hanging="529"/>
      </w:pPr>
      <w:rPr>
        <w:rFonts w:hint="default"/>
        <w:lang w:val="zh-CN" w:eastAsia="zh-CN" w:bidi="zh-CN"/>
      </w:rPr>
    </w:lvl>
  </w:abstractNum>
  <w:abstractNum w:abstractNumId="8">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7">
    <w:multiLevelType w:val="hybridMultilevel"/>
    <w:lvl w:ilvl="0">
      <w:start w:val="1"/>
      <w:numFmt w:val="decimal"/>
      <w:lvlText w:val="（%1）"/>
      <w:lvlJc w:val="left"/>
      <w:pPr>
        <w:ind w:left="540" w:hanging="532"/>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6">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5">
    <w:multiLevelType w:val="hybridMultilevel"/>
    <w:lvl w:ilvl="0">
      <w:start w:val="1"/>
      <w:numFmt w:val="decimal"/>
      <w:lvlText w:val="（%1）"/>
      <w:lvlJc w:val="left"/>
      <w:pPr>
        <w:ind w:left="540" w:hanging="532"/>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58" w:hanging="532"/>
      </w:pPr>
      <w:rPr>
        <w:rFonts w:hint="default"/>
        <w:lang w:val="zh-CN" w:eastAsia="zh-CN" w:bidi="zh-CN"/>
      </w:rPr>
    </w:lvl>
    <w:lvl w:ilvl="2">
      <w:start w:val="0"/>
      <w:numFmt w:val="bullet"/>
      <w:lvlText w:val="•"/>
      <w:lvlJc w:val="left"/>
      <w:pPr>
        <w:ind w:left="2377" w:hanging="532"/>
      </w:pPr>
      <w:rPr>
        <w:rFonts w:hint="default"/>
        <w:lang w:val="zh-CN" w:eastAsia="zh-CN" w:bidi="zh-CN"/>
      </w:rPr>
    </w:lvl>
    <w:lvl w:ilvl="3">
      <w:start w:val="0"/>
      <w:numFmt w:val="bullet"/>
      <w:lvlText w:val="•"/>
      <w:lvlJc w:val="left"/>
      <w:pPr>
        <w:ind w:left="3295" w:hanging="532"/>
      </w:pPr>
      <w:rPr>
        <w:rFonts w:hint="default"/>
        <w:lang w:val="zh-CN" w:eastAsia="zh-CN" w:bidi="zh-CN"/>
      </w:rPr>
    </w:lvl>
    <w:lvl w:ilvl="4">
      <w:start w:val="0"/>
      <w:numFmt w:val="bullet"/>
      <w:lvlText w:val="•"/>
      <w:lvlJc w:val="left"/>
      <w:pPr>
        <w:ind w:left="4214" w:hanging="532"/>
      </w:pPr>
      <w:rPr>
        <w:rFonts w:hint="default"/>
        <w:lang w:val="zh-CN" w:eastAsia="zh-CN" w:bidi="zh-CN"/>
      </w:rPr>
    </w:lvl>
    <w:lvl w:ilvl="5">
      <w:start w:val="0"/>
      <w:numFmt w:val="bullet"/>
      <w:lvlText w:val="•"/>
      <w:lvlJc w:val="left"/>
      <w:pPr>
        <w:ind w:left="5133" w:hanging="532"/>
      </w:pPr>
      <w:rPr>
        <w:rFonts w:hint="default"/>
        <w:lang w:val="zh-CN" w:eastAsia="zh-CN" w:bidi="zh-CN"/>
      </w:rPr>
    </w:lvl>
    <w:lvl w:ilvl="6">
      <w:start w:val="0"/>
      <w:numFmt w:val="bullet"/>
      <w:lvlText w:val="•"/>
      <w:lvlJc w:val="left"/>
      <w:pPr>
        <w:ind w:left="6051" w:hanging="532"/>
      </w:pPr>
      <w:rPr>
        <w:rFonts w:hint="default"/>
        <w:lang w:val="zh-CN" w:eastAsia="zh-CN" w:bidi="zh-CN"/>
      </w:rPr>
    </w:lvl>
    <w:lvl w:ilvl="7">
      <w:start w:val="0"/>
      <w:numFmt w:val="bullet"/>
      <w:lvlText w:val="•"/>
      <w:lvlJc w:val="left"/>
      <w:pPr>
        <w:ind w:left="6970" w:hanging="532"/>
      </w:pPr>
      <w:rPr>
        <w:rFonts w:hint="default"/>
        <w:lang w:val="zh-CN" w:eastAsia="zh-CN" w:bidi="zh-CN"/>
      </w:rPr>
    </w:lvl>
    <w:lvl w:ilvl="8">
      <w:start w:val="0"/>
      <w:numFmt w:val="bullet"/>
      <w:lvlText w:val="•"/>
      <w:lvlJc w:val="left"/>
      <w:pPr>
        <w:ind w:left="7889" w:hanging="532"/>
      </w:pPr>
      <w:rPr>
        <w:rFonts w:hint="default"/>
        <w:lang w:val="zh-CN" w:eastAsia="zh-CN" w:bidi="zh-CN"/>
      </w:rPr>
    </w:lvl>
  </w:abstractNum>
  <w:abstractNum w:abstractNumId="4">
    <w:multiLevelType w:val="hybridMultilevel"/>
    <w:lvl w:ilvl="0">
      <w:start w:val="3"/>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3">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2">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304" w:hanging="529"/>
      </w:pPr>
      <w:rPr>
        <w:rFonts w:hint="default"/>
        <w:lang w:val="zh-CN" w:eastAsia="zh-CN" w:bidi="zh-CN"/>
      </w:rPr>
    </w:lvl>
    <w:lvl w:ilvl="2">
      <w:start w:val="0"/>
      <w:numFmt w:val="bullet"/>
      <w:lvlText w:val="•"/>
      <w:lvlJc w:val="left"/>
      <w:pPr>
        <w:ind w:left="3129" w:hanging="529"/>
      </w:pPr>
      <w:rPr>
        <w:rFonts w:hint="default"/>
        <w:lang w:val="zh-CN" w:eastAsia="zh-CN" w:bidi="zh-CN"/>
      </w:rPr>
    </w:lvl>
    <w:lvl w:ilvl="3">
      <w:start w:val="0"/>
      <w:numFmt w:val="bullet"/>
      <w:lvlText w:val="•"/>
      <w:lvlJc w:val="left"/>
      <w:pPr>
        <w:ind w:left="3953" w:hanging="529"/>
      </w:pPr>
      <w:rPr>
        <w:rFonts w:hint="default"/>
        <w:lang w:val="zh-CN" w:eastAsia="zh-CN" w:bidi="zh-CN"/>
      </w:rPr>
    </w:lvl>
    <w:lvl w:ilvl="4">
      <w:start w:val="0"/>
      <w:numFmt w:val="bullet"/>
      <w:lvlText w:val="•"/>
      <w:lvlJc w:val="left"/>
      <w:pPr>
        <w:ind w:left="4778" w:hanging="529"/>
      </w:pPr>
      <w:rPr>
        <w:rFonts w:hint="default"/>
        <w:lang w:val="zh-CN" w:eastAsia="zh-CN" w:bidi="zh-CN"/>
      </w:rPr>
    </w:lvl>
    <w:lvl w:ilvl="5">
      <w:start w:val="0"/>
      <w:numFmt w:val="bullet"/>
      <w:lvlText w:val="•"/>
      <w:lvlJc w:val="left"/>
      <w:pPr>
        <w:ind w:left="5603" w:hanging="529"/>
      </w:pPr>
      <w:rPr>
        <w:rFonts w:hint="default"/>
        <w:lang w:val="zh-CN" w:eastAsia="zh-CN" w:bidi="zh-CN"/>
      </w:rPr>
    </w:lvl>
    <w:lvl w:ilvl="6">
      <w:start w:val="0"/>
      <w:numFmt w:val="bullet"/>
      <w:lvlText w:val="•"/>
      <w:lvlJc w:val="left"/>
      <w:pPr>
        <w:ind w:left="6427" w:hanging="529"/>
      </w:pPr>
      <w:rPr>
        <w:rFonts w:hint="default"/>
        <w:lang w:val="zh-CN" w:eastAsia="zh-CN" w:bidi="zh-CN"/>
      </w:rPr>
    </w:lvl>
    <w:lvl w:ilvl="7">
      <w:start w:val="0"/>
      <w:numFmt w:val="bullet"/>
      <w:lvlText w:val="•"/>
      <w:lvlJc w:val="left"/>
      <w:pPr>
        <w:ind w:left="7252" w:hanging="529"/>
      </w:pPr>
      <w:rPr>
        <w:rFonts w:hint="default"/>
        <w:lang w:val="zh-CN" w:eastAsia="zh-CN" w:bidi="zh-CN"/>
      </w:rPr>
    </w:lvl>
    <w:lvl w:ilvl="8">
      <w:start w:val="0"/>
      <w:numFmt w:val="bullet"/>
      <w:lvlText w:val="•"/>
      <w:lvlJc w:val="left"/>
      <w:pPr>
        <w:ind w:left="8077" w:hanging="529"/>
      </w:pPr>
      <w:rPr>
        <w:rFonts w:hint="default"/>
        <w:lang w:val="zh-CN" w:eastAsia="zh-CN" w:bidi="zh-CN"/>
      </w:rPr>
    </w:lvl>
  </w:abstractNum>
  <w:num w:numId="48">
    <w:abstractNumId w:val="47"/>
  </w:num>
  <w:num w:numId="29">
    <w:abstractNumId w:val="28"/>
  </w:num>
  <w:num w:numId="1">
    <w:abstractNumId w:val="0"/>
  </w:num>
  <w:num w:numId="51">
    <w:abstractNumId w:val="50"/>
  </w:num>
  <w:num w:numId="50">
    <w:abstractNumId w:val="49"/>
  </w:num>
  <w:num w:numId="49">
    <w:abstractNumId w:val="48"/>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415" w:right="748"/>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rPr>
      <w:rFonts w:ascii="Calibri" w:hAnsi="Calibri" w:eastAsia="Calibri" w:cs="Calibri"/>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ChinaAMC.com/" TargetMode="Externa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hyperlink" Target="http://www.chinaamc.com/" TargetMode="External"/><Relationship Id="rId30" Type="http://schemas.openxmlformats.org/officeDocument/2006/relationships/hyperlink" Target="http://www.abchina.com/" TargetMode="External"/><Relationship Id="rId31" Type="http://schemas.openxmlformats.org/officeDocument/2006/relationships/hyperlink" Target="http://www.boc.cn/" TargetMode="External"/><Relationship Id="rId32" Type="http://schemas.openxmlformats.org/officeDocument/2006/relationships/hyperlink" Target="http://www.bankcomm.com/" TargetMode="External"/><Relationship Id="rId33" Type="http://schemas.openxmlformats.org/officeDocument/2006/relationships/hyperlink" Target="http://www.cmbchina.com/" TargetMode="External"/><Relationship Id="rId34" Type="http://schemas.openxmlformats.org/officeDocument/2006/relationships/hyperlink" Target="http://www.cmbc.com.cn/" TargetMode="External"/><Relationship Id="rId35" Type="http://schemas.openxmlformats.org/officeDocument/2006/relationships/hyperlink" Target="http://www.psbc.com/" TargetMode="External"/><Relationship Id="rId36" Type="http://schemas.openxmlformats.org/officeDocument/2006/relationships/hyperlink" Target="http://www.srcb.com/" TargetMode="External"/><Relationship Id="rId37" Type="http://schemas.openxmlformats.org/officeDocument/2006/relationships/hyperlink" Target="http://www.cbhb.com.cn/" TargetMode="External"/><Relationship Id="rId38" Type="http://schemas.openxmlformats.org/officeDocument/2006/relationships/hyperlink" Target="http://www.szrcb.com/" TargetMode="External"/><Relationship Id="rId39" Type="http://schemas.openxmlformats.org/officeDocument/2006/relationships/hyperlink" Target="http://www.xacbank.com/" TargetMode="External"/><Relationship Id="rId40" Type="http://schemas.openxmlformats.org/officeDocument/2006/relationships/hyperlink" Target="http://www.xmccb.com/" TargetMode="External"/><Relationship Id="rId41" Type="http://schemas.openxmlformats.org/officeDocument/2006/relationships/hyperlink" Target="http://www.suzhoubank.com/" TargetMode="External"/><Relationship Id="rId42" Type="http://schemas.openxmlformats.org/officeDocument/2006/relationships/hyperlink" Target="http://www.hrxjbank.com.cn/" TargetMode="External"/><Relationship Id="rId43" Type="http://schemas.openxmlformats.org/officeDocument/2006/relationships/hyperlink" Target="http://www.zybank.com.cn/" TargetMode="External"/><Relationship Id="rId44" Type="http://schemas.openxmlformats.org/officeDocument/2006/relationships/hyperlink" Target="http://www.txsec.com/" TargetMode="External"/><Relationship Id="rId45" Type="http://schemas.openxmlformats.org/officeDocument/2006/relationships/hyperlink" Target="http://www.9ifund.com/" TargetMode="External"/><Relationship Id="rId46" Type="http://schemas.openxmlformats.org/officeDocument/2006/relationships/hyperlink" Target="http://8.jrj.com.cn/" TargetMode="External"/><Relationship Id="rId47" Type="http://schemas.openxmlformats.org/officeDocument/2006/relationships/hyperlink" Target="http://www.huilinbd.com/" TargetMode="External"/><Relationship Id="rId48" Type="http://schemas.openxmlformats.org/officeDocument/2006/relationships/hyperlink" Target="http://www.wacaijijin.com/" TargetMode="External"/><Relationship Id="rId49" Type="http://schemas.openxmlformats.org/officeDocument/2006/relationships/hyperlink" Target="http://www.xiquefund.com/" TargetMode="External"/><Relationship Id="rId50" Type="http://schemas.openxmlformats.org/officeDocument/2006/relationships/hyperlink" Target="http://www.baiyingfund.com/" TargetMode="External"/><Relationship Id="rId51" Type="http://schemas.openxmlformats.org/officeDocument/2006/relationships/hyperlink" Target="http://www.noah-fund.com/" TargetMode="External"/><Relationship Id="rId52" Type="http://schemas.openxmlformats.org/officeDocument/2006/relationships/hyperlink" Target="http://www.zlfund.cn/" TargetMode="External"/><Relationship Id="rId53" Type="http://schemas.openxmlformats.org/officeDocument/2006/relationships/hyperlink" Target="http://www.1234567.com.cn/" TargetMode="External"/><Relationship Id="rId54" Type="http://schemas.openxmlformats.org/officeDocument/2006/relationships/hyperlink" Target="http://www.ehowbuy.com/" TargetMode="External"/><Relationship Id="rId55" Type="http://schemas.openxmlformats.org/officeDocument/2006/relationships/hyperlink" Target="http://www.fund123.cn/" TargetMode="External"/><Relationship Id="rId56" Type="http://schemas.openxmlformats.org/officeDocument/2006/relationships/hyperlink" Target="http://www.erichfund.com/" TargetMode="External"/><Relationship Id="rId57" Type="http://schemas.openxmlformats.org/officeDocument/2006/relationships/hyperlink" Target="http://www.5ifund.com/" TargetMode="External"/><Relationship Id="rId58" Type="http://schemas.openxmlformats.org/officeDocument/2006/relationships/hyperlink" Target="http://www.myfund.com/" TargetMode="External"/><Relationship Id="rId59" Type="http://schemas.openxmlformats.org/officeDocument/2006/relationships/hyperlink" Target="http://www.leadfund.com.cn/" TargetMode="External"/><Relationship Id="rId60" Type="http://schemas.openxmlformats.org/officeDocument/2006/relationships/hyperlink" Target="http://www.harvestwm.cn/" TargetMode="External"/><Relationship Id="rId61" Type="http://schemas.openxmlformats.org/officeDocument/2006/relationships/hyperlink" Target="http://www.5irich.com/" TargetMode="External"/><Relationship Id="rId62" Type="http://schemas.openxmlformats.org/officeDocument/2006/relationships/hyperlink" Target="http://www.puyifund.com/" TargetMode="External"/><Relationship Id="rId63" Type="http://schemas.openxmlformats.org/officeDocument/2006/relationships/hyperlink" Target="http://www.yixinfund.com/" TargetMode="External"/><Relationship Id="rId64" Type="http://schemas.openxmlformats.org/officeDocument/2006/relationships/hyperlink" Target="http://www.tenyuanfund.com/" TargetMode="External"/><Relationship Id="rId65" Type="http://schemas.openxmlformats.org/officeDocument/2006/relationships/hyperlink" Target="http://www.tonghuafund.com/" TargetMode="External"/><Relationship Id="rId66" Type="http://schemas.openxmlformats.org/officeDocument/2006/relationships/hyperlink" Target="http://www.chtwm.com/" TargetMode="External"/><Relationship Id="rId67" Type="http://schemas.openxmlformats.org/officeDocument/2006/relationships/hyperlink" Target="http://www.hcjijin.com/" TargetMode="External"/><Relationship Id="rId68" Type="http://schemas.openxmlformats.org/officeDocument/2006/relationships/hyperlink" Target="http://www.shengshiview.com.cn/" TargetMode="External"/><Relationship Id="rId69" Type="http://schemas.openxmlformats.org/officeDocument/2006/relationships/hyperlink" Target="http://www.niuji.net/" TargetMode="External"/><Relationship Id="rId70" Type="http://schemas.openxmlformats.org/officeDocument/2006/relationships/hyperlink" Target="http://www.fundhaiyin.com/" TargetMode="External"/><Relationship Id="rId71" Type="http://schemas.openxmlformats.org/officeDocument/2006/relationships/hyperlink" Target="http://www.gomefund.com/" TargetMode="External"/><Relationship Id="rId72" Type="http://schemas.openxmlformats.org/officeDocument/2006/relationships/hyperlink" Target="http://www.wg.com.cn/" TargetMode="External"/><Relationship Id="rId73" Type="http://schemas.openxmlformats.org/officeDocument/2006/relationships/hyperlink" Target="http://www.xincai.com/" TargetMode="External"/><Relationship Id="rId74" Type="http://schemas.openxmlformats.org/officeDocument/2006/relationships/hyperlink" Target="http://www.htfund.com/" TargetMode="External"/><Relationship Id="rId75" Type="http://schemas.openxmlformats.org/officeDocument/2006/relationships/hyperlink" Target="http://www.520fund.com.cn/" TargetMode="External"/><Relationship Id="rId76" Type="http://schemas.openxmlformats.org/officeDocument/2006/relationships/hyperlink" Target="http://www.fengfd.com/" TargetMode="External"/><Relationship Id="rId77" Type="http://schemas.openxmlformats.org/officeDocument/2006/relationships/hyperlink" Target="http://www.66liantai.com/" TargetMode="External"/><Relationship Id="rId78" Type="http://schemas.openxmlformats.org/officeDocument/2006/relationships/hyperlink" Target="http://www.haojiyoujijin.com/" TargetMode="External"/><Relationship Id="rId79" Type="http://schemas.openxmlformats.org/officeDocument/2006/relationships/hyperlink" Target="http://www.hotjijin.com/" TargetMode="External"/><Relationship Id="rId80" Type="http://schemas.openxmlformats.org/officeDocument/2006/relationships/hyperlink" Target="http://www.jiyufund.com.cn/" TargetMode="External"/><Relationship Id="rId81" Type="http://schemas.openxmlformats.org/officeDocument/2006/relationships/hyperlink" Target="http://www.zhongzhengfund.com/" TargetMode="External"/><Relationship Id="rId82" Type="http://schemas.openxmlformats.org/officeDocument/2006/relationships/hyperlink" Target="http://www.hongdianfund.com/" TargetMode="External"/><Relationship Id="rId83" Type="http://schemas.openxmlformats.org/officeDocument/2006/relationships/hyperlink" Target="http://www.pytz.cn/" TargetMode="External"/><Relationship Id="rId84" Type="http://schemas.openxmlformats.org/officeDocument/2006/relationships/hyperlink" Target="http://www.lufunds.com/" TargetMode="External"/><Relationship Id="rId85" Type="http://schemas.openxmlformats.org/officeDocument/2006/relationships/hyperlink" Target="http://www.dtfunds.com/" TargetMode="External"/><Relationship Id="rId86" Type="http://schemas.openxmlformats.org/officeDocument/2006/relationships/hyperlink" Target="http://www.yingmi.cn/" TargetMode="External"/><Relationship Id="rId87" Type="http://schemas.openxmlformats.org/officeDocument/2006/relationships/hyperlink" Target="http://www.hgccpb.com/" TargetMode="External"/><Relationship Id="rId88" Type="http://schemas.openxmlformats.org/officeDocument/2006/relationships/hyperlink" Target="http://www.ifastps.com.cn/" TargetMode="External"/><Relationship Id="rId89" Type="http://schemas.openxmlformats.org/officeDocument/2006/relationships/hyperlink" Target="http://www.jnlc.com/" TargetMode="External"/><Relationship Id="rId90" Type="http://schemas.openxmlformats.org/officeDocument/2006/relationships/hyperlink" Target="http://fund.jd.com/" TargetMode="External"/><Relationship Id="rId91" Type="http://schemas.openxmlformats.org/officeDocument/2006/relationships/hyperlink" Target="http://www.yibaijin.com/" TargetMode="External"/><Relationship Id="rId92" Type="http://schemas.openxmlformats.org/officeDocument/2006/relationships/hyperlink" Target="http://www.cmiwm.com/" TargetMode="External"/><Relationship Id="rId93" Type="http://schemas.openxmlformats.org/officeDocument/2006/relationships/hyperlink" Target="http://www.jfzinv.com/" TargetMode="External"/><Relationship Id="rId94" Type="http://schemas.openxmlformats.org/officeDocument/2006/relationships/hyperlink" Target="http://www.qiangungun.com/" TargetMode="External"/><Relationship Id="rId95" Type="http://schemas.openxmlformats.org/officeDocument/2006/relationships/hyperlink" Target="http://www.wanjiawealth.com/" TargetMode="External"/><Relationship Id="rId96" Type="http://schemas.openxmlformats.org/officeDocument/2006/relationships/hyperlink" Target="http://www.amcfortune.com/" TargetMode="External"/><Relationship Id="rId97" Type="http://schemas.openxmlformats.org/officeDocument/2006/relationships/hyperlink" Target="http://www.citicsf.com/" TargetMode="External"/><Relationship Id="rId98" Type="http://schemas.openxmlformats.org/officeDocument/2006/relationships/hyperlink" Target="http://www.ftol.com.cn/" TargetMode="External"/><Relationship Id="rId99" Type="http://schemas.openxmlformats.org/officeDocument/2006/relationships/hyperlink" Target="http://www.gtja.com/" TargetMode="External"/><Relationship Id="rId100" Type="http://schemas.openxmlformats.org/officeDocument/2006/relationships/hyperlink" Target="http://www.csc108.com/" TargetMode="External"/><Relationship Id="rId101" Type="http://schemas.openxmlformats.org/officeDocument/2006/relationships/hyperlink" Target="http://www.guosen.com.cn/" TargetMode="External"/><Relationship Id="rId102" Type="http://schemas.openxmlformats.org/officeDocument/2006/relationships/hyperlink" Target="http://www.newone.com.cn/" TargetMode="External"/><Relationship Id="rId103" Type="http://schemas.openxmlformats.org/officeDocument/2006/relationships/hyperlink" Target="http://www.cs.ecitic.com/" TargetMode="External"/><Relationship Id="rId104" Type="http://schemas.openxmlformats.org/officeDocument/2006/relationships/hyperlink" Target="http://www.chinastock.com.cn/" TargetMode="External"/><Relationship Id="rId105" Type="http://schemas.openxmlformats.org/officeDocument/2006/relationships/hyperlink" Target="http://www.htsec.com/" TargetMode="External"/><Relationship Id="rId106" Type="http://schemas.openxmlformats.org/officeDocument/2006/relationships/hyperlink" Target="http://www.swhysc.com/" TargetMode="External"/><Relationship Id="rId107" Type="http://schemas.openxmlformats.org/officeDocument/2006/relationships/hyperlink" Target="http://www.xyzq.com.cn/" TargetMode="External"/><Relationship Id="rId108" Type="http://schemas.openxmlformats.org/officeDocument/2006/relationships/hyperlink" Target="http://www.95579.com/" TargetMode="External"/><Relationship Id="rId109" Type="http://schemas.openxmlformats.org/officeDocument/2006/relationships/hyperlink" Target="http://www.essence.com.cn/" TargetMode="External"/><Relationship Id="rId110" Type="http://schemas.openxmlformats.org/officeDocument/2006/relationships/hyperlink" Target="http://www.swsc.com.cn/" TargetMode="External"/><Relationship Id="rId111" Type="http://schemas.openxmlformats.org/officeDocument/2006/relationships/hyperlink" Target="http://www.wlzq.com.cn/" TargetMode="External"/><Relationship Id="rId112" Type="http://schemas.openxmlformats.org/officeDocument/2006/relationships/hyperlink" Target="http://www.ewww.com.cn/" TargetMode="External"/><Relationship Id="rId113" Type="http://schemas.openxmlformats.org/officeDocument/2006/relationships/hyperlink" Target="http://www.i618.com.cn/" TargetMode="External"/><Relationship Id="rId114" Type="http://schemas.openxmlformats.org/officeDocument/2006/relationships/hyperlink" Target="http://sd.citics.com/" TargetMode="External"/><Relationship Id="rId115" Type="http://schemas.openxmlformats.org/officeDocument/2006/relationships/hyperlink" Target="http://www.dxzq.net.cn/" TargetMode="External"/><Relationship Id="rId116" Type="http://schemas.openxmlformats.org/officeDocument/2006/relationships/hyperlink" Target="http://www.dwzq.com.cn/" TargetMode="External"/><Relationship Id="rId117" Type="http://schemas.openxmlformats.org/officeDocument/2006/relationships/hyperlink" Target="http://www.cindasc.com/" TargetMode="External"/><Relationship Id="rId118" Type="http://schemas.openxmlformats.org/officeDocument/2006/relationships/hyperlink" Target="http://www.cgws.com/" TargetMode="External"/><Relationship Id="rId119" Type="http://schemas.openxmlformats.org/officeDocument/2006/relationships/hyperlink" Target="http://www.ebscn.com/" TargetMode="External"/><Relationship Id="rId120" Type="http://schemas.openxmlformats.org/officeDocument/2006/relationships/hyperlink" Target="http://www.gzs.com.cn/" TargetMode="External"/><Relationship Id="rId121" Type="http://schemas.openxmlformats.org/officeDocument/2006/relationships/hyperlink" Target="http://www.nesc.cn/" TargetMode="External"/><Relationship Id="rId122" Type="http://schemas.openxmlformats.org/officeDocument/2006/relationships/hyperlink" Target="http://www.njzq.com.cn/" TargetMode="External"/><Relationship Id="rId123" Type="http://schemas.openxmlformats.org/officeDocument/2006/relationships/hyperlink" Target="http://www.962518.com/" TargetMode="External"/><Relationship Id="rId124" Type="http://schemas.openxmlformats.org/officeDocument/2006/relationships/hyperlink" Target="http://www.xsdzq.cn/" TargetMode="External"/><Relationship Id="rId125" Type="http://schemas.openxmlformats.org/officeDocument/2006/relationships/hyperlink" Target="http://www.dtsbc.com.cn/" TargetMode="External"/><Relationship Id="rId126" Type="http://schemas.openxmlformats.org/officeDocument/2006/relationships/hyperlink" Target="http://www.glsc.com.cn/" TargetMode="External"/><Relationship Id="rId127" Type="http://schemas.openxmlformats.org/officeDocument/2006/relationships/hyperlink" Target="http://www.pingan.com/" TargetMode="External"/><Relationship Id="rId128" Type="http://schemas.openxmlformats.org/officeDocument/2006/relationships/hyperlink" Target="http://www.hazq.com/" TargetMode="External"/><Relationship Id="rId129" Type="http://schemas.openxmlformats.org/officeDocument/2006/relationships/hyperlink" Target="http://www.cfzq.com/" TargetMode="External"/><Relationship Id="rId130" Type="http://schemas.openxmlformats.org/officeDocument/2006/relationships/hyperlink" Target="http://www.ccnew.com/" TargetMode="External"/><Relationship Id="rId131" Type="http://schemas.openxmlformats.org/officeDocument/2006/relationships/hyperlink" Target="http://www.guodu.com/" TargetMode="External"/><Relationship Id="rId132" Type="http://schemas.openxmlformats.org/officeDocument/2006/relationships/hyperlink" Target="http://www.longone.com.cn/" TargetMode="External"/><Relationship Id="rId133" Type="http://schemas.openxmlformats.org/officeDocument/2006/relationships/hyperlink" Target="http://www.bocichina.com.cn/" TargetMode="External"/><Relationship Id="rId134" Type="http://schemas.openxmlformats.org/officeDocument/2006/relationships/hyperlink" Target="http://www.gszq.com/" TargetMode="External"/><Relationship Id="rId135" Type="http://schemas.openxmlformats.org/officeDocument/2006/relationships/hyperlink" Target="http://www.hx168.com.cn/" TargetMode="External"/><Relationship Id="rId136" Type="http://schemas.openxmlformats.org/officeDocument/2006/relationships/hyperlink" Target="http://www.hysec.com/" TargetMode="External"/><Relationship Id="rId137" Type="http://schemas.openxmlformats.org/officeDocument/2006/relationships/hyperlink" Target="http://www.zts.com.cn/" TargetMode="External"/><Relationship Id="rId138" Type="http://schemas.openxmlformats.org/officeDocument/2006/relationships/hyperlink" Target="http://www.csco.com.cn/" TargetMode="External"/><Relationship Id="rId139" Type="http://schemas.openxmlformats.org/officeDocument/2006/relationships/hyperlink" Target="http://www.firstcapital.com.cn/" TargetMode="External"/><Relationship Id="rId140" Type="http://schemas.openxmlformats.org/officeDocument/2006/relationships/hyperlink" Target="http://www.jyzq.cn/" TargetMode="External"/><Relationship Id="rId141" Type="http://schemas.openxmlformats.org/officeDocument/2006/relationships/hyperlink" Target="http://www.avicsec.com/" TargetMode="External"/><Relationship Id="rId142" Type="http://schemas.openxmlformats.org/officeDocument/2006/relationships/hyperlink" Target="http://www.westsecu.com/" TargetMode="External"/><Relationship Id="rId143" Type="http://schemas.openxmlformats.org/officeDocument/2006/relationships/hyperlink" Target="http://www.hfzq.com.cn/" TargetMode="External"/><Relationship Id="rId144" Type="http://schemas.openxmlformats.org/officeDocument/2006/relationships/hyperlink" Target="http://www.hlzqgs.com/" TargetMode="External"/><Relationship Id="rId145" Type="http://schemas.openxmlformats.org/officeDocument/2006/relationships/hyperlink" Target="http://www.cicc.com.cn/" TargetMode="External"/><Relationship Id="rId146" Type="http://schemas.openxmlformats.org/officeDocument/2006/relationships/hyperlink" Target="http://www.shhxzq.com/" TargetMode="External"/><Relationship Id="rId147" Type="http://schemas.openxmlformats.org/officeDocument/2006/relationships/hyperlink" Target="http://www.cfsc.com.cn/" TargetMode="External"/><Relationship Id="rId148" Type="http://schemas.openxmlformats.org/officeDocument/2006/relationships/hyperlink" Target="http://www.china-invs.cn/" TargetMode="External"/><Relationship Id="rId149" Type="http://schemas.openxmlformats.org/officeDocument/2006/relationships/hyperlink" Target="http://www.zszq.com/" TargetMode="External"/><Relationship Id="rId150" Type="http://schemas.openxmlformats.org/officeDocument/2006/relationships/hyperlink" Target="http://www.grzq.com/" TargetMode="External"/><Relationship Id="rId151" Type="http://schemas.openxmlformats.org/officeDocument/2006/relationships/hyperlink" Target="http://www.ykzq.com/" TargetMode="External"/><Relationship Id="rId152" Type="http://schemas.openxmlformats.org/officeDocument/2006/relationships/hyperlink" Target="http://www.jhzq.com.cn/" TargetMode="External"/><Relationship Id="rId153" Type="http://schemas.openxmlformats.org/officeDocument/2006/relationships/hyperlink" Target="http://www.gjzq.com.cn/" TargetMode="External"/><Relationship Id="rId154" Type="http://schemas.openxmlformats.org/officeDocument/2006/relationships/hyperlink" Target="http://www.ajzq.com/" TargetMode="External"/><Relationship Id="rId155" Type="http://schemas.openxmlformats.org/officeDocument/2006/relationships/hyperlink" Target="http://www.hrsec.com.cn/" TargetMode="External"/><Relationship Id="rId156" Type="http://schemas.openxmlformats.org/officeDocument/2006/relationships/hyperlink" Target="http://www.tfzq.com/" TargetMode="External"/><Relationship Id="rId157" Type="http://schemas.openxmlformats.org/officeDocument/2006/relationships/hyperlink" Target="http://www.wanhesec.com.cn/" TargetMode="External"/><Relationship Id="rId158" Type="http://schemas.openxmlformats.org/officeDocument/2006/relationships/hyperlink" Target="http://www.tpyzq.com/" TargetMode="External"/><Relationship Id="rId159" Type="http://schemas.openxmlformats.org/officeDocument/2006/relationships/hyperlink" Target="http://www.kysec.cn/" TargetMode="External"/><Relationship Id="rId160" Type="http://schemas.openxmlformats.org/officeDocument/2006/relationships/hyperlink" Target="http://www.cczp.com/" TargetMode="External"/><Relationship Id="rId161" Type="http://schemas.openxmlformats.org/officeDocument/2006/relationships/hyperlink" Target="http://www.lczq.com/" TargetMode="External"/><Relationship Id="rId162" Type="http://schemas.openxmlformats.org/officeDocument/2006/relationships/hyperlink" Target="http://www.huaruisales.com/" TargetMode="External"/><Relationship Id="rId163" Type="http://schemas.openxmlformats.org/officeDocument/2006/relationships/hyperlink" Target="http://fund.sinosig.com/" TargetMode="External"/><Relationship Id="rId164" Type="http://schemas.openxmlformats.org/officeDocument/2006/relationships/footer" Target="footer2.xml"/><Relationship Id="rId165" Type="http://schemas.openxmlformats.org/officeDocument/2006/relationships/footer" Target="footer3.xml"/><Relationship Id="rId166" Type="http://schemas.openxmlformats.org/officeDocument/2006/relationships/footer" Target="footer4.xml"/><Relationship Id="rId167" Type="http://schemas.openxmlformats.org/officeDocument/2006/relationships/footer" Target="footer5.xml"/><Relationship Id="rId168" Type="http://schemas.openxmlformats.org/officeDocument/2006/relationships/hyperlink" Target="mailto:service@ChinaAMC.com" TargetMode="External"/><Relationship Id="rId1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dcterms:created xsi:type="dcterms:W3CDTF">2020-11-22T13:54:27Z</dcterms:created>
  <dcterms:modified xsi:type="dcterms:W3CDTF">2020-11-22T13:54:27Z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