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png" ContentType="image/png"/>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5"/>
        <w:ind w:left="0"/>
        <w:rPr>
          <w:rFonts w:ascii="Times New Roman"/>
          <w:sz w:val="20"/>
        </w:rPr>
      </w:pPr>
    </w:p>
    <w:p>
      <w:pPr>
        <w:spacing w:line="324" w:lineRule="auto" w:before="49"/>
        <w:ind w:left="2688" w:right="1475" w:hanging="1988"/>
        <w:jc w:val="left"/>
        <w:rPr>
          <w:b/>
          <w:sz w:val="36"/>
        </w:rPr>
      </w:pPr>
      <w:r>
        <w:rPr>
          <w:b/>
          <w:sz w:val="36"/>
        </w:rPr>
        <w:t>恒生交易型开放式指数证券投资基金联接基金招募说明书（更新）</w:t>
      </w:r>
    </w:p>
    <w:p>
      <w:pPr>
        <w:spacing w:before="3"/>
        <w:ind w:left="2075" w:right="2121" w:firstLine="0"/>
        <w:jc w:val="center"/>
        <w:rPr>
          <w:b/>
          <w:sz w:val="36"/>
        </w:rPr>
      </w:pPr>
      <w:r>
        <w:rPr>
          <w:rFonts w:ascii="Times New Roman" w:eastAsia="Times New Roman"/>
          <w:b/>
          <w:sz w:val="36"/>
        </w:rPr>
        <w:t>2020 </w:t>
      </w:r>
      <w:r>
        <w:rPr>
          <w:b/>
          <w:sz w:val="36"/>
        </w:rPr>
        <w:t>年 </w:t>
      </w:r>
      <w:r>
        <w:rPr>
          <w:rFonts w:ascii="Times New Roman" w:eastAsia="Times New Roman"/>
          <w:b/>
          <w:sz w:val="36"/>
        </w:rPr>
        <w:t>9 </w:t>
      </w:r>
      <w:r>
        <w:rPr>
          <w:b/>
          <w:sz w:val="36"/>
        </w:rPr>
        <w:t>月 </w:t>
      </w:r>
      <w:r>
        <w:rPr>
          <w:rFonts w:ascii="Times New Roman" w:eastAsia="Times New Roman"/>
          <w:b/>
          <w:sz w:val="36"/>
        </w:rPr>
        <w:t>30 </w:t>
      </w:r>
      <w:r>
        <w:rPr>
          <w:b/>
          <w:sz w:val="36"/>
        </w:rPr>
        <w:t>日公告</w:t>
      </w:r>
    </w:p>
    <w:p>
      <w:pPr>
        <w:pStyle w:val="BodyText"/>
        <w:ind w:left="0"/>
        <w:rPr>
          <w:b/>
          <w:sz w:val="40"/>
        </w:rPr>
      </w:pPr>
    </w:p>
    <w:p>
      <w:pPr>
        <w:pStyle w:val="BodyText"/>
        <w:ind w:left="0"/>
        <w:rPr>
          <w:b/>
          <w:sz w:val="40"/>
        </w:rPr>
      </w:pPr>
    </w:p>
    <w:p>
      <w:pPr>
        <w:pStyle w:val="BodyText"/>
        <w:ind w:left="0"/>
        <w:rPr>
          <w:b/>
          <w:sz w:val="40"/>
        </w:rPr>
      </w:pPr>
    </w:p>
    <w:p>
      <w:pPr>
        <w:pStyle w:val="BodyText"/>
        <w:ind w:left="0"/>
        <w:rPr>
          <w:b/>
          <w:sz w:val="40"/>
        </w:rPr>
      </w:pPr>
    </w:p>
    <w:p>
      <w:pPr>
        <w:pStyle w:val="BodyText"/>
        <w:ind w:left="0"/>
        <w:rPr>
          <w:b/>
          <w:sz w:val="40"/>
        </w:rPr>
      </w:pPr>
    </w:p>
    <w:p>
      <w:pPr>
        <w:pStyle w:val="BodyText"/>
        <w:ind w:left="0"/>
        <w:rPr>
          <w:b/>
          <w:sz w:val="40"/>
        </w:rPr>
      </w:pPr>
    </w:p>
    <w:p>
      <w:pPr>
        <w:pStyle w:val="BodyText"/>
        <w:ind w:left="0"/>
        <w:rPr>
          <w:b/>
          <w:sz w:val="40"/>
        </w:rPr>
      </w:pPr>
    </w:p>
    <w:p>
      <w:pPr>
        <w:pStyle w:val="BodyText"/>
        <w:ind w:left="0"/>
        <w:rPr>
          <w:b/>
          <w:sz w:val="40"/>
        </w:rPr>
      </w:pPr>
    </w:p>
    <w:p>
      <w:pPr>
        <w:spacing w:line="364" w:lineRule="auto" w:before="298"/>
        <w:ind w:left="2166" w:right="2121" w:firstLine="0"/>
        <w:jc w:val="center"/>
        <w:rPr>
          <w:sz w:val="32"/>
        </w:rPr>
      </w:pPr>
      <w:r>
        <w:rPr>
          <w:sz w:val="32"/>
        </w:rPr>
        <w:t>基金管理人：华夏基金管理有限公司基金托管人：中国银行股份有限公司</w:t>
      </w:r>
    </w:p>
    <w:p>
      <w:pPr>
        <w:spacing w:after="0" w:line="364" w:lineRule="auto"/>
        <w:jc w:val="center"/>
        <w:rPr>
          <w:sz w:val="32"/>
        </w:rPr>
        <w:sectPr>
          <w:type w:val="continuous"/>
          <w:pgSz w:w="11910" w:h="16840"/>
          <w:pgMar w:top="1580" w:bottom="280" w:left="1580" w:right="920"/>
        </w:sectPr>
      </w:pPr>
    </w:p>
    <w:p>
      <w:pPr>
        <w:spacing w:before="110"/>
        <w:ind w:left="1468" w:right="2121" w:firstLine="0"/>
        <w:jc w:val="center"/>
        <w:rPr>
          <w:b/>
          <w:sz w:val="21"/>
        </w:rPr>
      </w:pPr>
      <w:r>
        <w:rPr>
          <w:b/>
          <w:sz w:val="21"/>
        </w:rPr>
        <w:t>重要提示</w:t>
      </w:r>
    </w:p>
    <w:p>
      <w:pPr>
        <w:pStyle w:val="BodyText"/>
        <w:spacing w:before="6"/>
        <w:ind w:left="0"/>
        <w:rPr>
          <w:b/>
          <w:sz w:val="15"/>
        </w:rPr>
      </w:pPr>
    </w:p>
    <w:p>
      <w:pPr>
        <w:pStyle w:val="BodyText"/>
        <w:spacing w:line="417" w:lineRule="auto"/>
        <w:ind w:left="220" w:right="870" w:firstLine="419"/>
        <w:jc w:val="both"/>
      </w:pPr>
      <w:r>
        <w:rPr/>
        <w:t>恒生交易型开放式指数证券投资基金联接基金（以下简称“本基金”）经中国证监会</w:t>
      </w:r>
      <w:r>
        <w:rPr>
          <w:rFonts w:ascii="Times New Roman" w:hAnsi="Times New Roman" w:eastAsia="Times New Roman"/>
        </w:rPr>
        <w:t>2012</w:t>
      </w:r>
      <w:r>
        <w:rPr/>
        <w:t>年</w:t>
      </w:r>
      <w:r>
        <w:rPr>
          <w:rFonts w:ascii="Times New Roman" w:hAnsi="Times New Roman" w:eastAsia="Times New Roman"/>
        </w:rPr>
        <w:t>6</w:t>
      </w:r>
      <w:r>
        <w:rPr/>
        <w:t>月</w:t>
      </w:r>
      <w:r>
        <w:rPr>
          <w:rFonts w:ascii="Times New Roman" w:hAnsi="Times New Roman" w:eastAsia="Times New Roman"/>
        </w:rPr>
        <w:t>14</w:t>
      </w:r>
      <w:r>
        <w:rPr/>
        <w:t>日证监许可</w:t>
      </w:r>
      <w:r>
        <w:rPr>
          <w:rFonts w:ascii="Times New Roman" w:hAnsi="Times New Roman" w:eastAsia="Times New Roman"/>
        </w:rPr>
        <w:t>[2012]822</w:t>
      </w:r>
      <w:r>
        <w:rPr/>
        <w:t>号文核准募集。本基金基金合同于</w:t>
      </w:r>
      <w:r>
        <w:rPr>
          <w:rFonts w:ascii="Times New Roman" w:hAnsi="Times New Roman" w:eastAsia="Times New Roman"/>
        </w:rPr>
        <w:t>2012</w:t>
      </w:r>
      <w:r>
        <w:rPr/>
        <w:t>年</w:t>
      </w:r>
      <w:r>
        <w:rPr>
          <w:rFonts w:ascii="Times New Roman" w:hAnsi="Times New Roman" w:eastAsia="Times New Roman"/>
        </w:rPr>
        <w:t>8</w:t>
      </w:r>
      <w:r>
        <w:rPr/>
        <w:t>月</w:t>
      </w:r>
      <w:r>
        <w:rPr>
          <w:rFonts w:ascii="Times New Roman" w:hAnsi="Times New Roman" w:eastAsia="Times New Roman"/>
        </w:rPr>
        <w:t>21</w:t>
      </w:r>
      <w:r>
        <w:rPr/>
        <w:t>日正式生效。根据基金管理人</w:t>
      </w:r>
      <w:r>
        <w:rPr>
          <w:rFonts w:ascii="Times New Roman" w:hAnsi="Times New Roman" w:eastAsia="Times New Roman"/>
        </w:rPr>
        <w:t>2018</w:t>
      </w:r>
      <w:r>
        <w:rPr/>
        <w:t>年</w:t>
      </w:r>
      <w:r>
        <w:rPr>
          <w:rFonts w:ascii="Times New Roman" w:hAnsi="Times New Roman" w:eastAsia="Times New Roman"/>
        </w:rPr>
        <w:t>9</w:t>
      </w:r>
      <w:r>
        <w:rPr/>
        <w:t>月</w:t>
      </w:r>
      <w:r>
        <w:rPr>
          <w:rFonts w:ascii="Times New Roman" w:hAnsi="Times New Roman" w:eastAsia="Times New Roman"/>
        </w:rPr>
        <w:t>14</w:t>
      </w:r>
      <w:r>
        <w:rPr/>
        <w:t>日刊登的《华夏基金管理有限公司关于修订华夏恒生</w:t>
      </w:r>
      <w:r>
        <w:rPr>
          <w:rFonts w:ascii="Times New Roman" w:hAnsi="Times New Roman" w:eastAsia="Times New Roman"/>
          <w:spacing w:val="-4"/>
        </w:rPr>
        <w:t>ETF </w:t>
      </w:r>
      <w:r>
        <w:rPr>
          <w:spacing w:val="-3"/>
        </w:rPr>
        <w:t>联接、华夏中证</w:t>
      </w:r>
      <w:r>
        <w:rPr>
          <w:rFonts w:ascii="Times New Roman" w:hAnsi="Times New Roman" w:eastAsia="Times New Roman"/>
        </w:rPr>
        <w:t>500ETF</w:t>
      </w:r>
      <w:r>
        <w:rPr>
          <w:spacing w:val="-3"/>
        </w:rPr>
        <w:t>联接、华夏上证</w:t>
      </w:r>
      <w:r>
        <w:rPr>
          <w:rFonts w:ascii="Times New Roman" w:hAnsi="Times New Roman" w:eastAsia="Times New Roman"/>
        </w:rPr>
        <w:t>50AH</w:t>
      </w:r>
      <w:r>
        <w:rPr>
          <w:spacing w:val="-3"/>
        </w:rPr>
        <w:t>优选指数（</w:t>
      </w:r>
      <w:r>
        <w:rPr>
          <w:rFonts w:ascii="Times New Roman" w:hAnsi="Times New Roman" w:eastAsia="Times New Roman"/>
          <w:spacing w:val="-3"/>
        </w:rPr>
        <w:t>LOF</w:t>
      </w:r>
      <w:r>
        <w:rPr>
          <w:spacing w:val="-3"/>
        </w:rPr>
        <w:t>）</w:t>
      </w:r>
      <w:r>
        <w:rPr>
          <w:spacing w:val="-4"/>
        </w:rPr>
        <w:t>基金合同的公告》及《华夏</w:t>
      </w:r>
      <w:r>
        <w:rPr>
          <w:spacing w:val="-3"/>
        </w:rPr>
        <w:t>基金管理有限公司关于华夏恒生</w:t>
      </w:r>
      <w:r>
        <w:rPr>
          <w:rFonts w:ascii="Times New Roman" w:hAnsi="Times New Roman" w:eastAsia="Times New Roman"/>
          <w:spacing w:val="-1"/>
        </w:rPr>
        <w:t>ETF</w:t>
      </w:r>
      <w:r>
        <w:rPr>
          <w:spacing w:val="-3"/>
        </w:rPr>
        <w:t>联接、华夏中证</w:t>
      </w:r>
      <w:r>
        <w:rPr>
          <w:rFonts w:ascii="Times New Roman" w:hAnsi="Times New Roman" w:eastAsia="Times New Roman"/>
        </w:rPr>
        <w:t>500ETF</w:t>
      </w:r>
      <w:r>
        <w:rPr>
          <w:spacing w:val="-2"/>
        </w:rPr>
        <w:t>联接、华夏上证</w:t>
      </w:r>
      <w:r>
        <w:rPr>
          <w:rFonts w:ascii="Times New Roman" w:hAnsi="Times New Roman" w:eastAsia="Times New Roman"/>
        </w:rPr>
        <w:t>50AH</w:t>
      </w:r>
      <w:r>
        <w:rPr>
          <w:spacing w:val="-3"/>
        </w:rPr>
        <w:t>优选指数</w:t>
      </w:r>
    </w:p>
    <w:p>
      <w:pPr>
        <w:pStyle w:val="BodyText"/>
        <w:spacing w:line="417" w:lineRule="auto"/>
        <w:ind w:right="871" w:hanging="420"/>
      </w:pPr>
      <w:r>
        <w:rPr/>
        <w:t>（</w:t>
      </w:r>
      <w:r>
        <w:rPr>
          <w:rFonts w:ascii="Times New Roman" w:eastAsia="Times New Roman"/>
        </w:rPr>
        <w:t>LOF</w:t>
      </w:r>
      <w:r>
        <w:rPr/>
        <w:t>）增加</w:t>
      </w:r>
      <w:r>
        <w:rPr>
          <w:rFonts w:ascii="Times New Roman" w:eastAsia="Times New Roman"/>
        </w:rPr>
        <w:t>C</w:t>
      </w:r>
      <w:r>
        <w:rPr>
          <w:spacing w:val="-12"/>
        </w:rPr>
        <w:t>类基金份额的公告》，本基金自</w:t>
      </w:r>
      <w:r>
        <w:rPr>
          <w:rFonts w:ascii="Times New Roman" w:eastAsia="Times New Roman"/>
        </w:rPr>
        <w:t>2018</w:t>
      </w:r>
      <w:r>
        <w:rPr>
          <w:spacing w:val="-3"/>
        </w:rPr>
        <w:t>年</w:t>
      </w:r>
      <w:r>
        <w:rPr>
          <w:rFonts w:ascii="Times New Roman" w:eastAsia="Times New Roman"/>
        </w:rPr>
        <w:t>9</w:t>
      </w:r>
      <w:r>
        <w:rPr/>
        <w:t>月</w:t>
      </w:r>
      <w:r>
        <w:rPr>
          <w:rFonts w:ascii="Times New Roman" w:eastAsia="Times New Roman"/>
        </w:rPr>
        <w:t>19</w:t>
      </w:r>
      <w:r>
        <w:rPr>
          <w:spacing w:val="-3"/>
        </w:rPr>
        <w:t>日起增加</w:t>
      </w:r>
      <w:r>
        <w:rPr>
          <w:rFonts w:ascii="Times New Roman" w:eastAsia="Times New Roman"/>
        </w:rPr>
        <w:t>C</w:t>
      </w:r>
      <w:r>
        <w:rPr>
          <w:spacing w:val="-3"/>
        </w:rPr>
        <w:t>类基金份额类别。  </w:t>
      </w:r>
      <w:r>
        <w:rPr>
          <w:spacing w:val="-8"/>
        </w:rPr>
        <w:t>基金管理人保证本招募说明书的内容真实、准确、完整。本招募说明书经中国证监会核</w:t>
      </w:r>
    </w:p>
    <w:p>
      <w:pPr>
        <w:pStyle w:val="BodyText"/>
        <w:spacing w:line="417" w:lineRule="auto"/>
        <w:ind w:left="220" w:right="871"/>
      </w:pPr>
      <w:r>
        <w:rPr>
          <w:spacing w:val="-11"/>
        </w:rPr>
        <w:t>准，但中国证监会对本基金募集的核准，并不表明其对本基金的价值和收益作出实质性判断</w:t>
      </w:r>
      <w:r>
        <w:rPr>
          <w:spacing w:val="-6"/>
        </w:rPr>
        <w:t>或保证，也不表明投资于本基金没有风险。</w:t>
      </w:r>
    </w:p>
    <w:p>
      <w:pPr>
        <w:pStyle w:val="BodyText"/>
        <w:spacing w:line="417" w:lineRule="auto"/>
        <w:ind w:left="220" w:right="662" w:firstLine="419"/>
      </w:pPr>
      <w:r>
        <w:rPr>
          <w:spacing w:val="-3"/>
        </w:rPr>
        <w:t>本基金为恒生</w:t>
      </w:r>
      <w:r>
        <w:rPr>
          <w:rFonts w:ascii="Times New Roman" w:eastAsia="Times New Roman"/>
        </w:rPr>
        <w:t>ETF</w:t>
      </w:r>
      <w:r>
        <w:rPr>
          <w:spacing w:val="-3"/>
        </w:rPr>
        <w:t>的联接基金，基金净值会因为恒生</w:t>
      </w:r>
      <w:r>
        <w:rPr>
          <w:rFonts w:ascii="Times New Roman" w:eastAsia="Times New Roman"/>
          <w:spacing w:val="-2"/>
        </w:rPr>
        <w:t>ETF</w:t>
      </w:r>
      <w:r>
        <w:rPr>
          <w:spacing w:val="-3"/>
        </w:rPr>
        <w:t>净值波动等因素产生波动，恒 生</w:t>
      </w:r>
      <w:r>
        <w:rPr>
          <w:rFonts w:ascii="Times New Roman" w:eastAsia="Times New Roman"/>
          <w:spacing w:val="-2"/>
        </w:rPr>
        <w:t>ETF</w:t>
      </w:r>
      <w:r>
        <w:rPr>
          <w:spacing w:val="-7"/>
        </w:rPr>
        <w:t>主要跟踪香港市场的恒生指数，其投资的相关风险可能直接或间接成为本基金的风险。</w:t>
      </w:r>
      <w:r>
        <w:rPr>
          <w:spacing w:val="-10"/>
        </w:rPr>
        <w:t>投资者根据所持有的基金份额享受基金收益，同时承担相应的投资风险。本基金投资中的风 </w:t>
      </w:r>
      <w:r>
        <w:rPr>
          <w:spacing w:val="-5"/>
        </w:rPr>
        <w:t>险包括：香港市场政治、经济、社会等环境因素对证券价格产生影响而形成的系统性风险； </w:t>
      </w:r>
      <w:r>
        <w:rPr>
          <w:spacing w:val="-16"/>
        </w:rPr>
        <w:t>汇率风险；由于基金份额持有人连续大量赎回基金产生的流动性风险；本基金的特定风险等。</w:t>
      </w:r>
      <w:r>
        <w:rPr>
          <w:spacing w:val="-8"/>
        </w:rPr>
        <w:t>本基金为恒生</w:t>
      </w:r>
      <w:r>
        <w:rPr>
          <w:rFonts w:ascii="Times New Roman" w:eastAsia="Times New Roman"/>
        </w:rPr>
        <w:t>ETF</w:t>
      </w:r>
      <w:r>
        <w:rPr>
          <w:spacing w:val="-11"/>
        </w:rPr>
        <w:t>的联接基金，主要通过投资恒生</w:t>
      </w:r>
      <w:r>
        <w:rPr>
          <w:rFonts w:ascii="Times New Roman" w:eastAsia="Times New Roman"/>
          <w:spacing w:val="-2"/>
        </w:rPr>
        <w:t>ETF</w:t>
      </w:r>
      <w:r>
        <w:rPr>
          <w:spacing w:val="-10"/>
        </w:rPr>
        <w:t>紧密跟踪标的指数的表现，与恒生</w:t>
      </w:r>
      <w:r>
        <w:rPr>
          <w:rFonts w:ascii="Times New Roman" w:eastAsia="Times New Roman"/>
        </w:rPr>
        <w:t>ETF  </w:t>
      </w:r>
      <w:r>
        <w:rPr>
          <w:spacing w:val="-6"/>
        </w:rPr>
        <w:t>在投资方法、交易方式等方面存在着联系和区别。恒生</w:t>
      </w:r>
      <w:r>
        <w:rPr>
          <w:rFonts w:ascii="Times New Roman" w:eastAsia="Times New Roman"/>
        </w:rPr>
        <w:t>ETF</w:t>
      </w:r>
      <w:r>
        <w:rPr>
          <w:spacing w:val="-5"/>
        </w:rPr>
        <w:t>为股票型指数基金，因此本基金 </w:t>
      </w:r>
      <w:r>
        <w:rPr>
          <w:spacing w:val="-8"/>
        </w:rPr>
        <w:t>的风险与收益高于混合基金、债券基金与货币市场基金。根据</w:t>
      </w:r>
      <w:r>
        <w:rPr>
          <w:rFonts w:ascii="Times New Roman" w:eastAsia="Times New Roman"/>
        </w:rPr>
        <w:t>2017</w:t>
      </w:r>
      <w:r>
        <w:rPr/>
        <w:t>年</w:t>
      </w:r>
      <w:r>
        <w:rPr>
          <w:rFonts w:ascii="Times New Roman" w:eastAsia="Times New Roman"/>
          <w:spacing w:val="-3"/>
        </w:rPr>
        <w:t>7</w:t>
      </w:r>
      <w:r>
        <w:rPr/>
        <w:t>月</w:t>
      </w:r>
      <w:r>
        <w:rPr>
          <w:rFonts w:ascii="Times New Roman" w:eastAsia="Times New Roman"/>
        </w:rPr>
        <w:t>1</w:t>
      </w:r>
      <w:r>
        <w:rPr>
          <w:spacing w:val="-7"/>
        </w:rPr>
        <w:t>日施行的《证券期 </w:t>
      </w:r>
      <w:r>
        <w:rPr>
          <w:spacing w:val="-12"/>
        </w:rPr>
        <w:t>货投资者适当性管理办法》，基金管理人和销售机构已对本基金重新进行风险评级，风险评 </w:t>
      </w:r>
      <w:r>
        <w:rPr>
          <w:spacing w:val="-11"/>
        </w:rPr>
        <w:t>级行为不改变基金的实质性风险收益特征，但由于风险分类标准的变化，本基金的风险等级 </w:t>
      </w:r>
      <w:r>
        <w:rPr>
          <w:spacing w:val="-6"/>
        </w:rPr>
        <w:t>表述可能有相应变化，具体风险评级结果应以基金管理人和销售机构提供的评级结果为准。</w:t>
      </w:r>
    </w:p>
    <w:p>
      <w:pPr>
        <w:pStyle w:val="BodyText"/>
        <w:spacing w:line="417" w:lineRule="auto"/>
        <w:ind w:left="220" w:right="768" w:firstLine="419"/>
      </w:pPr>
      <w:r>
        <w:rPr>
          <w:spacing w:val="-3"/>
        </w:rPr>
        <w:t>本基金的目标</w:t>
      </w:r>
      <w:r>
        <w:rPr>
          <w:rFonts w:ascii="Times New Roman" w:eastAsia="Times New Roman"/>
        </w:rPr>
        <w:t>ETF</w:t>
      </w:r>
      <w:r>
        <w:rPr>
          <w:spacing w:val="-3"/>
        </w:rPr>
        <w:t>主要投资于香港市场以港币计价的金融工具，本基金除投资目标</w:t>
      </w:r>
      <w:r>
        <w:rPr>
          <w:rFonts w:ascii="Times New Roman" w:eastAsia="Times New Roman"/>
        </w:rPr>
        <w:t>ETF </w:t>
      </w:r>
      <w:r>
        <w:rPr>
          <w:spacing w:val="-3"/>
        </w:rPr>
        <w:t>外，也可能投资于香港市场，港币相对于人民币的汇率变化可能会影响本基金的资产净值， </w:t>
      </w:r>
      <w:r>
        <w:rPr>
          <w:spacing w:val="-9"/>
        </w:rPr>
        <w:t>从而对基金业绩产生影响。本基金同时以人民币和美元销售，美元申购赎回价格为按照基金</w:t>
      </w:r>
      <w:r>
        <w:rPr>
          <w:spacing w:val="-8"/>
        </w:rPr>
        <w:t>份额净值除以中国人民银行最新公布的人民币对美元汇率中间价计算的美元折算净值，由于</w:t>
      </w:r>
      <w:r>
        <w:rPr>
          <w:spacing w:val="-5"/>
        </w:rPr>
        <w:t>存在汇率波动，可能导致以美元计算的收益率和以人民币计算的收益率有所差异。</w:t>
      </w:r>
    </w:p>
    <w:p>
      <w:pPr>
        <w:pStyle w:val="BodyText"/>
        <w:spacing w:line="417" w:lineRule="auto"/>
        <w:ind w:left="220" w:right="768" w:firstLine="419"/>
      </w:pPr>
      <w:r>
        <w:rPr>
          <w:spacing w:val="-3"/>
        </w:rPr>
        <w:t>投资有风险，投资者在投资本基金之前，请仔细阅读本基金的招募说明书、基金合同、</w:t>
      </w:r>
      <w:r>
        <w:rPr>
          <w:spacing w:val="-11"/>
        </w:rPr>
        <w:t>基金产品资料概要，全面认识本基金的风险收益特征和产品特性，并充分考虑自身的风险承</w:t>
      </w:r>
      <w:r>
        <w:rPr>
          <w:spacing w:val="-6"/>
        </w:rPr>
        <w:t>受能力，理性判断市场，谨慎做出投资决策。基金的过往业绩并不预示其未来表现。</w:t>
      </w:r>
    </w:p>
    <w:p>
      <w:pPr>
        <w:pStyle w:val="BodyText"/>
      </w:pPr>
      <w:r>
        <w:rPr/>
        <w:t>基金产品资料概要编制、披露与更新要求，自《信息披露办法》实施之日起一年后开始</w:t>
      </w:r>
    </w:p>
    <w:p>
      <w:pPr>
        <w:spacing w:after="0"/>
        <w:sectPr>
          <w:headerReference w:type="default" r:id="rId5"/>
          <w:pgSz w:w="11910" w:h="16840"/>
          <w:pgMar w:header="705" w:footer="0" w:top="1420" w:bottom="280" w:left="1580" w:right="920"/>
        </w:sectPr>
      </w:pPr>
    </w:p>
    <w:p>
      <w:pPr>
        <w:pStyle w:val="BodyText"/>
        <w:spacing w:before="110"/>
        <w:ind w:left="220"/>
      </w:pPr>
      <w:r>
        <w:rPr/>
        <w:t>执行。</w:t>
      </w:r>
    </w:p>
    <w:p>
      <w:pPr>
        <w:pStyle w:val="BodyText"/>
        <w:spacing w:before="6"/>
        <w:ind w:left="0"/>
        <w:rPr>
          <w:sz w:val="15"/>
        </w:rPr>
      </w:pPr>
    </w:p>
    <w:p>
      <w:pPr>
        <w:pStyle w:val="BodyText"/>
        <w:spacing w:line="417" w:lineRule="auto"/>
        <w:ind w:left="220" w:right="875" w:firstLine="419"/>
      </w:pPr>
      <w:r>
        <w:rPr>
          <w:spacing w:val="-9"/>
        </w:rPr>
        <w:t>基金管理人依照恪尽职守、诚实信用、谨慎勤勉的原则管理和运用基金财产，但不保证</w:t>
      </w:r>
      <w:r>
        <w:rPr>
          <w:spacing w:val="-5"/>
        </w:rPr>
        <w:t>基金一定盈利，也不保证最低收益。</w:t>
      </w:r>
    </w:p>
    <w:p>
      <w:pPr>
        <w:pStyle w:val="BodyText"/>
        <w:spacing w:line="269" w:lineRule="exact"/>
      </w:pPr>
      <w:r>
        <w:rPr/>
        <w:t>投资者应当认真阅读并完全理解基金合同规定的免责条款和规定的争议处理方式。</w:t>
      </w:r>
    </w:p>
    <w:p>
      <w:pPr>
        <w:pStyle w:val="BodyText"/>
        <w:spacing w:before="7"/>
        <w:ind w:left="0"/>
        <w:rPr>
          <w:sz w:val="15"/>
        </w:rPr>
      </w:pPr>
    </w:p>
    <w:p>
      <w:pPr>
        <w:pStyle w:val="BodyText"/>
        <w:spacing w:line="417" w:lineRule="auto"/>
        <w:ind w:left="220" w:right="874" w:firstLine="419"/>
      </w:pPr>
      <w:r>
        <w:rPr>
          <w:spacing w:val="-3"/>
        </w:rPr>
        <w:t>本招募说明书所载内容截止日为</w:t>
      </w:r>
      <w:r>
        <w:rPr>
          <w:rFonts w:ascii="Times New Roman" w:eastAsia="Times New Roman"/>
        </w:rPr>
        <w:t>2020</w:t>
      </w:r>
      <w:r>
        <w:rPr/>
        <w:t>年</w:t>
      </w:r>
      <w:r>
        <w:rPr>
          <w:rFonts w:ascii="Times New Roman" w:eastAsia="Times New Roman"/>
          <w:spacing w:val="-3"/>
        </w:rPr>
        <w:t>9</w:t>
      </w:r>
      <w:r>
        <w:rPr/>
        <w:t>月</w:t>
      </w:r>
      <w:r>
        <w:rPr>
          <w:rFonts w:ascii="Times New Roman" w:eastAsia="Times New Roman"/>
        </w:rPr>
        <w:t>28</w:t>
      </w:r>
      <w:r>
        <w:rPr>
          <w:spacing w:val="-3"/>
        </w:rPr>
        <w:t>日，有关财务数据和净值表现数据截止日为</w:t>
      </w:r>
      <w:r>
        <w:rPr>
          <w:rFonts w:ascii="Times New Roman" w:eastAsia="Times New Roman"/>
          <w:spacing w:val="-3"/>
        </w:rPr>
        <w:t>2020</w:t>
      </w:r>
      <w:r>
        <w:rPr>
          <w:spacing w:val="-3"/>
        </w:rPr>
        <w:t>年</w:t>
      </w:r>
      <w:r>
        <w:rPr>
          <w:rFonts w:ascii="Times New Roman" w:eastAsia="Times New Roman"/>
          <w:spacing w:val="-3"/>
        </w:rPr>
        <w:t>6</w:t>
      </w:r>
      <w:r>
        <w:rPr/>
        <w:t>月</w:t>
      </w:r>
      <w:r>
        <w:rPr>
          <w:rFonts w:ascii="Times New Roman" w:eastAsia="Times New Roman"/>
        </w:rPr>
        <w:t>30</w:t>
      </w:r>
      <w:r>
        <w:rPr>
          <w:spacing w:val="-53"/>
        </w:rPr>
        <w:t>日。</w:t>
      </w:r>
      <w:r>
        <w:rPr>
          <w:spacing w:val="-3"/>
        </w:rPr>
        <w:t>（本招募说明书中的财务资料未经审计</w:t>
      </w:r>
      <w:r>
        <w:rPr/>
        <w:t>）</w:t>
      </w:r>
    </w:p>
    <w:p>
      <w:pPr>
        <w:spacing w:after="0" w:line="417" w:lineRule="auto"/>
        <w:sectPr>
          <w:pgSz w:w="11910" w:h="16840"/>
          <w:pgMar w:header="705" w:footer="0" w:top="1420" w:bottom="280" w:left="1580" w:right="920"/>
        </w:sectPr>
      </w:pPr>
    </w:p>
    <w:p>
      <w:pPr>
        <w:spacing w:before="110"/>
        <w:ind w:left="1770" w:right="2121" w:firstLine="0"/>
        <w:jc w:val="center"/>
        <w:rPr>
          <w:b/>
          <w:sz w:val="21"/>
        </w:rPr>
      </w:pPr>
      <w:r>
        <w:rPr>
          <w:b/>
          <w:sz w:val="21"/>
        </w:rPr>
        <w:t>目录</w:t>
      </w:r>
    </w:p>
    <w:sdt>
      <w:sdtPr>
        <w:docPartObj>
          <w:docPartGallery w:val="Table of Contents"/>
          <w:docPartUnique/>
        </w:docPartObj>
      </w:sdtPr>
      <w:sdtEndPr/>
      <w:sdtContent>
        <w:p>
          <w:pPr>
            <w:pStyle w:val="TOC1"/>
            <w:tabs>
              <w:tab w:pos="8518" w:val="right" w:leader="dot"/>
            </w:tabs>
            <w:rPr>
              <w:rFonts w:ascii="Times New Roman" w:eastAsia="Times New Roman"/>
            </w:rPr>
          </w:pPr>
          <w:hyperlink w:history="true" w:anchor="_bookmark0">
            <w:r>
              <w:rPr/>
              <w:t>一、</w:t>
            </w:r>
            <w:r>
              <w:rPr>
                <w:spacing w:val="-3"/>
              </w:rPr>
              <w:t>绪</w:t>
            </w:r>
            <w:r>
              <w:rPr/>
              <w:t>言</w:t>
              <w:tab/>
            </w:r>
            <w:r>
              <w:rPr>
                <w:rFonts w:ascii="Times New Roman" w:eastAsia="Times New Roman"/>
              </w:rPr>
              <w:t>1</w:t>
            </w:r>
          </w:hyperlink>
        </w:p>
        <w:p>
          <w:pPr>
            <w:pStyle w:val="TOC1"/>
            <w:tabs>
              <w:tab w:pos="8518" w:val="right" w:leader="dot"/>
            </w:tabs>
            <w:rPr>
              <w:rFonts w:ascii="Times New Roman" w:eastAsia="Times New Roman"/>
            </w:rPr>
          </w:pPr>
          <w:hyperlink w:history="true" w:anchor="_bookmark1">
            <w:r>
              <w:rPr/>
              <w:t>二、</w:t>
            </w:r>
            <w:r>
              <w:rPr>
                <w:spacing w:val="-3"/>
              </w:rPr>
              <w:t>释</w:t>
            </w:r>
            <w:r>
              <w:rPr/>
              <w:t>义</w:t>
              <w:tab/>
            </w:r>
            <w:r>
              <w:rPr>
                <w:rFonts w:ascii="Times New Roman" w:eastAsia="Times New Roman"/>
              </w:rPr>
              <w:t>1</w:t>
            </w:r>
          </w:hyperlink>
        </w:p>
        <w:p>
          <w:pPr>
            <w:pStyle w:val="TOC1"/>
            <w:tabs>
              <w:tab w:pos="8518" w:val="right" w:leader="dot"/>
            </w:tabs>
            <w:rPr>
              <w:rFonts w:ascii="Times New Roman" w:eastAsia="Times New Roman"/>
            </w:rPr>
          </w:pPr>
          <w:hyperlink w:history="true" w:anchor="_bookmark2">
            <w:r>
              <w:rPr/>
              <w:t>三、</w:t>
            </w:r>
            <w:r>
              <w:rPr>
                <w:spacing w:val="-3"/>
              </w:rPr>
              <w:t>风</w:t>
            </w:r>
            <w:r>
              <w:rPr/>
              <w:t>险</w:t>
            </w:r>
            <w:r>
              <w:rPr>
                <w:spacing w:val="-3"/>
              </w:rPr>
              <w:t>揭</w:t>
            </w:r>
            <w:r>
              <w:rPr/>
              <w:t>示</w:t>
              <w:tab/>
            </w:r>
            <w:r>
              <w:rPr>
                <w:rFonts w:ascii="Times New Roman" w:eastAsia="Times New Roman"/>
              </w:rPr>
              <w:t>5</w:t>
            </w:r>
          </w:hyperlink>
        </w:p>
        <w:p>
          <w:pPr>
            <w:pStyle w:val="TOC1"/>
            <w:tabs>
              <w:tab w:pos="8518" w:val="right" w:leader="dot"/>
            </w:tabs>
            <w:spacing w:before="198"/>
            <w:rPr>
              <w:rFonts w:ascii="Times New Roman" w:eastAsia="Times New Roman"/>
            </w:rPr>
          </w:pPr>
          <w:hyperlink w:history="true" w:anchor="_bookmark3">
            <w:r>
              <w:rPr/>
              <w:t>四、</w:t>
            </w:r>
            <w:r>
              <w:rPr>
                <w:spacing w:val="-3"/>
              </w:rPr>
              <w:t>基</w:t>
            </w:r>
            <w:r>
              <w:rPr/>
              <w:t>金</w:t>
            </w:r>
            <w:r>
              <w:rPr>
                <w:spacing w:val="-3"/>
              </w:rPr>
              <w:t>的</w:t>
            </w:r>
            <w:r>
              <w:rPr/>
              <w:t>投资</w:t>
              <w:tab/>
            </w:r>
            <w:r>
              <w:rPr>
                <w:rFonts w:ascii="Times New Roman" w:eastAsia="Times New Roman"/>
              </w:rPr>
              <w:t>10</w:t>
            </w:r>
          </w:hyperlink>
        </w:p>
        <w:p>
          <w:pPr>
            <w:pStyle w:val="TOC1"/>
            <w:tabs>
              <w:tab w:pos="8518" w:val="right" w:leader="dot"/>
            </w:tabs>
            <w:rPr>
              <w:rFonts w:ascii="Times New Roman" w:eastAsia="Times New Roman"/>
            </w:rPr>
          </w:pPr>
          <w:hyperlink w:history="true" w:anchor="_bookmark4">
            <w:r>
              <w:rPr/>
              <w:t>五、</w:t>
            </w:r>
            <w:r>
              <w:rPr>
                <w:spacing w:val="-3"/>
              </w:rPr>
              <w:t>基</w:t>
            </w:r>
            <w:r>
              <w:rPr/>
              <w:t>金</w:t>
            </w:r>
            <w:r>
              <w:rPr>
                <w:spacing w:val="-3"/>
              </w:rPr>
              <w:t>的</w:t>
            </w:r>
            <w:r>
              <w:rPr/>
              <w:t>业绩</w:t>
              <w:tab/>
            </w:r>
            <w:r>
              <w:rPr>
                <w:rFonts w:ascii="Times New Roman" w:eastAsia="Times New Roman"/>
              </w:rPr>
              <w:t>17</w:t>
            </w:r>
          </w:hyperlink>
        </w:p>
        <w:p>
          <w:pPr>
            <w:pStyle w:val="TOC1"/>
            <w:tabs>
              <w:tab w:pos="8518" w:val="right" w:leader="dot"/>
            </w:tabs>
            <w:rPr>
              <w:rFonts w:ascii="Times New Roman" w:eastAsia="Times New Roman"/>
            </w:rPr>
          </w:pPr>
          <w:hyperlink w:history="true" w:anchor="_bookmark5">
            <w:r>
              <w:rPr/>
              <w:t>六、</w:t>
            </w:r>
            <w:r>
              <w:rPr>
                <w:spacing w:val="-3"/>
              </w:rPr>
              <w:t>基</w:t>
            </w:r>
            <w:r>
              <w:rPr/>
              <w:t>金</w:t>
            </w:r>
            <w:r>
              <w:rPr>
                <w:spacing w:val="-3"/>
              </w:rPr>
              <w:t>管</w:t>
            </w:r>
            <w:r>
              <w:rPr/>
              <w:t>理人</w:t>
              <w:tab/>
            </w:r>
            <w:r>
              <w:rPr>
                <w:rFonts w:ascii="Times New Roman" w:eastAsia="Times New Roman"/>
              </w:rPr>
              <w:t>18</w:t>
            </w:r>
          </w:hyperlink>
        </w:p>
        <w:p>
          <w:pPr>
            <w:pStyle w:val="TOC1"/>
            <w:tabs>
              <w:tab w:pos="8518" w:val="right" w:leader="dot"/>
            </w:tabs>
            <w:spacing w:before="200"/>
            <w:rPr>
              <w:rFonts w:ascii="Times New Roman" w:eastAsia="Times New Roman"/>
            </w:rPr>
          </w:pPr>
          <w:hyperlink w:history="true" w:anchor="_bookmark6">
            <w:r>
              <w:rPr/>
              <w:t>七、</w:t>
            </w:r>
            <w:r>
              <w:rPr>
                <w:spacing w:val="-3"/>
              </w:rPr>
              <w:t>基</w:t>
            </w:r>
            <w:r>
              <w:rPr/>
              <w:t>金</w:t>
            </w:r>
            <w:r>
              <w:rPr>
                <w:spacing w:val="-3"/>
              </w:rPr>
              <w:t>的</w:t>
            </w:r>
            <w:r>
              <w:rPr/>
              <w:t>募集</w:t>
              <w:tab/>
            </w:r>
            <w:r>
              <w:rPr>
                <w:rFonts w:ascii="Times New Roman" w:eastAsia="Times New Roman"/>
              </w:rPr>
              <w:t>26</w:t>
            </w:r>
          </w:hyperlink>
        </w:p>
        <w:p>
          <w:pPr>
            <w:pStyle w:val="TOC1"/>
            <w:tabs>
              <w:tab w:pos="8518" w:val="right" w:leader="dot"/>
            </w:tabs>
            <w:rPr>
              <w:rFonts w:ascii="Times New Roman" w:eastAsia="Times New Roman"/>
            </w:rPr>
          </w:pPr>
          <w:hyperlink w:history="true" w:anchor="_bookmark7">
            <w:r>
              <w:rPr/>
              <w:t>八、</w:t>
            </w:r>
            <w:r>
              <w:rPr>
                <w:spacing w:val="-3"/>
              </w:rPr>
              <w:t>基</w:t>
            </w:r>
            <w:r>
              <w:rPr/>
              <w:t>金</w:t>
            </w:r>
            <w:r>
              <w:rPr>
                <w:spacing w:val="-3"/>
              </w:rPr>
              <w:t>合</w:t>
            </w:r>
            <w:r>
              <w:rPr/>
              <w:t>同</w:t>
            </w:r>
            <w:r>
              <w:rPr>
                <w:spacing w:val="-3"/>
              </w:rPr>
              <w:t>的</w:t>
            </w:r>
            <w:r>
              <w:rPr/>
              <w:t>生效</w:t>
              <w:tab/>
            </w:r>
            <w:r>
              <w:rPr>
                <w:rFonts w:ascii="Times New Roman" w:eastAsia="Times New Roman"/>
              </w:rPr>
              <w:t>27</w:t>
            </w:r>
          </w:hyperlink>
        </w:p>
        <w:p>
          <w:pPr>
            <w:pStyle w:val="TOC1"/>
            <w:tabs>
              <w:tab w:pos="8518" w:val="right" w:leader="dot"/>
            </w:tabs>
            <w:rPr>
              <w:rFonts w:ascii="Times New Roman" w:eastAsia="Times New Roman"/>
            </w:rPr>
          </w:pPr>
          <w:hyperlink w:history="true" w:anchor="_bookmark8">
            <w:r>
              <w:rPr/>
              <w:t>九、</w:t>
            </w:r>
            <w:r>
              <w:rPr>
                <w:spacing w:val="-3"/>
              </w:rPr>
              <w:t>基</w:t>
            </w:r>
            <w:r>
              <w:rPr/>
              <w:t>金</w:t>
            </w:r>
            <w:r>
              <w:rPr>
                <w:spacing w:val="-3"/>
              </w:rPr>
              <w:t>份</w:t>
            </w:r>
            <w:r>
              <w:rPr/>
              <w:t>额</w:t>
            </w:r>
            <w:r>
              <w:rPr>
                <w:spacing w:val="-3"/>
              </w:rPr>
              <w:t>的</w:t>
            </w:r>
            <w:r>
              <w:rPr/>
              <w:t>申</w:t>
            </w:r>
            <w:r>
              <w:rPr>
                <w:spacing w:val="-3"/>
              </w:rPr>
              <w:t>购</w:t>
            </w:r>
            <w:r>
              <w:rPr/>
              <w:t>与</w:t>
            </w:r>
            <w:r>
              <w:rPr>
                <w:spacing w:val="-3"/>
              </w:rPr>
              <w:t>赎</w:t>
            </w:r>
            <w:r>
              <w:rPr/>
              <w:t>回</w:t>
              <w:tab/>
            </w:r>
            <w:r>
              <w:rPr>
                <w:rFonts w:ascii="Times New Roman" w:eastAsia="Times New Roman"/>
              </w:rPr>
              <w:t>27</w:t>
            </w:r>
          </w:hyperlink>
        </w:p>
        <w:p>
          <w:pPr>
            <w:pStyle w:val="TOC1"/>
            <w:tabs>
              <w:tab w:pos="8518" w:val="right" w:leader="dot"/>
            </w:tabs>
            <w:rPr>
              <w:rFonts w:ascii="Times New Roman" w:eastAsia="Times New Roman"/>
            </w:rPr>
          </w:pPr>
          <w:hyperlink w:history="true" w:anchor="_bookmark9">
            <w:r>
              <w:rPr/>
              <w:t>十、</w:t>
            </w:r>
            <w:r>
              <w:rPr>
                <w:spacing w:val="-3"/>
              </w:rPr>
              <w:t>基</w:t>
            </w:r>
            <w:r>
              <w:rPr/>
              <w:t>金</w:t>
            </w:r>
            <w:r>
              <w:rPr>
                <w:spacing w:val="-3"/>
              </w:rPr>
              <w:t>的</w:t>
            </w:r>
            <w:r>
              <w:rPr/>
              <w:t>费</w:t>
            </w:r>
            <w:r>
              <w:rPr>
                <w:spacing w:val="-3"/>
              </w:rPr>
              <w:t>用</w:t>
            </w:r>
            <w:r>
              <w:rPr/>
              <w:t>与</w:t>
            </w:r>
            <w:r>
              <w:rPr>
                <w:spacing w:val="-3"/>
              </w:rPr>
              <w:t>税</w:t>
            </w:r>
            <w:r>
              <w:rPr/>
              <w:t>收</w:t>
              <w:tab/>
            </w:r>
            <w:r>
              <w:rPr>
                <w:rFonts w:ascii="Times New Roman" w:eastAsia="Times New Roman"/>
              </w:rPr>
              <w:t>40</w:t>
            </w:r>
          </w:hyperlink>
        </w:p>
        <w:p>
          <w:pPr>
            <w:pStyle w:val="TOC1"/>
            <w:tabs>
              <w:tab w:pos="8518" w:val="right" w:leader="dot"/>
            </w:tabs>
            <w:rPr>
              <w:rFonts w:ascii="Times New Roman" w:eastAsia="Times New Roman"/>
            </w:rPr>
          </w:pPr>
          <w:hyperlink w:history="true" w:anchor="_bookmark10">
            <w:r>
              <w:rPr/>
              <w:t>十一</w:t>
            </w:r>
            <w:r>
              <w:rPr>
                <w:spacing w:val="-3"/>
              </w:rPr>
              <w:t>、</w:t>
            </w:r>
            <w:r>
              <w:rPr/>
              <w:t>基</w:t>
            </w:r>
            <w:r>
              <w:rPr>
                <w:spacing w:val="-3"/>
              </w:rPr>
              <w:t>金</w:t>
            </w:r>
            <w:r>
              <w:rPr/>
              <w:t>的</w:t>
            </w:r>
            <w:r>
              <w:rPr>
                <w:spacing w:val="-3"/>
              </w:rPr>
              <w:t>财</w:t>
            </w:r>
            <w:r>
              <w:rPr/>
              <w:t>产</w:t>
              <w:tab/>
            </w:r>
            <w:r>
              <w:rPr>
                <w:rFonts w:ascii="Times New Roman" w:eastAsia="Times New Roman"/>
              </w:rPr>
              <w:t>43</w:t>
            </w:r>
          </w:hyperlink>
        </w:p>
        <w:p>
          <w:pPr>
            <w:pStyle w:val="TOC1"/>
            <w:tabs>
              <w:tab w:pos="8518" w:val="right" w:leader="dot"/>
            </w:tabs>
            <w:rPr>
              <w:rFonts w:ascii="Times New Roman" w:eastAsia="Times New Roman"/>
            </w:rPr>
          </w:pPr>
          <w:hyperlink w:history="true" w:anchor="_bookmark11">
            <w:r>
              <w:rPr/>
              <w:t>十二</w:t>
            </w:r>
            <w:r>
              <w:rPr>
                <w:spacing w:val="-3"/>
              </w:rPr>
              <w:t>、</w:t>
            </w:r>
            <w:r>
              <w:rPr/>
              <w:t>基</w:t>
            </w:r>
            <w:r>
              <w:rPr>
                <w:spacing w:val="-3"/>
              </w:rPr>
              <w:t>金</w:t>
            </w:r>
            <w:r>
              <w:rPr/>
              <w:t>资</w:t>
            </w:r>
            <w:r>
              <w:rPr>
                <w:spacing w:val="-3"/>
              </w:rPr>
              <w:t>产</w:t>
            </w:r>
            <w:r>
              <w:rPr/>
              <w:t>的</w:t>
            </w:r>
            <w:r>
              <w:rPr>
                <w:spacing w:val="-3"/>
              </w:rPr>
              <w:t>估</w:t>
            </w:r>
            <w:r>
              <w:rPr/>
              <w:t>值</w:t>
              <w:tab/>
            </w:r>
            <w:r>
              <w:rPr>
                <w:rFonts w:ascii="Times New Roman" w:eastAsia="Times New Roman"/>
              </w:rPr>
              <w:t>44</w:t>
            </w:r>
          </w:hyperlink>
        </w:p>
        <w:p>
          <w:pPr>
            <w:pStyle w:val="TOC1"/>
            <w:tabs>
              <w:tab w:pos="8518" w:val="right" w:leader="dot"/>
            </w:tabs>
            <w:spacing w:before="198"/>
            <w:rPr>
              <w:rFonts w:ascii="Times New Roman" w:eastAsia="Times New Roman"/>
            </w:rPr>
          </w:pPr>
          <w:hyperlink w:history="true" w:anchor="_bookmark12">
            <w:r>
              <w:rPr/>
              <w:t>十三</w:t>
            </w:r>
            <w:r>
              <w:rPr>
                <w:spacing w:val="-3"/>
              </w:rPr>
              <w:t>、</w:t>
            </w:r>
            <w:r>
              <w:rPr/>
              <w:t>基</w:t>
            </w:r>
            <w:r>
              <w:rPr>
                <w:spacing w:val="-3"/>
              </w:rPr>
              <w:t>金</w:t>
            </w:r>
            <w:r>
              <w:rPr/>
              <w:t>的</w:t>
            </w:r>
            <w:r>
              <w:rPr>
                <w:spacing w:val="-3"/>
              </w:rPr>
              <w:t>收</w:t>
            </w:r>
            <w:r>
              <w:rPr/>
              <w:t>益</w:t>
            </w:r>
            <w:r>
              <w:rPr>
                <w:spacing w:val="-3"/>
              </w:rPr>
              <w:t>与</w:t>
            </w:r>
            <w:r>
              <w:rPr/>
              <w:t>分配</w:t>
              <w:tab/>
            </w:r>
            <w:r>
              <w:rPr>
                <w:rFonts w:ascii="Times New Roman" w:eastAsia="Times New Roman"/>
              </w:rPr>
              <w:t>47</w:t>
            </w:r>
          </w:hyperlink>
        </w:p>
        <w:p>
          <w:pPr>
            <w:pStyle w:val="TOC1"/>
            <w:tabs>
              <w:tab w:pos="8518" w:val="right" w:leader="dot"/>
            </w:tabs>
            <w:spacing w:before="200"/>
            <w:rPr>
              <w:rFonts w:ascii="Times New Roman" w:eastAsia="Times New Roman"/>
            </w:rPr>
          </w:pPr>
          <w:hyperlink w:history="true" w:anchor="_bookmark13">
            <w:r>
              <w:rPr/>
              <w:t>十四</w:t>
            </w:r>
            <w:r>
              <w:rPr>
                <w:spacing w:val="-3"/>
              </w:rPr>
              <w:t>、</w:t>
            </w:r>
            <w:r>
              <w:rPr/>
              <w:t>基</w:t>
            </w:r>
            <w:r>
              <w:rPr>
                <w:spacing w:val="-3"/>
              </w:rPr>
              <w:t>金</w:t>
            </w:r>
            <w:r>
              <w:rPr/>
              <w:t>的</w:t>
            </w:r>
            <w:r>
              <w:rPr>
                <w:spacing w:val="-3"/>
              </w:rPr>
              <w:t>会</w:t>
            </w:r>
            <w:r>
              <w:rPr/>
              <w:t>计</w:t>
            </w:r>
            <w:r>
              <w:rPr>
                <w:spacing w:val="-3"/>
              </w:rPr>
              <w:t>与</w:t>
            </w:r>
            <w:r>
              <w:rPr/>
              <w:t>审计</w:t>
              <w:tab/>
            </w:r>
            <w:r>
              <w:rPr>
                <w:rFonts w:ascii="Times New Roman" w:eastAsia="Times New Roman"/>
              </w:rPr>
              <w:t>49</w:t>
            </w:r>
          </w:hyperlink>
        </w:p>
        <w:p>
          <w:pPr>
            <w:pStyle w:val="TOC1"/>
            <w:tabs>
              <w:tab w:pos="8518" w:val="right" w:leader="dot"/>
            </w:tabs>
            <w:rPr>
              <w:rFonts w:ascii="Times New Roman" w:eastAsia="Times New Roman"/>
            </w:rPr>
          </w:pPr>
          <w:hyperlink w:history="true" w:anchor="_bookmark14">
            <w:r>
              <w:rPr/>
              <w:t>十五</w:t>
            </w:r>
            <w:r>
              <w:rPr>
                <w:spacing w:val="-3"/>
              </w:rPr>
              <w:t>、</w:t>
            </w:r>
            <w:r>
              <w:rPr/>
              <w:t>基</w:t>
            </w:r>
            <w:r>
              <w:rPr>
                <w:spacing w:val="-3"/>
              </w:rPr>
              <w:t>金</w:t>
            </w:r>
            <w:r>
              <w:rPr/>
              <w:t>的</w:t>
            </w:r>
            <w:r>
              <w:rPr>
                <w:spacing w:val="-3"/>
              </w:rPr>
              <w:t>信</w:t>
            </w:r>
            <w:r>
              <w:rPr/>
              <w:t>息</w:t>
            </w:r>
            <w:r>
              <w:rPr>
                <w:spacing w:val="-3"/>
              </w:rPr>
              <w:t>披</w:t>
            </w:r>
            <w:r>
              <w:rPr/>
              <w:t>露</w:t>
              <w:tab/>
            </w:r>
            <w:r>
              <w:rPr>
                <w:rFonts w:ascii="Times New Roman" w:eastAsia="Times New Roman"/>
              </w:rPr>
              <w:t>49</w:t>
            </w:r>
          </w:hyperlink>
        </w:p>
        <w:p>
          <w:pPr>
            <w:pStyle w:val="TOC1"/>
            <w:tabs>
              <w:tab w:pos="8518" w:val="right" w:leader="dot"/>
            </w:tabs>
            <w:rPr>
              <w:rFonts w:ascii="Times New Roman" w:eastAsia="Times New Roman"/>
            </w:rPr>
          </w:pPr>
          <w:hyperlink w:history="true" w:anchor="_bookmark15">
            <w:r>
              <w:rPr/>
              <w:t>十六</w:t>
            </w:r>
            <w:r>
              <w:rPr>
                <w:spacing w:val="-3"/>
              </w:rPr>
              <w:t>、</w:t>
            </w:r>
            <w:r>
              <w:rPr/>
              <w:t>基</w:t>
            </w:r>
            <w:r>
              <w:rPr>
                <w:spacing w:val="-3"/>
              </w:rPr>
              <w:t>金</w:t>
            </w:r>
            <w:r>
              <w:rPr/>
              <w:t>合</w:t>
            </w:r>
            <w:r>
              <w:rPr>
                <w:spacing w:val="-3"/>
              </w:rPr>
              <w:t>同</w:t>
            </w:r>
            <w:r>
              <w:rPr/>
              <w:t>的</w:t>
            </w:r>
            <w:r>
              <w:rPr>
                <w:spacing w:val="-3"/>
              </w:rPr>
              <w:t>变</w:t>
            </w:r>
            <w:r>
              <w:rPr/>
              <w:t>更</w:t>
            </w:r>
            <w:r>
              <w:rPr>
                <w:spacing w:val="-3"/>
              </w:rPr>
              <w:t>、</w:t>
            </w:r>
            <w:r>
              <w:rPr/>
              <w:t>终止</w:t>
            </w:r>
            <w:r>
              <w:rPr>
                <w:spacing w:val="-3"/>
              </w:rPr>
              <w:t>与</w:t>
            </w:r>
            <w:r>
              <w:rPr/>
              <w:t>基</w:t>
            </w:r>
            <w:r>
              <w:rPr>
                <w:spacing w:val="-3"/>
              </w:rPr>
              <w:t>金</w:t>
            </w:r>
            <w:r>
              <w:rPr/>
              <w:t>财</w:t>
            </w:r>
            <w:r>
              <w:rPr>
                <w:spacing w:val="-3"/>
              </w:rPr>
              <w:t>产</w:t>
            </w:r>
            <w:r>
              <w:rPr/>
              <w:t>的</w:t>
            </w:r>
            <w:r>
              <w:rPr>
                <w:spacing w:val="-3"/>
              </w:rPr>
              <w:t>清</w:t>
            </w:r>
            <w:r>
              <w:rPr/>
              <w:t>算</w:t>
              <w:tab/>
            </w:r>
            <w:r>
              <w:rPr>
                <w:rFonts w:ascii="Times New Roman" w:eastAsia="Times New Roman"/>
              </w:rPr>
              <w:t>54</w:t>
            </w:r>
          </w:hyperlink>
        </w:p>
        <w:p>
          <w:pPr>
            <w:pStyle w:val="TOC1"/>
            <w:tabs>
              <w:tab w:pos="8518" w:val="right" w:leader="dot"/>
            </w:tabs>
            <w:rPr>
              <w:rFonts w:ascii="Times New Roman" w:eastAsia="Times New Roman"/>
            </w:rPr>
          </w:pPr>
          <w:hyperlink w:history="true" w:anchor="_bookmark16">
            <w:r>
              <w:rPr/>
              <w:t>十七</w:t>
            </w:r>
            <w:r>
              <w:rPr>
                <w:spacing w:val="-3"/>
              </w:rPr>
              <w:t>、</w:t>
            </w:r>
            <w:r>
              <w:rPr/>
              <w:t>基</w:t>
            </w:r>
            <w:r>
              <w:rPr>
                <w:spacing w:val="-3"/>
              </w:rPr>
              <w:t>金</w:t>
            </w:r>
            <w:r>
              <w:rPr/>
              <w:t>托</w:t>
            </w:r>
            <w:r>
              <w:rPr>
                <w:spacing w:val="-3"/>
              </w:rPr>
              <w:t>管</w:t>
            </w:r>
            <w:r>
              <w:rPr/>
              <w:t>人</w:t>
              <w:tab/>
            </w:r>
            <w:r>
              <w:rPr>
                <w:rFonts w:ascii="Times New Roman" w:eastAsia="Times New Roman"/>
              </w:rPr>
              <w:t>56</w:t>
            </w:r>
          </w:hyperlink>
        </w:p>
        <w:p>
          <w:pPr>
            <w:pStyle w:val="TOC1"/>
            <w:tabs>
              <w:tab w:pos="8518" w:val="right" w:leader="dot"/>
            </w:tabs>
            <w:rPr>
              <w:rFonts w:ascii="Times New Roman" w:eastAsia="Times New Roman"/>
            </w:rPr>
          </w:pPr>
          <w:hyperlink w:history="true" w:anchor="_bookmark17">
            <w:r>
              <w:rPr/>
              <w:t>十八</w:t>
            </w:r>
            <w:r>
              <w:rPr>
                <w:spacing w:val="-3"/>
              </w:rPr>
              <w:t>、</w:t>
            </w:r>
            <w:r>
              <w:rPr/>
              <w:t>境</w:t>
            </w:r>
            <w:r>
              <w:rPr>
                <w:spacing w:val="-3"/>
              </w:rPr>
              <w:t>外</w:t>
            </w:r>
            <w:r>
              <w:rPr/>
              <w:t>资</w:t>
            </w:r>
            <w:r>
              <w:rPr>
                <w:spacing w:val="-3"/>
              </w:rPr>
              <w:t>产</w:t>
            </w:r>
            <w:r>
              <w:rPr/>
              <w:t>托</w:t>
            </w:r>
            <w:r>
              <w:rPr>
                <w:spacing w:val="-3"/>
              </w:rPr>
              <w:t>管</w:t>
            </w:r>
            <w:r>
              <w:rPr/>
              <w:t>人</w:t>
              <w:tab/>
            </w:r>
            <w:r>
              <w:rPr>
                <w:rFonts w:ascii="Times New Roman" w:eastAsia="Times New Roman"/>
              </w:rPr>
              <w:t>58</w:t>
            </w:r>
          </w:hyperlink>
        </w:p>
        <w:p>
          <w:pPr>
            <w:pStyle w:val="TOC1"/>
            <w:tabs>
              <w:tab w:pos="8518" w:val="right" w:leader="dot"/>
            </w:tabs>
            <w:rPr>
              <w:rFonts w:ascii="Times New Roman" w:eastAsia="Times New Roman"/>
            </w:rPr>
          </w:pPr>
          <w:hyperlink w:history="true" w:anchor="_bookmark18">
            <w:r>
              <w:rPr/>
              <w:t>十九</w:t>
            </w:r>
            <w:r>
              <w:rPr>
                <w:spacing w:val="-3"/>
              </w:rPr>
              <w:t>、</w:t>
            </w:r>
            <w:r>
              <w:rPr/>
              <w:t>相</w:t>
            </w:r>
            <w:r>
              <w:rPr>
                <w:spacing w:val="-3"/>
              </w:rPr>
              <w:t>关</w:t>
            </w:r>
            <w:r>
              <w:rPr/>
              <w:t>服</w:t>
            </w:r>
            <w:r>
              <w:rPr>
                <w:spacing w:val="-3"/>
              </w:rPr>
              <w:t>务</w:t>
            </w:r>
            <w:r>
              <w:rPr/>
              <w:t>机构</w:t>
              <w:tab/>
            </w:r>
            <w:r>
              <w:rPr>
                <w:rFonts w:ascii="Times New Roman" w:eastAsia="Times New Roman"/>
              </w:rPr>
              <w:t>59</w:t>
            </w:r>
          </w:hyperlink>
        </w:p>
        <w:p>
          <w:pPr>
            <w:pStyle w:val="TOC1"/>
            <w:tabs>
              <w:tab w:pos="8521" w:val="right" w:leader="dot"/>
            </w:tabs>
            <w:spacing w:before="198"/>
            <w:rPr>
              <w:rFonts w:ascii="Times New Roman" w:eastAsia="Times New Roman"/>
            </w:rPr>
          </w:pPr>
          <w:hyperlink w:history="true" w:anchor="_bookmark19">
            <w:r>
              <w:rPr/>
              <w:t>二十</w:t>
            </w:r>
            <w:r>
              <w:rPr>
                <w:spacing w:val="-3"/>
              </w:rPr>
              <w:t>、</w:t>
            </w:r>
            <w:r>
              <w:rPr/>
              <w:t>基</w:t>
            </w:r>
            <w:r>
              <w:rPr>
                <w:spacing w:val="-3"/>
              </w:rPr>
              <w:t>金</w:t>
            </w:r>
            <w:r>
              <w:rPr/>
              <w:t>合</w:t>
            </w:r>
            <w:r>
              <w:rPr>
                <w:spacing w:val="-3"/>
              </w:rPr>
              <w:t>同</w:t>
            </w:r>
            <w:r>
              <w:rPr/>
              <w:t>的</w:t>
            </w:r>
            <w:r>
              <w:rPr>
                <w:spacing w:val="-3"/>
              </w:rPr>
              <w:t>内</w:t>
            </w:r>
            <w:r>
              <w:rPr/>
              <w:t>容</w:t>
            </w:r>
            <w:r>
              <w:rPr>
                <w:spacing w:val="-3"/>
              </w:rPr>
              <w:t>摘</w:t>
            </w:r>
            <w:r>
              <w:rPr/>
              <w:t>要</w:t>
              <w:tab/>
            </w:r>
            <w:r>
              <w:rPr>
                <w:rFonts w:ascii="Times New Roman" w:eastAsia="Times New Roman"/>
                <w:spacing w:val="-3"/>
              </w:rPr>
              <w:t>116</w:t>
            </w:r>
          </w:hyperlink>
        </w:p>
        <w:p>
          <w:pPr>
            <w:pStyle w:val="TOC1"/>
            <w:tabs>
              <w:tab w:pos="8521" w:val="right" w:leader="dot"/>
            </w:tabs>
            <w:spacing w:before="200"/>
            <w:rPr>
              <w:rFonts w:ascii="Times New Roman" w:eastAsia="Times New Roman"/>
            </w:rPr>
          </w:pPr>
          <w:hyperlink w:history="true" w:anchor="_bookmark20">
            <w:r>
              <w:rPr/>
              <w:t>二十</w:t>
            </w:r>
            <w:r>
              <w:rPr>
                <w:spacing w:val="-3"/>
              </w:rPr>
              <w:t>一</w:t>
            </w:r>
            <w:r>
              <w:rPr/>
              <w:t>、</w:t>
            </w:r>
            <w:r>
              <w:rPr>
                <w:spacing w:val="-3"/>
              </w:rPr>
              <w:t>基</w:t>
            </w:r>
            <w:r>
              <w:rPr/>
              <w:t>金</w:t>
            </w:r>
            <w:r>
              <w:rPr>
                <w:spacing w:val="-3"/>
              </w:rPr>
              <w:t>托</w:t>
            </w:r>
            <w:r>
              <w:rPr/>
              <w:t>管</w:t>
            </w:r>
            <w:r>
              <w:rPr>
                <w:spacing w:val="-3"/>
              </w:rPr>
              <w:t>协</w:t>
            </w:r>
            <w:r>
              <w:rPr/>
              <w:t>议</w:t>
            </w:r>
            <w:r>
              <w:rPr>
                <w:spacing w:val="-3"/>
              </w:rPr>
              <w:t>的</w:t>
            </w:r>
            <w:r>
              <w:rPr/>
              <w:t>内容</w:t>
            </w:r>
            <w:r>
              <w:rPr>
                <w:spacing w:val="-3"/>
              </w:rPr>
              <w:t>摘</w:t>
            </w:r>
            <w:r>
              <w:rPr/>
              <w:t>要</w:t>
              <w:tab/>
            </w:r>
            <w:r>
              <w:rPr>
                <w:rFonts w:ascii="Times New Roman" w:eastAsia="Times New Roman"/>
              </w:rPr>
              <w:t>128</w:t>
            </w:r>
          </w:hyperlink>
        </w:p>
        <w:p>
          <w:pPr>
            <w:pStyle w:val="TOC1"/>
            <w:tabs>
              <w:tab w:pos="8521" w:val="right" w:leader="dot"/>
            </w:tabs>
            <w:rPr>
              <w:rFonts w:ascii="Times New Roman" w:eastAsia="Times New Roman"/>
            </w:rPr>
          </w:pPr>
          <w:hyperlink w:history="true" w:anchor="_bookmark21">
            <w:r>
              <w:rPr/>
              <w:t>二十</w:t>
            </w:r>
            <w:r>
              <w:rPr>
                <w:spacing w:val="-3"/>
              </w:rPr>
              <w:t>二</w:t>
            </w:r>
            <w:r>
              <w:rPr/>
              <w:t>、</w:t>
            </w:r>
            <w:r>
              <w:rPr>
                <w:spacing w:val="-3"/>
              </w:rPr>
              <w:t>对</w:t>
            </w:r>
            <w:r>
              <w:rPr/>
              <w:t>基</w:t>
            </w:r>
            <w:r>
              <w:rPr>
                <w:spacing w:val="-3"/>
              </w:rPr>
              <w:t>金</w:t>
            </w:r>
            <w:r>
              <w:rPr/>
              <w:t>份</w:t>
            </w:r>
            <w:r>
              <w:rPr>
                <w:spacing w:val="-3"/>
              </w:rPr>
              <w:t>额</w:t>
            </w:r>
            <w:r>
              <w:rPr/>
              <w:t>持</w:t>
            </w:r>
            <w:r>
              <w:rPr>
                <w:spacing w:val="-3"/>
              </w:rPr>
              <w:t>有</w:t>
            </w:r>
            <w:r>
              <w:rPr/>
              <w:t>人的</w:t>
            </w:r>
            <w:r>
              <w:rPr>
                <w:spacing w:val="-3"/>
              </w:rPr>
              <w:t>服</w:t>
            </w:r>
            <w:r>
              <w:rPr/>
              <w:t>务</w:t>
              <w:tab/>
            </w:r>
            <w:r>
              <w:rPr>
                <w:rFonts w:ascii="Times New Roman" w:eastAsia="Times New Roman"/>
              </w:rPr>
              <w:t>135</w:t>
            </w:r>
          </w:hyperlink>
        </w:p>
        <w:p>
          <w:pPr>
            <w:pStyle w:val="TOC1"/>
            <w:tabs>
              <w:tab w:pos="8521" w:val="right" w:leader="dot"/>
            </w:tabs>
            <w:rPr>
              <w:rFonts w:ascii="Times New Roman" w:eastAsia="Times New Roman"/>
            </w:rPr>
          </w:pPr>
          <w:hyperlink w:history="true" w:anchor="_bookmark22">
            <w:r>
              <w:rPr/>
              <w:t>二十</w:t>
            </w:r>
            <w:r>
              <w:rPr>
                <w:spacing w:val="-3"/>
              </w:rPr>
              <w:t>三</w:t>
            </w:r>
            <w:r>
              <w:rPr/>
              <w:t>、</w:t>
            </w:r>
            <w:r>
              <w:rPr>
                <w:spacing w:val="-3"/>
              </w:rPr>
              <w:t>其</w:t>
            </w:r>
            <w:r>
              <w:rPr/>
              <w:t>他</w:t>
            </w:r>
            <w:r>
              <w:rPr>
                <w:spacing w:val="-3"/>
              </w:rPr>
              <w:t>应</w:t>
            </w:r>
            <w:r>
              <w:rPr/>
              <w:t>披</w:t>
            </w:r>
            <w:r>
              <w:rPr>
                <w:spacing w:val="-3"/>
              </w:rPr>
              <w:t>露</w:t>
            </w:r>
            <w:r>
              <w:rPr/>
              <w:t>事项</w:t>
              <w:tab/>
            </w:r>
            <w:r>
              <w:rPr>
                <w:rFonts w:ascii="Times New Roman" w:eastAsia="Times New Roman"/>
              </w:rPr>
              <w:t>137</w:t>
            </w:r>
          </w:hyperlink>
        </w:p>
        <w:p>
          <w:pPr>
            <w:pStyle w:val="TOC1"/>
            <w:tabs>
              <w:tab w:pos="8521" w:val="right" w:leader="dot"/>
            </w:tabs>
            <w:rPr>
              <w:rFonts w:ascii="Times New Roman" w:eastAsia="Times New Roman"/>
            </w:rPr>
          </w:pPr>
          <w:hyperlink w:history="true" w:anchor="_bookmark23">
            <w:r>
              <w:rPr/>
              <w:t>二十</w:t>
            </w:r>
            <w:r>
              <w:rPr>
                <w:spacing w:val="-3"/>
              </w:rPr>
              <w:t>四</w:t>
            </w:r>
            <w:r>
              <w:rPr/>
              <w:t>、</w:t>
            </w:r>
            <w:r>
              <w:rPr>
                <w:spacing w:val="-3"/>
              </w:rPr>
              <w:t>招</w:t>
            </w:r>
            <w:r>
              <w:rPr/>
              <w:t>募</w:t>
            </w:r>
            <w:r>
              <w:rPr>
                <w:spacing w:val="-3"/>
              </w:rPr>
              <w:t>说</w:t>
            </w:r>
            <w:r>
              <w:rPr/>
              <w:t>明</w:t>
            </w:r>
            <w:r>
              <w:rPr>
                <w:spacing w:val="-3"/>
              </w:rPr>
              <w:t>书</w:t>
            </w:r>
            <w:r>
              <w:rPr/>
              <w:t>存</w:t>
            </w:r>
            <w:r>
              <w:rPr>
                <w:spacing w:val="-3"/>
              </w:rPr>
              <w:t>放</w:t>
            </w:r>
            <w:r>
              <w:rPr/>
              <w:t>及查</w:t>
            </w:r>
            <w:r>
              <w:rPr>
                <w:spacing w:val="-3"/>
              </w:rPr>
              <w:t>阅</w:t>
            </w:r>
            <w:r>
              <w:rPr/>
              <w:t>方式</w:t>
              <w:tab/>
            </w:r>
            <w:r>
              <w:rPr>
                <w:rFonts w:ascii="Times New Roman" w:eastAsia="Times New Roman"/>
              </w:rPr>
              <w:t>138</w:t>
            </w:r>
          </w:hyperlink>
        </w:p>
        <w:p>
          <w:pPr>
            <w:pStyle w:val="TOC1"/>
            <w:tabs>
              <w:tab w:pos="8521" w:val="right" w:leader="dot"/>
            </w:tabs>
            <w:rPr>
              <w:rFonts w:ascii="Times New Roman" w:eastAsia="Times New Roman"/>
            </w:rPr>
          </w:pPr>
          <w:hyperlink w:history="true" w:anchor="_bookmark24">
            <w:r>
              <w:rPr/>
              <w:t>二十</w:t>
            </w:r>
            <w:r>
              <w:rPr>
                <w:spacing w:val="-3"/>
              </w:rPr>
              <w:t>五</w:t>
            </w:r>
            <w:r>
              <w:rPr/>
              <w:t>、</w:t>
            </w:r>
            <w:r>
              <w:rPr>
                <w:spacing w:val="-3"/>
              </w:rPr>
              <w:t>备</w:t>
            </w:r>
            <w:r>
              <w:rPr/>
              <w:t>查</w:t>
            </w:r>
            <w:r>
              <w:rPr>
                <w:spacing w:val="-3"/>
              </w:rPr>
              <w:t>文</w:t>
            </w:r>
            <w:r>
              <w:rPr/>
              <w:t>件</w:t>
              <w:tab/>
            </w:r>
            <w:r>
              <w:rPr>
                <w:rFonts w:ascii="Times New Roman" w:eastAsia="Times New Roman"/>
              </w:rPr>
              <w:t>138</w:t>
            </w:r>
          </w:hyperlink>
        </w:p>
      </w:sdtContent>
    </w:sdt>
    <w:p>
      <w:pPr>
        <w:spacing w:after="0"/>
        <w:rPr>
          <w:rFonts w:ascii="Times New Roman" w:eastAsia="Times New Roman"/>
        </w:rPr>
        <w:sectPr>
          <w:pgSz w:w="11910" w:h="16840"/>
          <w:pgMar w:header="705" w:footer="0" w:top="1420" w:bottom="280" w:left="1580" w:right="920"/>
        </w:sectPr>
      </w:pPr>
    </w:p>
    <w:p>
      <w:pPr>
        <w:pStyle w:val="BodyText"/>
        <w:ind w:left="0"/>
        <w:rPr>
          <w:rFonts w:ascii="Times New Roman"/>
          <w:sz w:val="20"/>
        </w:rPr>
      </w:pPr>
    </w:p>
    <w:p>
      <w:pPr>
        <w:pStyle w:val="BodyText"/>
        <w:spacing w:before="2"/>
        <w:ind w:left="0"/>
        <w:rPr>
          <w:rFonts w:ascii="Times New Roman"/>
          <w:sz w:val="19"/>
        </w:rPr>
      </w:pPr>
    </w:p>
    <w:p>
      <w:pPr>
        <w:pStyle w:val="Heading1"/>
      </w:pPr>
      <w:bookmarkStart w:name="_bookmark0" w:id="1"/>
      <w:bookmarkEnd w:id="1"/>
      <w:r>
        <w:rPr>
          <w:b w:val="0"/>
        </w:rPr>
      </w:r>
      <w:r>
        <w:rPr/>
        <w:t>一、绪言</w:t>
      </w:r>
    </w:p>
    <w:p>
      <w:pPr>
        <w:pStyle w:val="BodyText"/>
        <w:ind w:left="0"/>
        <w:rPr>
          <w:b/>
          <w:sz w:val="20"/>
        </w:rPr>
      </w:pPr>
    </w:p>
    <w:p>
      <w:pPr>
        <w:pStyle w:val="BodyText"/>
        <w:spacing w:before="1"/>
        <w:ind w:left="0"/>
        <w:rPr>
          <w:b/>
          <w:sz w:val="20"/>
        </w:rPr>
      </w:pPr>
    </w:p>
    <w:p>
      <w:pPr>
        <w:pStyle w:val="BodyText"/>
        <w:spacing w:line="388" w:lineRule="auto"/>
        <w:ind w:left="220" w:right="883" w:firstLine="419"/>
        <w:jc w:val="both"/>
      </w:pPr>
      <w:r>
        <w:rPr>
          <w:spacing w:val="-3"/>
        </w:rPr>
        <w:t>《恒生交易型开放式指数证券投资基金联接基金招募说明书（</w:t>
      </w:r>
      <w:r>
        <w:rPr>
          <w:spacing w:val="-2"/>
        </w:rPr>
        <w:t>更新</w:t>
      </w:r>
      <w:r>
        <w:rPr>
          <w:spacing w:val="-106"/>
        </w:rPr>
        <w:t>）》</w:t>
      </w:r>
      <w:r>
        <w:rPr>
          <w:spacing w:val="-3"/>
        </w:rPr>
        <w:t>（以下简称“本</w:t>
      </w:r>
      <w:r>
        <w:rPr>
          <w:spacing w:val="-3"/>
          <w:w w:val="100"/>
        </w:rPr>
        <w:t>招募说明书”</w:t>
      </w:r>
      <w:r>
        <w:rPr>
          <w:spacing w:val="-17"/>
          <w:w w:val="100"/>
        </w:rPr>
        <w:t>）</w:t>
      </w:r>
      <w:r>
        <w:rPr>
          <w:spacing w:val="-5"/>
          <w:w w:val="100"/>
        </w:rPr>
        <w:t>依据《中华人民共和国证券投资基金法</w:t>
      </w:r>
      <w:r>
        <w:rPr>
          <w:spacing w:val="-125"/>
          <w:w w:val="100"/>
        </w:rPr>
        <w:t>》</w:t>
      </w:r>
      <w:r>
        <w:rPr>
          <w:w w:val="100"/>
        </w:rPr>
        <w:t>（</w:t>
      </w:r>
      <w:r>
        <w:rPr>
          <w:spacing w:val="-8"/>
          <w:w w:val="100"/>
        </w:rPr>
        <w:t>以下简称“《基金法》”</w:t>
      </w:r>
      <w:r>
        <w:rPr>
          <w:spacing w:val="-106"/>
          <w:w w:val="100"/>
        </w:rPr>
        <w:t>）</w:t>
      </w:r>
      <w:r>
        <w:rPr>
          <w:spacing w:val="-42"/>
          <w:w w:val="100"/>
        </w:rPr>
        <w:t>、《证</w:t>
      </w:r>
      <w:r>
        <w:rPr>
          <w:spacing w:val="-20"/>
          <w:w w:val="100"/>
        </w:rPr>
        <w:t>券投资基金销售管理办法》</w:t>
      </w:r>
      <w:r>
        <w:rPr>
          <w:w w:val="100"/>
        </w:rPr>
        <w:t>（</w:t>
      </w:r>
      <w:r>
        <w:rPr>
          <w:spacing w:val="-3"/>
          <w:w w:val="100"/>
        </w:rPr>
        <w:t>以下简称“《销售办法》”</w:t>
      </w:r>
      <w:r>
        <w:rPr>
          <w:spacing w:val="-106"/>
          <w:w w:val="100"/>
        </w:rPr>
        <w:t>）</w:t>
      </w:r>
      <w:r>
        <w:rPr>
          <w:spacing w:val="-12"/>
          <w:w w:val="100"/>
        </w:rPr>
        <w:t>、《证券投资基金运作管理办法》</w:t>
      </w:r>
    </w:p>
    <w:p>
      <w:pPr>
        <w:pStyle w:val="BodyText"/>
        <w:spacing w:line="388" w:lineRule="auto" w:before="3"/>
        <w:ind w:left="220" w:right="986"/>
        <w:jc w:val="both"/>
      </w:pPr>
      <w:r>
        <w:rPr>
          <w:spacing w:val="-1"/>
          <w:w w:val="100"/>
        </w:rPr>
        <w:t>（</w:t>
      </w:r>
      <w:r>
        <w:rPr>
          <w:spacing w:val="-22"/>
          <w:w w:val="100"/>
        </w:rPr>
        <w:t>以下简称“《运作办法》”</w:t>
      </w:r>
      <w:r>
        <w:rPr>
          <w:spacing w:val="-106"/>
          <w:w w:val="100"/>
        </w:rPr>
        <w:t>）</w:t>
      </w:r>
      <w:r>
        <w:rPr>
          <w:spacing w:val="-17"/>
          <w:w w:val="100"/>
        </w:rPr>
        <w:t>、《公开募集证券投资基金信息披露管理办法</w:t>
      </w:r>
      <w:r>
        <w:rPr>
          <w:spacing w:val="-212"/>
          <w:w w:val="100"/>
        </w:rPr>
        <w:t>（</w:t>
      </w:r>
      <w:r>
        <w:rPr>
          <w:spacing w:val="-17"/>
          <w:w w:val="100"/>
        </w:rPr>
        <w:t>》以下简称“《信</w:t>
      </w:r>
      <w:r>
        <w:rPr>
          <w:spacing w:val="-7"/>
          <w:w w:val="100"/>
        </w:rPr>
        <w:t>息披露办法》”</w:t>
      </w:r>
      <w:r>
        <w:rPr>
          <w:spacing w:val="-106"/>
          <w:w w:val="100"/>
        </w:rPr>
        <w:t>）</w:t>
      </w:r>
      <w:r>
        <w:rPr>
          <w:spacing w:val="-14"/>
          <w:w w:val="100"/>
        </w:rPr>
        <w:t>、《合格境内机构投资者境外证券投资管理试行办法</w:t>
      </w:r>
      <w:r>
        <w:rPr>
          <w:spacing w:val="-135"/>
          <w:w w:val="100"/>
        </w:rPr>
        <w:t>》</w:t>
      </w:r>
      <w:r>
        <w:rPr>
          <w:w w:val="100"/>
        </w:rPr>
        <w:t>（</w:t>
      </w:r>
      <w:r>
        <w:rPr>
          <w:spacing w:val="-7"/>
          <w:w w:val="100"/>
        </w:rPr>
        <w:t>以下简称“《试行办法》”</w:t>
      </w:r>
      <w:r>
        <w:rPr>
          <w:spacing w:val="-108"/>
          <w:w w:val="100"/>
        </w:rPr>
        <w:t>）</w:t>
      </w:r>
      <w:r>
        <w:rPr>
          <w:spacing w:val="-14"/>
          <w:w w:val="100"/>
        </w:rPr>
        <w:t>、《公开募集开放式证券投资基金流动性风险管理规定》</w:t>
      </w:r>
      <w:r>
        <w:rPr>
          <w:rFonts w:ascii="Times New Roman" w:hAnsi="Times New Roman" w:eastAsia="Times New Roman"/>
          <w:spacing w:val="-1"/>
          <w:w w:val="100"/>
        </w:rPr>
        <w:t>(</w:t>
      </w:r>
      <w:r>
        <w:rPr>
          <w:spacing w:val="-6"/>
          <w:w w:val="100"/>
        </w:rPr>
        <w:t>以下简称“《流动性风</w:t>
      </w:r>
      <w:r>
        <w:rPr>
          <w:spacing w:val="-9"/>
        </w:rPr>
        <w:t>险管理规定》”</w:t>
      </w:r>
      <w:r>
        <w:rPr>
          <w:rFonts w:ascii="Times New Roman" w:hAnsi="Times New Roman" w:eastAsia="Times New Roman"/>
        </w:rPr>
        <w:t>)</w:t>
      </w:r>
      <w:r>
        <w:rPr>
          <w:spacing w:val="-7"/>
        </w:rPr>
        <w:t>及其他有关规定以及《恒生交易型开放式指数证券投资基金联接基金基金</w:t>
      </w:r>
      <w:r>
        <w:rPr>
          <w:spacing w:val="-1"/>
        </w:rPr>
        <w:t>合同》</w:t>
      </w:r>
      <w:r>
        <w:rPr/>
        <w:t>（</w:t>
      </w:r>
      <w:r>
        <w:rPr>
          <w:spacing w:val="-3"/>
        </w:rPr>
        <w:t>以下简称“基金合同”</w:t>
      </w:r>
      <w:r>
        <w:rPr/>
        <w:t>）</w:t>
      </w:r>
      <w:r>
        <w:rPr>
          <w:spacing w:val="-2"/>
        </w:rPr>
        <w:t>编写。</w:t>
      </w:r>
    </w:p>
    <w:p>
      <w:pPr>
        <w:pStyle w:val="BodyText"/>
        <w:spacing w:line="388" w:lineRule="auto" w:before="5"/>
        <w:ind w:left="220" w:right="986" w:firstLine="419"/>
        <w:jc w:val="both"/>
      </w:pPr>
      <w:r>
        <w:rPr>
          <w:spacing w:val="-3"/>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 或对本招募说明书作任何解释或者说明。</w:t>
      </w:r>
    </w:p>
    <w:p>
      <w:pPr>
        <w:pStyle w:val="BodyText"/>
        <w:spacing w:line="388" w:lineRule="auto" w:before="4"/>
        <w:ind w:left="220" w:right="986" w:firstLine="419"/>
        <w:jc w:val="both"/>
      </w:pPr>
      <w:r>
        <w:rPr>
          <w:spacing w:val="-3"/>
        </w:rPr>
        <w:t>本招募说明书根据本基金的基金合同编写，并经中国证监会核准。基金合同是约定基金合同当事人之间基本权利义务的法律文件，其他与本基金相关的涉及基金合同当事人之间权利义务关系的任何文件或表述，均以基金合同为准。基金合同的当事人包括基金管理人、基金托管人和基金份额持有人。基金投资者自依基金合同取得本基金基金份额，即成为基金份额持有人和基金合同的当事人，其持有基金份额的行为本身即表明其对基金合同的承认和接受。基金份额持有人作为基金合同当事人并不以在基金合同上书面签章为必要</w:t>
      </w:r>
      <w:r>
        <w:rPr>
          <w:spacing w:val="-18"/>
        </w:rPr>
        <w:t>条件。基金合同当事人按照《基金法》、基金合同及其他有关规定享有权利、承担义务。基</w:t>
      </w:r>
      <w:r>
        <w:rPr>
          <w:spacing w:val="-7"/>
        </w:rPr>
        <w:t>金投资者欲了解基金份额持有人的权利和义务，应详细查阅基金合同。</w:t>
      </w:r>
    </w:p>
    <w:p>
      <w:pPr>
        <w:pStyle w:val="BodyText"/>
        <w:spacing w:before="4"/>
        <w:ind w:left="0"/>
        <w:rPr>
          <w:sz w:val="28"/>
        </w:rPr>
      </w:pPr>
    </w:p>
    <w:p>
      <w:pPr>
        <w:pStyle w:val="Heading1"/>
      </w:pPr>
      <w:bookmarkStart w:name="_bookmark1" w:id="2"/>
      <w:bookmarkEnd w:id="2"/>
      <w:r>
        <w:rPr>
          <w:b w:val="0"/>
        </w:rPr>
      </w:r>
      <w:r>
        <w:rPr/>
        <w:t>二、释义</w:t>
      </w:r>
    </w:p>
    <w:p>
      <w:pPr>
        <w:pStyle w:val="BodyText"/>
        <w:ind w:left="0"/>
        <w:rPr>
          <w:b/>
          <w:sz w:val="20"/>
        </w:rPr>
      </w:pPr>
    </w:p>
    <w:p>
      <w:pPr>
        <w:pStyle w:val="BodyText"/>
        <w:spacing w:before="3"/>
        <w:ind w:left="0"/>
        <w:rPr>
          <w:b/>
        </w:rPr>
      </w:pPr>
    </w:p>
    <w:p>
      <w:pPr>
        <w:pStyle w:val="BodyText"/>
      </w:pPr>
      <w:r>
        <w:rPr/>
        <w:t>本招募说明书中，除非文意另有所指，下列词语或简称具有如下含义：</w:t>
      </w:r>
    </w:p>
    <w:p>
      <w:pPr>
        <w:pStyle w:val="BodyText"/>
        <w:spacing w:before="6"/>
        <w:ind w:left="0"/>
        <w:rPr>
          <w:sz w:val="15"/>
        </w:rPr>
      </w:pPr>
    </w:p>
    <w:p>
      <w:pPr>
        <w:pStyle w:val="BodyText"/>
        <w:tabs>
          <w:tab w:pos="3028" w:val="left" w:leader="none"/>
        </w:tabs>
        <w:ind w:left="328"/>
      </w:pPr>
      <w:r>
        <w:rPr/>
        <w:t>基金</w:t>
      </w:r>
      <w:r>
        <w:rPr>
          <w:spacing w:val="-3"/>
        </w:rPr>
        <w:t>或</w:t>
      </w:r>
      <w:r>
        <w:rPr/>
        <w:t>本</w:t>
      </w:r>
      <w:r>
        <w:rPr>
          <w:spacing w:val="-3"/>
        </w:rPr>
        <w:t>基</w:t>
      </w:r>
      <w:r>
        <w:rPr/>
        <w:t>金：</w:t>
        <w:tab/>
        <w:t>指恒</w:t>
      </w:r>
      <w:r>
        <w:rPr>
          <w:spacing w:val="-3"/>
        </w:rPr>
        <w:t>生</w:t>
      </w:r>
      <w:r>
        <w:rPr/>
        <w:t>交</w:t>
      </w:r>
      <w:r>
        <w:rPr>
          <w:spacing w:val="-3"/>
        </w:rPr>
        <w:t>易</w:t>
      </w:r>
      <w:r>
        <w:rPr/>
        <w:t>型</w:t>
      </w:r>
      <w:r>
        <w:rPr>
          <w:spacing w:val="-3"/>
        </w:rPr>
        <w:t>开</w:t>
      </w:r>
      <w:r>
        <w:rPr/>
        <w:t>放</w:t>
      </w:r>
      <w:r>
        <w:rPr>
          <w:spacing w:val="-3"/>
        </w:rPr>
        <w:t>式</w:t>
      </w:r>
      <w:r>
        <w:rPr/>
        <w:t>指</w:t>
      </w:r>
      <w:r>
        <w:rPr>
          <w:spacing w:val="-3"/>
        </w:rPr>
        <w:t>数</w:t>
      </w:r>
      <w:r>
        <w:rPr/>
        <w:t>证券</w:t>
      </w:r>
      <w:r>
        <w:rPr>
          <w:spacing w:val="-3"/>
        </w:rPr>
        <w:t>投</w:t>
      </w:r>
      <w:r>
        <w:rPr/>
        <w:t>资</w:t>
      </w:r>
      <w:r>
        <w:rPr>
          <w:spacing w:val="-3"/>
        </w:rPr>
        <w:t>基</w:t>
      </w:r>
      <w:r>
        <w:rPr/>
        <w:t>金</w:t>
      </w:r>
      <w:r>
        <w:rPr>
          <w:spacing w:val="-3"/>
        </w:rPr>
        <w:t>联</w:t>
      </w:r>
      <w:r>
        <w:rPr/>
        <w:t>接</w:t>
      </w:r>
      <w:r>
        <w:rPr>
          <w:spacing w:val="-3"/>
        </w:rPr>
        <w:t>基</w:t>
      </w:r>
      <w:r>
        <w:rPr/>
        <w:t>金。</w:t>
      </w:r>
    </w:p>
    <w:p>
      <w:pPr>
        <w:pStyle w:val="BodyText"/>
        <w:spacing w:before="7"/>
        <w:ind w:left="0"/>
        <w:rPr>
          <w:sz w:val="15"/>
        </w:rPr>
      </w:pPr>
    </w:p>
    <w:p>
      <w:pPr>
        <w:pStyle w:val="BodyText"/>
        <w:ind w:left="328"/>
      </w:pPr>
      <w:r>
        <w:rPr/>
        <w:t>基金合同、《基金合同》： 指《恒生交易型开放式指数证券投资基金联接基金基金合同》</w:t>
      </w:r>
    </w:p>
    <w:p>
      <w:pPr>
        <w:pStyle w:val="BodyText"/>
        <w:spacing w:before="7"/>
        <w:ind w:left="0"/>
        <w:rPr>
          <w:sz w:val="15"/>
        </w:rPr>
      </w:pPr>
    </w:p>
    <w:p>
      <w:pPr>
        <w:pStyle w:val="BodyText"/>
        <w:ind w:left="3029"/>
      </w:pPr>
      <w:r>
        <w:rPr/>
        <w:t>及对基金合同的任何有效修订和补充。</w:t>
      </w:r>
    </w:p>
    <w:p>
      <w:pPr>
        <w:pStyle w:val="BodyText"/>
        <w:spacing w:before="7"/>
        <w:ind w:left="0"/>
        <w:rPr>
          <w:sz w:val="15"/>
        </w:rPr>
      </w:pPr>
    </w:p>
    <w:p>
      <w:pPr>
        <w:pStyle w:val="BodyText"/>
        <w:tabs>
          <w:tab w:pos="3028" w:val="left" w:leader="none"/>
        </w:tabs>
        <w:ind w:left="328"/>
      </w:pPr>
      <w:r>
        <w:rPr/>
        <w:t>目</w:t>
      </w:r>
      <w:r>
        <w:rPr>
          <w:spacing w:val="50"/>
        </w:rPr>
        <w:t>标</w:t>
      </w:r>
      <w:r>
        <w:rPr>
          <w:rFonts w:ascii="Times New Roman" w:eastAsia="Times New Roman"/>
        </w:rPr>
        <w:t>ETF</w:t>
      </w:r>
      <w:r>
        <w:rPr/>
        <w:t>：</w:t>
        <w:tab/>
      </w:r>
      <w:r>
        <w:rPr>
          <w:spacing w:val="9"/>
        </w:rPr>
        <w:t>另一获中国证监</w:t>
      </w:r>
      <w:r>
        <w:rPr>
          <w:spacing w:val="7"/>
        </w:rPr>
        <w:t>会</w:t>
      </w:r>
      <w:r>
        <w:rPr>
          <w:spacing w:val="9"/>
        </w:rPr>
        <w:t>核准</w:t>
      </w:r>
      <w:r>
        <w:rPr>
          <w:spacing w:val="7"/>
        </w:rPr>
        <w:t>的</w:t>
      </w:r>
      <w:r>
        <w:rPr>
          <w:spacing w:val="9"/>
        </w:rPr>
        <w:t>交易型开放式</w:t>
      </w:r>
      <w:r>
        <w:rPr>
          <w:spacing w:val="7"/>
        </w:rPr>
        <w:t>指</w:t>
      </w:r>
      <w:r>
        <w:rPr>
          <w:spacing w:val="9"/>
        </w:rPr>
        <w:t>数证券</w:t>
      </w:r>
      <w:r>
        <w:rPr>
          <w:spacing w:val="7"/>
        </w:rPr>
        <w:t>投</w:t>
      </w:r>
      <w:r>
        <w:rPr>
          <w:spacing w:val="9"/>
        </w:rPr>
        <w:t>资基金</w:t>
      </w:r>
    </w:p>
    <w:p>
      <w:pPr>
        <w:pStyle w:val="BodyText"/>
        <w:spacing w:before="7"/>
        <w:ind w:left="0"/>
        <w:rPr>
          <w:sz w:val="15"/>
        </w:rPr>
      </w:pPr>
    </w:p>
    <w:p>
      <w:pPr>
        <w:pStyle w:val="BodyText"/>
        <w:ind w:left="3029"/>
      </w:pPr>
      <w:r>
        <w:rPr/>
        <w:t>（</w:t>
      </w:r>
      <w:r>
        <w:rPr>
          <w:spacing w:val="-16"/>
        </w:rPr>
        <w:t>简称 </w:t>
      </w:r>
      <w:r>
        <w:rPr>
          <w:rFonts w:ascii="Times New Roman" w:eastAsia="Times New Roman"/>
          <w:spacing w:val="-6"/>
        </w:rPr>
        <w:t>ETF</w:t>
      </w:r>
      <w:r>
        <w:rPr>
          <w:spacing w:val="-6"/>
        </w:rPr>
        <w:t>），</w:t>
      </w:r>
      <w:r>
        <w:rPr>
          <w:spacing w:val="-21"/>
        </w:rPr>
        <w:t>该 </w:t>
      </w:r>
      <w:r>
        <w:rPr>
          <w:rFonts w:ascii="Times New Roman" w:eastAsia="Times New Roman"/>
        </w:rPr>
        <w:t>ETF</w:t>
      </w:r>
      <w:r>
        <w:rPr>
          <w:rFonts w:ascii="Times New Roman" w:eastAsia="Times New Roman"/>
          <w:spacing w:val="7"/>
        </w:rPr>
        <w:t> </w:t>
      </w:r>
      <w:r>
        <w:rPr>
          <w:spacing w:val="-4"/>
        </w:rPr>
        <w:t>和本基金所跟踪的标的指数相同，并</w:t>
      </w:r>
    </w:p>
    <w:p>
      <w:pPr>
        <w:spacing w:after="0"/>
        <w:sectPr>
          <w:footerReference w:type="default" r:id="rId6"/>
          <w:pgSz w:w="11910" w:h="16840"/>
          <w:pgMar w:footer="683" w:header="705" w:top="1420" w:bottom="880" w:left="1580" w:right="920"/>
          <w:pgNumType w:start="1"/>
        </w:sectPr>
      </w:pPr>
    </w:p>
    <w:p>
      <w:pPr>
        <w:pStyle w:val="BodyText"/>
        <w:spacing w:line="417" w:lineRule="auto" w:before="110"/>
        <w:ind w:left="3029" w:right="873"/>
        <w:jc w:val="both"/>
      </w:pPr>
      <w:r>
        <w:rPr>
          <w:spacing w:val="-14"/>
        </w:rPr>
        <w:t>且，该 </w:t>
      </w:r>
      <w:r>
        <w:rPr>
          <w:rFonts w:ascii="Times New Roman" w:eastAsia="Times New Roman"/>
        </w:rPr>
        <w:t>ETF </w:t>
      </w:r>
      <w:r>
        <w:rPr>
          <w:spacing w:val="-4"/>
        </w:rPr>
        <w:t>的投资目标和本基金的投资目标类似，本基金主</w:t>
      </w:r>
      <w:r>
        <w:rPr>
          <w:spacing w:val="-11"/>
        </w:rPr>
        <w:t>要投资于该 </w:t>
      </w:r>
      <w:r>
        <w:rPr>
          <w:rFonts w:ascii="Times New Roman" w:eastAsia="Times New Roman"/>
        </w:rPr>
        <w:t>ETF </w:t>
      </w:r>
      <w:r>
        <w:rPr>
          <w:spacing w:val="-5"/>
        </w:rPr>
        <w:t>以求达到投资目标。发售时，本基金选择恒</w:t>
      </w:r>
      <w:r>
        <w:rPr>
          <w:spacing w:val="-1"/>
        </w:rPr>
        <w:t>生交易型开放式指数证券投资基金为目标</w:t>
      </w:r>
      <w:r>
        <w:rPr>
          <w:rFonts w:ascii="Times New Roman" w:eastAsia="Times New Roman"/>
          <w:spacing w:val="-2"/>
        </w:rPr>
        <w:t>ETF</w:t>
      </w:r>
      <w:r>
        <w:rPr/>
        <w:t>。</w:t>
      </w:r>
    </w:p>
    <w:p>
      <w:pPr>
        <w:pStyle w:val="BodyText"/>
        <w:tabs>
          <w:tab w:pos="3028" w:val="left" w:leader="none"/>
        </w:tabs>
        <w:spacing w:line="269" w:lineRule="exact"/>
        <w:ind w:left="328"/>
      </w:pPr>
      <w:r>
        <w:rPr>
          <w:rFonts w:ascii="Times New Roman" w:eastAsia="Times New Roman"/>
        </w:rPr>
        <w:t>ETF</w:t>
      </w:r>
      <w:r>
        <w:rPr>
          <w:rFonts w:ascii="Times New Roman" w:eastAsia="Times New Roman"/>
          <w:spacing w:val="-4"/>
        </w:rPr>
        <w:t> </w:t>
      </w:r>
      <w:r>
        <w:rPr/>
        <w:t>联接</w:t>
      </w:r>
      <w:r>
        <w:rPr>
          <w:spacing w:val="-3"/>
        </w:rPr>
        <w:t>基</w:t>
      </w:r>
      <w:r>
        <w:rPr/>
        <w:t>金：</w:t>
        <w:tab/>
      </w:r>
      <w:r>
        <w:rPr>
          <w:spacing w:val="9"/>
        </w:rPr>
        <w:t>是指将绝大多数</w:t>
      </w:r>
      <w:r>
        <w:rPr>
          <w:spacing w:val="7"/>
        </w:rPr>
        <w:t>基</w:t>
      </w:r>
      <w:r>
        <w:rPr>
          <w:spacing w:val="9"/>
        </w:rPr>
        <w:t>金资</w:t>
      </w:r>
      <w:r>
        <w:rPr>
          <w:spacing w:val="7"/>
        </w:rPr>
        <w:t>产</w:t>
      </w:r>
      <w:r>
        <w:rPr>
          <w:spacing w:val="9"/>
        </w:rPr>
        <w:t>投资于跟踪同</w:t>
      </w:r>
      <w:r>
        <w:rPr>
          <w:spacing w:val="7"/>
        </w:rPr>
        <w:t>一</w:t>
      </w:r>
      <w:r>
        <w:rPr>
          <w:spacing w:val="9"/>
        </w:rPr>
        <w:t>标的指</w:t>
      </w:r>
      <w:r>
        <w:rPr>
          <w:spacing w:val="7"/>
        </w:rPr>
        <w:t>数</w:t>
      </w:r>
      <w:r>
        <w:rPr>
          <w:spacing w:val="9"/>
        </w:rPr>
        <w:t>的目标</w:t>
      </w:r>
    </w:p>
    <w:p>
      <w:pPr>
        <w:pStyle w:val="BodyText"/>
        <w:spacing w:before="6"/>
        <w:ind w:left="0"/>
        <w:rPr>
          <w:sz w:val="15"/>
        </w:rPr>
      </w:pPr>
    </w:p>
    <w:p>
      <w:pPr>
        <w:pStyle w:val="BodyText"/>
        <w:spacing w:line="417" w:lineRule="auto"/>
        <w:ind w:left="3029" w:right="872"/>
      </w:pPr>
      <w:r>
        <w:rPr>
          <w:rFonts w:ascii="Times New Roman" w:eastAsia="Times New Roman"/>
        </w:rPr>
        <w:t>ETF</w:t>
      </w:r>
      <w:r>
        <w:rPr/>
        <w:t>，紧密跟踪标的指数表现，追求跟踪偏离度和跟踪误差最小化，采用开放式运作方式的基金，简称联接基金。</w:t>
      </w:r>
    </w:p>
    <w:p>
      <w:pPr>
        <w:pStyle w:val="BodyText"/>
        <w:tabs>
          <w:tab w:pos="3028" w:val="left" w:leader="none"/>
        </w:tabs>
        <w:spacing w:line="269" w:lineRule="exact"/>
        <w:ind w:left="328"/>
      </w:pPr>
      <w:r>
        <w:rPr/>
        <w:t>恒</w:t>
      </w:r>
      <w:r>
        <w:rPr>
          <w:spacing w:val="50"/>
        </w:rPr>
        <w:t>生</w:t>
      </w:r>
      <w:r>
        <w:rPr>
          <w:rFonts w:ascii="Times New Roman" w:eastAsia="Times New Roman"/>
        </w:rPr>
        <w:t>ETF</w:t>
      </w:r>
      <w:r>
        <w:rPr/>
        <w:t>：</w:t>
        <w:tab/>
        <w:t>指恒</w:t>
      </w:r>
      <w:r>
        <w:rPr>
          <w:spacing w:val="-3"/>
        </w:rPr>
        <w:t>生</w:t>
      </w:r>
      <w:r>
        <w:rPr/>
        <w:t>交</w:t>
      </w:r>
      <w:r>
        <w:rPr>
          <w:spacing w:val="-3"/>
        </w:rPr>
        <w:t>易</w:t>
      </w:r>
      <w:r>
        <w:rPr/>
        <w:t>型</w:t>
      </w:r>
      <w:r>
        <w:rPr>
          <w:spacing w:val="-3"/>
        </w:rPr>
        <w:t>开</w:t>
      </w:r>
      <w:r>
        <w:rPr/>
        <w:t>放</w:t>
      </w:r>
      <w:r>
        <w:rPr>
          <w:spacing w:val="-3"/>
        </w:rPr>
        <w:t>式</w:t>
      </w:r>
      <w:r>
        <w:rPr/>
        <w:t>指</w:t>
      </w:r>
      <w:r>
        <w:rPr>
          <w:spacing w:val="-3"/>
        </w:rPr>
        <w:t>数</w:t>
      </w:r>
      <w:r>
        <w:rPr/>
        <w:t>证券</w:t>
      </w:r>
      <w:r>
        <w:rPr>
          <w:spacing w:val="-3"/>
        </w:rPr>
        <w:t>投</w:t>
      </w:r>
      <w:r>
        <w:rPr/>
        <w:t>资</w:t>
      </w:r>
      <w:r>
        <w:rPr>
          <w:spacing w:val="-3"/>
        </w:rPr>
        <w:t>基</w:t>
      </w:r>
      <w:r>
        <w:rPr/>
        <w:t>金。</w:t>
      </w:r>
    </w:p>
    <w:p>
      <w:pPr>
        <w:pStyle w:val="BodyText"/>
        <w:spacing w:before="8"/>
        <w:ind w:left="0"/>
        <w:rPr>
          <w:sz w:val="15"/>
        </w:rPr>
      </w:pPr>
    </w:p>
    <w:p>
      <w:pPr>
        <w:pStyle w:val="BodyText"/>
        <w:tabs>
          <w:tab w:pos="3028" w:val="left" w:leader="none"/>
        </w:tabs>
        <w:ind w:left="328"/>
      </w:pPr>
      <w:r>
        <w:rPr/>
        <w:t>招募</w:t>
      </w:r>
      <w:r>
        <w:rPr>
          <w:spacing w:val="-3"/>
        </w:rPr>
        <w:t>说</w:t>
      </w:r>
      <w:r>
        <w:rPr/>
        <w:t>明</w:t>
      </w:r>
      <w:r>
        <w:rPr>
          <w:spacing w:val="-3"/>
        </w:rPr>
        <w:t>书</w:t>
      </w:r>
      <w:r>
        <w:rPr/>
        <w:t>：</w:t>
        <w:tab/>
        <w:t>指《恒生交易型开放式指数证券投资基金联接基金招募说明</w:t>
      </w:r>
    </w:p>
    <w:p>
      <w:pPr>
        <w:pStyle w:val="BodyText"/>
        <w:spacing w:before="6"/>
        <w:ind w:left="0"/>
        <w:rPr>
          <w:sz w:val="15"/>
        </w:rPr>
      </w:pPr>
    </w:p>
    <w:p>
      <w:pPr>
        <w:pStyle w:val="BodyText"/>
        <w:spacing w:before="1"/>
        <w:ind w:left="3029"/>
      </w:pPr>
      <w:r>
        <w:rPr/>
        <w:t>书》及其更新。</w:t>
      </w:r>
    </w:p>
    <w:p>
      <w:pPr>
        <w:pStyle w:val="BodyText"/>
        <w:spacing w:before="6"/>
        <w:ind w:left="0"/>
        <w:rPr>
          <w:sz w:val="15"/>
        </w:rPr>
      </w:pPr>
    </w:p>
    <w:p>
      <w:pPr>
        <w:pStyle w:val="BodyText"/>
        <w:tabs>
          <w:tab w:pos="3028" w:val="left" w:leader="none"/>
        </w:tabs>
        <w:ind w:left="328"/>
      </w:pPr>
      <w:r>
        <w:rPr/>
        <w:t>基金</w:t>
      </w:r>
      <w:r>
        <w:rPr>
          <w:spacing w:val="-3"/>
        </w:rPr>
        <w:t>产</w:t>
      </w:r>
      <w:r>
        <w:rPr/>
        <w:t>品</w:t>
      </w:r>
      <w:r>
        <w:rPr>
          <w:spacing w:val="-3"/>
        </w:rPr>
        <w:t>资</w:t>
      </w:r>
      <w:r>
        <w:rPr/>
        <w:t>料</w:t>
      </w:r>
      <w:r>
        <w:rPr>
          <w:spacing w:val="-3"/>
        </w:rPr>
        <w:t>概</w:t>
      </w:r>
      <w:r>
        <w:rPr/>
        <w:t>要：</w:t>
        <w:tab/>
        <w:t>指《恒生交易型开放式指数证券投资基金联接基金基金产品</w:t>
      </w:r>
    </w:p>
    <w:p>
      <w:pPr>
        <w:pStyle w:val="BodyText"/>
        <w:spacing w:before="7"/>
        <w:ind w:left="0"/>
        <w:rPr>
          <w:sz w:val="15"/>
        </w:rPr>
      </w:pPr>
    </w:p>
    <w:p>
      <w:pPr>
        <w:pStyle w:val="BodyText"/>
        <w:ind w:left="3029"/>
      </w:pPr>
      <w:r>
        <w:rPr/>
        <w:t>资料概要》及其更新。</w:t>
      </w:r>
    </w:p>
    <w:p>
      <w:pPr>
        <w:pStyle w:val="BodyText"/>
        <w:spacing w:before="7"/>
        <w:ind w:left="0"/>
        <w:rPr>
          <w:sz w:val="15"/>
        </w:rPr>
      </w:pPr>
    </w:p>
    <w:p>
      <w:pPr>
        <w:pStyle w:val="BodyText"/>
        <w:tabs>
          <w:tab w:pos="3028" w:val="left" w:leader="none"/>
        </w:tabs>
        <w:ind w:left="328"/>
      </w:pPr>
      <w:r>
        <w:rPr/>
        <w:t>托管</w:t>
      </w:r>
      <w:r>
        <w:rPr>
          <w:spacing w:val="-3"/>
        </w:rPr>
        <w:t>协</w:t>
      </w:r>
      <w:r>
        <w:rPr/>
        <w:t>议：</w:t>
        <w:tab/>
      </w:r>
      <w:r>
        <w:rPr>
          <w:spacing w:val="-68"/>
        </w:rPr>
        <w:t>指</w:t>
      </w:r>
      <w:r>
        <w:rPr/>
        <w:t>《</w:t>
      </w:r>
      <w:r>
        <w:rPr>
          <w:spacing w:val="-3"/>
        </w:rPr>
        <w:t>恒</w:t>
      </w:r>
      <w:r>
        <w:rPr/>
        <w:t>生</w:t>
      </w:r>
      <w:r>
        <w:rPr>
          <w:spacing w:val="-3"/>
        </w:rPr>
        <w:t>交</w:t>
      </w:r>
      <w:r>
        <w:rPr/>
        <w:t>易</w:t>
      </w:r>
      <w:r>
        <w:rPr>
          <w:spacing w:val="-3"/>
        </w:rPr>
        <w:t>型</w:t>
      </w:r>
      <w:r>
        <w:rPr/>
        <w:t>开</w:t>
      </w:r>
      <w:r>
        <w:rPr>
          <w:spacing w:val="-3"/>
        </w:rPr>
        <w:t>放</w:t>
      </w:r>
      <w:r>
        <w:rPr/>
        <w:t>式</w:t>
      </w:r>
      <w:r>
        <w:rPr>
          <w:spacing w:val="-3"/>
        </w:rPr>
        <w:t>指数</w:t>
      </w:r>
      <w:r>
        <w:rPr/>
        <w:t>证券</w:t>
      </w:r>
      <w:r>
        <w:rPr>
          <w:spacing w:val="-3"/>
        </w:rPr>
        <w:t>投</w:t>
      </w:r>
      <w:r>
        <w:rPr/>
        <w:t>资</w:t>
      </w:r>
      <w:r>
        <w:rPr>
          <w:spacing w:val="-3"/>
        </w:rPr>
        <w:t>基</w:t>
      </w:r>
      <w:r>
        <w:rPr/>
        <w:t>金</w:t>
      </w:r>
      <w:r>
        <w:rPr>
          <w:spacing w:val="-3"/>
        </w:rPr>
        <w:t>联</w:t>
      </w:r>
      <w:r>
        <w:rPr/>
        <w:t>接</w:t>
      </w:r>
      <w:r>
        <w:rPr>
          <w:spacing w:val="-3"/>
        </w:rPr>
        <w:t>基</w:t>
      </w:r>
      <w:r>
        <w:rPr/>
        <w:t>金</w:t>
      </w:r>
      <w:r>
        <w:rPr>
          <w:spacing w:val="-3"/>
        </w:rPr>
        <w:t>托</w:t>
      </w:r>
      <w:r>
        <w:rPr/>
        <w:t>管协</w:t>
      </w:r>
      <w:r>
        <w:rPr>
          <w:spacing w:val="-3"/>
        </w:rPr>
        <w:t>议</w:t>
      </w:r>
      <w:r>
        <w:rPr/>
        <w:t>》</w:t>
      </w:r>
    </w:p>
    <w:p>
      <w:pPr>
        <w:pStyle w:val="BodyText"/>
        <w:spacing w:before="6"/>
        <w:ind w:left="0"/>
        <w:rPr>
          <w:sz w:val="15"/>
        </w:rPr>
      </w:pPr>
    </w:p>
    <w:p>
      <w:pPr>
        <w:pStyle w:val="BodyText"/>
        <w:spacing w:before="1"/>
        <w:ind w:left="3029"/>
      </w:pPr>
      <w:r>
        <w:rPr/>
        <w:t>及其任何有效修订和补充。</w:t>
      </w:r>
    </w:p>
    <w:p>
      <w:pPr>
        <w:pStyle w:val="BodyText"/>
        <w:spacing w:before="6"/>
        <w:ind w:left="0"/>
        <w:rPr>
          <w:sz w:val="15"/>
        </w:rPr>
      </w:pPr>
    </w:p>
    <w:p>
      <w:pPr>
        <w:pStyle w:val="BodyText"/>
        <w:tabs>
          <w:tab w:pos="3028" w:val="left" w:leader="none"/>
        </w:tabs>
        <w:spacing w:line="417" w:lineRule="auto"/>
        <w:ind w:left="3029" w:right="871" w:hanging="2701"/>
      </w:pPr>
      <w:r>
        <w:rPr/>
        <w:t>发售</w:t>
      </w:r>
      <w:r>
        <w:rPr>
          <w:spacing w:val="-3"/>
        </w:rPr>
        <w:t>公</w:t>
      </w:r>
      <w:r>
        <w:rPr/>
        <w:t>告：</w:t>
        <w:tab/>
        <w:t>指《恒生交易型开放式指数证券投资基金联接基金基金份</w:t>
      </w:r>
      <w:r>
        <w:rPr>
          <w:spacing w:val="-16"/>
        </w:rPr>
        <w:t>额</w:t>
      </w:r>
      <w:r>
        <w:rPr/>
        <w:t>发售</w:t>
      </w:r>
      <w:r>
        <w:rPr>
          <w:spacing w:val="-3"/>
        </w:rPr>
        <w:t>公</w:t>
      </w:r>
      <w:r>
        <w:rPr/>
        <w:t>告</w:t>
      </w:r>
      <w:r>
        <w:rPr>
          <w:spacing w:val="-3"/>
        </w:rPr>
        <w:t>》</w:t>
      </w:r>
      <w:r>
        <w:rPr/>
        <w:t>。</w:t>
      </w:r>
    </w:p>
    <w:p>
      <w:pPr>
        <w:pStyle w:val="BodyText"/>
        <w:tabs>
          <w:tab w:pos="3028" w:val="left" w:leader="none"/>
        </w:tabs>
        <w:ind w:left="328"/>
      </w:pPr>
      <w:r>
        <w:rPr/>
        <w:t>中国</w:t>
      </w:r>
      <w:r>
        <w:rPr>
          <w:spacing w:val="-3"/>
        </w:rPr>
        <w:t>证</w:t>
      </w:r>
      <w:r>
        <w:rPr/>
        <w:t>监</w:t>
      </w:r>
      <w:r>
        <w:rPr>
          <w:spacing w:val="-3"/>
        </w:rPr>
        <w:t>会</w:t>
      </w:r>
      <w:r>
        <w:rPr/>
        <w:t>：</w:t>
        <w:tab/>
        <w:t>指中</w:t>
      </w:r>
      <w:r>
        <w:rPr>
          <w:spacing w:val="-3"/>
        </w:rPr>
        <w:t>国</w:t>
      </w:r>
      <w:r>
        <w:rPr/>
        <w:t>证</w:t>
      </w:r>
      <w:r>
        <w:rPr>
          <w:spacing w:val="-3"/>
        </w:rPr>
        <w:t>券</w:t>
      </w:r>
      <w:r>
        <w:rPr/>
        <w:t>监</w:t>
      </w:r>
      <w:r>
        <w:rPr>
          <w:spacing w:val="-3"/>
        </w:rPr>
        <w:t>督</w:t>
      </w:r>
      <w:r>
        <w:rPr/>
        <w:t>管</w:t>
      </w:r>
      <w:r>
        <w:rPr>
          <w:spacing w:val="-3"/>
        </w:rPr>
        <w:t>理</w:t>
      </w:r>
      <w:r>
        <w:rPr/>
        <w:t>委</w:t>
      </w:r>
      <w:r>
        <w:rPr>
          <w:spacing w:val="-3"/>
        </w:rPr>
        <w:t>员</w:t>
      </w:r>
      <w:r>
        <w:rPr/>
        <w:t>会。</w:t>
      </w:r>
    </w:p>
    <w:p>
      <w:pPr>
        <w:pStyle w:val="BodyText"/>
        <w:spacing w:before="7"/>
        <w:ind w:left="0"/>
        <w:rPr>
          <w:sz w:val="15"/>
        </w:rPr>
      </w:pPr>
    </w:p>
    <w:p>
      <w:pPr>
        <w:pStyle w:val="BodyText"/>
        <w:tabs>
          <w:tab w:pos="3028" w:val="left" w:leader="none"/>
        </w:tabs>
        <w:ind w:left="328"/>
      </w:pPr>
      <w:r>
        <w:rPr/>
        <w:t>中国</w:t>
      </w:r>
      <w:r>
        <w:rPr>
          <w:spacing w:val="-3"/>
        </w:rPr>
        <w:t>银</w:t>
      </w:r>
      <w:r>
        <w:rPr/>
        <w:t>监</w:t>
      </w:r>
      <w:r>
        <w:rPr>
          <w:spacing w:val="-3"/>
        </w:rPr>
        <w:t>会</w:t>
      </w:r>
      <w:r>
        <w:rPr/>
        <w:t>：</w:t>
        <w:tab/>
        <w:t>指中</w:t>
      </w:r>
      <w:r>
        <w:rPr>
          <w:spacing w:val="-3"/>
        </w:rPr>
        <w:t>国</w:t>
      </w:r>
      <w:r>
        <w:rPr/>
        <w:t>银</w:t>
      </w:r>
      <w:r>
        <w:rPr>
          <w:spacing w:val="-3"/>
        </w:rPr>
        <w:t>行</w:t>
      </w:r>
      <w:r>
        <w:rPr/>
        <w:t>保</w:t>
      </w:r>
      <w:r>
        <w:rPr>
          <w:spacing w:val="-3"/>
        </w:rPr>
        <w:t>险</w:t>
      </w:r>
      <w:r>
        <w:rPr/>
        <w:t>监</w:t>
      </w:r>
      <w:r>
        <w:rPr>
          <w:spacing w:val="-3"/>
        </w:rPr>
        <w:t>督</w:t>
      </w:r>
      <w:r>
        <w:rPr/>
        <w:t>管</w:t>
      </w:r>
      <w:r>
        <w:rPr>
          <w:spacing w:val="-3"/>
        </w:rPr>
        <w:t>理</w:t>
      </w:r>
      <w:r>
        <w:rPr/>
        <w:t>委员</w:t>
      </w:r>
      <w:r>
        <w:rPr>
          <w:spacing w:val="-3"/>
        </w:rPr>
        <w:t>会</w:t>
      </w:r>
      <w:r>
        <w:rPr/>
        <w:t>。</w:t>
      </w:r>
    </w:p>
    <w:p>
      <w:pPr>
        <w:pStyle w:val="BodyText"/>
        <w:spacing w:before="7"/>
        <w:ind w:left="0"/>
        <w:rPr>
          <w:sz w:val="15"/>
        </w:rPr>
      </w:pPr>
    </w:p>
    <w:p>
      <w:pPr>
        <w:pStyle w:val="BodyText"/>
        <w:tabs>
          <w:tab w:pos="3028" w:val="left" w:leader="none"/>
        </w:tabs>
        <w:ind w:left="328"/>
      </w:pPr>
      <w:r>
        <w:rPr/>
        <w:t>外管</w:t>
      </w:r>
      <w:r>
        <w:rPr>
          <w:spacing w:val="-3"/>
        </w:rPr>
        <w:t>局</w:t>
      </w:r>
      <w:r>
        <w:rPr/>
        <w:t>：</w:t>
        <w:tab/>
        <w:t>指国</w:t>
      </w:r>
      <w:r>
        <w:rPr>
          <w:spacing w:val="-3"/>
        </w:rPr>
        <w:t>家</w:t>
      </w:r>
      <w:r>
        <w:rPr/>
        <w:t>外</w:t>
      </w:r>
      <w:r>
        <w:rPr>
          <w:spacing w:val="-3"/>
        </w:rPr>
        <w:t>汇</w:t>
      </w:r>
      <w:r>
        <w:rPr/>
        <w:t>管</w:t>
      </w:r>
      <w:r>
        <w:rPr>
          <w:spacing w:val="-3"/>
        </w:rPr>
        <w:t>理</w:t>
      </w:r>
      <w:r>
        <w:rPr/>
        <w:t>局。</w:t>
      </w:r>
    </w:p>
    <w:p>
      <w:pPr>
        <w:pStyle w:val="BodyText"/>
        <w:spacing w:before="6"/>
        <w:ind w:left="0"/>
        <w:rPr>
          <w:sz w:val="15"/>
        </w:rPr>
      </w:pPr>
    </w:p>
    <w:p>
      <w:pPr>
        <w:pStyle w:val="BodyText"/>
        <w:tabs>
          <w:tab w:pos="3028" w:val="left" w:leader="none"/>
        </w:tabs>
        <w:spacing w:before="1"/>
        <w:ind w:left="328"/>
      </w:pPr>
      <w:r>
        <w:rPr/>
        <w:t>《基</w:t>
      </w:r>
      <w:r>
        <w:rPr>
          <w:spacing w:val="-3"/>
        </w:rPr>
        <w:t>金</w:t>
      </w:r>
      <w:r>
        <w:rPr/>
        <w:t>法</w:t>
      </w:r>
      <w:r>
        <w:rPr>
          <w:spacing w:val="-3"/>
        </w:rPr>
        <w:t>》</w:t>
      </w:r>
      <w:r>
        <w:rPr/>
        <w:t>：</w:t>
        <w:tab/>
        <w:t>指《</w:t>
      </w:r>
      <w:r>
        <w:rPr>
          <w:spacing w:val="-3"/>
        </w:rPr>
        <w:t>中</w:t>
      </w:r>
      <w:r>
        <w:rPr/>
        <w:t>华</w:t>
      </w:r>
      <w:r>
        <w:rPr>
          <w:spacing w:val="-3"/>
        </w:rPr>
        <w:t>人</w:t>
      </w:r>
      <w:r>
        <w:rPr/>
        <w:t>民</w:t>
      </w:r>
      <w:r>
        <w:rPr>
          <w:spacing w:val="-3"/>
        </w:rPr>
        <w:t>共</w:t>
      </w:r>
      <w:r>
        <w:rPr/>
        <w:t>和</w:t>
      </w:r>
      <w:r>
        <w:rPr>
          <w:spacing w:val="-3"/>
        </w:rPr>
        <w:t>国</w:t>
      </w:r>
      <w:r>
        <w:rPr/>
        <w:t>证</w:t>
      </w:r>
      <w:r>
        <w:rPr>
          <w:spacing w:val="-3"/>
        </w:rPr>
        <w:t>券</w:t>
      </w:r>
      <w:r>
        <w:rPr/>
        <w:t>投资</w:t>
      </w:r>
      <w:r>
        <w:rPr>
          <w:spacing w:val="-3"/>
        </w:rPr>
        <w:t>基</w:t>
      </w:r>
      <w:r>
        <w:rPr/>
        <w:t>金</w:t>
      </w:r>
      <w:r>
        <w:rPr>
          <w:spacing w:val="-3"/>
        </w:rPr>
        <w:t>法</w:t>
      </w:r>
      <w:r>
        <w:rPr/>
        <w:t>》。</w:t>
      </w:r>
    </w:p>
    <w:p>
      <w:pPr>
        <w:pStyle w:val="BodyText"/>
        <w:spacing w:before="6"/>
        <w:ind w:left="0"/>
        <w:rPr>
          <w:sz w:val="15"/>
        </w:rPr>
      </w:pPr>
    </w:p>
    <w:p>
      <w:pPr>
        <w:pStyle w:val="BodyText"/>
        <w:tabs>
          <w:tab w:pos="3028" w:val="left" w:leader="none"/>
        </w:tabs>
        <w:ind w:left="328"/>
      </w:pPr>
      <w:r>
        <w:rPr/>
        <w:t>《信</w:t>
      </w:r>
      <w:r>
        <w:rPr>
          <w:spacing w:val="-3"/>
        </w:rPr>
        <w:t>息</w:t>
      </w:r>
      <w:r>
        <w:rPr/>
        <w:t>披</w:t>
      </w:r>
      <w:r>
        <w:rPr>
          <w:spacing w:val="-3"/>
        </w:rPr>
        <w:t>露</w:t>
      </w:r>
      <w:r>
        <w:rPr/>
        <w:t>办</w:t>
      </w:r>
      <w:r>
        <w:rPr>
          <w:spacing w:val="-3"/>
        </w:rPr>
        <w:t>法</w:t>
      </w:r>
      <w:r>
        <w:rPr>
          <w:spacing w:val="-106"/>
        </w:rPr>
        <w:t>》</w:t>
      </w:r>
      <w:r>
        <w:rPr/>
        <w:t>：</w:t>
        <w:tab/>
        <w:t>指《公开募集证券投资基金信息披露管理办法》及颁布机关</w:t>
      </w:r>
    </w:p>
    <w:p>
      <w:pPr>
        <w:pStyle w:val="BodyText"/>
        <w:spacing w:before="7"/>
        <w:ind w:left="0"/>
        <w:rPr>
          <w:sz w:val="15"/>
        </w:rPr>
      </w:pPr>
    </w:p>
    <w:p>
      <w:pPr>
        <w:pStyle w:val="BodyText"/>
        <w:ind w:left="3029"/>
      </w:pPr>
      <w:r>
        <w:rPr/>
        <w:t>对其不时做出的修订。</w:t>
      </w:r>
    </w:p>
    <w:p>
      <w:pPr>
        <w:pStyle w:val="BodyText"/>
        <w:spacing w:before="7"/>
        <w:ind w:left="0"/>
        <w:rPr>
          <w:sz w:val="15"/>
        </w:rPr>
      </w:pPr>
    </w:p>
    <w:p>
      <w:pPr>
        <w:pStyle w:val="BodyText"/>
        <w:tabs>
          <w:tab w:pos="3028" w:val="left" w:leader="none"/>
        </w:tabs>
        <w:ind w:left="328"/>
      </w:pPr>
      <w:r>
        <w:rPr/>
        <w:t>《流</w:t>
      </w:r>
      <w:r>
        <w:rPr>
          <w:spacing w:val="-3"/>
        </w:rPr>
        <w:t>动</w:t>
      </w:r>
      <w:r>
        <w:rPr/>
        <w:t>性</w:t>
      </w:r>
      <w:r>
        <w:rPr>
          <w:spacing w:val="-3"/>
        </w:rPr>
        <w:t>风</w:t>
      </w:r>
      <w:r>
        <w:rPr/>
        <w:t>险</w:t>
      </w:r>
      <w:r>
        <w:rPr>
          <w:spacing w:val="-3"/>
        </w:rPr>
        <w:t>管</w:t>
      </w:r>
      <w:r>
        <w:rPr/>
        <w:t>理</w:t>
      </w:r>
      <w:r>
        <w:rPr>
          <w:spacing w:val="-3"/>
        </w:rPr>
        <w:t>规</w:t>
      </w:r>
      <w:r>
        <w:rPr/>
        <w:t>定</w:t>
      </w:r>
      <w:r>
        <w:rPr>
          <w:spacing w:val="-108"/>
        </w:rPr>
        <w:t>》</w:t>
      </w:r>
      <w:r>
        <w:rPr/>
        <w:t>：</w:t>
        <w:tab/>
        <w:t>指中</w:t>
      </w:r>
      <w:r>
        <w:rPr>
          <w:spacing w:val="-3"/>
        </w:rPr>
        <w:t>国</w:t>
      </w:r>
      <w:r>
        <w:rPr/>
        <w:t>证</w:t>
      </w:r>
      <w:r>
        <w:rPr>
          <w:spacing w:val="-3"/>
        </w:rPr>
        <w:t>监</w:t>
      </w:r>
      <w:r>
        <w:rPr/>
        <w:t>会</w:t>
      </w:r>
      <w:r>
        <w:rPr>
          <w:spacing w:val="-53"/>
        </w:rPr>
        <w:t> </w:t>
      </w:r>
      <w:r>
        <w:rPr>
          <w:rFonts w:ascii="Times New Roman" w:eastAsia="Times New Roman"/>
        </w:rPr>
        <w:t>2017</w:t>
      </w:r>
      <w:r>
        <w:rPr>
          <w:rFonts w:ascii="Times New Roman" w:eastAsia="Times New Roman"/>
          <w:spacing w:val="-1"/>
        </w:rPr>
        <w:t> </w:t>
      </w:r>
      <w:r>
        <w:rPr/>
        <w:t>年</w:t>
      </w:r>
      <w:r>
        <w:rPr>
          <w:spacing w:val="-52"/>
        </w:rPr>
        <w:t> </w:t>
      </w:r>
      <w:r>
        <w:rPr>
          <w:rFonts w:ascii="Times New Roman" w:eastAsia="Times New Roman"/>
        </w:rPr>
        <w:t>8</w:t>
      </w:r>
      <w:r>
        <w:rPr>
          <w:rFonts w:ascii="Times New Roman" w:eastAsia="Times New Roman"/>
          <w:spacing w:val="-2"/>
        </w:rPr>
        <w:t> </w:t>
      </w:r>
      <w:r>
        <w:rPr/>
        <w:t>月</w:t>
      </w:r>
      <w:r>
        <w:rPr>
          <w:spacing w:val="-52"/>
        </w:rPr>
        <w:t> </w:t>
      </w:r>
      <w:r>
        <w:rPr>
          <w:rFonts w:ascii="Times New Roman" w:eastAsia="Times New Roman"/>
        </w:rPr>
        <w:t>31</w:t>
      </w:r>
      <w:r>
        <w:rPr>
          <w:rFonts w:ascii="Times New Roman" w:eastAsia="Times New Roman"/>
          <w:spacing w:val="-3"/>
        </w:rPr>
        <w:t> </w:t>
      </w:r>
      <w:r>
        <w:rPr/>
        <w:t>日</w:t>
      </w:r>
      <w:r>
        <w:rPr>
          <w:spacing w:val="-3"/>
        </w:rPr>
        <w:t>颁</w:t>
      </w:r>
      <w:r>
        <w:rPr/>
        <w:t>布</w:t>
      </w:r>
      <w:r>
        <w:rPr>
          <w:spacing w:val="-70"/>
        </w:rPr>
        <w:t>、</w:t>
      </w:r>
      <w:r>
        <w:rPr/>
        <w:t>同年</w:t>
      </w:r>
      <w:r>
        <w:rPr>
          <w:spacing w:val="-52"/>
        </w:rPr>
        <w:t> </w:t>
      </w:r>
      <w:r>
        <w:rPr>
          <w:rFonts w:ascii="Times New Roman" w:eastAsia="Times New Roman"/>
        </w:rPr>
        <w:t>10</w:t>
      </w:r>
      <w:r>
        <w:rPr>
          <w:rFonts w:ascii="Times New Roman" w:eastAsia="Times New Roman"/>
          <w:spacing w:val="1"/>
        </w:rPr>
        <w:t> </w:t>
      </w:r>
      <w:r>
        <w:rPr/>
        <w:t>月</w:t>
      </w:r>
      <w:r>
        <w:rPr>
          <w:spacing w:val="-53"/>
        </w:rPr>
        <w:t> </w:t>
      </w:r>
      <w:r>
        <w:rPr>
          <w:rFonts w:ascii="Times New Roman" w:eastAsia="Times New Roman"/>
        </w:rPr>
        <w:t>1</w:t>
      </w:r>
      <w:r>
        <w:rPr>
          <w:rFonts w:ascii="Times New Roman" w:eastAsia="Times New Roman"/>
          <w:spacing w:val="-2"/>
        </w:rPr>
        <w:t> </w:t>
      </w:r>
      <w:r>
        <w:rPr/>
        <w:t>日实</w:t>
      </w:r>
      <w:r>
        <w:rPr>
          <w:spacing w:val="-3"/>
        </w:rPr>
        <w:t>施</w:t>
      </w:r>
      <w:r>
        <w:rPr/>
        <w:t>的</w:t>
      </w:r>
    </w:p>
    <w:p>
      <w:pPr>
        <w:pStyle w:val="BodyText"/>
        <w:spacing w:before="7"/>
        <w:ind w:left="0"/>
        <w:rPr>
          <w:sz w:val="15"/>
        </w:rPr>
      </w:pPr>
    </w:p>
    <w:p>
      <w:pPr>
        <w:pStyle w:val="BodyText"/>
        <w:spacing w:line="417" w:lineRule="auto"/>
        <w:ind w:left="3029" w:right="873"/>
      </w:pPr>
      <w:r>
        <w:rPr/>
        <w:t>《公开募集开放式证券投资基金流动性风险管理规定》及颁布机关对其不时做出的修订。</w:t>
      </w:r>
    </w:p>
    <w:p>
      <w:pPr>
        <w:pStyle w:val="BodyText"/>
        <w:tabs>
          <w:tab w:pos="3028" w:val="left" w:leader="none"/>
        </w:tabs>
        <w:spacing w:line="269" w:lineRule="exact"/>
        <w:ind w:left="328"/>
      </w:pPr>
      <w:r>
        <w:rPr/>
        <w:t>元：</w:t>
        <w:tab/>
        <w:t>如无</w:t>
      </w:r>
      <w:r>
        <w:rPr>
          <w:spacing w:val="-3"/>
        </w:rPr>
        <w:t>特</w:t>
      </w:r>
      <w:r>
        <w:rPr/>
        <w:t>指</w:t>
      </w:r>
      <w:r>
        <w:rPr>
          <w:spacing w:val="-3"/>
        </w:rPr>
        <w:t>，</w:t>
      </w:r>
      <w:r>
        <w:rPr/>
        <w:t>指</w:t>
      </w:r>
      <w:r>
        <w:rPr>
          <w:spacing w:val="-3"/>
        </w:rPr>
        <w:t>人</w:t>
      </w:r>
      <w:r>
        <w:rPr/>
        <w:t>民</w:t>
      </w:r>
      <w:r>
        <w:rPr>
          <w:spacing w:val="-3"/>
        </w:rPr>
        <w:t>币</w:t>
      </w:r>
      <w:r>
        <w:rPr/>
        <w:t>元。</w:t>
      </w:r>
    </w:p>
    <w:p>
      <w:pPr>
        <w:pStyle w:val="BodyText"/>
        <w:spacing w:before="7"/>
        <w:ind w:left="0"/>
        <w:rPr>
          <w:sz w:val="15"/>
        </w:rPr>
      </w:pPr>
    </w:p>
    <w:p>
      <w:pPr>
        <w:pStyle w:val="BodyText"/>
        <w:tabs>
          <w:tab w:pos="3028" w:val="left" w:leader="none"/>
        </w:tabs>
        <w:ind w:left="328"/>
      </w:pPr>
      <w:r>
        <w:rPr/>
        <w:t>基金</w:t>
      </w:r>
      <w:r>
        <w:rPr>
          <w:spacing w:val="-3"/>
        </w:rPr>
        <w:t>合</w:t>
      </w:r>
      <w:r>
        <w:rPr/>
        <w:t>同</w:t>
      </w:r>
      <w:r>
        <w:rPr>
          <w:spacing w:val="-3"/>
        </w:rPr>
        <w:t>当</w:t>
      </w:r>
      <w:r>
        <w:rPr/>
        <w:t>事</w:t>
      </w:r>
      <w:r>
        <w:rPr>
          <w:spacing w:val="-3"/>
        </w:rPr>
        <w:t>人</w:t>
      </w:r>
      <w:r>
        <w:rPr/>
        <w:t>：</w:t>
        <w:tab/>
        <w:t>指受基金合同约束，根据基金合同享受权利并承担义务的法</w:t>
      </w:r>
    </w:p>
    <w:p>
      <w:pPr>
        <w:pStyle w:val="BodyText"/>
        <w:spacing w:before="7"/>
        <w:ind w:left="0"/>
        <w:rPr>
          <w:sz w:val="15"/>
        </w:rPr>
      </w:pPr>
    </w:p>
    <w:p>
      <w:pPr>
        <w:pStyle w:val="BodyText"/>
        <w:ind w:left="3029"/>
      </w:pPr>
      <w:r>
        <w:rPr/>
        <w:t>律主体，包括基金管理人、基金托管人和基金份额持有人。</w:t>
      </w:r>
    </w:p>
    <w:p>
      <w:pPr>
        <w:pStyle w:val="BodyText"/>
        <w:spacing w:before="6"/>
        <w:ind w:left="0"/>
        <w:rPr>
          <w:sz w:val="15"/>
        </w:rPr>
      </w:pPr>
    </w:p>
    <w:p>
      <w:pPr>
        <w:pStyle w:val="BodyText"/>
        <w:tabs>
          <w:tab w:pos="3028" w:val="left" w:leader="none"/>
        </w:tabs>
        <w:ind w:left="328"/>
      </w:pPr>
      <w:r>
        <w:rPr/>
        <w:t>基金</w:t>
      </w:r>
      <w:r>
        <w:rPr>
          <w:spacing w:val="-3"/>
        </w:rPr>
        <w:t>管</w:t>
      </w:r>
      <w:r>
        <w:rPr/>
        <w:t>理</w:t>
      </w:r>
      <w:r>
        <w:rPr>
          <w:spacing w:val="-3"/>
        </w:rPr>
        <w:t>人</w:t>
      </w:r>
      <w:r>
        <w:rPr/>
        <w:t>：</w:t>
        <w:tab/>
        <w:t>指华</w:t>
      </w:r>
      <w:r>
        <w:rPr>
          <w:spacing w:val="-3"/>
        </w:rPr>
        <w:t>夏</w:t>
      </w:r>
      <w:r>
        <w:rPr/>
        <w:t>基</w:t>
      </w:r>
      <w:r>
        <w:rPr>
          <w:spacing w:val="-3"/>
        </w:rPr>
        <w:t>金</w:t>
      </w:r>
      <w:r>
        <w:rPr/>
        <w:t>管</w:t>
      </w:r>
      <w:r>
        <w:rPr>
          <w:spacing w:val="-3"/>
        </w:rPr>
        <w:t>理</w:t>
      </w:r>
      <w:r>
        <w:rPr/>
        <w:t>有</w:t>
      </w:r>
      <w:r>
        <w:rPr>
          <w:spacing w:val="-3"/>
        </w:rPr>
        <w:t>限</w:t>
      </w:r>
      <w:r>
        <w:rPr/>
        <w:t>公</w:t>
      </w:r>
      <w:r>
        <w:rPr>
          <w:spacing w:val="-3"/>
        </w:rPr>
        <w:t>司</w:t>
      </w:r>
      <w:r>
        <w:rPr/>
        <w:t>。</w:t>
      </w:r>
    </w:p>
    <w:p>
      <w:pPr>
        <w:pStyle w:val="BodyText"/>
        <w:spacing w:before="7"/>
        <w:ind w:left="0"/>
        <w:rPr>
          <w:sz w:val="15"/>
        </w:rPr>
      </w:pPr>
    </w:p>
    <w:p>
      <w:pPr>
        <w:pStyle w:val="BodyText"/>
        <w:tabs>
          <w:tab w:pos="3028" w:val="left" w:leader="none"/>
        </w:tabs>
        <w:spacing w:before="1"/>
        <w:ind w:left="328"/>
      </w:pPr>
      <w:r>
        <w:rPr/>
        <w:t>基金</w:t>
      </w:r>
      <w:r>
        <w:rPr>
          <w:spacing w:val="-3"/>
        </w:rPr>
        <w:t>托</w:t>
      </w:r>
      <w:r>
        <w:rPr/>
        <w:t>管</w:t>
      </w:r>
      <w:r>
        <w:rPr>
          <w:spacing w:val="-3"/>
        </w:rPr>
        <w:t>人</w:t>
      </w:r>
      <w:r>
        <w:rPr/>
        <w:t>：</w:t>
        <w:tab/>
        <w:t>指中</w:t>
      </w:r>
      <w:r>
        <w:rPr>
          <w:spacing w:val="-3"/>
        </w:rPr>
        <w:t>国</w:t>
      </w:r>
      <w:r>
        <w:rPr/>
        <w:t>银</w:t>
      </w:r>
      <w:r>
        <w:rPr>
          <w:spacing w:val="-3"/>
        </w:rPr>
        <w:t>行</w:t>
      </w:r>
      <w:r>
        <w:rPr/>
        <w:t>股</w:t>
      </w:r>
      <w:r>
        <w:rPr>
          <w:spacing w:val="-3"/>
        </w:rPr>
        <w:t>份</w:t>
      </w:r>
      <w:r>
        <w:rPr/>
        <w:t>有</w:t>
      </w:r>
      <w:r>
        <w:rPr>
          <w:spacing w:val="-3"/>
        </w:rPr>
        <w:t>限</w:t>
      </w:r>
      <w:r>
        <w:rPr/>
        <w:t>公</w:t>
      </w:r>
      <w:r>
        <w:rPr>
          <w:spacing w:val="-3"/>
        </w:rPr>
        <w:t>司</w:t>
      </w:r>
      <w:r>
        <w:rPr/>
        <w:t>。</w:t>
      </w:r>
    </w:p>
    <w:p>
      <w:pPr>
        <w:spacing w:after="0"/>
        <w:sectPr>
          <w:pgSz w:w="11910" w:h="16840"/>
          <w:pgMar w:header="705" w:footer="683" w:top="1420" w:bottom="880" w:left="1580" w:right="920"/>
        </w:sectPr>
      </w:pPr>
    </w:p>
    <w:p>
      <w:pPr>
        <w:pStyle w:val="BodyText"/>
        <w:spacing w:line="417" w:lineRule="auto" w:before="110"/>
        <w:ind w:left="328"/>
      </w:pPr>
      <w:r>
        <w:rPr/>
        <w:t>境外资产托管人</w:t>
      </w:r>
      <w:r>
        <w:rPr>
          <w:rFonts w:ascii="Times New Roman" w:eastAsia="Times New Roman"/>
        </w:rPr>
        <w:t>/</w:t>
      </w:r>
      <w:r>
        <w:rPr/>
        <w:t>境外托管人：</w:t>
      </w:r>
    </w:p>
    <w:p>
      <w:pPr>
        <w:pStyle w:val="BodyText"/>
        <w:spacing w:line="417" w:lineRule="auto" w:before="110"/>
        <w:ind w:left="164" w:right="872"/>
        <w:jc w:val="both"/>
      </w:pPr>
      <w:r>
        <w:rPr/>
        <w:br w:type="column"/>
      </w:r>
      <w:r>
        <w:rPr/>
        <w:t>指符合《试行办法》规定的条件，接受基金托管人委托的、负责基金境外财产的保管、存管、清算等业务的金融机构； 境外资产托管人由基金托管人选择和更换。</w:t>
      </w:r>
    </w:p>
    <w:p>
      <w:pPr>
        <w:spacing w:after="0" w:line="417" w:lineRule="auto"/>
        <w:jc w:val="both"/>
        <w:sectPr>
          <w:pgSz w:w="11910" w:h="16840"/>
          <w:pgMar w:header="705" w:footer="683" w:top="1420" w:bottom="880" w:left="1580" w:right="920"/>
          <w:cols w:num="2" w:equalWidth="0">
            <w:col w:w="2825" w:space="40"/>
            <w:col w:w="6545"/>
          </w:cols>
        </w:sectPr>
      </w:pPr>
    </w:p>
    <w:p>
      <w:pPr>
        <w:pStyle w:val="BodyText"/>
        <w:tabs>
          <w:tab w:pos="3028" w:val="left" w:leader="none"/>
        </w:tabs>
        <w:spacing w:line="269" w:lineRule="exact"/>
        <w:ind w:left="328"/>
      </w:pPr>
      <w:r>
        <w:rPr/>
        <w:t>登记</w:t>
      </w:r>
      <w:r>
        <w:rPr>
          <w:spacing w:val="-3"/>
        </w:rPr>
        <w:t>结</w:t>
      </w:r>
      <w:r>
        <w:rPr/>
        <w:t>算</w:t>
      </w:r>
      <w:r>
        <w:rPr>
          <w:spacing w:val="-3"/>
        </w:rPr>
        <w:t>业</w:t>
      </w:r>
      <w:r>
        <w:rPr/>
        <w:t>务：</w:t>
        <w:tab/>
        <w:t>指本基金登记、存管、清算和交收业务，具体内容包括投资</w:t>
      </w:r>
    </w:p>
    <w:p>
      <w:pPr>
        <w:pStyle w:val="BodyText"/>
        <w:spacing w:before="6"/>
        <w:ind w:left="0"/>
        <w:rPr>
          <w:sz w:val="15"/>
        </w:rPr>
      </w:pPr>
    </w:p>
    <w:p>
      <w:pPr>
        <w:pStyle w:val="BodyText"/>
        <w:spacing w:line="417" w:lineRule="auto"/>
        <w:ind w:left="3029" w:right="873"/>
      </w:pPr>
      <w:r>
        <w:rPr/>
        <w:t>者基金账户管理、基金份额登记、清算及基金交易确认、发放红利、建立并保管基金份额持有人名册等。</w:t>
      </w:r>
    </w:p>
    <w:p>
      <w:pPr>
        <w:pStyle w:val="BodyText"/>
        <w:tabs>
          <w:tab w:pos="3028" w:val="left" w:leader="none"/>
        </w:tabs>
        <w:spacing w:line="269" w:lineRule="exact"/>
        <w:ind w:left="328"/>
      </w:pPr>
      <w:r>
        <w:rPr/>
        <w:t>登记</w:t>
      </w:r>
      <w:r>
        <w:rPr>
          <w:spacing w:val="-3"/>
        </w:rPr>
        <w:t>结</w:t>
      </w:r>
      <w:r>
        <w:rPr/>
        <w:t>算</w:t>
      </w:r>
      <w:r>
        <w:rPr>
          <w:spacing w:val="-3"/>
        </w:rPr>
        <w:t>机</w:t>
      </w:r>
      <w:r>
        <w:rPr/>
        <w:t>构：</w:t>
        <w:tab/>
        <w:t>指办理本基金登记结算业务的机构。本基金的登记结算机构</w:t>
      </w:r>
    </w:p>
    <w:p>
      <w:pPr>
        <w:pStyle w:val="BodyText"/>
        <w:spacing w:before="8"/>
        <w:ind w:left="0"/>
        <w:rPr>
          <w:sz w:val="15"/>
        </w:rPr>
      </w:pPr>
    </w:p>
    <w:p>
      <w:pPr>
        <w:pStyle w:val="BodyText"/>
        <w:spacing w:line="417" w:lineRule="auto"/>
        <w:ind w:left="3029" w:right="873"/>
      </w:pPr>
      <w:r>
        <w:rPr/>
        <w:t>为华夏基金管理有限公司或接受华夏基金管理有限公司委托代为办理本基金登记结算业务的机构。</w:t>
      </w:r>
    </w:p>
    <w:p>
      <w:pPr>
        <w:pStyle w:val="BodyText"/>
        <w:tabs>
          <w:tab w:pos="3028" w:val="left" w:leader="none"/>
        </w:tabs>
        <w:spacing w:line="417" w:lineRule="auto"/>
        <w:ind w:left="3029" w:right="873" w:hanging="2701"/>
      </w:pPr>
      <w:r>
        <w:rPr/>
        <w:t>投资</w:t>
      </w:r>
      <w:r>
        <w:rPr>
          <w:spacing w:val="-3"/>
        </w:rPr>
        <w:t>者</w:t>
      </w:r>
      <w:r>
        <w:rPr/>
        <w:t>：</w:t>
        <w:tab/>
        <w:t>指个人投资者、机构投资者和法律法规或中国证监会允许</w:t>
      </w:r>
      <w:r>
        <w:rPr>
          <w:spacing w:val="-16"/>
        </w:rPr>
        <w:t>购</w:t>
      </w:r>
      <w:r>
        <w:rPr/>
        <w:t>买证</w:t>
      </w:r>
      <w:r>
        <w:rPr>
          <w:spacing w:val="-3"/>
        </w:rPr>
        <w:t>券</w:t>
      </w:r>
      <w:r>
        <w:rPr/>
        <w:t>投</w:t>
      </w:r>
      <w:r>
        <w:rPr>
          <w:spacing w:val="-3"/>
        </w:rPr>
        <w:t>资</w:t>
      </w:r>
      <w:r>
        <w:rPr/>
        <w:t>基</w:t>
      </w:r>
      <w:r>
        <w:rPr>
          <w:spacing w:val="-3"/>
        </w:rPr>
        <w:t>金</w:t>
      </w:r>
      <w:r>
        <w:rPr/>
        <w:t>的</w:t>
      </w:r>
      <w:r>
        <w:rPr>
          <w:spacing w:val="-3"/>
        </w:rPr>
        <w:t>其</w:t>
      </w:r>
      <w:r>
        <w:rPr/>
        <w:t>他</w:t>
      </w:r>
      <w:r>
        <w:rPr>
          <w:spacing w:val="-3"/>
        </w:rPr>
        <w:t>投</w:t>
      </w:r>
      <w:r>
        <w:rPr/>
        <w:t>资者。</w:t>
      </w:r>
    </w:p>
    <w:p>
      <w:pPr>
        <w:pStyle w:val="BodyText"/>
        <w:tabs>
          <w:tab w:pos="3028" w:val="left" w:leader="none"/>
        </w:tabs>
        <w:spacing w:line="269" w:lineRule="exact"/>
        <w:ind w:left="328"/>
      </w:pPr>
      <w:r>
        <w:rPr/>
        <w:t>个人</w:t>
      </w:r>
      <w:r>
        <w:rPr>
          <w:spacing w:val="-3"/>
        </w:rPr>
        <w:t>投</w:t>
      </w:r>
      <w:r>
        <w:rPr/>
        <w:t>资</w:t>
      </w:r>
      <w:r>
        <w:rPr>
          <w:spacing w:val="-3"/>
        </w:rPr>
        <w:t>者</w:t>
      </w:r>
      <w:r>
        <w:rPr/>
        <w:t>：</w:t>
        <w:tab/>
        <w:t>指依据中华人民共和国有关法律法规可以投资于证券投资基</w:t>
      </w:r>
    </w:p>
    <w:p>
      <w:pPr>
        <w:pStyle w:val="BodyText"/>
        <w:spacing w:before="6"/>
        <w:ind w:left="0"/>
        <w:rPr>
          <w:sz w:val="15"/>
        </w:rPr>
      </w:pPr>
    </w:p>
    <w:p>
      <w:pPr>
        <w:pStyle w:val="BodyText"/>
        <w:ind w:left="3029"/>
      </w:pPr>
      <w:r>
        <w:rPr/>
        <w:t>金的自然人。</w:t>
      </w:r>
    </w:p>
    <w:p>
      <w:pPr>
        <w:pStyle w:val="BodyText"/>
        <w:spacing w:before="7"/>
        <w:ind w:left="0"/>
        <w:rPr>
          <w:sz w:val="15"/>
        </w:rPr>
      </w:pPr>
    </w:p>
    <w:p>
      <w:pPr>
        <w:pStyle w:val="BodyText"/>
        <w:tabs>
          <w:tab w:pos="3028" w:val="left" w:leader="none"/>
        </w:tabs>
        <w:ind w:left="328"/>
      </w:pPr>
      <w:r>
        <w:rPr/>
        <w:t>机构</w:t>
      </w:r>
      <w:r>
        <w:rPr>
          <w:spacing w:val="-3"/>
        </w:rPr>
        <w:t>投</w:t>
      </w:r>
      <w:r>
        <w:rPr/>
        <w:t>资</w:t>
      </w:r>
      <w:r>
        <w:rPr>
          <w:spacing w:val="-3"/>
        </w:rPr>
        <w:t>者</w:t>
      </w:r>
      <w:r>
        <w:rPr/>
        <w:t>：</w:t>
        <w:tab/>
        <w:t>指在中国境内合法注册登记或经有权政府部门批准设立和有</w:t>
      </w:r>
    </w:p>
    <w:p>
      <w:pPr>
        <w:pStyle w:val="BodyText"/>
        <w:spacing w:before="7"/>
        <w:ind w:left="0"/>
        <w:rPr>
          <w:sz w:val="15"/>
        </w:rPr>
      </w:pPr>
    </w:p>
    <w:p>
      <w:pPr>
        <w:pStyle w:val="BodyText"/>
        <w:spacing w:line="417" w:lineRule="auto"/>
        <w:ind w:left="3029" w:right="873"/>
      </w:pPr>
      <w:r>
        <w:rPr/>
        <w:t>效存续并依法可以投资于证券投资基金的企业法人、事业法人、社会团体或其他组织。</w:t>
      </w:r>
    </w:p>
    <w:p>
      <w:pPr>
        <w:pStyle w:val="BodyText"/>
        <w:tabs>
          <w:tab w:pos="3028" w:val="left" w:leader="none"/>
        </w:tabs>
        <w:spacing w:line="269" w:lineRule="exact"/>
        <w:ind w:left="328"/>
      </w:pPr>
      <w:r>
        <w:rPr/>
        <w:t>基金</w:t>
      </w:r>
      <w:r>
        <w:rPr>
          <w:spacing w:val="-3"/>
        </w:rPr>
        <w:t>份</w:t>
      </w:r>
      <w:r>
        <w:rPr/>
        <w:t>额</w:t>
      </w:r>
      <w:r>
        <w:rPr>
          <w:spacing w:val="-3"/>
        </w:rPr>
        <w:t>持</w:t>
      </w:r>
      <w:r>
        <w:rPr/>
        <w:t>有</w:t>
      </w:r>
      <w:r>
        <w:rPr>
          <w:spacing w:val="-3"/>
        </w:rPr>
        <w:t>人</w:t>
      </w:r>
      <w:r>
        <w:rPr/>
        <w:t>：</w:t>
        <w:tab/>
        <w:t>指依基金合同和招募说明书合法取得本基金基金份额的投资</w:t>
      </w:r>
    </w:p>
    <w:p>
      <w:pPr>
        <w:pStyle w:val="BodyText"/>
        <w:spacing w:before="7"/>
        <w:ind w:left="0"/>
        <w:rPr>
          <w:sz w:val="15"/>
        </w:rPr>
      </w:pPr>
    </w:p>
    <w:p>
      <w:pPr>
        <w:pStyle w:val="BodyText"/>
        <w:ind w:left="3029"/>
      </w:pPr>
      <w:r>
        <w:rPr/>
        <w:t>者。</w:t>
      </w:r>
    </w:p>
    <w:p>
      <w:pPr>
        <w:pStyle w:val="BodyText"/>
        <w:spacing w:before="6"/>
        <w:ind w:left="0"/>
        <w:rPr>
          <w:sz w:val="15"/>
        </w:rPr>
      </w:pPr>
    </w:p>
    <w:p>
      <w:pPr>
        <w:pStyle w:val="BodyText"/>
        <w:tabs>
          <w:tab w:pos="3028" w:val="left" w:leader="none"/>
        </w:tabs>
        <w:spacing w:before="1"/>
        <w:ind w:left="328"/>
      </w:pPr>
      <w:r>
        <w:rPr/>
        <w:t>基金</w:t>
      </w:r>
      <w:r>
        <w:rPr>
          <w:spacing w:val="-3"/>
        </w:rPr>
        <w:t>募</w:t>
      </w:r>
      <w:r>
        <w:rPr/>
        <w:t>集</w:t>
      </w:r>
      <w:r>
        <w:rPr>
          <w:spacing w:val="-3"/>
        </w:rPr>
        <w:t>期</w:t>
      </w:r>
      <w:r>
        <w:rPr/>
        <w:t>：</w:t>
        <w:tab/>
        <w:t>指基金合同和招募说明书中载明，并经中国证监会核准的基</w:t>
      </w:r>
    </w:p>
    <w:p>
      <w:pPr>
        <w:pStyle w:val="BodyText"/>
        <w:spacing w:before="6"/>
        <w:ind w:left="0"/>
        <w:rPr>
          <w:sz w:val="15"/>
        </w:rPr>
      </w:pPr>
    </w:p>
    <w:p>
      <w:pPr>
        <w:pStyle w:val="BodyText"/>
        <w:tabs>
          <w:tab w:pos="3028" w:val="left" w:leader="none"/>
        </w:tabs>
        <w:spacing w:line="417" w:lineRule="auto"/>
        <w:ind w:left="328" w:right="768" w:firstLine="2700"/>
      </w:pPr>
      <w:r>
        <w:rPr/>
        <w:t>金份</w:t>
      </w:r>
      <w:r>
        <w:rPr>
          <w:spacing w:val="-3"/>
        </w:rPr>
        <w:t>额</w:t>
      </w:r>
      <w:r>
        <w:rPr/>
        <w:t>募</w:t>
      </w:r>
      <w:r>
        <w:rPr>
          <w:spacing w:val="-3"/>
        </w:rPr>
        <w:t>集</w:t>
      </w:r>
      <w:r>
        <w:rPr/>
        <w:t>期</w:t>
      </w:r>
      <w:r>
        <w:rPr>
          <w:spacing w:val="-3"/>
        </w:rPr>
        <w:t>限</w:t>
      </w:r>
      <w:r>
        <w:rPr>
          <w:spacing w:val="-68"/>
        </w:rPr>
        <w:t>，</w:t>
      </w:r>
      <w:r>
        <w:rPr>
          <w:spacing w:val="-3"/>
        </w:rPr>
        <w:t>自</w:t>
      </w:r>
      <w:r>
        <w:rPr/>
        <w:t>基</w:t>
      </w:r>
      <w:r>
        <w:rPr>
          <w:spacing w:val="-3"/>
        </w:rPr>
        <w:t>金份</w:t>
      </w:r>
      <w:r>
        <w:rPr/>
        <w:t>额发</w:t>
      </w:r>
      <w:r>
        <w:rPr>
          <w:spacing w:val="-3"/>
        </w:rPr>
        <w:t>售</w:t>
      </w:r>
      <w:r>
        <w:rPr/>
        <w:t>之</w:t>
      </w:r>
      <w:r>
        <w:rPr>
          <w:spacing w:val="-3"/>
        </w:rPr>
        <w:t>日</w:t>
      </w:r>
      <w:r>
        <w:rPr/>
        <w:t>起</w:t>
      </w:r>
      <w:r>
        <w:rPr>
          <w:spacing w:val="-3"/>
        </w:rPr>
        <w:t>最</w:t>
      </w:r>
      <w:r>
        <w:rPr/>
        <w:t>长</w:t>
      </w:r>
      <w:r>
        <w:rPr>
          <w:spacing w:val="-3"/>
        </w:rPr>
        <w:t>不</w:t>
      </w:r>
      <w:r>
        <w:rPr/>
        <w:t>超</w:t>
      </w:r>
      <w:r>
        <w:rPr>
          <w:spacing w:val="-3"/>
        </w:rPr>
        <w:t>过</w:t>
      </w:r>
      <w:r>
        <w:rPr/>
        <w:t>三个</w:t>
      </w:r>
      <w:r>
        <w:rPr>
          <w:spacing w:val="-3"/>
        </w:rPr>
        <w:t>月</w:t>
      </w:r>
      <w:r>
        <w:rPr/>
        <w:t>。基金</w:t>
      </w:r>
      <w:r>
        <w:rPr>
          <w:spacing w:val="-3"/>
        </w:rPr>
        <w:t>合</w:t>
      </w:r>
      <w:r>
        <w:rPr/>
        <w:t>同</w:t>
      </w:r>
      <w:r>
        <w:rPr>
          <w:spacing w:val="-3"/>
        </w:rPr>
        <w:t>生</w:t>
      </w:r>
      <w:r>
        <w:rPr/>
        <w:t>效</w:t>
      </w:r>
      <w:r>
        <w:rPr>
          <w:spacing w:val="-3"/>
        </w:rPr>
        <w:t>日</w:t>
      </w:r>
      <w:r>
        <w:rPr/>
        <w:t>：</w:t>
        <w:tab/>
        <w:t>指基金募集达到法律法规规定及基金合同约定的条件，基金</w:t>
      </w:r>
    </w:p>
    <w:p>
      <w:pPr>
        <w:pStyle w:val="BodyText"/>
        <w:spacing w:line="417" w:lineRule="auto" w:before="1"/>
        <w:ind w:left="3029" w:right="873"/>
      </w:pPr>
      <w:r>
        <w:rPr/>
        <w:t>管理人聘请法定机构验资并办理完毕基金合同备案手续，获得中国证监会书面确认之日。</w:t>
      </w:r>
    </w:p>
    <w:p>
      <w:pPr>
        <w:pStyle w:val="BodyText"/>
        <w:tabs>
          <w:tab w:pos="3028" w:val="left" w:leader="none"/>
        </w:tabs>
        <w:spacing w:line="269" w:lineRule="exact"/>
        <w:ind w:left="328"/>
      </w:pPr>
      <w:r>
        <w:rPr/>
        <w:t>存续</w:t>
      </w:r>
      <w:r>
        <w:rPr>
          <w:spacing w:val="-3"/>
        </w:rPr>
        <w:t>期</w:t>
      </w:r>
      <w:r>
        <w:rPr/>
        <w:t>：</w:t>
        <w:tab/>
        <w:t>指基</w:t>
      </w:r>
      <w:r>
        <w:rPr>
          <w:spacing w:val="-3"/>
        </w:rPr>
        <w:t>金</w:t>
      </w:r>
      <w:r>
        <w:rPr/>
        <w:t>合</w:t>
      </w:r>
      <w:r>
        <w:rPr>
          <w:spacing w:val="-3"/>
        </w:rPr>
        <w:t>同</w:t>
      </w:r>
      <w:r>
        <w:rPr/>
        <w:t>生</w:t>
      </w:r>
      <w:r>
        <w:rPr>
          <w:spacing w:val="-3"/>
        </w:rPr>
        <w:t>效</w:t>
      </w:r>
      <w:r>
        <w:rPr/>
        <w:t>至</w:t>
      </w:r>
      <w:r>
        <w:rPr>
          <w:spacing w:val="-3"/>
        </w:rPr>
        <w:t>终</w:t>
      </w:r>
      <w:r>
        <w:rPr/>
        <w:t>止</w:t>
      </w:r>
      <w:r>
        <w:rPr>
          <w:spacing w:val="-3"/>
        </w:rPr>
        <w:t>之</w:t>
      </w:r>
      <w:r>
        <w:rPr/>
        <w:t>间的</w:t>
      </w:r>
      <w:r>
        <w:rPr>
          <w:spacing w:val="-3"/>
        </w:rPr>
        <w:t>不</w:t>
      </w:r>
      <w:r>
        <w:rPr/>
        <w:t>定</w:t>
      </w:r>
      <w:r>
        <w:rPr>
          <w:spacing w:val="-3"/>
        </w:rPr>
        <w:t>期</w:t>
      </w:r>
      <w:r>
        <w:rPr/>
        <w:t>期</w:t>
      </w:r>
      <w:r>
        <w:rPr>
          <w:spacing w:val="-3"/>
        </w:rPr>
        <w:t>限</w:t>
      </w:r>
      <w:r>
        <w:rPr/>
        <w:t>。</w:t>
      </w:r>
    </w:p>
    <w:p>
      <w:pPr>
        <w:pStyle w:val="BodyText"/>
        <w:spacing w:before="6"/>
        <w:ind w:left="0"/>
        <w:rPr>
          <w:sz w:val="15"/>
        </w:rPr>
      </w:pPr>
    </w:p>
    <w:p>
      <w:pPr>
        <w:pStyle w:val="BodyText"/>
        <w:tabs>
          <w:tab w:pos="3028" w:val="left" w:leader="none"/>
        </w:tabs>
        <w:ind w:left="328"/>
      </w:pPr>
      <w:r>
        <w:rPr/>
        <w:t>工作</w:t>
      </w:r>
      <w:r>
        <w:rPr>
          <w:spacing w:val="-3"/>
        </w:rPr>
        <w:t>日</w:t>
      </w:r>
      <w:r>
        <w:rPr/>
        <w:t>：</w:t>
        <w:tab/>
        <w:t>指深</w:t>
      </w:r>
      <w:r>
        <w:rPr>
          <w:spacing w:val="-3"/>
        </w:rPr>
        <w:t>圳</w:t>
      </w:r>
      <w:r>
        <w:rPr/>
        <w:t>证</w:t>
      </w:r>
      <w:r>
        <w:rPr>
          <w:spacing w:val="-3"/>
        </w:rPr>
        <w:t>券</w:t>
      </w:r>
      <w:r>
        <w:rPr/>
        <w:t>交</w:t>
      </w:r>
      <w:r>
        <w:rPr>
          <w:spacing w:val="-3"/>
        </w:rPr>
        <w:t>易</w:t>
      </w:r>
      <w:r>
        <w:rPr/>
        <w:t>所</w:t>
      </w:r>
      <w:r>
        <w:rPr>
          <w:spacing w:val="-3"/>
        </w:rPr>
        <w:t>和</w:t>
      </w:r>
      <w:r>
        <w:rPr/>
        <w:t>上</w:t>
      </w:r>
      <w:r>
        <w:rPr>
          <w:spacing w:val="-3"/>
        </w:rPr>
        <w:t>海</w:t>
      </w:r>
      <w:r>
        <w:rPr/>
        <w:t>证券</w:t>
      </w:r>
      <w:r>
        <w:rPr>
          <w:spacing w:val="-3"/>
        </w:rPr>
        <w:t>交</w:t>
      </w:r>
      <w:r>
        <w:rPr/>
        <w:t>易</w:t>
      </w:r>
      <w:r>
        <w:rPr>
          <w:spacing w:val="-3"/>
        </w:rPr>
        <w:t>所</w:t>
      </w:r>
      <w:r>
        <w:rPr/>
        <w:t>的</w:t>
      </w:r>
      <w:r>
        <w:rPr>
          <w:spacing w:val="-3"/>
        </w:rPr>
        <w:t>正</w:t>
      </w:r>
      <w:r>
        <w:rPr/>
        <w:t>常</w:t>
      </w:r>
      <w:r>
        <w:rPr>
          <w:spacing w:val="-3"/>
        </w:rPr>
        <w:t>交</w:t>
      </w:r>
      <w:r>
        <w:rPr/>
        <w:t>易日。</w:t>
      </w:r>
    </w:p>
    <w:p>
      <w:pPr>
        <w:pStyle w:val="BodyText"/>
        <w:spacing w:before="7"/>
        <w:ind w:left="0"/>
        <w:rPr>
          <w:sz w:val="15"/>
        </w:rPr>
      </w:pPr>
    </w:p>
    <w:p>
      <w:pPr>
        <w:pStyle w:val="BodyText"/>
        <w:tabs>
          <w:tab w:pos="3028" w:val="left" w:leader="none"/>
        </w:tabs>
        <w:ind w:left="328"/>
      </w:pPr>
      <w:r>
        <w:rPr/>
        <w:t>开放</w:t>
      </w:r>
      <w:r>
        <w:rPr>
          <w:spacing w:val="-3"/>
        </w:rPr>
        <w:t>日</w:t>
      </w:r>
      <w:r>
        <w:rPr/>
        <w:t>：</w:t>
        <w:tab/>
        <w:t>指为</w:t>
      </w:r>
      <w:r>
        <w:rPr>
          <w:spacing w:val="-3"/>
        </w:rPr>
        <w:t>投</w:t>
      </w:r>
      <w:r>
        <w:rPr/>
        <w:t>资</w:t>
      </w:r>
      <w:r>
        <w:rPr>
          <w:spacing w:val="-3"/>
        </w:rPr>
        <w:t>者</w:t>
      </w:r>
      <w:r>
        <w:rPr/>
        <w:t>办</w:t>
      </w:r>
      <w:r>
        <w:rPr>
          <w:spacing w:val="-3"/>
        </w:rPr>
        <w:t>理</w:t>
      </w:r>
      <w:r>
        <w:rPr/>
        <w:t>基</w:t>
      </w:r>
      <w:r>
        <w:rPr>
          <w:spacing w:val="-3"/>
        </w:rPr>
        <w:t>金</w:t>
      </w:r>
      <w:r>
        <w:rPr/>
        <w:t>申</w:t>
      </w:r>
      <w:r>
        <w:rPr>
          <w:spacing w:val="-3"/>
        </w:rPr>
        <w:t>购</w:t>
      </w:r>
      <w:r>
        <w:rPr/>
        <w:t>、赎</w:t>
      </w:r>
      <w:r>
        <w:rPr>
          <w:spacing w:val="-3"/>
        </w:rPr>
        <w:t>回</w:t>
      </w:r>
      <w:r>
        <w:rPr/>
        <w:t>等</w:t>
      </w:r>
      <w:r>
        <w:rPr>
          <w:spacing w:val="-3"/>
        </w:rPr>
        <w:t>业</w:t>
      </w:r>
      <w:r>
        <w:rPr/>
        <w:t>务</w:t>
      </w:r>
      <w:r>
        <w:rPr>
          <w:spacing w:val="-3"/>
        </w:rPr>
        <w:t>的</w:t>
      </w:r>
      <w:r>
        <w:rPr/>
        <w:t>工</w:t>
      </w:r>
      <w:r>
        <w:rPr>
          <w:spacing w:val="-3"/>
        </w:rPr>
        <w:t>作</w:t>
      </w:r>
      <w:r>
        <w:rPr/>
        <w:t>日。</w:t>
      </w:r>
    </w:p>
    <w:p>
      <w:pPr>
        <w:pStyle w:val="BodyText"/>
        <w:spacing w:before="7"/>
        <w:ind w:left="0"/>
        <w:rPr>
          <w:sz w:val="15"/>
        </w:rPr>
      </w:pPr>
    </w:p>
    <w:p>
      <w:pPr>
        <w:pStyle w:val="BodyText"/>
        <w:tabs>
          <w:tab w:pos="3028" w:val="left" w:leader="none"/>
        </w:tabs>
        <w:spacing w:line="417" w:lineRule="auto"/>
        <w:ind w:left="3029" w:right="873" w:hanging="2701"/>
      </w:pPr>
      <w:r>
        <w:rPr/>
        <w:t>认购：</w:t>
        <w:tab/>
        <w:t>指在基金募集期内，投资者按照基金合同的规定申请购买</w:t>
      </w:r>
      <w:r>
        <w:rPr>
          <w:spacing w:val="-16"/>
        </w:rPr>
        <w:t>本</w:t>
      </w:r>
      <w:r>
        <w:rPr/>
        <w:t>基金</w:t>
      </w:r>
      <w:r>
        <w:rPr>
          <w:spacing w:val="-3"/>
        </w:rPr>
        <w:t>基</w:t>
      </w:r>
      <w:r>
        <w:rPr/>
        <w:t>金</w:t>
      </w:r>
      <w:r>
        <w:rPr>
          <w:spacing w:val="-3"/>
        </w:rPr>
        <w:t>份</w:t>
      </w:r>
      <w:r>
        <w:rPr/>
        <w:t>额</w:t>
      </w:r>
      <w:r>
        <w:rPr>
          <w:spacing w:val="-3"/>
        </w:rPr>
        <w:t>的</w:t>
      </w:r>
      <w:r>
        <w:rPr/>
        <w:t>行</w:t>
      </w:r>
      <w:r>
        <w:rPr>
          <w:spacing w:val="-3"/>
        </w:rPr>
        <w:t>为</w:t>
      </w:r>
      <w:r>
        <w:rPr/>
        <w:t>。</w:t>
      </w:r>
    </w:p>
    <w:p>
      <w:pPr>
        <w:pStyle w:val="BodyText"/>
        <w:tabs>
          <w:tab w:pos="3028" w:val="left" w:leader="none"/>
        </w:tabs>
        <w:ind w:left="328"/>
      </w:pPr>
      <w:r>
        <w:rPr/>
        <w:t>申购：</w:t>
        <w:tab/>
        <w:t>指在基金合同生效后的存续期间，投资者按照基金合同的规</w:t>
      </w:r>
    </w:p>
    <w:p>
      <w:pPr>
        <w:spacing w:after="0"/>
        <w:sectPr>
          <w:type w:val="continuous"/>
          <w:pgSz w:w="11910" w:h="16840"/>
          <w:pgMar w:top="1580" w:bottom="280" w:left="1580" w:right="920"/>
        </w:sectPr>
      </w:pPr>
    </w:p>
    <w:p>
      <w:pPr>
        <w:pStyle w:val="BodyText"/>
        <w:spacing w:before="110"/>
        <w:ind w:left="2137" w:right="2121"/>
        <w:jc w:val="center"/>
      </w:pPr>
      <w:r>
        <w:rPr/>
        <w:t>定申请购买本基金基金份额的行为。</w:t>
      </w:r>
    </w:p>
    <w:p>
      <w:pPr>
        <w:pStyle w:val="BodyText"/>
        <w:spacing w:before="6"/>
        <w:ind w:left="0"/>
        <w:rPr>
          <w:sz w:val="15"/>
        </w:rPr>
      </w:pPr>
    </w:p>
    <w:p>
      <w:pPr>
        <w:pStyle w:val="BodyText"/>
        <w:tabs>
          <w:tab w:pos="3028" w:val="left" w:leader="none"/>
        </w:tabs>
        <w:spacing w:line="417" w:lineRule="auto"/>
        <w:ind w:left="3029" w:right="871" w:hanging="2701"/>
        <w:jc w:val="both"/>
      </w:pPr>
      <w:r>
        <w:rPr/>
        <w:t>赎回：</w:t>
        <w:tab/>
        <w:t>指在基金合同生效后的存续期间，基金份额持有人按基金</w:t>
      </w:r>
      <w:r>
        <w:rPr>
          <w:spacing w:val="-16"/>
        </w:rPr>
        <w:t>合</w:t>
      </w:r>
      <w:r>
        <w:rPr/>
        <w:t>同规</w:t>
      </w:r>
      <w:r>
        <w:rPr>
          <w:spacing w:val="-3"/>
        </w:rPr>
        <w:t>定</w:t>
      </w:r>
      <w:r>
        <w:rPr/>
        <w:t>的</w:t>
      </w:r>
      <w:r>
        <w:rPr>
          <w:spacing w:val="-3"/>
        </w:rPr>
        <w:t>条</w:t>
      </w:r>
      <w:r>
        <w:rPr/>
        <w:t>件</w:t>
      </w:r>
      <w:r>
        <w:rPr>
          <w:spacing w:val="-3"/>
        </w:rPr>
        <w:t>要</w:t>
      </w:r>
      <w:r>
        <w:rPr/>
        <w:t>求</w:t>
      </w:r>
      <w:r>
        <w:rPr>
          <w:spacing w:val="-3"/>
        </w:rPr>
        <w:t>基</w:t>
      </w:r>
      <w:r>
        <w:rPr/>
        <w:t>金</w:t>
      </w:r>
      <w:r>
        <w:rPr>
          <w:spacing w:val="-3"/>
        </w:rPr>
        <w:t>管</w:t>
      </w:r>
      <w:r>
        <w:rPr/>
        <w:t>理人</w:t>
      </w:r>
      <w:r>
        <w:rPr>
          <w:spacing w:val="-3"/>
        </w:rPr>
        <w:t>购</w:t>
      </w:r>
      <w:r>
        <w:rPr/>
        <w:t>回</w:t>
      </w:r>
      <w:r>
        <w:rPr>
          <w:spacing w:val="-3"/>
        </w:rPr>
        <w:t>本</w:t>
      </w:r>
      <w:r>
        <w:rPr/>
        <w:t>基</w:t>
      </w:r>
      <w:r>
        <w:rPr>
          <w:spacing w:val="-3"/>
        </w:rPr>
        <w:t>金</w:t>
      </w:r>
      <w:r>
        <w:rPr/>
        <w:t>基</w:t>
      </w:r>
      <w:r>
        <w:rPr>
          <w:spacing w:val="-3"/>
        </w:rPr>
        <w:t>金</w:t>
      </w:r>
      <w:r>
        <w:rPr/>
        <w:t>份</w:t>
      </w:r>
      <w:r>
        <w:rPr>
          <w:spacing w:val="-3"/>
        </w:rPr>
        <w:t>额</w:t>
      </w:r>
      <w:r>
        <w:rPr/>
        <w:t>的行</w:t>
      </w:r>
      <w:r>
        <w:rPr>
          <w:spacing w:val="-3"/>
        </w:rPr>
        <w:t>为</w:t>
      </w:r>
      <w:r>
        <w:rPr/>
        <w:t>。</w:t>
      </w:r>
    </w:p>
    <w:p>
      <w:pPr>
        <w:pStyle w:val="BodyText"/>
        <w:tabs>
          <w:tab w:pos="3028" w:val="left" w:leader="none"/>
        </w:tabs>
        <w:spacing w:line="417" w:lineRule="auto"/>
        <w:ind w:left="3029" w:right="873" w:hanging="2701"/>
        <w:jc w:val="both"/>
      </w:pPr>
      <w:r>
        <w:rPr/>
        <w:t>基金</w:t>
      </w:r>
      <w:r>
        <w:rPr>
          <w:spacing w:val="-3"/>
        </w:rPr>
        <w:t>转</w:t>
      </w:r>
      <w:r>
        <w:rPr/>
        <w:t>换：</w:t>
        <w:tab/>
        <w:t>指基金份额持有人按基金管理人规定的条件，申请将其持</w:t>
      </w:r>
      <w:r>
        <w:rPr>
          <w:spacing w:val="-16"/>
        </w:rPr>
        <w:t>有</w:t>
      </w:r>
      <w:r>
        <w:rPr/>
        <w:t>的基金管理人管理的某一基金的基金份额转换为基金管理</w:t>
      </w:r>
      <w:r>
        <w:rPr>
          <w:spacing w:val="-17"/>
        </w:rPr>
        <w:t>人</w:t>
      </w:r>
      <w:r>
        <w:rPr/>
        <w:t>管理</w:t>
      </w:r>
      <w:r>
        <w:rPr>
          <w:spacing w:val="-3"/>
        </w:rPr>
        <w:t>的</w:t>
      </w:r>
      <w:r>
        <w:rPr/>
        <w:t>其</w:t>
      </w:r>
      <w:r>
        <w:rPr>
          <w:spacing w:val="-3"/>
        </w:rPr>
        <w:t>他</w:t>
      </w:r>
      <w:r>
        <w:rPr/>
        <w:t>基</w:t>
      </w:r>
      <w:r>
        <w:rPr>
          <w:spacing w:val="-3"/>
        </w:rPr>
        <w:t>金</w:t>
      </w:r>
      <w:r>
        <w:rPr/>
        <w:t>的</w:t>
      </w:r>
      <w:r>
        <w:rPr>
          <w:spacing w:val="-3"/>
        </w:rPr>
        <w:t>基</w:t>
      </w:r>
      <w:r>
        <w:rPr/>
        <w:t>金</w:t>
      </w:r>
      <w:r>
        <w:rPr>
          <w:spacing w:val="-3"/>
        </w:rPr>
        <w:t>份</w:t>
      </w:r>
      <w:r>
        <w:rPr/>
        <w:t>额的</w:t>
      </w:r>
      <w:r>
        <w:rPr>
          <w:spacing w:val="-3"/>
        </w:rPr>
        <w:t>行</w:t>
      </w:r>
      <w:r>
        <w:rPr/>
        <w:t>为。</w:t>
      </w:r>
    </w:p>
    <w:p>
      <w:pPr>
        <w:pStyle w:val="BodyText"/>
        <w:tabs>
          <w:tab w:pos="3028" w:val="left" w:leader="none"/>
        </w:tabs>
        <w:spacing w:line="417" w:lineRule="auto"/>
        <w:ind w:left="3029" w:right="873" w:hanging="2701"/>
        <w:jc w:val="both"/>
      </w:pPr>
      <w:r>
        <w:rPr/>
        <w:t>转托</w:t>
      </w:r>
      <w:r>
        <w:rPr>
          <w:spacing w:val="-3"/>
        </w:rPr>
        <w:t>管</w:t>
      </w:r>
      <w:r>
        <w:rPr/>
        <w:t>：</w:t>
        <w:tab/>
        <w:t>指基金份额持有人将其持有的同一基金账户下的基金份额</w:t>
      </w:r>
      <w:r>
        <w:rPr>
          <w:spacing w:val="-16"/>
        </w:rPr>
        <w:t>从</w:t>
      </w:r>
      <w:r>
        <w:rPr/>
        <w:t>某一</w:t>
      </w:r>
      <w:r>
        <w:rPr>
          <w:spacing w:val="-3"/>
        </w:rPr>
        <w:t>交</w:t>
      </w:r>
      <w:r>
        <w:rPr/>
        <w:t>易</w:t>
      </w:r>
      <w:r>
        <w:rPr>
          <w:spacing w:val="-3"/>
        </w:rPr>
        <w:t>账</w:t>
      </w:r>
      <w:r>
        <w:rPr/>
        <w:t>户</w:t>
      </w:r>
      <w:r>
        <w:rPr>
          <w:spacing w:val="-3"/>
        </w:rPr>
        <w:t>转</w:t>
      </w:r>
      <w:r>
        <w:rPr/>
        <w:t>入</w:t>
      </w:r>
      <w:r>
        <w:rPr>
          <w:spacing w:val="-3"/>
        </w:rPr>
        <w:t>另</w:t>
      </w:r>
      <w:r>
        <w:rPr/>
        <w:t>一</w:t>
      </w:r>
      <w:r>
        <w:rPr>
          <w:spacing w:val="-3"/>
        </w:rPr>
        <w:t>交</w:t>
      </w:r>
      <w:r>
        <w:rPr/>
        <w:t>易账</w:t>
      </w:r>
      <w:r>
        <w:rPr>
          <w:spacing w:val="-3"/>
        </w:rPr>
        <w:t>户</w:t>
      </w:r>
      <w:r>
        <w:rPr/>
        <w:t>的</w:t>
      </w:r>
      <w:r>
        <w:rPr>
          <w:spacing w:val="-3"/>
        </w:rPr>
        <w:t>行</w:t>
      </w:r>
      <w:r>
        <w:rPr/>
        <w:t>为。</w:t>
      </w:r>
    </w:p>
    <w:p>
      <w:pPr>
        <w:pStyle w:val="BodyText"/>
        <w:tabs>
          <w:tab w:pos="3028" w:val="left" w:leader="none"/>
        </w:tabs>
        <w:spacing w:line="417" w:lineRule="auto"/>
        <w:ind w:left="3029" w:right="873" w:hanging="2701"/>
        <w:jc w:val="both"/>
      </w:pPr>
      <w:r>
        <w:rPr/>
        <w:t>投资</w:t>
      </w:r>
      <w:r>
        <w:rPr>
          <w:spacing w:val="-3"/>
        </w:rPr>
        <w:t>指</w:t>
      </w:r>
      <w:r>
        <w:rPr/>
        <w:t>令：</w:t>
        <w:tab/>
        <w:t>指基金管理人或其委托的第三方机构在运用基金财产进行</w:t>
      </w:r>
      <w:r>
        <w:rPr>
          <w:spacing w:val="-16"/>
        </w:rPr>
        <w:t>投</w:t>
      </w:r>
      <w:r>
        <w:rPr/>
        <w:t>资时</w:t>
      </w:r>
      <w:r>
        <w:rPr>
          <w:spacing w:val="-3"/>
        </w:rPr>
        <w:t>，</w:t>
      </w:r>
      <w:r>
        <w:rPr/>
        <w:t>向</w:t>
      </w:r>
      <w:r>
        <w:rPr>
          <w:spacing w:val="-3"/>
        </w:rPr>
        <w:t>基</w:t>
      </w:r>
      <w:r>
        <w:rPr/>
        <w:t>金</w:t>
      </w:r>
      <w:r>
        <w:rPr>
          <w:spacing w:val="-3"/>
        </w:rPr>
        <w:t>托</w:t>
      </w:r>
      <w:r>
        <w:rPr/>
        <w:t>管</w:t>
      </w:r>
      <w:r>
        <w:rPr>
          <w:spacing w:val="-3"/>
        </w:rPr>
        <w:t>人</w:t>
      </w:r>
      <w:r>
        <w:rPr/>
        <w:t>发</w:t>
      </w:r>
      <w:r>
        <w:rPr>
          <w:spacing w:val="-3"/>
        </w:rPr>
        <w:t>出</w:t>
      </w:r>
      <w:r>
        <w:rPr/>
        <w:t>的资</w:t>
      </w:r>
      <w:r>
        <w:rPr>
          <w:spacing w:val="-3"/>
        </w:rPr>
        <w:t>金</w:t>
      </w:r>
      <w:r>
        <w:rPr/>
        <w:t>划</w:t>
      </w:r>
      <w:r>
        <w:rPr>
          <w:spacing w:val="-3"/>
        </w:rPr>
        <w:t>拨</w:t>
      </w:r>
      <w:r>
        <w:rPr/>
        <w:t>及</w:t>
      </w:r>
      <w:r>
        <w:rPr>
          <w:spacing w:val="-3"/>
        </w:rPr>
        <w:t>实</w:t>
      </w:r>
      <w:r>
        <w:rPr/>
        <w:t>物</w:t>
      </w:r>
      <w:r>
        <w:rPr>
          <w:spacing w:val="-3"/>
        </w:rPr>
        <w:t>券</w:t>
      </w:r>
      <w:r>
        <w:rPr/>
        <w:t>调</w:t>
      </w:r>
      <w:r>
        <w:rPr>
          <w:spacing w:val="-3"/>
        </w:rPr>
        <w:t>拨</w:t>
      </w:r>
      <w:r>
        <w:rPr/>
        <w:t>等指</w:t>
      </w:r>
      <w:r>
        <w:rPr>
          <w:spacing w:val="-3"/>
        </w:rPr>
        <w:t>令</w:t>
      </w:r>
      <w:r>
        <w:rPr/>
        <w:t>。</w:t>
      </w:r>
    </w:p>
    <w:p>
      <w:pPr>
        <w:pStyle w:val="BodyText"/>
        <w:tabs>
          <w:tab w:pos="3028" w:val="left" w:leader="none"/>
        </w:tabs>
        <w:spacing w:line="417" w:lineRule="auto"/>
        <w:ind w:left="3029" w:right="872" w:hanging="2701"/>
        <w:jc w:val="both"/>
      </w:pPr>
      <w:r>
        <w:rPr/>
        <w:t>代销</w:t>
      </w:r>
      <w:r>
        <w:rPr>
          <w:spacing w:val="-3"/>
        </w:rPr>
        <w:t>机</w:t>
      </w:r>
      <w:r>
        <w:rPr/>
        <w:t>构：</w:t>
        <w:tab/>
        <w:t>指符合《销售办法》和中国证监会规定的其他条件，取得</w:t>
      </w:r>
      <w:r>
        <w:rPr>
          <w:spacing w:val="-15"/>
        </w:rPr>
        <w:t>基</w:t>
      </w:r>
      <w:r>
        <w:rPr/>
        <w:t>金代销业务资格，并接受基金管理人委托代为办理本基金</w:t>
      </w:r>
      <w:r>
        <w:rPr>
          <w:spacing w:val="-16"/>
        </w:rPr>
        <w:t>认</w:t>
      </w:r>
      <w:r>
        <w:rPr/>
        <w:t>购、</w:t>
      </w:r>
      <w:r>
        <w:rPr>
          <w:spacing w:val="-3"/>
        </w:rPr>
        <w:t>申</w:t>
      </w:r>
      <w:r>
        <w:rPr/>
        <w:t>购</w:t>
      </w:r>
      <w:r>
        <w:rPr>
          <w:spacing w:val="-3"/>
        </w:rPr>
        <w:t>、</w:t>
      </w:r>
      <w:r>
        <w:rPr/>
        <w:t>赎</w:t>
      </w:r>
      <w:r>
        <w:rPr>
          <w:spacing w:val="-3"/>
        </w:rPr>
        <w:t>回</w:t>
      </w:r>
      <w:r>
        <w:rPr/>
        <w:t>和</w:t>
      </w:r>
      <w:r>
        <w:rPr>
          <w:spacing w:val="-3"/>
        </w:rPr>
        <w:t>其</w:t>
      </w:r>
      <w:r>
        <w:rPr/>
        <w:t>他</w:t>
      </w:r>
      <w:r>
        <w:rPr>
          <w:spacing w:val="-3"/>
        </w:rPr>
        <w:t>基</w:t>
      </w:r>
      <w:r>
        <w:rPr/>
        <w:t>金业</w:t>
      </w:r>
      <w:r>
        <w:rPr>
          <w:spacing w:val="-3"/>
        </w:rPr>
        <w:t>务</w:t>
      </w:r>
      <w:r>
        <w:rPr/>
        <w:t>的</w:t>
      </w:r>
      <w:r>
        <w:rPr>
          <w:spacing w:val="-3"/>
        </w:rPr>
        <w:t>机</w:t>
      </w:r>
      <w:r>
        <w:rPr/>
        <w:t>构。</w:t>
      </w:r>
    </w:p>
    <w:p>
      <w:pPr>
        <w:pStyle w:val="BodyText"/>
        <w:tabs>
          <w:tab w:pos="3028" w:val="left" w:leader="none"/>
        </w:tabs>
        <w:spacing w:line="269" w:lineRule="exact"/>
        <w:ind w:left="328"/>
        <w:jc w:val="both"/>
      </w:pPr>
      <w:r>
        <w:rPr/>
        <w:t>销售</w:t>
      </w:r>
      <w:r>
        <w:rPr>
          <w:spacing w:val="-3"/>
        </w:rPr>
        <w:t>机</w:t>
      </w:r>
      <w:r>
        <w:rPr/>
        <w:t>构：</w:t>
        <w:tab/>
        <w:t>指基</w:t>
      </w:r>
      <w:r>
        <w:rPr>
          <w:spacing w:val="-3"/>
        </w:rPr>
        <w:t>金</w:t>
      </w:r>
      <w:r>
        <w:rPr/>
        <w:t>管</w:t>
      </w:r>
      <w:r>
        <w:rPr>
          <w:spacing w:val="-3"/>
        </w:rPr>
        <w:t>理</w:t>
      </w:r>
      <w:r>
        <w:rPr/>
        <w:t>人</w:t>
      </w:r>
      <w:r>
        <w:rPr>
          <w:spacing w:val="-3"/>
        </w:rPr>
        <w:t>及</w:t>
      </w:r>
      <w:r>
        <w:rPr/>
        <w:t>本</w:t>
      </w:r>
      <w:r>
        <w:rPr>
          <w:spacing w:val="-3"/>
        </w:rPr>
        <w:t>基</w:t>
      </w:r>
      <w:r>
        <w:rPr/>
        <w:t>金</w:t>
      </w:r>
      <w:r>
        <w:rPr>
          <w:spacing w:val="-3"/>
        </w:rPr>
        <w:t>代</w:t>
      </w:r>
      <w:r>
        <w:rPr/>
        <w:t>销机</w:t>
      </w:r>
      <w:r>
        <w:rPr>
          <w:spacing w:val="-3"/>
        </w:rPr>
        <w:t>构</w:t>
      </w:r>
      <w:r>
        <w:rPr/>
        <w:t>。</w:t>
      </w:r>
    </w:p>
    <w:p>
      <w:pPr>
        <w:pStyle w:val="BodyText"/>
        <w:spacing w:before="6"/>
        <w:ind w:left="0"/>
        <w:rPr>
          <w:sz w:val="15"/>
        </w:rPr>
      </w:pPr>
    </w:p>
    <w:p>
      <w:pPr>
        <w:pStyle w:val="BodyText"/>
        <w:tabs>
          <w:tab w:pos="3028" w:val="left" w:leader="none"/>
        </w:tabs>
        <w:spacing w:before="1"/>
        <w:ind w:left="328"/>
        <w:jc w:val="both"/>
      </w:pPr>
      <w:r>
        <w:rPr/>
        <w:t>基金</w:t>
      </w:r>
      <w:r>
        <w:rPr>
          <w:spacing w:val="-3"/>
        </w:rPr>
        <w:t>销</w:t>
      </w:r>
      <w:r>
        <w:rPr/>
        <w:t>售</w:t>
      </w:r>
      <w:r>
        <w:rPr>
          <w:spacing w:val="-3"/>
        </w:rPr>
        <w:t>网</w:t>
      </w:r>
      <w:r>
        <w:rPr/>
        <w:t>点：</w:t>
        <w:tab/>
        <w:t>指基</w:t>
      </w:r>
      <w:r>
        <w:rPr>
          <w:spacing w:val="-3"/>
        </w:rPr>
        <w:t>金</w:t>
      </w:r>
      <w:r>
        <w:rPr/>
        <w:t>管</w:t>
      </w:r>
      <w:r>
        <w:rPr>
          <w:spacing w:val="-3"/>
        </w:rPr>
        <w:t>理</w:t>
      </w:r>
      <w:r>
        <w:rPr/>
        <w:t>人</w:t>
      </w:r>
      <w:r>
        <w:rPr>
          <w:spacing w:val="-3"/>
        </w:rPr>
        <w:t>的</w:t>
      </w:r>
      <w:r>
        <w:rPr/>
        <w:t>直</w:t>
      </w:r>
      <w:r>
        <w:rPr>
          <w:spacing w:val="-3"/>
        </w:rPr>
        <w:t>销</w:t>
      </w:r>
      <w:r>
        <w:rPr/>
        <w:t>中</w:t>
      </w:r>
      <w:r>
        <w:rPr>
          <w:spacing w:val="-3"/>
        </w:rPr>
        <w:t>心</w:t>
      </w:r>
      <w:r>
        <w:rPr/>
        <w:t>及基</w:t>
      </w:r>
      <w:r>
        <w:rPr>
          <w:spacing w:val="-3"/>
        </w:rPr>
        <w:t>金</w:t>
      </w:r>
      <w:r>
        <w:rPr/>
        <w:t>代</w:t>
      </w:r>
      <w:r>
        <w:rPr>
          <w:spacing w:val="-3"/>
        </w:rPr>
        <w:t>销</w:t>
      </w:r>
      <w:r>
        <w:rPr/>
        <w:t>机</w:t>
      </w:r>
      <w:r>
        <w:rPr>
          <w:spacing w:val="-3"/>
        </w:rPr>
        <w:t>构</w:t>
      </w:r>
      <w:r>
        <w:rPr/>
        <w:t>的</w:t>
      </w:r>
      <w:r>
        <w:rPr>
          <w:spacing w:val="-3"/>
        </w:rPr>
        <w:t>代</w:t>
      </w:r>
      <w:r>
        <w:rPr/>
        <w:t>销</w:t>
      </w:r>
      <w:r>
        <w:rPr>
          <w:spacing w:val="-3"/>
        </w:rPr>
        <w:t>网</w:t>
      </w:r>
      <w:r>
        <w:rPr/>
        <w:t>点。</w:t>
      </w:r>
    </w:p>
    <w:p>
      <w:pPr>
        <w:pStyle w:val="BodyText"/>
        <w:spacing w:before="6"/>
        <w:ind w:left="0"/>
        <w:rPr>
          <w:sz w:val="15"/>
        </w:rPr>
      </w:pPr>
    </w:p>
    <w:p>
      <w:pPr>
        <w:pStyle w:val="BodyText"/>
        <w:tabs>
          <w:tab w:pos="3028" w:val="left" w:leader="none"/>
        </w:tabs>
        <w:spacing w:line="417" w:lineRule="auto"/>
        <w:ind w:left="3029" w:right="866" w:hanging="2701"/>
        <w:jc w:val="both"/>
      </w:pPr>
      <w:r>
        <w:rPr/>
        <w:t>指定</w:t>
      </w:r>
      <w:r>
        <w:rPr>
          <w:spacing w:val="-3"/>
        </w:rPr>
        <w:t>媒</w:t>
      </w:r>
      <w:r>
        <w:rPr/>
        <w:t>介：</w:t>
        <w:tab/>
      </w:r>
      <w:r>
        <w:rPr>
          <w:spacing w:val="6"/>
        </w:rPr>
        <w:t>指中国</w:t>
      </w:r>
      <w:r>
        <w:rPr>
          <w:spacing w:val="4"/>
        </w:rPr>
        <w:t>证</w:t>
      </w:r>
      <w:r>
        <w:rPr>
          <w:spacing w:val="6"/>
        </w:rPr>
        <w:t>监会</w:t>
      </w:r>
      <w:r>
        <w:rPr>
          <w:spacing w:val="4"/>
        </w:rPr>
        <w:t>指</w:t>
      </w:r>
      <w:r>
        <w:rPr>
          <w:spacing w:val="6"/>
        </w:rPr>
        <w:t>定的</w:t>
      </w:r>
      <w:r>
        <w:rPr>
          <w:spacing w:val="4"/>
        </w:rPr>
        <w:t>用以</w:t>
      </w:r>
      <w:r>
        <w:rPr>
          <w:spacing w:val="6"/>
        </w:rPr>
        <w:t>进行信</w:t>
      </w:r>
      <w:r>
        <w:rPr>
          <w:spacing w:val="4"/>
        </w:rPr>
        <w:t>息</w:t>
      </w:r>
      <w:r>
        <w:rPr>
          <w:spacing w:val="6"/>
        </w:rPr>
        <w:t>披露</w:t>
      </w:r>
      <w:r>
        <w:rPr>
          <w:spacing w:val="4"/>
        </w:rPr>
        <w:t>的</w:t>
      </w:r>
      <w:r>
        <w:rPr>
          <w:spacing w:val="6"/>
        </w:rPr>
        <w:t>报刊</w:t>
      </w:r>
      <w:r>
        <w:rPr>
          <w:spacing w:val="12"/>
        </w:rPr>
        <w:t>和</w:t>
      </w:r>
      <w:r>
        <w:rPr>
          <w:rFonts w:ascii="Times New Roman" w:eastAsia="Times New Roman"/>
          <w:spacing w:val="3"/>
        </w:rPr>
        <w:t>/</w:t>
      </w:r>
      <w:r>
        <w:rPr>
          <w:spacing w:val="7"/>
        </w:rPr>
        <w:t>或互联网</w:t>
      </w:r>
      <w:r>
        <w:rPr/>
        <w:t>网站</w:t>
      </w:r>
      <w:r>
        <w:rPr>
          <w:spacing w:val="-3"/>
        </w:rPr>
        <w:t>或</w:t>
      </w:r>
      <w:r>
        <w:rPr/>
        <w:t>其</w:t>
      </w:r>
      <w:r>
        <w:rPr>
          <w:spacing w:val="-3"/>
        </w:rPr>
        <w:t>他</w:t>
      </w:r>
      <w:r>
        <w:rPr/>
        <w:t>媒</w:t>
      </w:r>
      <w:r>
        <w:rPr>
          <w:spacing w:val="-3"/>
        </w:rPr>
        <w:t>介</w:t>
      </w:r>
      <w:r>
        <w:rPr/>
        <w:t>。</w:t>
      </w:r>
    </w:p>
    <w:p>
      <w:pPr>
        <w:pStyle w:val="BodyText"/>
        <w:tabs>
          <w:tab w:pos="3028" w:val="left" w:leader="none"/>
        </w:tabs>
        <w:spacing w:line="417" w:lineRule="auto"/>
        <w:ind w:left="3029" w:right="864" w:hanging="2701"/>
        <w:jc w:val="both"/>
      </w:pPr>
      <w:r>
        <w:rPr/>
        <w:t>基金</w:t>
      </w:r>
      <w:r>
        <w:rPr>
          <w:spacing w:val="-3"/>
        </w:rPr>
        <w:t>账</w:t>
      </w:r>
      <w:r>
        <w:rPr/>
        <w:t>户：</w:t>
        <w:tab/>
        <w:t>指登记结算机构为基金投资者开立的记录其持有的由该登记</w:t>
      </w:r>
      <w:r>
        <w:rPr>
          <w:spacing w:val="9"/>
        </w:rPr>
        <w:t>结算机构办理登</w:t>
      </w:r>
      <w:r>
        <w:rPr>
          <w:spacing w:val="7"/>
        </w:rPr>
        <w:t>记</w:t>
      </w:r>
      <w:r>
        <w:rPr>
          <w:spacing w:val="9"/>
        </w:rPr>
        <w:t>结算</w:t>
      </w:r>
      <w:r>
        <w:rPr>
          <w:spacing w:val="7"/>
        </w:rPr>
        <w:t>的</w:t>
      </w:r>
      <w:r>
        <w:rPr>
          <w:spacing w:val="9"/>
        </w:rPr>
        <w:t>基金份额余额</w:t>
      </w:r>
      <w:r>
        <w:rPr>
          <w:spacing w:val="7"/>
        </w:rPr>
        <w:t>及</w:t>
      </w:r>
      <w:r>
        <w:rPr>
          <w:spacing w:val="9"/>
        </w:rPr>
        <w:t>其变动</w:t>
      </w:r>
      <w:r>
        <w:rPr>
          <w:spacing w:val="7"/>
        </w:rPr>
        <w:t>情</w:t>
      </w:r>
      <w:r>
        <w:rPr>
          <w:spacing w:val="9"/>
        </w:rPr>
        <w:t>况的账</w:t>
      </w:r>
      <w:r>
        <w:rPr/>
        <w:t>户。</w:t>
      </w:r>
    </w:p>
    <w:p>
      <w:pPr>
        <w:pStyle w:val="BodyText"/>
        <w:tabs>
          <w:tab w:pos="3028" w:val="left" w:leader="none"/>
        </w:tabs>
        <w:spacing w:line="417" w:lineRule="auto"/>
        <w:ind w:left="3029" w:right="873" w:hanging="2701"/>
        <w:jc w:val="both"/>
      </w:pPr>
      <w:r>
        <w:rPr/>
        <w:t>交易</w:t>
      </w:r>
      <w:r>
        <w:rPr>
          <w:spacing w:val="-3"/>
        </w:rPr>
        <w:t>账</w:t>
      </w:r>
      <w:r>
        <w:rPr/>
        <w:t>户：</w:t>
        <w:tab/>
        <w:t>指销售机构为投资者开立的记录投资者通过该销售机构办</w:t>
      </w:r>
      <w:r>
        <w:rPr>
          <w:spacing w:val="-16"/>
        </w:rPr>
        <w:t>理</w:t>
      </w:r>
      <w:r>
        <w:rPr/>
        <w:t>认购、申购、赎回、转换及转托管等业务而引起的基金份</w:t>
      </w:r>
      <w:r>
        <w:rPr>
          <w:spacing w:val="-17"/>
        </w:rPr>
        <w:t>额</w:t>
      </w:r>
      <w:r>
        <w:rPr/>
        <w:t>的变</w:t>
      </w:r>
      <w:r>
        <w:rPr>
          <w:spacing w:val="-3"/>
        </w:rPr>
        <w:t>动</w:t>
      </w:r>
      <w:r>
        <w:rPr/>
        <w:t>及</w:t>
      </w:r>
      <w:r>
        <w:rPr>
          <w:spacing w:val="-3"/>
        </w:rPr>
        <w:t>结</w:t>
      </w:r>
      <w:r>
        <w:rPr/>
        <w:t>余</w:t>
      </w:r>
      <w:r>
        <w:rPr>
          <w:spacing w:val="-3"/>
        </w:rPr>
        <w:t>情</w:t>
      </w:r>
      <w:r>
        <w:rPr/>
        <w:t>况</w:t>
      </w:r>
      <w:r>
        <w:rPr>
          <w:spacing w:val="-3"/>
        </w:rPr>
        <w:t>的</w:t>
      </w:r>
      <w:r>
        <w:rPr/>
        <w:t>账</w:t>
      </w:r>
      <w:r>
        <w:rPr>
          <w:spacing w:val="-3"/>
        </w:rPr>
        <w:t>户</w:t>
      </w:r>
      <w:r>
        <w:rPr/>
        <w:t>。</w:t>
      </w:r>
    </w:p>
    <w:p>
      <w:pPr>
        <w:pStyle w:val="BodyText"/>
        <w:tabs>
          <w:tab w:pos="3028" w:val="left" w:leader="none"/>
        </w:tabs>
        <w:ind w:left="328"/>
        <w:jc w:val="both"/>
      </w:pPr>
      <w:r>
        <w:rPr>
          <w:rFonts w:ascii="Times New Roman" w:eastAsia="Times New Roman"/>
        </w:rPr>
        <w:t>T </w:t>
      </w:r>
      <w:r>
        <w:rPr>
          <w:spacing w:val="-3"/>
        </w:rPr>
        <w:t>日</w:t>
      </w:r>
      <w:r>
        <w:rPr/>
        <w:t>：</w:t>
        <w:tab/>
        <w:t>指销</w:t>
      </w:r>
      <w:r>
        <w:rPr>
          <w:spacing w:val="-3"/>
        </w:rPr>
        <w:t>售</w:t>
      </w:r>
      <w:r>
        <w:rPr/>
        <w:t>机</w:t>
      </w:r>
      <w:r>
        <w:rPr>
          <w:spacing w:val="-3"/>
        </w:rPr>
        <w:t>构</w:t>
      </w:r>
      <w:r>
        <w:rPr/>
        <w:t>受</w:t>
      </w:r>
      <w:r>
        <w:rPr>
          <w:spacing w:val="-3"/>
        </w:rPr>
        <w:t>理</w:t>
      </w:r>
      <w:r>
        <w:rPr/>
        <w:t>投</w:t>
      </w:r>
      <w:r>
        <w:rPr>
          <w:spacing w:val="-3"/>
        </w:rPr>
        <w:t>资</w:t>
      </w:r>
      <w:r>
        <w:rPr/>
        <w:t>者</w:t>
      </w:r>
      <w:r>
        <w:rPr>
          <w:spacing w:val="-3"/>
        </w:rPr>
        <w:t>申</w:t>
      </w:r>
      <w:r>
        <w:rPr/>
        <w:t>购</w:t>
      </w:r>
      <w:r>
        <w:rPr>
          <w:spacing w:val="-68"/>
        </w:rPr>
        <w:t>、</w:t>
      </w:r>
      <w:r>
        <w:rPr>
          <w:spacing w:val="-3"/>
        </w:rPr>
        <w:t>赎</w:t>
      </w:r>
      <w:r>
        <w:rPr/>
        <w:t>回</w:t>
      </w:r>
      <w:r>
        <w:rPr>
          <w:spacing w:val="-3"/>
        </w:rPr>
        <w:t>或</w:t>
      </w:r>
      <w:r>
        <w:rPr/>
        <w:t>其</w:t>
      </w:r>
      <w:r>
        <w:rPr>
          <w:spacing w:val="-3"/>
        </w:rPr>
        <w:t>他</w:t>
      </w:r>
      <w:r>
        <w:rPr/>
        <w:t>业</w:t>
      </w:r>
      <w:r>
        <w:rPr>
          <w:spacing w:val="-3"/>
        </w:rPr>
        <w:t>务</w:t>
      </w:r>
      <w:r>
        <w:rPr/>
        <w:t>申</w:t>
      </w:r>
      <w:r>
        <w:rPr>
          <w:spacing w:val="-3"/>
        </w:rPr>
        <w:t>请的</w:t>
      </w:r>
      <w:r>
        <w:rPr/>
        <w:t>开放</w:t>
      </w:r>
      <w:r>
        <w:rPr>
          <w:spacing w:val="-3"/>
        </w:rPr>
        <w:t>日</w:t>
      </w:r>
      <w:r>
        <w:rPr/>
        <w:t>。</w:t>
      </w:r>
    </w:p>
    <w:p>
      <w:pPr>
        <w:pStyle w:val="BodyText"/>
        <w:spacing w:before="6"/>
        <w:ind w:left="0"/>
        <w:rPr>
          <w:sz w:val="15"/>
        </w:rPr>
      </w:pPr>
    </w:p>
    <w:p>
      <w:pPr>
        <w:pStyle w:val="BodyText"/>
        <w:tabs>
          <w:tab w:pos="3028" w:val="left" w:leader="none"/>
        </w:tabs>
        <w:ind w:left="328"/>
        <w:jc w:val="both"/>
      </w:pPr>
      <w:r>
        <w:rPr>
          <w:rFonts w:ascii="Times New Roman" w:eastAsia="Times New Roman"/>
        </w:rPr>
        <w:t>T+n </w:t>
      </w:r>
      <w:r>
        <w:rPr>
          <w:spacing w:val="-3"/>
        </w:rPr>
        <w:t>日</w:t>
      </w:r>
      <w:r>
        <w:rPr/>
        <w:t>：</w:t>
        <w:tab/>
        <w:t>指</w:t>
      </w:r>
      <w:r>
        <w:rPr>
          <w:spacing w:val="50"/>
        </w:rPr>
        <w:t>自</w:t>
      </w:r>
      <w:r>
        <w:rPr>
          <w:rFonts w:ascii="Times New Roman" w:eastAsia="Times New Roman"/>
        </w:rPr>
        <w:t>T</w:t>
      </w:r>
      <w:r>
        <w:rPr>
          <w:rFonts w:ascii="Times New Roman" w:eastAsia="Times New Roman"/>
          <w:spacing w:val="1"/>
        </w:rPr>
        <w:t> </w:t>
      </w:r>
      <w:r>
        <w:rPr>
          <w:spacing w:val="-3"/>
        </w:rPr>
        <w:t>日</w:t>
      </w:r>
      <w:r>
        <w:rPr/>
        <w:t>后</w:t>
      </w:r>
      <w:r>
        <w:rPr>
          <w:spacing w:val="50"/>
        </w:rPr>
        <w:t>第</w:t>
      </w:r>
      <w:r>
        <w:rPr>
          <w:rFonts w:ascii="Times New Roman" w:eastAsia="Times New Roman"/>
        </w:rPr>
        <w:t>n </w:t>
      </w:r>
      <w:r>
        <w:rPr>
          <w:spacing w:val="-3"/>
        </w:rPr>
        <w:t>个</w:t>
      </w:r>
      <w:r>
        <w:rPr/>
        <w:t>工</w:t>
      </w:r>
      <w:r>
        <w:rPr>
          <w:spacing w:val="-3"/>
        </w:rPr>
        <w:t>作日</w:t>
      </w:r>
      <w:r>
        <w:rPr/>
        <w:t>（不</w:t>
      </w:r>
      <w:r>
        <w:rPr>
          <w:spacing w:val="-3"/>
        </w:rPr>
        <w:t>包</w:t>
      </w:r>
      <w:r>
        <w:rPr>
          <w:spacing w:val="50"/>
        </w:rPr>
        <w:t>括</w:t>
      </w:r>
      <w:r>
        <w:rPr>
          <w:rFonts w:ascii="Times New Roman" w:eastAsia="Times New Roman"/>
        </w:rPr>
        <w:t>T </w:t>
      </w:r>
      <w:r>
        <w:rPr>
          <w:spacing w:val="-3"/>
        </w:rPr>
        <w:t>日</w:t>
      </w:r>
      <w:r>
        <w:rPr/>
        <w:t>）。</w:t>
      </w:r>
    </w:p>
    <w:p>
      <w:pPr>
        <w:pStyle w:val="BodyText"/>
        <w:spacing w:before="7"/>
        <w:ind w:left="0"/>
        <w:rPr>
          <w:sz w:val="15"/>
        </w:rPr>
      </w:pPr>
    </w:p>
    <w:p>
      <w:pPr>
        <w:pStyle w:val="BodyText"/>
        <w:tabs>
          <w:tab w:pos="3028" w:val="left" w:leader="none"/>
        </w:tabs>
        <w:ind w:left="328"/>
      </w:pPr>
      <w:r>
        <w:rPr/>
        <w:t>基金</w:t>
      </w:r>
      <w:r>
        <w:rPr>
          <w:spacing w:val="-3"/>
        </w:rPr>
        <w:t>资</w:t>
      </w:r>
      <w:r>
        <w:rPr/>
        <w:t>产</w:t>
      </w:r>
      <w:r>
        <w:rPr>
          <w:spacing w:val="-3"/>
        </w:rPr>
        <w:t>总</w:t>
      </w:r>
      <w:r>
        <w:rPr/>
        <w:t>值：</w:t>
        <w:tab/>
        <w:t>指基金购买的各类证券、银行存款本息、应收申购款以及其</w:t>
      </w:r>
    </w:p>
    <w:p>
      <w:pPr>
        <w:pStyle w:val="BodyText"/>
        <w:spacing w:before="7"/>
        <w:ind w:left="0"/>
        <w:rPr>
          <w:sz w:val="15"/>
        </w:rPr>
      </w:pPr>
    </w:p>
    <w:p>
      <w:pPr>
        <w:pStyle w:val="BodyText"/>
        <w:tabs>
          <w:tab w:pos="3028" w:val="left" w:leader="none"/>
        </w:tabs>
        <w:spacing w:line="417" w:lineRule="auto"/>
        <w:ind w:left="328" w:right="2381" w:firstLine="2700"/>
      </w:pPr>
      <w:r>
        <w:rPr/>
        <w:t>他资</w:t>
      </w:r>
      <w:r>
        <w:rPr>
          <w:spacing w:val="-3"/>
        </w:rPr>
        <w:t>产</w:t>
      </w:r>
      <w:r>
        <w:rPr/>
        <w:t>等</w:t>
      </w:r>
      <w:r>
        <w:rPr>
          <w:spacing w:val="-3"/>
        </w:rPr>
        <w:t>形</w:t>
      </w:r>
      <w:r>
        <w:rPr/>
        <w:t>式</w:t>
      </w:r>
      <w:r>
        <w:rPr>
          <w:spacing w:val="-3"/>
        </w:rPr>
        <w:t>存</w:t>
      </w:r>
      <w:r>
        <w:rPr/>
        <w:t>在</w:t>
      </w:r>
      <w:r>
        <w:rPr>
          <w:spacing w:val="-3"/>
        </w:rPr>
        <w:t>的</w:t>
      </w:r>
      <w:r>
        <w:rPr/>
        <w:t>基</w:t>
      </w:r>
      <w:r>
        <w:rPr>
          <w:spacing w:val="-3"/>
        </w:rPr>
        <w:t>金</w:t>
      </w:r>
      <w:r>
        <w:rPr/>
        <w:t>财产</w:t>
      </w:r>
      <w:r>
        <w:rPr>
          <w:spacing w:val="-3"/>
        </w:rPr>
        <w:t>的</w:t>
      </w:r>
      <w:r>
        <w:rPr/>
        <w:t>价</w:t>
      </w:r>
      <w:r>
        <w:rPr>
          <w:spacing w:val="-3"/>
        </w:rPr>
        <w:t>值</w:t>
      </w:r>
      <w:r>
        <w:rPr/>
        <w:t>总</w:t>
      </w:r>
      <w:r>
        <w:rPr>
          <w:spacing w:val="-3"/>
        </w:rPr>
        <w:t>和</w:t>
      </w:r>
      <w:r>
        <w:rPr>
          <w:spacing w:val="-12"/>
        </w:rPr>
        <w:t>。</w:t>
      </w:r>
      <w:r>
        <w:rPr/>
        <w:t>基金</w:t>
      </w:r>
      <w:r>
        <w:rPr>
          <w:spacing w:val="-3"/>
        </w:rPr>
        <w:t>资</w:t>
      </w:r>
      <w:r>
        <w:rPr/>
        <w:t>产</w:t>
      </w:r>
      <w:r>
        <w:rPr>
          <w:spacing w:val="-3"/>
        </w:rPr>
        <w:t>净</w:t>
      </w:r>
      <w:r>
        <w:rPr/>
        <w:t>值：</w:t>
        <w:tab/>
        <w:t>指基</w:t>
      </w:r>
      <w:r>
        <w:rPr>
          <w:spacing w:val="-3"/>
        </w:rPr>
        <w:t>金</w:t>
      </w:r>
      <w:r>
        <w:rPr/>
        <w:t>资</w:t>
      </w:r>
      <w:r>
        <w:rPr>
          <w:spacing w:val="-3"/>
        </w:rPr>
        <w:t>产</w:t>
      </w:r>
      <w:r>
        <w:rPr/>
        <w:t>总</w:t>
      </w:r>
      <w:r>
        <w:rPr>
          <w:spacing w:val="-3"/>
        </w:rPr>
        <w:t>值</w:t>
      </w:r>
      <w:r>
        <w:rPr/>
        <w:t>减</w:t>
      </w:r>
      <w:r>
        <w:rPr>
          <w:spacing w:val="-3"/>
        </w:rPr>
        <w:t>去</w:t>
      </w:r>
      <w:r>
        <w:rPr/>
        <w:t>基</w:t>
      </w:r>
      <w:r>
        <w:rPr>
          <w:spacing w:val="-3"/>
        </w:rPr>
        <w:t>金</w:t>
      </w:r>
      <w:r>
        <w:rPr/>
        <w:t>负债</w:t>
      </w:r>
      <w:r>
        <w:rPr>
          <w:spacing w:val="-3"/>
        </w:rPr>
        <w:t>后</w:t>
      </w:r>
      <w:r>
        <w:rPr/>
        <w:t>的</w:t>
      </w:r>
      <w:r>
        <w:rPr>
          <w:spacing w:val="-3"/>
        </w:rPr>
        <w:t>价</w:t>
      </w:r>
      <w:r>
        <w:rPr/>
        <w:t>值。</w:t>
      </w:r>
    </w:p>
    <w:p>
      <w:pPr>
        <w:pStyle w:val="BodyText"/>
        <w:tabs>
          <w:tab w:pos="3028" w:val="left" w:leader="none"/>
        </w:tabs>
        <w:ind w:left="328"/>
      </w:pPr>
      <w:r>
        <w:rPr/>
        <w:t>基金</w:t>
      </w:r>
      <w:r>
        <w:rPr>
          <w:spacing w:val="-3"/>
        </w:rPr>
        <w:t>份</w:t>
      </w:r>
      <w:r>
        <w:rPr/>
        <w:t>额</w:t>
      </w:r>
      <w:r>
        <w:rPr>
          <w:spacing w:val="-3"/>
        </w:rPr>
        <w:t>净</w:t>
      </w:r>
      <w:r>
        <w:rPr/>
        <w:t>值</w:t>
        <w:tab/>
        <w:t>指以估值日基金资产净值除以估值日基金份额总额后得出的</w:t>
      </w:r>
    </w:p>
    <w:p>
      <w:pPr>
        <w:spacing w:after="0"/>
        <w:sectPr>
          <w:pgSz w:w="11910" w:h="16840"/>
          <w:pgMar w:header="705" w:footer="683" w:top="1420" w:bottom="880" w:left="1580" w:right="920"/>
        </w:sectPr>
      </w:pPr>
    </w:p>
    <w:p>
      <w:pPr>
        <w:pStyle w:val="BodyText"/>
        <w:spacing w:before="110"/>
        <w:ind w:left="3029"/>
      </w:pPr>
      <w:r>
        <w:rPr/>
        <w:t>单位基金份额的价值。</w:t>
      </w:r>
    </w:p>
    <w:p>
      <w:pPr>
        <w:pStyle w:val="BodyText"/>
        <w:spacing w:before="6"/>
        <w:ind w:left="0"/>
        <w:rPr>
          <w:sz w:val="15"/>
        </w:rPr>
      </w:pPr>
    </w:p>
    <w:p>
      <w:pPr>
        <w:pStyle w:val="BodyText"/>
        <w:tabs>
          <w:tab w:pos="3028" w:val="left" w:leader="none"/>
        </w:tabs>
        <w:ind w:left="328"/>
        <w:jc w:val="both"/>
      </w:pPr>
      <w:r>
        <w:rPr/>
        <w:t>基金</w:t>
      </w:r>
      <w:r>
        <w:rPr>
          <w:spacing w:val="-3"/>
        </w:rPr>
        <w:t>资</w:t>
      </w:r>
      <w:r>
        <w:rPr/>
        <w:t>产</w:t>
      </w:r>
      <w:r>
        <w:rPr>
          <w:spacing w:val="-3"/>
        </w:rPr>
        <w:t>估</w:t>
      </w:r>
      <w:r>
        <w:rPr/>
        <w:t>值：</w:t>
        <w:tab/>
        <w:t>指计算评估基金资产和负债的价值，以确定基金资产净值和</w:t>
      </w:r>
    </w:p>
    <w:p>
      <w:pPr>
        <w:pStyle w:val="BodyText"/>
        <w:spacing w:before="7"/>
        <w:ind w:left="0"/>
        <w:rPr>
          <w:sz w:val="15"/>
        </w:rPr>
      </w:pPr>
    </w:p>
    <w:p>
      <w:pPr>
        <w:pStyle w:val="BodyText"/>
        <w:ind w:left="3029"/>
      </w:pPr>
      <w:r>
        <w:rPr/>
        <w:t>基金份额净值的过程。</w:t>
      </w:r>
    </w:p>
    <w:p>
      <w:pPr>
        <w:pStyle w:val="BodyText"/>
        <w:spacing w:before="7"/>
        <w:ind w:left="0"/>
        <w:rPr>
          <w:sz w:val="15"/>
        </w:rPr>
      </w:pPr>
    </w:p>
    <w:p>
      <w:pPr>
        <w:pStyle w:val="BodyText"/>
        <w:tabs>
          <w:tab w:pos="3028" w:val="left" w:leader="none"/>
        </w:tabs>
        <w:spacing w:line="417" w:lineRule="auto"/>
        <w:ind w:left="3029" w:right="873" w:hanging="2701"/>
        <w:jc w:val="both"/>
      </w:pPr>
      <w:r>
        <w:rPr/>
        <w:t>法律</w:t>
      </w:r>
      <w:r>
        <w:rPr>
          <w:spacing w:val="-3"/>
        </w:rPr>
        <w:t>法</w:t>
      </w:r>
      <w:r>
        <w:rPr/>
        <w:t>规：</w:t>
        <w:tab/>
        <w:t>指中华人民共和国现行有效的法律、行政法规、司法解释</w:t>
      </w:r>
      <w:r>
        <w:rPr>
          <w:spacing w:val="-16"/>
        </w:rPr>
        <w:t>、</w:t>
      </w:r>
      <w:r>
        <w:rPr/>
        <w:t>地方法规、地方规章、部门规章及其他规范性文件以及对</w:t>
      </w:r>
      <w:r>
        <w:rPr>
          <w:spacing w:val="-17"/>
        </w:rPr>
        <w:t>于</w:t>
      </w:r>
      <w:r>
        <w:rPr/>
        <w:t>该等</w:t>
      </w:r>
      <w:r>
        <w:rPr>
          <w:spacing w:val="-3"/>
        </w:rPr>
        <w:t>法</w:t>
      </w:r>
      <w:r>
        <w:rPr/>
        <w:t>律</w:t>
      </w:r>
      <w:r>
        <w:rPr>
          <w:spacing w:val="-3"/>
        </w:rPr>
        <w:t>法</w:t>
      </w:r>
      <w:r>
        <w:rPr/>
        <w:t>规</w:t>
      </w:r>
      <w:r>
        <w:rPr>
          <w:spacing w:val="-3"/>
        </w:rPr>
        <w:t>的</w:t>
      </w:r>
      <w:r>
        <w:rPr/>
        <w:t>不</w:t>
      </w:r>
      <w:r>
        <w:rPr>
          <w:spacing w:val="-3"/>
        </w:rPr>
        <w:t>时</w:t>
      </w:r>
      <w:r>
        <w:rPr/>
        <w:t>修</w:t>
      </w:r>
      <w:r>
        <w:rPr>
          <w:spacing w:val="-3"/>
        </w:rPr>
        <w:t>改</w:t>
      </w:r>
      <w:r>
        <w:rPr/>
        <w:t>和补</w:t>
      </w:r>
      <w:r>
        <w:rPr>
          <w:spacing w:val="-3"/>
        </w:rPr>
        <w:t>充</w:t>
      </w:r>
      <w:r>
        <w:rPr/>
        <w:t>。</w:t>
      </w:r>
    </w:p>
    <w:p>
      <w:pPr>
        <w:pStyle w:val="BodyText"/>
        <w:tabs>
          <w:tab w:pos="3028" w:val="left" w:leader="none"/>
        </w:tabs>
        <w:spacing w:line="417" w:lineRule="auto"/>
        <w:ind w:left="3029" w:right="873" w:hanging="2701"/>
        <w:jc w:val="both"/>
      </w:pPr>
      <w:r>
        <w:rPr/>
        <w:t>业务</w:t>
      </w:r>
      <w:r>
        <w:rPr>
          <w:spacing w:val="-3"/>
        </w:rPr>
        <w:t>规</w:t>
      </w:r>
      <w:r>
        <w:rPr/>
        <w:t>则：</w:t>
        <w:tab/>
      </w:r>
      <w:r>
        <w:rPr>
          <w:spacing w:val="-34"/>
        </w:rPr>
        <w:t>指</w:t>
      </w:r>
      <w:r>
        <w:rPr/>
        <w:t>《</w:t>
      </w:r>
      <w:r>
        <w:rPr>
          <w:spacing w:val="-3"/>
        </w:rPr>
        <w:t>华</w:t>
      </w:r>
      <w:r>
        <w:rPr/>
        <w:t>夏</w:t>
      </w:r>
      <w:r>
        <w:rPr>
          <w:spacing w:val="-3"/>
        </w:rPr>
        <w:t>基</w:t>
      </w:r>
      <w:r>
        <w:rPr/>
        <w:t>金</w:t>
      </w:r>
      <w:r>
        <w:rPr>
          <w:spacing w:val="-3"/>
        </w:rPr>
        <w:t>管</w:t>
      </w:r>
      <w:r>
        <w:rPr/>
        <w:t>理</w:t>
      </w:r>
      <w:r>
        <w:rPr>
          <w:spacing w:val="-3"/>
        </w:rPr>
        <w:t>有</w:t>
      </w:r>
      <w:r>
        <w:rPr/>
        <w:t>限</w:t>
      </w:r>
      <w:r>
        <w:rPr>
          <w:spacing w:val="-3"/>
        </w:rPr>
        <w:t>公</w:t>
      </w:r>
      <w:r>
        <w:rPr/>
        <w:t>司开</w:t>
      </w:r>
      <w:r>
        <w:rPr>
          <w:spacing w:val="-3"/>
        </w:rPr>
        <w:t>放</w:t>
      </w:r>
      <w:r>
        <w:rPr/>
        <w:t>式</w:t>
      </w:r>
      <w:r>
        <w:rPr>
          <w:spacing w:val="-3"/>
        </w:rPr>
        <w:t>基</w:t>
      </w:r>
      <w:r>
        <w:rPr/>
        <w:t>金</w:t>
      </w:r>
      <w:r>
        <w:rPr>
          <w:spacing w:val="-3"/>
        </w:rPr>
        <w:t>业</w:t>
      </w:r>
      <w:r>
        <w:rPr/>
        <w:t>务</w:t>
      </w:r>
      <w:r>
        <w:rPr>
          <w:spacing w:val="-3"/>
        </w:rPr>
        <w:t>规</w:t>
      </w:r>
      <w:r>
        <w:rPr/>
        <w:t>则</w:t>
      </w:r>
      <w:r>
        <w:rPr>
          <w:spacing w:val="-108"/>
        </w:rPr>
        <w:t>》</w:t>
      </w:r>
      <w:r>
        <w:rPr>
          <w:spacing w:val="-36"/>
        </w:rPr>
        <w:t>，</w:t>
      </w:r>
      <w:r>
        <w:rPr/>
        <w:t>是规</w:t>
      </w:r>
      <w:r>
        <w:rPr>
          <w:spacing w:val="-3"/>
        </w:rPr>
        <w:t>范</w:t>
      </w:r>
      <w:r>
        <w:rPr/>
        <w:t>基金管理人所管理的开放式证券投资基金业务方面的规则，</w:t>
      </w:r>
      <w:r>
        <w:rPr>
          <w:spacing w:val="-17"/>
        </w:rPr>
        <w:t>由</w:t>
      </w:r>
      <w:r>
        <w:rPr/>
        <w:t>基金</w:t>
      </w:r>
      <w:r>
        <w:rPr>
          <w:spacing w:val="-3"/>
        </w:rPr>
        <w:t>管</w:t>
      </w:r>
      <w:r>
        <w:rPr/>
        <w:t>理</w:t>
      </w:r>
      <w:r>
        <w:rPr>
          <w:spacing w:val="-3"/>
        </w:rPr>
        <w:t>人</w:t>
      </w:r>
      <w:r>
        <w:rPr/>
        <w:t>和</w:t>
      </w:r>
      <w:r>
        <w:rPr>
          <w:spacing w:val="-3"/>
        </w:rPr>
        <w:t>基</w:t>
      </w:r>
      <w:r>
        <w:rPr/>
        <w:t>金</w:t>
      </w:r>
      <w:r>
        <w:rPr>
          <w:spacing w:val="-3"/>
        </w:rPr>
        <w:t>投</w:t>
      </w:r>
      <w:r>
        <w:rPr/>
        <w:t>资</w:t>
      </w:r>
      <w:r>
        <w:rPr>
          <w:spacing w:val="-3"/>
        </w:rPr>
        <w:t>者</w:t>
      </w:r>
      <w:r>
        <w:rPr/>
        <w:t>共同</w:t>
      </w:r>
      <w:r>
        <w:rPr>
          <w:spacing w:val="-3"/>
        </w:rPr>
        <w:t>遵</w:t>
      </w:r>
      <w:r>
        <w:rPr/>
        <w:t>守。</w:t>
      </w:r>
    </w:p>
    <w:p>
      <w:pPr>
        <w:pStyle w:val="BodyText"/>
        <w:tabs>
          <w:tab w:pos="3028" w:val="left" w:leader="none"/>
        </w:tabs>
        <w:ind w:left="328"/>
        <w:jc w:val="both"/>
      </w:pPr>
      <w:r>
        <w:rPr/>
        <w:t>摆动</w:t>
      </w:r>
      <w:r>
        <w:rPr>
          <w:spacing w:val="-3"/>
        </w:rPr>
        <w:t>定</w:t>
      </w:r>
      <w:r>
        <w:rPr/>
        <w:t>价</w:t>
      </w:r>
      <w:r>
        <w:rPr>
          <w:spacing w:val="-3"/>
        </w:rPr>
        <w:t>机</w:t>
      </w:r>
      <w:r>
        <w:rPr/>
        <w:t>制：</w:t>
        <w:tab/>
        <w:t>指当开放式基金遭遇大额申购赎回时，通过调整基金份额净</w:t>
      </w:r>
    </w:p>
    <w:p>
      <w:pPr>
        <w:pStyle w:val="BodyText"/>
        <w:spacing w:before="6"/>
        <w:ind w:left="0"/>
        <w:rPr>
          <w:sz w:val="15"/>
        </w:rPr>
      </w:pPr>
    </w:p>
    <w:p>
      <w:pPr>
        <w:pStyle w:val="BodyText"/>
        <w:spacing w:line="417" w:lineRule="auto"/>
        <w:ind w:left="3029" w:right="871"/>
        <w:jc w:val="both"/>
      </w:pPr>
      <w:r>
        <w:rPr/>
        <w:t>值的方式，将基金调整投资组合的市场冲击成本分配给实际申购、赎回的投资者，从而减少对存量基金份额持有人利益的不利影响，确保投资者的合法权益不受损害并得到公平对待。</w:t>
      </w:r>
    </w:p>
    <w:p>
      <w:pPr>
        <w:pStyle w:val="BodyText"/>
        <w:tabs>
          <w:tab w:pos="3028" w:val="left" w:leader="none"/>
        </w:tabs>
        <w:spacing w:line="417" w:lineRule="auto"/>
        <w:ind w:left="3029" w:right="872" w:hanging="2701"/>
        <w:jc w:val="both"/>
      </w:pPr>
      <w:r>
        <w:rPr/>
        <w:t>不可</w:t>
      </w:r>
      <w:r>
        <w:rPr>
          <w:spacing w:val="-3"/>
        </w:rPr>
        <w:t>抗</w:t>
      </w:r>
      <w:r>
        <w:rPr/>
        <w:t>力：</w:t>
        <w:tab/>
        <w:t>指任何不能预见、不能避免、不能克服的客观情况，包括</w:t>
      </w:r>
      <w:r>
        <w:rPr>
          <w:spacing w:val="-15"/>
        </w:rPr>
        <w:t>但</w:t>
      </w:r>
      <w:r>
        <w:rPr/>
        <w:t>不限于《基金法》及其他有关法律法规及重大政策调整、</w:t>
      </w:r>
      <w:r>
        <w:rPr>
          <w:spacing w:val="-16"/>
        </w:rPr>
        <w:t>台</w:t>
      </w:r>
      <w:r>
        <w:rPr/>
        <w:t>风、洪水、地震、流行病及其他自然灾害，战争、骚乱、</w:t>
      </w:r>
      <w:r>
        <w:rPr>
          <w:spacing w:val="-16"/>
        </w:rPr>
        <w:t>火</w:t>
      </w:r>
      <w:r>
        <w:rPr/>
        <w:t>灾、政府征用、戒严、没收、恐怖主义行为、突发停电或</w:t>
      </w:r>
      <w:r>
        <w:rPr>
          <w:spacing w:val="-16"/>
        </w:rPr>
        <w:t>其</w:t>
      </w:r>
      <w:r>
        <w:rPr/>
        <w:t>他突</w:t>
      </w:r>
      <w:r>
        <w:rPr>
          <w:spacing w:val="-3"/>
        </w:rPr>
        <w:t>发</w:t>
      </w:r>
      <w:r>
        <w:rPr/>
        <w:t>事</w:t>
      </w:r>
      <w:r>
        <w:rPr>
          <w:spacing w:val="-3"/>
        </w:rPr>
        <w:t>件</w:t>
      </w:r>
      <w:r>
        <w:rPr/>
        <w:t>、</w:t>
      </w:r>
      <w:r>
        <w:rPr>
          <w:spacing w:val="-3"/>
        </w:rPr>
        <w:t>证</w:t>
      </w:r>
      <w:r>
        <w:rPr/>
        <w:t>券</w:t>
      </w:r>
      <w:r>
        <w:rPr>
          <w:spacing w:val="-3"/>
        </w:rPr>
        <w:t>交</w:t>
      </w:r>
      <w:r>
        <w:rPr/>
        <w:t>易</w:t>
      </w:r>
      <w:r>
        <w:rPr>
          <w:spacing w:val="-3"/>
        </w:rPr>
        <w:t>场</w:t>
      </w:r>
      <w:r>
        <w:rPr/>
        <w:t>所非</w:t>
      </w:r>
      <w:r>
        <w:rPr>
          <w:spacing w:val="-3"/>
        </w:rPr>
        <w:t>正</w:t>
      </w:r>
      <w:r>
        <w:rPr/>
        <w:t>常</w:t>
      </w:r>
      <w:r>
        <w:rPr>
          <w:spacing w:val="-3"/>
        </w:rPr>
        <w:t>暂</w:t>
      </w:r>
      <w:r>
        <w:rPr/>
        <w:t>停</w:t>
      </w:r>
      <w:r>
        <w:rPr>
          <w:spacing w:val="-3"/>
        </w:rPr>
        <w:t>或</w:t>
      </w:r>
      <w:r>
        <w:rPr/>
        <w:t>停</w:t>
      </w:r>
      <w:r>
        <w:rPr>
          <w:spacing w:val="-3"/>
        </w:rPr>
        <w:t>止</w:t>
      </w:r>
      <w:r>
        <w:rPr/>
        <w:t>交</w:t>
      </w:r>
      <w:r>
        <w:rPr>
          <w:spacing w:val="-3"/>
        </w:rPr>
        <w:t>易</w:t>
      </w:r>
      <w:r>
        <w:rPr/>
        <w:t>等事</w:t>
      </w:r>
      <w:r>
        <w:rPr>
          <w:spacing w:val="-3"/>
        </w:rPr>
        <w:t>件</w:t>
      </w:r>
      <w:r>
        <w:rPr/>
        <w:t>。</w:t>
      </w:r>
    </w:p>
    <w:p>
      <w:pPr>
        <w:pStyle w:val="BodyText"/>
        <w:spacing w:before="2"/>
        <w:ind w:left="0"/>
        <w:rPr>
          <w:sz w:val="26"/>
        </w:rPr>
      </w:pPr>
    </w:p>
    <w:p>
      <w:pPr>
        <w:pStyle w:val="Heading1"/>
      </w:pPr>
      <w:bookmarkStart w:name="_bookmark2" w:id="3"/>
      <w:bookmarkEnd w:id="3"/>
      <w:r>
        <w:rPr>
          <w:b w:val="0"/>
        </w:rPr>
      </w:r>
      <w:r>
        <w:rPr/>
        <w:t>三、风险揭示</w:t>
      </w:r>
    </w:p>
    <w:p>
      <w:pPr>
        <w:pStyle w:val="BodyText"/>
        <w:ind w:left="0"/>
        <w:rPr>
          <w:b/>
          <w:sz w:val="20"/>
        </w:rPr>
      </w:pPr>
    </w:p>
    <w:p>
      <w:pPr>
        <w:pStyle w:val="BodyText"/>
        <w:spacing w:before="8"/>
        <w:ind w:left="0"/>
        <w:rPr>
          <w:b/>
          <w:sz w:val="20"/>
        </w:rPr>
      </w:pPr>
    </w:p>
    <w:p>
      <w:pPr>
        <w:pStyle w:val="BodyText"/>
        <w:spacing w:line="410" w:lineRule="auto" w:before="1"/>
        <w:ind w:left="220" w:right="986" w:firstLine="419"/>
      </w:pPr>
      <w:r>
        <w:rPr/>
        <w:t>本基金将主要面临以下风险，其中部分或全部风险因素可能对基金份额净值、收益率和</w:t>
      </w:r>
      <w:r>
        <w:rPr>
          <w:rFonts w:ascii="Times New Roman" w:eastAsia="Times New Roman"/>
        </w:rPr>
        <w:t>/</w:t>
      </w:r>
      <w:r>
        <w:rPr/>
        <w:t>或实现投资目标的能力造成影响。</w:t>
      </w:r>
    </w:p>
    <w:p>
      <w:pPr>
        <w:pStyle w:val="BodyText"/>
        <w:spacing w:line="268" w:lineRule="exact"/>
      </w:pPr>
      <w:r>
        <w:rPr>
          <w:rFonts w:ascii="Times New Roman" w:eastAsia="Times New Roman"/>
        </w:rPr>
        <w:t>1</w:t>
      </w:r>
      <w:r>
        <w:rPr/>
        <w:t>、本基金的特有风险</w:t>
      </w:r>
    </w:p>
    <w:p>
      <w:pPr>
        <w:pStyle w:val="ListParagraph"/>
        <w:numPr>
          <w:ilvl w:val="0"/>
          <w:numId w:val="1"/>
        </w:numPr>
        <w:tabs>
          <w:tab w:pos="1170" w:val="left" w:leader="none"/>
        </w:tabs>
        <w:spacing w:line="240" w:lineRule="auto" w:before="189" w:after="0"/>
        <w:ind w:left="1169" w:right="0" w:hanging="530"/>
        <w:jc w:val="left"/>
        <w:rPr>
          <w:sz w:val="21"/>
        </w:rPr>
      </w:pPr>
      <w:r>
        <w:rPr>
          <w:spacing w:val="-3"/>
          <w:sz w:val="21"/>
        </w:rPr>
        <w:t>联接基金风险</w:t>
      </w:r>
    </w:p>
    <w:p>
      <w:pPr>
        <w:pStyle w:val="BodyText"/>
        <w:spacing w:line="410" w:lineRule="auto" w:before="189"/>
        <w:ind w:left="220" w:right="988" w:firstLine="419"/>
        <w:jc w:val="both"/>
      </w:pPr>
      <w:r>
        <w:rPr>
          <w:spacing w:val="11"/>
        </w:rPr>
        <w:t>本基金为</w:t>
      </w:r>
      <w:r>
        <w:rPr>
          <w:rFonts w:ascii="Times New Roman" w:eastAsia="Times New Roman"/>
        </w:rPr>
        <w:t>ETF </w:t>
      </w:r>
      <w:r>
        <w:rPr>
          <w:spacing w:val="-8"/>
        </w:rPr>
        <w:t>联接基金，基金资产主要投资于恒生 </w:t>
      </w:r>
      <w:r>
        <w:rPr>
          <w:rFonts w:ascii="Times New Roman" w:eastAsia="Times New Roman"/>
          <w:spacing w:val="-10"/>
        </w:rPr>
        <w:t>ETF</w:t>
      </w:r>
      <w:r>
        <w:rPr>
          <w:spacing w:val="-4"/>
        </w:rPr>
        <w:t>，在多数情况下将维持较高的</w:t>
      </w:r>
      <w:r>
        <w:rPr>
          <w:spacing w:val="-17"/>
        </w:rPr>
        <w:t>恒生 </w:t>
      </w:r>
      <w:r>
        <w:rPr>
          <w:rFonts w:ascii="Times New Roman" w:eastAsia="Times New Roman"/>
        </w:rPr>
        <w:t>ETF </w:t>
      </w:r>
      <w:r>
        <w:rPr>
          <w:spacing w:val="-6"/>
        </w:rPr>
        <w:t>投资比例，基金净值可能会随恒生 </w:t>
      </w:r>
      <w:r>
        <w:rPr>
          <w:rFonts w:ascii="Times New Roman" w:eastAsia="Times New Roman"/>
        </w:rPr>
        <w:t>ETF </w:t>
      </w:r>
      <w:r>
        <w:rPr>
          <w:spacing w:val="-7"/>
        </w:rPr>
        <w:t>的净值波动而波动，恒生 </w:t>
      </w:r>
      <w:r>
        <w:rPr>
          <w:rFonts w:ascii="Times New Roman" w:eastAsia="Times New Roman"/>
        </w:rPr>
        <w:t>ETF </w:t>
      </w:r>
      <w:r>
        <w:rPr/>
        <w:t>的相关风</w:t>
      </w:r>
      <w:r>
        <w:rPr>
          <w:spacing w:val="-3"/>
        </w:rPr>
        <w:t>险可能直接或间接成为本基金的风险。</w:t>
      </w:r>
    </w:p>
    <w:p>
      <w:pPr>
        <w:pStyle w:val="ListParagraph"/>
        <w:numPr>
          <w:ilvl w:val="0"/>
          <w:numId w:val="1"/>
        </w:numPr>
        <w:tabs>
          <w:tab w:pos="1170" w:val="left" w:leader="none"/>
        </w:tabs>
        <w:spacing w:line="267" w:lineRule="exact" w:before="0" w:after="0"/>
        <w:ind w:left="1169" w:right="0" w:hanging="530"/>
        <w:jc w:val="left"/>
        <w:rPr>
          <w:sz w:val="21"/>
        </w:rPr>
      </w:pPr>
      <w:r>
        <w:rPr>
          <w:spacing w:val="-3"/>
          <w:sz w:val="21"/>
        </w:rPr>
        <w:t>赎回资金到账时间较晚的风险</w:t>
      </w:r>
    </w:p>
    <w:p>
      <w:pPr>
        <w:spacing w:after="0" w:line="267" w:lineRule="exact"/>
        <w:jc w:val="left"/>
        <w:rPr>
          <w:sz w:val="21"/>
        </w:rPr>
        <w:sectPr>
          <w:pgSz w:w="11910" w:h="16840"/>
          <w:pgMar w:header="705" w:footer="683" w:top="1420" w:bottom="880" w:left="1580" w:right="920"/>
        </w:sectPr>
      </w:pPr>
    </w:p>
    <w:p>
      <w:pPr>
        <w:pStyle w:val="BodyText"/>
        <w:spacing w:line="408" w:lineRule="auto" w:before="107"/>
        <w:ind w:left="220" w:right="986" w:firstLine="419"/>
        <w:jc w:val="both"/>
      </w:pPr>
      <w:r>
        <w:rPr>
          <w:spacing w:val="-5"/>
        </w:rPr>
        <w:t>本基金为 </w:t>
      </w:r>
      <w:r>
        <w:rPr>
          <w:rFonts w:ascii="Times New Roman" w:eastAsia="Times New Roman"/>
        </w:rPr>
        <w:t>ETF</w:t>
      </w:r>
      <w:r>
        <w:rPr>
          <w:rFonts w:ascii="Times New Roman" w:eastAsia="Times New Roman"/>
          <w:spacing w:val="28"/>
        </w:rPr>
        <w:t> </w:t>
      </w:r>
      <w:r>
        <w:rPr>
          <w:spacing w:val="-4"/>
        </w:rPr>
        <w:t>联接基金，主要通过买卖或申购赎回恒生 </w:t>
      </w:r>
      <w:r>
        <w:rPr>
          <w:rFonts w:ascii="Times New Roman" w:eastAsia="Times New Roman"/>
        </w:rPr>
        <w:t>ETF</w:t>
      </w:r>
      <w:r>
        <w:rPr>
          <w:rFonts w:ascii="Times New Roman" w:eastAsia="Times New Roman"/>
          <w:spacing w:val="29"/>
        </w:rPr>
        <w:t> </w:t>
      </w:r>
      <w:r>
        <w:rPr>
          <w:spacing w:val="-3"/>
        </w:rPr>
        <w:t>来追踪标的指数，由于</w:t>
      </w:r>
      <w:r>
        <w:rPr>
          <w:spacing w:val="23"/>
        </w:rPr>
        <w:t>恒生</w:t>
      </w:r>
      <w:r>
        <w:rPr>
          <w:rFonts w:ascii="Times New Roman" w:eastAsia="Times New Roman"/>
        </w:rPr>
        <w:t>ETF</w:t>
      </w:r>
      <w:r>
        <w:rPr>
          <w:rFonts w:ascii="Times New Roman" w:eastAsia="Times New Roman"/>
          <w:spacing w:val="26"/>
        </w:rPr>
        <w:t> </w:t>
      </w:r>
      <w:r>
        <w:rPr>
          <w:spacing w:val="-7"/>
        </w:rPr>
        <w:t>主要投资香港市场，且采用现金申购赎回，赎回资金到账时间较长，受此影响本</w:t>
      </w:r>
      <w:r>
        <w:rPr>
          <w:spacing w:val="-5"/>
        </w:rPr>
        <w:t>基金的赎回资金到账时间可能会较晚。</w:t>
      </w:r>
    </w:p>
    <w:p>
      <w:pPr>
        <w:pStyle w:val="BodyText"/>
        <w:spacing w:line="408" w:lineRule="auto" w:before="6"/>
        <w:ind w:left="220" w:right="986" w:firstLine="419"/>
      </w:pPr>
      <w:r>
        <w:rPr>
          <w:spacing w:val="-3"/>
        </w:rPr>
        <w:t>此外，由于美元赎回涉及货币的兑换，且美元资金的划款时间较长，美元赎回资金到账时间可能晚于人民币赎回到账时间。</w:t>
      </w:r>
    </w:p>
    <w:p>
      <w:pPr>
        <w:pStyle w:val="ListParagraph"/>
        <w:numPr>
          <w:ilvl w:val="0"/>
          <w:numId w:val="1"/>
        </w:numPr>
        <w:tabs>
          <w:tab w:pos="1170" w:val="left" w:leader="none"/>
        </w:tabs>
        <w:spacing w:line="240" w:lineRule="auto" w:before="2" w:after="0"/>
        <w:ind w:left="1169" w:right="0" w:hanging="530"/>
        <w:jc w:val="left"/>
        <w:rPr>
          <w:sz w:val="21"/>
        </w:rPr>
      </w:pPr>
      <w:r>
        <w:rPr>
          <w:spacing w:val="-2"/>
          <w:sz w:val="21"/>
        </w:rPr>
        <w:t>汇率风险</w:t>
      </w:r>
    </w:p>
    <w:p>
      <w:pPr>
        <w:pStyle w:val="BodyText"/>
        <w:spacing w:line="410" w:lineRule="auto" w:before="189"/>
        <w:ind w:left="220" w:right="986" w:firstLine="419"/>
        <w:jc w:val="both"/>
      </w:pPr>
      <w:r>
        <w:rPr/>
        <w:t>本基金的目标 </w:t>
      </w:r>
      <w:r>
        <w:rPr>
          <w:rFonts w:ascii="Times New Roman" w:eastAsia="Times New Roman"/>
        </w:rPr>
        <w:t>ETF </w:t>
      </w:r>
      <w:r>
        <w:rPr/>
        <w:t>主要投资于香港市场以港币计价的金融工具，本基金除投资目标</w:t>
      </w:r>
      <w:r>
        <w:rPr>
          <w:rFonts w:ascii="Times New Roman" w:eastAsia="Times New Roman"/>
        </w:rPr>
        <w:t>ETF </w:t>
      </w:r>
      <w:r>
        <w:rPr/>
        <w:t>外，也可能投资于香港市场，港币相对于人民币的汇率变化可能会影响到本基金的资产净值，从而对基金业绩产生影响。本基金美元折算净值按照基金份额净值除以中国人民银行最新公布的人民币对美元汇率中间价计算，由于存在汇率波动，可能导致以美元计算的收益率和以人民币计算的收益率有所差异。此外，由于汇率取自汇率发布机构，如果汇率发布机构出现汇率发布时间延迟或是汇率数据错误等情况，可能会对基金运作或者投资者的决策产生不利影响。</w:t>
      </w:r>
    </w:p>
    <w:p>
      <w:pPr>
        <w:pStyle w:val="ListParagraph"/>
        <w:numPr>
          <w:ilvl w:val="0"/>
          <w:numId w:val="1"/>
        </w:numPr>
        <w:tabs>
          <w:tab w:pos="1170" w:val="left" w:leader="none"/>
        </w:tabs>
        <w:spacing w:line="263" w:lineRule="exact" w:before="0" w:after="0"/>
        <w:ind w:left="1169" w:right="0" w:hanging="530"/>
        <w:jc w:val="left"/>
        <w:rPr>
          <w:sz w:val="21"/>
        </w:rPr>
      </w:pPr>
      <w:r>
        <w:rPr>
          <w:spacing w:val="-3"/>
          <w:sz w:val="21"/>
        </w:rPr>
        <w:t>跟踪偏离风险</w:t>
      </w:r>
    </w:p>
    <w:p>
      <w:pPr>
        <w:pStyle w:val="BodyText"/>
        <w:spacing w:line="408" w:lineRule="auto" w:before="190"/>
        <w:ind w:left="220" w:right="986" w:firstLine="419"/>
      </w:pPr>
      <w:r>
        <w:rPr/>
        <w:t>本基金主要投资于恒生</w:t>
      </w:r>
      <w:r>
        <w:rPr>
          <w:rFonts w:ascii="Times New Roman" w:eastAsia="Times New Roman"/>
        </w:rPr>
        <w:t>ETF </w:t>
      </w:r>
      <w:r>
        <w:rPr/>
        <w:t>基金份额，追求跟踪标的指数，获得与指数收益相似的回报。以下因素可能会影响到基金的投资组合与跟踪基准之间产生偏离：</w:t>
      </w:r>
    </w:p>
    <w:p>
      <w:pPr>
        <w:pStyle w:val="BodyText"/>
        <w:spacing w:before="2"/>
      </w:pPr>
      <w:r>
        <w:rPr/>
        <w:t>①恒生 </w:t>
      </w:r>
      <w:r>
        <w:rPr>
          <w:rFonts w:ascii="Times New Roman" w:hAnsi="Times New Roman" w:eastAsia="Times New Roman"/>
        </w:rPr>
        <w:t>ETF </w:t>
      </w:r>
      <w:r>
        <w:rPr/>
        <w:t>与标的指数的偏离。</w:t>
      </w:r>
    </w:p>
    <w:p>
      <w:pPr>
        <w:pStyle w:val="BodyText"/>
        <w:spacing w:before="189"/>
      </w:pPr>
      <w:r>
        <w:rPr/>
        <w:t>②基金买卖恒生</w:t>
      </w:r>
      <w:r>
        <w:rPr>
          <w:rFonts w:ascii="Times New Roman" w:hAnsi="Times New Roman" w:eastAsia="Times New Roman"/>
        </w:rPr>
        <w:t>ETF </w:t>
      </w:r>
      <w:r>
        <w:rPr/>
        <w:t>时所产生的价格差异、交易成本和交易冲击。</w:t>
      </w:r>
    </w:p>
    <w:p>
      <w:pPr>
        <w:pStyle w:val="BodyText"/>
        <w:spacing w:before="192"/>
      </w:pPr>
      <w:r>
        <w:rPr/>
        <w:t>③基金调整资产配置结构时所产生的跟踪误差。</w:t>
      </w:r>
    </w:p>
    <w:p>
      <w:pPr>
        <w:pStyle w:val="BodyText"/>
        <w:spacing w:before="10"/>
        <w:ind w:left="0"/>
        <w:rPr>
          <w:sz w:val="14"/>
        </w:rPr>
      </w:pPr>
    </w:p>
    <w:p>
      <w:pPr>
        <w:pStyle w:val="BodyText"/>
      </w:pPr>
      <w:r>
        <w:rPr/>
        <w:t>④基金申购、赎回因素所产生的跟踪误差。</w:t>
      </w:r>
    </w:p>
    <w:p>
      <w:pPr>
        <w:pStyle w:val="BodyText"/>
        <w:spacing w:before="10"/>
        <w:ind w:left="0"/>
        <w:rPr>
          <w:sz w:val="14"/>
        </w:rPr>
      </w:pPr>
    </w:p>
    <w:p>
      <w:pPr>
        <w:pStyle w:val="BodyText"/>
      </w:pPr>
      <w:r>
        <w:rPr/>
        <w:t>⑤基金现金资产拖累所产生的跟踪误差。</w:t>
      </w:r>
    </w:p>
    <w:p>
      <w:pPr>
        <w:pStyle w:val="BodyText"/>
        <w:spacing w:before="10"/>
        <w:ind w:left="0"/>
        <w:rPr>
          <w:sz w:val="14"/>
        </w:rPr>
      </w:pPr>
    </w:p>
    <w:p>
      <w:pPr>
        <w:pStyle w:val="BodyText"/>
      </w:pPr>
      <w:r>
        <w:rPr/>
        <w:t>⑥基金的管理费和托管费所产生的跟踪误差。</w:t>
      </w:r>
    </w:p>
    <w:p>
      <w:pPr>
        <w:pStyle w:val="BodyText"/>
        <w:ind w:left="0"/>
        <w:rPr>
          <w:sz w:val="15"/>
        </w:rPr>
      </w:pPr>
    </w:p>
    <w:p>
      <w:pPr>
        <w:pStyle w:val="BodyText"/>
      </w:pPr>
      <w:r>
        <w:rPr/>
        <w:t>⑦其他因素所产生的偏差。</w:t>
      </w:r>
    </w:p>
    <w:p>
      <w:pPr>
        <w:pStyle w:val="BodyText"/>
        <w:spacing w:before="10"/>
        <w:ind w:left="0"/>
        <w:rPr>
          <w:sz w:val="14"/>
        </w:rPr>
      </w:pPr>
    </w:p>
    <w:p>
      <w:pPr>
        <w:pStyle w:val="ListParagraph"/>
        <w:numPr>
          <w:ilvl w:val="0"/>
          <w:numId w:val="1"/>
        </w:numPr>
        <w:tabs>
          <w:tab w:pos="1170" w:val="left" w:leader="none"/>
        </w:tabs>
        <w:spacing w:line="240" w:lineRule="auto" w:before="0" w:after="0"/>
        <w:ind w:left="1169" w:right="0" w:hanging="530"/>
        <w:jc w:val="left"/>
        <w:rPr>
          <w:sz w:val="21"/>
        </w:rPr>
      </w:pPr>
      <w:r>
        <w:rPr>
          <w:spacing w:val="-15"/>
          <w:sz w:val="21"/>
        </w:rPr>
        <w:t>与目标 </w:t>
      </w:r>
      <w:r>
        <w:rPr>
          <w:rFonts w:ascii="Times New Roman" w:eastAsia="Times New Roman"/>
          <w:sz w:val="21"/>
        </w:rPr>
        <w:t>ETF</w:t>
      </w:r>
      <w:r>
        <w:rPr>
          <w:rFonts w:ascii="Times New Roman" w:eastAsia="Times New Roman"/>
          <w:spacing w:val="-4"/>
          <w:sz w:val="21"/>
        </w:rPr>
        <w:t> </w:t>
      </w:r>
      <w:r>
        <w:rPr>
          <w:spacing w:val="-2"/>
          <w:sz w:val="21"/>
        </w:rPr>
        <w:t>业绩差异的风险</w:t>
      </w:r>
    </w:p>
    <w:p>
      <w:pPr>
        <w:pStyle w:val="BodyText"/>
        <w:spacing w:line="408" w:lineRule="auto" w:before="189"/>
        <w:ind w:left="220" w:right="880" w:firstLine="419"/>
      </w:pPr>
      <w:r>
        <w:rPr>
          <w:spacing w:val="-4"/>
        </w:rPr>
        <w:t>本基金为恒生 </w:t>
      </w:r>
      <w:r>
        <w:rPr>
          <w:rFonts w:ascii="Times New Roman" w:eastAsia="Times New Roman"/>
        </w:rPr>
        <w:t>ETF </w:t>
      </w:r>
      <w:r>
        <w:rPr>
          <w:spacing w:val="-3"/>
        </w:rPr>
        <w:t>的联接基金，但由于投资范围、投资方法、交易方式、基金规模、</w:t>
      </w:r>
      <w:r>
        <w:rPr>
          <w:spacing w:val="-5"/>
        </w:rPr>
        <w:t>费用税收等方面与恒生 </w:t>
      </w:r>
      <w:r>
        <w:rPr>
          <w:rFonts w:ascii="Times New Roman" w:eastAsia="Times New Roman"/>
        </w:rPr>
        <w:t>ETF </w:t>
      </w:r>
      <w:r>
        <w:rPr>
          <w:spacing w:val="-5"/>
        </w:rPr>
        <w:t>不同，本基金的业绩表现与恒生 </w:t>
      </w:r>
      <w:r>
        <w:rPr>
          <w:rFonts w:ascii="Times New Roman" w:eastAsia="Times New Roman"/>
        </w:rPr>
        <w:t>ETF </w:t>
      </w:r>
      <w:r>
        <w:rPr>
          <w:spacing w:val="-3"/>
        </w:rPr>
        <w:t>的业绩表现可能出现差异。</w:t>
      </w:r>
    </w:p>
    <w:p>
      <w:pPr>
        <w:pStyle w:val="ListParagraph"/>
        <w:numPr>
          <w:ilvl w:val="0"/>
          <w:numId w:val="1"/>
        </w:numPr>
        <w:tabs>
          <w:tab w:pos="1170" w:val="left" w:leader="none"/>
        </w:tabs>
        <w:spacing w:line="240" w:lineRule="auto" w:before="6" w:after="0"/>
        <w:ind w:left="1169" w:right="0" w:hanging="530"/>
        <w:jc w:val="left"/>
        <w:rPr>
          <w:sz w:val="21"/>
        </w:rPr>
      </w:pPr>
      <w:r>
        <w:rPr>
          <w:spacing w:val="-3"/>
          <w:sz w:val="21"/>
        </w:rPr>
        <w:t>境外投资风险</w:t>
      </w:r>
    </w:p>
    <w:p>
      <w:pPr>
        <w:pStyle w:val="BodyText"/>
        <w:spacing w:line="410" w:lineRule="auto" w:before="189"/>
        <w:ind w:left="220" w:right="986" w:firstLine="419"/>
      </w:pPr>
      <w:r>
        <w:rPr/>
        <w:t>本基金可投资于境外市场，基金可能面临境外投资的相关风险，包括但不限于市场风险、汇率风险、法律和政治风险、会计制度风险、税务风险、信用风险、衍生品及相关投</w:t>
      </w:r>
    </w:p>
    <w:p>
      <w:pPr>
        <w:spacing w:after="0" w:line="410" w:lineRule="auto"/>
        <w:sectPr>
          <w:pgSz w:w="11910" w:h="16840"/>
          <w:pgMar w:header="705" w:footer="683" w:top="1420" w:bottom="880" w:left="1580" w:right="920"/>
        </w:sectPr>
      </w:pPr>
    </w:p>
    <w:p>
      <w:pPr>
        <w:pStyle w:val="BodyText"/>
        <w:spacing w:before="107"/>
        <w:ind w:left="220"/>
      </w:pPr>
      <w:r>
        <w:rPr/>
        <w:t>资工具的风险等。</w:t>
      </w:r>
    </w:p>
    <w:p>
      <w:pPr>
        <w:pStyle w:val="BodyText"/>
        <w:spacing w:before="10"/>
        <w:ind w:left="0"/>
        <w:rPr>
          <w:sz w:val="14"/>
        </w:rPr>
      </w:pPr>
    </w:p>
    <w:p>
      <w:pPr>
        <w:pStyle w:val="ListParagraph"/>
        <w:numPr>
          <w:ilvl w:val="0"/>
          <w:numId w:val="1"/>
        </w:numPr>
        <w:tabs>
          <w:tab w:pos="1170" w:val="left" w:leader="none"/>
        </w:tabs>
        <w:spacing w:line="240" w:lineRule="auto" w:before="0" w:after="0"/>
        <w:ind w:left="1169" w:right="0" w:hanging="530"/>
        <w:jc w:val="left"/>
        <w:rPr>
          <w:sz w:val="21"/>
        </w:rPr>
      </w:pPr>
      <w:r>
        <w:rPr>
          <w:spacing w:val="-3"/>
          <w:sz w:val="21"/>
        </w:rPr>
        <w:t>流动性风险</w:t>
      </w:r>
    </w:p>
    <w:p>
      <w:pPr>
        <w:pStyle w:val="BodyText"/>
        <w:spacing w:line="410" w:lineRule="auto" w:before="190"/>
        <w:ind w:left="220" w:right="986" w:firstLine="419"/>
      </w:pPr>
      <w:r>
        <w:rPr>
          <w:spacing w:val="-9"/>
        </w:rPr>
        <w:t>①在基金建仓时，可能由于恒生 </w:t>
      </w:r>
      <w:r>
        <w:rPr>
          <w:rFonts w:ascii="Times New Roman" w:hAnsi="Times New Roman" w:eastAsia="Times New Roman"/>
        </w:rPr>
        <w:t>ETF </w:t>
      </w:r>
      <w:r>
        <w:rPr>
          <w:spacing w:val="-5"/>
        </w:rPr>
        <w:t>流动性不足等原因而无法按预期进行建仓，从而</w:t>
      </w:r>
      <w:r>
        <w:rPr>
          <w:spacing w:val="-4"/>
        </w:rPr>
        <w:t>对基金运作产生不利影响。</w:t>
      </w:r>
    </w:p>
    <w:p>
      <w:pPr>
        <w:pStyle w:val="BodyText"/>
        <w:spacing w:line="408" w:lineRule="auto"/>
        <w:ind w:left="220" w:right="986" w:firstLine="419"/>
      </w:pPr>
      <w:r>
        <w:rPr/>
        <w:t>②在恒生</w:t>
      </w:r>
      <w:r>
        <w:rPr>
          <w:rFonts w:ascii="Times New Roman" w:hAnsi="Times New Roman" w:eastAsia="Times New Roman"/>
        </w:rPr>
        <w:t>ETF </w:t>
      </w:r>
      <w:r>
        <w:rPr/>
        <w:t>暂停交易或者暂停申购、赎回或个股流动性不足的情况下，基金管理人可能无法迅速、低成本地调整基金投资组合，从而对基金收益造成不利影响。</w:t>
      </w:r>
    </w:p>
    <w:p>
      <w:pPr>
        <w:pStyle w:val="BodyText"/>
        <w:spacing w:line="410" w:lineRule="auto" w:before="1"/>
        <w:ind w:left="220" w:right="986" w:firstLine="419"/>
      </w:pPr>
      <w:r>
        <w:rPr/>
        <w:t>③由于开放式基金的特殊要求，本基金必须保持一定的现金比例以应付赎回要求，在管理现金头寸时，有可能存在现金不足的风险或现金过多所导致的收益下降风险。</w:t>
      </w:r>
    </w:p>
    <w:p>
      <w:pPr>
        <w:pStyle w:val="BodyText"/>
        <w:spacing w:line="408" w:lineRule="auto"/>
        <w:ind w:left="220" w:right="986" w:firstLine="419"/>
        <w:jc w:val="both"/>
      </w:pPr>
      <w:r>
        <w:rPr/>
        <w:t>在本基金发生流动性风险时，基金管理人可以综合利用备用的流动性风险管理工具以减少或应对基金的流动性风险，投资者可能面临巨额赎回申请被延期办理、赎回申请被暂停接受、赎回款项被延缓支付、被收取短期赎回费、基金估值被暂停、基金采用摆动定价等风险。投资者应该了解自身的流动性偏好，并评估是否与本基金的流动性风险匹配。</w:t>
      </w:r>
    </w:p>
    <w:p>
      <w:pPr>
        <w:pStyle w:val="BodyText"/>
        <w:spacing w:before="3"/>
      </w:pPr>
      <w:r>
        <w:rPr/>
        <w:t>①基金申购、赎回安排</w:t>
      </w:r>
    </w:p>
    <w:p>
      <w:pPr>
        <w:pStyle w:val="BodyText"/>
        <w:ind w:left="0"/>
        <w:rPr>
          <w:sz w:val="15"/>
        </w:rPr>
      </w:pPr>
    </w:p>
    <w:p>
      <w:pPr>
        <w:pStyle w:val="BodyText"/>
        <w:spacing w:line="410" w:lineRule="auto"/>
        <w:ind w:left="220" w:right="986" w:firstLine="419"/>
      </w:pPr>
      <w:r>
        <w:rPr/>
        <w:t>投资人具体请参见基金合同“六、基金份额的申购与赎回”和本招募说明书“九、基</w:t>
      </w:r>
      <w:r>
        <w:rPr>
          <w:w w:val="100"/>
        </w:rPr>
        <w:t>金份额的申购与赎回”，详细了解本基金的申购以及赎回安排。</w:t>
      </w:r>
    </w:p>
    <w:p>
      <w:pPr>
        <w:pStyle w:val="BodyText"/>
        <w:spacing w:line="266" w:lineRule="exact"/>
      </w:pPr>
      <w:r>
        <w:rPr/>
        <w:t>②拟投资市场、行业及资产的流动性风险评估</w:t>
      </w:r>
    </w:p>
    <w:p>
      <w:pPr>
        <w:pStyle w:val="BodyText"/>
        <w:spacing w:before="9"/>
        <w:ind w:left="0"/>
        <w:rPr>
          <w:sz w:val="14"/>
        </w:rPr>
      </w:pPr>
    </w:p>
    <w:p>
      <w:pPr>
        <w:pStyle w:val="BodyText"/>
        <w:spacing w:line="410" w:lineRule="auto" w:before="1"/>
        <w:ind w:left="220" w:right="986" w:firstLine="419"/>
        <w:jc w:val="both"/>
      </w:pPr>
      <w:r>
        <w:rPr>
          <w:spacing w:val="-7"/>
        </w:rPr>
        <w:t>本基金为 </w:t>
      </w:r>
      <w:r>
        <w:rPr>
          <w:rFonts w:ascii="Times New Roman" w:eastAsia="Times New Roman"/>
        </w:rPr>
        <w:t>ETF </w:t>
      </w:r>
      <w:r>
        <w:rPr>
          <w:spacing w:val="-5"/>
        </w:rPr>
        <w:t>联接基金，投资于目标 </w:t>
      </w:r>
      <w:r>
        <w:rPr>
          <w:rFonts w:ascii="Times New Roman" w:eastAsia="Times New Roman"/>
        </w:rPr>
        <w:t>ETF </w:t>
      </w:r>
      <w:r>
        <w:rPr>
          <w:spacing w:val="-5"/>
        </w:rPr>
        <w:t>的比例不低于基金资产净值的 </w:t>
      </w:r>
      <w:r>
        <w:rPr>
          <w:rFonts w:ascii="Times New Roman" w:eastAsia="Times New Roman"/>
          <w:spacing w:val="-3"/>
        </w:rPr>
        <w:t>90%</w:t>
      </w:r>
      <w:r>
        <w:rPr/>
        <w:t>。本基</w:t>
      </w:r>
      <w:r>
        <w:rPr>
          <w:spacing w:val="11"/>
        </w:rPr>
        <w:t>金的目标</w:t>
      </w:r>
      <w:r>
        <w:rPr>
          <w:rFonts w:ascii="Times New Roman" w:eastAsia="Times New Roman"/>
        </w:rPr>
        <w:t>ETF </w:t>
      </w:r>
      <w:r>
        <w:rPr>
          <w:spacing w:val="-7"/>
        </w:rPr>
        <w:t>可以在二级市场上买卖，也可以根据申购赎回清单进行申购赎回，通常情况</w:t>
      </w:r>
      <w:r>
        <w:rPr>
          <w:spacing w:val="-13"/>
        </w:rPr>
        <w:t>下流动性情况良好。但是在目标 </w:t>
      </w:r>
      <w:r>
        <w:rPr>
          <w:rFonts w:ascii="Times New Roman" w:eastAsia="Times New Roman"/>
        </w:rPr>
        <w:t>ETF </w:t>
      </w:r>
      <w:r>
        <w:rPr>
          <w:spacing w:val="-3"/>
        </w:rPr>
        <w:t>暂停交易或者暂停赎回或个股流动性不足等的特殊情况下，基金管理人可能无法迅速、低成本地调整基金投资组合，可能会对基金赎回款项的支付产生影响。</w:t>
      </w:r>
    </w:p>
    <w:p>
      <w:pPr>
        <w:pStyle w:val="BodyText"/>
        <w:spacing w:line="263" w:lineRule="exact"/>
      </w:pPr>
      <w:r>
        <w:rPr/>
        <w:t>③巨额赎回情形下的流动性风险管理措施</w:t>
      </w:r>
    </w:p>
    <w:p>
      <w:pPr>
        <w:pStyle w:val="BodyText"/>
        <w:ind w:left="0"/>
        <w:rPr>
          <w:sz w:val="15"/>
        </w:rPr>
      </w:pPr>
    </w:p>
    <w:p>
      <w:pPr>
        <w:pStyle w:val="BodyText"/>
      </w:pPr>
      <w:r>
        <w:rPr/>
        <w:t>当本基金发生巨额赎回情形时，基金管理人可以采用以下流动性风险管理措施：</w:t>
      </w:r>
    </w:p>
    <w:p>
      <w:pPr>
        <w:pStyle w:val="BodyText"/>
        <w:spacing w:before="10"/>
        <w:ind w:left="0"/>
        <w:rPr>
          <w:sz w:val="14"/>
        </w:rPr>
      </w:pPr>
    </w:p>
    <w:p>
      <w:pPr>
        <w:pStyle w:val="BodyText"/>
        <w:spacing w:line="408" w:lineRule="auto"/>
        <w:ind w:right="6078"/>
      </w:pPr>
      <w:r>
        <w:rPr>
          <w:rFonts w:ascii="Times New Roman" w:eastAsia="Times New Roman"/>
        </w:rPr>
        <w:t>A</w:t>
      </w:r>
      <w:r>
        <w:rPr/>
        <w:t>、延期办理巨额赎回申请； </w:t>
      </w:r>
      <w:r>
        <w:rPr>
          <w:rFonts w:ascii="Times New Roman" w:eastAsia="Times New Roman"/>
        </w:rPr>
        <w:t>B</w:t>
      </w:r>
      <w:r>
        <w:rPr/>
        <w:t>、暂停接受赎回申请；</w:t>
      </w:r>
    </w:p>
    <w:p>
      <w:pPr>
        <w:pStyle w:val="BodyText"/>
        <w:spacing w:line="408" w:lineRule="auto" w:before="2"/>
        <w:ind w:right="6509"/>
      </w:pPr>
      <w:r>
        <w:rPr>
          <w:rFonts w:ascii="Times New Roman" w:eastAsia="Times New Roman"/>
        </w:rPr>
        <w:t>C</w:t>
      </w:r>
      <w:r>
        <w:rPr/>
        <w:t>、延缓支付赎回款项； </w:t>
      </w:r>
      <w:r>
        <w:rPr>
          <w:rFonts w:ascii="Times New Roman" w:eastAsia="Times New Roman"/>
        </w:rPr>
        <w:t>D</w:t>
      </w:r>
      <w:r>
        <w:rPr/>
        <w:t>、摆动定价；</w:t>
      </w:r>
    </w:p>
    <w:p>
      <w:pPr>
        <w:pStyle w:val="BodyText"/>
        <w:spacing w:before="4"/>
      </w:pPr>
      <w:r>
        <w:rPr>
          <w:rFonts w:ascii="Times New Roman" w:eastAsia="Times New Roman"/>
        </w:rPr>
        <w:t>E</w:t>
      </w:r>
      <w:r>
        <w:rPr/>
        <w:t>、中国证监会认定的其他措施。</w:t>
      </w:r>
    </w:p>
    <w:p>
      <w:pPr>
        <w:pStyle w:val="BodyText"/>
        <w:spacing w:before="190"/>
      </w:pPr>
      <w:r>
        <w:rPr/>
        <w:t>④实施备用的流动性风险管理工具的情形、程序及对投资者的潜在影响</w:t>
      </w:r>
    </w:p>
    <w:p>
      <w:pPr>
        <w:pStyle w:val="BodyText"/>
        <w:spacing w:before="10"/>
        <w:ind w:left="0"/>
        <w:rPr>
          <w:sz w:val="14"/>
        </w:rPr>
      </w:pPr>
    </w:p>
    <w:p>
      <w:pPr>
        <w:pStyle w:val="BodyText"/>
      </w:pPr>
      <w:r>
        <w:rPr/>
        <w:t>基金管理人经与基金托管人协商，在确保投资者得到公平对待的前提下，可依照法律</w:t>
      </w:r>
    </w:p>
    <w:p>
      <w:pPr>
        <w:spacing w:after="0"/>
        <w:sectPr>
          <w:pgSz w:w="11910" w:h="16840"/>
          <w:pgMar w:header="705" w:footer="683" w:top="1420" w:bottom="880" w:left="1580" w:right="920"/>
        </w:sectPr>
      </w:pPr>
    </w:p>
    <w:p>
      <w:pPr>
        <w:pStyle w:val="BodyText"/>
        <w:spacing w:line="408" w:lineRule="auto" w:before="107"/>
        <w:ind w:left="220" w:right="986"/>
      </w:pPr>
      <w:r>
        <w:rPr>
          <w:spacing w:val="-16"/>
        </w:rPr>
        <w:t>法规及基金合同的约定，综合运用各类流动性风险管理工具，对赎回申请等进行适度调整， </w:t>
      </w:r>
      <w:r>
        <w:rPr>
          <w:spacing w:val="-7"/>
        </w:rPr>
        <w:t>作为特定情形下基金管理人流动性风险的辅助措施，包括但不限于：</w:t>
      </w:r>
    </w:p>
    <w:p>
      <w:pPr>
        <w:pStyle w:val="BodyText"/>
        <w:spacing w:before="2"/>
      </w:pPr>
      <w:r>
        <w:rPr>
          <w:rFonts w:ascii="Times New Roman" w:eastAsia="Times New Roman"/>
        </w:rPr>
        <w:t>A</w:t>
      </w:r>
      <w:r>
        <w:rPr/>
        <w:t>、延期办理巨额赎回申请</w:t>
      </w:r>
    </w:p>
    <w:p>
      <w:pPr>
        <w:pStyle w:val="BodyText"/>
        <w:spacing w:line="408" w:lineRule="auto" w:before="192"/>
        <w:ind w:left="220" w:right="986" w:firstLine="419"/>
      </w:pPr>
      <w:r>
        <w:rPr/>
        <w:t>当基金出现巨额赎回时，基金管理人可以根据基金当时的资产组合状况决定全额赎回或部分延期赎回。</w:t>
      </w:r>
    </w:p>
    <w:p>
      <w:pPr>
        <w:pStyle w:val="BodyText"/>
        <w:spacing w:line="408" w:lineRule="auto" w:before="2"/>
        <w:ind w:left="220" w:right="986" w:firstLine="419"/>
      </w:pPr>
      <w:r>
        <w:rPr/>
        <w:t>在此情形下，投资人的全部或部分赎回申请可能将被延期办理，同时投资人完成基金赎回时的基金份额净值可能与其提交赎回申请时的基金份额净值不同。</w:t>
      </w:r>
    </w:p>
    <w:p>
      <w:pPr>
        <w:pStyle w:val="BodyText"/>
        <w:spacing w:before="3"/>
      </w:pPr>
      <w:r>
        <w:rPr>
          <w:rFonts w:ascii="Times New Roman" w:eastAsia="Times New Roman"/>
        </w:rPr>
        <w:t>B</w:t>
      </w:r>
      <w:r>
        <w:rPr/>
        <w:t>、暂停接受赎回申请</w:t>
      </w:r>
    </w:p>
    <w:p>
      <w:pPr>
        <w:pStyle w:val="BodyText"/>
        <w:spacing w:line="408" w:lineRule="auto" w:before="191"/>
        <w:ind w:left="220" w:right="988" w:firstLine="419"/>
        <w:jc w:val="both"/>
      </w:pPr>
      <w:r>
        <w:rPr>
          <w:spacing w:val="-13"/>
          <w:w w:val="100"/>
        </w:rPr>
        <w:t>投资人具体请参见基金合同“六、基金份额的申购与赎回”中的“</w:t>
      </w:r>
      <w:r>
        <w:rPr>
          <w:spacing w:val="-3"/>
          <w:w w:val="100"/>
        </w:rPr>
        <w:t>（</w:t>
      </w:r>
      <w:r>
        <w:rPr>
          <w:w w:val="100"/>
        </w:rPr>
        <w:t>十</w:t>
      </w:r>
      <w:r>
        <w:rPr>
          <w:spacing w:val="-22"/>
          <w:w w:val="100"/>
        </w:rPr>
        <w:t>）</w:t>
      </w:r>
      <w:r>
        <w:rPr>
          <w:spacing w:val="-3"/>
          <w:w w:val="100"/>
        </w:rPr>
        <w:t>巨额赎回的认</w:t>
      </w:r>
      <w:r>
        <w:rPr>
          <w:spacing w:val="-38"/>
          <w:w w:val="100"/>
        </w:rPr>
        <w:t>定及处理方式”和“</w:t>
      </w:r>
      <w:r>
        <w:rPr>
          <w:w w:val="100"/>
        </w:rPr>
        <w:t>（</w:t>
      </w:r>
      <w:r>
        <w:rPr>
          <w:spacing w:val="-2"/>
          <w:w w:val="100"/>
        </w:rPr>
        <w:t>十一</w:t>
      </w:r>
      <w:r>
        <w:rPr>
          <w:spacing w:val="-108"/>
          <w:w w:val="100"/>
        </w:rPr>
        <w:t>）</w:t>
      </w:r>
      <w:r>
        <w:rPr>
          <w:spacing w:val="-16"/>
          <w:w w:val="100"/>
        </w:rPr>
        <w:t>拒绝或暂停申购、暂停赎回或延缓支付赎回款项的情形及处理”，</w:t>
      </w:r>
      <w:r>
        <w:rPr>
          <w:spacing w:val="-7"/>
        </w:rPr>
        <w:t>详细了解本基金暂停接受赎回申请的情形及程序。</w:t>
      </w:r>
    </w:p>
    <w:p>
      <w:pPr>
        <w:pStyle w:val="BodyText"/>
        <w:spacing w:line="408" w:lineRule="auto" w:before="3"/>
        <w:ind w:left="220" w:right="986" w:firstLine="419"/>
      </w:pPr>
      <w:r>
        <w:rPr/>
        <w:t>在此情形下，投资人的部分或全部赎回申请可能被拒绝，同时投资人完成基金赎回时的基金份额净值可能与其提交赎回申请时的基金份额净值不同。</w:t>
      </w:r>
    </w:p>
    <w:p>
      <w:pPr>
        <w:pStyle w:val="BodyText"/>
        <w:spacing w:before="5"/>
      </w:pPr>
      <w:r>
        <w:rPr>
          <w:rFonts w:ascii="Times New Roman" w:eastAsia="Times New Roman"/>
        </w:rPr>
        <w:t>C</w:t>
      </w:r>
      <w:r>
        <w:rPr/>
        <w:t>、延缓支付赎回款项</w:t>
      </w:r>
    </w:p>
    <w:p>
      <w:pPr>
        <w:pStyle w:val="BodyText"/>
        <w:spacing w:line="408" w:lineRule="auto" w:before="189"/>
        <w:ind w:left="220" w:right="988" w:firstLine="419"/>
        <w:jc w:val="both"/>
      </w:pPr>
      <w:r>
        <w:rPr>
          <w:spacing w:val="-13"/>
          <w:w w:val="100"/>
        </w:rPr>
        <w:t>投资人具体请参见基金合同“六、基金份额的申购与赎回”中的“</w:t>
      </w:r>
      <w:r>
        <w:rPr>
          <w:spacing w:val="-3"/>
          <w:w w:val="100"/>
        </w:rPr>
        <w:t>（</w:t>
      </w:r>
      <w:r>
        <w:rPr>
          <w:w w:val="100"/>
        </w:rPr>
        <w:t>十</w:t>
      </w:r>
      <w:r>
        <w:rPr>
          <w:spacing w:val="-22"/>
          <w:w w:val="100"/>
        </w:rPr>
        <w:t>）</w:t>
      </w:r>
      <w:r>
        <w:rPr>
          <w:spacing w:val="-3"/>
          <w:w w:val="100"/>
        </w:rPr>
        <w:t>巨额赎回的认</w:t>
      </w:r>
      <w:r>
        <w:rPr>
          <w:spacing w:val="-38"/>
          <w:w w:val="100"/>
        </w:rPr>
        <w:t>定及处理方式”和“</w:t>
      </w:r>
      <w:r>
        <w:rPr>
          <w:w w:val="100"/>
        </w:rPr>
        <w:t>（</w:t>
      </w:r>
      <w:r>
        <w:rPr>
          <w:spacing w:val="-2"/>
          <w:w w:val="100"/>
        </w:rPr>
        <w:t>十一</w:t>
      </w:r>
      <w:r>
        <w:rPr>
          <w:spacing w:val="-108"/>
          <w:w w:val="100"/>
        </w:rPr>
        <w:t>）</w:t>
      </w:r>
      <w:r>
        <w:rPr>
          <w:spacing w:val="-16"/>
          <w:w w:val="100"/>
        </w:rPr>
        <w:t>拒绝或暂停申购、暂停赎回或延缓支付赎回款项的情形及处理”，</w:t>
      </w:r>
      <w:r>
        <w:rPr>
          <w:spacing w:val="-7"/>
        </w:rPr>
        <w:t>详细了解本基金延缓支付赎回款项的情形及程序。</w:t>
      </w:r>
    </w:p>
    <w:p>
      <w:pPr>
        <w:pStyle w:val="BodyText"/>
        <w:spacing w:before="3"/>
      </w:pPr>
      <w:r>
        <w:rPr/>
        <w:t>在此情形下，投资人接收赎回款项的时间将可能比一般正常情形下有所延迟。</w:t>
      </w:r>
    </w:p>
    <w:p>
      <w:pPr>
        <w:pStyle w:val="BodyText"/>
        <w:ind w:left="0"/>
        <w:rPr>
          <w:sz w:val="15"/>
        </w:rPr>
      </w:pPr>
    </w:p>
    <w:p>
      <w:pPr>
        <w:pStyle w:val="BodyText"/>
      </w:pPr>
      <w:r>
        <w:rPr>
          <w:rFonts w:ascii="Times New Roman" w:eastAsia="Times New Roman"/>
        </w:rPr>
        <w:t>D</w:t>
      </w:r>
      <w:r>
        <w:rPr/>
        <w:t>、收取短期赎回费</w:t>
      </w:r>
    </w:p>
    <w:p>
      <w:pPr>
        <w:pStyle w:val="BodyText"/>
        <w:spacing w:line="408" w:lineRule="auto" w:before="189"/>
        <w:ind w:left="220" w:right="989" w:firstLine="419"/>
      </w:pPr>
      <w:r>
        <w:rPr>
          <w:spacing w:val="-7"/>
        </w:rPr>
        <w:t>本基金对持续持有期少于 </w:t>
      </w:r>
      <w:r>
        <w:rPr>
          <w:rFonts w:ascii="Times New Roman" w:eastAsia="Times New Roman"/>
        </w:rPr>
        <w:t>7 </w:t>
      </w:r>
      <w:r>
        <w:rPr>
          <w:spacing w:val="-7"/>
        </w:rPr>
        <w:t>日的投资者收取不低于 </w:t>
      </w:r>
      <w:r>
        <w:rPr>
          <w:rFonts w:ascii="Times New Roman" w:eastAsia="Times New Roman"/>
        </w:rPr>
        <w:t>1.5%</w:t>
      </w:r>
      <w:r>
        <w:rPr>
          <w:spacing w:val="-10"/>
        </w:rPr>
        <w:t>的赎回费，并将上述赎回费全</w:t>
      </w:r>
      <w:r>
        <w:rPr>
          <w:spacing w:val="-5"/>
        </w:rPr>
        <w:t>额计入基金财产。</w:t>
      </w:r>
    </w:p>
    <w:p>
      <w:pPr>
        <w:pStyle w:val="BodyText"/>
        <w:spacing w:before="2"/>
      </w:pPr>
      <w:r>
        <w:rPr>
          <w:rFonts w:ascii="Times New Roman" w:eastAsia="Times New Roman"/>
        </w:rPr>
        <w:t>E</w:t>
      </w:r>
      <w:r>
        <w:rPr/>
        <w:t>、暂停基金估值</w:t>
      </w:r>
    </w:p>
    <w:p>
      <w:pPr>
        <w:pStyle w:val="BodyText"/>
        <w:spacing w:line="408" w:lineRule="auto" w:before="193"/>
        <w:ind w:left="220" w:right="989" w:firstLine="419"/>
      </w:pPr>
      <w:r>
        <w:rPr>
          <w:spacing w:val="-7"/>
          <w:w w:val="100"/>
        </w:rPr>
        <w:t>投资人具体请参见基金合同“十七、基金资产估值”中的“</w:t>
      </w:r>
      <w:r>
        <w:rPr>
          <w:spacing w:val="-3"/>
          <w:w w:val="100"/>
        </w:rPr>
        <w:t>（</w:t>
      </w:r>
      <w:r>
        <w:rPr>
          <w:w w:val="100"/>
        </w:rPr>
        <w:t>六</w:t>
      </w:r>
      <w:r>
        <w:rPr>
          <w:spacing w:val="-3"/>
          <w:w w:val="100"/>
        </w:rPr>
        <w:t>）</w:t>
      </w:r>
      <w:r>
        <w:rPr>
          <w:spacing w:val="-16"/>
          <w:w w:val="100"/>
        </w:rPr>
        <w:t>暂停估值的情形”，</w:t>
      </w:r>
      <w:r>
        <w:rPr>
          <w:spacing w:val="-7"/>
        </w:rPr>
        <w:t>详细了解本基金暂停估值的情形及程序。</w:t>
      </w:r>
    </w:p>
    <w:p>
      <w:pPr>
        <w:pStyle w:val="BodyText"/>
        <w:spacing w:before="2"/>
      </w:pPr>
      <w:r>
        <w:rPr/>
        <w:t>在此情形下，投资人没有可供参考的基金份额净值，基金申购赎回申请或被暂停。</w:t>
      </w:r>
    </w:p>
    <w:p>
      <w:pPr>
        <w:pStyle w:val="BodyText"/>
        <w:spacing w:before="9"/>
        <w:ind w:left="0"/>
        <w:rPr>
          <w:sz w:val="14"/>
        </w:rPr>
      </w:pPr>
    </w:p>
    <w:p>
      <w:pPr>
        <w:pStyle w:val="BodyText"/>
        <w:spacing w:before="1"/>
      </w:pPr>
      <w:r>
        <w:rPr>
          <w:rFonts w:ascii="Times New Roman" w:eastAsia="Times New Roman"/>
        </w:rPr>
        <w:t>F</w:t>
      </w:r>
      <w:r>
        <w:rPr/>
        <w:t>、摆动定价</w:t>
      </w:r>
    </w:p>
    <w:p>
      <w:pPr>
        <w:pStyle w:val="BodyText"/>
        <w:spacing w:line="410" w:lineRule="auto" w:before="189"/>
        <w:ind w:left="220" w:right="986" w:firstLine="419"/>
      </w:pPr>
      <w:r>
        <w:rPr/>
        <w:t>当本基金发生大额申购或赎回情形时，基金管理人可以采用摆动定价机制，以确保基金估值的公平性。</w:t>
      </w:r>
    </w:p>
    <w:p>
      <w:pPr>
        <w:pStyle w:val="BodyText"/>
        <w:spacing w:line="410" w:lineRule="auto"/>
        <w:ind w:left="220" w:right="986" w:firstLine="419"/>
      </w:pPr>
      <w:r>
        <w:rPr/>
        <w:t>当基金采用摆动定价时，投资者申购或赎回基金份额时的基金份额净值，将会根据投资组合的市场冲击成本而进行调整，使得市场的冲击成本能够分配给实际申购、赎回的投</w:t>
      </w:r>
    </w:p>
    <w:p>
      <w:pPr>
        <w:spacing w:after="0" w:line="410" w:lineRule="auto"/>
        <w:sectPr>
          <w:pgSz w:w="11910" w:h="16840"/>
          <w:pgMar w:header="705" w:footer="683" w:top="1420" w:bottom="880" w:left="1580" w:right="920"/>
        </w:sectPr>
      </w:pPr>
    </w:p>
    <w:p>
      <w:pPr>
        <w:pStyle w:val="BodyText"/>
        <w:spacing w:line="408" w:lineRule="auto" w:before="107"/>
        <w:ind w:left="220" w:right="986"/>
      </w:pPr>
      <w:r>
        <w:rPr/>
        <w:t>资者，从而减少对存量基金份额持有人利益的不利影响，确保投资者的合法权益不受损害并得到公平对待。</w:t>
      </w:r>
    </w:p>
    <w:p>
      <w:pPr>
        <w:pStyle w:val="BodyText"/>
        <w:spacing w:before="2"/>
      </w:pPr>
      <w:r>
        <w:rPr>
          <w:rFonts w:ascii="Times New Roman" w:eastAsia="Times New Roman"/>
        </w:rPr>
        <w:t>G</w:t>
      </w:r>
      <w:r>
        <w:rPr/>
        <w:t>、中国证监会认定的其他措施。</w:t>
      </w:r>
    </w:p>
    <w:p>
      <w:pPr>
        <w:pStyle w:val="ListParagraph"/>
        <w:numPr>
          <w:ilvl w:val="0"/>
          <w:numId w:val="1"/>
        </w:numPr>
        <w:tabs>
          <w:tab w:pos="1170" w:val="left" w:leader="none"/>
        </w:tabs>
        <w:spacing w:line="240" w:lineRule="auto" w:before="192" w:after="0"/>
        <w:ind w:left="1169" w:right="0" w:hanging="530"/>
        <w:jc w:val="left"/>
        <w:rPr>
          <w:sz w:val="21"/>
        </w:rPr>
      </w:pPr>
      <w:r>
        <w:rPr>
          <w:spacing w:val="-3"/>
          <w:sz w:val="21"/>
        </w:rPr>
        <w:t>操作或技术风险</w:t>
      </w:r>
    </w:p>
    <w:p>
      <w:pPr>
        <w:pStyle w:val="BodyText"/>
        <w:spacing w:line="408" w:lineRule="auto" w:before="189"/>
        <w:ind w:left="220" w:right="986" w:firstLine="419"/>
        <w:jc w:val="both"/>
      </w:pPr>
      <w:r>
        <w:rPr>
          <w:spacing w:val="-3"/>
        </w:rPr>
        <w:t>相关当事人在业务各环节操作过程中，因内部控制存在缺陷或者人为因素造成操作失</w:t>
      </w:r>
      <w:r>
        <w:rPr>
          <w:spacing w:val="-13"/>
        </w:rPr>
        <w:t>误或违反操作规程等原因可能引致风险，例如，越权违规交易、会计部门欺诈、交易错误、</w:t>
      </w:r>
      <w:r>
        <w:rPr>
          <w:rFonts w:ascii="Times New Roman" w:eastAsia="Times New Roman"/>
          <w:spacing w:val="-13"/>
        </w:rPr>
        <w:t>IT </w:t>
      </w:r>
      <w:r>
        <w:rPr>
          <w:spacing w:val="-6"/>
        </w:rPr>
        <w:t>系统故障等风险。</w:t>
      </w:r>
    </w:p>
    <w:p>
      <w:pPr>
        <w:pStyle w:val="BodyText"/>
        <w:spacing w:line="410" w:lineRule="auto" w:before="4"/>
        <w:ind w:left="220" w:right="986" w:firstLine="419"/>
        <w:jc w:val="both"/>
      </w:pPr>
      <w:r>
        <w:rPr/>
        <w:t>在基金的各种交易行为或者后台运作中，可能因为技术系统的故障或者差错而影响交易的正常进行或者导致投资者的利益受到影响。这种技术风险可能来自基金管理人、基金托管人、境外资产托管人、登记结算机构、销售机构、证券交易所、证券登记结算机构等等。</w:t>
      </w:r>
    </w:p>
    <w:p>
      <w:pPr>
        <w:pStyle w:val="BodyText"/>
        <w:spacing w:line="410" w:lineRule="auto"/>
        <w:ind w:left="220" w:right="986" w:firstLine="419"/>
        <w:jc w:val="both"/>
      </w:pPr>
      <w:r>
        <w:rPr/>
        <w:t>根据证券交易资金前端风险控制相关业务规则，中登公司和交易所对交易参与人的证券交易资金进行前端额度控制，由于执行、调整、暂停该控制，或该控制出现异常等，可能影响交易的正常进行或者导致投资者人的利益受到影响。</w:t>
      </w:r>
    </w:p>
    <w:p>
      <w:pPr>
        <w:pStyle w:val="BodyText"/>
        <w:spacing w:line="267" w:lineRule="exact"/>
      </w:pPr>
      <w:r>
        <w:rPr>
          <w:rFonts w:ascii="Times New Roman" w:eastAsia="Times New Roman"/>
        </w:rPr>
        <w:t>2</w:t>
      </w:r>
      <w:r>
        <w:rPr/>
        <w:t>、政策变更风险</w:t>
      </w:r>
    </w:p>
    <w:p>
      <w:pPr>
        <w:pStyle w:val="BodyText"/>
        <w:spacing w:line="410" w:lineRule="auto" w:before="185"/>
        <w:ind w:left="220" w:right="986" w:firstLine="419"/>
        <w:jc w:val="both"/>
      </w:pPr>
      <w:r>
        <w:rPr/>
        <w:t>因相关法律法规或监管机构政策修改等基金管理人无法控制的因素的变化，使基金或投资者利益受到影响的风险，例如，监管机构基金估值政策的修改导致基金估值方法的调整而引起基金净值波动的风险；相关法规的修改导致基金投资范围变化，基金管理人为调整投资组合而引起基金净值波动的风险等。</w:t>
      </w:r>
    </w:p>
    <w:p>
      <w:pPr>
        <w:pStyle w:val="BodyText"/>
        <w:spacing w:line="265" w:lineRule="exact"/>
      </w:pPr>
      <w:r>
        <w:rPr>
          <w:rFonts w:ascii="Times New Roman" w:eastAsia="Times New Roman"/>
        </w:rPr>
        <w:t>3</w:t>
      </w:r>
      <w:r>
        <w:rPr/>
        <w:t>、不可抗力风险</w:t>
      </w:r>
    </w:p>
    <w:p>
      <w:pPr>
        <w:pStyle w:val="BodyText"/>
        <w:spacing w:line="410" w:lineRule="auto" w:before="189"/>
        <w:ind w:left="220" w:right="986" w:firstLine="419"/>
        <w:jc w:val="both"/>
      </w:pPr>
      <w:r>
        <w:rPr/>
        <w:t>战争、自然灾害等不可抗力因素的出现，将会严重影响证券市场的运行，可能导致基金资产的损失。金融市场危机、行业竞争、代理机构违约等超出基金管理人自身直接控制能力之外的风险，可能导致基金或者基金份额持有人利益受损。</w:t>
      </w:r>
    </w:p>
    <w:p>
      <w:pPr>
        <w:pStyle w:val="BodyText"/>
        <w:spacing w:line="267" w:lineRule="exact"/>
      </w:pPr>
      <w:r>
        <w:rPr/>
        <w:t>（二）声明</w:t>
      </w:r>
    </w:p>
    <w:p>
      <w:pPr>
        <w:pStyle w:val="BodyText"/>
        <w:spacing w:before="10"/>
        <w:ind w:left="0"/>
        <w:rPr>
          <w:sz w:val="14"/>
        </w:rPr>
      </w:pPr>
    </w:p>
    <w:p>
      <w:pPr>
        <w:pStyle w:val="BodyText"/>
        <w:spacing w:line="408" w:lineRule="auto"/>
        <w:ind w:left="220" w:right="989" w:firstLine="419"/>
      </w:pPr>
      <w:r>
        <w:rPr>
          <w:rFonts w:ascii="Times New Roman" w:eastAsia="Times New Roman"/>
        </w:rPr>
        <w:t>1</w:t>
      </w:r>
      <w:r>
        <w:rPr>
          <w:spacing w:val="-11"/>
        </w:rPr>
        <w:t>、本基金未经任何一级政府、机构及部门担保。投资者自愿投资于本基金，须自行承</w:t>
      </w:r>
      <w:r>
        <w:rPr>
          <w:spacing w:val="-6"/>
        </w:rPr>
        <w:t>担投资风险。</w:t>
      </w:r>
    </w:p>
    <w:p>
      <w:pPr>
        <w:pStyle w:val="BodyText"/>
        <w:spacing w:line="410" w:lineRule="auto" w:before="2"/>
        <w:ind w:left="220" w:right="986" w:firstLine="419"/>
        <w:jc w:val="both"/>
      </w:pPr>
      <w:r>
        <w:rPr>
          <w:rFonts w:ascii="Times New Roman" w:eastAsia="Times New Roman"/>
        </w:rPr>
        <w:t>2</w:t>
      </w:r>
      <w:r>
        <w:rPr>
          <w:spacing w:val="-11"/>
        </w:rPr>
        <w:t>、除基金管理人直接办理本基金的销售外，本基金还通过代销机构销售，但是，本基</w:t>
      </w:r>
      <w:r>
        <w:rPr>
          <w:spacing w:val="-6"/>
        </w:rPr>
        <w:t>金并不是代销机构的存款或负债，也没有经代销机构担保或者背书，代销机构并不能保证</w:t>
      </w:r>
      <w:r>
        <w:rPr>
          <w:spacing w:val="-4"/>
        </w:rPr>
        <w:t>其收益或本金安全。</w:t>
      </w:r>
    </w:p>
    <w:p>
      <w:pPr>
        <w:pStyle w:val="BodyText"/>
        <w:spacing w:line="267" w:lineRule="exact"/>
      </w:pPr>
      <w:r>
        <w:rPr>
          <w:rFonts w:ascii="Times New Roman" w:hAnsi="Times New Roman" w:eastAsia="Times New Roman"/>
        </w:rPr>
        <w:t>3</w:t>
      </w:r>
      <w:r>
        <w:rPr/>
        <w:t>、恒生指数（“该指数”）由恒生指数有限公司根据恒生资讯服务有限公司的授权发</w:t>
      </w:r>
    </w:p>
    <w:p>
      <w:pPr>
        <w:spacing w:after="0" w:line="267" w:lineRule="exact"/>
        <w:sectPr>
          <w:pgSz w:w="11910" w:h="16840"/>
          <w:pgMar w:header="705" w:footer="683" w:top="1420" w:bottom="880" w:left="1580" w:right="920"/>
        </w:sectPr>
      </w:pPr>
    </w:p>
    <w:p>
      <w:pPr>
        <w:pStyle w:val="BodyText"/>
        <w:spacing w:line="410" w:lineRule="auto" w:before="107"/>
        <w:ind w:left="220" w:right="986"/>
        <w:jc w:val="both"/>
      </w:pPr>
      <w:r>
        <w:rPr>
          <w:spacing w:val="-3"/>
        </w:rPr>
        <w:t>布及编制。恒生指数的商标及名称由恒生资讯服务有限公司全权拥有。恒生指数有限公司及恒生资讯服务有限公司已同意华夏基金管理有限公司可就恒生交易型开放式指数证券投资基金联接基金</w:t>
      </w:r>
      <w:r>
        <w:rPr/>
        <w:t>（</w:t>
      </w:r>
      <w:r>
        <w:rPr>
          <w:spacing w:val="-1"/>
        </w:rPr>
        <w:t>“该产品”</w:t>
      </w:r>
      <w:r>
        <w:rPr/>
        <w:t>）</w:t>
      </w:r>
      <w:r>
        <w:rPr>
          <w:spacing w:val="-3"/>
        </w:rPr>
        <w:t>使用及参考该指数，但是，恒生指数有限公司及恒生资讯</w:t>
      </w:r>
      <w:r>
        <w:rPr>
          <w:spacing w:val="-14"/>
          <w:w w:val="100"/>
        </w:rPr>
        <w:t>服务有限公司并不就</w:t>
      </w:r>
      <w:r>
        <w:rPr>
          <w:w w:val="100"/>
        </w:rPr>
        <w:t>（</w:t>
      </w:r>
      <w:r>
        <w:rPr>
          <w:rFonts w:ascii="Times New Roman" w:hAnsi="Times New Roman" w:eastAsia="Times New Roman"/>
          <w:spacing w:val="-2"/>
          <w:w w:val="100"/>
        </w:rPr>
        <w:t>i</w:t>
      </w:r>
      <w:r>
        <w:rPr>
          <w:spacing w:val="-99"/>
          <w:w w:val="100"/>
        </w:rPr>
        <w:t>）</w:t>
      </w:r>
      <w:r>
        <w:rPr>
          <w:spacing w:val="-11"/>
          <w:w w:val="100"/>
        </w:rPr>
        <w:t>该指数及其计算或任何与之有关的数据的准确性或完整性；或</w:t>
      </w:r>
      <w:r>
        <w:rPr>
          <w:w w:val="100"/>
        </w:rPr>
        <w:t>（</w:t>
      </w:r>
      <w:r>
        <w:rPr>
          <w:rFonts w:ascii="Times New Roman" w:hAnsi="Times New Roman" w:eastAsia="Times New Roman"/>
          <w:spacing w:val="-2"/>
          <w:w w:val="100"/>
        </w:rPr>
        <w:t>ii</w:t>
      </w:r>
      <w:r>
        <w:rPr>
          <w:w w:val="100"/>
        </w:rPr>
        <w:t>）</w:t>
      </w:r>
      <w:r>
        <w:rPr>
          <w:spacing w:val="-2"/>
        </w:rPr>
        <w:t>该指数或其中任何成份或其所包涵的数据的适用性或适合性；或</w:t>
      </w:r>
      <w:r>
        <w:rPr/>
        <w:t>（</w:t>
      </w:r>
      <w:r>
        <w:rPr>
          <w:rFonts w:ascii="Times New Roman" w:hAnsi="Times New Roman" w:eastAsia="Times New Roman"/>
        </w:rPr>
        <w:t>iii</w:t>
      </w:r>
      <w:r>
        <w:rPr/>
        <w:t>）任何人士因使用该</w:t>
      </w:r>
      <w:r>
        <w:rPr>
          <w:spacing w:val="-3"/>
        </w:rPr>
        <w:t>指数或其中任何成份或其所包涵的数据而产生的结果，而向该产品的任何经纪或该产品持有人或任何其他人士作出保证或声明或担保，也不会就该指数提供或默示任何保证、声明或担保。恒生指数有限公司可随时更改或修改计算及编制该指数及其任何有关的公式、成份股份及系数的过程及基准，而无须作出通知。在适用法律允许的范围内，恒生指数有限公司或恒生资讯服务有限公司不会因</w:t>
      </w:r>
      <w:r>
        <w:rPr/>
        <w:t>（</w:t>
      </w:r>
      <w:r>
        <w:rPr>
          <w:rFonts w:ascii="Times New Roman" w:hAnsi="Times New Roman" w:eastAsia="Times New Roman"/>
        </w:rPr>
        <w:t>i</w:t>
      </w:r>
      <w:r>
        <w:rPr/>
        <w:t>）华夏基金管理有限公司就该产品使用及</w:t>
      </w:r>
      <w:r>
        <w:rPr>
          <w:rFonts w:ascii="Times New Roman" w:hAnsi="Times New Roman" w:eastAsia="Times New Roman"/>
        </w:rPr>
        <w:t>/</w:t>
      </w:r>
      <w:r>
        <w:rPr>
          <w:spacing w:val="-5"/>
        </w:rPr>
        <w:t>或参考</w:t>
      </w:r>
      <w:r>
        <w:rPr/>
        <w:t>该指数；或（</w:t>
      </w:r>
      <w:r>
        <w:rPr>
          <w:rFonts w:ascii="Times New Roman" w:hAnsi="Times New Roman" w:eastAsia="Times New Roman"/>
        </w:rPr>
        <w:t>ii</w:t>
      </w:r>
      <w:r>
        <w:rPr/>
        <w:t>）恒生指数有限公司在计算该指数时的任何失准、遗漏、失误或错误；或</w:t>
      </w:r>
    </w:p>
    <w:p>
      <w:pPr>
        <w:pStyle w:val="ListParagraph"/>
        <w:numPr>
          <w:ilvl w:val="0"/>
          <w:numId w:val="2"/>
        </w:numPr>
        <w:tabs>
          <w:tab w:pos="817" w:val="left" w:leader="none"/>
        </w:tabs>
        <w:spacing w:line="256" w:lineRule="exact" w:before="0" w:after="0"/>
        <w:ind w:left="816" w:right="769" w:hanging="817"/>
        <w:jc w:val="left"/>
        <w:rPr>
          <w:sz w:val="21"/>
        </w:rPr>
      </w:pPr>
      <w:r>
        <w:rPr>
          <w:spacing w:val="-2"/>
          <w:sz w:val="21"/>
        </w:rPr>
        <w:t>与计算该指数有关并由任何其他人士提供的资料的任何失准、遗漏、失误</w:t>
      </w:r>
      <w:r>
        <w:rPr>
          <w:sz w:val="21"/>
        </w:rPr>
        <w:t>﹑错误或</w:t>
      </w:r>
    </w:p>
    <w:p>
      <w:pPr>
        <w:pStyle w:val="BodyText"/>
        <w:spacing w:line="410" w:lineRule="auto" w:before="190"/>
        <w:ind w:left="220" w:right="986"/>
        <w:jc w:val="both"/>
      </w:pPr>
      <w:r>
        <w:rPr/>
        <w:t>不完整；或（</w:t>
      </w:r>
      <w:r>
        <w:rPr>
          <w:rFonts w:ascii="Times New Roman" w:eastAsia="Times New Roman"/>
        </w:rPr>
        <w:t>iv</w:t>
      </w:r>
      <w:r>
        <w:rPr/>
        <w:t>）</w:t>
      </w:r>
      <w:r>
        <w:rPr>
          <w:spacing w:val="-1"/>
        </w:rPr>
        <w:t>任何经纪、该产品持有人或任何其他交易该产品的人士，因上述原因而</w:t>
      </w:r>
      <w:r>
        <w:rPr>
          <w:spacing w:val="-3"/>
        </w:rPr>
        <w:t>直接或间接蒙受的任何经济或其他损失承担任何责任或债务，任何经纪、该产品持有人或</w:t>
      </w:r>
      <w:r>
        <w:rPr>
          <w:spacing w:val="-6"/>
        </w:rPr>
        <w:t>任何其他交易该产品的人士不得因该产品，以任何形式向恒生指数有限公司及</w:t>
      </w:r>
      <w:r>
        <w:rPr>
          <w:rFonts w:ascii="Times New Roman" w:eastAsia="Times New Roman"/>
        </w:rPr>
        <w:t>/</w:t>
      </w:r>
      <w:r>
        <w:rPr>
          <w:spacing w:val="-3"/>
        </w:rPr>
        <w:t>或恒生资讯服务有限公司进行索偿、法律行动或法律诉讼。任何经纪、持有人或任何其他人士，须在完全了解此免责声明，并且不能依赖恒生指数有限公司及恒生资讯服务有限公司的情况下交易该产品。为避免产生疑问，本免责声明不构成任何经纪、持有人或任何其他人士与恒生指数有限公司及</w:t>
      </w:r>
      <w:r>
        <w:rPr>
          <w:rFonts w:ascii="Times New Roman" w:eastAsia="Times New Roman"/>
        </w:rPr>
        <w:t>/</w:t>
      </w:r>
      <w:r>
        <w:rPr>
          <w:spacing w:val="-6"/>
        </w:rPr>
        <w:t>或恒生资讯服务有限公司之间的任何合约或准合约关系，也不应视作已</w:t>
      </w:r>
      <w:r>
        <w:rPr>
          <w:spacing w:val="-4"/>
        </w:rPr>
        <w:t>构成这种关系。任何投资者如认购或购买该产品权益，该投资者将被视为已承认、理解并</w:t>
      </w:r>
      <w:r>
        <w:rPr>
          <w:spacing w:val="-3"/>
        </w:rPr>
        <w:t>接受此免责声明并受其约束，以及承认、理解并接受该产品所使用之该指数数值为恒生指数有限公司酌情计算的结果。</w:t>
      </w:r>
    </w:p>
    <w:p>
      <w:pPr>
        <w:pStyle w:val="BodyText"/>
        <w:spacing w:before="9"/>
        <w:ind w:left="0"/>
        <w:rPr>
          <w:sz w:val="25"/>
        </w:rPr>
      </w:pPr>
    </w:p>
    <w:p>
      <w:pPr>
        <w:pStyle w:val="Heading1"/>
      </w:pPr>
      <w:bookmarkStart w:name="_bookmark3" w:id="4"/>
      <w:bookmarkEnd w:id="4"/>
      <w:r>
        <w:rPr>
          <w:b w:val="0"/>
        </w:rPr>
      </w:r>
      <w:r>
        <w:rPr/>
        <w:t>四、基金的投资</w:t>
      </w:r>
    </w:p>
    <w:p>
      <w:pPr>
        <w:pStyle w:val="BodyText"/>
        <w:ind w:left="0"/>
        <w:rPr>
          <w:b/>
          <w:sz w:val="20"/>
        </w:rPr>
      </w:pPr>
    </w:p>
    <w:p>
      <w:pPr>
        <w:pStyle w:val="BodyText"/>
        <w:spacing w:before="8"/>
        <w:ind w:left="0"/>
        <w:rPr>
          <w:b/>
          <w:sz w:val="20"/>
        </w:rPr>
      </w:pPr>
    </w:p>
    <w:p>
      <w:pPr>
        <w:pStyle w:val="BodyText"/>
      </w:pPr>
      <w:r>
        <w:rPr/>
        <w:t>（一）投资目标</w:t>
      </w:r>
    </w:p>
    <w:p>
      <w:pPr>
        <w:pStyle w:val="BodyText"/>
        <w:spacing w:before="10"/>
        <w:ind w:left="0"/>
        <w:rPr>
          <w:sz w:val="14"/>
        </w:rPr>
      </w:pPr>
    </w:p>
    <w:p>
      <w:pPr>
        <w:pStyle w:val="BodyText"/>
        <w:spacing w:line="408" w:lineRule="auto"/>
        <w:ind w:left="220" w:right="986" w:firstLine="419"/>
      </w:pPr>
      <w:r>
        <w:rPr/>
        <w:t>本基金主要通过对恒生</w:t>
      </w:r>
      <w:r>
        <w:rPr>
          <w:rFonts w:ascii="Times New Roman" w:eastAsia="Times New Roman"/>
        </w:rPr>
        <w:t>ETF </w:t>
      </w:r>
      <w:r>
        <w:rPr/>
        <w:t>基金份额的投资，追求跟踪标的指数，获得与指数收益相似的回报。</w:t>
      </w:r>
    </w:p>
    <w:p>
      <w:pPr>
        <w:pStyle w:val="BodyText"/>
        <w:spacing w:before="2"/>
      </w:pPr>
      <w:r>
        <w:rPr/>
        <w:t>（二）标的指数</w:t>
      </w:r>
    </w:p>
    <w:p>
      <w:pPr>
        <w:pStyle w:val="BodyText"/>
        <w:ind w:left="0"/>
        <w:rPr>
          <w:sz w:val="15"/>
        </w:rPr>
      </w:pPr>
    </w:p>
    <w:p>
      <w:pPr>
        <w:pStyle w:val="BodyText"/>
      </w:pPr>
      <w:r>
        <w:rPr/>
        <w:t>本基金的标的指数为目标</w:t>
      </w:r>
      <w:r>
        <w:rPr>
          <w:rFonts w:ascii="Times New Roman" w:eastAsia="Times New Roman"/>
        </w:rPr>
        <w:t>ETF </w:t>
      </w:r>
      <w:r>
        <w:rPr/>
        <w:t>的标的指数，即恒生指数。</w:t>
      </w:r>
    </w:p>
    <w:p>
      <w:pPr>
        <w:pStyle w:val="BodyText"/>
        <w:spacing w:before="189"/>
      </w:pPr>
      <w:r>
        <w:rPr/>
        <w:t>恒生指数是由香港恒生银行全资附属子公司恒生指数有限公司编制，以香港股票市场</w:t>
      </w:r>
    </w:p>
    <w:p>
      <w:pPr>
        <w:spacing w:after="0"/>
        <w:sectPr>
          <w:pgSz w:w="11910" w:h="16840"/>
          <w:pgMar w:header="705" w:footer="683" w:top="1420" w:bottom="880" w:left="1580" w:right="920"/>
        </w:sectPr>
      </w:pPr>
    </w:p>
    <w:p>
      <w:pPr>
        <w:pStyle w:val="BodyText"/>
        <w:spacing w:line="410" w:lineRule="auto" w:before="107"/>
        <w:ind w:left="220" w:right="986"/>
        <w:jc w:val="right"/>
      </w:pPr>
      <w:r>
        <w:rPr>
          <w:spacing w:val="-15"/>
        </w:rPr>
        <w:t>的 </w:t>
      </w:r>
      <w:r>
        <w:rPr>
          <w:rFonts w:ascii="Times New Roman" w:eastAsia="Times New Roman"/>
        </w:rPr>
        <w:t>50 </w:t>
      </w:r>
      <w:r>
        <w:rPr>
          <w:spacing w:val="-11"/>
        </w:rPr>
        <w:t>家上市公司股票作为成份股，以经调整的流通市值作为权数计算得到的加权平均股价指数，是目前反映香港股市走势的最具影响力的股价指数。恒生指数于 </w:t>
      </w:r>
      <w:r>
        <w:rPr>
          <w:rFonts w:ascii="Times New Roman" w:eastAsia="Times New Roman"/>
        </w:rPr>
        <w:t>1969 </w:t>
      </w:r>
      <w:r>
        <w:rPr>
          <w:spacing w:val="-23"/>
        </w:rPr>
        <w:t>年 </w:t>
      </w:r>
      <w:r>
        <w:rPr>
          <w:rFonts w:ascii="Times New Roman" w:eastAsia="Times New Roman"/>
        </w:rPr>
        <w:t>l1 </w:t>
      </w:r>
      <w:r>
        <w:rPr>
          <w:spacing w:val="-24"/>
        </w:rPr>
        <w:t>月 </w:t>
      </w:r>
      <w:r>
        <w:rPr>
          <w:rFonts w:ascii="Times New Roman" w:eastAsia="Times New Roman"/>
        </w:rPr>
        <w:t>24 </w:t>
      </w:r>
      <w:r>
        <w:rPr/>
        <w:t>日</w:t>
      </w:r>
      <w:r>
        <w:rPr>
          <w:spacing w:val="-8"/>
        </w:rPr>
        <w:t>首次公开发布，以 </w:t>
      </w:r>
      <w:r>
        <w:rPr>
          <w:rFonts w:ascii="Times New Roman" w:eastAsia="Times New Roman"/>
        </w:rPr>
        <w:t>1964 </w:t>
      </w:r>
      <w:r>
        <w:rPr>
          <w:spacing w:val="-24"/>
        </w:rPr>
        <w:t>年 </w:t>
      </w:r>
      <w:r>
        <w:rPr>
          <w:rFonts w:ascii="Times New Roman" w:eastAsia="Times New Roman"/>
        </w:rPr>
        <w:t>7 </w:t>
      </w:r>
      <w:r>
        <w:rPr>
          <w:spacing w:val="-24"/>
        </w:rPr>
        <w:t>月 </w:t>
      </w:r>
      <w:r>
        <w:rPr>
          <w:rFonts w:ascii="Times New Roman" w:eastAsia="Times New Roman"/>
        </w:rPr>
        <w:t>31 </w:t>
      </w:r>
      <w:r>
        <w:rPr>
          <w:spacing w:val="-7"/>
        </w:rPr>
        <w:t>日为基期，基期指数值为 </w:t>
      </w:r>
      <w:r>
        <w:rPr>
          <w:rFonts w:ascii="Times New Roman" w:eastAsia="Times New Roman"/>
        </w:rPr>
        <w:t>100</w:t>
      </w:r>
      <w:r>
        <w:rPr>
          <w:spacing w:val="-3"/>
        </w:rPr>
        <w:t>。恒生指数以港币计价。</w:t>
      </w:r>
      <w:r>
        <w:rPr>
          <w:spacing w:val="5"/>
        </w:rPr>
        <w:t>未来如果目标</w:t>
      </w:r>
      <w:r>
        <w:rPr>
          <w:rFonts w:ascii="Times New Roman" w:eastAsia="Times New Roman"/>
        </w:rPr>
        <w:t>ETF </w:t>
      </w:r>
      <w:r>
        <w:rPr>
          <w:spacing w:val="-8"/>
        </w:rPr>
        <w:t>的标的指数发生变更，本基金不变更目标 </w:t>
      </w:r>
      <w:r>
        <w:rPr>
          <w:rFonts w:ascii="Times New Roman" w:eastAsia="Times New Roman"/>
          <w:spacing w:val="-10"/>
        </w:rPr>
        <w:t>ETF</w:t>
      </w:r>
      <w:r>
        <w:rPr>
          <w:spacing w:val="-4"/>
        </w:rPr>
        <w:t>，则本基金的标的指</w:t>
      </w:r>
    </w:p>
    <w:p>
      <w:pPr>
        <w:pStyle w:val="BodyText"/>
        <w:spacing w:line="265" w:lineRule="exact"/>
        <w:ind w:left="220"/>
      </w:pPr>
      <w:r>
        <w:rPr/>
        <w:t>数将随之变更，不需另行召开持有人大会。</w:t>
      </w:r>
    </w:p>
    <w:p>
      <w:pPr>
        <w:pStyle w:val="BodyText"/>
        <w:spacing w:before="10"/>
        <w:ind w:left="0"/>
        <w:rPr>
          <w:sz w:val="14"/>
        </w:rPr>
      </w:pPr>
    </w:p>
    <w:p>
      <w:pPr>
        <w:pStyle w:val="BodyText"/>
      </w:pPr>
      <w:r>
        <w:rPr/>
        <w:t>（三）投资范围</w:t>
      </w:r>
    </w:p>
    <w:p>
      <w:pPr>
        <w:pStyle w:val="BodyText"/>
        <w:spacing w:before="10"/>
        <w:ind w:left="0"/>
        <w:rPr>
          <w:sz w:val="14"/>
        </w:rPr>
      </w:pPr>
    </w:p>
    <w:p>
      <w:pPr>
        <w:pStyle w:val="BodyText"/>
        <w:spacing w:line="410" w:lineRule="auto"/>
        <w:ind w:left="220" w:right="986" w:firstLine="419"/>
        <w:jc w:val="both"/>
      </w:pPr>
      <w:r>
        <w:rPr>
          <w:spacing w:val="2"/>
        </w:rPr>
        <w:t>本基金主要投资于目标</w:t>
      </w:r>
      <w:r>
        <w:rPr>
          <w:rFonts w:ascii="Times New Roman" w:eastAsia="Times New Roman"/>
        </w:rPr>
        <w:t>ETF </w:t>
      </w:r>
      <w:r>
        <w:rPr>
          <w:spacing w:val="-7"/>
        </w:rPr>
        <w:t>基金份额及跟踪标的指数的股票组合。基金在境内可投资</w:t>
      </w:r>
      <w:r>
        <w:rPr>
          <w:spacing w:val="-5"/>
        </w:rPr>
        <w:t>于货币市场工具等法律法规或中国证监会允许基金投资的金融工具。此外，基金还可投资</w:t>
      </w:r>
      <w:r>
        <w:rPr>
          <w:spacing w:val="-4"/>
        </w:rPr>
        <w:t>于境外证券市场的股票、债券、基金、金融衍生工具</w:t>
      </w:r>
      <w:r>
        <w:rPr/>
        <w:t>（</w:t>
      </w:r>
      <w:r>
        <w:rPr>
          <w:spacing w:val="-3"/>
        </w:rPr>
        <w:t>包括但不限于远期合约、互换、期货、期权、权证等）以及中国证监会允许基金投资的其他金融工具。</w:t>
      </w:r>
    </w:p>
    <w:p>
      <w:pPr>
        <w:pStyle w:val="BodyText"/>
        <w:spacing w:line="408" w:lineRule="auto"/>
        <w:ind w:left="220" w:right="989" w:firstLine="419"/>
        <w:jc w:val="both"/>
      </w:pPr>
      <w:r>
        <w:rPr>
          <w:spacing w:val="-11"/>
        </w:rPr>
        <w:t>正常情况下，本基金投资于目标 </w:t>
      </w:r>
      <w:r>
        <w:rPr>
          <w:rFonts w:ascii="Times New Roman" w:eastAsia="Times New Roman"/>
        </w:rPr>
        <w:t>ETF </w:t>
      </w:r>
      <w:r>
        <w:rPr>
          <w:spacing w:val="-6"/>
        </w:rPr>
        <w:t>的比例不低于基金资产净值的 </w:t>
      </w:r>
      <w:r>
        <w:rPr>
          <w:rFonts w:ascii="Times New Roman" w:eastAsia="Times New Roman"/>
          <w:spacing w:val="-11"/>
        </w:rPr>
        <w:t>90%</w:t>
      </w:r>
      <w:r>
        <w:rPr>
          <w:spacing w:val="-11"/>
        </w:rPr>
        <w:t>（</w:t>
      </w:r>
      <w:r>
        <w:rPr>
          <w:spacing w:val="-3"/>
        </w:rPr>
        <w:t>已申购但尚</w:t>
      </w:r>
      <w:r>
        <w:rPr>
          <w:spacing w:val="5"/>
        </w:rPr>
        <w:t>未确认的目标</w:t>
      </w:r>
      <w:r>
        <w:rPr>
          <w:rFonts w:ascii="Times New Roman" w:eastAsia="Times New Roman"/>
        </w:rPr>
        <w:t>ETF </w:t>
      </w:r>
      <w:r>
        <w:rPr>
          <w:spacing w:val="-2"/>
        </w:rPr>
        <w:t>份额可计入在内</w:t>
      </w:r>
      <w:r>
        <w:rPr>
          <w:spacing w:val="-108"/>
        </w:rPr>
        <w:t>）</w:t>
      </w:r>
      <w:r>
        <w:rPr/>
        <w:t>。</w:t>
      </w:r>
    </w:p>
    <w:p>
      <w:pPr>
        <w:pStyle w:val="BodyText"/>
        <w:spacing w:line="410" w:lineRule="auto"/>
        <w:ind w:left="220" w:right="880" w:firstLine="419"/>
      </w:pPr>
      <w:r>
        <w:rPr>
          <w:spacing w:val="-8"/>
        </w:rPr>
        <w:t>如法律法规或监管机构以后允许基金投资其他品种的，基金管理人在履行适当程序后， </w:t>
      </w:r>
      <w:r>
        <w:rPr>
          <w:spacing w:val="-5"/>
        </w:rPr>
        <w:t>可以将其纳入投资范围。</w:t>
      </w:r>
    </w:p>
    <w:p>
      <w:pPr>
        <w:pStyle w:val="BodyText"/>
        <w:spacing w:line="268" w:lineRule="exact"/>
      </w:pPr>
      <w:r>
        <w:rPr/>
        <w:t>（四）投资策略</w:t>
      </w:r>
    </w:p>
    <w:p>
      <w:pPr>
        <w:pStyle w:val="BodyText"/>
        <w:spacing w:before="8"/>
        <w:ind w:left="0"/>
        <w:rPr>
          <w:sz w:val="14"/>
        </w:rPr>
      </w:pPr>
    </w:p>
    <w:p>
      <w:pPr>
        <w:pStyle w:val="BodyText"/>
        <w:spacing w:line="410" w:lineRule="auto"/>
        <w:ind w:left="220" w:right="986" w:firstLine="419"/>
        <w:jc w:val="both"/>
      </w:pPr>
      <w:r>
        <w:rPr>
          <w:spacing w:val="-4"/>
        </w:rPr>
        <w:t>本基金主要通过交易所买卖或申购赎回的方式投资于目标 </w:t>
      </w:r>
      <w:r>
        <w:rPr>
          <w:rFonts w:ascii="Times New Roman" w:eastAsia="Times New Roman"/>
          <w:spacing w:val="-2"/>
        </w:rPr>
        <w:t>ETF</w:t>
      </w:r>
      <w:r>
        <w:rPr>
          <w:spacing w:val="-4"/>
        </w:rPr>
        <w:t>。根据投资者申购、赎</w:t>
      </w:r>
      <w:r>
        <w:rPr>
          <w:spacing w:val="-8"/>
        </w:rPr>
        <w:t>回的现金流情况，本基金将综合恒生 </w:t>
      </w:r>
      <w:r>
        <w:rPr>
          <w:rFonts w:ascii="Times New Roman" w:eastAsia="Times New Roman"/>
        </w:rPr>
        <w:t>ETF</w:t>
      </w:r>
      <w:r>
        <w:rPr>
          <w:rFonts w:ascii="Times New Roman" w:eastAsia="Times New Roman"/>
          <w:spacing w:val="13"/>
        </w:rPr>
        <w:t> </w:t>
      </w:r>
      <w:r>
        <w:rPr>
          <w:spacing w:val="-7"/>
        </w:rPr>
        <w:t>的流动性、折溢价率、标的指数成份股流动性等</w:t>
      </w:r>
      <w:r>
        <w:rPr>
          <w:spacing w:val="-4"/>
        </w:rPr>
        <w:t>因素分析，对投资组合进行监控和调整，密切跟踪标的指数。基金还将适度参与恒生</w:t>
      </w:r>
      <w:r>
        <w:rPr>
          <w:rFonts w:ascii="Times New Roman" w:eastAsia="Times New Roman"/>
        </w:rPr>
        <w:t>ETF </w:t>
      </w:r>
      <w:r>
        <w:rPr>
          <w:spacing w:val="-3"/>
        </w:rPr>
        <w:t>基金份额交易和申购、赎回的组合套利，以增强基金收益。基金也可以通过买入恒生指数</w:t>
      </w:r>
      <w:r>
        <w:rPr>
          <w:spacing w:val="-17"/>
        </w:rPr>
        <w:t>成份股来跟踪标的指数。为了更好地实现投资目标，基金还可投资于境外证券市场的股票、</w:t>
      </w:r>
      <w:r>
        <w:rPr>
          <w:spacing w:val="-7"/>
        </w:rPr>
        <w:t>债券、跟踪同一标的指数的其他基金、金融衍生工具等产品，并在法规允许的条件下参与</w:t>
      </w:r>
      <w:r>
        <w:rPr>
          <w:spacing w:val="-5"/>
        </w:rPr>
        <w:t>证券借贷，以增加收益。</w:t>
      </w:r>
    </w:p>
    <w:p>
      <w:pPr>
        <w:pStyle w:val="BodyText"/>
        <w:spacing w:line="265" w:lineRule="exact"/>
        <w:jc w:val="both"/>
      </w:pPr>
      <w:r>
        <w:rPr/>
        <w:t>在目标 </w:t>
      </w:r>
      <w:r>
        <w:rPr>
          <w:rFonts w:ascii="Times New Roman" w:eastAsia="Times New Roman"/>
        </w:rPr>
        <w:t>ETF </w:t>
      </w:r>
      <w:r>
        <w:rPr/>
        <w:t>开放申购赎回之前，本基金可通过特殊申购的方式用基金资产换购目标</w:t>
      </w:r>
    </w:p>
    <w:p>
      <w:pPr>
        <w:pStyle w:val="BodyText"/>
        <w:spacing w:before="7"/>
        <w:ind w:left="0"/>
        <w:rPr>
          <w:sz w:val="15"/>
        </w:rPr>
      </w:pPr>
    </w:p>
    <w:p>
      <w:pPr>
        <w:pStyle w:val="BodyText"/>
        <w:ind w:left="220"/>
      </w:pPr>
      <w:r>
        <w:rPr>
          <w:rFonts w:ascii="Times New Roman" w:eastAsia="Times New Roman"/>
        </w:rPr>
        <w:t>ETF </w:t>
      </w:r>
      <w:r>
        <w:rPr/>
        <w:t>份额，以进行基金建仓。</w:t>
      </w:r>
    </w:p>
    <w:p>
      <w:pPr>
        <w:pStyle w:val="BodyText"/>
        <w:spacing w:before="7"/>
        <w:ind w:left="0"/>
        <w:rPr>
          <w:sz w:val="15"/>
        </w:rPr>
      </w:pPr>
    </w:p>
    <w:p>
      <w:pPr>
        <w:pStyle w:val="BodyText"/>
        <w:spacing w:line="415" w:lineRule="auto"/>
        <w:ind w:left="220" w:right="913" w:firstLine="419"/>
      </w:pPr>
      <w:r>
        <w:rPr/>
        <w:t>为了更好地对外币资金进行投资管理，本基金还可以与目标 </w:t>
      </w:r>
      <w:r>
        <w:rPr>
          <w:rFonts w:ascii="Times New Roman" w:eastAsia="Times New Roman"/>
        </w:rPr>
        <w:t>ETF </w:t>
      </w:r>
      <w:r>
        <w:rPr/>
        <w:t>或其他 </w:t>
      </w:r>
      <w:r>
        <w:rPr>
          <w:rFonts w:ascii="Times New Roman" w:eastAsia="Times New Roman"/>
        </w:rPr>
        <w:t>QDII </w:t>
      </w:r>
      <w:r>
        <w:rPr/>
        <w:t>基金进行外汇互换，互换价格需遵循公允、合理的原则以及监管机构的相关规定。</w:t>
      </w:r>
    </w:p>
    <w:p>
      <w:pPr>
        <w:pStyle w:val="BodyText"/>
        <w:spacing w:before="3"/>
      </w:pPr>
      <w:r>
        <w:rPr/>
        <w:t>本基金力争日均跟踪偏离度的绝对值不超过 </w:t>
      </w:r>
      <w:r>
        <w:rPr>
          <w:rFonts w:ascii="Times New Roman" w:eastAsia="Times New Roman"/>
        </w:rPr>
        <w:t>0.35%</w:t>
      </w:r>
      <w:r>
        <w:rPr/>
        <w:t>，年跟踪误差不超过 </w:t>
      </w:r>
      <w:r>
        <w:rPr>
          <w:rFonts w:ascii="Times New Roman" w:eastAsia="Times New Roman"/>
        </w:rPr>
        <w:t>4%</w:t>
      </w:r>
      <w:r>
        <w:rPr/>
        <w:t>。</w:t>
      </w:r>
    </w:p>
    <w:p>
      <w:pPr>
        <w:pStyle w:val="BodyText"/>
        <w:spacing w:before="6"/>
        <w:ind w:left="0"/>
        <w:rPr>
          <w:sz w:val="15"/>
        </w:rPr>
      </w:pPr>
    </w:p>
    <w:p>
      <w:pPr>
        <w:pStyle w:val="BodyText"/>
      </w:pPr>
      <w:r>
        <w:rPr/>
        <w:t>基金管理人可根据市场情况调整和更新相关投资策略，并在招募说明书更新中公告。</w:t>
      </w:r>
    </w:p>
    <w:p>
      <w:pPr>
        <w:pStyle w:val="BodyText"/>
        <w:spacing w:before="7"/>
        <w:ind w:left="0"/>
        <w:rPr>
          <w:sz w:val="15"/>
        </w:rPr>
      </w:pPr>
    </w:p>
    <w:p>
      <w:pPr>
        <w:pStyle w:val="BodyText"/>
      </w:pPr>
      <w:r>
        <w:rPr/>
        <w:t>（五）投资程序</w:t>
      </w:r>
    </w:p>
    <w:p>
      <w:pPr>
        <w:pStyle w:val="BodyText"/>
        <w:spacing w:before="7"/>
        <w:ind w:left="0"/>
        <w:rPr>
          <w:sz w:val="15"/>
        </w:rPr>
      </w:pPr>
    </w:p>
    <w:p>
      <w:pPr>
        <w:pStyle w:val="BodyText"/>
      </w:pPr>
      <w:r>
        <w:rPr/>
        <w:t>研究、决策、组合构建、交易、评估、组合再平衡的有机配合共同构成了基金的投资</w:t>
      </w:r>
    </w:p>
    <w:p>
      <w:pPr>
        <w:spacing w:after="0"/>
        <w:sectPr>
          <w:pgSz w:w="11910" w:h="16840"/>
          <w:pgMar w:header="705" w:footer="683" w:top="1420" w:bottom="880" w:left="1580" w:right="920"/>
        </w:sectPr>
      </w:pPr>
    </w:p>
    <w:p>
      <w:pPr>
        <w:pStyle w:val="BodyText"/>
        <w:spacing w:before="110"/>
        <w:ind w:left="220"/>
      </w:pPr>
      <w:r>
        <w:rPr/>
        <w:t>管理程序。严格的投资管理程序可以保证投资理念的正确执行，避免重大风险的发生。</w:t>
      </w:r>
    </w:p>
    <w:p>
      <w:pPr>
        <w:pStyle w:val="BodyText"/>
        <w:spacing w:before="6"/>
        <w:ind w:left="0"/>
        <w:rPr>
          <w:sz w:val="15"/>
        </w:rPr>
      </w:pPr>
    </w:p>
    <w:p>
      <w:pPr>
        <w:pStyle w:val="BodyText"/>
        <w:spacing w:line="417" w:lineRule="auto"/>
        <w:ind w:left="220" w:right="986" w:firstLine="419"/>
        <w:jc w:val="both"/>
      </w:pPr>
      <w:r>
        <w:rPr>
          <w:rFonts w:ascii="Times New Roman" w:eastAsia="Times New Roman"/>
        </w:rPr>
        <w:t>1</w:t>
      </w:r>
      <w:r>
        <w:rPr>
          <w:spacing w:val="-12"/>
        </w:rPr>
        <w:t>、研究：基金经理小组、研究人员依托公司整体研究平台，整合外部信息以及券商等</w:t>
      </w:r>
      <w:r>
        <w:rPr>
          <w:spacing w:val="-9"/>
        </w:rPr>
        <w:t>外部研究力量的研究成果开展指数跟踪、目标 </w:t>
      </w:r>
      <w:r>
        <w:rPr>
          <w:rFonts w:ascii="Times New Roman" w:eastAsia="Times New Roman"/>
        </w:rPr>
        <w:t>ETF </w:t>
      </w:r>
      <w:r>
        <w:rPr>
          <w:spacing w:val="-7"/>
        </w:rPr>
        <w:t>业绩分析、联接基金套利分析、流动性</w:t>
      </w:r>
      <w:r>
        <w:rPr>
          <w:spacing w:val="-5"/>
        </w:rPr>
        <w:t>分析、申购赎回资金流分析等工作，撰写研究报告，作为基金投资决策的重要依据。</w:t>
      </w:r>
    </w:p>
    <w:p>
      <w:pPr>
        <w:pStyle w:val="BodyText"/>
        <w:spacing w:line="417" w:lineRule="auto"/>
        <w:ind w:left="220" w:right="986" w:firstLine="419"/>
      </w:pPr>
      <w:r>
        <w:rPr>
          <w:rFonts w:ascii="Times New Roman" w:eastAsia="Times New Roman"/>
        </w:rPr>
        <w:t>2</w:t>
      </w:r>
      <w:r>
        <w:rPr>
          <w:spacing w:val="-11"/>
        </w:rPr>
        <w:t>、投资决策：投资决策委员会依据研究报告，定期或不定期召开投资决策会议，决策</w:t>
      </w:r>
      <w:r>
        <w:rPr>
          <w:spacing w:val="-6"/>
        </w:rPr>
        <w:t>相关事项。</w:t>
      </w:r>
    </w:p>
    <w:p>
      <w:pPr>
        <w:pStyle w:val="BodyText"/>
        <w:spacing w:line="417" w:lineRule="auto"/>
        <w:ind w:left="220" w:right="989" w:firstLine="419"/>
      </w:pPr>
      <w:r>
        <w:rPr>
          <w:rFonts w:ascii="Times New Roman" w:eastAsia="Times New Roman"/>
        </w:rPr>
        <w:t>3</w:t>
      </w:r>
      <w:r>
        <w:rPr>
          <w:spacing w:val="-12"/>
        </w:rPr>
        <w:t>、组合构建：根据标的指数，结合研究报告，基金经理小组以合理方法构建组合。在</w:t>
      </w:r>
      <w:r>
        <w:rPr>
          <w:spacing w:val="-6"/>
        </w:rPr>
        <w:t>追求跟踪误差和偏离度最小化的前提下，降低买入成本、控制投资风险。</w:t>
      </w:r>
    </w:p>
    <w:p>
      <w:pPr>
        <w:pStyle w:val="BodyText"/>
      </w:pPr>
      <w:r>
        <w:rPr>
          <w:rFonts w:ascii="Times New Roman" w:eastAsia="Times New Roman"/>
        </w:rPr>
        <w:t>4</w:t>
      </w:r>
      <w:r>
        <w:rPr/>
        <w:t>、交易执行：交易管理部负责具体执行交易，同时履行一线监控的职责。</w:t>
      </w:r>
    </w:p>
    <w:p>
      <w:pPr>
        <w:pStyle w:val="BodyText"/>
        <w:spacing w:before="6"/>
        <w:ind w:left="0"/>
        <w:rPr>
          <w:sz w:val="15"/>
        </w:rPr>
      </w:pPr>
    </w:p>
    <w:p>
      <w:pPr>
        <w:pStyle w:val="BodyText"/>
        <w:spacing w:line="417" w:lineRule="auto" w:before="1"/>
        <w:ind w:left="220" w:right="986" w:firstLine="419"/>
        <w:jc w:val="both"/>
      </w:pPr>
      <w:r>
        <w:rPr>
          <w:rFonts w:ascii="Times New Roman" w:eastAsia="Times New Roman"/>
        </w:rPr>
        <w:t>5</w:t>
      </w:r>
      <w:r>
        <w:rPr>
          <w:spacing w:val="-12"/>
        </w:rPr>
        <w:t>、投资绩效评估：风险管理部定期和不定期对基金进行投资绩效评估，并提供相关报</w:t>
      </w:r>
      <w:r>
        <w:rPr>
          <w:spacing w:val="-6"/>
        </w:rPr>
        <w:t>告。绩效评估能够确认组合是否实现了投资预期、组合误差的来源及投资策略成功与否， </w:t>
      </w:r>
      <w:r>
        <w:rPr>
          <w:spacing w:val="-4"/>
        </w:rPr>
        <w:t>基金经理小组可以据此检讨投资策略，进而调整投资组合。</w:t>
      </w:r>
    </w:p>
    <w:p>
      <w:pPr>
        <w:pStyle w:val="BodyText"/>
        <w:spacing w:line="417" w:lineRule="auto"/>
        <w:ind w:left="220" w:right="986" w:firstLine="419"/>
        <w:jc w:val="both"/>
      </w:pPr>
      <w:r>
        <w:rPr>
          <w:rFonts w:ascii="Times New Roman" w:eastAsia="Times New Roman"/>
        </w:rPr>
        <w:t>6</w:t>
      </w:r>
      <w:r>
        <w:rPr/>
        <w:t>、组合再平衡：基金经理小组将跟踪标的指数变动，结合目标 </w:t>
      </w:r>
      <w:r>
        <w:rPr>
          <w:rFonts w:ascii="Times New Roman" w:eastAsia="Times New Roman"/>
        </w:rPr>
        <w:t>ETF </w:t>
      </w:r>
      <w:r>
        <w:rPr/>
        <w:t>业绩情况、流动性状况、基金申购和赎回的现金流量情况以及组合投资绩效评估的结果，对投资组合进行监控和调整，密切跟踪标的指数。</w:t>
      </w:r>
    </w:p>
    <w:p>
      <w:pPr>
        <w:pStyle w:val="BodyText"/>
        <w:spacing w:line="417" w:lineRule="auto"/>
        <w:ind w:left="220" w:right="986" w:firstLine="419"/>
      </w:pPr>
      <w:r>
        <w:rPr/>
        <w:t>基金管理人可以根据环境变化和实际需要对上述投资管理程序做出调整，并在基金招募说明书更新中公告。</w:t>
      </w:r>
    </w:p>
    <w:p>
      <w:pPr>
        <w:pStyle w:val="BodyText"/>
        <w:spacing w:line="269" w:lineRule="exact"/>
      </w:pPr>
      <w:r>
        <w:rPr/>
        <w:t>（六）业绩比较基准</w:t>
      </w:r>
    </w:p>
    <w:p>
      <w:pPr>
        <w:pStyle w:val="BodyText"/>
        <w:spacing w:before="6"/>
        <w:ind w:left="0"/>
        <w:rPr>
          <w:sz w:val="15"/>
        </w:rPr>
      </w:pPr>
    </w:p>
    <w:p>
      <w:pPr>
        <w:pStyle w:val="BodyText"/>
        <w:spacing w:line="417" w:lineRule="auto"/>
        <w:ind w:left="220" w:right="986" w:firstLine="419"/>
        <w:jc w:val="both"/>
      </w:pPr>
      <w:r>
        <w:rPr>
          <w:spacing w:val="-10"/>
        </w:rPr>
        <w:t>本基金的业绩比较基准为：经人民币汇率调整的标的指数收益率</w:t>
      </w:r>
      <w:r>
        <w:rPr>
          <w:rFonts w:ascii="Times New Roman" w:hAnsi="Times New Roman" w:eastAsia="Times New Roman"/>
          <w:spacing w:val="-7"/>
        </w:rPr>
        <w:t>×95% </w:t>
      </w:r>
      <w:r>
        <w:rPr>
          <w:spacing w:val="-3"/>
        </w:rPr>
        <w:t>＋人民币活期存款税后利率</w:t>
      </w:r>
      <w:r>
        <w:rPr>
          <w:rFonts w:ascii="Times New Roman" w:hAnsi="Times New Roman" w:eastAsia="Times New Roman"/>
          <w:spacing w:val="-9"/>
        </w:rPr>
        <w:t>×5</w:t>
      </w:r>
      <w:r>
        <w:rPr>
          <w:rFonts w:ascii="Times New Roman" w:hAnsi="Times New Roman" w:eastAsia="Times New Roman"/>
          <w:spacing w:val="-4"/>
        </w:rPr>
        <w:t>% </w:t>
      </w:r>
      <w:r>
        <w:rPr/>
        <w:t>。其中，经人民币汇率调整的标的指数为人民币</w:t>
      </w:r>
      <w:r>
        <w:rPr>
          <w:rFonts w:ascii="Times New Roman" w:hAnsi="Times New Roman" w:eastAsia="Times New Roman"/>
        </w:rPr>
        <w:t>/</w:t>
      </w:r>
      <w:r>
        <w:rPr/>
        <w:t>港币汇率</w:t>
      </w:r>
      <w:r>
        <w:rPr>
          <w:rFonts w:ascii="Times New Roman" w:hAnsi="Times New Roman" w:eastAsia="Times New Roman"/>
        </w:rPr>
        <w:t>×</w:t>
      </w:r>
      <w:r>
        <w:rPr/>
        <w:t>恒生指数，人</w:t>
      </w:r>
      <w:r>
        <w:rPr>
          <w:spacing w:val="-3"/>
        </w:rPr>
        <w:t>民币活期存款利率是指中国人民银行公布的金融机构人民币活期存款基准利率。</w:t>
      </w:r>
    </w:p>
    <w:p>
      <w:pPr>
        <w:pStyle w:val="BodyText"/>
        <w:spacing w:line="417" w:lineRule="auto"/>
        <w:ind w:left="220" w:right="986" w:firstLine="419"/>
      </w:pPr>
      <w:r>
        <w:rPr/>
        <w:t>本基金标的指数变更的，业绩比较基准将随之变更。基金管理人可根据投资情况和市场惯例调整基金业绩比较基准的组成和权重，不需另行召开持有人大会。</w:t>
      </w:r>
    </w:p>
    <w:p>
      <w:pPr>
        <w:pStyle w:val="BodyText"/>
        <w:spacing w:line="269" w:lineRule="exact"/>
      </w:pPr>
      <w:r>
        <w:rPr/>
        <w:t>（七）风险收益特征</w:t>
      </w:r>
    </w:p>
    <w:p>
      <w:pPr>
        <w:pStyle w:val="BodyText"/>
        <w:spacing w:before="6"/>
        <w:ind w:left="0"/>
        <w:rPr>
          <w:sz w:val="15"/>
        </w:rPr>
      </w:pPr>
    </w:p>
    <w:p>
      <w:pPr>
        <w:pStyle w:val="BodyText"/>
        <w:spacing w:line="417" w:lineRule="auto" w:before="1"/>
        <w:ind w:left="220" w:right="986" w:firstLine="419"/>
      </w:pPr>
      <w:r>
        <w:rPr/>
        <w:t>本基金为恒生 </w:t>
      </w:r>
      <w:r>
        <w:rPr>
          <w:rFonts w:ascii="Times New Roman" w:eastAsia="Times New Roman"/>
        </w:rPr>
        <w:t>ETF </w:t>
      </w:r>
      <w:r>
        <w:rPr/>
        <w:t>的联接基金，恒生 </w:t>
      </w:r>
      <w:r>
        <w:rPr>
          <w:rFonts w:ascii="Times New Roman" w:eastAsia="Times New Roman"/>
        </w:rPr>
        <w:t>ETF </w:t>
      </w:r>
      <w:r>
        <w:rPr/>
        <w:t>为股票型指数基金，因此本基金的风险与收益高于混合基金、债券基金与货币市场基金。</w:t>
      </w:r>
    </w:p>
    <w:p>
      <w:pPr>
        <w:pStyle w:val="BodyText"/>
        <w:spacing w:line="269" w:lineRule="exact"/>
      </w:pPr>
      <w:r>
        <w:rPr/>
        <w:t>（八）投资限制和禁止行为</w:t>
      </w:r>
    </w:p>
    <w:p>
      <w:pPr>
        <w:pStyle w:val="BodyText"/>
        <w:spacing w:before="6"/>
        <w:ind w:left="0"/>
        <w:rPr>
          <w:sz w:val="15"/>
        </w:rPr>
      </w:pPr>
    </w:p>
    <w:p>
      <w:pPr>
        <w:pStyle w:val="BodyText"/>
      </w:pPr>
      <w:r>
        <w:rPr>
          <w:rFonts w:ascii="Times New Roman" w:eastAsia="Times New Roman"/>
        </w:rPr>
        <w:t>1</w:t>
      </w:r>
      <w:r>
        <w:rPr/>
        <w:t>、投资限制</w:t>
      </w:r>
    </w:p>
    <w:p>
      <w:pPr>
        <w:pStyle w:val="BodyText"/>
        <w:spacing w:before="7"/>
        <w:ind w:left="0"/>
        <w:rPr>
          <w:sz w:val="15"/>
        </w:rPr>
      </w:pPr>
    </w:p>
    <w:p>
      <w:pPr>
        <w:pStyle w:val="ListParagraph"/>
        <w:numPr>
          <w:ilvl w:val="1"/>
          <w:numId w:val="2"/>
        </w:numPr>
        <w:tabs>
          <w:tab w:pos="1170" w:val="left" w:leader="none"/>
        </w:tabs>
        <w:spacing w:line="417" w:lineRule="auto" w:before="1" w:after="0"/>
        <w:ind w:left="220" w:right="986" w:firstLine="419"/>
        <w:jc w:val="left"/>
        <w:rPr>
          <w:sz w:val="21"/>
        </w:rPr>
      </w:pPr>
      <w:r>
        <w:rPr>
          <w:spacing w:val="-1"/>
          <w:sz w:val="21"/>
        </w:rPr>
        <w:t>本基金持有同一家银行的存款不得超过基金资产净值的 </w:t>
      </w:r>
      <w:r>
        <w:rPr>
          <w:rFonts w:ascii="Times New Roman" w:eastAsia="Times New Roman"/>
          <w:sz w:val="21"/>
        </w:rPr>
        <w:t>20%</w:t>
      </w:r>
      <w:r>
        <w:rPr>
          <w:spacing w:val="-1"/>
          <w:sz w:val="21"/>
        </w:rPr>
        <w:t>，其中银行应当是</w:t>
      </w:r>
      <w:r>
        <w:rPr>
          <w:spacing w:val="-3"/>
          <w:sz w:val="21"/>
        </w:rPr>
        <w:t>中资商业银行在境外设立的分行或在最近一个会计年度达到中国证监会认可的信用评级机</w:t>
      </w:r>
    </w:p>
    <w:p>
      <w:pPr>
        <w:spacing w:after="0" w:line="417" w:lineRule="auto"/>
        <w:jc w:val="left"/>
        <w:rPr>
          <w:sz w:val="21"/>
        </w:rPr>
        <w:sectPr>
          <w:pgSz w:w="11910" w:h="16840"/>
          <w:pgMar w:header="705" w:footer="683" w:top="1420" w:bottom="880" w:left="1580" w:right="920"/>
        </w:sectPr>
      </w:pPr>
    </w:p>
    <w:p>
      <w:pPr>
        <w:pStyle w:val="BodyText"/>
        <w:spacing w:before="110"/>
        <w:ind w:left="220"/>
      </w:pPr>
      <w:r>
        <w:rPr/>
        <w:t>构评级的境外银行，但在基金托管账户的存款不受此限制。</w:t>
      </w:r>
    </w:p>
    <w:p>
      <w:pPr>
        <w:pStyle w:val="BodyText"/>
        <w:spacing w:before="6"/>
        <w:ind w:left="0"/>
        <w:rPr>
          <w:sz w:val="15"/>
        </w:rPr>
      </w:pPr>
    </w:p>
    <w:p>
      <w:pPr>
        <w:pStyle w:val="ListParagraph"/>
        <w:numPr>
          <w:ilvl w:val="1"/>
          <w:numId w:val="2"/>
        </w:numPr>
        <w:tabs>
          <w:tab w:pos="1170" w:val="left" w:leader="none"/>
        </w:tabs>
        <w:spacing w:line="417" w:lineRule="auto" w:before="0" w:after="0"/>
        <w:ind w:left="220" w:right="991" w:firstLine="419"/>
        <w:jc w:val="left"/>
        <w:rPr>
          <w:sz w:val="21"/>
        </w:rPr>
      </w:pPr>
      <w:r>
        <w:rPr>
          <w:spacing w:val="-1"/>
          <w:sz w:val="21"/>
        </w:rPr>
        <w:t>本基金持有非流动性资产市值不得超过基金资产净值的 </w:t>
      </w:r>
      <w:r>
        <w:rPr>
          <w:rFonts w:ascii="Times New Roman" w:eastAsia="Times New Roman"/>
          <w:sz w:val="21"/>
        </w:rPr>
        <w:t>10%</w:t>
      </w:r>
      <w:r>
        <w:rPr>
          <w:spacing w:val="-3"/>
          <w:sz w:val="21"/>
        </w:rPr>
        <w:t>。其中，非流动性资产是指法律或基金合同规定的流通受限证券以及中国证监会认定的其他资产。</w:t>
      </w:r>
    </w:p>
    <w:p>
      <w:pPr>
        <w:pStyle w:val="ListParagraph"/>
        <w:numPr>
          <w:ilvl w:val="1"/>
          <w:numId w:val="2"/>
        </w:numPr>
        <w:tabs>
          <w:tab w:pos="1170" w:val="left" w:leader="none"/>
        </w:tabs>
        <w:spacing w:line="269" w:lineRule="exact" w:before="0" w:after="0"/>
        <w:ind w:left="1169" w:right="0" w:hanging="530"/>
        <w:jc w:val="left"/>
        <w:rPr>
          <w:sz w:val="21"/>
        </w:rPr>
      </w:pPr>
      <w:r>
        <w:rPr>
          <w:spacing w:val="-5"/>
          <w:sz w:val="21"/>
        </w:rPr>
        <w:t>本基金的金融衍生品全部敞口不得高于基金资产净值的 </w:t>
      </w:r>
      <w:r>
        <w:rPr>
          <w:rFonts w:ascii="Times New Roman" w:eastAsia="Times New Roman"/>
          <w:sz w:val="21"/>
        </w:rPr>
        <w:t>100%</w:t>
      </w:r>
      <w:r>
        <w:rPr>
          <w:sz w:val="21"/>
        </w:rPr>
        <w:t>。</w:t>
      </w:r>
    </w:p>
    <w:p>
      <w:pPr>
        <w:pStyle w:val="BodyText"/>
        <w:spacing w:before="7"/>
        <w:ind w:left="0"/>
        <w:rPr>
          <w:sz w:val="15"/>
        </w:rPr>
      </w:pPr>
    </w:p>
    <w:p>
      <w:pPr>
        <w:pStyle w:val="ListParagraph"/>
        <w:numPr>
          <w:ilvl w:val="1"/>
          <w:numId w:val="2"/>
        </w:numPr>
        <w:tabs>
          <w:tab w:pos="1167" w:val="left" w:leader="none"/>
        </w:tabs>
        <w:spacing w:line="417" w:lineRule="auto" w:before="0" w:after="0"/>
        <w:ind w:left="220" w:right="988" w:firstLine="419"/>
        <w:jc w:val="left"/>
        <w:rPr>
          <w:sz w:val="21"/>
        </w:rPr>
      </w:pPr>
      <w:r>
        <w:rPr>
          <w:spacing w:val="-7"/>
          <w:sz w:val="21"/>
        </w:rPr>
        <w:t>本基金投资期货支付的初始保证金、投资期权支付或收取的期权费、投资柜台 </w:t>
      </w:r>
      <w:r>
        <w:rPr>
          <w:spacing w:val="-5"/>
          <w:sz w:val="21"/>
        </w:rPr>
        <w:t>交易衍生品支付的初始费用的总额不得高于基金资产净值的 </w:t>
      </w:r>
      <w:r>
        <w:rPr>
          <w:rFonts w:ascii="Times New Roman" w:eastAsia="Times New Roman"/>
          <w:sz w:val="21"/>
        </w:rPr>
        <w:t>10%</w:t>
      </w:r>
      <w:r>
        <w:rPr>
          <w:sz w:val="21"/>
        </w:rPr>
        <w:t>。</w:t>
      </w:r>
    </w:p>
    <w:p>
      <w:pPr>
        <w:pStyle w:val="ListParagraph"/>
        <w:numPr>
          <w:ilvl w:val="1"/>
          <w:numId w:val="2"/>
        </w:numPr>
        <w:tabs>
          <w:tab w:pos="1176" w:val="left" w:leader="none"/>
        </w:tabs>
        <w:spacing w:line="269" w:lineRule="exact" w:before="0" w:after="0"/>
        <w:ind w:left="1175" w:right="0" w:hanging="536"/>
        <w:jc w:val="left"/>
        <w:rPr>
          <w:sz w:val="21"/>
        </w:rPr>
      </w:pPr>
      <w:r>
        <w:rPr>
          <w:sz w:val="21"/>
        </w:rPr>
        <w:t>为应付赎回、交易清算等临时用途，借入现金的比例不得超过基金资产净值的</w:t>
      </w:r>
    </w:p>
    <w:p>
      <w:pPr>
        <w:pStyle w:val="BodyText"/>
        <w:spacing w:before="7"/>
        <w:ind w:left="0"/>
        <w:rPr>
          <w:sz w:val="15"/>
        </w:rPr>
      </w:pPr>
    </w:p>
    <w:p>
      <w:pPr>
        <w:pStyle w:val="BodyText"/>
        <w:spacing w:before="1"/>
        <w:ind w:left="220"/>
      </w:pPr>
      <w:r>
        <w:rPr>
          <w:rFonts w:ascii="Times New Roman" w:eastAsia="Times New Roman"/>
        </w:rPr>
        <w:t>10%</w:t>
      </w:r>
      <w:r>
        <w:rPr/>
        <w:t>。</w:t>
      </w:r>
    </w:p>
    <w:p>
      <w:pPr>
        <w:pStyle w:val="BodyText"/>
        <w:spacing w:before="6"/>
        <w:ind w:left="0"/>
        <w:rPr>
          <w:sz w:val="15"/>
        </w:rPr>
      </w:pPr>
    </w:p>
    <w:p>
      <w:pPr>
        <w:pStyle w:val="ListParagraph"/>
        <w:numPr>
          <w:ilvl w:val="1"/>
          <w:numId w:val="2"/>
        </w:numPr>
        <w:tabs>
          <w:tab w:pos="1170" w:val="left" w:leader="none"/>
        </w:tabs>
        <w:spacing w:line="240" w:lineRule="auto" w:before="0" w:after="0"/>
        <w:ind w:left="1169" w:right="0" w:hanging="530"/>
        <w:jc w:val="left"/>
        <w:rPr>
          <w:sz w:val="21"/>
        </w:rPr>
      </w:pPr>
      <w:r>
        <w:rPr>
          <w:spacing w:val="-3"/>
          <w:sz w:val="21"/>
        </w:rPr>
        <w:t>法律法规和基金合同规定的其他限制。</w:t>
      </w:r>
    </w:p>
    <w:p>
      <w:pPr>
        <w:pStyle w:val="BodyText"/>
        <w:spacing w:before="7"/>
        <w:ind w:left="0"/>
        <w:rPr>
          <w:sz w:val="15"/>
        </w:rPr>
      </w:pPr>
    </w:p>
    <w:p>
      <w:pPr>
        <w:pStyle w:val="BodyText"/>
      </w:pPr>
      <w:r>
        <w:rPr>
          <w:rFonts w:ascii="Times New Roman" w:eastAsia="Times New Roman"/>
        </w:rPr>
        <w:t>2</w:t>
      </w:r>
      <w:r>
        <w:rPr/>
        <w:t>、禁止行为</w:t>
      </w:r>
    </w:p>
    <w:p>
      <w:pPr>
        <w:pStyle w:val="BodyText"/>
        <w:spacing w:before="7"/>
        <w:ind w:left="0"/>
        <w:rPr>
          <w:sz w:val="15"/>
        </w:rPr>
      </w:pPr>
    </w:p>
    <w:p>
      <w:pPr>
        <w:pStyle w:val="BodyText"/>
      </w:pPr>
      <w:r>
        <w:rPr/>
        <w:t>为维护基金份额持有人的合法权益，基金财产不得用于下列投资或者活动：</w:t>
      </w:r>
    </w:p>
    <w:p>
      <w:pPr>
        <w:pStyle w:val="BodyText"/>
        <w:spacing w:before="6"/>
        <w:ind w:left="0"/>
        <w:rPr>
          <w:sz w:val="15"/>
        </w:rPr>
      </w:pPr>
    </w:p>
    <w:p>
      <w:pPr>
        <w:pStyle w:val="ListParagraph"/>
        <w:numPr>
          <w:ilvl w:val="0"/>
          <w:numId w:val="3"/>
        </w:numPr>
        <w:tabs>
          <w:tab w:pos="1170" w:val="left" w:leader="none"/>
        </w:tabs>
        <w:spacing w:line="240" w:lineRule="auto" w:before="1" w:after="0"/>
        <w:ind w:left="1169" w:right="0" w:hanging="530"/>
        <w:jc w:val="left"/>
        <w:rPr>
          <w:sz w:val="21"/>
        </w:rPr>
      </w:pPr>
      <w:r>
        <w:rPr>
          <w:spacing w:val="-3"/>
          <w:sz w:val="21"/>
        </w:rPr>
        <w:t>购买不动产。</w:t>
      </w:r>
    </w:p>
    <w:p>
      <w:pPr>
        <w:pStyle w:val="BodyText"/>
        <w:spacing w:before="6"/>
        <w:ind w:left="0"/>
        <w:rPr>
          <w:sz w:val="15"/>
        </w:rPr>
      </w:pPr>
    </w:p>
    <w:p>
      <w:pPr>
        <w:pStyle w:val="ListParagraph"/>
        <w:numPr>
          <w:ilvl w:val="0"/>
          <w:numId w:val="3"/>
        </w:numPr>
        <w:tabs>
          <w:tab w:pos="1170" w:val="left" w:leader="none"/>
        </w:tabs>
        <w:spacing w:line="240" w:lineRule="auto" w:before="0" w:after="0"/>
        <w:ind w:left="1169" w:right="0" w:hanging="530"/>
        <w:jc w:val="left"/>
        <w:rPr>
          <w:sz w:val="21"/>
        </w:rPr>
      </w:pPr>
      <w:r>
        <w:rPr>
          <w:spacing w:val="-3"/>
          <w:sz w:val="21"/>
        </w:rPr>
        <w:t>购买房地产抵押按揭。</w:t>
      </w:r>
    </w:p>
    <w:p>
      <w:pPr>
        <w:pStyle w:val="BodyText"/>
        <w:spacing w:before="7"/>
        <w:ind w:left="0"/>
        <w:rPr>
          <w:sz w:val="15"/>
        </w:rPr>
      </w:pPr>
    </w:p>
    <w:p>
      <w:pPr>
        <w:pStyle w:val="ListParagraph"/>
        <w:numPr>
          <w:ilvl w:val="0"/>
          <w:numId w:val="3"/>
        </w:numPr>
        <w:tabs>
          <w:tab w:pos="1170" w:val="left" w:leader="none"/>
        </w:tabs>
        <w:spacing w:line="240" w:lineRule="auto" w:before="0" w:after="0"/>
        <w:ind w:left="1169" w:right="0" w:hanging="530"/>
        <w:jc w:val="left"/>
        <w:rPr>
          <w:sz w:val="21"/>
        </w:rPr>
      </w:pPr>
      <w:r>
        <w:rPr>
          <w:spacing w:val="-3"/>
          <w:sz w:val="21"/>
        </w:rPr>
        <w:t>购买贵重金属或代表贵重金属的凭证。</w:t>
      </w:r>
    </w:p>
    <w:p>
      <w:pPr>
        <w:pStyle w:val="BodyText"/>
        <w:spacing w:before="7"/>
        <w:ind w:left="0"/>
        <w:rPr>
          <w:sz w:val="15"/>
        </w:rPr>
      </w:pPr>
    </w:p>
    <w:p>
      <w:pPr>
        <w:pStyle w:val="ListParagraph"/>
        <w:numPr>
          <w:ilvl w:val="0"/>
          <w:numId w:val="3"/>
        </w:numPr>
        <w:tabs>
          <w:tab w:pos="1170" w:val="left" w:leader="none"/>
        </w:tabs>
        <w:spacing w:line="240" w:lineRule="auto" w:before="0" w:after="0"/>
        <w:ind w:left="1169" w:right="0" w:hanging="530"/>
        <w:jc w:val="left"/>
        <w:rPr>
          <w:sz w:val="21"/>
        </w:rPr>
      </w:pPr>
      <w:r>
        <w:rPr>
          <w:spacing w:val="-3"/>
          <w:sz w:val="21"/>
        </w:rPr>
        <w:t>购买实物商品。</w:t>
      </w:r>
    </w:p>
    <w:p>
      <w:pPr>
        <w:pStyle w:val="BodyText"/>
        <w:spacing w:before="7"/>
        <w:ind w:left="0"/>
        <w:rPr>
          <w:sz w:val="15"/>
        </w:rPr>
      </w:pPr>
    </w:p>
    <w:p>
      <w:pPr>
        <w:pStyle w:val="ListParagraph"/>
        <w:numPr>
          <w:ilvl w:val="0"/>
          <w:numId w:val="3"/>
        </w:numPr>
        <w:tabs>
          <w:tab w:pos="1170" w:val="left" w:leader="none"/>
        </w:tabs>
        <w:spacing w:line="417" w:lineRule="auto" w:before="0" w:after="0"/>
        <w:ind w:left="220" w:right="986" w:firstLine="419"/>
        <w:jc w:val="left"/>
        <w:rPr>
          <w:sz w:val="21"/>
        </w:rPr>
      </w:pPr>
      <w:r>
        <w:rPr>
          <w:spacing w:val="-10"/>
          <w:sz w:val="21"/>
        </w:rPr>
        <w:t>除应付赎回、交易清算等临时用途以外，借入现金；该临时用途借入现金的比 </w:t>
      </w:r>
      <w:r>
        <w:rPr>
          <w:spacing w:val="-7"/>
          <w:sz w:val="21"/>
        </w:rPr>
        <w:t>例不得超过本基金资产净值的 </w:t>
      </w:r>
      <w:r>
        <w:rPr>
          <w:rFonts w:ascii="Times New Roman" w:eastAsia="Times New Roman"/>
          <w:sz w:val="21"/>
        </w:rPr>
        <w:t>10%</w:t>
      </w:r>
      <w:r>
        <w:rPr>
          <w:sz w:val="21"/>
        </w:rPr>
        <w:t>。</w:t>
      </w:r>
    </w:p>
    <w:p>
      <w:pPr>
        <w:pStyle w:val="ListParagraph"/>
        <w:numPr>
          <w:ilvl w:val="0"/>
          <w:numId w:val="3"/>
        </w:numPr>
        <w:tabs>
          <w:tab w:pos="1170" w:val="left" w:leader="none"/>
        </w:tabs>
        <w:spacing w:line="269" w:lineRule="exact" w:before="0" w:after="0"/>
        <w:ind w:left="1169" w:right="0" w:hanging="530"/>
        <w:jc w:val="left"/>
        <w:rPr>
          <w:sz w:val="21"/>
        </w:rPr>
      </w:pPr>
      <w:r>
        <w:rPr>
          <w:spacing w:val="-3"/>
          <w:sz w:val="21"/>
        </w:rPr>
        <w:t>利用融资购买证券，但投资金融衍生品除外。</w:t>
      </w:r>
    </w:p>
    <w:p>
      <w:pPr>
        <w:pStyle w:val="BodyText"/>
        <w:spacing w:before="7"/>
        <w:ind w:left="0"/>
        <w:rPr>
          <w:sz w:val="15"/>
        </w:rPr>
      </w:pPr>
    </w:p>
    <w:p>
      <w:pPr>
        <w:pStyle w:val="ListParagraph"/>
        <w:numPr>
          <w:ilvl w:val="0"/>
          <w:numId w:val="3"/>
        </w:numPr>
        <w:tabs>
          <w:tab w:pos="1170" w:val="left" w:leader="none"/>
        </w:tabs>
        <w:spacing w:line="240" w:lineRule="auto" w:before="0" w:after="0"/>
        <w:ind w:left="1169" w:right="0" w:hanging="530"/>
        <w:jc w:val="left"/>
        <w:rPr>
          <w:sz w:val="21"/>
        </w:rPr>
      </w:pPr>
      <w:r>
        <w:rPr>
          <w:spacing w:val="-3"/>
          <w:sz w:val="21"/>
        </w:rPr>
        <w:t>参与未持有基础资产的卖空交易。</w:t>
      </w:r>
    </w:p>
    <w:p>
      <w:pPr>
        <w:pStyle w:val="BodyText"/>
        <w:spacing w:before="6"/>
        <w:ind w:left="0"/>
        <w:rPr>
          <w:sz w:val="15"/>
        </w:rPr>
      </w:pPr>
    </w:p>
    <w:p>
      <w:pPr>
        <w:pStyle w:val="ListParagraph"/>
        <w:numPr>
          <w:ilvl w:val="0"/>
          <w:numId w:val="3"/>
        </w:numPr>
        <w:tabs>
          <w:tab w:pos="1170" w:val="left" w:leader="none"/>
        </w:tabs>
        <w:spacing w:line="240" w:lineRule="auto" w:before="0" w:after="0"/>
        <w:ind w:left="1169" w:right="0" w:hanging="530"/>
        <w:jc w:val="left"/>
        <w:rPr>
          <w:sz w:val="21"/>
        </w:rPr>
      </w:pPr>
      <w:r>
        <w:rPr>
          <w:spacing w:val="-3"/>
          <w:sz w:val="21"/>
        </w:rPr>
        <w:t>从事证券承销业务。</w:t>
      </w:r>
    </w:p>
    <w:p>
      <w:pPr>
        <w:pStyle w:val="BodyText"/>
        <w:spacing w:before="7"/>
        <w:ind w:left="0"/>
        <w:rPr>
          <w:sz w:val="15"/>
        </w:rPr>
      </w:pPr>
    </w:p>
    <w:p>
      <w:pPr>
        <w:pStyle w:val="ListParagraph"/>
        <w:numPr>
          <w:ilvl w:val="0"/>
          <w:numId w:val="3"/>
        </w:numPr>
        <w:tabs>
          <w:tab w:pos="1170" w:val="left" w:leader="none"/>
        </w:tabs>
        <w:spacing w:line="240" w:lineRule="auto" w:before="0" w:after="0"/>
        <w:ind w:left="1169" w:right="0" w:hanging="530"/>
        <w:jc w:val="left"/>
        <w:rPr>
          <w:sz w:val="21"/>
        </w:rPr>
      </w:pPr>
      <w:r>
        <w:rPr>
          <w:spacing w:val="-3"/>
          <w:sz w:val="21"/>
        </w:rPr>
        <w:t>中国证监会禁止的其他行为。</w:t>
      </w:r>
    </w:p>
    <w:p>
      <w:pPr>
        <w:pStyle w:val="BodyText"/>
        <w:spacing w:before="7"/>
        <w:ind w:left="0"/>
        <w:rPr>
          <w:sz w:val="15"/>
        </w:rPr>
      </w:pPr>
    </w:p>
    <w:p>
      <w:pPr>
        <w:pStyle w:val="BodyText"/>
        <w:spacing w:line="417" w:lineRule="auto" w:before="1"/>
        <w:ind w:left="220" w:right="986" w:firstLine="419"/>
        <w:jc w:val="both"/>
      </w:pPr>
      <w:r>
        <w:rPr>
          <w:rFonts w:ascii="Times New Roman" w:eastAsia="Times New Roman"/>
        </w:rPr>
        <w:t>3</w:t>
      </w:r>
      <w:r>
        <w:rPr>
          <w:spacing w:val="-11"/>
        </w:rPr>
        <w:t>、若法律法规或中国证监会的相关规定发生修改或变更，致使现行法律法规的投资禁</w:t>
      </w:r>
      <w:r>
        <w:rPr>
          <w:spacing w:val="-6"/>
        </w:rPr>
        <w:t>止行为和投资组合比例限制被修改或取消，基金管理人在履行适当程序后，本基金可相应</w:t>
      </w:r>
      <w:r>
        <w:rPr>
          <w:spacing w:val="-4"/>
        </w:rPr>
        <w:t>调整禁止行为和投资限制规定。</w:t>
      </w:r>
    </w:p>
    <w:p>
      <w:pPr>
        <w:pStyle w:val="BodyText"/>
        <w:spacing w:line="269" w:lineRule="exact"/>
      </w:pPr>
      <w:r>
        <w:rPr/>
        <w:t>（九）投资组合比例调整</w:t>
      </w:r>
    </w:p>
    <w:p>
      <w:pPr>
        <w:pStyle w:val="BodyText"/>
        <w:spacing w:before="6"/>
        <w:ind w:left="0"/>
        <w:rPr>
          <w:sz w:val="15"/>
        </w:rPr>
      </w:pPr>
    </w:p>
    <w:p>
      <w:pPr>
        <w:pStyle w:val="BodyText"/>
        <w:spacing w:line="417" w:lineRule="auto"/>
        <w:ind w:left="220" w:right="986" w:firstLine="419"/>
        <w:jc w:val="both"/>
      </w:pPr>
      <w:r>
        <w:rPr>
          <w:spacing w:val="-5"/>
        </w:rPr>
        <w:t>基金管理人自基金合同生效之日起 </w:t>
      </w:r>
      <w:r>
        <w:rPr>
          <w:rFonts w:ascii="Times New Roman" w:eastAsia="Times New Roman"/>
        </w:rPr>
        <w:t>6 </w:t>
      </w:r>
      <w:r>
        <w:rPr>
          <w:spacing w:val="-3"/>
        </w:rPr>
        <w:t>个月内使基金的投资组合比例符合基金合同的约定。</w:t>
      </w:r>
    </w:p>
    <w:p>
      <w:pPr>
        <w:pStyle w:val="BodyText"/>
        <w:spacing w:line="417" w:lineRule="auto"/>
        <w:ind w:left="220" w:right="986" w:firstLine="419"/>
        <w:jc w:val="both"/>
      </w:pPr>
      <w:r>
        <w:rPr/>
        <w:t>由于本基金的申购赎回和目标</w:t>
      </w:r>
      <w:r>
        <w:rPr>
          <w:rFonts w:ascii="Times New Roman" w:eastAsia="Times New Roman"/>
        </w:rPr>
        <w:t>ETF </w:t>
      </w:r>
      <w:r>
        <w:rPr/>
        <w:t>的申购赎回存在确认和交收时间上的差异，基金规模变动可能导致基金投资比例在短期内不符合基金合同的约定，此外，因证券市场波动、目标</w:t>
      </w:r>
      <w:r>
        <w:rPr>
          <w:rFonts w:ascii="Times New Roman" w:eastAsia="Times New Roman"/>
        </w:rPr>
        <w:t>ETF </w:t>
      </w:r>
      <w:r>
        <w:rPr/>
        <w:t>申购、赎回、交易被暂停或交收延迟等因素也可能致使基金投资不符合基金合同</w:t>
      </w:r>
    </w:p>
    <w:p>
      <w:pPr>
        <w:spacing w:after="0" w:line="417" w:lineRule="auto"/>
        <w:jc w:val="both"/>
        <w:sectPr>
          <w:pgSz w:w="11910" w:h="16840"/>
          <w:pgMar w:header="705" w:footer="683" w:top="1420" w:bottom="880" w:left="1580" w:right="920"/>
        </w:sectPr>
      </w:pPr>
    </w:p>
    <w:p>
      <w:pPr>
        <w:pStyle w:val="BodyText"/>
        <w:spacing w:line="417" w:lineRule="auto" w:before="110"/>
        <w:ind w:left="220" w:right="986"/>
        <w:jc w:val="both"/>
      </w:pPr>
      <w:r>
        <w:rPr>
          <w:spacing w:val="-10"/>
        </w:rPr>
        <w:t>约定的投资比例规定，对于上述情形，基金管理人应当在 </w:t>
      </w:r>
      <w:r>
        <w:rPr>
          <w:rFonts w:ascii="Times New Roman" w:eastAsia="Times New Roman"/>
        </w:rPr>
        <w:t>10 </w:t>
      </w:r>
      <w:r>
        <w:rPr>
          <w:spacing w:val="-7"/>
        </w:rPr>
        <w:t>个交易日内进行调整。但因目</w:t>
      </w:r>
      <w:r>
        <w:rPr>
          <w:spacing w:val="-20"/>
        </w:rPr>
        <w:t>标 </w:t>
      </w:r>
      <w:r>
        <w:rPr>
          <w:rFonts w:ascii="Times New Roman" w:eastAsia="Times New Roman"/>
        </w:rPr>
        <w:t>ETF </w:t>
      </w:r>
      <w:r>
        <w:rPr>
          <w:spacing w:val="-5"/>
        </w:rPr>
        <w:t>申购、赎回、交易被暂停或交收延迟致使不能在 </w:t>
      </w:r>
      <w:r>
        <w:rPr>
          <w:rFonts w:ascii="Times New Roman" w:eastAsia="Times New Roman"/>
        </w:rPr>
        <w:t>10 </w:t>
      </w:r>
      <w:r>
        <w:rPr>
          <w:spacing w:val="-3"/>
        </w:rPr>
        <w:t>个交易日内完成调整的，基金管理人应当在合理时间内进行调整。法律法规另有规定时，从其规定。</w:t>
      </w:r>
    </w:p>
    <w:p>
      <w:pPr>
        <w:pStyle w:val="BodyText"/>
        <w:spacing w:line="269" w:lineRule="exact"/>
      </w:pPr>
      <w:r>
        <w:rPr/>
        <w:t>（十）基金的融资融券</w:t>
      </w:r>
    </w:p>
    <w:p>
      <w:pPr>
        <w:pStyle w:val="BodyText"/>
        <w:spacing w:before="4"/>
        <w:ind w:left="0"/>
        <w:rPr>
          <w:sz w:val="15"/>
        </w:rPr>
      </w:pPr>
    </w:p>
    <w:p>
      <w:pPr>
        <w:pStyle w:val="BodyText"/>
        <w:spacing w:line="408" w:lineRule="auto"/>
        <w:ind w:left="220" w:right="986" w:firstLine="419"/>
      </w:pPr>
      <w:r>
        <w:rPr/>
        <w:t>本基金可以按照法律法规和监管部门的有关规定进行融资、融券以及参与转融通等相关业务，不需召开持有人大会。</w:t>
      </w:r>
    </w:p>
    <w:p>
      <w:pPr>
        <w:pStyle w:val="BodyText"/>
        <w:spacing w:before="4"/>
      </w:pPr>
      <w:r>
        <w:rPr/>
        <w:t>（十一）代理投票</w:t>
      </w:r>
    </w:p>
    <w:p>
      <w:pPr>
        <w:pStyle w:val="BodyText"/>
        <w:spacing w:before="8"/>
        <w:ind w:left="0"/>
        <w:rPr>
          <w:sz w:val="15"/>
        </w:rPr>
      </w:pPr>
    </w:p>
    <w:p>
      <w:pPr>
        <w:pStyle w:val="BodyText"/>
        <w:spacing w:line="417" w:lineRule="auto"/>
        <w:ind w:left="220" w:right="986" w:firstLine="419"/>
        <w:jc w:val="both"/>
      </w:pPr>
      <w:r>
        <w:rPr>
          <w:spacing w:val="-3"/>
        </w:rPr>
        <w:t>基金管理人应作为基金份额持有人的代理人，行使所投资股票的投票权。基金管理人将本着维护持有人利益的原则，勤勉尽职地代理基金份额持有人行使投票权。在履行代理投票职责过程中，基金管理人可根据操作需要，委托境外资产托管人或其他专业机构提供代理投票的建议、协助完成代理投票的程序等，基金管理人应对代理机构的行为进行必要的监督，并承担相应责任。</w:t>
      </w:r>
    </w:p>
    <w:p>
      <w:pPr>
        <w:pStyle w:val="BodyText"/>
        <w:spacing w:line="268" w:lineRule="exact"/>
      </w:pPr>
      <w:r>
        <w:rPr/>
        <w:t>（</w:t>
      </w:r>
      <w:r>
        <w:rPr>
          <w:spacing w:val="-2"/>
        </w:rPr>
        <w:t>十二</w:t>
      </w:r>
      <w:r>
        <w:rPr/>
        <w:t>）</w:t>
      </w:r>
      <w:r>
        <w:rPr>
          <w:spacing w:val="-3"/>
        </w:rPr>
        <w:t>证券交易管理</w:t>
      </w:r>
    </w:p>
    <w:p>
      <w:pPr>
        <w:pStyle w:val="BodyText"/>
        <w:spacing w:before="6"/>
        <w:ind w:left="0"/>
        <w:rPr>
          <w:sz w:val="15"/>
        </w:rPr>
      </w:pPr>
    </w:p>
    <w:p>
      <w:pPr>
        <w:pStyle w:val="BodyText"/>
        <w:spacing w:before="1"/>
      </w:pPr>
      <w:r>
        <w:rPr>
          <w:rFonts w:ascii="Times New Roman" w:eastAsia="Times New Roman"/>
        </w:rPr>
        <w:t>1</w:t>
      </w:r>
      <w:r>
        <w:rPr/>
        <w:t>、经纪商选择标准</w:t>
      </w:r>
    </w:p>
    <w:p>
      <w:pPr>
        <w:pStyle w:val="BodyText"/>
        <w:spacing w:before="6"/>
        <w:ind w:left="0"/>
        <w:rPr>
          <w:sz w:val="15"/>
        </w:rPr>
      </w:pPr>
    </w:p>
    <w:p>
      <w:pPr>
        <w:pStyle w:val="ListParagraph"/>
        <w:numPr>
          <w:ilvl w:val="0"/>
          <w:numId w:val="4"/>
        </w:numPr>
        <w:tabs>
          <w:tab w:pos="1170" w:val="left" w:leader="none"/>
        </w:tabs>
        <w:spacing w:line="417" w:lineRule="auto" w:before="1" w:after="0"/>
        <w:ind w:left="220" w:right="883" w:firstLine="419"/>
        <w:jc w:val="left"/>
        <w:rPr>
          <w:sz w:val="21"/>
        </w:rPr>
      </w:pPr>
      <w:r>
        <w:rPr>
          <w:spacing w:val="-3"/>
          <w:sz w:val="21"/>
        </w:rPr>
        <w:t>交易执行能力：能够公平对待所有客户，追求最佳交易执行，并且可靠、诚信、及时，拥有较高的交易保密性等。</w:t>
      </w:r>
    </w:p>
    <w:p>
      <w:pPr>
        <w:pStyle w:val="ListParagraph"/>
        <w:numPr>
          <w:ilvl w:val="0"/>
          <w:numId w:val="4"/>
        </w:numPr>
        <w:tabs>
          <w:tab w:pos="1170" w:val="left" w:leader="none"/>
        </w:tabs>
        <w:spacing w:line="417" w:lineRule="auto" w:before="0" w:after="0"/>
        <w:ind w:left="220" w:right="986" w:firstLine="419"/>
        <w:jc w:val="left"/>
        <w:rPr>
          <w:sz w:val="21"/>
        </w:rPr>
      </w:pPr>
      <w:r>
        <w:rPr>
          <w:spacing w:val="-10"/>
          <w:sz w:val="21"/>
        </w:rPr>
        <w:t>研究支持服务：能够针对本基金业务需要，提供相关的研究报告和服务，包括 </w:t>
      </w:r>
      <w:r>
        <w:rPr>
          <w:spacing w:val="-3"/>
          <w:sz w:val="21"/>
        </w:rPr>
        <w:t>提供量化投资策略、及时沟通市场情况、承接专项研究等。</w:t>
      </w:r>
    </w:p>
    <w:p>
      <w:pPr>
        <w:pStyle w:val="ListParagraph"/>
        <w:numPr>
          <w:ilvl w:val="0"/>
          <w:numId w:val="4"/>
        </w:numPr>
        <w:tabs>
          <w:tab w:pos="1170" w:val="left" w:leader="none"/>
        </w:tabs>
        <w:spacing w:line="269" w:lineRule="exact" w:before="0" w:after="0"/>
        <w:ind w:left="1169" w:right="0" w:hanging="530"/>
        <w:jc w:val="left"/>
        <w:rPr>
          <w:sz w:val="21"/>
        </w:rPr>
      </w:pPr>
      <w:r>
        <w:rPr>
          <w:spacing w:val="-3"/>
          <w:sz w:val="21"/>
        </w:rPr>
        <w:t>公司综合实力：经营状况稳定，信誉良好，财务指标健康等。</w:t>
      </w:r>
    </w:p>
    <w:p>
      <w:pPr>
        <w:pStyle w:val="BodyText"/>
        <w:spacing w:before="6"/>
        <w:ind w:left="0"/>
        <w:rPr>
          <w:sz w:val="15"/>
        </w:rPr>
      </w:pPr>
    </w:p>
    <w:p>
      <w:pPr>
        <w:pStyle w:val="ListParagraph"/>
        <w:numPr>
          <w:ilvl w:val="0"/>
          <w:numId w:val="4"/>
        </w:numPr>
        <w:tabs>
          <w:tab w:pos="1170" w:val="left" w:leader="none"/>
        </w:tabs>
        <w:spacing w:line="240" w:lineRule="auto" w:before="0" w:after="0"/>
        <w:ind w:left="1169" w:right="0" w:hanging="530"/>
        <w:jc w:val="left"/>
        <w:rPr>
          <w:sz w:val="21"/>
        </w:rPr>
      </w:pPr>
      <w:r>
        <w:rPr>
          <w:spacing w:val="-3"/>
          <w:sz w:val="21"/>
        </w:rPr>
        <w:t>后台便利性和可靠性：清算交割准确顺畅，系统稳定安全等。</w:t>
      </w:r>
    </w:p>
    <w:p>
      <w:pPr>
        <w:pStyle w:val="BodyText"/>
        <w:spacing w:before="7"/>
        <w:ind w:left="0"/>
        <w:rPr>
          <w:sz w:val="15"/>
        </w:rPr>
      </w:pPr>
    </w:p>
    <w:p>
      <w:pPr>
        <w:pStyle w:val="ListParagraph"/>
        <w:numPr>
          <w:ilvl w:val="0"/>
          <w:numId w:val="4"/>
        </w:numPr>
        <w:tabs>
          <w:tab w:pos="1170" w:val="left" w:leader="none"/>
        </w:tabs>
        <w:spacing w:line="417" w:lineRule="auto" w:before="0" w:after="0"/>
        <w:ind w:left="220" w:right="883" w:firstLine="419"/>
        <w:jc w:val="left"/>
        <w:rPr>
          <w:sz w:val="21"/>
        </w:rPr>
      </w:pPr>
      <w:r>
        <w:rPr>
          <w:spacing w:val="-3"/>
          <w:sz w:val="21"/>
        </w:rPr>
        <w:t>组织框架和业务构成：能够积极推动多边业务合作，最大限度地调动整体资源， 为基金投资赢取机会。</w:t>
      </w:r>
    </w:p>
    <w:p>
      <w:pPr>
        <w:pStyle w:val="ListParagraph"/>
        <w:numPr>
          <w:ilvl w:val="0"/>
          <w:numId w:val="4"/>
        </w:numPr>
        <w:tabs>
          <w:tab w:pos="1170" w:val="left" w:leader="none"/>
        </w:tabs>
        <w:spacing w:line="240" w:lineRule="auto" w:before="0" w:after="0"/>
        <w:ind w:left="1169" w:right="0" w:hanging="530"/>
        <w:jc w:val="left"/>
        <w:rPr>
          <w:sz w:val="21"/>
        </w:rPr>
      </w:pPr>
      <w:r>
        <w:rPr>
          <w:spacing w:val="-3"/>
          <w:sz w:val="21"/>
        </w:rPr>
        <w:t>其他有利于基金持有人利益的商业合作考虑。</w:t>
      </w:r>
    </w:p>
    <w:p>
      <w:pPr>
        <w:pStyle w:val="BodyText"/>
        <w:spacing w:before="7"/>
        <w:ind w:left="0"/>
        <w:rPr>
          <w:sz w:val="15"/>
        </w:rPr>
      </w:pPr>
    </w:p>
    <w:p>
      <w:pPr>
        <w:pStyle w:val="BodyText"/>
      </w:pPr>
      <w:r>
        <w:rPr>
          <w:rFonts w:ascii="Times New Roman" w:eastAsia="Times New Roman"/>
        </w:rPr>
        <w:t>2</w:t>
      </w:r>
      <w:r>
        <w:rPr/>
        <w:t>、交易量分配</w:t>
      </w:r>
    </w:p>
    <w:p>
      <w:pPr>
        <w:pStyle w:val="BodyText"/>
        <w:spacing w:before="6"/>
        <w:ind w:left="0"/>
        <w:rPr>
          <w:sz w:val="15"/>
        </w:rPr>
      </w:pPr>
    </w:p>
    <w:p>
      <w:pPr>
        <w:pStyle w:val="BodyText"/>
        <w:spacing w:line="417" w:lineRule="auto" w:before="1"/>
        <w:ind w:left="220" w:right="986" w:firstLine="419"/>
      </w:pPr>
      <w:r>
        <w:rPr/>
        <w:t>基金管理人将根据上述标准对经纪商进行综合考察，选取最适合基金投资业务的经纪商合作，并根据综合考察结果分配基金在各个经纪商的交易量。</w:t>
      </w:r>
    </w:p>
    <w:p>
      <w:pPr>
        <w:pStyle w:val="BodyText"/>
        <w:spacing w:line="269" w:lineRule="exact"/>
      </w:pPr>
      <w:r>
        <w:rPr>
          <w:rFonts w:ascii="Times New Roman" w:eastAsia="Times New Roman"/>
        </w:rPr>
        <w:t>3</w:t>
      </w:r>
      <w:r>
        <w:rPr/>
        <w:t>、佣金管理</w:t>
      </w:r>
    </w:p>
    <w:p>
      <w:pPr>
        <w:pStyle w:val="BodyText"/>
        <w:spacing w:before="6"/>
        <w:ind w:left="0"/>
        <w:rPr>
          <w:sz w:val="15"/>
        </w:rPr>
      </w:pPr>
    </w:p>
    <w:p>
      <w:pPr>
        <w:pStyle w:val="BodyText"/>
        <w:spacing w:line="417" w:lineRule="auto"/>
        <w:ind w:left="220" w:right="986" w:firstLine="419"/>
      </w:pPr>
      <w:r>
        <w:rPr/>
        <w:t>基金管理人将根据经纪商提供的服务内容和服务质量，参考市场惯例合理确定佣金费率。交易佣金如有折扣或返还，应归入基金资产。</w:t>
      </w:r>
    </w:p>
    <w:p>
      <w:pPr>
        <w:pStyle w:val="BodyText"/>
      </w:pPr>
      <w:r>
        <w:rPr/>
        <w:t>（十三）基金投资组合报告</w:t>
      </w:r>
    </w:p>
    <w:p>
      <w:pPr>
        <w:spacing w:after="0"/>
        <w:sectPr>
          <w:pgSz w:w="11910" w:h="16840"/>
          <w:pgMar w:header="705" w:footer="683" w:top="1420" w:bottom="880" w:left="1580" w:right="920"/>
        </w:sectPr>
      </w:pPr>
    </w:p>
    <w:p>
      <w:pPr>
        <w:pStyle w:val="BodyText"/>
        <w:spacing w:before="110"/>
        <w:ind w:left="642"/>
      </w:pPr>
      <w:r>
        <w:rPr/>
        <w:t>以下内容摘自本基金 </w:t>
      </w:r>
      <w:r>
        <w:rPr>
          <w:rFonts w:ascii="Times New Roman" w:eastAsia="Times New Roman"/>
        </w:rPr>
        <w:t>2020 </w:t>
      </w:r>
      <w:r>
        <w:rPr/>
        <w:t>年第 </w:t>
      </w:r>
      <w:r>
        <w:rPr>
          <w:rFonts w:ascii="Times New Roman" w:eastAsia="Times New Roman"/>
        </w:rPr>
        <w:t>2 </w:t>
      </w:r>
      <w:r>
        <w:rPr/>
        <w:t>季度报告：</w:t>
      </w:r>
    </w:p>
    <w:p>
      <w:pPr>
        <w:pStyle w:val="BodyText"/>
        <w:spacing w:before="6"/>
        <w:ind w:left="0"/>
        <w:rPr>
          <w:sz w:val="15"/>
        </w:rPr>
      </w:pPr>
    </w:p>
    <w:p>
      <w:pPr>
        <w:pStyle w:val="ListParagraph"/>
        <w:numPr>
          <w:ilvl w:val="1"/>
          <w:numId w:val="5"/>
        </w:numPr>
        <w:tabs>
          <w:tab w:pos="590" w:val="left" w:leader="none"/>
        </w:tabs>
        <w:spacing w:line="240" w:lineRule="auto" w:before="0" w:after="0"/>
        <w:ind w:left="590" w:right="0" w:hanging="370"/>
        <w:jc w:val="left"/>
        <w:rPr>
          <w:sz w:val="21"/>
        </w:rPr>
      </w:pPr>
      <w:r>
        <w:rPr>
          <w:spacing w:val="-3"/>
          <w:sz w:val="21"/>
        </w:rPr>
        <w:t>报告期末基金资产组合情况</w:t>
      </w:r>
    </w:p>
    <w:p>
      <w:pPr>
        <w:pStyle w:val="BodyText"/>
        <w:spacing w:before="10"/>
        <w:ind w:left="0"/>
        <w:rPr>
          <w:sz w:val="7"/>
        </w:rPr>
      </w:pPr>
    </w:p>
    <w:tbl>
      <w:tblPr>
        <w:tblW w:w="0" w:type="auto"/>
        <w:jc w:val="left"/>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94"/>
        <w:gridCol w:w="3685"/>
        <w:gridCol w:w="2410"/>
        <w:gridCol w:w="1985"/>
      </w:tblGrid>
      <w:tr>
        <w:trPr>
          <w:trHeight w:val="964" w:hRule="atLeast"/>
        </w:trPr>
        <w:tc>
          <w:tcPr>
            <w:tcW w:w="994" w:type="dxa"/>
          </w:tcPr>
          <w:p>
            <w:pPr>
              <w:pStyle w:val="TableParagraph"/>
              <w:spacing w:before="7"/>
              <w:rPr>
                <w:rFonts w:ascii="宋体"/>
                <w:sz w:val="28"/>
              </w:rPr>
            </w:pPr>
          </w:p>
          <w:p>
            <w:pPr>
              <w:pStyle w:val="TableParagraph"/>
              <w:ind w:left="276" w:right="248"/>
              <w:jc w:val="center"/>
              <w:rPr>
                <w:rFonts w:ascii="宋体" w:eastAsia="宋体" w:hint="eastAsia"/>
                <w:sz w:val="21"/>
              </w:rPr>
            </w:pPr>
            <w:r>
              <w:rPr>
                <w:rFonts w:ascii="宋体" w:eastAsia="宋体" w:hint="eastAsia"/>
                <w:sz w:val="21"/>
              </w:rPr>
              <w:t>序号</w:t>
            </w:r>
          </w:p>
        </w:tc>
        <w:tc>
          <w:tcPr>
            <w:tcW w:w="3685" w:type="dxa"/>
          </w:tcPr>
          <w:p>
            <w:pPr>
              <w:pStyle w:val="TableParagraph"/>
              <w:spacing w:before="7"/>
              <w:rPr>
                <w:rFonts w:ascii="宋体"/>
                <w:sz w:val="28"/>
              </w:rPr>
            </w:pPr>
          </w:p>
          <w:p>
            <w:pPr>
              <w:pStyle w:val="TableParagraph"/>
              <w:ind w:left="1620" w:right="1595"/>
              <w:jc w:val="center"/>
              <w:rPr>
                <w:rFonts w:ascii="宋体" w:eastAsia="宋体" w:hint="eastAsia"/>
                <w:sz w:val="21"/>
              </w:rPr>
            </w:pPr>
            <w:r>
              <w:rPr>
                <w:rFonts w:ascii="宋体" w:eastAsia="宋体" w:hint="eastAsia"/>
                <w:sz w:val="21"/>
              </w:rPr>
              <w:t>项目</w:t>
            </w:r>
          </w:p>
        </w:tc>
        <w:tc>
          <w:tcPr>
            <w:tcW w:w="2410" w:type="dxa"/>
          </w:tcPr>
          <w:p>
            <w:pPr>
              <w:pStyle w:val="TableParagraph"/>
              <w:spacing w:before="7"/>
              <w:rPr>
                <w:rFonts w:ascii="宋体"/>
                <w:sz w:val="28"/>
              </w:rPr>
            </w:pPr>
          </w:p>
          <w:p>
            <w:pPr>
              <w:pStyle w:val="TableParagraph"/>
              <w:ind w:left="827"/>
              <w:rPr>
                <w:sz w:val="21"/>
              </w:rPr>
            </w:pPr>
            <w:r>
              <w:rPr>
                <w:rFonts w:ascii="宋体" w:eastAsia="宋体" w:hint="eastAsia"/>
                <w:sz w:val="21"/>
              </w:rPr>
              <w:t>金额</w:t>
            </w:r>
            <w:r>
              <w:rPr>
                <w:sz w:val="21"/>
              </w:rPr>
              <w:t>(</w:t>
            </w:r>
            <w:r>
              <w:rPr>
                <w:rFonts w:ascii="宋体" w:eastAsia="宋体" w:hint="eastAsia"/>
                <w:sz w:val="21"/>
              </w:rPr>
              <w:t>元</w:t>
            </w:r>
            <w:r>
              <w:rPr>
                <w:sz w:val="21"/>
              </w:rPr>
              <w:t>)</w:t>
            </w:r>
          </w:p>
        </w:tc>
        <w:tc>
          <w:tcPr>
            <w:tcW w:w="1985" w:type="dxa"/>
          </w:tcPr>
          <w:p>
            <w:pPr>
              <w:pStyle w:val="TableParagraph"/>
              <w:spacing w:before="130"/>
              <w:ind w:left="141" w:right="113"/>
              <w:jc w:val="center"/>
              <w:rPr>
                <w:rFonts w:ascii="宋体" w:eastAsia="宋体" w:hint="eastAsia"/>
                <w:sz w:val="21"/>
              </w:rPr>
            </w:pPr>
            <w:r>
              <w:rPr>
                <w:rFonts w:ascii="宋体" w:eastAsia="宋体" w:hint="eastAsia"/>
                <w:sz w:val="21"/>
              </w:rPr>
              <w:t>占基金总资产的比</w:t>
            </w:r>
          </w:p>
          <w:p>
            <w:pPr>
              <w:pStyle w:val="TableParagraph"/>
              <w:spacing w:before="4"/>
              <w:rPr>
                <w:rFonts w:ascii="宋体"/>
                <w:sz w:val="15"/>
              </w:rPr>
            </w:pPr>
          </w:p>
          <w:p>
            <w:pPr>
              <w:pStyle w:val="TableParagraph"/>
              <w:spacing w:before="1"/>
              <w:ind w:left="136" w:right="113"/>
              <w:jc w:val="center"/>
              <w:rPr>
                <w:sz w:val="21"/>
              </w:rPr>
            </w:pPr>
            <w:r>
              <w:rPr>
                <w:rFonts w:ascii="宋体" w:eastAsia="宋体" w:hint="eastAsia"/>
                <w:sz w:val="21"/>
              </w:rPr>
              <w:t>例</w:t>
            </w:r>
            <w:r>
              <w:rPr>
                <w:sz w:val="21"/>
              </w:rPr>
              <w:t>(%)</w:t>
            </w:r>
          </w:p>
        </w:tc>
      </w:tr>
      <w:tr>
        <w:trPr>
          <w:trHeight w:val="496" w:hRule="atLeast"/>
        </w:trPr>
        <w:tc>
          <w:tcPr>
            <w:tcW w:w="994" w:type="dxa"/>
          </w:tcPr>
          <w:p>
            <w:pPr>
              <w:pStyle w:val="TableParagraph"/>
              <w:spacing w:before="142"/>
              <w:ind w:left="23"/>
              <w:jc w:val="center"/>
              <w:rPr>
                <w:sz w:val="21"/>
              </w:rPr>
            </w:pPr>
            <w:r>
              <w:rPr>
                <w:w w:val="100"/>
                <w:sz w:val="21"/>
              </w:rPr>
              <w:t>1</w:t>
            </w:r>
          </w:p>
        </w:tc>
        <w:tc>
          <w:tcPr>
            <w:tcW w:w="3685" w:type="dxa"/>
          </w:tcPr>
          <w:p>
            <w:pPr>
              <w:pStyle w:val="TableParagraph"/>
              <w:spacing w:before="130"/>
              <w:ind w:left="124"/>
              <w:rPr>
                <w:rFonts w:ascii="宋体" w:eastAsia="宋体" w:hint="eastAsia"/>
                <w:sz w:val="21"/>
              </w:rPr>
            </w:pPr>
            <w:r>
              <w:rPr>
                <w:rFonts w:ascii="宋体" w:eastAsia="宋体" w:hint="eastAsia"/>
                <w:sz w:val="21"/>
              </w:rPr>
              <w:t>权益投资</w:t>
            </w:r>
          </w:p>
        </w:tc>
        <w:tc>
          <w:tcPr>
            <w:tcW w:w="2410" w:type="dxa"/>
          </w:tcPr>
          <w:p>
            <w:pPr>
              <w:pStyle w:val="TableParagraph"/>
              <w:spacing w:before="142"/>
              <w:ind w:right="96"/>
              <w:jc w:val="right"/>
              <w:rPr>
                <w:sz w:val="21"/>
              </w:rPr>
            </w:pPr>
            <w:r>
              <w:rPr>
                <w:w w:val="100"/>
                <w:sz w:val="21"/>
              </w:rPr>
              <w:t>-</w:t>
            </w:r>
          </w:p>
        </w:tc>
        <w:tc>
          <w:tcPr>
            <w:tcW w:w="1985" w:type="dxa"/>
          </w:tcPr>
          <w:p>
            <w:pPr>
              <w:pStyle w:val="TableParagraph"/>
              <w:spacing w:before="142"/>
              <w:ind w:right="95"/>
              <w:jc w:val="right"/>
              <w:rPr>
                <w:sz w:val="21"/>
              </w:rPr>
            </w:pPr>
            <w:r>
              <w:rPr>
                <w:w w:val="100"/>
                <w:sz w:val="21"/>
              </w:rPr>
              <w:t>-</w:t>
            </w:r>
          </w:p>
        </w:tc>
      </w:tr>
      <w:tr>
        <w:trPr>
          <w:trHeight w:val="498" w:hRule="atLeast"/>
        </w:trPr>
        <w:tc>
          <w:tcPr>
            <w:tcW w:w="994" w:type="dxa"/>
          </w:tcPr>
          <w:p>
            <w:pPr>
              <w:pStyle w:val="TableParagraph"/>
              <w:rPr>
                <w:sz w:val="20"/>
              </w:rPr>
            </w:pPr>
          </w:p>
        </w:tc>
        <w:tc>
          <w:tcPr>
            <w:tcW w:w="3685" w:type="dxa"/>
          </w:tcPr>
          <w:p>
            <w:pPr>
              <w:pStyle w:val="TableParagraph"/>
              <w:spacing w:before="133"/>
              <w:ind w:left="124"/>
              <w:rPr>
                <w:rFonts w:ascii="宋体" w:eastAsia="宋体" w:hint="eastAsia"/>
                <w:sz w:val="21"/>
              </w:rPr>
            </w:pPr>
            <w:r>
              <w:rPr>
                <w:rFonts w:ascii="宋体" w:eastAsia="宋体" w:hint="eastAsia"/>
                <w:sz w:val="21"/>
              </w:rPr>
              <w:t>其中：普通股</w:t>
            </w:r>
          </w:p>
        </w:tc>
        <w:tc>
          <w:tcPr>
            <w:tcW w:w="2410" w:type="dxa"/>
          </w:tcPr>
          <w:p>
            <w:pPr>
              <w:pStyle w:val="TableParagraph"/>
              <w:spacing w:before="144"/>
              <w:ind w:right="96"/>
              <w:jc w:val="right"/>
              <w:rPr>
                <w:sz w:val="21"/>
              </w:rPr>
            </w:pPr>
            <w:r>
              <w:rPr>
                <w:w w:val="100"/>
                <w:sz w:val="21"/>
              </w:rPr>
              <w:t>-</w:t>
            </w:r>
          </w:p>
        </w:tc>
        <w:tc>
          <w:tcPr>
            <w:tcW w:w="1985" w:type="dxa"/>
          </w:tcPr>
          <w:p>
            <w:pPr>
              <w:pStyle w:val="TableParagraph"/>
              <w:spacing w:before="144"/>
              <w:ind w:right="95"/>
              <w:jc w:val="right"/>
              <w:rPr>
                <w:sz w:val="21"/>
              </w:rPr>
            </w:pPr>
            <w:r>
              <w:rPr>
                <w:w w:val="100"/>
                <w:sz w:val="21"/>
              </w:rPr>
              <w:t>-</w:t>
            </w:r>
          </w:p>
        </w:tc>
      </w:tr>
      <w:tr>
        <w:trPr>
          <w:trHeight w:val="496" w:hRule="atLeast"/>
        </w:trPr>
        <w:tc>
          <w:tcPr>
            <w:tcW w:w="994" w:type="dxa"/>
          </w:tcPr>
          <w:p>
            <w:pPr>
              <w:pStyle w:val="TableParagraph"/>
              <w:rPr>
                <w:sz w:val="20"/>
              </w:rPr>
            </w:pPr>
          </w:p>
        </w:tc>
        <w:tc>
          <w:tcPr>
            <w:tcW w:w="3685" w:type="dxa"/>
          </w:tcPr>
          <w:p>
            <w:pPr>
              <w:pStyle w:val="TableParagraph"/>
              <w:spacing w:before="130"/>
              <w:ind w:left="755"/>
              <w:rPr>
                <w:rFonts w:ascii="宋体" w:eastAsia="宋体" w:hint="eastAsia"/>
                <w:sz w:val="21"/>
              </w:rPr>
            </w:pPr>
            <w:r>
              <w:rPr>
                <w:rFonts w:ascii="宋体" w:eastAsia="宋体" w:hint="eastAsia"/>
                <w:sz w:val="21"/>
              </w:rPr>
              <w:t>存托凭证</w:t>
            </w:r>
          </w:p>
        </w:tc>
        <w:tc>
          <w:tcPr>
            <w:tcW w:w="2410" w:type="dxa"/>
          </w:tcPr>
          <w:p>
            <w:pPr>
              <w:pStyle w:val="TableParagraph"/>
              <w:spacing w:before="142"/>
              <w:ind w:right="96"/>
              <w:jc w:val="right"/>
              <w:rPr>
                <w:sz w:val="21"/>
              </w:rPr>
            </w:pPr>
            <w:r>
              <w:rPr>
                <w:w w:val="100"/>
                <w:sz w:val="21"/>
              </w:rPr>
              <w:t>-</w:t>
            </w:r>
          </w:p>
        </w:tc>
        <w:tc>
          <w:tcPr>
            <w:tcW w:w="1985" w:type="dxa"/>
          </w:tcPr>
          <w:p>
            <w:pPr>
              <w:pStyle w:val="TableParagraph"/>
              <w:spacing w:before="142"/>
              <w:ind w:right="95"/>
              <w:jc w:val="right"/>
              <w:rPr>
                <w:sz w:val="21"/>
              </w:rPr>
            </w:pPr>
            <w:r>
              <w:rPr>
                <w:w w:val="100"/>
                <w:sz w:val="21"/>
              </w:rPr>
              <w:t>-</w:t>
            </w:r>
          </w:p>
        </w:tc>
      </w:tr>
      <w:tr>
        <w:trPr>
          <w:trHeight w:val="497" w:hRule="atLeast"/>
        </w:trPr>
        <w:tc>
          <w:tcPr>
            <w:tcW w:w="994" w:type="dxa"/>
          </w:tcPr>
          <w:p>
            <w:pPr>
              <w:pStyle w:val="TableParagraph"/>
              <w:rPr>
                <w:sz w:val="20"/>
              </w:rPr>
            </w:pPr>
          </w:p>
        </w:tc>
        <w:tc>
          <w:tcPr>
            <w:tcW w:w="3685" w:type="dxa"/>
          </w:tcPr>
          <w:p>
            <w:pPr>
              <w:pStyle w:val="TableParagraph"/>
              <w:spacing w:before="131"/>
              <w:ind w:left="755"/>
              <w:rPr>
                <w:rFonts w:ascii="宋体" w:eastAsia="宋体" w:hint="eastAsia"/>
                <w:sz w:val="21"/>
              </w:rPr>
            </w:pPr>
            <w:r>
              <w:rPr>
                <w:rFonts w:ascii="宋体" w:eastAsia="宋体" w:hint="eastAsia"/>
                <w:sz w:val="21"/>
              </w:rPr>
              <w:t>优先股</w:t>
            </w:r>
          </w:p>
        </w:tc>
        <w:tc>
          <w:tcPr>
            <w:tcW w:w="2410" w:type="dxa"/>
          </w:tcPr>
          <w:p>
            <w:pPr>
              <w:pStyle w:val="TableParagraph"/>
              <w:spacing w:before="142"/>
              <w:ind w:right="96"/>
              <w:jc w:val="right"/>
              <w:rPr>
                <w:sz w:val="21"/>
              </w:rPr>
            </w:pPr>
            <w:r>
              <w:rPr>
                <w:w w:val="100"/>
                <w:sz w:val="21"/>
              </w:rPr>
              <w:t>-</w:t>
            </w:r>
          </w:p>
        </w:tc>
        <w:tc>
          <w:tcPr>
            <w:tcW w:w="1985" w:type="dxa"/>
          </w:tcPr>
          <w:p>
            <w:pPr>
              <w:pStyle w:val="TableParagraph"/>
              <w:spacing w:before="142"/>
              <w:ind w:right="95"/>
              <w:jc w:val="right"/>
              <w:rPr>
                <w:sz w:val="21"/>
              </w:rPr>
            </w:pPr>
            <w:r>
              <w:rPr>
                <w:w w:val="100"/>
                <w:sz w:val="21"/>
              </w:rPr>
              <w:t>-</w:t>
            </w:r>
          </w:p>
        </w:tc>
      </w:tr>
      <w:tr>
        <w:trPr>
          <w:trHeight w:val="496" w:hRule="atLeast"/>
        </w:trPr>
        <w:tc>
          <w:tcPr>
            <w:tcW w:w="994" w:type="dxa"/>
          </w:tcPr>
          <w:p>
            <w:pPr>
              <w:pStyle w:val="TableParagraph"/>
              <w:rPr>
                <w:sz w:val="20"/>
              </w:rPr>
            </w:pPr>
          </w:p>
        </w:tc>
        <w:tc>
          <w:tcPr>
            <w:tcW w:w="3685" w:type="dxa"/>
          </w:tcPr>
          <w:p>
            <w:pPr>
              <w:pStyle w:val="TableParagraph"/>
              <w:spacing w:before="130"/>
              <w:ind w:left="755"/>
              <w:rPr>
                <w:rFonts w:ascii="宋体" w:eastAsia="宋体" w:hint="eastAsia"/>
                <w:sz w:val="21"/>
              </w:rPr>
            </w:pPr>
            <w:r>
              <w:rPr>
                <w:rFonts w:ascii="宋体" w:eastAsia="宋体" w:hint="eastAsia"/>
                <w:sz w:val="21"/>
              </w:rPr>
              <w:t>房地产信托</w:t>
            </w:r>
          </w:p>
        </w:tc>
        <w:tc>
          <w:tcPr>
            <w:tcW w:w="2410" w:type="dxa"/>
          </w:tcPr>
          <w:p>
            <w:pPr>
              <w:pStyle w:val="TableParagraph"/>
              <w:spacing w:before="142"/>
              <w:ind w:right="96"/>
              <w:jc w:val="right"/>
              <w:rPr>
                <w:sz w:val="21"/>
              </w:rPr>
            </w:pPr>
            <w:r>
              <w:rPr>
                <w:w w:val="100"/>
                <w:sz w:val="21"/>
              </w:rPr>
              <w:t>-</w:t>
            </w:r>
          </w:p>
        </w:tc>
        <w:tc>
          <w:tcPr>
            <w:tcW w:w="1985" w:type="dxa"/>
          </w:tcPr>
          <w:p>
            <w:pPr>
              <w:pStyle w:val="TableParagraph"/>
              <w:spacing w:before="142"/>
              <w:ind w:right="95"/>
              <w:jc w:val="right"/>
              <w:rPr>
                <w:sz w:val="21"/>
              </w:rPr>
            </w:pPr>
            <w:r>
              <w:rPr>
                <w:w w:val="100"/>
                <w:sz w:val="21"/>
              </w:rPr>
              <w:t>-</w:t>
            </w:r>
          </w:p>
        </w:tc>
      </w:tr>
      <w:tr>
        <w:trPr>
          <w:trHeight w:val="498" w:hRule="atLeast"/>
        </w:trPr>
        <w:tc>
          <w:tcPr>
            <w:tcW w:w="994" w:type="dxa"/>
          </w:tcPr>
          <w:p>
            <w:pPr>
              <w:pStyle w:val="TableParagraph"/>
              <w:spacing w:before="173"/>
              <w:ind w:left="9"/>
              <w:jc w:val="center"/>
              <w:rPr>
                <w:sz w:val="21"/>
              </w:rPr>
            </w:pPr>
            <w:r>
              <w:rPr>
                <w:w w:val="100"/>
                <w:sz w:val="21"/>
              </w:rPr>
              <w:t>2</w:t>
            </w:r>
          </w:p>
        </w:tc>
        <w:tc>
          <w:tcPr>
            <w:tcW w:w="3685" w:type="dxa"/>
          </w:tcPr>
          <w:p>
            <w:pPr>
              <w:pStyle w:val="TableParagraph"/>
              <w:spacing w:before="159"/>
              <w:ind w:left="107"/>
              <w:rPr>
                <w:rFonts w:ascii="宋体" w:eastAsia="宋体" w:hint="eastAsia"/>
                <w:sz w:val="21"/>
              </w:rPr>
            </w:pPr>
            <w:r>
              <w:rPr>
                <w:rFonts w:ascii="宋体" w:eastAsia="宋体" w:hint="eastAsia"/>
                <w:sz w:val="21"/>
              </w:rPr>
              <w:t>基金投资</w:t>
            </w:r>
          </w:p>
        </w:tc>
        <w:tc>
          <w:tcPr>
            <w:tcW w:w="2410" w:type="dxa"/>
          </w:tcPr>
          <w:p>
            <w:pPr>
              <w:pStyle w:val="TableParagraph"/>
              <w:spacing w:before="144"/>
              <w:ind w:right="94"/>
              <w:jc w:val="right"/>
              <w:rPr>
                <w:sz w:val="21"/>
              </w:rPr>
            </w:pPr>
            <w:r>
              <w:rPr>
                <w:sz w:val="21"/>
              </w:rPr>
              <w:t>1,648,774,597.69</w:t>
            </w:r>
          </w:p>
        </w:tc>
        <w:tc>
          <w:tcPr>
            <w:tcW w:w="1985" w:type="dxa"/>
          </w:tcPr>
          <w:p>
            <w:pPr>
              <w:pStyle w:val="TableParagraph"/>
              <w:spacing w:before="144"/>
              <w:ind w:right="94"/>
              <w:jc w:val="right"/>
              <w:rPr>
                <w:sz w:val="21"/>
              </w:rPr>
            </w:pPr>
            <w:r>
              <w:rPr>
                <w:sz w:val="21"/>
              </w:rPr>
              <w:t>85.68</w:t>
            </w:r>
          </w:p>
        </w:tc>
      </w:tr>
      <w:tr>
        <w:trPr>
          <w:trHeight w:val="496" w:hRule="atLeast"/>
        </w:trPr>
        <w:tc>
          <w:tcPr>
            <w:tcW w:w="994" w:type="dxa"/>
          </w:tcPr>
          <w:p>
            <w:pPr>
              <w:pStyle w:val="TableParagraph"/>
              <w:spacing w:before="142"/>
              <w:ind w:left="23"/>
              <w:jc w:val="center"/>
              <w:rPr>
                <w:sz w:val="21"/>
              </w:rPr>
            </w:pPr>
            <w:r>
              <w:rPr>
                <w:w w:val="100"/>
                <w:sz w:val="21"/>
              </w:rPr>
              <w:t>3</w:t>
            </w:r>
          </w:p>
        </w:tc>
        <w:tc>
          <w:tcPr>
            <w:tcW w:w="3685" w:type="dxa"/>
          </w:tcPr>
          <w:p>
            <w:pPr>
              <w:pStyle w:val="TableParagraph"/>
              <w:spacing w:before="130"/>
              <w:ind w:left="124"/>
              <w:rPr>
                <w:rFonts w:ascii="宋体" w:eastAsia="宋体" w:hint="eastAsia"/>
                <w:sz w:val="21"/>
              </w:rPr>
            </w:pPr>
            <w:r>
              <w:rPr>
                <w:rFonts w:ascii="宋体" w:eastAsia="宋体" w:hint="eastAsia"/>
                <w:sz w:val="21"/>
              </w:rPr>
              <w:t>固定收益投资</w:t>
            </w:r>
          </w:p>
        </w:tc>
        <w:tc>
          <w:tcPr>
            <w:tcW w:w="2410" w:type="dxa"/>
          </w:tcPr>
          <w:p>
            <w:pPr>
              <w:pStyle w:val="TableParagraph"/>
              <w:spacing w:before="142"/>
              <w:ind w:right="96"/>
              <w:jc w:val="right"/>
              <w:rPr>
                <w:sz w:val="21"/>
              </w:rPr>
            </w:pPr>
            <w:r>
              <w:rPr>
                <w:w w:val="100"/>
                <w:sz w:val="21"/>
              </w:rPr>
              <w:t>-</w:t>
            </w:r>
          </w:p>
        </w:tc>
        <w:tc>
          <w:tcPr>
            <w:tcW w:w="1985" w:type="dxa"/>
          </w:tcPr>
          <w:p>
            <w:pPr>
              <w:pStyle w:val="TableParagraph"/>
              <w:spacing w:before="142"/>
              <w:ind w:right="95"/>
              <w:jc w:val="right"/>
              <w:rPr>
                <w:sz w:val="21"/>
              </w:rPr>
            </w:pPr>
            <w:r>
              <w:rPr>
                <w:w w:val="100"/>
                <w:sz w:val="21"/>
              </w:rPr>
              <w:t>-</w:t>
            </w:r>
          </w:p>
        </w:tc>
      </w:tr>
      <w:tr>
        <w:trPr>
          <w:trHeight w:val="496" w:hRule="atLeast"/>
        </w:trPr>
        <w:tc>
          <w:tcPr>
            <w:tcW w:w="994" w:type="dxa"/>
          </w:tcPr>
          <w:p>
            <w:pPr>
              <w:pStyle w:val="TableParagraph"/>
              <w:rPr>
                <w:sz w:val="20"/>
              </w:rPr>
            </w:pPr>
          </w:p>
        </w:tc>
        <w:tc>
          <w:tcPr>
            <w:tcW w:w="3685" w:type="dxa"/>
          </w:tcPr>
          <w:p>
            <w:pPr>
              <w:pStyle w:val="TableParagraph"/>
              <w:spacing w:before="130"/>
              <w:ind w:left="124"/>
              <w:rPr>
                <w:rFonts w:ascii="宋体" w:eastAsia="宋体" w:hint="eastAsia"/>
                <w:sz w:val="21"/>
              </w:rPr>
            </w:pPr>
            <w:r>
              <w:rPr>
                <w:rFonts w:ascii="宋体" w:eastAsia="宋体" w:hint="eastAsia"/>
                <w:sz w:val="21"/>
              </w:rPr>
              <w:t>其中：债券</w:t>
            </w:r>
          </w:p>
        </w:tc>
        <w:tc>
          <w:tcPr>
            <w:tcW w:w="2410" w:type="dxa"/>
          </w:tcPr>
          <w:p>
            <w:pPr>
              <w:pStyle w:val="TableParagraph"/>
              <w:spacing w:before="142"/>
              <w:ind w:right="96"/>
              <w:jc w:val="right"/>
              <w:rPr>
                <w:sz w:val="21"/>
              </w:rPr>
            </w:pPr>
            <w:r>
              <w:rPr>
                <w:w w:val="100"/>
                <w:sz w:val="21"/>
              </w:rPr>
              <w:t>-</w:t>
            </w:r>
          </w:p>
        </w:tc>
        <w:tc>
          <w:tcPr>
            <w:tcW w:w="1985" w:type="dxa"/>
          </w:tcPr>
          <w:p>
            <w:pPr>
              <w:pStyle w:val="TableParagraph"/>
              <w:spacing w:before="142"/>
              <w:ind w:right="95"/>
              <w:jc w:val="right"/>
              <w:rPr>
                <w:sz w:val="21"/>
              </w:rPr>
            </w:pPr>
            <w:r>
              <w:rPr>
                <w:w w:val="100"/>
                <w:sz w:val="21"/>
              </w:rPr>
              <w:t>-</w:t>
            </w:r>
          </w:p>
        </w:tc>
      </w:tr>
      <w:tr>
        <w:trPr>
          <w:trHeight w:val="496" w:hRule="atLeast"/>
        </w:trPr>
        <w:tc>
          <w:tcPr>
            <w:tcW w:w="994" w:type="dxa"/>
          </w:tcPr>
          <w:p>
            <w:pPr>
              <w:pStyle w:val="TableParagraph"/>
              <w:rPr>
                <w:sz w:val="20"/>
              </w:rPr>
            </w:pPr>
          </w:p>
        </w:tc>
        <w:tc>
          <w:tcPr>
            <w:tcW w:w="3685" w:type="dxa"/>
          </w:tcPr>
          <w:p>
            <w:pPr>
              <w:pStyle w:val="TableParagraph"/>
              <w:spacing w:before="130"/>
              <w:ind w:left="755"/>
              <w:rPr>
                <w:rFonts w:ascii="宋体" w:eastAsia="宋体" w:hint="eastAsia"/>
                <w:sz w:val="21"/>
              </w:rPr>
            </w:pPr>
            <w:r>
              <w:rPr>
                <w:rFonts w:ascii="宋体" w:eastAsia="宋体" w:hint="eastAsia"/>
                <w:sz w:val="21"/>
              </w:rPr>
              <w:t>资产支持证券</w:t>
            </w:r>
          </w:p>
        </w:tc>
        <w:tc>
          <w:tcPr>
            <w:tcW w:w="2410" w:type="dxa"/>
          </w:tcPr>
          <w:p>
            <w:pPr>
              <w:pStyle w:val="TableParagraph"/>
              <w:spacing w:before="142"/>
              <w:ind w:right="96"/>
              <w:jc w:val="right"/>
              <w:rPr>
                <w:sz w:val="21"/>
              </w:rPr>
            </w:pPr>
            <w:r>
              <w:rPr>
                <w:w w:val="100"/>
                <w:sz w:val="21"/>
              </w:rPr>
              <w:t>-</w:t>
            </w:r>
          </w:p>
        </w:tc>
        <w:tc>
          <w:tcPr>
            <w:tcW w:w="1985" w:type="dxa"/>
          </w:tcPr>
          <w:p>
            <w:pPr>
              <w:pStyle w:val="TableParagraph"/>
              <w:spacing w:before="142"/>
              <w:ind w:right="95"/>
              <w:jc w:val="right"/>
              <w:rPr>
                <w:sz w:val="21"/>
              </w:rPr>
            </w:pPr>
            <w:r>
              <w:rPr>
                <w:w w:val="100"/>
                <w:sz w:val="21"/>
              </w:rPr>
              <w:t>-</w:t>
            </w:r>
          </w:p>
        </w:tc>
      </w:tr>
      <w:tr>
        <w:trPr>
          <w:trHeight w:val="499" w:hRule="atLeast"/>
        </w:trPr>
        <w:tc>
          <w:tcPr>
            <w:tcW w:w="994" w:type="dxa"/>
          </w:tcPr>
          <w:p>
            <w:pPr>
              <w:pStyle w:val="TableParagraph"/>
              <w:spacing w:before="145"/>
              <w:ind w:left="23"/>
              <w:jc w:val="center"/>
              <w:rPr>
                <w:sz w:val="21"/>
              </w:rPr>
            </w:pPr>
            <w:r>
              <w:rPr>
                <w:w w:val="100"/>
                <w:sz w:val="21"/>
              </w:rPr>
              <w:t>4</w:t>
            </w:r>
          </w:p>
        </w:tc>
        <w:tc>
          <w:tcPr>
            <w:tcW w:w="3685" w:type="dxa"/>
          </w:tcPr>
          <w:p>
            <w:pPr>
              <w:pStyle w:val="TableParagraph"/>
              <w:spacing w:before="133"/>
              <w:ind w:left="124"/>
              <w:rPr>
                <w:rFonts w:ascii="宋体" w:eastAsia="宋体" w:hint="eastAsia"/>
                <w:sz w:val="21"/>
              </w:rPr>
            </w:pPr>
            <w:r>
              <w:rPr>
                <w:rFonts w:ascii="宋体" w:eastAsia="宋体" w:hint="eastAsia"/>
                <w:sz w:val="21"/>
              </w:rPr>
              <w:t>金融衍生品投资</w:t>
            </w:r>
          </w:p>
        </w:tc>
        <w:tc>
          <w:tcPr>
            <w:tcW w:w="2410" w:type="dxa"/>
          </w:tcPr>
          <w:p>
            <w:pPr>
              <w:pStyle w:val="TableParagraph"/>
              <w:spacing w:before="145"/>
              <w:ind w:right="96"/>
              <w:jc w:val="right"/>
              <w:rPr>
                <w:sz w:val="21"/>
              </w:rPr>
            </w:pPr>
            <w:r>
              <w:rPr>
                <w:w w:val="100"/>
                <w:sz w:val="21"/>
              </w:rPr>
              <w:t>-</w:t>
            </w:r>
          </w:p>
        </w:tc>
        <w:tc>
          <w:tcPr>
            <w:tcW w:w="1985" w:type="dxa"/>
          </w:tcPr>
          <w:p>
            <w:pPr>
              <w:pStyle w:val="TableParagraph"/>
              <w:spacing w:before="145"/>
              <w:ind w:right="95"/>
              <w:jc w:val="right"/>
              <w:rPr>
                <w:sz w:val="21"/>
              </w:rPr>
            </w:pPr>
            <w:r>
              <w:rPr>
                <w:w w:val="100"/>
                <w:sz w:val="21"/>
              </w:rPr>
              <w:t>-</w:t>
            </w:r>
          </w:p>
        </w:tc>
      </w:tr>
      <w:tr>
        <w:trPr>
          <w:trHeight w:val="496" w:hRule="atLeast"/>
        </w:trPr>
        <w:tc>
          <w:tcPr>
            <w:tcW w:w="994" w:type="dxa"/>
          </w:tcPr>
          <w:p>
            <w:pPr>
              <w:pStyle w:val="TableParagraph"/>
              <w:rPr>
                <w:sz w:val="20"/>
              </w:rPr>
            </w:pPr>
          </w:p>
        </w:tc>
        <w:tc>
          <w:tcPr>
            <w:tcW w:w="3685" w:type="dxa"/>
          </w:tcPr>
          <w:p>
            <w:pPr>
              <w:pStyle w:val="TableParagraph"/>
              <w:spacing w:before="157"/>
              <w:ind w:left="107"/>
              <w:rPr>
                <w:rFonts w:ascii="宋体" w:eastAsia="宋体" w:hint="eastAsia"/>
                <w:sz w:val="21"/>
              </w:rPr>
            </w:pPr>
            <w:r>
              <w:rPr>
                <w:rFonts w:ascii="宋体" w:eastAsia="宋体" w:hint="eastAsia"/>
                <w:sz w:val="21"/>
              </w:rPr>
              <w:t>其中：远期</w:t>
            </w:r>
          </w:p>
        </w:tc>
        <w:tc>
          <w:tcPr>
            <w:tcW w:w="2410" w:type="dxa"/>
          </w:tcPr>
          <w:p>
            <w:pPr>
              <w:pStyle w:val="TableParagraph"/>
              <w:spacing w:before="142"/>
              <w:ind w:right="96"/>
              <w:jc w:val="right"/>
              <w:rPr>
                <w:sz w:val="21"/>
              </w:rPr>
            </w:pPr>
            <w:r>
              <w:rPr>
                <w:w w:val="100"/>
                <w:sz w:val="21"/>
              </w:rPr>
              <w:t>-</w:t>
            </w:r>
          </w:p>
        </w:tc>
        <w:tc>
          <w:tcPr>
            <w:tcW w:w="1985" w:type="dxa"/>
          </w:tcPr>
          <w:p>
            <w:pPr>
              <w:pStyle w:val="TableParagraph"/>
              <w:spacing w:before="142"/>
              <w:ind w:right="95"/>
              <w:jc w:val="right"/>
              <w:rPr>
                <w:sz w:val="21"/>
              </w:rPr>
            </w:pPr>
            <w:r>
              <w:rPr>
                <w:w w:val="100"/>
                <w:sz w:val="21"/>
              </w:rPr>
              <w:t>-</w:t>
            </w:r>
          </w:p>
        </w:tc>
      </w:tr>
      <w:tr>
        <w:trPr>
          <w:trHeight w:val="496" w:hRule="atLeast"/>
        </w:trPr>
        <w:tc>
          <w:tcPr>
            <w:tcW w:w="994" w:type="dxa"/>
          </w:tcPr>
          <w:p>
            <w:pPr>
              <w:pStyle w:val="TableParagraph"/>
              <w:rPr>
                <w:sz w:val="20"/>
              </w:rPr>
            </w:pPr>
          </w:p>
        </w:tc>
        <w:tc>
          <w:tcPr>
            <w:tcW w:w="3685" w:type="dxa"/>
          </w:tcPr>
          <w:p>
            <w:pPr>
              <w:pStyle w:val="TableParagraph"/>
              <w:spacing w:before="157"/>
              <w:ind w:left="738"/>
              <w:rPr>
                <w:rFonts w:ascii="宋体" w:eastAsia="宋体" w:hint="eastAsia"/>
                <w:sz w:val="21"/>
              </w:rPr>
            </w:pPr>
            <w:r>
              <w:rPr>
                <w:rFonts w:ascii="宋体" w:eastAsia="宋体" w:hint="eastAsia"/>
                <w:sz w:val="21"/>
              </w:rPr>
              <w:t>期货</w:t>
            </w:r>
          </w:p>
        </w:tc>
        <w:tc>
          <w:tcPr>
            <w:tcW w:w="2410" w:type="dxa"/>
          </w:tcPr>
          <w:p>
            <w:pPr>
              <w:pStyle w:val="TableParagraph"/>
              <w:spacing w:before="142"/>
              <w:ind w:right="96"/>
              <w:jc w:val="right"/>
              <w:rPr>
                <w:sz w:val="21"/>
              </w:rPr>
            </w:pPr>
            <w:r>
              <w:rPr>
                <w:w w:val="100"/>
                <w:sz w:val="21"/>
              </w:rPr>
              <w:t>-</w:t>
            </w:r>
          </w:p>
        </w:tc>
        <w:tc>
          <w:tcPr>
            <w:tcW w:w="1985" w:type="dxa"/>
          </w:tcPr>
          <w:p>
            <w:pPr>
              <w:pStyle w:val="TableParagraph"/>
              <w:spacing w:before="142"/>
              <w:ind w:right="95"/>
              <w:jc w:val="right"/>
              <w:rPr>
                <w:sz w:val="21"/>
              </w:rPr>
            </w:pPr>
            <w:r>
              <w:rPr>
                <w:w w:val="100"/>
                <w:sz w:val="21"/>
              </w:rPr>
              <w:t>-</w:t>
            </w:r>
          </w:p>
        </w:tc>
      </w:tr>
      <w:tr>
        <w:trPr>
          <w:trHeight w:val="496" w:hRule="atLeast"/>
        </w:trPr>
        <w:tc>
          <w:tcPr>
            <w:tcW w:w="994" w:type="dxa"/>
          </w:tcPr>
          <w:p>
            <w:pPr>
              <w:pStyle w:val="TableParagraph"/>
              <w:rPr>
                <w:sz w:val="20"/>
              </w:rPr>
            </w:pPr>
          </w:p>
        </w:tc>
        <w:tc>
          <w:tcPr>
            <w:tcW w:w="3685" w:type="dxa"/>
          </w:tcPr>
          <w:p>
            <w:pPr>
              <w:pStyle w:val="TableParagraph"/>
              <w:spacing w:before="159"/>
              <w:ind w:left="738"/>
              <w:rPr>
                <w:rFonts w:ascii="宋体" w:eastAsia="宋体" w:hint="eastAsia"/>
                <w:sz w:val="21"/>
              </w:rPr>
            </w:pPr>
            <w:r>
              <w:rPr>
                <w:rFonts w:ascii="宋体" w:eastAsia="宋体" w:hint="eastAsia"/>
                <w:sz w:val="21"/>
              </w:rPr>
              <w:t>期权</w:t>
            </w:r>
          </w:p>
        </w:tc>
        <w:tc>
          <w:tcPr>
            <w:tcW w:w="2410" w:type="dxa"/>
          </w:tcPr>
          <w:p>
            <w:pPr>
              <w:pStyle w:val="TableParagraph"/>
              <w:spacing w:before="142"/>
              <w:ind w:right="96"/>
              <w:jc w:val="right"/>
              <w:rPr>
                <w:sz w:val="21"/>
              </w:rPr>
            </w:pPr>
            <w:r>
              <w:rPr>
                <w:w w:val="100"/>
                <w:sz w:val="21"/>
              </w:rPr>
              <w:t>-</w:t>
            </w:r>
          </w:p>
        </w:tc>
        <w:tc>
          <w:tcPr>
            <w:tcW w:w="1985" w:type="dxa"/>
          </w:tcPr>
          <w:p>
            <w:pPr>
              <w:pStyle w:val="TableParagraph"/>
              <w:spacing w:before="142"/>
              <w:ind w:right="95"/>
              <w:jc w:val="right"/>
              <w:rPr>
                <w:sz w:val="21"/>
              </w:rPr>
            </w:pPr>
            <w:r>
              <w:rPr>
                <w:w w:val="100"/>
                <w:sz w:val="21"/>
              </w:rPr>
              <w:t>-</w:t>
            </w:r>
          </w:p>
        </w:tc>
      </w:tr>
      <w:tr>
        <w:trPr>
          <w:trHeight w:val="498" w:hRule="atLeast"/>
        </w:trPr>
        <w:tc>
          <w:tcPr>
            <w:tcW w:w="994" w:type="dxa"/>
          </w:tcPr>
          <w:p>
            <w:pPr>
              <w:pStyle w:val="TableParagraph"/>
              <w:rPr>
                <w:sz w:val="20"/>
              </w:rPr>
            </w:pPr>
          </w:p>
        </w:tc>
        <w:tc>
          <w:tcPr>
            <w:tcW w:w="3685" w:type="dxa"/>
          </w:tcPr>
          <w:p>
            <w:pPr>
              <w:pStyle w:val="TableParagraph"/>
              <w:spacing w:before="159"/>
              <w:ind w:left="733"/>
              <w:rPr>
                <w:rFonts w:ascii="宋体" w:eastAsia="宋体" w:hint="eastAsia"/>
                <w:sz w:val="21"/>
              </w:rPr>
            </w:pPr>
            <w:r>
              <w:rPr>
                <w:rFonts w:ascii="宋体" w:eastAsia="宋体" w:hint="eastAsia"/>
                <w:sz w:val="21"/>
              </w:rPr>
              <w:t>权证</w:t>
            </w:r>
          </w:p>
        </w:tc>
        <w:tc>
          <w:tcPr>
            <w:tcW w:w="2410" w:type="dxa"/>
          </w:tcPr>
          <w:p>
            <w:pPr>
              <w:pStyle w:val="TableParagraph"/>
              <w:spacing w:before="144"/>
              <w:ind w:right="96"/>
              <w:jc w:val="right"/>
              <w:rPr>
                <w:sz w:val="21"/>
              </w:rPr>
            </w:pPr>
            <w:r>
              <w:rPr>
                <w:w w:val="100"/>
                <w:sz w:val="21"/>
              </w:rPr>
              <w:t>-</w:t>
            </w:r>
          </w:p>
        </w:tc>
        <w:tc>
          <w:tcPr>
            <w:tcW w:w="1985" w:type="dxa"/>
          </w:tcPr>
          <w:p>
            <w:pPr>
              <w:pStyle w:val="TableParagraph"/>
              <w:spacing w:before="144"/>
              <w:ind w:right="95"/>
              <w:jc w:val="right"/>
              <w:rPr>
                <w:sz w:val="21"/>
              </w:rPr>
            </w:pPr>
            <w:r>
              <w:rPr>
                <w:w w:val="100"/>
                <w:sz w:val="21"/>
              </w:rPr>
              <w:t>-</w:t>
            </w:r>
          </w:p>
        </w:tc>
      </w:tr>
      <w:tr>
        <w:trPr>
          <w:trHeight w:val="496" w:hRule="atLeast"/>
        </w:trPr>
        <w:tc>
          <w:tcPr>
            <w:tcW w:w="994" w:type="dxa"/>
          </w:tcPr>
          <w:p>
            <w:pPr>
              <w:pStyle w:val="TableParagraph"/>
              <w:spacing w:before="142"/>
              <w:ind w:left="23"/>
              <w:jc w:val="center"/>
              <w:rPr>
                <w:sz w:val="21"/>
              </w:rPr>
            </w:pPr>
            <w:r>
              <w:rPr>
                <w:w w:val="100"/>
                <w:sz w:val="21"/>
              </w:rPr>
              <w:t>5</w:t>
            </w:r>
          </w:p>
        </w:tc>
        <w:tc>
          <w:tcPr>
            <w:tcW w:w="3685" w:type="dxa"/>
          </w:tcPr>
          <w:p>
            <w:pPr>
              <w:pStyle w:val="TableParagraph"/>
              <w:spacing w:before="130"/>
              <w:ind w:left="124"/>
              <w:rPr>
                <w:rFonts w:ascii="宋体" w:eastAsia="宋体" w:hint="eastAsia"/>
                <w:sz w:val="21"/>
              </w:rPr>
            </w:pPr>
            <w:r>
              <w:rPr>
                <w:rFonts w:ascii="宋体" w:eastAsia="宋体" w:hint="eastAsia"/>
                <w:sz w:val="21"/>
              </w:rPr>
              <w:t>买入返售金融资产</w:t>
            </w:r>
          </w:p>
        </w:tc>
        <w:tc>
          <w:tcPr>
            <w:tcW w:w="2410" w:type="dxa"/>
          </w:tcPr>
          <w:p>
            <w:pPr>
              <w:pStyle w:val="TableParagraph"/>
              <w:spacing w:before="142"/>
              <w:ind w:right="96"/>
              <w:jc w:val="right"/>
              <w:rPr>
                <w:sz w:val="21"/>
              </w:rPr>
            </w:pPr>
            <w:r>
              <w:rPr>
                <w:w w:val="100"/>
                <w:sz w:val="21"/>
              </w:rPr>
              <w:t>-</w:t>
            </w:r>
          </w:p>
        </w:tc>
        <w:tc>
          <w:tcPr>
            <w:tcW w:w="1985" w:type="dxa"/>
          </w:tcPr>
          <w:p>
            <w:pPr>
              <w:pStyle w:val="TableParagraph"/>
              <w:spacing w:before="142"/>
              <w:ind w:right="95"/>
              <w:jc w:val="right"/>
              <w:rPr>
                <w:sz w:val="21"/>
              </w:rPr>
            </w:pPr>
            <w:r>
              <w:rPr>
                <w:w w:val="100"/>
                <w:sz w:val="21"/>
              </w:rPr>
              <w:t>-</w:t>
            </w:r>
          </w:p>
        </w:tc>
      </w:tr>
      <w:tr>
        <w:trPr>
          <w:trHeight w:val="964" w:hRule="atLeast"/>
        </w:trPr>
        <w:tc>
          <w:tcPr>
            <w:tcW w:w="994" w:type="dxa"/>
          </w:tcPr>
          <w:p>
            <w:pPr>
              <w:pStyle w:val="TableParagraph"/>
              <w:rPr>
                <w:sz w:val="20"/>
              </w:rPr>
            </w:pPr>
          </w:p>
        </w:tc>
        <w:tc>
          <w:tcPr>
            <w:tcW w:w="3685" w:type="dxa"/>
          </w:tcPr>
          <w:p>
            <w:pPr>
              <w:pStyle w:val="TableParagraph"/>
              <w:spacing w:before="130"/>
              <w:ind w:left="124"/>
              <w:rPr>
                <w:rFonts w:ascii="宋体" w:eastAsia="宋体" w:hint="eastAsia"/>
                <w:sz w:val="21"/>
              </w:rPr>
            </w:pPr>
            <w:r>
              <w:rPr>
                <w:rFonts w:ascii="宋体" w:eastAsia="宋体" w:hint="eastAsia"/>
                <w:sz w:val="21"/>
              </w:rPr>
              <w:t>其中：买断式回购的买入返售金融资</w:t>
            </w:r>
          </w:p>
          <w:p>
            <w:pPr>
              <w:pStyle w:val="TableParagraph"/>
              <w:spacing w:before="5"/>
              <w:rPr>
                <w:rFonts w:ascii="宋体"/>
                <w:sz w:val="15"/>
              </w:rPr>
            </w:pPr>
          </w:p>
          <w:p>
            <w:pPr>
              <w:pStyle w:val="TableParagraph"/>
              <w:ind w:left="124"/>
              <w:rPr>
                <w:rFonts w:ascii="宋体" w:eastAsia="宋体" w:hint="eastAsia"/>
                <w:sz w:val="21"/>
              </w:rPr>
            </w:pPr>
            <w:r>
              <w:rPr>
                <w:rFonts w:ascii="宋体" w:eastAsia="宋体" w:hint="eastAsia"/>
                <w:w w:val="100"/>
                <w:sz w:val="21"/>
              </w:rPr>
              <w:t>产</w:t>
            </w:r>
          </w:p>
        </w:tc>
        <w:tc>
          <w:tcPr>
            <w:tcW w:w="2410" w:type="dxa"/>
          </w:tcPr>
          <w:p>
            <w:pPr>
              <w:pStyle w:val="TableParagraph"/>
              <w:spacing w:before="6"/>
              <w:rPr>
                <w:rFonts w:ascii="宋体"/>
                <w:sz w:val="29"/>
              </w:rPr>
            </w:pPr>
          </w:p>
          <w:p>
            <w:pPr>
              <w:pStyle w:val="TableParagraph"/>
              <w:ind w:right="96"/>
              <w:jc w:val="right"/>
              <w:rPr>
                <w:sz w:val="21"/>
              </w:rPr>
            </w:pPr>
            <w:r>
              <w:rPr>
                <w:w w:val="100"/>
                <w:sz w:val="21"/>
              </w:rPr>
              <w:t>-</w:t>
            </w:r>
          </w:p>
        </w:tc>
        <w:tc>
          <w:tcPr>
            <w:tcW w:w="1985" w:type="dxa"/>
          </w:tcPr>
          <w:p>
            <w:pPr>
              <w:pStyle w:val="TableParagraph"/>
              <w:spacing w:before="6"/>
              <w:rPr>
                <w:rFonts w:ascii="宋体"/>
                <w:sz w:val="29"/>
              </w:rPr>
            </w:pPr>
          </w:p>
          <w:p>
            <w:pPr>
              <w:pStyle w:val="TableParagraph"/>
              <w:ind w:right="95"/>
              <w:jc w:val="right"/>
              <w:rPr>
                <w:sz w:val="21"/>
              </w:rPr>
            </w:pPr>
            <w:r>
              <w:rPr>
                <w:w w:val="100"/>
                <w:sz w:val="21"/>
              </w:rPr>
              <w:t>-</w:t>
            </w:r>
          </w:p>
        </w:tc>
      </w:tr>
      <w:tr>
        <w:trPr>
          <w:trHeight w:val="496" w:hRule="atLeast"/>
        </w:trPr>
        <w:tc>
          <w:tcPr>
            <w:tcW w:w="994" w:type="dxa"/>
          </w:tcPr>
          <w:p>
            <w:pPr>
              <w:pStyle w:val="TableParagraph"/>
              <w:spacing w:before="173"/>
              <w:ind w:left="9"/>
              <w:jc w:val="center"/>
              <w:rPr>
                <w:sz w:val="21"/>
              </w:rPr>
            </w:pPr>
            <w:r>
              <w:rPr>
                <w:w w:val="100"/>
                <w:sz w:val="21"/>
              </w:rPr>
              <w:t>6</w:t>
            </w:r>
          </w:p>
        </w:tc>
        <w:tc>
          <w:tcPr>
            <w:tcW w:w="3685" w:type="dxa"/>
          </w:tcPr>
          <w:p>
            <w:pPr>
              <w:pStyle w:val="TableParagraph"/>
              <w:spacing w:before="159"/>
              <w:ind w:left="107"/>
              <w:rPr>
                <w:rFonts w:ascii="宋体" w:eastAsia="宋体" w:hint="eastAsia"/>
                <w:sz w:val="21"/>
              </w:rPr>
            </w:pPr>
            <w:r>
              <w:rPr>
                <w:rFonts w:ascii="宋体" w:eastAsia="宋体" w:hint="eastAsia"/>
                <w:sz w:val="21"/>
              </w:rPr>
              <w:t>货币市场工具</w:t>
            </w:r>
          </w:p>
        </w:tc>
        <w:tc>
          <w:tcPr>
            <w:tcW w:w="2410" w:type="dxa"/>
          </w:tcPr>
          <w:p>
            <w:pPr>
              <w:pStyle w:val="TableParagraph"/>
              <w:spacing w:before="142"/>
              <w:ind w:right="96"/>
              <w:jc w:val="right"/>
              <w:rPr>
                <w:sz w:val="21"/>
              </w:rPr>
            </w:pPr>
            <w:r>
              <w:rPr>
                <w:w w:val="100"/>
                <w:sz w:val="21"/>
              </w:rPr>
              <w:t>-</w:t>
            </w:r>
          </w:p>
        </w:tc>
        <w:tc>
          <w:tcPr>
            <w:tcW w:w="1985" w:type="dxa"/>
          </w:tcPr>
          <w:p>
            <w:pPr>
              <w:pStyle w:val="TableParagraph"/>
              <w:spacing w:before="142"/>
              <w:ind w:right="95"/>
              <w:jc w:val="right"/>
              <w:rPr>
                <w:sz w:val="21"/>
              </w:rPr>
            </w:pPr>
            <w:r>
              <w:rPr>
                <w:w w:val="100"/>
                <w:sz w:val="21"/>
              </w:rPr>
              <w:t>-</w:t>
            </w:r>
          </w:p>
        </w:tc>
      </w:tr>
      <w:tr>
        <w:trPr>
          <w:trHeight w:val="498" w:hRule="atLeast"/>
        </w:trPr>
        <w:tc>
          <w:tcPr>
            <w:tcW w:w="994" w:type="dxa"/>
          </w:tcPr>
          <w:p>
            <w:pPr>
              <w:pStyle w:val="TableParagraph"/>
              <w:spacing w:before="144"/>
              <w:ind w:left="23"/>
              <w:jc w:val="center"/>
              <w:rPr>
                <w:sz w:val="21"/>
              </w:rPr>
            </w:pPr>
            <w:r>
              <w:rPr>
                <w:w w:val="100"/>
                <w:sz w:val="21"/>
              </w:rPr>
              <w:t>7</w:t>
            </w:r>
          </w:p>
        </w:tc>
        <w:tc>
          <w:tcPr>
            <w:tcW w:w="3685" w:type="dxa"/>
          </w:tcPr>
          <w:p>
            <w:pPr>
              <w:pStyle w:val="TableParagraph"/>
              <w:spacing w:before="133"/>
              <w:ind w:left="124"/>
              <w:rPr>
                <w:rFonts w:ascii="宋体" w:eastAsia="宋体" w:hint="eastAsia"/>
                <w:sz w:val="21"/>
              </w:rPr>
            </w:pPr>
            <w:r>
              <w:rPr>
                <w:rFonts w:ascii="宋体" w:eastAsia="宋体" w:hint="eastAsia"/>
                <w:sz w:val="21"/>
              </w:rPr>
              <w:t>银行存款和结算备付金合计</w:t>
            </w:r>
          </w:p>
        </w:tc>
        <w:tc>
          <w:tcPr>
            <w:tcW w:w="2410" w:type="dxa"/>
          </w:tcPr>
          <w:p>
            <w:pPr>
              <w:pStyle w:val="TableParagraph"/>
              <w:spacing w:before="144"/>
              <w:ind w:right="94"/>
              <w:jc w:val="right"/>
              <w:rPr>
                <w:sz w:val="21"/>
              </w:rPr>
            </w:pPr>
            <w:r>
              <w:rPr>
                <w:sz w:val="21"/>
              </w:rPr>
              <w:t>161,080,764.02</w:t>
            </w:r>
          </w:p>
        </w:tc>
        <w:tc>
          <w:tcPr>
            <w:tcW w:w="1985" w:type="dxa"/>
          </w:tcPr>
          <w:p>
            <w:pPr>
              <w:pStyle w:val="TableParagraph"/>
              <w:spacing w:before="144"/>
              <w:ind w:right="94"/>
              <w:jc w:val="right"/>
              <w:rPr>
                <w:sz w:val="21"/>
              </w:rPr>
            </w:pPr>
            <w:r>
              <w:rPr>
                <w:sz w:val="21"/>
              </w:rPr>
              <w:t>8.37</w:t>
            </w:r>
          </w:p>
        </w:tc>
      </w:tr>
      <w:tr>
        <w:trPr>
          <w:trHeight w:val="496" w:hRule="atLeast"/>
        </w:trPr>
        <w:tc>
          <w:tcPr>
            <w:tcW w:w="994" w:type="dxa"/>
          </w:tcPr>
          <w:p>
            <w:pPr>
              <w:pStyle w:val="TableParagraph"/>
              <w:spacing w:before="142"/>
              <w:ind w:left="23"/>
              <w:jc w:val="center"/>
              <w:rPr>
                <w:sz w:val="21"/>
              </w:rPr>
            </w:pPr>
            <w:r>
              <w:rPr>
                <w:w w:val="100"/>
                <w:sz w:val="21"/>
              </w:rPr>
              <w:t>8</w:t>
            </w:r>
          </w:p>
        </w:tc>
        <w:tc>
          <w:tcPr>
            <w:tcW w:w="3685" w:type="dxa"/>
          </w:tcPr>
          <w:p>
            <w:pPr>
              <w:pStyle w:val="TableParagraph"/>
              <w:spacing w:before="114"/>
              <w:ind w:left="107"/>
              <w:rPr>
                <w:rFonts w:ascii="宋体" w:eastAsia="宋体" w:hint="eastAsia"/>
                <w:sz w:val="21"/>
              </w:rPr>
            </w:pPr>
            <w:r>
              <w:rPr>
                <w:rFonts w:ascii="宋体" w:eastAsia="宋体" w:hint="eastAsia"/>
                <w:sz w:val="21"/>
              </w:rPr>
              <w:t>其他各项资产</w:t>
            </w:r>
          </w:p>
        </w:tc>
        <w:tc>
          <w:tcPr>
            <w:tcW w:w="2410" w:type="dxa"/>
          </w:tcPr>
          <w:p>
            <w:pPr>
              <w:pStyle w:val="TableParagraph"/>
              <w:spacing w:before="125"/>
              <w:ind w:right="94"/>
              <w:jc w:val="right"/>
              <w:rPr>
                <w:sz w:val="21"/>
              </w:rPr>
            </w:pPr>
            <w:r>
              <w:rPr>
                <w:sz w:val="21"/>
              </w:rPr>
              <w:t>114,552,374.05</w:t>
            </w:r>
          </w:p>
        </w:tc>
        <w:tc>
          <w:tcPr>
            <w:tcW w:w="1985" w:type="dxa"/>
          </w:tcPr>
          <w:p>
            <w:pPr>
              <w:pStyle w:val="TableParagraph"/>
              <w:spacing w:before="125"/>
              <w:ind w:right="94"/>
              <w:jc w:val="right"/>
              <w:rPr>
                <w:sz w:val="21"/>
              </w:rPr>
            </w:pPr>
            <w:r>
              <w:rPr>
                <w:sz w:val="21"/>
              </w:rPr>
              <w:t>5.95</w:t>
            </w:r>
          </w:p>
        </w:tc>
      </w:tr>
      <w:tr>
        <w:trPr>
          <w:trHeight w:val="496" w:hRule="atLeast"/>
        </w:trPr>
        <w:tc>
          <w:tcPr>
            <w:tcW w:w="994" w:type="dxa"/>
          </w:tcPr>
          <w:p>
            <w:pPr>
              <w:pStyle w:val="TableParagraph"/>
              <w:spacing w:before="142"/>
              <w:ind w:left="23"/>
              <w:jc w:val="center"/>
              <w:rPr>
                <w:sz w:val="21"/>
              </w:rPr>
            </w:pPr>
            <w:r>
              <w:rPr>
                <w:w w:val="100"/>
                <w:sz w:val="21"/>
              </w:rPr>
              <w:t>9</w:t>
            </w:r>
          </w:p>
        </w:tc>
        <w:tc>
          <w:tcPr>
            <w:tcW w:w="3685" w:type="dxa"/>
          </w:tcPr>
          <w:p>
            <w:pPr>
              <w:pStyle w:val="TableParagraph"/>
              <w:spacing w:before="116"/>
              <w:ind w:left="107"/>
              <w:rPr>
                <w:rFonts w:ascii="宋体" w:eastAsia="宋体" w:hint="eastAsia"/>
                <w:sz w:val="21"/>
              </w:rPr>
            </w:pPr>
            <w:r>
              <w:rPr>
                <w:rFonts w:ascii="宋体" w:eastAsia="宋体" w:hint="eastAsia"/>
                <w:sz w:val="21"/>
              </w:rPr>
              <w:t>合计</w:t>
            </w:r>
          </w:p>
        </w:tc>
        <w:tc>
          <w:tcPr>
            <w:tcW w:w="2410" w:type="dxa"/>
          </w:tcPr>
          <w:p>
            <w:pPr>
              <w:pStyle w:val="TableParagraph"/>
              <w:spacing w:before="127"/>
              <w:ind w:right="94"/>
              <w:jc w:val="right"/>
              <w:rPr>
                <w:sz w:val="21"/>
              </w:rPr>
            </w:pPr>
            <w:r>
              <w:rPr>
                <w:sz w:val="21"/>
              </w:rPr>
              <w:t>1,924,407,735.76</w:t>
            </w:r>
          </w:p>
        </w:tc>
        <w:tc>
          <w:tcPr>
            <w:tcW w:w="1985" w:type="dxa"/>
          </w:tcPr>
          <w:p>
            <w:pPr>
              <w:pStyle w:val="TableParagraph"/>
              <w:spacing w:before="127"/>
              <w:ind w:right="94"/>
              <w:jc w:val="right"/>
              <w:rPr>
                <w:sz w:val="21"/>
              </w:rPr>
            </w:pPr>
            <w:r>
              <w:rPr>
                <w:sz w:val="21"/>
              </w:rPr>
              <w:t>100.00</w:t>
            </w:r>
          </w:p>
        </w:tc>
      </w:tr>
    </w:tbl>
    <w:p>
      <w:pPr>
        <w:pStyle w:val="ListParagraph"/>
        <w:numPr>
          <w:ilvl w:val="1"/>
          <w:numId w:val="5"/>
        </w:numPr>
        <w:tabs>
          <w:tab w:pos="538" w:val="left" w:leader="none"/>
        </w:tabs>
        <w:spacing w:line="417" w:lineRule="auto" w:before="99" w:after="0"/>
        <w:ind w:left="640" w:right="2774" w:hanging="420"/>
        <w:jc w:val="left"/>
        <w:rPr>
          <w:sz w:val="21"/>
        </w:rPr>
      </w:pPr>
      <w:r>
        <w:rPr>
          <w:spacing w:val="-3"/>
          <w:sz w:val="21"/>
        </w:rPr>
        <w:t>报告期末在各个国家（</w:t>
      </w:r>
      <w:r>
        <w:rPr>
          <w:sz w:val="21"/>
        </w:rPr>
        <w:t>地区</w:t>
      </w:r>
      <w:r>
        <w:rPr>
          <w:spacing w:val="-3"/>
          <w:sz w:val="21"/>
        </w:rPr>
        <w:t>）证券市场的股票及存托凭证投资分布本基金本报告期末未持有股票及存托凭证。</w:t>
      </w:r>
    </w:p>
    <w:p>
      <w:pPr>
        <w:spacing w:after="0" w:line="417" w:lineRule="auto"/>
        <w:jc w:val="left"/>
        <w:rPr>
          <w:sz w:val="21"/>
        </w:rPr>
        <w:sectPr>
          <w:pgSz w:w="11910" w:h="16840"/>
          <w:pgMar w:header="705" w:footer="683" w:top="1420" w:bottom="880" w:left="1580" w:right="920"/>
        </w:sectPr>
      </w:pPr>
    </w:p>
    <w:p>
      <w:pPr>
        <w:pStyle w:val="ListParagraph"/>
        <w:numPr>
          <w:ilvl w:val="1"/>
          <w:numId w:val="5"/>
        </w:numPr>
        <w:tabs>
          <w:tab w:pos="538" w:val="left" w:leader="none"/>
        </w:tabs>
        <w:spacing w:line="417" w:lineRule="auto" w:before="110" w:after="0"/>
        <w:ind w:left="640" w:right="4455" w:hanging="420"/>
        <w:jc w:val="left"/>
        <w:rPr>
          <w:sz w:val="21"/>
        </w:rPr>
      </w:pPr>
      <w:r>
        <w:rPr>
          <w:spacing w:val="-4"/>
          <w:sz w:val="21"/>
        </w:rPr>
        <w:t>报告期末按行业分类的股票及存托凭证投资组合</w:t>
      </w:r>
      <w:r>
        <w:rPr>
          <w:spacing w:val="-3"/>
          <w:sz w:val="21"/>
        </w:rPr>
        <w:t>本基金本报告期末未持有股票及存托凭证。</w:t>
      </w:r>
    </w:p>
    <w:p>
      <w:pPr>
        <w:pStyle w:val="ListParagraph"/>
        <w:numPr>
          <w:ilvl w:val="1"/>
          <w:numId w:val="5"/>
        </w:numPr>
        <w:tabs>
          <w:tab w:pos="538" w:val="left" w:leader="none"/>
        </w:tabs>
        <w:spacing w:line="417" w:lineRule="auto" w:before="0" w:after="0"/>
        <w:ind w:left="640" w:right="1092" w:hanging="420"/>
        <w:jc w:val="left"/>
        <w:rPr>
          <w:sz w:val="21"/>
        </w:rPr>
      </w:pPr>
      <w:r>
        <w:rPr>
          <w:spacing w:val="-3"/>
          <w:sz w:val="21"/>
        </w:rPr>
        <w:t>报告期末按公允价值占基金资产净值比例大小排序的前十名股票及存托凭证投资明细本基金本报告期末未持有股票及存托凭证。</w:t>
      </w:r>
    </w:p>
    <w:p>
      <w:pPr>
        <w:pStyle w:val="ListParagraph"/>
        <w:numPr>
          <w:ilvl w:val="1"/>
          <w:numId w:val="5"/>
        </w:numPr>
        <w:tabs>
          <w:tab w:pos="538" w:val="left" w:leader="none"/>
        </w:tabs>
        <w:spacing w:line="417" w:lineRule="auto" w:before="0" w:after="0"/>
        <w:ind w:left="640" w:right="4666" w:hanging="420"/>
        <w:jc w:val="left"/>
        <w:rPr>
          <w:sz w:val="21"/>
        </w:rPr>
      </w:pPr>
      <w:r>
        <w:rPr>
          <w:spacing w:val="-4"/>
          <w:sz w:val="21"/>
        </w:rPr>
        <w:t>报告期末按债券信用等级分类的债券投资组合</w:t>
      </w:r>
      <w:r>
        <w:rPr>
          <w:spacing w:val="-3"/>
          <w:sz w:val="21"/>
        </w:rPr>
        <w:t>本基金本报告期末未持有债券。</w:t>
      </w:r>
    </w:p>
    <w:p>
      <w:pPr>
        <w:pStyle w:val="ListParagraph"/>
        <w:numPr>
          <w:ilvl w:val="1"/>
          <w:numId w:val="5"/>
        </w:numPr>
        <w:tabs>
          <w:tab w:pos="538" w:val="left" w:leader="none"/>
        </w:tabs>
        <w:spacing w:line="417" w:lineRule="auto" w:before="0" w:after="0"/>
        <w:ind w:left="640" w:right="2143" w:hanging="420"/>
        <w:jc w:val="left"/>
        <w:rPr>
          <w:sz w:val="21"/>
        </w:rPr>
      </w:pPr>
      <w:r>
        <w:rPr>
          <w:spacing w:val="-3"/>
          <w:sz w:val="21"/>
        </w:rPr>
        <w:t>报告期末按公允价值占基金资产净值比例大小排名的前五名债券投资明细本基金本报告期末未持有债券。</w:t>
      </w:r>
    </w:p>
    <w:p>
      <w:pPr>
        <w:pStyle w:val="ListParagraph"/>
        <w:numPr>
          <w:ilvl w:val="1"/>
          <w:numId w:val="5"/>
        </w:numPr>
        <w:tabs>
          <w:tab w:pos="538" w:val="left" w:leader="none"/>
        </w:tabs>
        <w:spacing w:line="417" w:lineRule="auto" w:before="0" w:after="0"/>
        <w:ind w:left="640" w:right="1303" w:hanging="420"/>
        <w:jc w:val="left"/>
        <w:rPr>
          <w:sz w:val="21"/>
        </w:rPr>
      </w:pPr>
      <w:r>
        <w:rPr>
          <w:spacing w:val="-3"/>
          <w:sz w:val="21"/>
        </w:rPr>
        <w:t>报告期末按公允价值占基金资产净值比例大小排名的前十名资产支持证券投资明细本基金本报告期末未持有资产支持证券。</w:t>
      </w:r>
    </w:p>
    <w:p>
      <w:pPr>
        <w:pStyle w:val="ListParagraph"/>
        <w:numPr>
          <w:ilvl w:val="1"/>
          <w:numId w:val="5"/>
        </w:numPr>
        <w:tabs>
          <w:tab w:pos="538" w:val="left" w:leader="none"/>
        </w:tabs>
        <w:spacing w:line="269" w:lineRule="exact" w:before="0" w:after="0"/>
        <w:ind w:left="537" w:right="0" w:hanging="318"/>
        <w:jc w:val="left"/>
        <w:rPr>
          <w:sz w:val="21"/>
        </w:rPr>
      </w:pPr>
      <w:r>
        <w:rPr>
          <w:spacing w:val="-3"/>
          <w:sz w:val="21"/>
        </w:rPr>
        <w:t>报告期末按公允价值占基金资产净值比例大小排名的前五名金融衍生品投资明细</w:t>
      </w:r>
    </w:p>
    <w:p>
      <w:pPr>
        <w:pStyle w:val="BodyText"/>
        <w:spacing w:before="8"/>
        <w:ind w:left="0"/>
        <w:rPr>
          <w:sz w:val="7"/>
        </w:rPr>
      </w:pPr>
    </w:p>
    <w:tbl>
      <w:tblPr>
        <w:tblW w:w="0" w:type="auto"/>
        <w:jc w:val="left"/>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70"/>
        <w:gridCol w:w="1735"/>
        <w:gridCol w:w="1735"/>
        <w:gridCol w:w="1823"/>
        <w:gridCol w:w="2107"/>
      </w:tblGrid>
      <w:tr>
        <w:trPr>
          <w:trHeight w:val="993" w:hRule="atLeast"/>
        </w:trPr>
        <w:tc>
          <w:tcPr>
            <w:tcW w:w="1670" w:type="dxa"/>
          </w:tcPr>
          <w:p>
            <w:pPr>
              <w:pStyle w:val="TableParagraph"/>
              <w:spacing w:before="8"/>
              <w:rPr>
                <w:rFonts w:ascii="宋体"/>
                <w:sz w:val="29"/>
              </w:rPr>
            </w:pPr>
          </w:p>
          <w:p>
            <w:pPr>
              <w:pStyle w:val="TableParagraph"/>
              <w:ind w:left="612" w:right="588"/>
              <w:jc w:val="center"/>
              <w:rPr>
                <w:rFonts w:ascii="宋体" w:eastAsia="宋体" w:hint="eastAsia"/>
                <w:sz w:val="21"/>
              </w:rPr>
            </w:pPr>
            <w:r>
              <w:rPr>
                <w:rFonts w:ascii="宋体" w:eastAsia="宋体" w:hint="eastAsia"/>
                <w:sz w:val="21"/>
              </w:rPr>
              <w:t>序号</w:t>
            </w:r>
          </w:p>
        </w:tc>
        <w:tc>
          <w:tcPr>
            <w:tcW w:w="1735" w:type="dxa"/>
          </w:tcPr>
          <w:p>
            <w:pPr>
              <w:pStyle w:val="TableParagraph"/>
              <w:spacing w:before="8"/>
              <w:rPr>
                <w:rFonts w:ascii="宋体"/>
                <w:sz w:val="29"/>
              </w:rPr>
            </w:pPr>
          </w:p>
          <w:p>
            <w:pPr>
              <w:pStyle w:val="TableParagraph"/>
              <w:ind w:left="330" w:right="304"/>
              <w:jc w:val="center"/>
              <w:rPr>
                <w:rFonts w:ascii="宋体" w:eastAsia="宋体" w:hint="eastAsia"/>
                <w:sz w:val="21"/>
              </w:rPr>
            </w:pPr>
            <w:r>
              <w:rPr>
                <w:rFonts w:ascii="宋体" w:eastAsia="宋体" w:hint="eastAsia"/>
                <w:sz w:val="21"/>
              </w:rPr>
              <w:t>衍生品类别</w:t>
            </w:r>
          </w:p>
        </w:tc>
        <w:tc>
          <w:tcPr>
            <w:tcW w:w="1735" w:type="dxa"/>
          </w:tcPr>
          <w:p>
            <w:pPr>
              <w:pStyle w:val="TableParagraph"/>
              <w:spacing w:before="8"/>
              <w:rPr>
                <w:rFonts w:ascii="宋体"/>
                <w:sz w:val="29"/>
              </w:rPr>
            </w:pPr>
          </w:p>
          <w:p>
            <w:pPr>
              <w:pStyle w:val="TableParagraph"/>
              <w:ind w:left="330" w:right="304"/>
              <w:jc w:val="center"/>
              <w:rPr>
                <w:rFonts w:ascii="宋体" w:eastAsia="宋体" w:hint="eastAsia"/>
                <w:sz w:val="21"/>
              </w:rPr>
            </w:pPr>
            <w:r>
              <w:rPr>
                <w:rFonts w:ascii="宋体" w:eastAsia="宋体" w:hint="eastAsia"/>
                <w:sz w:val="21"/>
              </w:rPr>
              <w:t>衍生品名称</w:t>
            </w:r>
          </w:p>
        </w:tc>
        <w:tc>
          <w:tcPr>
            <w:tcW w:w="1823" w:type="dxa"/>
          </w:tcPr>
          <w:p>
            <w:pPr>
              <w:pStyle w:val="TableParagraph"/>
              <w:spacing w:before="130"/>
              <w:ind w:left="481" w:right="451"/>
              <w:jc w:val="center"/>
              <w:rPr>
                <w:rFonts w:ascii="宋体" w:eastAsia="宋体" w:hint="eastAsia"/>
                <w:sz w:val="21"/>
              </w:rPr>
            </w:pPr>
            <w:r>
              <w:rPr>
                <w:rFonts w:ascii="宋体" w:eastAsia="宋体" w:hint="eastAsia"/>
                <w:sz w:val="21"/>
              </w:rPr>
              <w:t>公允价值</w:t>
            </w:r>
          </w:p>
          <w:p>
            <w:pPr>
              <w:pStyle w:val="TableParagraph"/>
              <w:spacing w:before="10"/>
              <w:rPr>
                <w:rFonts w:ascii="宋体"/>
                <w:sz w:val="17"/>
              </w:rPr>
            </w:pPr>
          </w:p>
          <w:p>
            <w:pPr>
              <w:pStyle w:val="TableParagraph"/>
              <w:ind w:left="480" w:right="451"/>
              <w:jc w:val="center"/>
              <w:rPr>
                <w:sz w:val="21"/>
              </w:rPr>
            </w:pPr>
            <w:r>
              <w:rPr>
                <w:sz w:val="21"/>
              </w:rPr>
              <w:t>(</w:t>
            </w:r>
            <w:r>
              <w:rPr>
                <w:rFonts w:ascii="宋体" w:eastAsia="宋体" w:hint="eastAsia"/>
                <w:sz w:val="21"/>
              </w:rPr>
              <w:t>元</w:t>
            </w:r>
            <w:r>
              <w:rPr>
                <w:sz w:val="21"/>
              </w:rPr>
              <w:t>)</w:t>
            </w:r>
          </w:p>
        </w:tc>
        <w:tc>
          <w:tcPr>
            <w:tcW w:w="2107" w:type="dxa"/>
          </w:tcPr>
          <w:p>
            <w:pPr>
              <w:pStyle w:val="TableParagraph"/>
              <w:spacing w:before="130"/>
              <w:ind w:left="327" w:right="294"/>
              <w:jc w:val="center"/>
              <w:rPr>
                <w:rFonts w:ascii="宋体" w:eastAsia="宋体" w:hint="eastAsia"/>
                <w:sz w:val="21"/>
              </w:rPr>
            </w:pPr>
            <w:r>
              <w:rPr>
                <w:rFonts w:ascii="宋体" w:eastAsia="宋体" w:hint="eastAsia"/>
                <w:sz w:val="21"/>
              </w:rPr>
              <w:t>占基金资产</w:t>
            </w:r>
          </w:p>
          <w:p>
            <w:pPr>
              <w:pStyle w:val="TableParagraph"/>
              <w:spacing w:before="10"/>
              <w:rPr>
                <w:rFonts w:ascii="宋体"/>
                <w:sz w:val="17"/>
              </w:rPr>
            </w:pPr>
          </w:p>
          <w:p>
            <w:pPr>
              <w:pStyle w:val="TableParagraph"/>
              <w:ind w:left="327" w:right="294"/>
              <w:jc w:val="center"/>
              <w:rPr>
                <w:rFonts w:ascii="宋体" w:eastAsia="宋体" w:hint="eastAsia"/>
                <w:sz w:val="21"/>
              </w:rPr>
            </w:pPr>
            <w:r>
              <w:rPr>
                <w:rFonts w:ascii="宋体" w:eastAsia="宋体" w:hint="eastAsia"/>
                <w:sz w:val="21"/>
              </w:rPr>
              <w:t>净值比例（</w:t>
            </w:r>
            <w:r>
              <w:rPr>
                <w:sz w:val="21"/>
              </w:rPr>
              <w:t>%</w:t>
            </w:r>
            <w:r>
              <w:rPr>
                <w:rFonts w:ascii="宋体" w:eastAsia="宋体" w:hint="eastAsia"/>
                <w:sz w:val="21"/>
              </w:rPr>
              <w:t>）</w:t>
            </w:r>
          </w:p>
        </w:tc>
      </w:tr>
      <w:tr>
        <w:trPr>
          <w:trHeight w:val="624" w:hRule="atLeast"/>
        </w:trPr>
        <w:tc>
          <w:tcPr>
            <w:tcW w:w="1670" w:type="dxa"/>
          </w:tcPr>
          <w:p>
            <w:pPr>
              <w:pStyle w:val="TableParagraph"/>
              <w:spacing w:before="190"/>
              <w:ind w:left="9"/>
              <w:jc w:val="center"/>
              <w:rPr>
                <w:sz w:val="21"/>
              </w:rPr>
            </w:pPr>
            <w:r>
              <w:rPr>
                <w:w w:val="100"/>
                <w:sz w:val="21"/>
              </w:rPr>
              <w:t>1</w:t>
            </w:r>
          </w:p>
        </w:tc>
        <w:tc>
          <w:tcPr>
            <w:tcW w:w="1735" w:type="dxa"/>
          </w:tcPr>
          <w:p>
            <w:pPr>
              <w:pStyle w:val="TableParagraph"/>
              <w:spacing w:before="178"/>
              <w:ind w:left="315" w:right="304"/>
              <w:jc w:val="center"/>
              <w:rPr>
                <w:rFonts w:ascii="宋体" w:eastAsia="宋体" w:hint="eastAsia"/>
                <w:sz w:val="21"/>
              </w:rPr>
            </w:pPr>
            <w:r>
              <w:rPr>
                <w:rFonts w:ascii="宋体" w:eastAsia="宋体" w:hint="eastAsia"/>
                <w:sz w:val="21"/>
              </w:rPr>
              <w:t>股指期货</w:t>
            </w:r>
          </w:p>
        </w:tc>
        <w:tc>
          <w:tcPr>
            <w:tcW w:w="1735" w:type="dxa"/>
          </w:tcPr>
          <w:p>
            <w:pPr>
              <w:pStyle w:val="TableParagraph"/>
              <w:spacing w:before="34"/>
              <w:ind w:left="262"/>
              <w:rPr>
                <w:sz w:val="21"/>
              </w:rPr>
            </w:pPr>
            <w:r>
              <w:rPr>
                <w:sz w:val="21"/>
              </w:rPr>
              <w:t>HANG SENG</w:t>
            </w:r>
          </w:p>
          <w:p>
            <w:pPr>
              <w:pStyle w:val="TableParagraph"/>
              <w:spacing w:before="70"/>
              <w:ind w:left="204"/>
              <w:rPr>
                <w:sz w:val="21"/>
              </w:rPr>
            </w:pPr>
            <w:r>
              <w:rPr>
                <w:sz w:val="21"/>
              </w:rPr>
              <w:t>IDX FUT Jul20</w:t>
            </w:r>
          </w:p>
        </w:tc>
        <w:tc>
          <w:tcPr>
            <w:tcW w:w="1823" w:type="dxa"/>
          </w:tcPr>
          <w:p>
            <w:pPr>
              <w:pStyle w:val="TableParagraph"/>
              <w:spacing w:before="190"/>
              <w:ind w:right="92"/>
              <w:jc w:val="right"/>
              <w:rPr>
                <w:sz w:val="21"/>
              </w:rPr>
            </w:pPr>
            <w:r>
              <w:rPr>
                <w:w w:val="100"/>
                <w:sz w:val="21"/>
              </w:rPr>
              <w:t>-</w:t>
            </w:r>
          </w:p>
        </w:tc>
        <w:tc>
          <w:tcPr>
            <w:tcW w:w="2107" w:type="dxa"/>
          </w:tcPr>
          <w:p>
            <w:pPr>
              <w:pStyle w:val="TableParagraph"/>
              <w:spacing w:before="190"/>
              <w:ind w:right="91"/>
              <w:jc w:val="right"/>
              <w:rPr>
                <w:sz w:val="21"/>
              </w:rPr>
            </w:pPr>
            <w:r>
              <w:rPr>
                <w:w w:val="100"/>
                <w:sz w:val="21"/>
              </w:rPr>
              <w:t>-</w:t>
            </w:r>
          </w:p>
        </w:tc>
      </w:tr>
      <w:tr>
        <w:trPr>
          <w:trHeight w:val="313" w:hRule="atLeast"/>
        </w:trPr>
        <w:tc>
          <w:tcPr>
            <w:tcW w:w="1670" w:type="dxa"/>
          </w:tcPr>
          <w:p>
            <w:pPr>
              <w:pStyle w:val="TableParagraph"/>
              <w:spacing w:before="36"/>
              <w:ind w:left="9"/>
              <w:jc w:val="center"/>
              <w:rPr>
                <w:sz w:val="21"/>
              </w:rPr>
            </w:pPr>
            <w:r>
              <w:rPr>
                <w:w w:val="100"/>
                <w:sz w:val="21"/>
              </w:rPr>
              <w:t>2</w:t>
            </w:r>
          </w:p>
        </w:tc>
        <w:tc>
          <w:tcPr>
            <w:tcW w:w="1735" w:type="dxa"/>
          </w:tcPr>
          <w:p>
            <w:pPr>
              <w:pStyle w:val="TableParagraph"/>
              <w:spacing w:before="36"/>
              <w:ind w:left="12"/>
              <w:jc w:val="center"/>
              <w:rPr>
                <w:sz w:val="21"/>
              </w:rPr>
            </w:pPr>
            <w:r>
              <w:rPr>
                <w:w w:val="100"/>
                <w:sz w:val="21"/>
              </w:rPr>
              <w:t>-</w:t>
            </w:r>
          </w:p>
        </w:tc>
        <w:tc>
          <w:tcPr>
            <w:tcW w:w="1735" w:type="dxa"/>
          </w:tcPr>
          <w:p>
            <w:pPr>
              <w:pStyle w:val="TableParagraph"/>
              <w:spacing w:before="36"/>
              <w:ind w:left="12"/>
              <w:jc w:val="center"/>
              <w:rPr>
                <w:sz w:val="21"/>
              </w:rPr>
            </w:pPr>
            <w:r>
              <w:rPr>
                <w:w w:val="100"/>
                <w:sz w:val="21"/>
              </w:rPr>
              <w:t>-</w:t>
            </w:r>
          </w:p>
        </w:tc>
        <w:tc>
          <w:tcPr>
            <w:tcW w:w="1823" w:type="dxa"/>
          </w:tcPr>
          <w:p>
            <w:pPr>
              <w:pStyle w:val="TableParagraph"/>
              <w:spacing w:before="36"/>
              <w:ind w:right="92"/>
              <w:jc w:val="right"/>
              <w:rPr>
                <w:sz w:val="21"/>
              </w:rPr>
            </w:pPr>
            <w:r>
              <w:rPr>
                <w:w w:val="100"/>
                <w:sz w:val="21"/>
              </w:rPr>
              <w:t>-</w:t>
            </w:r>
          </w:p>
        </w:tc>
        <w:tc>
          <w:tcPr>
            <w:tcW w:w="2107" w:type="dxa"/>
          </w:tcPr>
          <w:p>
            <w:pPr>
              <w:pStyle w:val="TableParagraph"/>
              <w:spacing w:before="36"/>
              <w:ind w:right="91"/>
              <w:jc w:val="right"/>
              <w:rPr>
                <w:sz w:val="21"/>
              </w:rPr>
            </w:pPr>
            <w:r>
              <w:rPr>
                <w:w w:val="100"/>
                <w:sz w:val="21"/>
              </w:rPr>
              <w:t>-</w:t>
            </w:r>
          </w:p>
        </w:tc>
      </w:tr>
      <w:tr>
        <w:trPr>
          <w:trHeight w:val="311" w:hRule="atLeast"/>
        </w:trPr>
        <w:tc>
          <w:tcPr>
            <w:tcW w:w="1670" w:type="dxa"/>
          </w:tcPr>
          <w:p>
            <w:pPr>
              <w:pStyle w:val="TableParagraph"/>
              <w:spacing w:before="34"/>
              <w:ind w:left="9"/>
              <w:jc w:val="center"/>
              <w:rPr>
                <w:sz w:val="21"/>
              </w:rPr>
            </w:pPr>
            <w:r>
              <w:rPr>
                <w:w w:val="100"/>
                <w:sz w:val="21"/>
              </w:rPr>
              <w:t>3</w:t>
            </w:r>
          </w:p>
        </w:tc>
        <w:tc>
          <w:tcPr>
            <w:tcW w:w="1735" w:type="dxa"/>
          </w:tcPr>
          <w:p>
            <w:pPr>
              <w:pStyle w:val="TableParagraph"/>
              <w:spacing w:before="34"/>
              <w:ind w:left="12"/>
              <w:jc w:val="center"/>
              <w:rPr>
                <w:sz w:val="21"/>
              </w:rPr>
            </w:pPr>
            <w:r>
              <w:rPr>
                <w:w w:val="100"/>
                <w:sz w:val="21"/>
              </w:rPr>
              <w:t>-</w:t>
            </w:r>
          </w:p>
        </w:tc>
        <w:tc>
          <w:tcPr>
            <w:tcW w:w="1735" w:type="dxa"/>
          </w:tcPr>
          <w:p>
            <w:pPr>
              <w:pStyle w:val="TableParagraph"/>
              <w:spacing w:before="34"/>
              <w:ind w:left="12"/>
              <w:jc w:val="center"/>
              <w:rPr>
                <w:sz w:val="21"/>
              </w:rPr>
            </w:pPr>
            <w:r>
              <w:rPr>
                <w:w w:val="100"/>
                <w:sz w:val="21"/>
              </w:rPr>
              <w:t>-</w:t>
            </w:r>
          </w:p>
        </w:tc>
        <w:tc>
          <w:tcPr>
            <w:tcW w:w="1823" w:type="dxa"/>
          </w:tcPr>
          <w:p>
            <w:pPr>
              <w:pStyle w:val="TableParagraph"/>
              <w:spacing w:before="34"/>
              <w:ind w:right="92"/>
              <w:jc w:val="right"/>
              <w:rPr>
                <w:sz w:val="21"/>
              </w:rPr>
            </w:pPr>
            <w:r>
              <w:rPr>
                <w:w w:val="100"/>
                <w:sz w:val="21"/>
              </w:rPr>
              <w:t>-</w:t>
            </w:r>
          </w:p>
        </w:tc>
        <w:tc>
          <w:tcPr>
            <w:tcW w:w="2107" w:type="dxa"/>
          </w:tcPr>
          <w:p>
            <w:pPr>
              <w:pStyle w:val="TableParagraph"/>
              <w:spacing w:before="34"/>
              <w:ind w:right="91"/>
              <w:jc w:val="right"/>
              <w:rPr>
                <w:sz w:val="21"/>
              </w:rPr>
            </w:pPr>
            <w:r>
              <w:rPr>
                <w:w w:val="100"/>
                <w:sz w:val="21"/>
              </w:rPr>
              <w:t>-</w:t>
            </w:r>
          </w:p>
        </w:tc>
      </w:tr>
      <w:tr>
        <w:trPr>
          <w:trHeight w:val="311" w:hRule="atLeast"/>
        </w:trPr>
        <w:tc>
          <w:tcPr>
            <w:tcW w:w="1670" w:type="dxa"/>
          </w:tcPr>
          <w:p>
            <w:pPr>
              <w:pStyle w:val="TableParagraph"/>
              <w:spacing w:before="34"/>
              <w:ind w:left="9"/>
              <w:jc w:val="center"/>
              <w:rPr>
                <w:sz w:val="21"/>
              </w:rPr>
            </w:pPr>
            <w:r>
              <w:rPr>
                <w:w w:val="100"/>
                <w:sz w:val="21"/>
              </w:rPr>
              <w:t>4</w:t>
            </w:r>
          </w:p>
        </w:tc>
        <w:tc>
          <w:tcPr>
            <w:tcW w:w="1735" w:type="dxa"/>
          </w:tcPr>
          <w:p>
            <w:pPr>
              <w:pStyle w:val="TableParagraph"/>
              <w:spacing w:before="34"/>
              <w:ind w:left="12"/>
              <w:jc w:val="center"/>
              <w:rPr>
                <w:sz w:val="21"/>
              </w:rPr>
            </w:pPr>
            <w:r>
              <w:rPr>
                <w:w w:val="100"/>
                <w:sz w:val="21"/>
              </w:rPr>
              <w:t>-</w:t>
            </w:r>
          </w:p>
        </w:tc>
        <w:tc>
          <w:tcPr>
            <w:tcW w:w="1735" w:type="dxa"/>
          </w:tcPr>
          <w:p>
            <w:pPr>
              <w:pStyle w:val="TableParagraph"/>
              <w:spacing w:before="34"/>
              <w:ind w:left="12"/>
              <w:jc w:val="center"/>
              <w:rPr>
                <w:sz w:val="21"/>
              </w:rPr>
            </w:pPr>
            <w:r>
              <w:rPr>
                <w:w w:val="100"/>
                <w:sz w:val="21"/>
              </w:rPr>
              <w:t>-</w:t>
            </w:r>
          </w:p>
        </w:tc>
        <w:tc>
          <w:tcPr>
            <w:tcW w:w="1823" w:type="dxa"/>
          </w:tcPr>
          <w:p>
            <w:pPr>
              <w:pStyle w:val="TableParagraph"/>
              <w:spacing w:before="34"/>
              <w:ind w:right="92"/>
              <w:jc w:val="right"/>
              <w:rPr>
                <w:sz w:val="21"/>
              </w:rPr>
            </w:pPr>
            <w:r>
              <w:rPr>
                <w:w w:val="100"/>
                <w:sz w:val="21"/>
              </w:rPr>
              <w:t>-</w:t>
            </w:r>
          </w:p>
        </w:tc>
        <w:tc>
          <w:tcPr>
            <w:tcW w:w="2107" w:type="dxa"/>
          </w:tcPr>
          <w:p>
            <w:pPr>
              <w:pStyle w:val="TableParagraph"/>
              <w:spacing w:before="34"/>
              <w:ind w:right="91"/>
              <w:jc w:val="right"/>
              <w:rPr>
                <w:sz w:val="21"/>
              </w:rPr>
            </w:pPr>
            <w:r>
              <w:rPr>
                <w:w w:val="100"/>
                <w:sz w:val="21"/>
              </w:rPr>
              <w:t>-</w:t>
            </w:r>
          </w:p>
        </w:tc>
      </w:tr>
      <w:tr>
        <w:trPr>
          <w:trHeight w:val="311" w:hRule="atLeast"/>
        </w:trPr>
        <w:tc>
          <w:tcPr>
            <w:tcW w:w="1670" w:type="dxa"/>
          </w:tcPr>
          <w:p>
            <w:pPr>
              <w:pStyle w:val="TableParagraph"/>
              <w:spacing w:before="34"/>
              <w:ind w:left="9"/>
              <w:jc w:val="center"/>
              <w:rPr>
                <w:sz w:val="21"/>
              </w:rPr>
            </w:pPr>
            <w:r>
              <w:rPr>
                <w:w w:val="100"/>
                <w:sz w:val="21"/>
              </w:rPr>
              <w:t>5</w:t>
            </w:r>
          </w:p>
        </w:tc>
        <w:tc>
          <w:tcPr>
            <w:tcW w:w="1735" w:type="dxa"/>
          </w:tcPr>
          <w:p>
            <w:pPr>
              <w:pStyle w:val="TableParagraph"/>
              <w:spacing w:before="34"/>
              <w:ind w:left="12"/>
              <w:jc w:val="center"/>
              <w:rPr>
                <w:sz w:val="21"/>
              </w:rPr>
            </w:pPr>
            <w:r>
              <w:rPr>
                <w:w w:val="100"/>
                <w:sz w:val="21"/>
              </w:rPr>
              <w:t>-</w:t>
            </w:r>
          </w:p>
        </w:tc>
        <w:tc>
          <w:tcPr>
            <w:tcW w:w="1735" w:type="dxa"/>
          </w:tcPr>
          <w:p>
            <w:pPr>
              <w:pStyle w:val="TableParagraph"/>
              <w:spacing w:before="34"/>
              <w:ind w:left="12"/>
              <w:jc w:val="center"/>
              <w:rPr>
                <w:sz w:val="21"/>
              </w:rPr>
            </w:pPr>
            <w:r>
              <w:rPr>
                <w:w w:val="100"/>
                <w:sz w:val="21"/>
              </w:rPr>
              <w:t>-</w:t>
            </w:r>
          </w:p>
        </w:tc>
        <w:tc>
          <w:tcPr>
            <w:tcW w:w="1823" w:type="dxa"/>
          </w:tcPr>
          <w:p>
            <w:pPr>
              <w:pStyle w:val="TableParagraph"/>
              <w:spacing w:before="34"/>
              <w:ind w:right="92"/>
              <w:jc w:val="right"/>
              <w:rPr>
                <w:sz w:val="21"/>
              </w:rPr>
            </w:pPr>
            <w:r>
              <w:rPr>
                <w:w w:val="100"/>
                <w:sz w:val="21"/>
              </w:rPr>
              <w:t>-</w:t>
            </w:r>
          </w:p>
        </w:tc>
        <w:tc>
          <w:tcPr>
            <w:tcW w:w="2107" w:type="dxa"/>
          </w:tcPr>
          <w:p>
            <w:pPr>
              <w:pStyle w:val="TableParagraph"/>
              <w:spacing w:before="34"/>
              <w:ind w:right="91"/>
              <w:jc w:val="right"/>
              <w:rPr>
                <w:sz w:val="21"/>
              </w:rPr>
            </w:pPr>
            <w:r>
              <w:rPr>
                <w:w w:val="100"/>
                <w:sz w:val="21"/>
              </w:rPr>
              <w:t>-</w:t>
            </w:r>
          </w:p>
        </w:tc>
      </w:tr>
    </w:tbl>
    <w:p>
      <w:pPr>
        <w:pStyle w:val="BodyText"/>
        <w:spacing w:line="417" w:lineRule="auto" w:before="100"/>
        <w:ind w:left="220" w:right="986" w:firstLine="419"/>
      </w:pPr>
      <w:r>
        <w:rPr/>
        <w:pict>
          <v:shape style="position:absolute;margin-left:84.503998pt;margin-top:46.819973pt;width:426.8pt;height:153.65pt;mso-position-horizontal-relative:page;mso-position-vertical-relative:paragraph;z-index:251658240" type="#_x0000_t202" filled="false" stroked="false">
            <v:textbox inset="0,0,0,0">
              <w:txbxContent>
                <w:tbl>
                  <w:tblPr>
                    <w:tblW w:w="0" w:type="auto"/>
                    <w:jc w:val="left"/>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44"/>
                    <w:gridCol w:w="1957"/>
                    <w:gridCol w:w="1109"/>
                    <w:gridCol w:w="1942"/>
                    <w:gridCol w:w="2456"/>
                  </w:tblGrid>
                  <w:tr>
                    <w:trPr>
                      <w:trHeight w:val="1250" w:hRule="atLeast"/>
                    </w:trPr>
                    <w:tc>
                      <w:tcPr>
                        <w:tcW w:w="1044" w:type="dxa"/>
                      </w:tcPr>
                      <w:p>
                        <w:pPr>
                          <w:pStyle w:val="TableParagraph"/>
                          <w:rPr>
                            <w:rFonts w:ascii="宋体"/>
                            <w:sz w:val="20"/>
                          </w:rPr>
                        </w:pPr>
                      </w:p>
                      <w:p>
                        <w:pPr>
                          <w:pStyle w:val="TableParagraph"/>
                          <w:spacing w:before="5"/>
                          <w:rPr>
                            <w:rFonts w:ascii="宋体"/>
                            <w:sz w:val="18"/>
                          </w:rPr>
                        </w:pPr>
                      </w:p>
                      <w:p>
                        <w:pPr>
                          <w:pStyle w:val="TableParagraph"/>
                          <w:spacing w:before="1"/>
                          <w:ind w:left="263" w:right="242"/>
                          <w:jc w:val="center"/>
                          <w:rPr>
                            <w:rFonts w:ascii="宋体" w:eastAsia="宋体" w:hint="eastAsia"/>
                            <w:sz w:val="21"/>
                          </w:rPr>
                        </w:pPr>
                        <w:r>
                          <w:rPr>
                            <w:rFonts w:ascii="宋体" w:eastAsia="宋体" w:hint="eastAsia"/>
                            <w:sz w:val="21"/>
                          </w:rPr>
                          <w:t>代码</w:t>
                        </w:r>
                      </w:p>
                    </w:tc>
                    <w:tc>
                      <w:tcPr>
                        <w:tcW w:w="1957" w:type="dxa"/>
                      </w:tcPr>
                      <w:p>
                        <w:pPr>
                          <w:pStyle w:val="TableParagraph"/>
                          <w:rPr>
                            <w:rFonts w:ascii="宋体"/>
                            <w:sz w:val="20"/>
                          </w:rPr>
                        </w:pPr>
                      </w:p>
                      <w:p>
                        <w:pPr>
                          <w:pStyle w:val="TableParagraph"/>
                          <w:spacing w:before="5"/>
                          <w:rPr>
                            <w:rFonts w:ascii="宋体"/>
                            <w:sz w:val="18"/>
                          </w:rPr>
                        </w:pPr>
                      </w:p>
                      <w:p>
                        <w:pPr>
                          <w:pStyle w:val="TableParagraph"/>
                          <w:spacing w:before="1"/>
                          <w:ind w:left="140" w:right="29"/>
                          <w:jc w:val="center"/>
                          <w:rPr>
                            <w:rFonts w:ascii="宋体" w:eastAsia="宋体" w:hint="eastAsia"/>
                            <w:sz w:val="21"/>
                          </w:rPr>
                        </w:pPr>
                        <w:r>
                          <w:rPr>
                            <w:rFonts w:ascii="宋体" w:eastAsia="宋体" w:hint="eastAsia"/>
                            <w:sz w:val="21"/>
                          </w:rPr>
                          <w:t>名称</w:t>
                        </w:r>
                      </w:p>
                    </w:tc>
                    <w:tc>
                      <w:tcPr>
                        <w:tcW w:w="1109" w:type="dxa"/>
                      </w:tcPr>
                      <w:p>
                        <w:pPr>
                          <w:pStyle w:val="TableParagraph"/>
                          <w:spacing w:before="24"/>
                          <w:ind w:left="236"/>
                          <w:rPr>
                            <w:rFonts w:ascii="宋体" w:eastAsia="宋体" w:hint="eastAsia"/>
                            <w:sz w:val="21"/>
                          </w:rPr>
                        </w:pPr>
                        <w:r>
                          <w:rPr>
                            <w:rFonts w:ascii="宋体" w:eastAsia="宋体" w:hint="eastAsia"/>
                            <w:sz w:val="21"/>
                          </w:rPr>
                          <w:t>持仓量</w:t>
                        </w:r>
                      </w:p>
                      <w:p>
                        <w:pPr>
                          <w:pStyle w:val="TableParagraph"/>
                          <w:spacing w:before="43"/>
                          <w:ind w:left="155"/>
                          <w:rPr>
                            <w:rFonts w:ascii="宋体" w:eastAsia="宋体" w:hint="eastAsia"/>
                            <w:sz w:val="21"/>
                          </w:rPr>
                        </w:pPr>
                        <w:r>
                          <w:rPr>
                            <w:rFonts w:ascii="宋体" w:eastAsia="宋体" w:hint="eastAsia"/>
                            <w:sz w:val="21"/>
                          </w:rPr>
                          <w:t>（买</w:t>
                        </w:r>
                        <w:r>
                          <w:rPr>
                            <w:sz w:val="21"/>
                          </w:rPr>
                          <w:t>/</w:t>
                        </w:r>
                        <w:r>
                          <w:rPr>
                            <w:rFonts w:ascii="宋体" w:eastAsia="宋体" w:hint="eastAsia"/>
                            <w:sz w:val="21"/>
                          </w:rPr>
                          <w:t>卖）</w:t>
                        </w:r>
                      </w:p>
                      <w:p>
                        <w:pPr>
                          <w:pStyle w:val="TableParagraph"/>
                          <w:spacing w:line="312" w:lineRule="exact" w:before="4"/>
                          <w:ind w:left="342" w:right="111" w:hanging="209"/>
                          <w:rPr>
                            <w:rFonts w:ascii="宋体" w:eastAsia="宋体" w:hint="eastAsia"/>
                            <w:sz w:val="21"/>
                          </w:rPr>
                        </w:pPr>
                        <w:r>
                          <w:rPr>
                            <w:rFonts w:ascii="宋体" w:eastAsia="宋体" w:hint="eastAsia"/>
                            <w:sz w:val="21"/>
                          </w:rPr>
                          <w:t>（单位： 手）</w:t>
                        </w:r>
                      </w:p>
                    </w:tc>
                    <w:tc>
                      <w:tcPr>
                        <w:tcW w:w="1942" w:type="dxa"/>
                      </w:tcPr>
                      <w:p>
                        <w:pPr>
                          <w:pStyle w:val="TableParagraph"/>
                          <w:rPr>
                            <w:rFonts w:ascii="宋体"/>
                            <w:sz w:val="20"/>
                          </w:rPr>
                        </w:pPr>
                      </w:p>
                      <w:p>
                        <w:pPr>
                          <w:pStyle w:val="TableParagraph"/>
                          <w:spacing w:before="5"/>
                          <w:rPr>
                            <w:rFonts w:ascii="宋体"/>
                            <w:sz w:val="18"/>
                          </w:rPr>
                        </w:pPr>
                      </w:p>
                      <w:p>
                        <w:pPr>
                          <w:pStyle w:val="TableParagraph"/>
                          <w:spacing w:before="1"/>
                          <w:ind w:left="548"/>
                          <w:rPr>
                            <w:rFonts w:ascii="宋体" w:eastAsia="宋体" w:hint="eastAsia"/>
                            <w:sz w:val="21"/>
                          </w:rPr>
                        </w:pPr>
                        <w:r>
                          <w:rPr>
                            <w:rFonts w:ascii="宋体" w:eastAsia="宋体" w:hint="eastAsia"/>
                            <w:sz w:val="21"/>
                          </w:rPr>
                          <w:t>合约市值</w:t>
                        </w:r>
                      </w:p>
                    </w:tc>
                    <w:tc>
                      <w:tcPr>
                        <w:tcW w:w="2456" w:type="dxa"/>
                      </w:tcPr>
                      <w:p>
                        <w:pPr>
                          <w:pStyle w:val="TableParagraph"/>
                          <w:rPr>
                            <w:rFonts w:ascii="宋体"/>
                            <w:sz w:val="20"/>
                          </w:rPr>
                        </w:pPr>
                      </w:p>
                      <w:p>
                        <w:pPr>
                          <w:pStyle w:val="TableParagraph"/>
                          <w:spacing w:before="5"/>
                          <w:rPr>
                            <w:rFonts w:ascii="宋体"/>
                            <w:sz w:val="18"/>
                          </w:rPr>
                        </w:pPr>
                      </w:p>
                      <w:p>
                        <w:pPr>
                          <w:pStyle w:val="TableParagraph"/>
                          <w:spacing w:before="1"/>
                          <w:ind w:left="596"/>
                          <w:rPr>
                            <w:rFonts w:ascii="宋体" w:eastAsia="宋体" w:hint="eastAsia"/>
                            <w:sz w:val="21"/>
                          </w:rPr>
                        </w:pPr>
                        <w:r>
                          <w:rPr>
                            <w:rFonts w:ascii="宋体" w:eastAsia="宋体" w:hint="eastAsia"/>
                            <w:sz w:val="21"/>
                          </w:rPr>
                          <w:t>公允价值变动</w:t>
                        </w:r>
                      </w:p>
                    </w:tc>
                  </w:tr>
                  <w:tr>
                    <w:trPr>
                      <w:trHeight w:val="623" w:hRule="atLeast"/>
                    </w:trPr>
                    <w:tc>
                      <w:tcPr>
                        <w:tcW w:w="1044" w:type="dxa"/>
                      </w:tcPr>
                      <w:p>
                        <w:pPr>
                          <w:pStyle w:val="TableParagraph"/>
                          <w:spacing w:before="190"/>
                          <w:ind w:left="263" w:right="242"/>
                          <w:jc w:val="center"/>
                          <w:rPr>
                            <w:sz w:val="21"/>
                          </w:rPr>
                        </w:pPr>
                        <w:r>
                          <w:rPr>
                            <w:sz w:val="21"/>
                          </w:rPr>
                          <w:t>HIN0</w:t>
                        </w:r>
                      </w:p>
                    </w:tc>
                    <w:tc>
                      <w:tcPr>
                        <w:tcW w:w="1957" w:type="dxa"/>
                      </w:tcPr>
                      <w:p>
                        <w:pPr>
                          <w:pStyle w:val="TableParagraph"/>
                          <w:spacing w:before="34"/>
                          <w:ind w:left="140" w:right="122"/>
                          <w:jc w:val="center"/>
                          <w:rPr>
                            <w:sz w:val="21"/>
                          </w:rPr>
                        </w:pPr>
                        <w:r>
                          <w:rPr>
                            <w:sz w:val="21"/>
                          </w:rPr>
                          <w:t>HANG SENG IDX</w:t>
                        </w:r>
                      </w:p>
                      <w:p>
                        <w:pPr>
                          <w:pStyle w:val="TableParagraph"/>
                          <w:spacing w:before="70"/>
                          <w:ind w:left="140" w:right="120"/>
                          <w:jc w:val="center"/>
                          <w:rPr>
                            <w:sz w:val="21"/>
                          </w:rPr>
                        </w:pPr>
                        <w:r>
                          <w:rPr>
                            <w:sz w:val="21"/>
                          </w:rPr>
                          <w:t>FUT Jul20</w:t>
                        </w:r>
                      </w:p>
                    </w:tc>
                    <w:tc>
                      <w:tcPr>
                        <w:tcW w:w="1109" w:type="dxa"/>
                      </w:tcPr>
                      <w:p>
                        <w:pPr>
                          <w:pStyle w:val="TableParagraph"/>
                          <w:spacing w:before="190"/>
                          <w:ind w:right="87"/>
                          <w:jc w:val="right"/>
                          <w:rPr>
                            <w:sz w:val="21"/>
                          </w:rPr>
                        </w:pPr>
                        <w:r>
                          <w:rPr>
                            <w:sz w:val="21"/>
                          </w:rPr>
                          <w:t>50</w:t>
                        </w:r>
                      </w:p>
                    </w:tc>
                    <w:tc>
                      <w:tcPr>
                        <w:tcW w:w="1942" w:type="dxa"/>
                      </w:tcPr>
                      <w:p>
                        <w:pPr>
                          <w:pStyle w:val="TableParagraph"/>
                          <w:spacing w:before="190"/>
                          <w:ind w:left="625"/>
                          <w:rPr>
                            <w:sz w:val="21"/>
                          </w:rPr>
                        </w:pPr>
                        <w:r>
                          <w:rPr>
                            <w:sz w:val="21"/>
                          </w:rPr>
                          <w:t>55,408,531.61</w:t>
                        </w:r>
                      </w:p>
                    </w:tc>
                    <w:tc>
                      <w:tcPr>
                        <w:tcW w:w="2456" w:type="dxa"/>
                      </w:tcPr>
                      <w:p>
                        <w:pPr>
                          <w:pStyle w:val="TableParagraph"/>
                          <w:spacing w:before="190"/>
                          <w:ind w:right="84"/>
                          <w:jc w:val="right"/>
                          <w:rPr>
                            <w:sz w:val="21"/>
                          </w:rPr>
                        </w:pPr>
                        <w:r>
                          <w:rPr>
                            <w:sz w:val="21"/>
                          </w:rPr>
                          <w:t>-18,634.18</w:t>
                        </w:r>
                      </w:p>
                    </w:tc>
                  </w:tr>
                  <w:tr>
                    <w:trPr>
                      <w:trHeight w:val="359" w:hRule="atLeast"/>
                    </w:trPr>
                    <w:tc>
                      <w:tcPr>
                        <w:tcW w:w="6052" w:type="dxa"/>
                        <w:gridSpan w:val="4"/>
                      </w:tcPr>
                      <w:p>
                        <w:pPr>
                          <w:pStyle w:val="TableParagraph"/>
                          <w:spacing w:before="46"/>
                          <w:ind w:left="1974"/>
                          <w:rPr>
                            <w:rFonts w:ascii="宋体" w:eastAsia="宋体" w:hint="eastAsia"/>
                            <w:sz w:val="21"/>
                          </w:rPr>
                        </w:pPr>
                        <w:r>
                          <w:rPr>
                            <w:rFonts w:ascii="宋体" w:eastAsia="宋体" w:hint="eastAsia"/>
                            <w:sz w:val="21"/>
                          </w:rPr>
                          <w:t>公允价值变动总额合计</w:t>
                        </w:r>
                      </w:p>
                    </w:tc>
                    <w:tc>
                      <w:tcPr>
                        <w:tcW w:w="2456" w:type="dxa"/>
                      </w:tcPr>
                      <w:p>
                        <w:pPr>
                          <w:pStyle w:val="TableParagraph"/>
                          <w:spacing w:before="58"/>
                          <w:ind w:right="84"/>
                          <w:jc w:val="right"/>
                          <w:rPr>
                            <w:sz w:val="21"/>
                          </w:rPr>
                        </w:pPr>
                        <w:r>
                          <w:rPr>
                            <w:sz w:val="21"/>
                          </w:rPr>
                          <w:t>-18,634.18</w:t>
                        </w:r>
                      </w:p>
                    </w:tc>
                  </w:tr>
                  <w:tr>
                    <w:trPr>
                      <w:trHeight w:val="361" w:hRule="atLeast"/>
                    </w:trPr>
                    <w:tc>
                      <w:tcPr>
                        <w:tcW w:w="6052" w:type="dxa"/>
                        <w:gridSpan w:val="4"/>
                      </w:tcPr>
                      <w:p>
                        <w:pPr>
                          <w:pStyle w:val="TableParagraph"/>
                          <w:spacing w:before="49"/>
                          <w:ind w:left="1974"/>
                          <w:rPr>
                            <w:rFonts w:ascii="宋体" w:eastAsia="宋体" w:hint="eastAsia"/>
                            <w:sz w:val="21"/>
                          </w:rPr>
                        </w:pPr>
                        <w:r>
                          <w:rPr>
                            <w:rFonts w:ascii="宋体" w:eastAsia="宋体" w:hint="eastAsia"/>
                            <w:sz w:val="21"/>
                          </w:rPr>
                          <w:t>股指期货投资本期收益</w:t>
                        </w:r>
                      </w:p>
                    </w:tc>
                    <w:tc>
                      <w:tcPr>
                        <w:tcW w:w="2456" w:type="dxa"/>
                      </w:tcPr>
                      <w:p>
                        <w:pPr>
                          <w:pStyle w:val="TableParagraph"/>
                          <w:spacing w:before="84"/>
                          <w:ind w:right="84"/>
                          <w:jc w:val="right"/>
                          <w:rPr>
                            <w:sz w:val="21"/>
                          </w:rPr>
                        </w:pPr>
                        <w:r>
                          <w:rPr>
                            <w:sz w:val="21"/>
                          </w:rPr>
                          <w:t>7,362,748.99</w:t>
                        </w:r>
                      </w:p>
                    </w:tc>
                  </w:tr>
                  <w:tr>
                    <w:trPr>
                      <w:trHeight w:val="359" w:hRule="atLeast"/>
                    </w:trPr>
                    <w:tc>
                      <w:tcPr>
                        <w:tcW w:w="6052" w:type="dxa"/>
                        <w:gridSpan w:val="4"/>
                      </w:tcPr>
                      <w:p>
                        <w:pPr>
                          <w:pStyle w:val="TableParagraph"/>
                          <w:spacing w:before="46"/>
                          <w:ind w:left="1552"/>
                          <w:rPr>
                            <w:rFonts w:ascii="宋体" w:eastAsia="宋体" w:hint="eastAsia"/>
                            <w:sz w:val="21"/>
                          </w:rPr>
                        </w:pPr>
                        <w:r>
                          <w:rPr>
                            <w:rFonts w:ascii="宋体" w:eastAsia="宋体" w:hint="eastAsia"/>
                            <w:sz w:val="21"/>
                          </w:rPr>
                          <w:t>股指期货投资本期公允价值变动</w:t>
                        </w:r>
                      </w:p>
                    </w:tc>
                    <w:tc>
                      <w:tcPr>
                        <w:tcW w:w="2456" w:type="dxa"/>
                      </w:tcPr>
                      <w:p>
                        <w:pPr>
                          <w:pStyle w:val="TableParagraph"/>
                          <w:spacing w:before="82"/>
                          <w:ind w:right="84"/>
                          <w:jc w:val="right"/>
                          <w:rPr>
                            <w:sz w:val="21"/>
                          </w:rPr>
                        </w:pPr>
                        <w:r>
                          <w:rPr>
                            <w:sz w:val="21"/>
                          </w:rPr>
                          <w:t>-3,666,764.17</w:t>
                        </w:r>
                      </w:p>
                    </w:tc>
                  </w:tr>
                </w:tbl>
                <w:p>
                  <w:pPr>
                    <w:pStyle w:val="BodyText"/>
                    <w:ind w:left="0"/>
                  </w:pPr>
                </w:p>
              </w:txbxContent>
            </v:textbox>
            <w10:wrap type="none"/>
          </v:shape>
        </w:pict>
      </w:r>
      <w:r>
        <w:rPr>
          <w:spacing w:val="-3"/>
        </w:rPr>
        <w:t>注：期货投资采用当日无负债结算制度，相关价值已包含在结算备付金中，具体投资</w:t>
      </w:r>
      <w:r>
        <w:rPr>
          <w:spacing w:val="-3"/>
          <w:w w:val="100"/>
        </w:rPr>
        <w:t>情况详见下表（买入持仓量以正数表示，卖出持仓量以负数表示</w:t>
      </w:r>
      <w:r>
        <w:rPr>
          <w:spacing w:val="-108"/>
          <w:w w:val="100"/>
        </w:rPr>
        <w:t>）</w:t>
      </w:r>
      <w:r>
        <w:rPr>
          <w:w w:val="100"/>
        </w:rPr>
        <w:t>：</w:t>
      </w: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spacing w:before="10"/>
        <w:ind w:left="0"/>
        <w:rPr>
          <w:sz w:val="19"/>
        </w:rPr>
      </w:pPr>
    </w:p>
    <w:p>
      <w:pPr>
        <w:pStyle w:val="ListParagraph"/>
        <w:numPr>
          <w:ilvl w:val="1"/>
          <w:numId w:val="5"/>
        </w:numPr>
        <w:tabs>
          <w:tab w:pos="538" w:val="left" w:leader="none"/>
        </w:tabs>
        <w:spacing w:line="240" w:lineRule="auto" w:before="0" w:after="0"/>
        <w:ind w:left="537" w:right="0" w:hanging="318"/>
        <w:jc w:val="left"/>
        <w:rPr>
          <w:sz w:val="21"/>
        </w:rPr>
      </w:pPr>
      <w:r>
        <w:rPr>
          <w:spacing w:val="-3"/>
          <w:sz w:val="21"/>
        </w:rPr>
        <w:t>报告期末按公允价值占基金资产净值比例大小排序的前十名基金投资明细</w:t>
      </w:r>
    </w:p>
    <w:p>
      <w:pPr>
        <w:pStyle w:val="BodyText"/>
        <w:spacing w:before="10"/>
        <w:ind w:left="0"/>
        <w:rPr>
          <w:sz w:val="7"/>
        </w:rPr>
      </w:pPr>
    </w:p>
    <w:tbl>
      <w:tblPr>
        <w:tblW w:w="0" w:type="auto"/>
        <w:jc w:val="left"/>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12"/>
        <w:gridCol w:w="1273"/>
        <w:gridCol w:w="1270"/>
        <w:gridCol w:w="1270"/>
        <w:gridCol w:w="1272"/>
        <w:gridCol w:w="1501"/>
        <w:gridCol w:w="1277"/>
      </w:tblGrid>
      <w:tr>
        <w:trPr>
          <w:trHeight w:val="938" w:hRule="atLeast"/>
        </w:trPr>
        <w:tc>
          <w:tcPr>
            <w:tcW w:w="1212" w:type="dxa"/>
          </w:tcPr>
          <w:p>
            <w:pPr>
              <w:pStyle w:val="TableParagraph"/>
              <w:spacing w:before="1"/>
              <w:rPr>
                <w:rFonts w:ascii="宋体"/>
                <w:sz w:val="26"/>
              </w:rPr>
            </w:pPr>
          </w:p>
          <w:p>
            <w:pPr>
              <w:pStyle w:val="TableParagraph"/>
              <w:ind w:left="395"/>
              <w:rPr>
                <w:rFonts w:ascii="宋体" w:eastAsia="宋体" w:hint="eastAsia"/>
                <w:sz w:val="21"/>
              </w:rPr>
            </w:pPr>
            <w:r>
              <w:rPr>
                <w:rFonts w:ascii="宋体" w:eastAsia="宋体" w:hint="eastAsia"/>
                <w:sz w:val="21"/>
              </w:rPr>
              <w:t>序号</w:t>
            </w:r>
          </w:p>
        </w:tc>
        <w:tc>
          <w:tcPr>
            <w:tcW w:w="1273" w:type="dxa"/>
          </w:tcPr>
          <w:p>
            <w:pPr>
              <w:pStyle w:val="TableParagraph"/>
              <w:spacing w:before="1"/>
              <w:rPr>
                <w:rFonts w:ascii="宋体"/>
                <w:sz w:val="26"/>
              </w:rPr>
            </w:pPr>
          </w:p>
          <w:p>
            <w:pPr>
              <w:pStyle w:val="TableParagraph"/>
              <w:ind w:left="107"/>
              <w:rPr>
                <w:rFonts w:ascii="宋体" w:eastAsia="宋体" w:hint="eastAsia"/>
                <w:sz w:val="21"/>
              </w:rPr>
            </w:pPr>
            <w:r>
              <w:rPr>
                <w:rFonts w:ascii="宋体" w:eastAsia="宋体" w:hint="eastAsia"/>
                <w:sz w:val="21"/>
              </w:rPr>
              <w:t>基金名称</w:t>
            </w:r>
          </w:p>
        </w:tc>
        <w:tc>
          <w:tcPr>
            <w:tcW w:w="1270" w:type="dxa"/>
          </w:tcPr>
          <w:p>
            <w:pPr>
              <w:pStyle w:val="TableParagraph"/>
              <w:spacing w:before="1"/>
              <w:rPr>
                <w:rFonts w:ascii="宋体"/>
                <w:sz w:val="26"/>
              </w:rPr>
            </w:pPr>
          </w:p>
          <w:p>
            <w:pPr>
              <w:pStyle w:val="TableParagraph"/>
              <w:ind w:left="107"/>
              <w:rPr>
                <w:rFonts w:ascii="宋体" w:eastAsia="宋体" w:hint="eastAsia"/>
                <w:sz w:val="21"/>
              </w:rPr>
            </w:pPr>
            <w:r>
              <w:rPr>
                <w:rFonts w:ascii="宋体" w:eastAsia="宋体" w:hint="eastAsia"/>
                <w:sz w:val="21"/>
              </w:rPr>
              <w:t>基金类型</w:t>
            </w:r>
          </w:p>
        </w:tc>
        <w:tc>
          <w:tcPr>
            <w:tcW w:w="1270" w:type="dxa"/>
          </w:tcPr>
          <w:p>
            <w:pPr>
              <w:pStyle w:val="TableParagraph"/>
              <w:spacing w:before="1"/>
              <w:rPr>
                <w:rFonts w:ascii="宋体"/>
                <w:sz w:val="26"/>
              </w:rPr>
            </w:pPr>
          </w:p>
          <w:p>
            <w:pPr>
              <w:pStyle w:val="TableParagraph"/>
              <w:ind w:left="212"/>
              <w:rPr>
                <w:rFonts w:ascii="宋体" w:eastAsia="宋体" w:hint="eastAsia"/>
                <w:sz w:val="21"/>
              </w:rPr>
            </w:pPr>
            <w:r>
              <w:rPr>
                <w:rFonts w:ascii="宋体" w:eastAsia="宋体" w:hint="eastAsia"/>
                <w:sz w:val="21"/>
              </w:rPr>
              <w:t>运作方式</w:t>
            </w:r>
          </w:p>
        </w:tc>
        <w:tc>
          <w:tcPr>
            <w:tcW w:w="1272" w:type="dxa"/>
          </w:tcPr>
          <w:p>
            <w:pPr>
              <w:pStyle w:val="TableParagraph"/>
              <w:spacing w:before="1"/>
              <w:rPr>
                <w:rFonts w:ascii="宋体"/>
                <w:sz w:val="26"/>
              </w:rPr>
            </w:pPr>
          </w:p>
          <w:p>
            <w:pPr>
              <w:pStyle w:val="TableParagraph"/>
              <w:ind w:left="318"/>
              <w:rPr>
                <w:rFonts w:ascii="宋体" w:eastAsia="宋体" w:hint="eastAsia"/>
                <w:sz w:val="21"/>
              </w:rPr>
            </w:pPr>
            <w:r>
              <w:rPr>
                <w:rFonts w:ascii="宋体" w:eastAsia="宋体" w:hint="eastAsia"/>
                <w:sz w:val="21"/>
              </w:rPr>
              <w:t>管理人</w:t>
            </w:r>
          </w:p>
        </w:tc>
        <w:tc>
          <w:tcPr>
            <w:tcW w:w="1501" w:type="dxa"/>
          </w:tcPr>
          <w:p>
            <w:pPr>
              <w:pStyle w:val="TableParagraph"/>
              <w:spacing w:before="99"/>
              <w:ind w:left="306" w:right="304"/>
              <w:jc w:val="center"/>
              <w:rPr>
                <w:rFonts w:ascii="宋体" w:eastAsia="宋体" w:hint="eastAsia"/>
                <w:sz w:val="21"/>
              </w:rPr>
            </w:pPr>
            <w:r>
              <w:rPr>
                <w:rFonts w:ascii="宋体" w:eastAsia="宋体" w:hint="eastAsia"/>
                <w:sz w:val="21"/>
              </w:rPr>
              <w:t>公允价值</w:t>
            </w:r>
          </w:p>
          <w:p>
            <w:pPr>
              <w:pStyle w:val="TableParagraph"/>
              <w:spacing w:before="7"/>
              <w:rPr>
                <w:rFonts w:ascii="宋体"/>
                <w:sz w:val="15"/>
              </w:rPr>
            </w:pPr>
          </w:p>
          <w:p>
            <w:pPr>
              <w:pStyle w:val="TableParagraph"/>
              <w:ind w:left="306" w:right="302"/>
              <w:jc w:val="center"/>
              <w:rPr>
                <w:rFonts w:ascii="宋体" w:eastAsia="宋体" w:hint="eastAsia"/>
                <w:sz w:val="21"/>
              </w:rPr>
            </w:pPr>
            <w:r>
              <w:rPr>
                <w:rFonts w:ascii="宋体" w:eastAsia="宋体" w:hint="eastAsia"/>
                <w:sz w:val="21"/>
              </w:rPr>
              <w:t>（元）</w:t>
            </w:r>
          </w:p>
        </w:tc>
        <w:tc>
          <w:tcPr>
            <w:tcW w:w="1277" w:type="dxa"/>
          </w:tcPr>
          <w:p>
            <w:pPr>
              <w:pStyle w:val="TableParagraph"/>
              <w:spacing w:before="99"/>
              <w:ind w:left="90" w:right="86"/>
              <w:jc w:val="center"/>
              <w:rPr>
                <w:rFonts w:ascii="宋体" w:eastAsia="宋体" w:hint="eastAsia"/>
                <w:sz w:val="21"/>
              </w:rPr>
            </w:pPr>
            <w:r>
              <w:rPr>
                <w:rFonts w:ascii="宋体" w:eastAsia="宋体" w:hint="eastAsia"/>
                <w:sz w:val="21"/>
              </w:rPr>
              <w:t>占基金资产</w:t>
            </w:r>
          </w:p>
          <w:p>
            <w:pPr>
              <w:pStyle w:val="TableParagraph"/>
              <w:spacing w:before="7"/>
              <w:rPr>
                <w:rFonts w:ascii="宋体"/>
                <w:sz w:val="15"/>
              </w:rPr>
            </w:pPr>
          </w:p>
          <w:p>
            <w:pPr>
              <w:pStyle w:val="TableParagraph"/>
              <w:ind w:left="90" w:right="86"/>
              <w:jc w:val="center"/>
              <w:rPr>
                <w:rFonts w:ascii="宋体" w:eastAsia="宋体" w:hint="eastAsia"/>
                <w:sz w:val="21"/>
              </w:rPr>
            </w:pPr>
            <w:r>
              <w:rPr>
                <w:rFonts w:ascii="宋体" w:eastAsia="宋体" w:hint="eastAsia"/>
                <w:sz w:val="21"/>
              </w:rPr>
              <w:t>净值比例</w:t>
            </w:r>
          </w:p>
        </w:tc>
      </w:tr>
    </w:tbl>
    <w:p>
      <w:pPr>
        <w:spacing w:after="0"/>
        <w:jc w:val="center"/>
        <w:rPr>
          <w:rFonts w:ascii="宋体" w:eastAsia="宋体" w:hint="eastAsia"/>
          <w:sz w:val="21"/>
        </w:rPr>
        <w:sectPr>
          <w:pgSz w:w="11910" w:h="16840"/>
          <w:pgMar w:header="705" w:footer="683" w:top="1420" w:bottom="880" w:left="1580" w:right="920"/>
        </w:sectPr>
      </w:pPr>
    </w:p>
    <w:tbl>
      <w:tblPr>
        <w:tblW w:w="0" w:type="auto"/>
        <w:jc w:val="left"/>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12"/>
        <w:gridCol w:w="1273"/>
        <w:gridCol w:w="1270"/>
        <w:gridCol w:w="1270"/>
        <w:gridCol w:w="1272"/>
        <w:gridCol w:w="1501"/>
        <w:gridCol w:w="1277"/>
      </w:tblGrid>
      <w:tr>
        <w:trPr>
          <w:trHeight w:val="468" w:hRule="atLeast"/>
        </w:trPr>
        <w:tc>
          <w:tcPr>
            <w:tcW w:w="1212" w:type="dxa"/>
          </w:tcPr>
          <w:p>
            <w:pPr>
              <w:pStyle w:val="TableParagraph"/>
              <w:rPr>
                <w:sz w:val="20"/>
              </w:rPr>
            </w:pPr>
          </w:p>
        </w:tc>
        <w:tc>
          <w:tcPr>
            <w:tcW w:w="1273" w:type="dxa"/>
          </w:tcPr>
          <w:p>
            <w:pPr>
              <w:pStyle w:val="TableParagraph"/>
              <w:rPr>
                <w:sz w:val="20"/>
              </w:rPr>
            </w:pPr>
          </w:p>
        </w:tc>
        <w:tc>
          <w:tcPr>
            <w:tcW w:w="1270" w:type="dxa"/>
          </w:tcPr>
          <w:p>
            <w:pPr>
              <w:pStyle w:val="TableParagraph"/>
              <w:rPr>
                <w:sz w:val="20"/>
              </w:rPr>
            </w:pPr>
          </w:p>
        </w:tc>
        <w:tc>
          <w:tcPr>
            <w:tcW w:w="1270" w:type="dxa"/>
          </w:tcPr>
          <w:p>
            <w:pPr>
              <w:pStyle w:val="TableParagraph"/>
              <w:rPr>
                <w:sz w:val="20"/>
              </w:rPr>
            </w:pPr>
          </w:p>
        </w:tc>
        <w:tc>
          <w:tcPr>
            <w:tcW w:w="1272" w:type="dxa"/>
          </w:tcPr>
          <w:p>
            <w:pPr>
              <w:pStyle w:val="TableParagraph"/>
              <w:rPr>
                <w:sz w:val="20"/>
              </w:rPr>
            </w:pPr>
          </w:p>
        </w:tc>
        <w:tc>
          <w:tcPr>
            <w:tcW w:w="1501" w:type="dxa"/>
          </w:tcPr>
          <w:p>
            <w:pPr>
              <w:pStyle w:val="TableParagraph"/>
              <w:rPr>
                <w:sz w:val="20"/>
              </w:rPr>
            </w:pPr>
          </w:p>
        </w:tc>
        <w:tc>
          <w:tcPr>
            <w:tcW w:w="1277" w:type="dxa"/>
          </w:tcPr>
          <w:p>
            <w:pPr>
              <w:pStyle w:val="TableParagraph"/>
              <w:spacing w:before="111"/>
              <w:ind w:left="90" w:right="86"/>
              <w:jc w:val="center"/>
              <w:rPr>
                <w:sz w:val="21"/>
              </w:rPr>
            </w:pPr>
            <w:r>
              <w:rPr>
                <w:sz w:val="21"/>
              </w:rPr>
              <w:t>(%)</w:t>
            </w:r>
          </w:p>
        </w:tc>
      </w:tr>
      <w:tr>
        <w:trPr>
          <w:trHeight w:val="623" w:hRule="atLeast"/>
        </w:trPr>
        <w:tc>
          <w:tcPr>
            <w:tcW w:w="1212" w:type="dxa"/>
          </w:tcPr>
          <w:p>
            <w:pPr>
              <w:pStyle w:val="TableParagraph"/>
              <w:spacing w:before="190"/>
              <w:ind w:left="7"/>
              <w:jc w:val="center"/>
              <w:rPr>
                <w:sz w:val="21"/>
              </w:rPr>
            </w:pPr>
            <w:r>
              <w:rPr>
                <w:w w:val="100"/>
                <w:sz w:val="21"/>
              </w:rPr>
              <w:t>1</w:t>
            </w:r>
          </w:p>
        </w:tc>
        <w:tc>
          <w:tcPr>
            <w:tcW w:w="1273" w:type="dxa"/>
          </w:tcPr>
          <w:p>
            <w:pPr>
              <w:pStyle w:val="TableParagraph"/>
              <w:spacing w:before="22"/>
              <w:ind w:left="134" w:right="126"/>
              <w:jc w:val="center"/>
              <w:rPr>
                <w:rFonts w:ascii="宋体" w:eastAsia="宋体" w:hint="eastAsia"/>
                <w:sz w:val="21"/>
              </w:rPr>
            </w:pPr>
            <w:r>
              <w:rPr>
                <w:rFonts w:ascii="宋体" w:eastAsia="宋体" w:hint="eastAsia"/>
                <w:sz w:val="21"/>
              </w:rPr>
              <w:t>恒生</w:t>
            </w:r>
          </w:p>
          <w:p>
            <w:pPr>
              <w:pStyle w:val="TableParagraph"/>
              <w:spacing w:before="55"/>
              <w:ind w:left="134" w:right="131"/>
              <w:jc w:val="center"/>
              <w:rPr>
                <w:sz w:val="21"/>
              </w:rPr>
            </w:pPr>
            <w:r>
              <w:rPr>
                <w:sz w:val="21"/>
              </w:rPr>
              <w:t>ETF(QDII)</w:t>
            </w:r>
          </w:p>
        </w:tc>
        <w:tc>
          <w:tcPr>
            <w:tcW w:w="1270" w:type="dxa"/>
          </w:tcPr>
          <w:p>
            <w:pPr>
              <w:pStyle w:val="TableParagraph"/>
              <w:spacing w:before="178"/>
              <w:ind w:left="318"/>
              <w:rPr>
                <w:rFonts w:ascii="宋体" w:eastAsia="宋体" w:hint="eastAsia"/>
                <w:sz w:val="21"/>
              </w:rPr>
            </w:pPr>
            <w:r>
              <w:rPr>
                <w:rFonts w:ascii="宋体" w:eastAsia="宋体" w:hint="eastAsia"/>
                <w:sz w:val="21"/>
              </w:rPr>
              <w:t>股票型</w:t>
            </w:r>
          </w:p>
        </w:tc>
        <w:tc>
          <w:tcPr>
            <w:tcW w:w="1270" w:type="dxa"/>
          </w:tcPr>
          <w:p>
            <w:pPr>
              <w:pStyle w:val="TableParagraph"/>
              <w:spacing w:before="22"/>
              <w:ind w:left="88" w:right="81"/>
              <w:jc w:val="center"/>
              <w:rPr>
                <w:rFonts w:ascii="宋体" w:eastAsia="宋体" w:hint="eastAsia"/>
                <w:sz w:val="21"/>
              </w:rPr>
            </w:pPr>
            <w:r>
              <w:rPr>
                <w:rFonts w:ascii="宋体" w:eastAsia="宋体" w:hint="eastAsia"/>
                <w:sz w:val="21"/>
              </w:rPr>
              <w:t>交易型开放</w:t>
            </w:r>
          </w:p>
          <w:p>
            <w:pPr>
              <w:pStyle w:val="TableParagraph"/>
              <w:spacing w:before="43"/>
              <w:ind w:left="5"/>
              <w:jc w:val="center"/>
              <w:rPr>
                <w:rFonts w:ascii="宋体" w:eastAsia="宋体" w:hint="eastAsia"/>
                <w:sz w:val="21"/>
              </w:rPr>
            </w:pPr>
            <w:r>
              <w:rPr>
                <w:rFonts w:ascii="宋体" w:eastAsia="宋体" w:hint="eastAsia"/>
                <w:w w:val="100"/>
                <w:sz w:val="21"/>
              </w:rPr>
              <w:t>式</w:t>
            </w:r>
          </w:p>
        </w:tc>
        <w:tc>
          <w:tcPr>
            <w:tcW w:w="1272" w:type="dxa"/>
          </w:tcPr>
          <w:p>
            <w:pPr>
              <w:pStyle w:val="TableParagraph"/>
              <w:spacing w:before="22"/>
              <w:ind w:left="106"/>
              <w:rPr>
                <w:rFonts w:ascii="宋体" w:eastAsia="宋体" w:hint="eastAsia"/>
                <w:sz w:val="21"/>
              </w:rPr>
            </w:pPr>
            <w:r>
              <w:rPr>
                <w:rFonts w:ascii="宋体" w:eastAsia="宋体" w:hint="eastAsia"/>
                <w:spacing w:val="-1"/>
                <w:sz w:val="21"/>
              </w:rPr>
              <w:t>华夏基金管</w:t>
            </w:r>
          </w:p>
          <w:p>
            <w:pPr>
              <w:pStyle w:val="TableParagraph"/>
              <w:spacing w:before="43"/>
              <w:ind w:left="106"/>
              <w:rPr>
                <w:rFonts w:ascii="宋体" w:eastAsia="宋体" w:hint="eastAsia"/>
                <w:sz w:val="21"/>
              </w:rPr>
            </w:pPr>
            <w:r>
              <w:rPr>
                <w:rFonts w:ascii="宋体" w:eastAsia="宋体" w:hint="eastAsia"/>
                <w:spacing w:val="-1"/>
                <w:sz w:val="21"/>
              </w:rPr>
              <w:t>理有限公司</w:t>
            </w:r>
          </w:p>
        </w:tc>
        <w:tc>
          <w:tcPr>
            <w:tcW w:w="1501" w:type="dxa"/>
          </w:tcPr>
          <w:p>
            <w:pPr>
              <w:pStyle w:val="TableParagraph"/>
              <w:spacing w:before="34"/>
              <w:ind w:right="97"/>
              <w:jc w:val="right"/>
              <w:rPr>
                <w:sz w:val="21"/>
              </w:rPr>
            </w:pPr>
            <w:r>
              <w:rPr>
                <w:spacing w:val="-1"/>
                <w:sz w:val="21"/>
              </w:rPr>
              <w:t>1,648,774,597.</w:t>
            </w:r>
          </w:p>
          <w:p>
            <w:pPr>
              <w:pStyle w:val="TableParagraph"/>
              <w:spacing w:before="70"/>
              <w:ind w:right="99"/>
              <w:jc w:val="right"/>
              <w:rPr>
                <w:sz w:val="21"/>
              </w:rPr>
            </w:pPr>
            <w:r>
              <w:rPr>
                <w:spacing w:val="-1"/>
                <w:sz w:val="21"/>
              </w:rPr>
              <w:t>69</w:t>
            </w:r>
          </w:p>
        </w:tc>
        <w:tc>
          <w:tcPr>
            <w:tcW w:w="1277" w:type="dxa"/>
          </w:tcPr>
          <w:p>
            <w:pPr>
              <w:pStyle w:val="TableParagraph"/>
              <w:spacing w:before="190"/>
              <w:ind w:left="694"/>
              <w:rPr>
                <w:sz w:val="21"/>
              </w:rPr>
            </w:pPr>
            <w:r>
              <w:rPr>
                <w:sz w:val="21"/>
              </w:rPr>
              <w:t>91.97</w:t>
            </w:r>
          </w:p>
        </w:tc>
      </w:tr>
    </w:tbl>
    <w:p>
      <w:pPr>
        <w:pStyle w:val="ListParagraph"/>
        <w:numPr>
          <w:ilvl w:val="1"/>
          <w:numId w:val="5"/>
        </w:numPr>
        <w:tabs>
          <w:tab w:pos="643" w:val="left" w:leader="none"/>
        </w:tabs>
        <w:spacing w:line="240" w:lineRule="auto" w:before="109" w:after="0"/>
        <w:ind w:left="642" w:right="0" w:hanging="423"/>
        <w:jc w:val="both"/>
        <w:rPr>
          <w:sz w:val="21"/>
        </w:rPr>
      </w:pPr>
      <w:r>
        <w:rPr>
          <w:spacing w:val="-3"/>
          <w:sz w:val="21"/>
        </w:rPr>
        <w:t>投资组合报告附注</w:t>
      </w:r>
    </w:p>
    <w:p>
      <w:pPr>
        <w:pStyle w:val="BodyText"/>
        <w:spacing w:before="7"/>
        <w:ind w:left="0"/>
        <w:rPr>
          <w:sz w:val="15"/>
        </w:rPr>
      </w:pPr>
    </w:p>
    <w:p>
      <w:pPr>
        <w:pStyle w:val="ListParagraph"/>
        <w:numPr>
          <w:ilvl w:val="2"/>
          <w:numId w:val="5"/>
        </w:numPr>
        <w:tabs>
          <w:tab w:pos="799" w:val="left" w:leader="none"/>
        </w:tabs>
        <w:spacing w:line="417" w:lineRule="auto" w:before="0" w:after="0"/>
        <w:ind w:left="220" w:right="986" w:firstLine="0"/>
        <w:jc w:val="both"/>
        <w:rPr>
          <w:sz w:val="21"/>
        </w:rPr>
      </w:pPr>
      <w:r>
        <w:rPr>
          <w:spacing w:val="-3"/>
          <w:sz w:val="21"/>
        </w:rPr>
        <w:t>报告期内，本基金投资决策程序符合相关法律法规的要求，未发现本基金投资的前十名证券的发行主体本期出现被监管部门立案调查，或在报告编制日前一年内受到公开谴责、处罚的情形。</w:t>
      </w:r>
    </w:p>
    <w:p>
      <w:pPr>
        <w:pStyle w:val="ListParagraph"/>
        <w:numPr>
          <w:ilvl w:val="2"/>
          <w:numId w:val="5"/>
        </w:numPr>
        <w:tabs>
          <w:tab w:pos="799" w:val="left" w:leader="none"/>
        </w:tabs>
        <w:spacing w:line="269" w:lineRule="exact" w:before="0" w:after="0"/>
        <w:ind w:left="798" w:right="0" w:hanging="579"/>
        <w:jc w:val="both"/>
        <w:rPr>
          <w:sz w:val="21"/>
        </w:rPr>
      </w:pPr>
      <w:r>
        <w:rPr>
          <w:spacing w:val="-3"/>
          <w:sz w:val="21"/>
        </w:rPr>
        <w:t>基金投资的前十名股票未超出基金合同规定的备选股票库。</w:t>
      </w:r>
    </w:p>
    <w:p>
      <w:pPr>
        <w:pStyle w:val="BodyText"/>
        <w:spacing w:before="7"/>
        <w:ind w:left="0"/>
        <w:rPr>
          <w:sz w:val="15"/>
        </w:rPr>
      </w:pPr>
    </w:p>
    <w:p>
      <w:pPr>
        <w:pStyle w:val="ListParagraph"/>
        <w:numPr>
          <w:ilvl w:val="2"/>
          <w:numId w:val="5"/>
        </w:numPr>
        <w:tabs>
          <w:tab w:pos="799" w:val="left" w:leader="none"/>
        </w:tabs>
        <w:spacing w:line="240" w:lineRule="auto" w:before="0" w:after="0"/>
        <w:ind w:left="798" w:right="0" w:hanging="579"/>
        <w:jc w:val="both"/>
        <w:rPr>
          <w:sz w:val="21"/>
        </w:rPr>
      </w:pPr>
      <w:r>
        <w:rPr>
          <w:spacing w:val="-3"/>
          <w:sz w:val="21"/>
        </w:rPr>
        <w:t>其他资产构成</w:t>
      </w:r>
    </w:p>
    <w:p>
      <w:pPr>
        <w:pStyle w:val="BodyText"/>
        <w:spacing w:before="10"/>
        <w:ind w:left="0"/>
        <w:rPr>
          <w:sz w:val="7"/>
        </w:rPr>
      </w:pPr>
    </w:p>
    <w:tbl>
      <w:tblPr>
        <w:tblW w:w="0" w:type="auto"/>
        <w:jc w:val="left"/>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8"/>
        <w:gridCol w:w="2905"/>
        <w:gridCol w:w="5461"/>
      </w:tblGrid>
      <w:tr>
        <w:trPr>
          <w:trHeight w:val="498" w:hRule="atLeast"/>
        </w:trPr>
        <w:tc>
          <w:tcPr>
            <w:tcW w:w="708" w:type="dxa"/>
          </w:tcPr>
          <w:p>
            <w:pPr>
              <w:pStyle w:val="TableParagraph"/>
              <w:spacing w:before="133"/>
              <w:ind w:left="132" w:right="106"/>
              <w:jc w:val="center"/>
              <w:rPr>
                <w:rFonts w:ascii="宋体" w:eastAsia="宋体" w:hint="eastAsia"/>
                <w:sz w:val="21"/>
              </w:rPr>
            </w:pPr>
            <w:r>
              <w:rPr>
                <w:rFonts w:ascii="宋体" w:eastAsia="宋体" w:hint="eastAsia"/>
                <w:sz w:val="21"/>
              </w:rPr>
              <w:t>序号</w:t>
            </w:r>
          </w:p>
        </w:tc>
        <w:tc>
          <w:tcPr>
            <w:tcW w:w="2905" w:type="dxa"/>
          </w:tcPr>
          <w:p>
            <w:pPr>
              <w:pStyle w:val="TableParagraph"/>
              <w:spacing w:before="133"/>
              <w:ind w:left="1231" w:right="1204"/>
              <w:jc w:val="center"/>
              <w:rPr>
                <w:rFonts w:ascii="宋体" w:eastAsia="宋体" w:hint="eastAsia"/>
                <w:sz w:val="21"/>
              </w:rPr>
            </w:pPr>
            <w:r>
              <w:rPr>
                <w:rFonts w:ascii="宋体" w:eastAsia="宋体" w:hint="eastAsia"/>
                <w:sz w:val="21"/>
              </w:rPr>
              <w:t>名称</w:t>
            </w:r>
          </w:p>
        </w:tc>
        <w:tc>
          <w:tcPr>
            <w:tcW w:w="5461" w:type="dxa"/>
          </w:tcPr>
          <w:p>
            <w:pPr>
              <w:pStyle w:val="TableParagraph"/>
              <w:spacing w:before="133"/>
              <w:ind w:left="2333" w:right="2308"/>
              <w:jc w:val="center"/>
              <w:rPr>
                <w:sz w:val="21"/>
              </w:rPr>
            </w:pPr>
            <w:r>
              <w:rPr>
                <w:rFonts w:ascii="宋体" w:eastAsia="宋体" w:hint="eastAsia"/>
                <w:sz w:val="21"/>
              </w:rPr>
              <w:t>金额</w:t>
            </w:r>
            <w:r>
              <w:rPr>
                <w:sz w:val="21"/>
              </w:rPr>
              <w:t>(</w:t>
            </w:r>
            <w:r>
              <w:rPr>
                <w:rFonts w:ascii="宋体" w:eastAsia="宋体" w:hint="eastAsia"/>
                <w:sz w:val="21"/>
              </w:rPr>
              <w:t>元</w:t>
            </w:r>
            <w:r>
              <w:rPr>
                <w:sz w:val="21"/>
              </w:rPr>
              <w:t>)</w:t>
            </w:r>
          </w:p>
        </w:tc>
      </w:tr>
      <w:tr>
        <w:trPr>
          <w:trHeight w:val="496" w:hRule="atLeast"/>
        </w:trPr>
        <w:tc>
          <w:tcPr>
            <w:tcW w:w="708" w:type="dxa"/>
          </w:tcPr>
          <w:p>
            <w:pPr>
              <w:pStyle w:val="TableParagraph"/>
              <w:spacing w:before="142"/>
              <w:ind w:left="21"/>
              <w:jc w:val="center"/>
              <w:rPr>
                <w:sz w:val="21"/>
              </w:rPr>
            </w:pPr>
            <w:r>
              <w:rPr>
                <w:w w:val="100"/>
                <w:sz w:val="21"/>
              </w:rPr>
              <w:t>1</w:t>
            </w:r>
          </w:p>
        </w:tc>
        <w:tc>
          <w:tcPr>
            <w:tcW w:w="2905" w:type="dxa"/>
          </w:tcPr>
          <w:p>
            <w:pPr>
              <w:pStyle w:val="TableParagraph"/>
              <w:spacing w:before="130"/>
              <w:ind w:left="122"/>
              <w:rPr>
                <w:rFonts w:ascii="宋体" w:eastAsia="宋体" w:hint="eastAsia"/>
                <w:sz w:val="21"/>
              </w:rPr>
            </w:pPr>
            <w:r>
              <w:rPr>
                <w:rFonts w:ascii="宋体" w:eastAsia="宋体" w:hint="eastAsia"/>
                <w:sz w:val="21"/>
              </w:rPr>
              <w:t>存出保证金</w:t>
            </w:r>
          </w:p>
        </w:tc>
        <w:tc>
          <w:tcPr>
            <w:tcW w:w="5461" w:type="dxa"/>
          </w:tcPr>
          <w:p>
            <w:pPr>
              <w:pStyle w:val="TableParagraph"/>
              <w:spacing w:before="142"/>
              <w:ind w:right="94"/>
              <w:jc w:val="right"/>
              <w:rPr>
                <w:sz w:val="21"/>
              </w:rPr>
            </w:pPr>
            <w:r>
              <w:rPr>
                <w:sz w:val="21"/>
              </w:rPr>
              <w:t>6,282,462.82</w:t>
            </w:r>
          </w:p>
        </w:tc>
      </w:tr>
      <w:tr>
        <w:trPr>
          <w:trHeight w:val="496" w:hRule="atLeast"/>
        </w:trPr>
        <w:tc>
          <w:tcPr>
            <w:tcW w:w="708" w:type="dxa"/>
          </w:tcPr>
          <w:p>
            <w:pPr>
              <w:pStyle w:val="TableParagraph"/>
              <w:spacing w:before="142"/>
              <w:ind w:left="21"/>
              <w:jc w:val="center"/>
              <w:rPr>
                <w:sz w:val="21"/>
              </w:rPr>
            </w:pPr>
            <w:r>
              <w:rPr>
                <w:w w:val="100"/>
                <w:sz w:val="21"/>
              </w:rPr>
              <w:t>2</w:t>
            </w:r>
          </w:p>
        </w:tc>
        <w:tc>
          <w:tcPr>
            <w:tcW w:w="2905" w:type="dxa"/>
          </w:tcPr>
          <w:p>
            <w:pPr>
              <w:pStyle w:val="TableParagraph"/>
              <w:spacing w:before="130"/>
              <w:ind w:left="122"/>
              <w:rPr>
                <w:rFonts w:ascii="宋体" w:eastAsia="宋体" w:hint="eastAsia"/>
                <w:sz w:val="21"/>
              </w:rPr>
            </w:pPr>
            <w:r>
              <w:rPr>
                <w:rFonts w:ascii="宋体" w:eastAsia="宋体" w:hint="eastAsia"/>
                <w:sz w:val="21"/>
              </w:rPr>
              <w:t>应收证券清算款</w:t>
            </w:r>
          </w:p>
        </w:tc>
        <w:tc>
          <w:tcPr>
            <w:tcW w:w="5461" w:type="dxa"/>
          </w:tcPr>
          <w:p>
            <w:pPr>
              <w:pStyle w:val="TableParagraph"/>
              <w:spacing w:before="142"/>
              <w:ind w:right="94"/>
              <w:jc w:val="right"/>
              <w:rPr>
                <w:sz w:val="21"/>
              </w:rPr>
            </w:pPr>
            <w:r>
              <w:rPr>
                <w:sz w:val="21"/>
              </w:rPr>
              <w:t>90,709,655.12</w:t>
            </w:r>
          </w:p>
        </w:tc>
      </w:tr>
      <w:tr>
        <w:trPr>
          <w:trHeight w:val="496" w:hRule="atLeast"/>
        </w:trPr>
        <w:tc>
          <w:tcPr>
            <w:tcW w:w="708" w:type="dxa"/>
          </w:tcPr>
          <w:p>
            <w:pPr>
              <w:pStyle w:val="TableParagraph"/>
              <w:spacing w:before="142"/>
              <w:ind w:left="21"/>
              <w:jc w:val="center"/>
              <w:rPr>
                <w:sz w:val="21"/>
              </w:rPr>
            </w:pPr>
            <w:r>
              <w:rPr>
                <w:w w:val="100"/>
                <w:sz w:val="21"/>
              </w:rPr>
              <w:t>3</w:t>
            </w:r>
          </w:p>
        </w:tc>
        <w:tc>
          <w:tcPr>
            <w:tcW w:w="2905" w:type="dxa"/>
          </w:tcPr>
          <w:p>
            <w:pPr>
              <w:pStyle w:val="TableParagraph"/>
              <w:spacing w:before="130"/>
              <w:ind w:left="122"/>
              <w:rPr>
                <w:rFonts w:ascii="宋体" w:eastAsia="宋体" w:hint="eastAsia"/>
                <w:sz w:val="21"/>
              </w:rPr>
            </w:pPr>
            <w:r>
              <w:rPr>
                <w:rFonts w:ascii="宋体" w:eastAsia="宋体" w:hint="eastAsia"/>
                <w:sz w:val="21"/>
              </w:rPr>
              <w:t>应收股利</w:t>
            </w:r>
          </w:p>
        </w:tc>
        <w:tc>
          <w:tcPr>
            <w:tcW w:w="5461" w:type="dxa"/>
          </w:tcPr>
          <w:p>
            <w:pPr>
              <w:pStyle w:val="TableParagraph"/>
              <w:spacing w:before="142"/>
              <w:ind w:right="95"/>
              <w:jc w:val="right"/>
              <w:rPr>
                <w:sz w:val="21"/>
              </w:rPr>
            </w:pPr>
            <w:r>
              <w:rPr>
                <w:w w:val="100"/>
                <w:sz w:val="21"/>
              </w:rPr>
              <w:t>-</w:t>
            </w:r>
          </w:p>
        </w:tc>
      </w:tr>
      <w:tr>
        <w:trPr>
          <w:trHeight w:val="498" w:hRule="atLeast"/>
        </w:trPr>
        <w:tc>
          <w:tcPr>
            <w:tcW w:w="708" w:type="dxa"/>
          </w:tcPr>
          <w:p>
            <w:pPr>
              <w:pStyle w:val="TableParagraph"/>
              <w:spacing w:before="144"/>
              <w:ind w:left="21"/>
              <w:jc w:val="center"/>
              <w:rPr>
                <w:sz w:val="21"/>
              </w:rPr>
            </w:pPr>
            <w:r>
              <w:rPr>
                <w:w w:val="100"/>
                <w:sz w:val="21"/>
              </w:rPr>
              <w:t>4</w:t>
            </w:r>
          </w:p>
        </w:tc>
        <w:tc>
          <w:tcPr>
            <w:tcW w:w="2905" w:type="dxa"/>
          </w:tcPr>
          <w:p>
            <w:pPr>
              <w:pStyle w:val="TableParagraph"/>
              <w:spacing w:before="133"/>
              <w:ind w:left="122"/>
              <w:rPr>
                <w:rFonts w:ascii="宋体" w:eastAsia="宋体" w:hint="eastAsia"/>
                <w:sz w:val="21"/>
              </w:rPr>
            </w:pPr>
            <w:r>
              <w:rPr>
                <w:rFonts w:ascii="宋体" w:eastAsia="宋体" w:hint="eastAsia"/>
                <w:sz w:val="21"/>
              </w:rPr>
              <w:t>应收利息</w:t>
            </w:r>
          </w:p>
        </w:tc>
        <w:tc>
          <w:tcPr>
            <w:tcW w:w="5461" w:type="dxa"/>
          </w:tcPr>
          <w:p>
            <w:pPr>
              <w:pStyle w:val="TableParagraph"/>
              <w:spacing w:before="144"/>
              <w:ind w:right="94"/>
              <w:jc w:val="right"/>
              <w:rPr>
                <w:sz w:val="21"/>
              </w:rPr>
            </w:pPr>
            <w:r>
              <w:rPr>
                <w:sz w:val="21"/>
              </w:rPr>
              <w:t>11,103.05</w:t>
            </w:r>
          </w:p>
        </w:tc>
      </w:tr>
      <w:tr>
        <w:trPr>
          <w:trHeight w:val="496" w:hRule="atLeast"/>
        </w:trPr>
        <w:tc>
          <w:tcPr>
            <w:tcW w:w="708" w:type="dxa"/>
          </w:tcPr>
          <w:p>
            <w:pPr>
              <w:pStyle w:val="TableParagraph"/>
              <w:spacing w:before="142"/>
              <w:ind w:left="21"/>
              <w:jc w:val="center"/>
              <w:rPr>
                <w:sz w:val="21"/>
              </w:rPr>
            </w:pPr>
            <w:r>
              <w:rPr>
                <w:w w:val="100"/>
                <w:sz w:val="21"/>
              </w:rPr>
              <w:t>5</w:t>
            </w:r>
          </w:p>
        </w:tc>
        <w:tc>
          <w:tcPr>
            <w:tcW w:w="2905" w:type="dxa"/>
          </w:tcPr>
          <w:p>
            <w:pPr>
              <w:pStyle w:val="TableParagraph"/>
              <w:spacing w:before="131"/>
              <w:ind w:left="122"/>
              <w:rPr>
                <w:rFonts w:ascii="宋体" w:eastAsia="宋体" w:hint="eastAsia"/>
                <w:sz w:val="21"/>
              </w:rPr>
            </w:pPr>
            <w:r>
              <w:rPr>
                <w:rFonts w:ascii="宋体" w:eastAsia="宋体" w:hint="eastAsia"/>
                <w:sz w:val="21"/>
              </w:rPr>
              <w:t>应收申购款</w:t>
            </w:r>
          </w:p>
        </w:tc>
        <w:tc>
          <w:tcPr>
            <w:tcW w:w="5461" w:type="dxa"/>
          </w:tcPr>
          <w:p>
            <w:pPr>
              <w:pStyle w:val="TableParagraph"/>
              <w:spacing w:before="142"/>
              <w:ind w:right="94"/>
              <w:jc w:val="right"/>
              <w:rPr>
                <w:sz w:val="21"/>
              </w:rPr>
            </w:pPr>
            <w:r>
              <w:rPr>
                <w:sz w:val="21"/>
              </w:rPr>
              <w:t>17,549,153.06</w:t>
            </w:r>
          </w:p>
        </w:tc>
      </w:tr>
      <w:tr>
        <w:trPr>
          <w:trHeight w:val="496" w:hRule="atLeast"/>
        </w:trPr>
        <w:tc>
          <w:tcPr>
            <w:tcW w:w="708" w:type="dxa"/>
          </w:tcPr>
          <w:p>
            <w:pPr>
              <w:pStyle w:val="TableParagraph"/>
              <w:spacing w:before="142"/>
              <w:ind w:left="21"/>
              <w:jc w:val="center"/>
              <w:rPr>
                <w:sz w:val="21"/>
              </w:rPr>
            </w:pPr>
            <w:r>
              <w:rPr>
                <w:w w:val="100"/>
                <w:sz w:val="21"/>
              </w:rPr>
              <w:t>6</w:t>
            </w:r>
          </w:p>
        </w:tc>
        <w:tc>
          <w:tcPr>
            <w:tcW w:w="2905" w:type="dxa"/>
          </w:tcPr>
          <w:p>
            <w:pPr>
              <w:pStyle w:val="TableParagraph"/>
              <w:spacing w:before="130"/>
              <w:ind w:left="122"/>
              <w:rPr>
                <w:rFonts w:ascii="宋体" w:eastAsia="宋体" w:hint="eastAsia"/>
                <w:sz w:val="21"/>
              </w:rPr>
            </w:pPr>
            <w:r>
              <w:rPr>
                <w:rFonts w:ascii="宋体" w:eastAsia="宋体" w:hint="eastAsia"/>
                <w:sz w:val="21"/>
              </w:rPr>
              <w:t>其他应收款</w:t>
            </w:r>
          </w:p>
        </w:tc>
        <w:tc>
          <w:tcPr>
            <w:tcW w:w="5461" w:type="dxa"/>
          </w:tcPr>
          <w:p>
            <w:pPr>
              <w:pStyle w:val="TableParagraph"/>
              <w:spacing w:before="142"/>
              <w:ind w:right="95"/>
              <w:jc w:val="right"/>
              <w:rPr>
                <w:sz w:val="21"/>
              </w:rPr>
            </w:pPr>
            <w:r>
              <w:rPr>
                <w:w w:val="100"/>
                <w:sz w:val="21"/>
              </w:rPr>
              <w:t>-</w:t>
            </w:r>
          </w:p>
        </w:tc>
      </w:tr>
      <w:tr>
        <w:trPr>
          <w:trHeight w:val="496" w:hRule="atLeast"/>
        </w:trPr>
        <w:tc>
          <w:tcPr>
            <w:tcW w:w="708" w:type="dxa"/>
          </w:tcPr>
          <w:p>
            <w:pPr>
              <w:pStyle w:val="TableParagraph"/>
              <w:spacing w:before="142"/>
              <w:ind w:left="21"/>
              <w:jc w:val="center"/>
              <w:rPr>
                <w:sz w:val="21"/>
              </w:rPr>
            </w:pPr>
            <w:r>
              <w:rPr>
                <w:w w:val="100"/>
                <w:sz w:val="21"/>
              </w:rPr>
              <w:t>7</w:t>
            </w:r>
          </w:p>
        </w:tc>
        <w:tc>
          <w:tcPr>
            <w:tcW w:w="2905" w:type="dxa"/>
          </w:tcPr>
          <w:p>
            <w:pPr>
              <w:pStyle w:val="TableParagraph"/>
              <w:spacing w:before="130"/>
              <w:ind w:left="122"/>
              <w:rPr>
                <w:rFonts w:ascii="宋体" w:eastAsia="宋体" w:hint="eastAsia"/>
                <w:sz w:val="21"/>
              </w:rPr>
            </w:pPr>
            <w:r>
              <w:rPr>
                <w:rFonts w:ascii="宋体" w:eastAsia="宋体" w:hint="eastAsia"/>
                <w:sz w:val="21"/>
              </w:rPr>
              <w:t>待摊费用</w:t>
            </w:r>
          </w:p>
        </w:tc>
        <w:tc>
          <w:tcPr>
            <w:tcW w:w="5461" w:type="dxa"/>
          </w:tcPr>
          <w:p>
            <w:pPr>
              <w:pStyle w:val="TableParagraph"/>
              <w:spacing w:before="142"/>
              <w:ind w:right="95"/>
              <w:jc w:val="right"/>
              <w:rPr>
                <w:sz w:val="21"/>
              </w:rPr>
            </w:pPr>
            <w:r>
              <w:rPr>
                <w:w w:val="100"/>
                <w:sz w:val="21"/>
              </w:rPr>
              <w:t>-</w:t>
            </w:r>
          </w:p>
        </w:tc>
      </w:tr>
      <w:tr>
        <w:trPr>
          <w:trHeight w:val="498" w:hRule="atLeast"/>
        </w:trPr>
        <w:tc>
          <w:tcPr>
            <w:tcW w:w="708" w:type="dxa"/>
          </w:tcPr>
          <w:p>
            <w:pPr>
              <w:pStyle w:val="TableParagraph"/>
              <w:spacing w:before="144"/>
              <w:ind w:left="21"/>
              <w:jc w:val="center"/>
              <w:rPr>
                <w:sz w:val="21"/>
              </w:rPr>
            </w:pPr>
            <w:r>
              <w:rPr>
                <w:w w:val="100"/>
                <w:sz w:val="21"/>
              </w:rPr>
              <w:t>8</w:t>
            </w:r>
          </w:p>
        </w:tc>
        <w:tc>
          <w:tcPr>
            <w:tcW w:w="2905" w:type="dxa"/>
          </w:tcPr>
          <w:p>
            <w:pPr>
              <w:pStyle w:val="TableParagraph"/>
              <w:spacing w:before="133"/>
              <w:ind w:left="122"/>
              <w:rPr>
                <w:rFonts w:ascii="宋体" w:eastAsia="宋体" w:hint="eastAsia"/>
                <w:sz w:val="21"/>
              </w:rPr>
            </w:pPr>
            <w:r>
              <w:rPr>
                <w:rFonts w:ascii="宋体" w:eastAsia="宋体" w:hint="eastAsia"/>
                <w:sz w:val="21"/>
              </w:rPr>
              <w:t>其他</w:t>
            </w:r>
          </w:p>
        </w:tc>
        <w:tc>
          <w:tcPr>
            <w:tcW w:w="5461" w:type="dxa"/>
          </w:tcPr>
          <w:p>
            <w:pPr>
              <w:pStyle w:val="TableParagraph"/>
              <w:spacing w:before="144"/>
              <w:ind w:right="95"/>
              <w:jc w:val="right"/>
              <w:rPr>
                <w:sz w:val="21"/>
              </w:rPr>
            </w:pPr>
            <w:r>
              <w:rPr>
                <w:w w:val="100"/>
                <w:sz w:val="21"/>
              </w:rPr>
              <w:t>-</w:t>
            </w:r>
          </w:p>
        </w:tc>
      </w:tr>
      <w:tr>
        <w:trPr>
          <w:trHeight w:val="496" w:hRule="atLeast"/>
        </w:trPr>
        <w:tc>
          <w:tcPr>
            <w:tcW w:w="708" w:type="dxa"/>
          </w:tcPr>
          <w:p>
            <w:pPr>
              <w:pStyle w:val="TableParagraph"/>
              <w:spacing w:before="142"/>
              <w:ind w:left="21"/>
              <w:jc w:val="center"/>
              <w:rPr>
                <w:sz w:val="21"/>
              </w:rPr>
            </w:pPr>
            <w:r>
              <w:rPr>
                <w:w w:val="100"/>
                <w:sz w:val="21"/>
              </w:rPr>
              <w:t>9</w:t>
            </w:r>
          </w:p>
        </w:tc>
        <w:tc>
          <w:tcPr>
            <w:tcW w:w="2905" w:type="dxa"/>
          </w:tcPr>
          <w:p>
            <w:pPr>
              <w:pStyle w:val="TableParagraph"/>
              <w:spacing w:before="130"/>
              <w:ind w:left="122"/>
              <w:rPr>
                <w:rFonts w:ascii="宋体" w:eastAsia="宋体" w:hint="eastAsia"/>
                <w:sz w:val="21"/>
              </w:rPr>
            </w:pPr>
            <w:r>
              <w:rPr>
                <w:rFonts w:ascii="宋体" w:eastAsia="宋体" w:hint="eastAsia"/>
                <w:sz w:val="21"/>
              </w:rPr>
              <w:t>合计</w:t>
            </w:r>
          </w:p>
        </w:tc>
        <w:tc>
          <w:tcPr>
            <w:tcW w:w="5461" w:type="dxa"/>
          </w:tcPr>
          <w:p>
            <w:pPr>
              <w:pStyle w:val="TableParagraph"/>
              <w:spacing w:before="142"/>
              <w:ind w:right="94"/>
              <w:jc w:val="right"/>
              <w:rPr>
                <w:sz w:val="21"/>
              </w:rPr>
            </w:pPr>
            <w:r>
              <w:rPr>
                <w:sz w:val="21"/>
              </w:rPr>
              <w:t>114,552,374.05</w:t>
            </w:r>
          </w:p>
        </w:tc>
      </w:tr>
    </w:tbl>
    <w:p>
      <w:pPr>
        <w:pStyle w:val="ListParagraph"/>
        <w:numPr>
          <w:ilvl w:val="2"/>
          <w:numId w:val="5"/>
        </w:numPr>
        <w:tabs>
          <w:tab w:pos="799" w:val="left" w:leader="none"/>
        </w:tabs>
        <w:spacing w:line="240" w:lineRule="auto" w:before="99" w:after="0"/>
        <w:ind w:left="798" w:right="0" w:hanging="579"/>
        <w:jc w:val="both"/>
        <w:rPr>
          <w:sz w:val="21"/>
        </w:rPr>
      </w:pPr>
      <w:r>
        <w:rPr>
          <w:spacing w:val="-3"/>
          <w:sz w:val="21"/>
        </w:rPr>
        <w:t>报告期末持有的处于转股期的可转换债券明细</w:t>
      </w:r>
    </w:p>
    <w:p>
      <w:pPr>
        <w:pStyle w:val="BodyText"/>
        <w:spacing w:before="7"/>
        <w:ind w:left="0"/>
        <w:rPr>
          <w:sz w:val="15"/>
        </w:rPr>
      </w:pPr>
    </w:p>
    <w:p>
      <w:pPr>
        <w:pStyle w:val="BodyText"/>
      </w:pPr>
      <w:r>
        <w:rPr/>
        <w:t>本基金本报告期末未持有处于转股期的可转换债券。</w:t>
      </w:r>
    </w:p>
    <w:p>
      <w:pPr>
        <w:pStyle w:val="BodyText"/>
        <w:spacing w:before="7"/>
        <w:ind w:left="0"/>
        <w:rPr>
          <w:sz w:val="15"/>
        </w:rPr>
      </w:pPr>
    </w:p>
    <w:p>
      <w:pPr>
        <w:pStyle w:val="ListParagraph"/>
        <w:numPr>
          <w:ilvl w:val="2"/>
          <w:numId w:val="5"/>
        </w:numPr>
        <w:tabs>
          <w:tab w:pos="852" w:val="left" w:leader="none"/>
        </w:tabs>
        <w:spacing w:line="417" w:lineRule="auto" w:before="0" w:after="0"/>
        <w:ind w:left="640" w:right="4138" w:hanging="420"/>
        <w:jc w:val="left"/>
        <w:rPr>
          <w:sz w:val="21"/>
        </w:rPr>
      </w:pPr>
      <w:r>
        <w:rPr>
          <w:spacing w:val="-4"/>
          <w:sz w:val="21"/>
        </w:rPr>
        <w:t>报告期末前十名股票中存在流通受限情况的说明</w:t>
      </w:r>
      <w:r>
        <w:rPr>
          <w:spacing w:val="-3"/>
          <w:sz w:val="21"/>
        </w:rPr>
        <w:t>本基金本报告期末未持有股票。</w:t>
      </w:r>
    </w:p>
    <w:p>
      <w:pPr>
        <w:pStyle w:val="ListParagraph"/>
        <w:numPr>
          <w:ilvl w:val="2"/>
          <w:numId w:val="5"/>
        </w:numPr>
        <w:tabs>
          <w:tab w:pos="799" w:val="left" w:leader="none"/>
        </w:tabs>
        <w:spacing w:line="269" w:lineRule="exact" w:before="0" w:after="0"/>
        <w:ind w:left="798" w:right="0" w:hanging="579"/>
        <w:jc w:val="left"/>
        <w:rPr>
          <w:sz w:val="21"/>
        </w:rPr>
      </w:pPr>
      <w:r>
        <w:rPr>
          <w:spacing w:val="-3"/>
          <w:sz w:val="21"/>
        </w:rPr>
        <w:t>投资组合报告附注的其他文字描述部分</w:t>
      </w:r>
    </w:p>
    <w:p>
      <w:pPr>
        <w:pStyle w:val="BodyText"/>
        <w:spacing w:before="7"/>
        <w:ind w:left="0"/>
        <w:rPr>
          <w:sz w:val="15"/>
        </w:rPr>
      </w:pPr>
    </w:p>
    <w:p>
      <w:pPr>
        <w:pStyle w:val="BodyText"/>
      </w:pPr>
      <w:r>
        <w:rPr/>
        <w:t>由于四舍五入的原因，分项之和与合计项之间可能存在尾差。</w:t>
      </w:r>
    </w:p>
    <w:p>
      <w:pPr>
        <w:pStyle w:val="BodyText"/>
        <w:ind w:left="0"/>
        <w:rPr>
          <w:sz w:val="20"/>
        </w:rPr>
      </w:pPr>
    </w:p>
    <w:p>
      <w:pPr>
        <w:pStyle w:val="BodyText"/>
        <w:spacing w:before="2"/>
        <w:ind w:left="0"/>
        <w:rPr>
          <w:sz w:val="22"/>
        </w:rPr>
      </w:pPr>
    </w:p>
    <w:p>
      <w:pPr>
        <w:pStyle w:val="Heading1"/>
      </w:pPr>
      <w:bookmarkStart w:name="_bookmark4" w:id="5"/>
      <w:bookmarkEnd w:id="5"/>
      <w:r>
        <w:rPr>
          <w:b w:val="0"/>
        </w:rPr>
      </w:r>
      <w:r>
        <w:rPr/>
        <w:t>五、基金的业绩</w:t>
      </w:r>
    </w:p>
    <w:p>
      <w:pPr>
        <w:pStyle w:val="BodyText"/>
        <w:ind w:left="0"/>
        <w:rPr>
          <w:b/>
          <w:sz w:val="20"/>
        </w:rPr>
      </w:pPr>
    </w:p>
    <w:p>
      <w:pPr>
        <w:pStyle w:val="BodyText"/>
        <w:spacing w:before="2"/>
        <w:ind w:left="0"/>
        <w:rPr>
          <w:b/>
        </w:rPr>
      </w:pPr>
    </w:p>
    <w:p>
      <w:pPr>
        <w:pStyle w:val="BodyText"/>
        <w:spacing w:line="417" w:lineRule="auto"/>
        <w:ind w:left="220" w:right="871" w:firstLine="419"/>
      </w:pPr>
      <w:r>
        <w:rPr>
          <w:spacing w:val="-9"/>
        </w:rPr>
        <w:t>基金管理人依照恪尽职守、诚实信用、谨慎勤勉的原则管理和运用基金财产，但不保证</w:t>
      </w:r>
      <w:r>
        <w:rPr>
          <w:spacing w:val="-12"/>
        </w:rPr>
        <w:t>基金一定盈利，也不保证最低收益。基金的过往业绩并不代表其未来表现。投资有风险，投</w:t>
      </w:r>
    </w:p>
    <w:p>
      <w:pPr>
        <w:spacing w:after="0" w:line="417" w:lineRule="auto"/>
        <w:sectPr>
          <w:pgSz w:w="11910" w:h="16840"/>
          <w:pgMar w:header="705" w:footer="683" w:top="1420" w:bottom="880" w:left="1580" w:right="920"/>
        </w:sectPr>
      </w:pPr>
    </w:p>
    <w:p>
      <w:pPr>
        <w:pStyle w:val="BodyText"/>
        <w:spacing w:before="110"/>
        <w:ind w:left="220"/>
      </w:pPr>
      <w:r>
        <w:rPr/>
        <w:t>资者在做出投资决策前应仔细阅读本基金的招募说明书。</w:t>
      </w:r>
    </w:p>
    <w:p>
      <w:pPr>
        <w:pStyle w:val="BodyText"/>
        <w:spacing w:before="6"/>
        <w:ind w:left="0"/>
        <w:rPr>
          <w:sz w:val="15"/>
        </w:rPr>
      </w:pPr>
    </w:p>
    <w:p>
      <w:pPr>
        <w:pStyle w:val="BodyText"/>
        <w:spacing w:line="417" w:lineRule="auto"/>
        <w:ind w:left="220" w:right="986" w:firstLine="419"/>
      </w:pPr>
      <w:r>
        <w:rPr/>
        <w:t>下述基金业绩指标不包括持有人认购或交易基金的各项费用，计入费用后实际收益水平要低于所列数字。</w:t>
      </w:r>
    </w:p>
    <w:p>
      <w:pPr>
        <w:pStyle w:val="BodyText"/>
        <w:spacing w:line="269" w:lineRule="exact"/>
      </w:pPr>
      <w:r>
        <w:rPr>
          <w:spacing w:val="11"/>
        </w:rPr>
        <w:t>华夏恒生</w:t>
      </w:r>
      <w:r>
        <w:rPr>
          <w:rFonts w:ascii="Times New Roman" w:eastAsia="Times New Roman"/>
        </w:rPr>
        <w:t>ETF</w:t>
      </w:r>
      <w:r>
        <w:rPr>
          <w:rFonts w:ascii="Times New Roman" w:eastAsia="Times New Roman"/>
          <w:spacing w:val="7"/>
        </w:rPr>
        <w:t> </w:t>
      </w:r>
      <w:r>
        <w:rPr>
          <w:spacing w:val="25"/>
        </w:rPr>
        <w:t>联接</w:t>
      </w:r>
      <w:r>
        <w:rPr>
          <w:rFonts w:ascii="Times New Roman" w:eastAsia="Times New Roman"/>
        </w:rPr>
        <w:t>A</w:t>
      </w:r>
      <w:r>
        <w:rPr/>
        <w:t>：</w:t>
      </w:r>
    </w:p>
    <w:p>
      <w:pPr>
        <w:pStyle w:val="BodyText"/>
        <w:spacing w:before="10"/>
        <w:ind w:left="0"/>
        <w:rPr>
          <w:sz w:val="7"/>
        </w:rPr>
      </w:pPr>
    </w:p>
    <w:tbl>
      <w:tblPr>
        <w:tblW w:w="0" w:type="auto"/>
        <w:jc w:val="left"/>
        <w:tblInd w:w="2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43"/>
        <w:gridCol w:w="1135"/>
        <w:gridCol w:w="1121"/>
        <w:gridCol w:w="1177"/>
        <w:gridCol w:w="1328"/>
        <w:gridCol w:w="885"/>
        <w:gridCol w:w="980"/>
      </w:tblGrid>
      <w:tr>
        <w:trPr>
          <w:trHeight w:val="818" w:hRule="atLeast"/>
        </w:trPr>
        <w:tc>
          <w:tcPr>
            <w:tcW w:w="2043" w:type="dxa"/>
          </w:tcPr>
          <w:p>
            <w:pPr>
              <w:pStyle w:val="TableParagraph"/>
              <w:spacing w:before="5"/>
              <w:rPr>
                <w:rFonts w:ascii="宋体"/>
                <w:sz w:val="21"/>
              </w:rPr>
            </w:pPr>
          </w:p>
          <w:p>
            <w:pPr>
              <w:pStyle w:val="TableParagraph"/>
              <w:ind w:left="792" w:right="781"/>
              <w:jc w:val="center"/>
              <w:rPr>
                <w:rFonts w:ascii="宋体" w:eastAsia="宋体" w:hint="eastAsia"/>
                <w:sz w:val="21"/>
              </w:rPr>
            </w:pPr>
            <w:r>
              <w:rPr>
                <w:rFonts w:ascii="宋体" w:eastAsia="宋体" w:hint="eastAsia"/>
                <w:sz w:val="21"/>
              </w:rPr>
              <w:t>阶段</w:t>
            </w:r>
          </w:p>
        </w:tc>
        <w:tc>
          <w:tcPr>
            <w:tcW w:w="1135" w:type="dxa"/>
          </w:tcPr>
          <w:p>
            <w:pPr>
              <w:pStyle w:val="TableParagraph"/>
              <w:spacing w:line="242" w:lineRule="auto" w:before="138"/>
              <w:ind w:left="146" w:right="134"/>
              <w:rPr>
                <w:rFonts w:ascii="宋体" w:hAnsi="宋体" w:eastAsia="宋体" w:hint="eastAsia"/>
                <w:sz w:val="21"/>
              </w:rPr>
            </w:pPr>
            <w:r>
              <w:rPr>
                <w:rFonts w:ascii="宋体" w:hAnsi="宋体" w:eastAsia="宋体" w:hint="eastAsia"/>
                <w:sz w:val="21"/>
              </w:rPr>
              <w:t>份额净值增长率①</w:t>
            </w:r>
          </w:p>
        </w:tc>
        <w:tc>
          <w:tcPr>
            <w:tcW w:w="1121" w:type="dxa"/>
          </w:tcPr>
          <w:p>
            <w:pPr>
              <w:pStyle w:val="TableParagraph"/>
              <w:spacing w:before="1"/>
              <w:ind w:left="139"/>
              <w:rPr>
                <w:rFonts w:ascii="宋体" w:eastAsia="宋体" w:hint="eastAsia"/>
                <w:sz w:val="21"/>
              </w:rPr>
            </w:pPr>
            <w:r>
              <w:rPr>
                <w:rFonts w:ascii="宋体" w:eastAsia="宋体" w:hint="eastAsia"/>
                <w:sz w:val="21"/>
              </w:rPr>
              <w:t>份额净值</w:t>
            </w:r>
          </w:p>
          <w:p>
            <w:pPr>
              <w:pStyle w:val="TableParagraph"/>
              <w:spacing w:line="270" w:lineRule="atLeast" w:before="3"/>
              <w:ind w:left="244" w:right="127" w:hanging="106"/>
              <w:rPr>
                <w:rFonts w:ascii="宋体" w:hAnsi="宋体" w:eastAsia="宋体" w:hint="eastAsia"/>
                <w:sz w:val="21"/>
              </w:rPr>
            </w:pPr>
            <w:r>
              <w:rPr>
                <w:rFonts w:ascii="宋体" w:hAnsi="宋体" w:eastAsia="宋体" w:hint="eastAsia"/>
                <w:sz w:val="21"/>
              </w:rPr>
              <w:t>增长率标准差②</w:t>
            </w:r>
          </w:p>
        </w:tc>
        <w:tc>
          <w:tcPr>
            <w:tcW w:w="1177" w:type="dxa"/>
          </w:tcPr>
          <w:p>
            <w:pPr>
              <w:pStyle w:val="TableParagraph"/>
              <w:spacing w:before="1"/>
              <w:ind w:left="165"/>
              <w:rPr>
                <w:rFonts w:ascii="宋体" w:eastAsia="宋体" w:hint="eastAsia"/>
                <w:sz w:val="21"/>
              </w:rPr>
            </w:pPr>
            <w:r>
              <w:rPr>
                <w:rFonts w:ascii="宋体" w:eastAsia="宋体" w:hint="eastAsia"/>
                <w:sz w:val="21"/>
              </w:rPr>
              <w:t>业绩比较</w:t>
            </w:r>
          </w:p>
          <w:p>
            <w:pPr>
              <w:pStyle w:val="TableParagraph"/>
              <w:spacing w:line="270" w:lineRule="atLeast" w:before="3"/>
              <w:ind w:left="374" w:right="157" w:hanging="210"/>
              <w:rPr>
                <w:rFonts w:ascii="宋体" w:hAnsi="宋体" w:eastAsia="宋体" w:hint="eastAsia"/>
                <w:sz w:val="21"/>
              </w:rPr>
            </w:pPr>
            <w:r>
              <w:rPr>
                <w:rFonts w:ascii="宋体" w:hAnsi="宋体" w:eastAsia="宋体" w:hint="eastAsia"/>
                <w:sz w:val="21"/>
              </w:rPr>
              <w:t>基准收益率③</w:t>
            </w:r>
          </w:p>
        </w:tc>
        <w:tc>
          <w:tcPr>
            <w:tcW w:w="1328" w:type="dxa"/>
          </w:tcPr>
          <w:p>
            <w:pPr>
              <w:pStyle w:val="TableParagraph"/>
              <w:spacing w:before="1"/>
              <w:ind w:left="138"/>
              <w:rPr>
                <w:rFonts w:ascii="宋体" w:eastAsia="宋体" w:hint="eastAsia"/>
                <w:sz w:val="21"/>
              </w:rPr>
            </w:pPr>
            <w:r>
              <w:rPr>
                <w:rFonts w:ascii="宋体" w:eastAsia="宋体" w:hint="eastAsia"/>
                <w:sz w:val="21"/>
              </w:rPr>
              <w:t>业绩比较基</w:t>
            </w:r>
          </w:p>
          <w:p>
            <w:pPr>
              <w:pStyle w:val="TableParagraph"/>
              <w:spacing w:line="270" w:lineRule="atLeast" w:before="3"/>
              <w:ind w:left="347" w:right="124" w:hanging="209"/>
              <w:rPr>
                <w:rFonts w:ascii="宋体" w:hAnsi="宋体" w:eastAsia="宋体" w:hint="eastAsia"/>
                <w:sz w:val="21"/>
              </w:rPr>
            </w:pPr>
            <w:r>
              <w:rPr>
                <w:rFonts w:ascii="宋体" w:hAnsi="宋体" w:eastAsia="宋体" w:hint="eastAsia"/>
                <w:sz w:val="21"/>
              </w:rPr>
              <w:t>准收益率标准差④</w:t>
            </w:r>
          </w:p>
        </w:tc>
        <w:tc>
          <w:tcPr>
            <w:tcW w:w="885" w:type="dxa"/>
          </w:tcPr>
          <w:p>
            <w:pPr>
              <w:pStyle w:val="TableParagraph"/>
              <w:spacing w:before="5"/>
              <w:rPr>
                <w:rFonts w:ascii="宋体"/>
                <w:sz w:val="21"/>
              </w:rPr>
            </w:pPr>
          </w:p>
          <w:p>
            <w:pPr>
              <w:pStyle w:val="TableParagraph"/>
              <w:ind w:right="115"/>
              <w:jc w:val="right"/>
              <w:rPr>
                <w:rFonts w:ascii="宋体" w:hAnsi="宋体" w:eastAsia="宋体" w:hint="eastAsia"/>
                <w:sz w:val="21"/>
              </w:rPr>
            </w:pPr>
            <w:r>
              <w:rPr>
                <w:rFonts w:ascii="宋体" w:hAnsi="宋体" w:eastAsia="宋体" w:hint="eastAsia"/>
                <w:sz w:val="21"/>
              </w:rPr>
              <w:t>①－③</w:t>
            </w:r>
          </w:p>
        </w:tc>
        <w:tc>
          <w:tcPr>
            <w:tcW w:w="980" w:type="dxa"/>
          </w:tcPr>
          <w:p>
            <w:pPr>
              <w:pStyle w:val="TableParagraph"/>
              <w:spacing w:before="5"/>
              <w:rPr>
                <w:rFonts w:ascii="宋体"/>
                <w:sz w:val="21"/>
              </w:rPr>
            </w:pPr>
          </w:p>
          <w:p>
            <w:pPr>
              <w:pStyle w:val="TableParagraph"/>
              <w:ind w:right="164"/>
              <w:jc w:val="right"/>
              <w:rPr>
                <w:rFonts w:ascii="宋体" w:hAnsi="宋体" w:eastAsia="宋体" w:hint="eastAsia"/>
                <w:sz w:val="21"/>
              </w:rPr>
            </w:pPr>
            <w:r>
              <w:rPr>
                <w:rFonts w:ascii="宋体" w:hAnsi="宋体" w:eastAsia="宋体" w:hint="eastAsia"/>
                <w:sz w:val="21"/>
              </w:rPr>
              <w:t>②－④</w:t>
            </w:r>
          </w:p>
        </w:tc>
      </w:tr>
      <w:tr>
        <w:trPr>
          <w:trHeight w:val="623" w:hRule="atLeast"/>
        </w:trPr>
        <w:tc>
          <w:tcPr>
            <w:tcW w:w="2043" w:type="dxa"/>
          </w:tcPr>
          <w:p>
            <w:pPr>
              <w:pStyle w:val="TableParagraph"/>
              <w:spacing w:before="22"/>
              <w:ind w:left="107"/>
              <w:rPr>
                <w:rFonts w:ascii="宋体" w:eastAsia="宋体" w:hint="eastAsia"/>
                <w:sz w:val="21"/>
              </w:rPr>
            </w:pPr>
            <w:r>
              <w:rPr>
                <w:sz w:val="21"/>
              </w:rPr>
              <w:t>2012 </w:t>
            </w:r>
            <w:r>
              <w:rPr>
                <w:rFonts w:ascii="宋体" w:eastAsia="宋体" w:hint="eastAsia"/>
                <w:spacing w:val="-27"/>
                <w:sz w:val="21"/>
              </w:rPr>
              <w:t>年 </w:t>
            </w:r>
            <w:r>
              <w:rPr>
                <w:sz w:val="21"/>
              </w:rPr>
              <w:t>8 </w:t>
            </w:r>
            <w:r>
              <w:rPr>
                <w:rFonts w:ascii="宋体" w:eastAsia="宋体" w:hint="eastAsia"/>
                <w:spacing w:val="-27"/>
                <w:sz w:val="21"/>
              </w:rPr>
              <w:t>月 </w:t>
            </w:r>
            <w:r>
              <w:rPr>
                <w:sz w:val="21"/>
              </w:rPr>
              <w:t>21 </w:t>
            </w:r>
            <w:r>
              <w:rPr>
                <w:rFonts w:ascii="宋体" w:eastAsia="宋体" w:hint="eastAsia"/>
                <w:sz w:val="21"/>
              </w:rPr>
              <w:t>日至</w:t>
            </w:r>
          </w:p>
          <w:p>
            <w:pPr>
              <w:pStyle w:val="TableParagraph"/>
              <w:spacing w:before="43"/>
              <w:ind w:left="107"/>
              <w:rPr>
                <w:rFonts w:ascii="宋体" w:eastAsia="宋体" w:hint="eastAsia"/>
                <w:sz w:val="21"/>
              </w:rPr>
            </w:pPr>
            <w:r>
              <w:rPr>
                <w:sz w:val="21"/>
              </w:rPr>
              <w:t>2012 </w:t>
            </w:r>
            <w:r>
              <w:rPr>
                <w:rFonts w:ascii="宋体" w:eastAsia="宋体" w:hint="eastAsia"/>
                <w:sz w:val="21"/>
              </w:rPr>
              <w:t>年 </w:t>
            </w:r>
            <w:r>
              <w:rPr>
                <w:sz w:val="21"/>
              </w:rPr>
              <w:t>12 </w:t>
            </w:r>
            <w:r>
              <w:rPr>
                <w:rFonts w:ascii="宋体" w:eastAsia="宋体" w:hint="eastAsia"/>
                <w:sz w:val="21"/>
              </w:rPr>
              <w:t>月 </w:t>
            </w:r>
            <w:r>
              <w:rPr>
                <w:sz w:val="21"/>
              </w:rPr>
              <w:t>31 </w:t>
            </w:r>
            <w:r>
              <w:rPr>
                <w:rFonts w:ascii="宋体" w:eastAsia="宋体" w:hint="eastAsia"/>
                <w:sz w:val="21"/>
              </w:rPr>
              <w:t>日</w:t>
            </w:r>
          </w:p>
        </w:tc>
        <w:tc>
          <w:tcPr>
            <w:tcW w:w="1135" w:type="dxa"/>
          </w:tcPr>
          <w:p>
            <w:pPr>
              <w:pStyle w:val="TableParagraph"/>
              <w:spacing w:before="190"/>
              <w:ind w:right="95"/>
              <w:jc w:val="right"/>
              <w:rPr>
                <w:sz w:val="21"/>
              </w:rPr>
            </w:pPr>
            <w:r>
              <w:rPr>
                <w:sz w:val="21"/>
              </w:rPr>
              <w:t>3.00%</w:t>
            </w:r>
          </w:p>
        </w:tc>
        <w:tc>
          <w:tcPr>
            <w:tcW w:w="1121" w:type="dxa"/>
          </w:tcPr>
          <w:p>
            <w:pPr>
              <w:pStyle w:val="TableParagraph"/>
              <w:spacing w:before="190"/>
              <w:ind w:right="93"/>
              <w:jc w:val="right"/>
              <w:rPr>
                <w:sz w:val="21"/>
              </w:rPr>
            </w:pPr>
            <w:r>
              <w:rPr>
                <w:sz w:val="21"/>
              </w:rPr>
              <w:t>0.17%</w:t>
            </w:r>
          </w:p>
        </w:tc>
        <w:tc>
          <w:tcPr>
            <w:tcW w:w="1177" w:type="dxa"/>
          </w:tcPr>
          <w:p>
            <w:pPr>
              <w:pStyle w:val="TableParagraph"/>
              <w:spacing w:before="190"/>
              <w:ind w:right="96"/>
              <w:jc w:val="right"/>
              <w:rPr>
                <w:sz w:val="21"/>
              </w:rPr>
            </w:pPr>
            <w:r>
              <w:rPr>
                <w:sz w:val="21"/>
              </w:rPr>
              <w:t>11.07%</w:t>
            </w:r>
          </w:p>
        </w:tc>
        <w:tc>
          <w:tcPr>
            <w:tcW w:w="1328" w:type="dxa"/>
          </w:tcPr>
          <w:p>
            <w:pPr>
              <w:pStyle w:val="TableParagraph"/>
              <w:spacing w:before="190"/>
              <w:ind w:right="92"/>
              <w:jc w:val="right"/>
              <w:rPr>
                <w:sz w:val="21"/>
              </w:rPr>
            </w:pPr>
            <w:r>
              <w:rPr>
                <w:sz w:val="21"/>
              </w:rPr>
              <w:t>0.86%</w:t>
            </w:r>
          </w:p>
        </w:tc>
        <w:tc>
          <w:tcPr>
            <w:tcW w:w="885" w:type="dxa"/>
          </w:tcPr>
          <w:p>
            <w:pPr>
              <w:pStyle w:val="TableParagraph"/>
              <w:spacing w:before="190"/>
              <w:ind w:right="98"/>
              <w:jc w:val="right"/>
              <w:rPr>
                <w:sz w:val="21"/>
              </w:rPr>
            </w:pPr>
            <w:r>
              <w:rPr>
                <w:sz w:val="21"/>
              </w:rPr>
              <w:t>-8.07%</w:t>
            </w:r>
          </w:p>
        </w:tc>
        <w:tc>
          <w:tcPr>
            <w:tcW w:w="980" w:type="dxa"/>
          </w:tcPr>
          <w:p>
            <w:pPr>
              <w:pStyle w:val="TableParagraph"/>
              <w:spacing w:before="190"/>
              <w:ind w:right="98"/>
              <w:jc w:val="right"/>
              <w:rPr>
                <w:sz w:val="21"/>
              </w:rPr>
            </w:pPr>
            <w:r>
              <w:rPr>
                <w:sz w:val="21"/>
              </w:rPr>
              <w:t>-0.69%</w:t>
            </w:r>
          </w:p>
        </w:tc>
      </w:tr>
      <w:tr>
        <w:trPr>
          <w:trHeight w:val="624" w:hRule="atLeast"/>
        </w:trPr>
        <w:tc>
          <w:tcPr>
            <w:tcW w:w="2043" w:type="dxa"/>
          </w:tcPr>
          <w:p>
            <w:pPr>
              <w:pStyle w:val="TableParagraph"/>
              <w:spacing w:before="23"/>
              <w:ind w:left="107"/>
              <w:rPr>
                <w:rFonts w:ascii="宋体" w:eastAsia="宋体" w:hint="eastAsia"/>
                <w:sz w:val="21"/>
              </w:rPr>
            </w:pPr>
            <w:r>
              <w:rPr>
                <w:sz w:val="21"/>
              </w:rPr>
              <w:t>2013</w:t>
            </w:r>
            <w:r>
              <w:rPr>
                <w:spacing w:val="-2"/>
                <w:sz w:val="21"/>
              </w:rPr>
              <w:t> </w:t>
            </w:r>
            <w:r>
              <w:rPr>
                <w:rFonts w:ascii="宋体" w:eastAsia="宋体" w:hint="eastAsia"/>
                <w:spacing w:val="-26"/>
                <w:sz w:val="21"/>
              </w:rPr>
              <w:t>年 </w:t>
            </w:r>
            <w:r>
              <w:rPr>
                <w:sz w:val="21"/>
              </w:rPr>
              <w:t>1</w:t>
            </w:r>
            <w:r>
              <w:rPr>
                <w:spacing w:val="-1"/>
                <w:sz w:val="21"/>
              </w:rPr>
              <w:t> </w:t>
            </w:r>
            <w:r>
              <w:rPr>
                <w:rFonts w:ascii="宋体" w:eastAsia="宋体" w:hint="eastAsia"/>
                <w:spacing w:val="-26"/>
                <w:sz w:val="21"/>
              </w:rPr>
              <w:t>月 </w:t>
            </w:r>
            <w:r>
              <w:rPr>
                <w:sz w:val="21"/>
              </w:rPr>
              <w:t>1</w:t>
            </w:r>
            <w:r>
              <w:rPr>
                <w:spacing w:val="-1"/>
                <w:sz w:val="21"/>
              </w:rPr>
              <w:t> </w:t>
            </w:r>
            <w:r>
              <w:rPr>
                <w:rFonts w:ascii="宋体" w:eastAsia="宋体" w:hint="eastAsia"/>
                <w:sz w:val="21"/>
              </w:rPr>
              <w:t>日至</w:t>
            </w:r>
          </w:p>
          <w:p>
            <w:pPr>
              <w:pStyle w:val="TableParagraph"/>
              <w:spacing w:before="43"/>
              <w:ind w:left="107"/>
              <w:rPr>
                <w:rFonts w:ascii="宋体" w:eastAsia="宋体" w:hint="eastAsia"/>
                <w:sz w:val="21"/>
              </w:rPr>
            </w:pPr>
            <w:r>
              <w:rPr>
                <w:sz w:val="21"/>
              </w:rPr>
              <w:t>2013</w:t>
            </w:r>
            <w:r>
              <w:rPr>
                <w:spacing w:val="-2"/>
                <w:sz w:val="21"/>
              </w:rPr>
              <w:t> </w:t>
            </w:r>
            <w:r>
              <w:rPr>
                <w:rFonts w:ascii="宋体" w:eastAsia="宋体" w:hint="eastAsia"/>
                <w:spacing w:val="-26"/>
                <w:sz w:val="21"/>
              </w:rPr>
              <w:t>年 </w:t>
            </w:r>
            <w:r>
              <w:rPr>
                <w:sz w:val="21"/>
              </w:rPr>
              <w:t>12</w:t>
            </w:r>
            <w:r>
              <w:rPr>
                <w:spacing w:val="-2"/>
                <w:sz w:val="21"/>
              </w:rPr>
              <w:t> </w:t>
            </w:r>
            <w:r>
              <w:rPr>
                <w:rFonts w:ascii="宋体" w:eastAsia="宋体" w:hint="eastAsia"/>
                <w:spacing w:val="-26"/>
                <w:sz w:val="21"/>
              </w:rPr>
              <w:t>月 </w:t>
            </w:r>
            <w:r>
              <w:rPr>
                <w:sz w:val="21"/>
              </w:rPr>
              <w:t>31</w:t>
            </w:r>
            <w:r>
              <w:rPr>
                <w:spacing w:val="1"/>
                <w:sz w:val="21"/>
              </w:rPr>
              <w:t> </w:t>
            </w:r>
            <w:r>
              <w:rPr>
                <w:rFonts w:ascii="宋体" w:eastAsia="宋体" w:hint="eastAsia"/>
                <w:sz w:val="21"/>
              </w:rPr>
              <w:t>日</w:t>
            </w:r>
          </w:p>
        </w:tc>
        <w:tc>
          <w:tcPr>
            <w:tcW w:w="1135" w:type="dxa"/>
          </w:tcPr>
          <w:p>
            <w:pPr>
              <w:pStyle w:val="TableParagraph"/>
              <w:spacing w:before="190"/>
              <w:ind w:right="97"/>
              <w:jc w:val="right"/>
              <w:rPr>
                <w:sz w:val="21"/>
              </w:rPr>
            </w:pPr>
            <w:r>
              <w:rPr>
                <w:sz w:val="21"/>
              </w:rPr>
              <w:t>-0.10%</w:t>
            </w:r>
          </w:p>
        </w:tc>
        <w:tc>
          <w:tcPr>
            <w:tcW w:w="1121" w:type="dxa"/>
          </w:tcPr>
          <w:p>
            <w:pPr>
              <w:pStyle w:val="TableParagraph"/>
              <w:spacing w:before="190"/>
              <w:ind w:right="93"/>
              <w:jc w:val="right"/>
              <w:rPr>
                <w:sz w:val="21"/>
              </w:rPr>
            </w:pPr>
            <w:r>
              <w:rPr>
                <w:sz w:val="21"/>
              </w:rPr>
              <w:t>0.91%</w:t>
            </w:r>
          </w:p>
        </w:tc>
        <w:tc>
          <w:tcPr>
            <w:tcW w:w="1177" w:type="dxa"/>
          </w:tcPr>
          <w:p>
            <w:pPr>
              <w:pStyle w:val="TableParagraph"/>
              <w:spacing w:before="190"/>
              <w:ind w:right="98"/>
              <w:jc w:val="right"/>
              <w:rPr>
                <w:sz w:val="21"/>
              </w:rPr>
            </w:pPr>
            <w:r>
              <w:rPr>
                <w:sz w:val="21"/>
              </w:rPr>
              <w:t>-0.17%</w:t>
            </w:r>
          </w:p>
        </w:tc>
        <w:tc>
          <w:tcPr>
            <w:tcW w:w="1328" w:type="dxa"/>
          </w:tcPr>
          <w:p>
            <w:pPr>
              <w:pStyle w:val="TableParagraph"/>
              <w:spacing w:before="190"/>
              <w:ind w:right="92"/>
              <w:jc w:val="right"/>
              <w:rPr>
                <w:sz w:val="21"/>
              </w:rPr>
            </w:pPr>
            <w:r>
              <w:rPr>
                <w:sz w:val="21"/>
              </w:rPr>
              <w:t>0.95%</w:t>
            </w:r>
          </w:p>
        </w:tc>
        <w:tc>
          <w:tcPr>
            <w:tcW w:w="885" w:type="dxa"/>
          </w:tcPr>
          <w:p>
            <w:pPr>
              <w:pStyle w:val="TableParagraph"/>
              <w:spacing w:before="190"/>
              <w:ind w:right="96"/>
              <w:jc w:val="right"/>
              <w:rPr>
                <w:sz w:val="21"/>
              </w:rPr>
            </w:pPr>
            <w:r>
              <w:rPr>
                <w:sz w:val="21"/>
              </w:rPr>
              <w:t>0.07%</w:t>
            </w:r>
          </w:p>
        </w:tc>
        <w:tc>
          <w:tcPr>
            <w:tcW w:w="980" w:type="dxa"/>
          </w:tcPr>
          <w:p>
            <w:pPr>
              <w:pStyle w:val="TableParagraph"/>
              <w:spacing w:before="190"/>
              <w:ind w:right="98"/>
              <w:jc w:val="right"/>
              <w:rPr>
                <w:sz w:val="21"/>
              </w:rPr>
            </w:pPr>
            <w:r>
              <w:rPr>
                <w:sz w:val="21"/>
              </w:rPr>
              <w:t>-0.04%</w:t>
            </w:r>
          </w:p>
        </w:tc>
      </w:tr>
      <w:tr>
        <w:trPr>
          <w:trHeight w:val="585" w:hRule="atLeast"/>
        </w:trPr>
        <w:tc>
          <w:tcPr>
            <w:tcW w:w="2043" w:type="dxa"/>
          </w:tcPr>
          <w:p>
            <w:pPr>
              <w:pStyle w:val="TableParagraph"/>
              <w:spacing w:before="1"/>
              <w:ind w:left="155"/>
              <w:rPr>
                <w:rFonts w:ascii="宋体" w:eastAsia="宋体" w:hint="eastAsia"/>
                <w:sz w:val="21"/>
              </w:rPr>
            </w:pPr>
            <w:r>
              <w:rPr>
                <w:sz w:val="21"/>
              </w:rPr>
              <w:t>2014 </w:t>
            </w:r>
            <w:r>
              <w:rPr>
                <w:rFonts w:ascii="宋体" w:eastAsia="宋体" w:hint="eastAsia"/>
                <w:sz w:val="21"/>
              </w:rPr>
              <w:t>年 </w:t>
            </w:r>
            <w:r>
              <w:rPr>
                <w:sz w:val="21"/>
              </w:rPr>
              <w:t>1 </w:t>
            </w:r>
            <w:r>
              <w:rPr>
                <w:rFonts w:ascii="宋体" w:eastAsia="宋体" w:hint="eastAsia"/>
                <w:sz w:val="21"/>
              </w:rPr>
              <w:t>月 </w:t>
            </w:r>
            <w:r>
              <w:rPr>
                <w:sz w:val="21"/>
              </w:rPr>
              <w:t>1 </w:t>
            </w:r>
            <w:r>
              <w:rPr>
                <w:rFonts w:ascii="宋体" w:eastAsia="宋体" w:hint="eastAsia"/>
                <w:sz w:val="21"/>
              </w:rPr>
              <w:t>日至</w:t>
            </w:r>
          </w:p>
          <w:p>
            <w:pPr>
              <w:pStyle w:val="TableParagraph"/>
              <w:spacing w:before="26"/>
              <w:ind w:left="107"/>
              <w:rPr>
                <w:rFonts w:ascii="宋体" w:eastAsia="宋体" w:hint="eastAsia"/>
                <w:sz w:val="21"/>
              </w:rPr>
            </w:pPr>
            <w:r>
              <w:rPr>
                <w:sz w:val="21"/>
              </w:rPr>
              <w:t>2014 </w:t>
            </w:r>
            <w:r>
              <w:rPr>
                <w:rFonts w:ascii="宋体" w:eastAsia="宋体" w:hint="eastAsia"/>
                <w:sz w:val="21"/>
              </w:rPr>
              <w:t>年 </w:t>
            </w:r>
            <w:r>
              <w:rPr>
                <w:sz w:val="21"/>
              </w:rPr>
              <w:t>12 </w:t>
            </w:r>
            <w:r>
              <w:rPr>
                <w:rFonts w:ascii="宋体" w:eastAsia="宋体" w:hint="eastAsia"/>
                <w:sz w:val="21"/>
              </w:rPr>
              <w:t>月 </w:t>
            </w:r>
            <w:r>
              <w:rPr>
                <w:sz w:val="21"/>
              </w:rPr>
              <w:t>31 </w:t>
            </w:r>
            <w:r>
              <w:rPr>
                <w:rFonts w:ascii="宋体" w:eastAsia="宋体" w:hint="eastAsia"/>
                <w:sz w:val="21"/>
              </w:rPr>
              <w:t>日</w:t>
            </w:r>
          </w:p>
        </w:tc>
        <w:tc>
          <w:tcPr>
            <w:tcW w:w="1135" w:type="dxa"/>
          </w:tcPr>
          <w:p>
            <w:pPr>
              <w:pStyle w:val="TableParagraph"/>
              <w:spacing w:before="171"/>
              <w:ind w:right="95"/>
              <w:jc w:val="right"/>
              <w:rPr>
                <w:sz w:val="21"/>
              </w:rPr>
            </w:pPr>
            <w:r>
              <w:rPr>
                <w:sz w:val="21"/>
              </w:rPr>
              <w:t>3.89%</w:t>
            </w:r>
          </w:p>
        </w:tc>
        <w:tc>
          <w:tcPr>
            <w:tcW w:w="1121" w:type="dxa"/>
          </w:tcPr>
          <w:p>
            <w:pPr>
              <w:pStyle w:val="TableParagraph"/>
              <w:spacing w:before="171"/>
              <w:ind w:right="93"/>
              <w:jc w:val="right"/>
              <w:rPr>
                <w:sz w:val="21"/>
              </w:rPr>
            </w:pPr>
            <w:r>
              <w:rPr>
                <w:sz w:val="21"/>
              </w:rPr>
              <w:t>0.85%</w:t>
            </w:r>
          </w:p>
        </w:tc>
        <w:tc>
          <w:tcPr>
            <w:tcW w:w="1177" w:type="dxa"/>
          </w:tcPr>
          <w:p>
            <w:pPr>
              <w:pStyle w:val="TableParagraph"/>
              <w:spacing w:before="171"/>
              <w:ind w:right="96"/>
              <w:jc w:val="right"/>
              <w:rPr>
                <w:sz w:val="21"/>
              </w:rPr>
            </w:pPr>
            <w:r>
              <w:rPr>
                <w:sz w:val="21"/>
              </w:rPr>
              <w:t>1.60%</w:t>
            </w:r>
          </w:p>
        </w:tc>
        <w:tc>
          <w:tcPr>
            <w:tcW w:w="1328" w:type="dxa"/>
          </w:tcPr>
          <w:p>
            <w:pPr>
              <w:pStyle w:val="TableParagraph"/>
              <w:spacing w:before="171"/>
              <w:ind w:right="92"/>
              <w:jc w:val="right"/>
              <w:rPr>
                <w:sz w:val="21"/>
              </w:rPr>
            </w:pPr>
            <w:r>
              <w:rPr>
                <w:sz w:val="21"/>
              </w:rPr>
              <w:t>0.85%</w:t>
            </w:r>
          </w:p>
        </w:tc>
        <w:tc>
          <w:tcPr>
            <w:tcW w:w="885" w:type="dxa"/>
          </w:tcPr>
          <w:p>
            <w:pPr>
              <w:pStyle w:val="TableParagraph"/>
              <w:spacing w:before="171"/>
              <w:ind w:right="96"/>
              <w:jc w:val="right"/>
              <w:rPr>
                <w:sz w:val="21"/>
              </w:rPr>
            </w:pPr>
            <w:r>
              <w:rPr>
                <w:sz w:val="21"/>
              </w:rPr>
              <w:t>2.29%</w:t>
            </w:r>
          </w:p>
        </w:tc>
        <w:tc>
          <w:tcPr>
            <w:tcW w:w="980" w:type="dxa"/>
          </w:tcPr>
          <w:p>
            <w:pPr>
              <w:pStyle w:val="TableParagraph"/>
              <w:spacing w:before="171"/>
              <w:ind w:right="96"/>
              <w:jc w:val="right"/>
              <w:rPr>
                <w:sz w:val="21"/>
              </w:rPr>
            </w:pPr>
            <w:r>
              <w:rPr>
                <w:sz w:val="21"/>
              </w:rPr>
              <w:t>0.00%</w:t>
            </w:r>
          </w:p>
        </w:tc>
      </w:tr>
      <w:tr>
        <w:trPr>
          <w:trHeight w:val="544" w:hRule="atLeast"/>
        </w:trPr>
        <w:tc>
          <w:tcPr>
            <w:tcW w:w="2043" w:type="dxa"/>
          </w:tcPr>
          <w:p>
            <w:pPr>
              <w:pStyle w:val="TableParagraph"/>
              <w:spacing w:before="1"/>
              <w:ind w:left="155"/>
              <w:rPr>
                <w:rFonts w:ascii="宋体" w:eastAsia="宋体" w:hint="eastAsia"/>
                <w:sz w:val="21"/>
              </w:rPr>
            </w:pPr>
            <w:r>
              <w:rPr>
                <w:sz w:val="21"/>
              </w:rPr>
              <w:t>2015</w:t>
            </w:r>
            <w:r>
              <w:rPr>
                <w:spacing w:val="-2"/>
                <w:sz w:val="21"/>
              </w:rPr>
              <w:t> </w:t>
            </w:r>
            <w:r>
              <w:rPr>
                <w:rFonts w:ascii="宋体" w:eastAsia="宋体" w:hint="eastAsia"/>
                <w:spacing w:val="-26"/>
                <w:sz w:val="21"/>
              </w:rPr>
              <w:t>年 </w:t>
            </w:r>
            <w:r>
              <w:rPr>
                <w:sz w:val="21"/>
              </w:rPr>
              <w:t>1</w:t>
            </w:r>
            <w:r>
              <w:rPr>
                <w:spacing w:val="-1"/>
                <w:sz w:val="21"/>
              </w:rPr>
              <w:t> </w:t>
            </w:r>
            <w:r>
              <w:rPr>
                <w:rFonts w:ascii="宋体" w:eastAsia="宋体" w:hint="eastAsia"/>
                <w:spacing w:val="-26"/>
                <w:sz w:val="21"/>
              </w:rPr>
              <w:t>月 </w:t>
            </w:r>
            <w:r>
              <w:rPr>
                <w:sz w:val="21"/>
              </w:rPr>
              <w:t>1</w:t>
            </w:r>
            <w:r>
              <w:rPr>
                <w:spacing w:val="-1"/>
                <w:sz w:val="21"/>
              </w:rPr>
              <w:t> </w:t>
            </w:r>
            <w:r>
              <w:rPr>
                <w:rFonts w:ascii="宋体" w:eastAsia="宋体" w:hint="eastAsia"/>
                <w:sz w:val="21"/>
              </w:rPr>
              <w:t>日至</w:t>
            </w:r>
          </w:p>
          <w:p>
            <w:pPr>
              <w:pStyle w:val="TableParagraph"/>
              <w:spacing w:line="252" w:lineRule="exact" w:before="2"/>
              <w:ind w:left="155"/>
              <w:rPr>
                <w:rFonts w:ascii="宋体" w:eastAsia="宋体" w:hint="eastAsia"/>
                <w:sz w:val="21"/>
              </w:rPr>
            </w:pPr>
            <w:r>
              <w:rPr>
                <w:sz w:val="21"/>
              </w:rPr>
              <w:t>2015</w:t>
            </w:r>
            <w:r>
              <w:rPr>
                <w:spacing w:val="-3"/>
                <w:sz w:val="21"/>
              </w:rPr>
              <w:t> </w:t>
            </w:r>
            <w:r>
              <w:rPr>
                <w:rFonts w:ascii="宋体" w:eastAsia="宋体" w:hint="eastAsia"/>
                <w:spacing w:val="-26"/>
                <w:sz w:val="21"/>
              </w:rPr>
              <w:t>年 </w:t>
            </w:r>
            <w:r>
              <w:rPr>
                <w:sz w:val="21"/>
              </w:rPr>
              <w:t>12</w:t>
            </w:r>
            <w:r>
              <w:rPr>
                <w:spacing w:val="-2"/>
                <w:sz w:val="21"/>
              </w:rPr>
              <w:t> </w:t>
            </w:r>
            <w:r>
              <w:rPr>
                <w:rFonts w:ascii="宋体" w:eastAsia="宋体" w:hint="eastAsia"/>
                <w:spacing w:val="-26"/>
                <w:sz w:val="21"/>
              </w:rPr>
              <w:t>月 </w:t>
            </w:r>
            <w:r>
              <w:rPr>
                <w:sz w:val="21"/>
              </w:rPr>
              <w:t>31</w:t>
            </w:r>
            <w:r>
              <w:rPr>
                <w:spacing w:val="1"/>
                <w:sz w:val="21"/>
              </w:rPr>
              <w:t> </w:t>
            </w:r>
            <w:r>
              <w:rPr>
                <w:rFonts w:ascii="宋体" w:eastAsia="宋体" w:hint="eastAsia"/>
                <w:sz w:val="21"/>
              </w:rPr>
              <w:t>日</w:t>
            </w:r>
          </w:p>
        </w:tc>
        <w:tc>
          <w:tcPr>
            <w:tcW w:w="1135" w:type="dxa"/>
          </w:tcPr>
          <w:p>
            <w:pPr>
              <w:pStyle w:val="TableParagraph"/>
              <w:spacing w:before="149"/>
              <w:ind w:right="95"/>
              <w:jc w:val="right"/>
              <w:rPr>
                <w:sz w:val="21"/>
              </w:rPr>
            </w:pPr>
            <w:r>
              <w:rPr>
                <w:sz w:val="21"/>
              </w:rPr>
              <w:t>1.03%</w:t>
            </w:r>
          </w:p>
        </w:tc>
        <w:tc>
          <w:tcPr>
            <w:tcW w:w="1121" w:type="dxa"/>
          </w:tcPr>
          <w:p>
            <w:pPr>
              <w:pStyle w:val="TableParagraph"/>
              <w:spacing w:before="149"/>
              <w:ind w:right="93"/>
              <w:jc w:val="right"/>
              <w:rPr>
                <w:sz w:val="21"/>
              </w:rPr>
            </w:pPr>
            <w:r>
              <w:rPr>
                <w:sz w:val="21"/>
              </w:rPr>
              <w:t>1.31%</w:t>
            </w:r>
          </w:p>
        </w:tc>
        <w:tc>
          <w:tcPr>
            <w:tcW w:w="1177" w:type="dxa"/>
          </w:tcPr>
          <w:p>
            <w:pPr>
              <w:pStyle w:val="TableParagraph"/>
              <w:spacing w:before="149"/>
              <w:ind w:right="98"/>
              <w:jc w:val="right"/>
              <w:rPr>
                <w:sz w:val="21"/>
              </w:rPr>
            </w:pPr>
            <w:r>
              <w:rPr>
                <w:sz w:val="21"/>
              </w:rPr>
              <w:t>-1.21%</w:t>
            </w:r>
          </w:p>
        </w:tc>
        <w:tc>
          <w:tcPr>
            <w:tcW w:w="1328" w:type="dxa"/>
          </w:tcPr>
          <w:p>
            <w:pPr>
              <w:pStyle w:val="TableParagraph"/>
              <w:spacing w:before="149"/>
              <w:ind w:right="92"/>
              <w:jc w:val="right"/>
              <w:rPr>
                <w:sz w:val="21"/>
              </w:rPr>
            </w:pPr>
            <w:r>
              <w:rPr>
                <w:sz w:val="21"/>
              </w:rPr>
              <w:t>1.32%</w:t>
            </w:r>
          </w:p>
        </w:tc>
        <w:tc>
          <w:tcPr>
            <w:tcW w:w="885" w:type="dxa"/>
          </w:tcPr>
          <w:p>
            <w:pPr>
              <w:pStyle w:val="TableParagraph"/>
              <w:spacing w:before="149"/>
              <w:ind w:right="96"/>
              <w:jc w:val="right"/>
              <w:rPr>
                <w:sz w:val="21"/>
              </w:rPr>
            </w:pPr>
            <w:r>
              <w:rPr>
                <w:sz w:val="21"/>
              </w:rPr>
              <w:t>2.24%</w:t>
            </w:r>
          </w:p>
        </w:tc>
        <w:tc>
          <w:tcPr>
            <w:tcW w:w="980" w:type="dxa"/>
          </w:tcPr>
          <w:p>
            <w:pPr>
              <w:pStyle w:val="TableParagraph"/>
              <w:spacing w:before="149"/>
              <w:ind w:right="98"/>
              <w:jc w:val="right"/>
              <w:rPr>
                <w:sz w:val="21"/>
              </w:rPr>
            </w:pPr>
            <w:r>
              <w:rPr>
                <w:sz w:val="21"/>
              </w:rPr>
              <w:t>-0.01%</w:t>
            </w:r>
          </w:p>
        </w:tc>
      </w:tr>
      <w:tr>
        <w:trPr>
          <w:trHeight w:val="544" w:hRule="atLeast"/>
        </w:trPr>
        <w:tc>
          <w:tcPr>
            <w:tcW w:w="2043" w:type="dxa"/>
          </w:tcPr>
          <w:p>
            <w:pPr>
              <w:pStyle w:val="TableParagraph"/>
              <w:spacing w:before="1"/>
              <w:ind w:left="155"/>
              <w:rPr>
                <w:rFonts w:ascii="宋体" w:eastAsia="宋体" w:hint="eastAsia"/>
                <w:sz w:val="21"/>
              </w:rPr>
            </w:pPr>
            <w:r>
              <w:rPr>
                <w:sz w:val="21"/>
              </w:rPr>
              <w:t>2016</w:t>
            </w:r>
            <w:r>
              <w:rPr>
                <w:spacing w:val="-2"/>
                <w:sz w:val="21"/>
              </w:rPr>
              <w:t> </w:t>
            </w:r>
            <w:r>
              <w:rPr>
                <w:rFonts w:ascii="宋体" w:eastAsia="宋体" w:hint="eastAsia"/>
                <w:spacing w:val="-26"/>
                <w:sz w:val="21"/>
              </w:rPr>
              <w:t>年 </w:t>
            </w:r>
            <w:r>
              <w:rPr>
                <w:sz w:val="21"/>
              </w:rPr>
              <w:t>1</w:t>
            </w:r>
            <w:r>
              <w:rPr>
                <w:spacing w:val="-1"/>
                <w:sz w:val="21"/>
              </w:rPr>
              <w:t> </w:t>
            </w:r>
            <w:r>
              <w:rPr>
                <w:rFonts w:ascii="宋体" w:eastAsia="宋体" w:hint="eastAsia"/>
                <w:spacing w:val="-26"/>
                <w:sz w:val="21"/>
              </w:rPr>
              <w:t>月 </w:t>
            </w:r>
            <w:r>
              <w:rPr>
                <w:sz w:val="21"/>
              </w:rPr>
              <w:t>1</w:t>
            </w:r>
            <w:r>
              <w:rPr>
                <w:spacing w:val="-1"/>
                <w:sz w:val="21"/>
              </w:rPr>
              <w:t> </w:t>
            </w:r>
            <w:r>
              <w:rPr>
                <w:rFonts w:ascii="宋体" w:eastAsia="宋体" w:hint="eastAsia"/>
                <w:sz w:val="21"/>
              </w:rPr>
              <w:t>日至</w:t>
            </w:r>
          </w:p>
          <w:p>
            <w:pPr>
              <w:pStyle w:val="TableParagraph"/>
              <w:spacing w:line="252" w:lineRule="exact" w:before="2"/>
              <w:ind w:left="155"/>
              <w:rPr>
                <w:rFonts w:ascii="宋体" w:eastAsia="宋体" w:hint="eastAsia"/>
                <w:sz w:val="21"/>
              </w:rPr>
            </w:pPr>
            <w:r>
              <w:rPr>
                <w:sz w:val="21"/>
              </w:rPr>
              <w:t>2016</w:t>
            </w:r>
            <w:r>
              <w:rPr>
                <w:spacing w:val="-3"/>
                <w:sz w:val="21"/>
              </w:rPr>
              <w:t> </w:t>
            </w:r>
            <w:r>
              <w:rPr>
                <w:rFonts w:ascii="宋体" w:eastAsia="宋体" w:hint="eastAsia"/>
                <w:spacing w:val="-26"/>
                <w:sz w:val="21"/>
              </w:rPr>
              <w:t>年 </w:t>
            </w:r>
            <w:r>
              <w:rPr>
                <w:sz w:val="21"/>
              </w:rPr>
              <w:t>12</w:t>
            </w:r>
            <w:r>
              <w:rPr>
                <w:spacing w:val="-2"/>
                <w:sz w:val="21"/>
              </w:rPr>
              <w:t> </w:t>
            </w:r>
            <w:r>
              <w:rPr>
                <w:rFonts w:ascii="宋体" w:eastAsia="宋体" w:hint="eastAsia"/>
                <w:spacing w:val="-26"/>
                <w:sz w:val="21"/>
              </w:rPr>
              <w:t>月 </w:t>
            </w:r>
            <w:r>
              <w:rPr>
                <w:sz w:val="21"/>
              </w:rPr>
              <w:t>31</w:t>
            </w:r>
            <w:r>
              <w:rPr>
                <w:spacing w:val="1"/>
                <w:sz w:val="21"/>
              </w:rPr>
              <w:t> </w:t>
            </w:r>
            <w:r>
              <w:rPr>
                <w:rFonts w:ascii="宋体" w:eastAsia="宋体" w:hint="eastAsia"/>
                <w:sz w:val="21"/>
              </w:rPr>
              <w:t>日</w:t>
            </w:r>
          </w:p>
        </w:tc>
        <w:tc>
          <w:tcPr>
            <w:tcW w:w="1135" w:type="dxa"/>
          </w:tcPr>
          <w:p>
            <w:pPr>
              <w:pStyle w:val="TableParagraph"/>
              <w:spacing w:before="149"/>
              <w:ind w:right="95"/>
              <w:jc w:val="right"/>
              <w:rPr>
                <w:sz w:val="21"/>
              </w:rPr>
            </w:pPr>
            <w:r>
              <w:rPr>
                <w:sz w:val="21"/>
              </w:rPr>
              <w:t>10.54%</w:t>
            </w:r>
          </w:p>
        </w:tc>
        <w:tc>
          <w:tcPr>
            <w:tcW w:w="1121" w:type="dxa"/>
          </w:tcPr>
          <w:p>
            <w:pPr>
              <w:pStyle w:val="TableParagraph"/>
              <w:spacing w:before="149"/>
              <w:ind w:right="93"/>
              <w:jc w:val="right"/>
              <w:rPr>
                <w:sz w:val="21"/>
              </w:rPr>
            </w:pPr>
            <w:r>
              <w:rPr>
                <w:sz w:val="21"/>
              </w:rPr>
              <w:t>1.08%</w:t>
            </w:r>
          </w:p>
        </w:tc>
        <w:tc>
          <w:tcPr>
            <w:tcW w:w="1177" w:type="dxa"/>
          </w:tcPr>
          <w:p>
            <w:pPr>
              <w:pStyle w:val="TableParagraph"/>
              <w:spacing w:before="149"/>
              <w:ind w:right="96"/>
              <w:jc w:val="right"/>
              <w:rPr>
                <w:sz w:val="21"/>
              </w:rPr>
            </w:pPr>
            <w:r>
              <w:rPr>
                <w:sz w:val="21"/>
              </w:rPr>
              <w:t>6.92%</w:t>
            </w:r>
          </w:p>
        </w:tc>
        <w:tc>
          <w:tcPr>
            <w:tcW w:w="1328" w:type="dxa"/>
          </w:tcPr>
          <w:p>
            <w:pPr>
              <w:pStyle w:val="TableParagraph"/>
              <w:spacing w:before="149"/>
              <w:ind w:right="92"/>
              <w:jc w:val="right"/>
              <w:rPr>
                <w:sz w:val="21"/>
              </w:rPr>
            </w:pPr>
            <w:r>
              <w:rPr>
                <w:sz w:val="21"/>
              </w:rPr>
              <w:t>1.12%</w:t>
            </w:r>
          </w:p>
        </w:tc>
        <w:tc>
          <w:tcPr>
            <w:tcW w:w="885" w:type="dxa"/>
          </w:tcPr>
          <w:p>
            <w:pPr>
              <w:pStyle w:val="TableParagraph"/>
              <w:spacing w:before="149"/>
              <w:ind w:right="96"/>
              <w:jc w:val="right"/>
              <w:rPr>
                <w:sz w:val="21"/>
              </w:rPr>
            </w:pPr>
            <w:r>
              <w:rPr>
                <w:sz w:val="21"/>
              </w:rPr>
              <w:t>3.62%</w:t>
            </w:r>
          </w:p>
        </w:tc>
        <w:tc>
          <w:tcPr>
            <w:tcW w:w="980" w:type="dxa"/>
          </w:tcPr>
          <w:p>
            <w:pPr>
              <w:pStyle w:val="TableParagraph"/>
              <w:spacing w:before="149"/>
              <w:ind w:right="98"/>
              <w:jc w:val="right"/>
              <w:rPr>
                <w:sz w:val="21"/>
              </w:rPr>
            </w:pPr>
            <w:r>
              <w:rPr>
                <w:sz w:val="21"/>
              </w:rPr>
              <w:t>-0.04%</w:t>
            </w:r>
          </w:p>
        </w:tc>
      </w:tr>
      <w:tr>
        <w:trPr>
          <w:trHeight w:val="544" w:hRule="atLeast"/>
        </w:trPr>
        <w:tc>
          <w:tcPr>
            <w:tcW w:w="2043" w:type="dxa"/>
          </w:tcPr>
          <w:p>
            <w:pPr>
              <w:pStyle w:val="TableParagraph"/>
              <w:spacing w:before="1"/>
              <w:ind w:left="155"/>
              <w:rPr>
                <w:rFonts w:ascii="宋体" w:eastAsia="宋体" w:hint="eastAsia"/>
                <w:sz w:val="21"/>
              </w:rPr>
            </w:pPr>
            <w:r>
              <w:rPr>
                <w:sz w:val="21"/>
              </w:rPr>
              <w:t>2017</w:t>
            </w:r>
            <w:r>
              <w:rPr>
                <w:spacing w:val="-2"/>
                <w:sz w:val="21"/>
              </w:rPr>
              <w:t> </w:t>
            </w:r>
            <w:r>
              <w:rPr>
                <w:rFonts w:ascii="宋体" w:eastAsia="宋体" w:hint="eastAsia"/>
                <w:spacing w:val="-26"/>
                <w:sz w:val="21"/>
              </w:rPr>
              <w:t>年 </w:t>
            </w:r>
            <w:r>
              <w:rPr>
                <w:sz w:val="21"/>
              </w:rPr>
              <w:t>1</w:t>
            </w:r>
            <w:r>
              <w:rPr>
                <w:spacing w:val="-1"/>
                <w:sz w:val="21"/>
              </w:rPr>
              <w:t> </w:t>
            </w:r>
            <w:r>
              <w:rPr>
                <w:rFonts w:ascii="宋体" w:eastAsia="宋体" w:hint="eastAsia"/>
                <w:spacing w:val="-26"/>
                <w:sz w:val="21"/>
              </w:rPr>
              <w:t>月 </w:t>
            </w:r>
            <w:r>
              <w:rPr>
                <w:sz w:val="21"/>
              </w:rPr>
              <w:t>1</w:t>
            </w:r>
            <w:r>
              <w:rPr>
                <w:spacing w:val="-1"/>
                <w:sz w:val="21"/>
              </w:rPr>
              <w:t> </w:t>
            </w:r>
            <w:r>
              <w:rPr>
                <w:rFonts w:ascii="宋体" w:eastAsia="宋体" w:hint="eastAsia"/>
                <w:sz w:val="21"/>
              </w:rPr>
              <w:t>日至</w:t>
            </w:r>
          </w:p>
          <w:p>
            <w:pPr>
              <w:pStyle w:val="TableParagraph"/>
              <w:spacing w:line="252" w:lineRule="exact" w:before="2"/>
              <w:ind w:left="155"/>
              <w:rPr>
                <w:rFonts w:ascii="宋体" w:eastAsia="宋体" w:hint="eastAsia"/>
                <w:sz w:val="21"/>
              </w:rPr>
            </w:pPr>
            <w:r>
              <w:rPr>
                <w:sz w:val="21"/>
              </w:rPr>
              <w:t>2017</w:t>
            </w:r>
            <w:r>
              <w:rPr>
                <w:spacing w:val="-3"/>
                <w:sz w:val="21"/>
              </w:rPr>
              <w:t> </w:t>
            </w:r>
            <w:r>
              <w:rPr>
                <w:rFonts w:ascii="宋体" w:eastAsia="宋体" w:hint="eastAsia"/>
                <w:spacing w:val="-26"/>
                <w:sz w:val="21"/>
              </w:rPr>
              <w:t>年 </w:t>
            </w:r>
            <w:r>
              <w:rPr>
                <w:sz w:val="21"/>
              </w:rPr>
              <w:t>12</w:t>
            </w:r>
            <w:r>
              <w:rPr>
                <w:spacing w:val="-2"/>
                <w:sz w:val="21"/>
              </w:rPr>
              <w:t> </w:t>
            </w:r>
            <w:r>
              <w:rPr>
                <w:rFonts w:ascii="宋体" w:eastAsia="宋体" w:hint="eastAsia"/>
                <w:spacing w:val="-26"/>
                <w:sz w:val="21"/>
              </w:rPr>
              <w:t>月 </w:t>
            </w:r>
            <w:r>
              <w:rPr>
                <w:sz w:val="21"/>
              </w:rPr>
              <w:t>31</w:t>
            </w:r>
            <w:r>
              <w:rPr>
                <w:spacing w:val="1"/>
                <w:sz w:val="21"/>
              </w:rPr>
              <w:t> </w:t>
            </w:r>
            <w:r>
              <w:rPr>
                <w:rFonts w:ascii="宋体" w:eastAsia="宋体" w:hint="eastAsia"/>
                <w:sz w:val="21"/>
              </w:rPr>
              <w:t>日</w:t>
            </w:r>
          </w:p>
        </w:tc>
        <w:tc>
          <w:tcPr>
            <w:tcW w:w="1135" w:type="dxa"/>
          </w:tcPr>
          <w:p>
            <w:pPr>
              <w:pStyle w:val="TableParagraph"/>
              <w:spacing w:before="149"/>
              <w:ind w:right="95"/>
              <w:jc w:val="right"/>
              <w:rPr>
                <w:sz w:val="21"/>
              </w:rPr>
            </w:pPr>
            <w:r>
              <w:rPr>
                <w:sz w:val="21"/>
              </w:rPr>
              <w:t>28.64%</w:t>
            </w:r>
          </w:p>
        </w:tc>
        <w:tc>
          <w:tcPr>
            <w:tcW w:w="1121" w:type="dxa"/>
          </w:tcPr>
          <w:p>
            <w:pPr>
              <w:pStyle w:val="TableParagraph"/>
              <w:spacing w:before="149"/>
              <w:ind w:right="93"/>
              <w:jc w:val="right"/>
              <w:rPr>
                <w:sz w:val="21"/>
              </w:rPr>
            </w:pPr>
            <w:r>
              <w:rPr>
                <w:sz w:val="21"/>
              </w:rPr>
              <w:t>0.72%</w:t>
            </w:r>
          </w:p>
        </w:tc>
        <w:tc>
          <w:tcPr>
            <w:tcW w:w="1177" w:type="dxa"/>
          </w:tcPr>
          <w:p>
            <w:pPr>
              <w:pStyle w:val="TableParagraph"/>
              <w:spacing w:before="149"/>
              <w:ind w:right="96"/>
              <w:jc w:val="right"/>
              <w:rPr>
                <w:sz w:val="21"/>
              </w:rPr>
            </w:pPr>
            <w:r>
              <w:rPr>
                <w:sz w:val="21"/>
              </w:rPr>
              <w:t>25.63%</w:t>
            </w:r>
          </w:p>
        </w:tc>
        <w:tc>
          <w:tcPr>
            <w:tcW w:w="1328" w:type="dxa"/>
          </w:tcPr>
          <w:p>
            <w:pPr>
              <w:pStyle w:val="TableParagraph"/>
              <w:spacing w:before="149"/>
              <w:ind w:right="92"/>
              <w:jc w:val="right"/>
              <w:rPr>
                <w:sz w:val="21"/>
              </w:rPr>
            </w:pPr>
            <w:r>
              <w:rPr>
                <w:sz w:val="21"/>
              </w:rPr>
              <w:t>0.72%</w:t>
            </w:r>
          </w:p>
        </w:tc>
        <w:tc>
          <w:tcPr>
            <w:tcW w:w="885" w:type="dxa"/>
          </w:tcPr>
          <w:p>
            <w:pPr>
              <w:pStyle w:val="TableParagraph"/>
              <w:spacing w:before="149"/>
              <w:ind w:right="96"/>
              <w:jc w:val="right"/>
              <w:rPr>
                <w:sz w:val="21"/>
              </w:rPr>
            </w:pPr>
            <w:r>
              <w:rPr>
                <w:sz w:val="21"/>
              </w:rPr>
              <w:t>3.01%</w:t>
            </w:r>
          </w:p>
        </w:tc>
        <w:tc>
          <w:tcPr>
            <w:tcW w:w="980" w:type="dxa"/>
          </w:tcPr>
          <w:p>
            <w:pPr>
              <w:pStyle w:val="TableParagraph"/>
              <w:spacing w:before="149"/>
              <w:ind w:right="96"/>
              <w:jc w:val="right"/>
              <w:rPr>
                <w:sz w:val="21"/>
              </w:rPr>
            </w:pPr>
            <w:r>
              <w:rPr>
                <w:sz w:val="21"/>
              </w:rPr>
              <w:t>0.00%</w:t>
            </w:r>
          </w:p>
        </w:tc>
      </w:tr>
      <w:tr>
        <w:trPr>
          <w:trHeight w:val="544" w:hRule="atLeast"/>
        </w:trPr>
        <w:tc>
          <w:tcPr>
            <w:tcW w:w="2043" w:type="dxa"/>
          </w:tcPr>
          <w:p>
            <w:pPr>
              <w:pStyle w:val="TableParagraph"/>
              <w:spacing w:before="1"/>
              <w:ind w:left="155"/>
              <w:rPr>
                <w:rFonts w:ascii="宋体" w:eastAsia="宋体" w:hint="eastAsia"/>
                <w:sz w:val="21"/>
              </w:rPr>
            </w:pPr>
            <w:r>
              <w:rPr>
                <w:sz w:val="21"/>
              </w:rPr>
              <w:t>2018</w:t>
            </w:r>
            <w:r>
              <w:rPr>
                <w:spacing w:val="-2"/>
                <w:sz w:val="21"/>
              </w:rPr>
              <w:t> </w:t>
            </w:r>
            <w:r>
              <w:rPr>
                <w:rFonts w:ascii="宋体" w:eastAsia="宋体" w:hint="eastAsia"/>
                <w:spacing w:val="-26"/>
                <w:sz w:val="21"/>
              </w:rPr>
              <w:t>年 </w:t>
            </w:r>
            <w:r>
              <w:rPr>
                <w:sz w:val="21"/>
              </w:rPr>
              <w:t>1</w:t>
            </w:r>
            <w:r>
              <w:rPr>
                <w:spacing w:val="-1"/>
                <w:sz w:val="21"/>
              </w:rPr>
              <w:t> </w:t>
            </w:r>
            <w:r>
              <w:rPr>
                <w:rFonts w:ascii="宋体" w:eastAsia="宋体" w:hint="eastAsia"/>
                <w:spacing w:val="-26"/>
                <w:sz w:val="21"/>
              </w:rPr>
              <w:t>月 </w:t>
            </w:r>
            <w:r>
              <w:rPr>
                <w:sz w:val="21"/>
              </w:rPr>
              <w:t>1</w:t>
            </w:r>
            <w:r>
              <w:rPr>
                <w:spacing w:val="-1"/>
                <w:sz w:val="21"/>
              </w:rPr>
              <w:t> </w:t>
            </w:r>
            <w:r>
              <w:rPr>
                <w:rFonts w:ascii="宋体" w:eastAsia="宋体" w:hint="eastAsia"/>
                <w:sz w:val="21"/>
              </w:rPr>
              <w:t>日至</w:t>
            </w:r>
          </w:p>
          <w:p>
            <w:pPr>
              <w:pStyle w:val="TableParagraph"/>
              <w:spacing w:line="250" w:lineRule="exact" w:before="4"/>
              <w:ind w:left="155"/>
              <w:rPr>
                <w:rFonts w:ascii="宋体" w:eastAsia="宋体" w:hint="eastAsia"/>
                <w:sz w:val="21"/>
              </w:rPr>
            </w:pPr>
            <w:r>
              <w:rPr>
                <w:sz w:val="21"/>
              </w:rPr>
              <w:t>2018</w:t>
            </w:r>
            <w:r>
              <w:rPr>
                <w:spacing w:val="-2"/>
                <w:sz w:val="21"/>
              </w:rPr>
              <w:t> </w:t>
            </w:r>
            <w:r>
              <w:rPr>
                <w:rFonts w:ascii="宋体" w:eastAsia="宋体" w:hint="eastAsia"/>
                <w:spacing w:val="-26"/>
                <w:sz w:val="21"/>
              </w:rPr>
              <w:t>年 </w:t>
            </w:r>
            <w:r>
              <w:rPr>
                <w:sz w:val="21"/>
              </w:rPr>
              <w:t>12</w:t>
            </w:r>
            <w:r>
              <w:rPr>
                <w:spacing w:val="-2"/>
                <w:sz w:val="21"/>
              </w:rPr>
              <w:t> </w:t>
            </w:r>
            <w:r>
              <w:rPr>
                <w:rFonts w:ascii="宋体" w:eastAsia="宋体" w:hint="eastAsia"/>
                <w:spacing w:val="-26"/>
                <w:sz w:val="21"/>
              </w:rPr>
              <w:t>月 </w:t>
            </w:r>
            <w:r>
              <w:rPr>
                <w:sz w:val="21"/>
              </w:rPr>
              <w:t>31</w:t>
            </w:r>
            <w:r>
              <w:rPr>
                <w:spacing w:val="1"/>
                <w:sz w:val="21"/>
              </w:rPr>
              <w:t> </w:t>
            </w:r>
            <w:r>
              <w:rPr>
                <w:rFonts w:ascii="宋体" w:eastAsia="宋体" w:hint="eastAsia"/>
                <w:sz w:val="21"/>
              </w:rPr>
              <w:t>日</w:t>
            </w:r>
          </w:p>
        </w:tc>
        <w:tc>
          <w:tcPr>
            <w:tcW w:w="1135" w:type="dxa"/>
          </w:tcPr>
          <w:p>
            <w:pPr>
              <w:pStyle w:val="TableParagraph"/>
              <w:spacing w:before="151"/>
              <w:ind w:right="97"/>
              <w:jc w:val="right"/>
              <w:rPr>
                <w:sz w:val="21"/>
              </w:rPr>
            </w:pPr>
            <w:r>
              <w:rPr>
                <w:sz w:val="21"/>
              </w:rPr>
              <w:t>-8.93%</w:t>
            </w:r>
          </w:p>
        </w:tc>
        <w:tc>
          <w:tcPr>
            <w:tcW w:w="1121" w:type="dxa"/>
          </w:tcPr>
          <w:p>
            <w:pPr>
              <w:pStyle w:val="TableParagraph"/>
              <w:spacing w:before="151"/>
              <w:ind w:right="93"/>
              <w:jc w:val="right"/>
              <w:rPr>
                <w:sz w:val="21"/>
              </w:rPr>
            </w:pPr>
            <w:r>
              <w:rPr>
                <w:sz w:val="21"/>
              </w:rPr>
              <w:t>1.23%</w:t>
            </w:r>
          </w:p>
        </w:tc>
        <w:tc>
          <w:tcPr>
            <w:tcW w:w="1177" w:type="dxa"/>
          </w:tcPr>
          <w:p>
            <w:pPr>
              <w:pStyle w:val="TableParagraph"/>
              <w:spacing w:before="151"/>
              <w:ind w:right="98"/>
              <w:jc w:val="right"/>
              <w:rPr>
                <w:sz w:val="21"/>
              </w:rPr>
            </w:pPr>
            <w:r>
              <w:rPr>
                <w:sz w:val="21"/>
              </w:rPr>
              <w:t>-8.90%</w:t>
            </w:r>
          </w:p>
        </w:tc>
        <w:tc>
          <w:tcPr>
            <w:tcW w:w="1328" w:type="dxa"/>
          </w:tcPr>
          <w:p>
            <w:pPr>
              <w:pStyle w:val="TableParagraph"/>
              <w:spacing w:before="151"/>
              <w:ind w:right="92"/>
              <w:jc w:val="right"/>
              <w:rPr>
                <w:sz w:val="21"/>
              </w:rPr>
            </w:pPr>
            <w:r>
              <w:rPr>
                <w:sz w:val="21"/>
              </w:rPr>
              <w:t>1.22%</w:t>
            </w:r>
          </w:p>
        </w:tc>
        <w:tc>
          <w:tcPr>
            <w:tcW w:w="885" w:type="dxa"/>
          </w:tcPr>
          <w:p>
            <w:pPr>
              <w:pStyle w:val="TableParagraph"/>
              <w:spacing w:before="151"/>
              <w:ind w:right="98"/>
              <w:jc w:val="right"/>
              <w:rPr>
                <w:sz w:val="21"/>
              </w:rPr>
            </w:pPr>
            <w:r>
              <w:rPr>
                <w:sz w:val="21"/>
              </w:rPr>
              <w:t>-0.03%</w:t>
            </w:r>
          </w:p>
        </w:tc>
        <w:tc>
          <w:tcPr>
            <w:tcW w:w="980" w:type="dxa"/>
          </w:tcPr>
          <w:p>
            <w:pPr>
              <w:pStyle w:val="TableParagraph"/>
              <w:spacing w:before="151"/>
              <w:ind w:right="96"/>
              <w:jc w:val="right"/>
              <w:rPr>
                <w:sz w:val="21"/>
              </w:rPr>
            </w:pPr>
            <w:r>
              <w:rPr>
                <w:sz w:val="21"/>
              </w:rPr>
              <w:t>0.01%</w:t>
            </w:r>
          </w:p>
        </w:tc>
      </w:tr>
      <w:tr>
        <w:trPr>
          <w:trHeight w:val="544" w:hRule="atLeast"/>
        </w:trPr>
        <w:tc>
          <w:tcPr>
            <w:tcW w:w="2043" w:type="dxa"/>
          </w:tcPr>
          <w:p>
            <w:pPr>
              <w:pStyle w:val="TableParagraph"/>
              <w:spacing w:before="1"/>
              <w:ind w:left="155"/>
              <w:rPr>
                <w:rFonts w:ascii="宋体" w:eastAsia="宋体" w:hint="eastAsia"/>
                <w:sz w:val="21"/>
              </w:rPr>
            </w:pPr>
            <w:r>
              <w:rPr>
                <w:sz w:val="21"/>
              </w:rPr>
              <w:t>2019</w:t>
            </w:r>
            <w:r>
              <w:rPr>
                <w:spacing w:val="-2"/>
                <w:sz w:val="21"/>
              </w:rPr>
              <w:t> </w:t>
            </w:r>
            <w:r>
              <w:rPr>
                <w:rFonts w:ascii="宋体" w:eastAsia="宋体" w:hint="eastAsia"/>
                <w:spacing w:val="-26"/>
                <w:sz w:val="21"/>
              </w:rPr>
              <w:t>年 </w:t>
            </w:r>
            <w:r>
              <w:rPr>
                <w:sz w:val="21"/>
              </w:rPr>
              <w:t>1</w:t>
            </w:r>
            <w:r>
              <w:rPr>
                <w:spacing w:val="-1"/>
                <w:sz w:val="21"/>
              </w:rPr>
              <w:t> </w:t>
            </w:r>
            <w:r>
              <w:rPr>
                <w:rFonts w:ascii="宋体" w:eastAsia="宋体" w:hint="eastAsia"/>
                <w:spacing w:val="-26"/>
                <w:sz w:val="21"/>
              </w:rPr>
              <w:t>月 </w:t>
            </w:r>
            <w:r>
              <w:rPr>
                <w:sz w:val="21"/>
              </w:rPr>
              <w:t>1</w:t>
            </w:r>
            <w:r>
              <w:rPr>
                <w:spacing w:val="-1"/>
                <w:sz w:val="21"/>
              </w:rPr>
              <w:t> </w:t>
            </w:r>
            <w:r>
              <w:rPr>
                <w:rFonts w:ascii="宋体" w:eastAsia="宋体" w:hint="eastAsia"/>
                <w:sz w:val="21"/>
              </w:rPr>
              <w:t>日至</w:t>
            </w:r>
          </w:p>
          <w:p>
            <w:pPr>
              <w:pStyle w:val="TableParagraph"/>
              <w:spacing w:line="250" w:lineRule="exact" w:before="4"/>
              <w:ind w:left="155"/>
              <w:rPr>
                <w:rFonts w:ascii="宋体" w:eastAsia="宋体" w:hint="eastAsia"/>
                <w:sz w:val="21"/>
              </w:rPr>
            </w:pPr>
            <w:r>
              <w:rPr>
                <w:sz w:val="21"/>
              </w:rPr>
              <w:t>2019</w:t>
            </w:r>
            <w:r>
              <w:rPr>
                <w:spacing w:val="-2"/>
                <w:sz w:val="21"/>
              </w:rPr>
              <w:t> </w:t>
            </w:r>
            <w:r>
              <w:rPr>
                <w:rFonts w:ascii="宋体" w:eastAsia="宋体" w:hint="eastAsia"/>
                <w:spacing w:val="-26"/>
                <w:sz w:val="21"/>
              </w:rPr>
              <w:t>年 </w:t>
            </w:r>
            <w:r>
              <w:rPr>
                <w:sz w:val="21"/>
              </w:rPr>
              <w:t>12</w:t>
            </w:r>
            <w:r>
              <w:rPr>
                <w:spacing w:val="-2"/>
                <w:sz w:val="21"/>
              </w:rPr>
              <w:t> </w:t>
            </w:r>
            <w:r>
              <w:rPr>
                <w:rFonts w:ascii="宋体" w:eastAsia="宋体" w:hint="eastAsia"/>
                <w:spacing w:val="-26"/>
                <w:sz w:val="21"/>
              </w:rPr>
              <w:t>月 </w:t>
            </w:r>
            <w:r>
              <w:rPr>
                <w:sz w:val="21"/>
              </w:rPr>
              <w:t>31</w:t>
            </w:r>
            <w:r>
              <w:rPr>
                <w:spacing w:val="1"/>
                <w:sz w:val="21"/>
              </w:rPr>
              <w:t> </w:t>
            </w:r>
            <w:r>
              <w:rPr>
                <w:rFonts w:ascii="宋体" w:eastAsia="宋体" w:hint="eastAsia"/>
                <w:sz w:val="21"/>
              </w:rPr>
              <w:t>日</w:t>
            </w:r>
          </w:p>
        </w:tc>
        <w:tc>
          <w:tcPr>
            <w:tcW w:w="1135" w:type="dxa"/>
          </w:tcPr>
          <w:p>
            <w:pPr>
              <w:pStyle w:val="TableParagraph"/>
              <w:spacing w:before="151"/>
              <w:ind w:right="95"/>
              <w:jc w:val="right"/>
              <w:rPr>
                <w:sz w:val="21"/>
              </w:rPr>
            </w:pPr>
            <w:r>
              <w:rPr>
                <w:sz w:val="21"/>
              </w:rPr>
              <w:t>12.24%</w:t>
            </w:r>
          </w:p>
        </w:tc>
        <w:tc>
          <w:tcPr>
            <w:tcW w:w="1121" w:type="dxa"/>
          </w:tcPr>
          <w:p>
            <w:pPr>
              <w:pStyle w:val="TableParagraph"/>
              <w:spacing w:before="151"/>
              <w:ind w:right="93"/>
              <w:jc w:val="right"/>
              <w:rPr>
                <w:sz w:val="21"/>
              </w:rPr>
            </w:pPr>
            <w:r>
              <w:rPr>
                <w:sz w:val="21"/>
              </w:rPr>
              <w:t>0.94%</w:t>
            </w:r>
          </w:p>
        </w:tc>
        <w:tc>
          <w:tcPr>
            <w:tcW w:w="1177" w:type="dxa"/>
          </w:tcPr>
          <w:p>
            <w:pPr>
              <w:pStyle w:val="TableParagraph"/>
              <w:spacing w:before="151"/>
              <w:ind w:right="96"/>
              <w:jc w:val="right"/>
              <w:rPr>
                <w:sz w:val="21"/>
              </w:rPr>
            </w:pPr>
            <w:r>
              <w:rPr>
                <w:sz w:val="21"/>
              </w:rPr>
              <w:t>10.98%</w:t>
            </w:r>
          </w:p>
        </w:tc>
        <w:tc>
          <w:tcPr>
            <w:tcW w:w="1328" w:type="dxa"/>
          </w:tcPr>
          <w:p>
            <w:pPr>
              <w:pStyle w:val="TableParagraph"/>
              <w:spacing w:before="151"/>
              <w:ind w:right="92"/>
              <w:jc w:val="right"/>
              <w:rPr>
                <w:sz w:val="21"/>
              </w:rPr>
            </w:pPr>
            <w:r>
              <w:rPr>
                <w:sz w:val="21"/>
              </w:rPr>
              <w:t>0.94%</w:t>
            </w:r>
          </w:p>
        </w:tc>
        <w:tc>
          <w:tcPr>
            <w:tcW w:w="885" w:type="dxa"/>
          </w:tcPr>
          <w:p>
            <w:pPr>
              <w:pStyle w:val="TableParagraph"/>
              <w:spacing w:before="151"/>
              <w:ind w:right="96"/>
              <w:jc w:val="right"/>
              <w:rPr>
                <w:sz w:val="21"/>
              </w:rPr>
            </w:pPr>
            <w:r>
              <w:rPr>
                <w:sz w:val="21"/>
              </w:rPr>
              <w:t>1.26%</w:t>
            </w:r>
          </w:p>
        </w:tc>
        <w:tc>
          <w:tcPr>
            <w:tcW w:w="980" w:type="dxa"/>
          </w:tcPr>
          <w:p>
            <w:pPr>
              <w:pStyle w:val="TableParagraph"/>
              <w:spacing w:before="151"/>
              <w:ind w:right="96"/>
              <w:jc w:val="right"/>
              <w:rPr>
                <w:sz w:val="21"/>
              </w:rPr>
            </w:pPr>
            <w:r>
              <w:rPr>
                <w:sz w:val="21"/>
              </w:rPr>
              <w:t>0.00%</w:t>
            </w:r>
          </w:p>
        </w:tc>
      </w:tr>
      <w:tr>
        <w:trPr>
          <w:trHeight w:val="544" w:hRule="atLeast"/>
        </w:trPr>
        <w:tc>
          <w:tcPr>
            <w:tcW w:w="2043" w:type="dxa"/>
          </w:tcPr>
          <w:p>
            <w:pPr>
              <w:pStyle w:val="TableParagraph"/>
              <w:spacing w:before="1"/>
              <w:ind w:left="155"/>
              <w:rPr>
                <w:rFonts w:ascii="宋体" w:eastAsia="宋体" w:hint="eastAsia"/>
                <w:sz w:val="21"/>
              </w:rPr>
            </w:pPr>
            <w:r>
              <w:rPr>
                <w:sz w:val="21"/>
              </w:rPr>
              <w:t>2020 </w:t>
            </w:r>
            <w:r>
              <w:rPr>
                <w:rFonts w:ascii="宋体" w:eastAsia="宋体" w:hint="eastAsia"/>
                <w:sz w:val="21"/>
              </w:rPr>
              <w:t>年 </w:t>
            </w:r>
            <w:r>
              <w:rPr>
                <w:sz w:val="21"/>
              </w:rPr>
              <w:t>1 </w:t>
            </w:r>
            <w:r>
              <w:rPr>
                <w:rFonts w:ascii="宋体" w:eastAsia="宋体" w:hint="eastAsia"/>
                <w:sz w:val="21"/>
              </w:rPr>
              <w:t>月 </w:t>
            </w:r>
            <w:r>
              <w:rPr>
                <w:sz w:val="21"/>
              </w:rPr>
              <w:t>1 </w:t>
            </w:r>
            <w:r>
              <w:rPr>
                <w:rFonts w:ascii="宋体" w:eastAsia="宋体" w:hint="eastAsia"/>
                <w:sz w:val="21"/>
              </w:rPr>
              <w:t>日至</w:t>
            </w:r>
          </w:p>
          <w:p>
            <w:pPr>
              <w:pStyle w:val="TableParagraph"/>
              <w:spacing w:line="250" w:lineRule="exact" w:before="4"/>
              <w:ind w:left="208"/>
              <w:rPr>
                <w:rFonts w:ascii="宋体" w:eastAsia="宋体" w:hint="eastAsia"/>
                <w:sz w:val="21"/>
              </w:rPr>
            </w:pPr>
            <w:r>
              <w:rPr>
                <w:sz w:val="21"/>
              </w:rPr>
              <w:t>2020 </w:t>
            </w:r>
            <w:r>
              <w:rPr>
                <w:rFonts w:ascii="宋体" w:eastAsia="宋体" w:hint="eastAsia"/>
                <w:sz w:val="21"/>
              </w:rPr>
              <w:t>年 </w:t>
            </w:r>
            <w:r>
              <w:rPr>
                <w:sz w:val="21"/>
              </w:rPr>
              <w:t>6 </w:t>
            </w:r>
            <w:r>
              <w:rPr>
                <w:rFonts w:ascii="宋体" w:eastAsia="宋体" w:hint="eastAsia"/>
                <w:sz w:val="21"/>
              </w:rPr>
              <w:t>月 </w:t>
            </w:r>
            <w:r>
              <w:rPr>
                <w:sz w:val="21"/>
              </w:rPr>
              <w:t>30 </w:t>
            </w:r>
            <w:r>
              <w:rPr>
                <w:rFonts w:ascii="宋体" w:eastAsia="宋体" w:hint="eastAsia"/>
                <w:sz w:val="21"/>
              </w:rPr>
              <w:t>日</w:t>
            </w:r>
          </w:p>
        </w:tc>
        <w:tc>
          <w:tcPr>
            <w:tcW w:w="1135" w:type="dxa"/>
          </w:tcPr>
          <w:p>
            <w:pPr>
              <w:pStyle w:val="TableParagraph"/>
              <w:spacing w:before="151"/>
              <w:ind w:right="97"/>
              <w:jc w:val="right"/>
              <w:rPr>
                <w:sz w:val="21"/>
              </w:rPr>
            </w:pPr>
            <w:r>
              <w:rPr>
                <w:sz w:val="21"/>
              </w:rPr>
              <w:t>-10.25%</w:t>
            </w:r>
          </w:p>
        </w:tc>
        <w:tc>
          <w:tcPr>
            <w:tcW w:w="1121" w:type="dxa"/>
          </w:tcPr>
          <w:p>
            <w:pPr>
              <w:pStyle w:val="TableParagraph"/>
              <w:spacing w:before="151"/>
              <w:ind w:right="93"/>
              <w:jc w:val="right"/>
              <w:rPr>
                <w:sz w:val="21"/>
              </w:rPr>
            </w:pPr>
            <w:r>
              <w:rPr>
                <w:sz w:val="21"/>
              </w:rPr>
              <w:t>1.78%</w:t>
            </w:r>
          </w:p>
        </w:tc>
        <w:tc>
          <w:tcPr>
            <w:tcW w:w="1177" w:type="dxa"/>
          </w:tcPr>
          <w:p>
            <w:pPr>
              <w:pStyle w:val="TableParagraph"/>
              <w:spacing w:before="151"/>
              <w:ind w:right="98"/>
              <w:jc w:val="right"/>
              <w:rPr>
                <w:sz w:val="21"/>
              </w:rPr>
            </w:pPr>
            <w:r>
              <w:rPr>
                <w:sz w:val="21"/>
              </w:rPr>
              <w:t>-11.00%</w:t>
            </w:r>
          </w:p>
        </w:tc>
        <w:tc>
          <w:tcPr>
            <w:tcW w:w="1328" w:type="dxa"/>
          </w:tcPr>
          <w:p>
            <w:pPr>
              <w:pStyle w:val="TableParagraph"/>
              <w:spacing w:before="151"/>
              <w:ind w:right="92"/>
              <w:jc w:val="right"/>
              <w:rPr>
                <w:sz w:val="21"/>
              </w:rPr>
            </w:pPr>
            <w:r>
              <w:rPr>
                <w:sz w:val="21"/>
              </w:rPr>
              <w:t>1.77%</w:t>
            </w:r>
          </w:p>
        </w:tc>
        <w:tc>
          <w:tcPr>
            <w:tcW w:w="885" w:type="dxa"/>
          </w:tcPr>
          <w:p>
            <w:pPr>
              <w:pStyle w:val="TableParagraph"/>
              <w:spacing w:before="151"/>
              <w:ind w:right="96"/>
              <w:jc w:val="right"/>
              <w:rPr>
                <w:sz w:val="21"/>
              </w:rPr>
            </w:pPr>
            <w:r>
              <w:rPr>
                <w:sz w:val="21"/>
              </w:rPr>
              <w:t>0.75%</w:t>
            </w:r>
          </w:p>
        </w:tc>
        <w:tc>
          <w:tcPr>
            <w:tcW w:w="980" w:type="dxa"/>
          </w:tcPr>
          <w:p>
            <w:pPr>
              <w:pStyle w:val="TableParagraph"/>
              <w:spacing w:before="151"/>
              <w:ind w:right="96"/>
              <w:jc w:val="right"/>
              <w:rPr>
                <w:sz w:val="21"/>
              </w:rPr>
            </w:pPr>
            <w:r>
              <w:rPr>
                <w:sz w:val="21"/>
              </w:rPr>
              <w:t>0.01%</w:t>
            </w:r>
          </w:p>
        </w:tc>
      </w:tr>
    </w:tbl>
    <w:p>
      <w:pPr>
        <w:pStyle w:val="BodyText"/>
        <w:spacing w:before="99"/>
      </w:pPr>
      <w:bookmarkStart w:name="_bookmark5" w:id="6"/>
      <w:bookmarkEnd w:id="6"/>
      <w:r>
        <w:rPr/>
      </w:r>
      <w:r>
        <w:rPr>
          <w:spacing w:val="11"/>
        </w:rPr>
        <w:t>华夏恒生</w:t>
      </w:r>
      <w:r>
        <w:rPr>
          <w:rFonts w:ascii="Times New Roman" w:eastAsia="Times New Roman"/>
        </w:rPr>
        <w:t>ETF</w:t>
      </w:r>
      <w:r>
        <w:rPr>
          <w:rFonts w:ascii="Times New Roman" w:eastAsia="Times New Roman"/>
          <w:spacing w:val="-1"/>
        </w:rPr>
        <w:t> </w:t>
      </w:r>
      <w:r>
        <w:rPr>
          <w:spacing w:val="-16"/>
        </w:rPr>
        <w:t>联接 </w:t>
      </w:r>
      <w:r>
        <w:rPr>
          <w:rFonts w:ascii="Times New Roman" w:eastAsia="Times New Roman"/>
        </w:rPr>
        <w:t>C</w:t>
      </w:r>
      <w:r>
        <w:rPr/>
        <w:t>：</w:t>
      </w:r>
    </w:p>
    <w:p>
      <w:pPr>
        <w:pStyle w:val="BodyText"/>
        <w:spacing w:before="10"/>
        <w:ind w:left="0"/>
        <w:rPr>
          <w:sz w:val="7"/>
        </w:rPr>
      </w:pPr>
    </w:p>
    <w:tbl>
      <w:tblPr>
        <w:tblW w:w="0" w:type="auto"/>
        <w:jc w:val="left"/>
        <w:tblInd w:w="2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43"/>
        <w:gridCol w:w="1135"/>
        <w:gridCol w:w="1121"/>
        <w:gridCol w:w="1177"/>
        <w:gridCol w:w="1328"/>
        <w:gridCol w:w="885"/>
        <w:gridCol w:w="980"/>
      </w:tblGrid>
      <w:tr>
        <w:trPr>
          <w:trHeight w:val="817" w:hRule="atLeast"/>
        </w:trPr>
        <w:tc>
          <w:tcPr>
            <w:tcW w:w="2043" w:type="dxa"/>
          </w:tcPr>
          <w:p>
            <w:pPr>
              <w:pStyle w:val="TableParagraph"/>
              <w:spacing w:before="5"/>
              <w:rPr>
                <w:rFonts w:ascii="宋体"/>
                <w:sz w:val="21"/>
              </w:rPr>
            </w:pPr>
          </w:p>
          <w:p>
            <w:pPr>
              <w:pStyle w:val="TableParagraph"/>
              <w:ind w:left="792" w:right="781"/>
              <w:jc w:val="center"/>
              <w:rPr>
                <w:rFonts w:ascii="宋体" w:eastAsia="宋体" w:hint="eastAsia"/>
                <w:sz w:val="21"/>
              </w:rPr>
            </w:pPr>
            <w:r>
              <w:rPr>
                <w:rFonts w:ascii="宋体" w:eastAsia="宋体" w:hint="eastAsia"/>
                <w:sz w:val="21"/>
              </w:rPr>
              <w:t>阶段</w:t>
            </w:r>
          </w:p>
        </w:tc>
        <w:tc>
          <w:tcPr>
            <w:tcW w:w="1135" w:type="dxa"/>
          </w:tcPr>
          <w:p>
            <w:pPr>
              <w:pStyle w:val="TableParagraph"/>
              <w:spacing w:line="244" w:lineRule="auto" w:before="138"/>
              <w:ind w:left="146" w:right="134"/>
              <w:rPr>
                <w:rFonts w:ascii="宋体" w:hAnsi="宋体" w:eastAsia="宋体" w:hint="eastAsia"/>
                <w:sz w:val="21"/>
              </w:rPr>
            </w:pPr>
            <w:r>
              <w:rPr>
                <w:rFonts w:ascii="宋体" w:hAnsi="宋体" w:eastAsia="宋体" w:hint="eastAsia"/>
                <w:sz w:val="21"/>
              </w:rPr>
              <w:t>份额净值增长率①</w:t>
            </w:r>
          </w:p>
        </w:tc>
        <w:tc>
          <w:tcPr>
            <w:tcW w:w="1121" w:type="dxa"/>
          </w:tcPr>
          <w:p>
            <w:pPr>
              <w:pStyle w:val="TableParagraph"/>
              <w:spacing w:line="242" w:lineRule="auto" w:before="3"/>
              <w:ind w:left="139" w:right="127"/>
              <w:jc w:val="center"/>
              <w:rPr>
                <w:rFonts w:ascii="宋体" w:eastAsia="宋体" w:hint="eastAsia"/>
                <w:sz w:val="21"/>
              </w:rPr>
            </w:pPr>
            <w:r>
              <w:rPr>
                <w:rFonts w:ascii="宋体" w:eastAsia="宋体" w:hint="eastAsia"/>
                <w:spacing w:val="-5"/>
                <w:sz w:val="21"/>
              </w:rPr>
              <w:t>份额净值增长率标</w:t>
            </w:r>
          </w:p>
          <w:p>
            <w:pPr>
              <w:pStyle w:val="TableParagraph"/>
              <w:spacing w:line="250" w:lineRule="exact" w:before="1"/>
              <w:ind w:left="139" w:right="127"/>
              <w:jc w:val="center"/>
              <w:rPr>
                <w:rFonts w:ascii="宋体" w:hAnsi="宋体" w:eastAsia="宋体" w:hint="eastAsia"/>
                <w:sz w:val="21"/>
              </w:rPr>
            </w:pPr>
            <w:r>
              <w:rPr>
                <w:rFonts w:ascii="宋体" w:hAnsi="宋体" w:eastAsia="宋体" w:hint="eastAsia"/>
                <w:sz w:val="21"/>
              </w:rPr>
              <w:t>准差②</w:t>
            </w:r>
          </w:p>
        </w:tc>
        <w:tc>
          <w:tcPr>
            <w:tcW w:w="1177" w:type="dxa"/>
          </w:tcPr>
          <w:p>
            <w:pPr>
              <w:pStyle w:val="TableParagraph"/>
              <w:spacing w:line="242" w:lineRule="auto" w:before="3"/>
              <w:ind w:left="165" w:right="157"/>
              <w:jc w:val="center"/>
              <w:rPr>
                <w:rFonts w:ascii="宋体" w:eastAsia="宋体" w:hint="eastAsia"/>
                <w:sz w:val="21"/>
              </w:rPr>
            </w:pPr>
            <w:r>
              <w:rPr>
                <w:rFonts w:ascii="宋体" w:eastAsia="宋体" w:hint="eastAsia"/>
                <w:sz w:val="21"/>
              </w:rPr>
              <w:t>业绩比较基准收益</w:t>
            </w:r>
          </w:p>
          <w:p>
            <w:pPr>
              <w:pStyle w:val="TableParagraph"/>
              <w:spacing w:line="250" w:lineRule="exact" w:before="1"/>
              <w:ind w:left="161" w:right="157"/>
              <w:jc w:val="center"/>
              <w:rPr>
                <w:rFonts w:ascii="宋体" w:hAnsi="宋体" w:eastAsia="宋体" w:hint="eastAsia"/>
                <w:sz w:val="21"/>
              </w:rPr>
            </w:pPr>
            <w:r>
              <w:rPr>
                <w:rFonts w:ascii="宋体" w:hAnsi="宋体" w:eastAsia="宋体" w:hint="eastAsia"/>
                <w:sz w:val="21"/>
              </w:rPr>
              <w:t>率③</w:t>
            </w:r>
          </w:p>
        </w:tc>
        <w:tc>
          <w:tcPr>
            <w:tcW w:w="1328" w:type="dxa"/>
          </w:tcPr>
          <w:p>
            <w:pPr>
              <w:pStyle w:val="TableParagraph"/>
              <w:spacing w:line="242" w:lineRule="auto" w:before="3"/>
              <w:ind w:left="138" w:right="124"/>
              <w:jc w:val="center"/>
              <w:rPr>
                <w:rFonts w:ascii="宋体" w:eastAsia="宋体" w:hint="eastAsia"/>
                <w:sz w:val="21"/>
              </w:rPr>
            </w:pPr>
            <w:r>
              <w:rPr>
                <w:rFonts w:ascii="宋体" w:eastAsia="宋体" w:hint="eastAsia"/>
                <w:sz w:val="21"/>
              </w:rPr>
              <w:t>业绩比较基准收益率标</w:t>
            </w:r>
          </w:p>
          <w:p>
            <w:pPr>
              <w:pStyle w:val="TableParagraph"/>
              <w:spacing w:line="250" w:lineRule="exact" w:before="1"/>
              <w:ind w:left="133" w:right="124"/>
              <w:jc w:val="center"/>
              <w:rPr>
                <w:rFonts w:ascii="宋体" w:hAnsi="宋体" w:eastAsia="宋体" w:hint="eastAsia"/>
                <w:sz w:val="21"/>
              </w:rPr>
            </w:pPr>
            <w:r>
              <w:rPr>
                <w:rFonts w:ascii="宋体" w:hAnsi="宋体" w:eastAsia="宋体" w:hint="eastAsia"/>
                <w:sz w:val="21"/>
              </w:rPr>
              <w:t>准差④</w:t>
            </w:r>
          </w:p>
        </w:tc>
        <w:tc>
          <w:tcPr>
            <w:tcW w:w="885" w:type="dxa"/>
          </w:tcPr>
          <w:p>
            <w:pPr>
              <w:pStyle w:val="TableParagraph"/>
              <w:spacing w:before="5"/>
              <w:rPr>
                <w:rFonts w:ascii="宋体"/>
                <w:sz w:val="21"/>
              </w:rPr>
            </w:pPr>
          </w:p>
          <w:p>
            <w:pPr>
              <w:pStyle w:val="TableParagraph"/>
              <w:ind w:right="115"/>
              <w:jc w:val="right"/>
              <w:rPr>
                <w:rFonts w:ascii="宋体" w:hAnsi="宋体" w:eastAsia="宋体" w:hint="eastAsia"/>
                <w:sz w:val="21"/>
              </w:rPr>
            </w:pPr>
            <w:r>
              <w:rPr>
                <w:rFonts w:ascii="宋体" w:hAnsi="宋体" w:eastAsia="宋体" w:hint="eastAsia"/>
                <w:sz w:val="21"/>
              </w:rPr>
              <w:t>①－③</w:t>
            </w:r>
          </w:p>
        </w:tc>
        <w:tc>
          <w:tcPr>
            <w:tcW w:w="980" w:type="dxa"/>
          </w:tcPr>
          <w:p>
            <w:pPr>
              <w:pStyle w:val="TableParagraph"/>
              <w:spacing w:before="5"/>
              <w:rPr>
                <w:rFonts w:ascii="宋体"/>
                <w:sz w:val="21"/>
              </w:rPr>
            </w:pPr>
          </w:p>
          <w:p>
            <w:pPr>
              <w:pStyle w:val="TableParagraph"/>
              <w:ind w:right="164"/>
              <w:jc w:val="right"/>
              <w:rPr>
                <w:rFonts w:ascii="宋体" w:hAnsi="宋体" w:eastAsia="宋体" w:hint="eastAsia"/>
                <w:sz w:val="21"/>
              </w:rPr>
            </w:pPr>
            <w:r>
              <w:rPr>
                <w:rFonts w:ascii="宋体" w:hAnsi="宋体" w:eastAsia="宋体" w:hint="eastAsia"/>
                <w:sz w:val="21"/>
              </w:rPr>
              <w:t>②－④</w:t>
            </w:r>
          </w:p>
        </w:tc>
      </w:tr>
      <w:tr>
        <w:trPr>
          <w:trHeight w:val="635" w:hRule="atLeast"/>
        </w:trPr>
        <w:tc>
          <w:tcPr>
            <w:tcW w:w="2043" w:type="dxa"/>
          </w:tcPr>
          <w:p>
            <w:pPr>
              <w:pStyle w:val="TableParagraph"/>
              <w:spacing w:before="51"/>
              <w:ind w:left="107"/>
              <w:rPr>
                <w:rFonts w:ascii="宋体" w:eastAsia="宋体" w:hint="eastAsia"/>
                <w:sz w:val="21"/>
              </w:rPr>
            </w:pPr>
            <w:r>
              <w:rPr>
                <w:sz w:val="21"/>
              </w:rPr>
              <w:t>2018 </w:t>
            </w:r>
            <w:r>
              <w:rPr>
                <w:rFonts w:ascii="宋体" w:eastAsia="宋体" w:hint="eastAsia"/>
                <w:spacing w:val="-27"/>
                <w:sz w:val="21"/>
              </w:rPr>
              <w:t>年 </w:t>
            </w:r>
            <w:r>
              <w:rPr>
                <w:sz w:val="21"/>
              </w:rPr>
              <w:t>9 </w:t>
            </w:r>
            <w:r>
              <w:rPr>
                <w:rFonts w:ascii="宋体" w:eastAsia="宋体" w:hint="eastAsia"/>
                <w:spacing w:val="-27"/>
                <w:sz w:val="21"/>
              </w:rPr>
              <w:t>月 </w:t>
            </w:r>
            <w:r>
              <w:rPr>
                <w:sz w:val="21"/>
              </w:rPr>
              <w:t>19 </w:t>
            </w:r>
            <w:r>
              <w:rPr>
                <w:rFonts w:ascii="宋体" w:eastAsia="宋体" w:hint="eastAsia"/>
                <w:sz w:val="21"/>
              </w:rPr>
              <w:t>日至</w:t>
            </w:r>
          </w:p>
          <w:p>
            <w:pPr>
              <w:pStyle w:val="TableParagraph"/>
              <w:spacing w:before="26"/>
              <w:ind w:left="107"/>
              <w:rPr>
                <w:rFonts w:ascii="宋体" w:eastAsia="宋体" w:hint="eastAsia"/>
                <w:sz w:val="21"/>
              </w:rPr>
            </w:pPr>
            <w:r>
              <w:rPr>
                <w:sz w:val="21"/>
              </w:rPr>
              <w:t>2018 </w:t>
            </w:r>
            <w:r>
              <w:rPr>
                <w:rFonts w:ascii="宋体" w:eastAsia="宋体" w:hint="eastAsia"/>
                <w:sz w:val="21"/>
              </w:rPr>
              <w:t>年 </w:t>
            </w:r>
            <w:r>
              <w:rPr>
                <w:sz w:val="21"/>
              </w:rPr>
              <w:t>12 </w:t>
            </w:r>
            <w:r>
              <w:rPr>
                <w:rFonts w:ascii="宋体" w:eastAsia="宋体" w:hint="eastAsia"/>
                <w:sz w:val="21"/>
              </w:rPr>
              <w:t>月 </w:t>
            </w:r>
            <w:r>
              <w:rPr>
                <w:sz w:val="21"/>
              </w:rPr>
              <w:t>31 </w:t>
            </w:r>
            <w:r>
              <w:rPr>
                <w:rFonts w:ascii="宋体" w:eastAsia="宋体" w:hint="eastAsia"/>
                <w:sz w:val="21"/>
              </w:rPr>
              <w:t>日</w:t>
            </w:r>
          </w:p>
        </w:tc>
        <w:tc>
          <w:tcPr>
            <w:tcW w:w="1135" w:type="dxa"/>
          </w:tcPr>
          <w:p>
            <w:pPr>
              <w:pStyle w:val="TableParagraph"/>
              <w:spacing w:before="195"/>
              <w:ind w:right="97"/>
              <w:jc w:val="right"/>
              <w:rPr>
                <w:sz w:val="21"/>
              </w:rPr>
            </w:pPr>
            <w:r>
              <w:rPr>
                <w:sz w:val="21"/>
              </w:rPr>
              <w:t>-5.33%</w:t>
            </w:r>
          </w:p>
        </w:tc>
        <w:tc>
          <w:tcPr>
            <w:tcW w:w="1121" w:type="dxa"/>
          </w:tcPr>
          <w:p>
            <w:pPr>
              <w:pStyle w:val="TableParagraph"/>
              <w:spacing w:before="195"/>
              <w:ind w:right="93"/>
              <w:jc w:val="right"/>
              <w:rPr>
                <w:sz w:val="21"/>
              </w:rPr>
            </w:pPr>
            <w:r>
              <w:rPr>
                <w:sz w:val="21"/>
              </w:rPr>
              <w:t>1.47%</w:t>
            </w:r>
          </w:p>
        </w:tc>
        <w:tc>
          <w:tcPr>
            <w:tcW w:w="1177" w:type="dxa"/>
          </w:tcPr>
          <w:p>
            <w:pPr>
              <w:pStyle w:val="TableParagraph"/>
              <w:spacing w:before="195"/>
              <w:ind w:right="98"/>
              <w:jc w:val="right"/>
              <w:rPr>
                <w:sz w:val="21"/>
              </w:rPr>
            </w:pPr>
            <w:r>
              <w:rPr>
                <w:sz w:val="21"/>
              </w:rPr>
              <w:t>-5.15%</w:t>
            </w:r>
          </w:p>
        </w:tc>
        <w:tc>
          <w:tcPr>
            <w:tcW w:w="1328" w:type="dxa"/>
          </w:tcPr>
          <w:p>
            <w:pPr>
              <w:pStyle w:val="TableParagraph"/>
              <w:spacing w:before="195"/>
              <w:ind w:right="92"/>
              <w:jc w:val="right"/>
              <w:rPr>
                <w:sz w:val="21"/>
              </w:rPr>
            </w:pPr>
            <w:r>
              <w:rPr>
                <w:sz w:val="21"/>
              </w:rPr>
              <w:t>1.46%</w:t>
            </w:r>
          </w:p>
        </w:tc>
        <w:tc>
          <w:tcPr>
            <w:tcW w:w="885" w:type="dxa"/>
          </w:tcPr>
          <w:p>
            <w:pPr>
              <w:pStyle w:val="TableParagraph"/>
              <w:spacing w:before="195"/>
              <w:ind w:right="98"/>
              <w:jc w:val="right"/>
              <w:rPr>
                <w:sz w:val="21"/>
              </w:rPr>
            </w:pPr>
            <w:r>
              <w:rPr>
                <w:sz w:val="21"/>
              </w:rPr>
              <w:t>-0.18%</w:t>
            </w:r>
          </w:p>
        </w:tc>
        <w:tc>
          <w:tcPr>
            <w:tcW w:w="980" w:type="dxa"/>
          </w:tcPr>
          <w:p>
            <w:pPr>
              <w:pStyle w:val="TableParagraph"/>
              <w:spacing w:before="195"/>
              <w:ind w:right="96"/>
              <w:jc w:val="right"/>
              <w:rPr>
                <w:sz w:val="21"/>
              </w:rPr>
            </w:pPr>
            <w:r>
              <w:rPr>
                <w:sz w:val="21"/>
              </w:rPr>
              <w:t>0.01%</w:t>
            </w:r>
          </w:p>
        </w:tc>
      </w:tr>
      <w:tr>
        <w:trPr>
          <w:trHeight w:val="544" w:hRule="atLeast"/>
        </w:trPr>
        <w:tc>
          <w:tcPr>
            <w:tcW w:w="2043" w:type="dxa"/>
          </w:tcPr>
          <w:p>
            <w:pPr>
              <w:pStyle w:val="TableParagraph"/>
              <w:spacing w:before="1"/>
              <w:ind w:left="155"/>
              <w:rPr>
                <w:rFonts w:ascii="宋体" w:eastAsia="宋体" w:hint="eastAsia"/>
                <w:sz w:val="21"/>
              </w:rPr>
            </w:pPr>
            <w:r>
              <w:rPr>
                <w:sz w:val="21"/>
              </w:rPr>
              <w:t>2019</w:t>
            </w:r>
            <w:r>
              <w:rPr>
                <w:spacing w:val="-2"/>
                <w:sz w:val="21"/>
              </w:rPr>
              <w:t> </w:t>
            </w:r>
            <w:r>
              <w:rPr>
                <w:rFonts w:ascii="宋体" w:eastAsia="宋体" w:hint="eastAsia"/>
                <w:spacing w:val="-26"/>
                <w:sz w:val="21"/>
              </w:rPr>
              <w:t>年 </w:t>
            </w:r>
            <w:r>
              <w:rPr>
                <w:sz w:val="21"/>
              </w:rPr>
              <w:t>1</w:t>
            </w:r>
            <w:r>
              <w:rPr>
                <w:spacing w:val="-1"/>
                <w:sz w:val="21"/>
              </w:rPr>
              <w:t> </w:t>
            </w:r>
            <w:r>
              <w:rPr>
                <w:rFonts w:ascii="宋体" w:eastAsia="宋体" w:hint="eastAsia"/>
                <w:spacing w:val="-26"/>
                <w:sz w:val="21"/>
              </w:rPr>
              <w:t>月 </w:t>
            </w:r>
            <w:r>
              <w:rPr>
                <w:sz w:val="21"/>
              </w:rPr>
              <w:t>1</w:t>
            </w:r>
            <w:r>
              <w:rPr>
                <w:spacing w:val="-1"/>
                <w:sz w:val="21"/>
              </w:rPr>
              <w:t> </w:t>
            </w:r>
            <w:r>
              <w:rPr>
                <w:rFonts w:ascii="宋体" w:eastAsia="宋体" w:hint="eastAsia"/>
                <w:sz w:val="21"/>
              </w:rPr>
              <w:t>日至</w:t>
            </w:r>
          </w:p>
          <w:p>
            <w:pPr>
              <w:pStyle w:val="TableParagraph"/>
              <w:spacing w:line="252" w:lineRule="exact" w:before="2"/>
              <w:ind w:left="155"/>
              <w:rPr>
                <w:rFonts w:ascii="宋体" w:eastAsia="宋体" w:hint="eastAsia"/>
                <w:sz w:val="21"/>
              </w:rPr>
            </w:pPr>
            <w:r>
              <w:rPr>
                <w:sz w:val="21"/>
              </w:rPr>
              <w:t>2019</w:t>
            </w:r>
            <w:r>
              <w:rPr>
                <w:spacing w:val="-2"/>
                <w:sz w:val="21"/>
              </w:rPr>
              <w:t> </w:t>
            </w:r>
            <w:r>
              <w:rPr>
                <w:rFonts w:ascii="宋体" w:eastAsia="宋体" w:hint="eastAsia"/>
                <w:spacing w:val="-26"/>
                <w:sz w:val="21"/>
              </w:rPr>
              <w:t>年 </w:t>
            </w:r>
            <w:r>
              <w:rPr>
                <w:sz w:val="21"/>
              </w:rPr>
              <w:t>12</w:t>
            </w:r>
            <w:r>
              <w:rPr>
                <w:spacing w:val="-2"/>
                <w:sz w:val="21"/>
              </w:rPr>
              <w:t> </w:t>
            </w:r>
            <w:r>
              <w:rPr>
                <w:rFonts w:ascii="宋体" w:eastAsia="宋体" w:hint="eastAsia"/>
                <w:spacing w:val="-26"/>
                <w:sz w:val="21"/>
              </w:rPr>
              <w:t>月 </w:t>
            </w:r>
            <w:r>
              <w:rPr>
                <w:sz w:val="21"/>
              </w:rPr>
              <w:t>31</w:t>
            </w:r>
            <w:r>
              <w:rPr>
                <w:spacing w:val="1"/>
                <w:sz w:val="21"/>
              </w:rPr>
              <w:t> </w:t>
            </w:r>
            <w:r>
              <w:rPr>
                <w:rFonts w:ascii="宋体" w:eastAsia="宋体" w:hint="eastAsia"/>
                <w:sz w:val="21"/>
              </w:rPr>
              <w:t>日</w:t>
            </w:r>
          </w:p>
        </w:tc>
        <w:tc>
          <w:tcPr>
            <w:tcW w:w="1135" w:type="dxa"/>
          </w:tcPr>
          <w:p>
            <w:pPr>
              <w:pStyle w:val="TableParagraph"/>
              <w:spacing w:before="150"/>
              <w:ind w:right="95"/>
              <w:jc w:val="right"/>
              <w:rPr>
                <w:sz w:val="21"/>
              </w:rPr>
            </w:pPr>
            <w:r>
              <w:rPr>
                <w:sz w:val="21"/>
              </w:rPr>
              <w:t>0.55%</w:t>
            </w:r>
          </w:p>
        </w:tc>
        <w:tc>
          <w:tcPr>
            <w:tcW w:w="1121" w:type="dxa"/>
          </w:tcPr>
          <w:p>
            <w:pPr>
              <w:pStyle w:val="TableParagraph"/>
              <w:spacing w:before="150"/>
              <w:ind w:right="93"/>
              <w:jc w:val="right"/>
              <w:rPr>
                <w:sz w:val="21"/>
              </w:rPr>
            </w:pPr>
            <w:r>
              <w:rPr>
                <w:sz w:val="21"/>
              </w:rPr>
              <w:t>0.94%</w:t>
            </w:r>
          </w:p>
        </w:tc>
        <w:tc>
          <w:tcPr>
            <w:tcW w:w="1177" w:type="dxa"/>
          </w:tcPr>
          <w:p>
            <w:pPr>
              <w:pStyle w:val="TableParagraph"/>
              <w:spacing w:before="150"/>
              <w:ind w:right="96"/>
              <w:jc w:val="right"/>
              <w:rPr>
                <w:sz w:val="21"/>
              </w:rPr>
            </w:pPr>
            <w:r>
              <w:rPr>
                <w:sz w:val="21"/>
              </w:rPr>
              <w:t>0.58%</w:t>
            </w:r>
          </w:p>
        </w:tc>
        <w:tc>
          <w:tcPr>
            <w:tcW w:w="1328" w:type="dxa"/>
          </w:tcPr>
          <w:p>
            <w:pPr>
              <w:pStyle w:val="TableParagraph"/>
              <w:spacing w:before="150"/>
              <w:ind w:right="92"/>
              <w:jc w:val="right"/>
              <w:rPr>
                <w:sz w:val="21"/>
              </w:rPr>
            </w:pPr>
            <w:r>
              <w:rPr>
                <w:sz w:val="21"/>
              </w:rPr>
              <w:t>0.94%</w:t>
            </w:r>
          </w:p>
        </w:tc>
        <w:tc>
          <w:tcPr>
            <w:tcW w:w="885" w:type="dxa"/>
          </w:tcPr>
          <w:p>
            <w:pPr>
              <w:pStyle w:val="TableParagraph"/>
              <w:spacing w:before="150"/>
              <w:ind w:right="98"/>
              <w:jc w:val="right"/>
              <w:rPr>
                <w:sz w:val="21"/>
              </w:rPr>
            </w:pPr>
            <w:r>
              <w:rPr>
                <w:sz w:val="21"/>
              </w:rPr>
              <w:t>-0.03%</w:t>
            </w:r>
          </w:p>
        </w:tc>
        <w:tc>
          <w:tcPr>
            <w:tcW w:w="980" w:type="dxa"/>
          </w:tcPr>
          <w:p>
            <w:pPr>
              <w:pStyle w:val="TableParagraph"/>
              <w:spacing w:before="150"/>
              <w:ind w:right="96"/>
              <w:jc w:val="right"/>
              <w:rPr>
                <w:sz w:val="21"/>
              </w:rPr>
            </w:pPr>
            <w:r>
              <w:rPr>
                <w:sz w:val="21"/>
              </w:rPr>
              <w:t>0.00%</w:t>
            </w:r>
          </w:p>
        </w:tc>
      </w:tr>
      <w:tr>
        <w:trPr>
          <w:trHeight w:val="645" w:hRule="atLeast"/>
        </w:trPr>
        <w:tc>
          <w:tcPr>
            <w:tcW w:w="2043" w:type="dxa"/>
          </w:tcPr>
          <w:p>
            <w:pPr>
              <w:pStyle w:val="TableParagraph"/>
              <w:spacing w:before="51"/>
              <w:ind w:left="155"/>
              <w:rPr>
                <w:rFonts w:ascii="宋体" w:eastAsia="宋体" w:hint="eastAsia"/>
                <w:sz w:val="21"/>
              </w:rPr>
            </w:pPr>
            <w:r>
              <w:rPr>
                <w:sz w:val="21"/>
              </w:rPr>
              <w:t>2020 </w:t>
            </w:r>
            <w:r>
              <w:rPr>
                <w:rFonts w:ascii="宋体" w:eastAsia="宋体" w:hint="eastAsia"/>
                <w:sz w:val="21"/>
              </w:rPr>
              <w:t>年 </w:t>
            </w:r>
            <w:r>
              <w:rPr>
                <w:sz w:val="21"/>
              </w:rPr>
              <w:t>1 </w:t>
            </w:r>
            <w:r>
              <w:rPr>
                <w:rFonts w:ascii="宋体" w:eastAsia="宋体" w:hint="eastAsia"/>
                <w:sz w:val="21"/>
              </w:rPr>
              <w:t>月 </w:t>
            </w:r>
            <w:r>
              <w:rPr>
                <w:sz w:val="21"/>
              </w:rPr>
              <w:t>1 </w:t>
            </w:r>
            <w:r>
              <w:rPr>
                <w:rFonts w:ascii="宋体" w:eastAsia="宋体" w:hint="eastAsia"/>
                <w:sz w:val="21"/>
              </w:rPr>
              <w:t>日至</w:t>
            </w:r>
          </w:p>
          <w:p>
            <w:pPr>
              <w:pStyle w:val="TableParagraph"/>
              <w:spacing w:line="252" w:lineRule="exact" w:before="53"/>
              <w:ind w:left="208"/>
              <w:rPr>
                <w:rFonts w:ascii="宋体" w:eastAsia="宋体" w:hint="eastAsia"/>
                <w:sz w:val="21"/>
              </w:rPr>
            </w:pPr>
            <w:r>
              <w:rPr>
                <w:sz w:val="21"/>
              </w:rPr>
              <w:t>2020 </w:t>
            </w:r>
            <w:r>
              <w:rPr>
                <w:rFonts w:ascii="宋体" w:eastAsia="宋体" w:hint="eastAsia"/>
                <w:sz w:val="21"/>
              </w:rPr>
              <w:t>年 </w:t>
            </w:r>
            <w:r>
              <w:rPr>
                <w:sz w:val="21"/>
              </w:rPr>
              <w:t>6 </w:t>
            </w:r>
            <w:r>
              <w:rPr>
                <w:rFonts w:ascii="宋体" w:eastAsia="宋体" w:hint="eastAsia"/>
                <w:sz w:val="21"/>
              </w:rPr>
              <w:t>月 </w:t>
            </w:r>
            <w:r>
              <w:rPr>
                <w:sz w:val="21"/>
              </w:rPr>
              <w:t>30 </w:t>
            </w:r>
            <w:r>
              <w:rPr>
                <w:rFonts w:ascii="宋体" w:eastAsia="宋体" w:hint="eastAsia"/>
                <w:sz w:val="21"/>
              </w:rPr>
              <w:t>日</w:t>
            </w:r>
          </w:p>
        </w:tc>
        <w:tc>
          <w:tcPr>
            <w:tcW w:w="1135" w:type="dxa"/>
          </w:tcPr>
          <w:p>
            <w:pPr>
              <w:pStyle w:val="TableParagraph"/>
              <w:spacing w:before="7"/>
              <w:rPr>
                <w:rFonts w:ascii="宋体"/>
                <w:sz w:val="15"/>
              </w:rPr>
            </w:pPr>
          </w:p>
          <w:p>
            <w:pPr>
              <w:pStyle w:val="TableParagraph"/>
              <w:ind w:right="97"/>
              <w:jc w:val="right"/>
              <w:rPr>
                <w:sz w:val="21"/>
              </w:rPr>
            </w:pPr>
            <w:r>
              <w:rPr>
                <w:sz w:val="21"/>
              </w:rPr>
              <w:t>-10.38%</w:t>
            </w:r>
          </w:p>
        </w:tc>
        <w:tc>
          <w:tcPr>
            <w:tcW w:w="1121" w:type="dxa"/>
          </w:tcPr>
          <w:p>
            <w:pPr>
              <w:pStyle w:val="TableParagraph"/>
              <w:spacing w:before="7"/>
              <w:rPr>
                <w:rFonts w:ascii="宋体"/>
                <w:sz w:val="15"/>
              </w:rPr>
            </w:pPr>
          </w:p>
          <w:p>
            <w:pPr>
              <w:pStyle w:val="TableParagraph"/>
              <w:ind w:right="93"/>
              <w:jc w:val="right"/>
              <w:rPr>
                <w:sz w:val="21"/>
              </w:rPr>
            </w:pPr>
            <w:r>
              <w:rPr>
                <w:sz w:val="21"/>
              </w:rPr>
              <w:t>1.78%</w:t>
            </w:r>
          </w:p>
        </w:tc>
        <w:tc>
          <w:tcPr>
            <w:tcW w:w="1177" w:type="dxa"/>
          </w:tcPr>
          <w:p>
            <w:pPr>
              <w:pStyle w:val="TableParagraph"/>
              <w:spacing w:before="7"/>
              <w:rPr>
                <w:rFonts w:ascii="宋体"/>
                <w:sz w:val="15"/>
              </w:rPr>
            </w:pPr>
          </w:p>
          <w:p>
            <w:pPr>
              <w:pStyle w:val="TableParagraph"/>
              <w:ind w:right="98"/>
              <w:jc w:val="right"/>
              <w:rPr>
                <w:sz w:val="21"/>
              </w:rPr>
            </w:pPr>
            <w:r>
              <w:rPr>
                <w:sz w:val="21"/>
              </w:rPr>
              <w:t>-11.00%</w:t>
            </w:r>
          </w:p>
        </w:tc>
        <w:tc>
          <w:tcPr>
            <w:tcW w:w="1328" w:type="dxa"/>
          </w:tcPr>
          <w:p>
            <w:pPr>
              <w:pStyle w:val="TableParagraph"/>
              <w:spacing w:before="7"/>
              <w:rPr>
                <w:rFonts w:ascii="宋体"/>
                <w:sz w:val="15"/>
              </w:rPr>
            </w:pPr>
          </w:p>
          <w:p>
            <w:pPr>
              <w:pStyle w:val="TableParagraph"/>
              <w:ind w:right="92"/>
              <w:jc w:val="right"/>
              <w:rPr>
                <w:sz w:val="21"/>
              </w:rPr>
            </w:pPr>
            <w:r>
              <w:rPr>
                <w:sz w:val="21"/>
              </w:rPr>
              <w:t>1.77%</w:t>
            </w:r>
          </w:p>
        </w:tc>
        <w:tc>
          <w:tcPr>
            <w:tcW w:w="885" w:type="dxa"/>
          </w:tcPr>
          <w:p>
            <w:pPr>
              <w:pStyle w:val="TableParagraph"/>
              <w:spacing w:before="7"/>
              <w:rPr>
                <w:rFonts w:ascii="宋体"/>
                <w:sz w:val="15"/>
              </w:rPr>
            </w:pPr>
          </w:p>
          <w:p>
            <w:pPr>
              <w:pStyle w:val="TableParagraph"/>
              <w:ind w:right="96"/>
              <w:jc w:val="right"/>
              <w:rPr>
                <w:sz w:val="21"/>
              </w:rPr>
            </w:pPr>
            <w:r>
              <w:rPr>
                <w:sz w:val="21"/>
              </w:rPr>
              <w:t>0.62%</w:t>
            </w:r>
          </w:p>
        </w:tc>
        <w:tc>
          <w:tcPr>
            <w:tcW w:w="980" w:type="dxa"/>
          </w:tcPr>
          <w:p>
            <w:pPr>
              <w:pStyle w:val="TableParagraph"/>
              <w:spacing w:before="7"/>
              <w:rPr>
                <w:rFonts w:ascii="宋体"/>
                <w:sz w:val="15"/>
              </w:rPr>
            </w:pPr>
          </w:p>
          <w:p>
            <w:pPr>
              <w:pStyle w:val="TableParagraph"/>
              <w:ind w:right="96"/>
              <w:jc w:val="right"/>
              <w:rPr>
                <w:sz w:val="21"/>
              </w:rPr>
            </w:pPr>
            <w:r>
              <w:rPr>
                <w:sz w:val="21"/>
              </w:rPr>
              <w:t>0.01%</w:t>
            </w:r>
          </w:p>
        </w:tc>
      </w:tr>
    </w:tbl>
    <w:p>
      <w:pPr>
        <w:pStyle w:val="BodyText"/>
        <w:ind w:left="0"/>
        <w:rPr>
          <w:sz w:val="22"/>
        </w:rPr>
      </w:pPr>
    </w:p>
    <w:p>
      <w:pPr>
        <w:pStyle w:val="Heading1"/>
        <w:spacing w:before="158"/>
      </w:pPr>
      <w:r>
        <w:rPr/>
        <w:t>六、基金管理人</w:t>
      </w:r>
    </w:p>
    <w:p>
      <w:pPr>
        <w:pStyle w:val="BodyText"/>
        <w:ind w:left="0"/>
        <w:rPr>
          <w:b/>
          <w:sz w:val="20"/>
        </w:rPr>
      </w:pPr>
    </w:p>
    <w:p>
      <w:pPr>
        <w:pStyle w:val="BodyText"/>
        <w:spacing w:before="3"/>
        <w:ind w:left="0"/>
        <w:rPr>
          <w:b/>
        </w:rPr>
      </w:pPr>
    </w:p>
    <w:p>
      <w:pPr>
        <w:pStyle w:val="BodyText"/>
      </w:pPr>
      <w:r>
        <w:rPr/>
        <w:t>（一）基金管理人概况</w:t>
      </w:r>
    </w:p>
    <w:p>
      <w:pPr>
        <w:pStyle w:val="BodyText"/>
        <w:spacing w:before="6"/>
        <w:ind w:left="0"/>
        <w:rPr>
          <w:sz w:val="15"/>
        </w:rPr>
      </w:pPr>
    </w:p>
    <w:p>
      <w:pPr>
        <w:pStyle w:val="BodyText"/>
        <w:spacing w:before="1"/>
      </w:pPr>
      <w:r>
        <w:rPr/>
        <w:t>名称：华夏基金管理有限公司</w:t>
      </w:r>
    </w:p>
    <w:p>
      <w:pPr>
        <w:pStyle w:val="BodyText"/>
        <w:spacing w:before="7"/>
        <w:ind w:left="0"/>
        <w:rPr>
          <w:sz w:val="15"/>
        </w:rPr>
      </w:pPr>
    </w:p>
    <w:p>
      <w:pPr>
        <w:pStyle w:val="BodyText"/>
      </w:pPr>
      <w:r>
        <w:rPr/>
        <w:t>住所：北京市顺义区安庆大街甲 </w:t>
      </w:r>
      <w:r>
        <w:rPr>
          <w:rFonts w:ascii="Times New Roman" w:eastAsia="Times New Roman"/>
        </w:rPr>
        <w:t>3 </w:t>
      </w:r>
      <w:r>
        <w:rPr/>
        <w:t>号院</w:t>
      </w:r>
    </w:p>
    <w:p>
      <w:pPr>
        <w:spacing w:after="0"/>
        <w:sectPr>
          <w:pgSz w:w="11910" w:h="16840"/>
          <w:pgMar w:header="705" w:footer="683" w:top="1420" w:bottom="880" w:left="1580" w:right="920"/>
        </w:sectPr>
      </w:pPr>
    </w:p>
    <w:p>
      <w:pPr>
        <w:pStyle w:val="BodyText"/>
        <w:spacing w:line="417" w:lineRule="auto" w:before="110"/>
        <w:ind w:right="3307"/>
      </w:pPr>
      <w:r>
        <w:rPr/>
        <w:t>办公地址：北京市西城区金融大街 </w:t>
      </w:r>
      <w:r>
        <w:rPr>
          <w:rFonts w:ascii="Times New Roman" w:eastAsia="Times New Roman"/>
        </w:rPr>
        <w:t>33 </w:t>
      </w:r>
      <w:r>
        <w:rPr/>
        <w:t>号通泰大厦</w:t>
      </w:r>
      <w:r>
        <w:rPr>
          <w:rFonts w:ascii="Times New Roman" w:eastAsia="Times New Roman"/>
        </w:rPr>
        <w:t>B </w:t>
      </w:r>
      <w:r>
        <w:rPr/>
        <w:t>座 </w:t>
      </w:r>
      <w:r>
        <w:rPr>
          <w:rFonts w:ascii="Times New Roman" w:eastAsia="Times New Roman"/>
        </w:rPr>
        <w:t>8 </w:t>
      </w:r>
      <w:r>
        <w:rPr/>
        <w:t>层设立日期：</w:t>
      </w:r>
      <w:r>
        <w:rPr>
          <w:rFonts w:ascii="Times New Roman" w:eastAsia="Times New Roman"/>
        </w:rPr>
        <w:t>1998 </w:t>
      </w:r>
      <w:r>
        <w:rPr/>
        <w:t>年 </w:t>
      </w:r>
      <w:r>
        <w:rPr>
          <w:rFonts w:ascii="Times New Roman" w:eastAsia="Times New Roman"/>
        </w:rPr>
        <w:t>4 </w:t>
      </w:r>
      <w:r>
        <w:rPr/>
        <w:t>月 </w:t>
      </w:r>
      <w:r>
        <w:rPr>
          <w:rFonts w:ascii="Times New Roman" w:eastAsia="Times New Roman"/>
        </w:rPr>
        <w:t>9 </w:t>
      </w:r>
      <w:r>
        <w:rPr/>
        <w:t>日</w:t>
      </w:r>
    </w:p>
    <w:p>
      <w:pPr>
        <w:pStyle w:val="BodyText"/>
        <w:spacing w:line="417" w:lineRule="auto"/>
        <w:ind w:right="6870"/>
      </w:pPr>
      <w:r>
        <w:rPr/>
        <w:t>法定代表人：杨明辉联系人：邱曦</w:t>
      </w:r>
    </w:p>
    <w:p>
      <w:pPr>
        <w:pStyle w:val="BodyText"/>
        <w:spacing w:line="417" w:lineRule="auto"/>
        <w:ind w:right="6101"/>
        <w:rPr>
          <w:rFonts w:ascii="Times New Roman" w:eastAsia="Times New Roman"/>
        </w:rPr>
      </w:pPr>
      <w:r>
        <w:rPr/>
        <w:t>客户服务电话：</w:t>
      </w:r>
      <w:r>
        <w:rPr>
          <w:rFonts w:ascii="Times New Roman" w:eastAsia="Times New Roman"/>
        </w:rPr>
        <w:t>400-818-6666 </w:t>
      </w:r>
      <w:r>
        <w:rPr/>
        <w:t>传真：</w:t>
      </w:r>
      <w:r>
        <w:rPr>
          <w:rFonts w:ascii="Times New Roman" w:eastAsia="Times New Roman"/>
        </w:rPr>
        <w:t>010-63136700</w:t>
      </w:r>
    </w:p>
    <w:p>
      <w:pPr>
        <w:pStyle w:val="BodyText"/>
        <w:spacing w:line="269" w:lineRule="exact"/>
      </w:pPr>
      <w:r>
        <w:rPr/>
        <w:pict>
          <v:group style="position:absolute;margin-left:137.899994pt;margin-top:43.273094pt;width:319.55pt;height:1.6pt;mso-position-horizontal-relative:page;mso-position-vertical-relative:paragraph;z-index:-258217984" coordorigin="2758,865" coordsize="6391,32">
            <v:shape style="position:absolute;left:2758;top:865;width:3779;height:10" type="#_x0000_t75" stroked="false">
              <v:imagedata r:id="rId7" o:title=""/>
            </v:shape>
            <v:shape style="position:absolute;left:6536;top:865;width:2612;height:32" type="#_x0000_t75" stroked="false">
              <v:imagedata r:id="rId8" o:title=""/>
            </v:shape>
            <w10:wrap type="none"/>
          </v:group>
        </w:pict>
      </w:r>
      <w:r>
        <w:rPr/>
        <w:pict>
          <v:group style="position:absolute;margin-left:137.899994pt;margin-top:60.433094pt;width:319.55pt;height:.5pt;mso-position-horizontal-relative:page;mso-position-vertical-relative:paragraph;z-index:-258216960" coordorigin="2758,1209" coordsize="6391,10">
            <v:shape style="position:absolute;left:2758;top:1208;width:3779;height:10" type="#_x0000_t75" stroked="false">
              <v:imagedata r:id="rId7" o:title=""/>
            </v:shape>
            <v:shape style="position:absolute;left:6536;top:1208;width:2612;height:10" type="#_x0000_t75" stroked="false">
              <v:imagedata r:id="rId9" o:title=""/>
            </v:shape>
            <w10:wrap type="none"/>
          </v:group>
        </w:pict>
      </w:r>
      <w:r>
        <w:rPr/>
        <w:t>华夏基金管理有限公司注册资本为 </w:t>
      </w:r>
      <w:r>
        <w:rPr>
          <w:rFonts w:ascii="Times New Roman" w:eastAsia="Times New Roman"/>
        </w:rPr>
        <w:t>23800 </w:t>
      </w:r>
      <w:r>
        <w:rPr/>
        <w:t>万元，公司股权结构如下：</w:t>
      </w:r>
    </w:p>
    <w:p>
      <w:pPr>
        <w:pStyle w:val="BodyText"/>
        <w:spacing w:before="8"/>
        <w:ind w:left="0"/>
        <w:rPr>
          <w:sz w:val="7"/>
        </w:rPr>
      </w:pPr>
    </w:p>
    <w:tbl>
      <w:tblPr>
        <w:tblW w:w="0" w:type="auto"/>
        <w:jc w:val="left"/>
        <w:tblInd w:w="11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83"/>
        <w:gridCol w:w="2606"/>
      </w:tblGrid>
      <w:tr>
        <w:trPr>
          <w:trHeight w:val="440" w:hRule="atLeast"/>
        </w:trPr>
        <w:tc>
          <w:tcPr>
            <w:tcW w:w="3783" w:type="dxa"/>
            <w:tcBorders>
              <w:top w:val="single" w:sz="12" w:space="0" w:color="000000"/>
              <w:right w:val="single" w:sz="4" w:space="0" w:color="000000"/>
            </w:tcBorders>
          </w:tcPr>
          <w:p>
            <w:pPr>
              <w:pStyle w:val="TableParagraph"/>
              <w:spacing w:before="99"/>
              <w:ind w:left="1464" w:right="1430"/>
              <w:jc w:val="center"/>
              <w:rPr>
                <w:rFonts w:ascii="宋体" w:eastAsia="宋体" w:hint="eastAsia"/>
                <w:b/>
                <w:sz w:val="21"/>
              </w:rPr>
            </w:pPr>
            <w:r>
              <w:rPr>
                <w:rFonts w:ascii="宋体" w:eastAsia="宋体" w:hint="eastAsia"/>
                <w:b/>
                <w:sz w:val="21"/>
              </w:rPr>
              <w:t>持股单位</w:t>
            </w:r>
          </w:p>
        </w:tc>
        <w:tc>
          <w:tcPr>
            <w:tcW w:w="2606" w:type="dxa"/>
            <w:tcBorders>
              <w:top w:val="single" w:sz="12" w:space="0" w:color="000000"/>
              <w:left w:val="single" w:sz="4" w:space="0" w:color="000000"/>
            </w:tcBorders>
          </w:tcPr>
          <w:p>
            <w:pPr>
              <w:pStyle w:val="TableParagraph"/>
              <w:spacing w:before="99"/>
              <w:ind w:left="449" w:right="424"/>
              <w:jc w:val="center"/>
              <w:rPr>
                <w:rFonts w:ascii="宋体" w:eastAsia="宋体" w:hint="eastAsia"/>
                <w:b/>
                <w:sz w:val="21"/>
              </w:rPr>
            </w:pPr>
            <w:r>
              <w:rPr>
                <w:rFonts w:ascii="宋体" w:eastAsia="宋体" w:hint="eastAsia"/>
                <w:b/>
                <w:sz w:val="21"/>
              </w:rPr>
              <w:t>持股占总股本比例</w:t>
            </w:r>
          </w:p>
        </w:tc>
      </w:tr>
      <w:tr>
        <w:trPr>
          <w:trHeight w:val="378" w:hRule="atLeast"/>
        </w:trPr>
        <w:tc>
          <w:tcPr>
            <w:tcW w:w="3783" w:type="dxa"/>
            <w:tcBorders>
              <w:right w:val="single" w:sz="4" w:space="0" w:color="000000"/>
            </w:tcBorders>
          </w:tcPr>
          <w:p>
            <w:pPr>
              <w:pStyle w:val="TableParagraph"/>
              <w:spacing w:before="81"/>
              <w:ind w:left="122"/>
              <w:rPr>
                <w:rFonts w:ascii="宋体" w:eastAsia="宋体" w:hint="eastAsia"/>
                <w:sz w:val="21"/>
              </w:rPr>
            </w:pPr>
            <w:r>
              <w:rPr>
                <w:rFonts w:ascii="宋体" w:eastAsia="宋体" w:hint="eastAsia"/>
                <w:sz w:val="21"/>
              </w:rPr>
              <w:t>中信证券股份有限公司</w:t>
            </w:r>
          </w:p>
        </w:tc>
        <w:tc>
          <w:tcPr>
            <w:tcW w:w="2606" w:type="dxa"/>
            <w:tcBorders>
              <w:left w:val="single" w:sz="4" w:space="0" w:color="000000"/>
            </w:tcBorders>
          </w:tcPr>
          <w:p>
            <w:pPr>
              <w:pStyle w:val="TableParagraph"/>
              <w:spacing w:before="93"/>
              <w:ind w:left="449" w:right="421"/>
              <w:jc w:val="center"/>
              <w:rPr>
                <w:sz w:val="21"/>
              </w:rPr>
            </w:pPr>
            <w:r>
              <w:rPr>
                <w:sz w:val="21"/>
              </w:rPr>
              <w:t>62.2%</w:t>
            </w:r>
          </w:p>
        </w:tc>
      </w:tr>
      <w:tr>
        <w:trPr>
          <w:trHeight w:val="321" w:hRule="atLeast"/>
        </w:trPr>
        <w:tc>
          <w:tcPr>
            <w:tcW w:w="3783" w:type="dxa"/>
            <w:tcBorders>
              <w:right w:val="single" w:sz="4" w:space="0" w:color="000000"/>
            </w:tcBorders>
          </w:tcPr>
          <w:p>
            <w:pPr>
              <w:pStyle w:val="TableParagraph"/>
              <w:spacing w:before="36"/>
              <w:ind w:left="122"/>
              <w:rPr>
                <w:sz w:val="21"/>
              </w:rPr>
            </w:pPr>
            <w:r>
              <w:rPr>
                <w:sz w:val="21"/>
              </w:rPr>
              <w:t>POWER CORPORATION OF CANADA</w:t>
            </w:r>
          </w:p>
        </w:tc>
        <w:tc>
          <w:tcPr>
            <w:tcW w:w="2606" w:type="dxa"/>
            <w:tcBorders>
              <w:left w:val="single" w:sz="4" w:space="0" w:color="000000"/>
            </w:tcBorders>
          </w:tcPr>
          <w:p>
            <w:pPr>
              <w:pStyle w:val="TableParagraph"/>
              <w:spacing w:before="36"/>
              <w:ind w:left="449" w:right="421"/>
              <w:jc w:val="center"/>
              <w:rPr>
                <w:sz w:val="21"/>
              </w:rPr>
            </w:pPr>
            <w:r>
              <w:rPr>
                <w:sz w:val="21"/>
              </w:rPr>
              <w:t>13.9%</w:t>
            </w:r>
          </w:p>
        </w:tc>
      </w:tr>
      <w:tr>
        <w:trPr>
          <w:trHeight w:val="289" w:hRule="atLeast"/>
        </w:trPr>
        <w:tc>
          <w:tcPr>
            <w:tcW w:w="3783" w:type="dxa"/>
            <w:tcBorders>
              <w:right w:val="single" w:sz="4" w:space="0" w:color="000000"/>
            </w:tcBorders>
          </w:tcPr>
          <w:p>
            <w:pPr>
              <w:pStyle w:val="TableParagraph"/>
              <w:spacing w:before="52"/>
              <w:ind w:left="122"/>
              <w:rPr>
                <w:sz w:val="18"/>
              </w:rPr>
            </w:pPr>
            <w:r>
              <w:rPr>
                <w:sz w:val="18"/>
              </w:rPr>
              <w:t>MACKENZIE FINANCIAL CORPORATION</w:t>
            </w:r>
          </w:p>
        </w:tc>
        <w:tc>
          <w:tcPr>
            <w:tcW w:w="2606" w:type="dxa"/>
            <w:tcBorders>
              <w:left w:val="single" w:sz="4" w:space="0" w:color="000000"/>
            </w:tcBorders>
          </w:tcPr>
          <w:p>
            <w:pPr>
              <w:pStyle w:val="TableParagraph"/>
              <w:spacing w:line="234" w:lineRule="exact" w:before="36"/>
              <w:ind w:left="449" w:right="421"/>
              <w:jc w:val="center"/>
              <w:rPr>
                <w:sz w:val="21"/>
              </w:rPr>
            </w:pPr>
            <w:r>
              <w:rPr>
                <w:sz w:val="21"/>
              </w:rPr>
              <w:t>13.9%</w:t>
            </w:r>
          </w:p>
        </w:tc>
      </w:tr>
    </w:tbl>
    <w:p>
      <w:pPr>
        <w:pStyle w:val="BodyText"/>
        <w:ind w:left="1148"/>
        <w:rPr>
          <w:sz w:val="20"/>
        </w:rPr>
      </w:pPr>
      <w:r>
        <w:rPr>
          <w:sz w:val="20"/>
        </w:rPr>
        <w:pict>
          <v:group style="width:320.25pt;height:42.75pt;mso-position-horizontal-relative:char;mso-position-vertical-relative:line" coordorigin="0,0" coordsize="6405,855">
            <v:rect style="position:absolute;left:3793;top:0;width:10;height:24" filled="true" fillcolor="#000000" stroked="false">
              <v:fill type="solid"/>
            </v:rect>
            <v:shape style="position:absolute;left:14;top:24;width:3779;height:10" type="#_x0000_t75" stroked="false">
              <v:imagedata r:id="rId7" o:title=""/>
            </v:shape>
            <v:rect style="position:absolute;left:3793;top:24;width:10;height:10" filled="true" fillcolor="#000000" stroked="false">
              <v:fill type="solid"/>
            </v:rect>
            <v:shape style="position:absolute;left:14;top:24;width:6391;height:802" type="#_x0000_t75" stroked="false">
              <v:imagedata r:id="rId10" o:title=""/>
            </v:shape>
            <v:line style="position:absolute" from="0,840" to="3793,840" stroked="true" strokeweight="1.44pt" strokecolor="#000000">
              <v:stroke dashstyle="solid"/>
            </v:line>
            <v:rect style="position:absolute;left:3793;top:825;width:29;height:29" filled="true" fillcolor="#000000" stroked="false">
              <v:fill type="solid"/>
            </v:rect>
            <v:line style="position:absolute" from="3822,840" to="6405,840" stroked="true" strokeweight="1.44pt" strokecolor="#000000">
              <v:stroke dashstyle="solid"/>
            </v:line>
            <v:shape style="position:absolute;left:122;top:84;width:2543;height:612" type="#_x0000_t202" filled="false" stroked="false">
              <v:textbox inset="0,0,0,0">
                <w:txbxContent>
                  <w:p>
                    <w:pPr>
                      <w:spacing w:line="241" w:lineRule="exact" w:before="0"/>
                      <w:ind w:left="0" w:right="0" w:firstLine="0"/>
                      <w:jc w:val="left"/>
                      <w:rPr>
                        <w:sz w:val="21"/>
                      </w:rPr>
                    </w:pPr>
                    <w:r>
                      <w:rPr>
                        <w:sz w:val="21"/>
                      </w:rPr>
                      <w:t>天津海鹏科技咨询有限公司</w:t>
                    </w:r>
                  </w:p>
                  <w:p>
                    <w:pPr>
                      <w:spacing w:line="240" w:lineRule="exact" w:before="131"/>
                      <w:ind w:left="1572" w:right="0" w:firstLine="0"/>
                      <w:jc w:val="left"/>
                      <w:rPr>
                        <w:b/>
                        <w:sz w:val="21"/>
                      </w:rPr>
                    </w:pPr>
                    <w:r>
                      <w:rPr>
                        <w:b/>
                        <w:sz w:val="21"/>
                      </w:rPr>
                      <w:t>合计</w:t>
                    </w:r>
                  </w:p>
                </w:txbxContent>
              </v:textbox>
              <w10:wrap type="none"/>
            </v:shape>
            <v:shape style="position:absolute;left:4837;top:75;width:548;height:640" type="#_x0000_t202" filled="false" stroked="false">
              <v:textbox inset="0,0,0,0">
                <w:txbxContent>
                  <w:p>
                    <w:pPr>
                      <w:spacing w:line="234" w:lineRule="exact" w:before="0"/>
                      <w:ind w:left="72" w:right="0" w:firstLine="0"/>
                      <w:jc w:val="left"/>
                      <w:rPr>
                        <w:rFonts w:ascii="Times New Roman"/>
                        <w:sz w:val="21"/>
                      </w:rPr>
                    </w:pPr>
                    <w:r>
                      <w:rPr>
                        <w:rFonts w:ascii="Times New Roman"/>
                        <w:sz w:val="21"/>
                      </w:rPr>
                      <w:t>10%</w:t>
                    </w:r>
                  </w:p>
                  <w:p>
                    <w:pPr>
                      <w:spacing w:before="164"/>
                      <w:ind w:left="0" w:right="0" w:firstLine="0"/>
                      <w:jc w:val="left"/>
                      <w:rPr>
                        <w:rFonts w:ascii="Times New Roman"/>
                        <w:b/>
                        <w:sz w:val="21"/>
                      </w:rPr>
                    </w:pPr>
                    <w:r>
                      <w:rPr>
                        <w:rFonts w:ascii="Times New Roman"/>
                        <w:b/>
                        <w:sz w:val="21"/>
                      </w:rPr>
                      <w:t>100%</w:t>
                    </w:r>
                  </w:p>
                </w:txbxContent>
              </v:textbox>
              <w10:wrap type="none"/>
            </v:shape>
          </v:group>
        </w:pict>
      </w:r>
      <w:r>
        <w:rPr>
          <w:sz w:val="20"/>
        </w:rPr>
      </w:r>
    </w:p>
    <w:p>
      <w:pPr>
        <w:pStyle w:val="BodyText"/>
        <w:spacing w:before="84"/>
      </w:pPr>
      <w:r>
        <w:rPr/>
        <w:pict>
          <v:group style="position:absolute;margin-left:137.899994pt;margin-top:-58.379978pt;width:319.55pt;height:.5pt;mso-position-horizontal-relative:page;mso-position-vertical-relative:paragraph;z-index:-258215936" coordorigin="2758,-1168" coordsize="6391,10">
            <v:shape style="position:absolute;left:2758;top:-1168;width:3779;height:10" type="#_x0000_t75" stroked="false">
              <v:imagedata r:id="rId7" o:title=""/>
            </v:shape>
            <v:shape style="position:absolute;left:6536;top:-1168;width:2612;height:10" type="#_x0000_t75" stroked="false">
              <v:imagedata r:id="rId9" o:title=""/>
            </v:shape>
            <w10:wrap type="none"/>
          </v:group>
        </w:pict>
      </w:r>
      <w:r>
        <w:rPr/>
        <w:t>（二）主要人员情况</w:t>
      </w:r>
    </w:p>
    <w:p>
      <w:pPr>
        <w:pStyle w:val="BodyText"/>
        <w:spacing w:before="6"/>
        <w:ind w:left="0"/>
        <w:rPr>
          <w:sz w:val="15"/>
        </w:rPr>
      </w:pPr>
    </w:p>
    <w:p>
      <w:pPr>
        <w:pStyle w:val="BodyText"/>
      </w:pPr>
      <w:r>
        <w:rPr>
          <w:rFonts w:ascii="Times New Roman" w:eastAsia="Times New Roman"/>
        </w:rPr>
        <w:t>1</w:t>
      </w:r>
      <w:r>
        <w:rPr/>
        <w:t>、基金管理人董事、监事、经理及其他高级管理人员基本情况</w:t>
      </w:r>
    </w:p>
    <w:p>
      <w:pPr>
        <w:pStyle w:val="BodyText"/>
        <w:spacing w:before="7"/>
        <w:ind w:left="0"/>
        <w:rPr>
          <w:sz w:val="15"/>
        </w:rPr>
      </w:pPr>
    </w:p>
    <w:p>
      <w:pPr>
        <w:pStyle w:val="BodyText"/>
        <w:spacing w:line="417" w:lineRule="auto" w:before="1"/>
        <w:ind w:left="220" w:right="871" w:firstLine="419"/>
        <w:jc w:val="both"/>
      </w:pPr>
      <w:r>
        <w:rPr>
          <w:spacing w:val="-10"/>
        </w:rPr>
        <w:t>杨明辉先生：董事长、党委书记，硕士，高级经济师。现任中信证券股份有限公司党委</w:t>
      </w:r>
      <w:r>
        <w:rPr>
          <w:spacing w:val="-11"/>
        </w:rPr>
        <w:t>副书记、执行董事、总经理、执行委员会委员，华夏基金</w:t>
      </w:r>
      <w:r>
        <w:rPr/>
        <w:t>（</w:t>
      </w:r>
      <w:r>
        <w:rPr>
          <w:spacing w:val="-2"/>
        </w:rPr>
        <w:t>香港</w:t>
      </w:r>
      <w:r>
        <w:rPr>
          <w:spacing w:val="-15"/>
        </w:rPr>
        <w:t>）</w:t>
      </w:r>
      <w:r>
        <w:rPr>
          <w:spacing w:val="-5"/>
        </w:rPr>
        <w:t>有限公司董事长。曾任中</w:t>
      </w:r>
      <w:r>
        <w:rPr>
          <w:spacing w:val="-12"/>
        </w:rPr>
        <w:t>信证券公司董事、襄理、副总经理，中信控股公司董事、常务副总裁，中信信托董事，信诚</w:t>
      </w:r>
      <w:r>
        <w:rPr>
          <w:spacing w:val="-6"/>
        </w:rPr>
        <w:t>基金管理有限公司董事长，中国建银投资证券有限责任公司执行董事、总裁等。</w:t>
      </w:r>
    </w:p>
    <w:p>
      <w:pPr>
        <w:pStyle w:val="BodyText"/>
        <w:spacing w:line="417" w:lineRule="auto"/>
        <w:ind w:left="220" w:right="875" w:firstLine="419"/>
        <w:jc w:val="both"/>
      </w:pPr>
      <w:r>
        <w:rPr>
          <w:rFonts w:ascii="Times New Roman" w:eastAsia="Times New Roman"/>
        </w:rPr>
        <w:t>Barry Sean McInerney</w:t>
      </w:r>
      <w:r>
        <w:rPr/>
        <w:t>先生：董事，硕士。现任万信投资公司（</w:t>
      </w:r>
      <w:r>
        <w:rPr>
          <w:rFonts w:ascii="Times New Roman" w:eastAsia="Times New Roman"/>
        </w:rPr>
        <w:t>Mackenzie Financial Corporation</w:t>
      </w:r>
      <w:r>
        <w:rPr/>
        <w:t>）总裁兼首席执行官。曾在多家北美领先的金融机构担任高级管理职位。</w:t>
      </w:r>
    </w:p>
    <w:p>
      <w:pPr>
        <w:pStyle w:val="BodyText"/>
        <w:spacing w:line="417" w:lineRule="auto"/>
        <w:ind w:left="220" w:right="871" w:firstLine="419"/>
        <w:jc w:val="both"/>
      </w:pPr>
      <w:r>
        <w:rPr>
          <w:spacing w:val="-11"/>
        </w:rPr>
        <w:t>翟海涛先生：董事，硕士。现任春华资本集团总裁、合伙人，兼任中国光大国际有限公</w:t>
      </w:r>
      <w:r>
        <w:rPr>
          <w:spacing w:val="-15"/>
        </w:rPr>
        <w:t>司及中国光大水务有限公司独立非执行董事等。曾任高盛</w:t>
      </w:r>
      <w:r>
        <w:rPr/>
        <w:t>（</w:t>
      </w:r>
      <w:r>
        <w:rPr>
          <w:spacing w:val="-2"/>
        </w:rPr>
        <w:t>亚洲</w:t>
      </w:r>
      <w:r>
        <w:rPr>
          <w:spacing w:val="-104"/>
        </w:rPr>
        <w:t>）</w:t>
      </w:r>
      <w:r>
        <w:rPr>
          <w:spacing w:val="-3"/>
        </w:rPr>
        <w:t>有限责任公司董事总经理、</w:t>
      </w:r>
      <w:r>
        <w:rPr>
          <w:spacing w:val="-9"/>
        </w:rPr>
        <w:t>高盛集团北京代表处首席代表、高盛集团与中国工商银行战略合作办公室主任、中国财政部</w:t>
      </w:r>
      <w:r>
        <w:rPr>
          <w:spacing w:val="-5"/>
        </w:rPr>
        <w:t>和国家开发银行信用评级顾问等。</w:t>
      </w:r>
    </w:p>
    <w:p>
      <w:pPr>
        <w:pStyle w:val="BodyText"/>
        <w:spacing w:line="417" w:lineRule="auto"/>
        <w:ind w:left="220" w:right="871" w:firstLine="419"/>
        <w:jc w:val="both"/>
      </w:pPr>
      <w:r>
        <w:rPr>
          <w:spacing w:val="-12"/>
        </w:rPr>
        <w:t>杨冰先生：董事，硕士。现任中信证券股份有限公司执行委员会委员、资产管理业务行</w:t>
      </w:r>
      <w:r>
        <w:rPr>
          <w:spacing w:val="-11"/>
        </w:rPr>
        <w:t>政负责人。曾任中信证券股份有限公司固定收益部交易员、资产管理业务投资经理、资产管</w:t>
      </w:r>
      <w:r>
        <w:rPr>
          <w:spacing w:val="-6"/>
        </w:rPr>
        <w:t>理业务投资主管等。</w:t>
      </w:r>
    </w:p>
    <w:p>
      <w:pPr>
        <w:pStyle w:val="BodyText"/>
        <w:spacing w:line="417" w:lineRule="auto"/>
        <w:ind w:left="220" w:right="768" w:firstLine="419"/>
      </w:pPr>
      <w:r>
        <w:rPr>
          <w:spacing w:val="-12"/>
        </w:rPr>
        <w:t>李勇进先生：董事，硕士。现任中信证券股份有限公司执行委员会委员、中信证券财富</w:t>
      </w:r>
      <w:r>
        <w:rPr>
          <w:spacing w:val="-6"/>
        </w:rPr>
        <w:t>管理委员会主任。兼任中信期货有限公司董事、金通证券有限责任公司执行董事兼总经理。</w:t>
      </w:r>
      <w:r>
        <w:rPr>
          <w:spacing w:val="-9"/>
        </w:rPr>
        <w:t>曾任中国农业银行大连市分行国际业务部科员，申银万国证券大连营业部部门经理，中信证</w:t>
      </w:r>
    </w:p>
    <w:p>
      <w:pPr>
        <w:spacing w:after="0" w:line="417" w:lineRule="auto"/>
        <w:sectPr>
          <w:pgSz w:w="11910" w:h="16840"/>
          <w:pgMar w:header="705" w:footer="683" w:top="1420" w:bottom="880" w:left="1580" w:right="920"/>
        </w:sectPr>
      </w:pPr>
    </w:p>
    <w:p>
      <w:pPr>
        <w:pStyle w:val="BodyText"/>
        <w:spacing w:line="417" w:lineRule="auto" w:before="110"/>
        <w:ind w:left="220" w:right="871"/>
        <w:jc w:val="both"/>
      </w:pPr>
      <w:r>
        <w:rPr>
          <w:spacing w:val="-20"/>
        </w:rPr>
        <w:t>券大连营业部总经理助理、副总经理、总经理，中信证券经纪业务管理部高级副总裁、总监， </w:t>
      </w:r>
      <w:r>
        <w:rPr>
          <w:spacing w:val="-18"/>
        </w:rPr>
        <w:t>中信证券</w:t>
      </w:r>
      <w:r>
        <w:rPr>
          <w:spacing w:val="-3"/>
        </w:rPr>
        <w:t>（</w:t>
      </w:r>
      <w:r>
        <w:rPr>
          <w:spacing w:val="-2"/>
        </w:rPr>
        <w:t>浙江</w:t>
      </w:r>
      <w:r>
        <w:rPr>
          <w:spacing w:val="-25"/>
        </w:rPr>
        <w:t>）</w:t>
      </w:r>
      <w:r>
        <w:rPr>
          <w:spacing w:val="-7"/>
        </w:rPr>
        <w:t>有限责任公司总经理，中信证券浙江分公司总经理，中信证券经纪业务发</w:t>
      </w:r>
      <w:r>
        <w:rPr>
          <w:spacing w:val="-5"/>
        </w:rPr>
        <w:t>展与管理委员会主任等。</w:t>
      </w:r>
    </w:p>
    <w:p>
      <w:pPr>
        <w:pStyle w:val="BodyText"/>
        <w:spacing w:line="417" w:lineRule="auto"/>
        <w:ind w:left="220" w:right="871" w:firstLine="419"/>
        <w:jc w:val="both"/>
      </w:pPr>
      <w:r>
        <w:rPr>
          <w:spacing w:val="-11"/>
        </w:rPr>
        <w:t>李一梅女士：董事、总经理，硕士。兼任证通股份有限公司董事、华夏基金</w:t>
      </w:r>
      <w:r>
        <w:rPr/>
        <w:t>（香港</w:t>
      </w:r>
      <w:r>
        <w:rPr>
          <w:spacing w:val="-17"/>
        </w:rPr>
        <w:t>）</w:t>
      </w:r>
      <w:r>
        <w:rPr/>
        <w:t>有</w:t>
      </w:r>
      <w:r>
        <w:rPr>
          <w:spacing w:val="-9"/>
        </w:rPr>
        <w:t>限公司董事。曾任华夏基金管理有限公司副总经理、营销总监、市场总监、基金营销部总经</w:t>
      </w:r>
      <w:r>
        <w:rPr>
          <w:spacing w:val="-5"/>
        </w:rPr>
        <w:t>理，上海华夏财富投资管理有限公司执行董事、总经理等。</w:t>
      </w:r>
    </w:p>
    <w:p>
      <w:pPr>
        <w:pStyle w:val="BodyText"/>
        <w:spacing w:line="417" w:lineRule="auto"/>
        <w:ind w:left="220" w:right="871" w:firstLine="419"/>
        <w:jc w:val="both"/>
      </w:pPr>
      <w:r>
        <w:rPr>
          <w:spacing w:val="-11"/>
        </w:rPr>
        <w:t>张宏久先生：独立董事，硕士。现任北京市竞天公诚律师事务所合伙人。兼任中信信托</w:t>
      </w:r>
      <w:r>
        <w:rPr>
          <w:spacing w:val="-12"/>
        </w:rPr>
        <w:t>有限公司独立董事，全国律师协会金融专业委员会顾问，全国侨联法律顾问委员会委员及民事法律委员会主任，中国国际经济贸易仲裁委员会仲裁员、上海国际经济贸易仲裁委员会仲</w:t>
      </w:r>
      <w:r>
        <w:rPr>
          <w:spacing w:val="-7"/>
        </w:rPr>
        <w:t>裁员等。</w:t>
      </w:r>
    </w:p>
    <w:p>
      <w:pPr>
        <w:pStyle w:val="BodyText"/>
        <w:spacing w:line="417" w:lineRule="auto"/>
        <w:ind w:left="220" w:right="871" w:firstLine="419"/>
        <w:jc w:val="both"/>
      </w:pPr>
      <w:r>
        <w:rPr>
          <w:spacing w:val="-11"/>
        </w:rPr>
        <w:t>支晓强先生：独立董事，博士。现任中国人民大学继续教育处处长、商学院财务与金融</w:t>
      </w:r>
      <w:r>
        <w:rPr>
          <w:spacing w:val="-13"/>
        </w:rPr>
        <w:t>系教授、博士生导师。兼任全国会计专业学位研究生教育指导委员会委员兼副秘书长、中国</w:t>
      </w:r>
      <w:r>
        <w:rPr>
          <w:spacing w:val="-12"/>
        </w:rPr>
        <w:t>会计学会财务成本分会副会长、中国会计学会内部控制专业委员会委员、中国上市公司协会</w:t>
      </w:r>
      <w:r>
        <w:rPr>
          <w:spacing w:val="-13"/>
        </w:rPr>
        <w:t>独立董事委员会委员、北农大科技股份有限公司独立董事、哈银金融租赁有限责任公司独立</w:t>
      </w:r>
      <w:r>
        <w:rPr>
          <w:spacing w:val="-8"/>
        </w:rPr>
        <w:t>董事等。</w:t>
      </w:r>
    </w:p>
    <w:p>
      <w:pPr>
        <w:pStyle w:val="BodyText"/>
        <w:spacing w:line="417" w:lineRule="auto"/>
        <w:ind w:left="220" w:right="768" w:firstLine="419"/>
      </w:pPr>
      <w:r>
        <w:rPr>
          <w:spacing w:val="-3"/>
        </w:rPr>
        <w:t>刘霞辉先生：独立董事，硕士。现任中国社会科学院经济研究所经济研究编辑部主任， </w:t>
      </w:r>
      <w:r>
        <w:rPr>
          <w:spacing w:val="-10"/>
        </w:rPr>
        <w:t>国务院特殊津贴专家，二级研究员，博士生导师。兼任中国战略研究会经济战略专业委员会</w:t>
      </w:r>
      <w:r>
        <w:rPr>
          <w:spacing w:val="-12"/>
        </w:rPr>
        <w:t>主任、山东大学经济社会研究院特聘兼职教授及广西南宁政府咨询专家。曾任职于国家人社</w:t>
      </w:r>
      <w:r>
        <w:rPr>
          <w:spacing w:val="-6"/>
        </w:rPr>
        <w:t>部政策法规司综合处。</w:t>
      </w:r>
    </w:p>
    <w:p>
      <w:pPr>
        <w:pStyle w:val="BodyText"/>
        <w:spacing w:line="268" w:lineRule="exact"/>
      </w:pPr>
      <w:r>
        <w:rPr/>
        <w:t>杨一夫先生：监事长，硕士。现任鲍尔太平有限公司总裁，负责总部加拿大鲍尔公司</w:t>
      </w:r>
    </w:p>
    <w:p>
      <w:pPr>
        <w:pStyle w:val="BodyText"/>
        <w:spacing w:before="5"/>
        <w:ind w:left="0"/>
        <w:rPr>
          <w:sz w:val="15"/>
        </w:rPr>
      </w:pPr>
    </w:p>
    <w:p>
      <w:pPr>
        <w:pStyle w:val="BodyText"/>
        <w:spacing w:line="417" w:lineRule="auto"/>
        <w:ind w:left="220" w:right="871"/>
        <w:jc w:val="both"/>
      </w:pPr>
      <w:r>
        <w:rPr/>
        <w:t>（</w:t>
      </w:r>
      <w:r>
        <w:rPr>
          <w:rFonts w:ascii="Times New Roman" w:eastAsia="Times New Roman"/>
        </w:rPr>
        <w:t>Power Corporation of </w:t>
      </w:r>
      <w:r>
        <w:rPr>
          <w:rFonts w:ascii="Times New Roman" w:eastAsia="Times New Roman"/>
          <w:spacing w:val="-6"/>
        </w:rPr>
        <w:t>Canada</w:t>
      </w:r>
      <w:r>
        <w:rPr>
          <w:spacing w:val="-6"/>
        </w:rPr>
        <w:t>）</w:t>
      </w:r>
      <w:r>
        <w:rPr>
          <w:spacing w:val="-9"/>
        </w:rPr>
        <w:t>在中国的投资活动，兼任三川能源开发有限公司董事、中国投资协会常务理事。曾任国际金融公司</w:t>
      </w:r>
      <w:r>
        <w:rPr>
          <w:spacing w:val="-3"/>
        </w:rPr>
        <w:t>（世界银行组织成员</w:t>
      </w:r>
      <w:r>
        <w:rPr>
          <w:spacing w:val="-27"/>
        </w:rPr>
        <w:t>）</w:t>
      </w:r>
      <w:r>
        <w:rPr>
          <w:spacing w:val="-6"/>
        </w:rPr>
        <w:t>驻中国的首席代表，华夏基金</w:t>
      </w:r>
      <w:r>
        <w:rPr>
          <w:spacing w:val="-4"/>
        </w:rPr>
        <w:t>管理有限公司董事等。</w:t>
      </w:r>
    </w:p>
    <w:p>
      <w:pPr>
        <w:pStyle w:val="BodyText"/>
        <w:spacing w:line="417" w:lineRule="auto"/>
        <w:ind w:left="220" w:right="871" w:firstLine="419"/>
      </w:pPr>
      <w:r>
        <w:rPr>
          <w:spacing w:val="-12"/>
        </w:rPr>
        <w:t>杨维华先生：监事，硕士。现任中信证券股份有限公司风险管理部行政负责人、公司副</w:t>
      </w:r>
      <w:r>
        <w:rPr>
          <w:spacing w:val="-6"/>
        </w:rPr>
        <w:t>首席风险官。曾任中信证券股份有限公司风险管理部</w:t>
      </w:r>
      <w:r>
        <w:rPr>
          <w:rFonts w:ascii="Times New Roman" w:eastAsia="Times New Roman"/>
        </w:rPr>
        <w:t>B</w:t>
      </w:r>
      <w:r>
        <w:rPr/>
        <w:t>角</w:t>
      </w:r>
      <w:r>
        <w:rPr>
          <w:spacing w:val="-3"/>
        </w:rPr>
        <w:t>（</w:t>
      </w:r>
      <w:r>
        <w:rPr>
          <w:spacing w:val="-2"/>
        </w:rPr>
        <w:t>主持工作</w:t>
      </w:r>
      <w:r>
        <w:rPr>
          <w:spacing w:val="-108"/>
        </w:rPr>
        <w:t>）</w:t>
      </w:r>
      <w:r>
        <w:rPr>
          <w:spacing w:val="-3"/>
        </w:rPr>
        <w:t>、总监等。</w:t>
      </w:r>
    </w:p>
    <w:p>
      <w:pPr>
        <w:pStyle w:val="BodyText"/>
        <w:spacing w:line="417" w:lineRule="auto"/>
        <w:ind w:left="220" w:right="871" w:firstLine="419"/>
      </w:pPr>
      <w:r>
        <w:rPr>
          <w:spacing w:val="-12"/>
        </w:rPr>
        <w:t>史本良先生：监事，硕士，注册会计师。现任中信证券股份有限公司计划财务部联席负</w:t>
      </w:r>
      <w:r>
        <w:rPr>
          <w:spacing w:val="-6"/>
        </w:rPr>
        <w:t>责人、公司副财务总监。曾任中信证券股份有限公司计划财务部</w:t>
      </w:r>
      <w:r>
        <w:rPr>
          <w:rFonts w:ascii="Times New Roman" w:eastAsia="Times New Roman"/>
        </w:rPr>
        <w:t>B</w:t>
      </w:r>
      <w:r>
        <w:rPr>
          <w:spacing w:val="-3"/>
        </w:rPr>
        <w:t>角、总监等。</w:t>
      </w:r>
    </w:p>
    <w:p>
      <w:pPr>
        <w:pStyle w:val="BodyText"/>
        <w:spacing w:line="417" w:lineRule="auto"/>
        <w:ind w:left="220" w:right="871" w:firstLine="419"/>
      </w:pPr>
      <w:r>
        <w:rPr>
          <w:spacing w:val="-11"/>
        </w:rPr>
        <w:t>宁晨新先生：监事，博士，高级编辑。现任华夏基金管理有限公司办公室总监、董事会</w:t>
      </w:r>
      <w:r>
        <w:rPr>
          <w:spacing w:val="-23"/>
        </w:rPr>
        <w:t>秘书</w:t>
      </w:r>
      <w:r>
        <w:rPr>
          <w:spacing w:val="-3"/>
        </w:rPr>
        <w:t>（</w:t>
      </w:r>
      <w:r>
        <w:rPr/>
        <w:t>兼</w:t>
      </w:r>
      <w:r>
        <w:rPr>
          <w:spacing w:val="-106"/>
        </w:rPr>
        <w:t>）</w:t>
      </w:r>
      <w:r>
        <w:rPr>
          <w:spacing w:val="-15"/>
        </w:rPr>
        <w:t>。曾任中国证券报社记者、编辑、办公室主任、副总编辑，中国政法大学讲师等。</w:t>
      </w:r>
    </w:p>
    <w:p>
      <w:pPr>
        <w:pStyle w:val="BodyText"/>
      </w:pPr>
      <w:r>
        <w:rPr/>
        <w:t>陈倩女士：监事，硕士。现任华夏基金管理有限公司市场部执行总经理、行政负责人。</w:t>
      </w:r>
    </w:p>
    <w:p>
      <w:pPr>
        <w:spacing w:after="0"/>
        <w:sectPr>
          <w:pgSz w:w="11910" w:h="16840"/>
          <w:pgMar w:header="705" w:footer="683" w:top="1420" w:bottom="880" w:left="1580" w:right="920"/>
        </w:sectPr>
      </w:pPr>
    </w:p>
    <w:p>
      <w:pPr>
        <w:pStyle w:val="BodyText"/>
        <w:spacing w:line="417" w:lineRule="auto" w:before="110"/>
        <w:ind w:left="220" w:right="871"/>
      </w:pPr>
      <w:r>
        <w:rPr>
          <w:spacing w:val="-9"/>
        </w:rPr>
        <w:t>曾任中国投资银行业务经理，北京证券有限责任公司高级业务经理，华夏基金管理有限公司</w:t>
      </w:r>
      <w:r>
        <w:rPr>
          <w:spacing w:val="-5"/>
        </w:rPr>
        <w:t>北京分公司副总经理、市场推广部副总经理等。</w:t>
      </w:r>
    </w:p>
    <w:p>
      <w:pPr>
        <w:pStyle w:val="BodyText"/>
        <w:spacing w:line="417" w:lineRule="auto"/>
        <w:ind w:left="220" w:right="871" w:firstLine="419"/>
      </w:pPr>
      <w:r>
        <w:rPr>
          <w:spacing w:val="-12"/>
        </w:rPr>
        <w:t>朱威先生：监事，硕士。现任华夏基金管理有限公司基金运作部执行总经理、行政负责</w:t>
      </w:r>
      <w:r>
        <w:rPr>
          <w:spacing w:val="-6"/>
        </w:rPr>
        <w:t>人。曾任基金运作部</w:t>
      </w:r>
      <w:r>
        <w:rPr>
          <w:rFonts w:ascii="Times New Roman" w:eastAsia="Times New Roman"/>
        </w:rPr>
        <w:t>B</w:t>
      </w:r>
      <w:r>
        <w:rPr>
          <w:spacing w:val="-2"/>
        </w:rPr>
        <w:t>角等。</w:t>
      </w:r>
    </w:p>
    <w:p>
      <w:pPr>
        <w:pStyle w:val="BodyText"/>
        <w:spacing w:line="417" w:lineRule="auto"/>
        <w:ind w:left="220" w:right="871" w:firstLine="419"/>
        <w:jc w:val="both"/>
      </w:pPr>
      <w:r>
        <w:rPr>
          <w:spacing w:val="-11"/>
        </w:rPr>
        <w:t>刘义先生：副总经理，硕士。现任华夏基金管理有限公司党委委员。曾任中国人民银行</w:t>
      </w:r>
      <w:r>
        <w:rPr>
          <w:spacing w:val="-13"/>
        </w:rPr>
        <w:t>总行计划资金司副主任科员、主任科员，中国农业发展银行总行信息电脑部信息综合处副处</w:t>
      </w:r>
      <w:r>
        <w:rPr>
          <w:spacing w:val="-13"/>
          <w:w w:val="100"/>
        </w:rPr>
        <w:t>长（</w:t>
      </w:r>
      <w:r>
        <w:rPr>
          <w:spacing w:val="-2"/>
          <w:w w:val="100"/>
        </w:rPr>
        <w:t>主持工作</w:t>
      </w:r>
      <w:r>
        <w:rPr>
          <w:spacing w:val="-108"/>
          <w:w w:val="100"/>
        </w:rPr>
        <w:t>）</w:t>
      </w:r>
      <w:r>
        <w:rPr>
          <w:spacing w:val="-3"/>
          <w:w w:val="100"/>
        </w:rPr>
        <w:t>，华夏基金管理有限公司监事、党办主任、养老金业务总监，华夏资本管理</w:t>
      </w:r>
      <w:r>
        <w:rPr>
          <w:spacing w:val="-3"/>
        </w:rPr>
        <w:t>有限公司执行董事、总经理等。</w:t>
      </w:r>
    </w:p>
    <w:p>
      <w:pPr>
        <w:pStyle w:val="BodyText"/>
        <w:spacing w:line="417" w:lineRule="auto"/>
        <w:ind w:left="220" w:right="768" w:firstLine="419"/>
      </w:pPr>
      <w:r>
        <w:rPr>
          <w:spacing w:val="-10"/>
        </w:rPr>
        <w:t>阳琨先生：副总经理、投资总监，硕士。现任华夏基金管理有限公司党委委员。曾任中</w:t>
      </w:r>
      <w:r>
        <w:rPr>
          <w:spacing w:val="-5"/>
        </w:rPr>
        <w:t>国对外经济贸易信托投资有限公司财务部部门经理，宝盈基金管理有限公司基金经理助理， </w:t>
      </w:r>
      <w:r>
        <w:rPr>
          <w:spacing w:val="-4"/>
        </w:rPr>
        <w:t>益民基金管理有限公司投资部部门经理，华夏基金管理有限公司股票投资部副总经理等。</w:t>
      </w:r>
    </w:p>
    <w:p>
      <w:pPr>
        <w:pStyle w:val="BodyText"/>
        <w:spacing w:line="417" w:lineRule="auto"/>
        <w:ind w:left="220" w:right="765" w:firstLine="419"/>
      </w:pPr>
      <w:r>
        <w:rPr>
          <w:spacing w:val="-23"/>
        </w:rPr>
        <w:t>张德根先生：副总经理，硕士。现任华夏基金管理有限公司研究发展部行政负责人</w:t>
      </w:r>
      <w:r>
        <w:rPr/>
        <w:t>（兼</w:t>
      </w:r>
      <w:r>
        <w:rPr>
          <w:spacing w:val="-108"/>
        </w:rPr>
        <w:t>）</w:t>
      </w:r>
      <w:r>
        <w:rPr/>
        <w:t>。</w:t>
      </w:r>
      <w:r>
        <w:rPr>
          <w:spacing w:val="-16"/>
        </w:rPr>
        <w:t>曾任职于北京新财经杂志社、长城证券，曾任华夏基金管理有限公司深圳分公司总经理助理、</w:t>
      </w:r>
      <w:r>
        <w:rPr>
          <w:spacing w:val="-12"/>
        </w:rPr>
        <w:t>副总经理、总经理，广州分公司总经理，上海华夏财富投资管理有限公司副总经理，华夏基</w:t>
      </w:r>
      <w:r>
        <w:rPr>
          <w:spacing w:val="-6"/>
        </w:rPr>
        <w:t>金管理有限公司总经理助理等。</w:t>
      </w:r>
    </w:p>
    <w:p>
      <w:pPr>
        <w:pStyle w:val="BodyText"/>
        <w:spacing w:line="417" w:lineRule="auto"/>
        <w:ind w:left="220" w:right="768" w:firstLine="419"/>
      </w:pPr>
      <w:r>
        <w:rPr>
          <w:spacing w:val="-3"/>
        </w:rPr>
        <w:t>李彬女士：督察长，硕士。现任华夏基金管理有限公司党委委员、合规部行政负责人、</w:t>
      </w:r>
      <w:r>
        <w:rPr>
          <w:spacing w:val="-10"/>
        </w:rPr>
        <w:t>法律部行政负责人。曾任职于中信证券股份有限公司、原中信基金管理有限责任公司。曾任</w:t>
      </w:r>
      <w:r>
        <w:rPr>
          <w:spacing w:val="-5"/>
        </w:rPr>
        <w:t>华夏基金管理有限公司监察稽核部总经理助理，法律监察部副总经理、联席负责人等。</w:t>
      </w:r>
    </w:p>
    <w:p>
      <w:pPr>
        <w:pStyle w:val="BodyText"/>
        <w:spacing w:line="269" w:lineRule="exact"/>
      </w:pPr>
      <w:r>
        <w:rPr>
          <w:rFonts w:ascii="Times New Roman" w:eastAsia="Times New Roman"/>
        </w:rPr>
        <w:t>2</w:t>
      </w:r>
      <w:r>
        <w:rPr/>
        <w:t>、本基金基金经理</w:t>
      </w:r>
    </w:p>
    <w:p>
      <w:pPr>
        <w:pStyle w:val="BodyText"/>
        <w:spacing w:line="417" w:lineRule="auto" w:before="197"/>
        <w:ind w:left="220" w:right="871" w:firstLine="419"/>
        <w:jc w:val="both"/>
      </w:pPr>
      <w:r>
        <w:rPr>
          <w:spacing w:val="-20"/>
        </w:rPr>
        <w:t>徐猛先生，清华大学工学硕士。曾任财富证券助理研究员，原中关村证券研究员等。</w:t>
      </w:r>
      <w:r>
        <w:rPr>
          <w:rFonts w:ascii="Times New Roman" w:eastAsia="Times New Roman"/>
        </w:rPr>
        <w:t>2006 </w:t>
      </w:r>
      <w:r>
        <w:rPr/>
        <w:t>年</w:t>
      </w:r>
      <w:r>
        <w:rPr>
          <w:rFonts w:ascii="Times New Roman" w:eastAsia="Times New Roman"/>
        </w:rPr>
        <w:t>2</w:t>
      </w:r>
      <w:r>
        <w:rPr>
          <w:spacing w:val="-3"/>
        </w:rPr>
        <w:t>月加入华夏基金管理有限公司，曾任数量投资部基金经理助理、上证原材料交易型开放</w:t>
      </w:r>
      <w:r>
        <w:rPr>
          <w:spacing w:val="-5"/>
        </w:rPr>
        <w:t>式指数发起式证券投资基金基金经理</w:t>
      </w:r>
      <w:r>
        <w:rPr/>
        <w:t>（</w:t>
      </w:r>
      <w:r>
        <w:rPr>
          <w:rFonts w:ascii="Times New Roman" w:eastAsia="Times New Roman"/>
        </w:rPr>
        <w:t>2016</w:t>
      </w:r>
      <w:r>
        <w:rPr>
          <w:spacing w:val="-3"/>
        </w:rPr>
        <w:t>年</w:t>
      </w:r>
      <w:r>
        <w:rPr>
          <w:rFonts w:ascii="Times New Roman" w:eastAsia="Times New Roman"/>
        </w:rPr>
        <w:t>1</w:t>
      </w:r>
      <w:r>
        <w:rPr/>
        <w:t>月</w:t>
      </w:r>
      <w:r>
        <w:rPr>
          <w:rFonts w:ascii="Times New Roman" w:eastAsia="Times New Roman"/>
          <w:spacing w:val="-3"/>
        </w:rPr>
        <w:t>29</w:t>
      </w:r>
      <w:r>
        <w:rPr/>
        <w:t>日至</w:t>
      </w:r>
      <w:r>
        <w:rPr>
          <w:rFonts w:ascii="Times New Roman" w:eastAsia="Times New Roman"/>
        </w:rPr>
        <w:t>2016</w:t>
      </w:r>
      <w:r>
        <w:rPr>
          <w:spacing w:val="-3"/>
        </w:rPr>
        <w:t>年</w:t>
      </w:r>
      <w:r>
        <w:rPr>
          <w:rFonts w:ascii="Times New Roman" w:eastAsia="Times New Roman"/>
        </w:rPr>
        <w:t>3</w:t>
      </w:r>
      <w:r>
        <w:rPr/>
        <w:t>月</w:t>
      </w:r>
      <w:r>
        <w:rPr>
          <w:rFonts w:ascii="Times New Roman" w:eastAsia="Times New Roman"/>
        </w:rPr>
        <w:t>28</w:t>
      </w:r>
      <w:r>
        <w:rPr>
          <w:spacing w:val="-3"/>
        </w:rPr>
        <w:t>日期间</w:t>
      </w:r>
      <w:r>
        <w:rPr>
          <w:spacing w:val="-34"/>
        </w:rPr>
        <w:t>）</w:t>
      </w:r>
      <w:r>
        <w:rPr>
          <w:spacing w:val="-7"/>
        </w:rPr>
        <w:t>等，现任数量投资部总监，上证金融地产交易型开放式指数发起式证券投资基金基金经理</w:t>
      </w:r>
      <w:r>
        <w:rPr>
          <w:spacing w:val="2"/>
        </w:rPr>
        <w:t>（</w:t>
      </w:r>
      <w:r>
        <w:rPr>
          <w:rFonts w:ascii="Times New Roman" w:eastAsia="Times New Roman"/>
          <w:spacing w:val="2"/>
        </w:rPr>
        <w:t>2013</w:t>
      </w:r>
      <w:r>
        <w:rPr/>
        <w:t>年</w:t>
      </w:r>
      <w:r>
        <w:rPr>
          <w:rFonts w:ascii="Times New Roman" w:eastAsia="Times New Roman"/>
        </w:rPr>
        <w:t>4</w:t>
      </w:r>
      <w:r>
        <w:rPr/>
        <w:t>月</w:t>
      </w:r>
      <w:r>
        <w:rPr>
          <w:rFonts w:ascii="Times New Roman" w:eastAsia="Times New Roman"/>
          <w:spacing w:val="-13"/>
        </w:rPr>
        <w:t>8 </w:t>
      </w:r>
      <w:r>
        <w:rPr>
          <w:spacing w:val="-1"/>
        </w:rPr>
        <w:t>日起任职</w:t>
      </w:r>
      <w:r>
        <w:rPr>
          <w:spacing w:val="-106"/>
        </w:rPr>
        <w:t>）</w:t>
      </w:r>
      <w:r>
        <w:rPr>
          <w:spacing w:val="-10"/>
        </w:rPr>
        <w:t>、华夏沪港通恒生交易型开放式指数证券投资基金基金经理</w:t>
      </w:r>
      <w:r>
        <w:rPr/>
        <w:t>（</w:t>
      </w:r>
      <w:r>
        <w:rPr>
          <w:rFonts w:ascii="Times New Roman" w:eastAsia="Times New Roman"/>
        </w:rPr>
        <w:t>2015</w:t>
      </w:r>
      <w:r>
        <w:rPr/>
        <w:t>年</w:t>
      </w:r>
      <w:r>
        <w:rPr>
          <w:rFonts w:ascii="Times New Roman" w:eastAsia="Times New Roman"/>
        </w:rPr>
        <w:t>3</w:t>
      </w:r>
      <w:r>
        <w:rPr/>
        <w:t>月</w:t>
      </w:r>
      <w:r>
        <w:rPr>
          <w:rFonts w:ascii="Times New Roman" w:eastAsia="Times New Roman"/>
        </w:rPr>
        <w:t>12</w:t>
      </w:r>
      <w:r>
        <w:rPr>
          <w:spacing w:val="-2"/>
        </w:rPr>
        <w:t>日起任职</w:t>
      </w:r>
      <w:r>
        <w:rPr>
          <w:spacing w:val="-106"/>
        </w:rPr>
        <w:t>）</w:t>
      </w:r>
      <w:r>
        <w:rPr>
          <w:spacing w:val="-11"/>
        </w:rPr>
        <w:t>、华夏沪港通恒生交易型开放式指数证券投资基金联接基金基金经理</w:t>
      </w:r>
      <w:r>
        <w:rPr/>
        <w:t>（</w:t>
      </w:r>
      <w:r>
        <w:rPr>
          <w:rFonts w:ascii="Times New Roman" w:eastAsia="Times New Roman"/>
        </w:rPr>
        <w:t>2015</w:t>
      </w:r>
      <w:r>
        <w:rPr/>
        <w:t>年</w:t>
      </w:r>
      <w:r>
        <w:rPr>
          <w:rFonts w:ascii="Times New Roman" w:eastAsia="Times New Roman"/>
        </w:rPr>
        <w:t>3</w:t>
      </w:r>
      <w:r>
        <w:rPr>
          <w:spacing w:val="-3"/>
        </w:rPr>
        <w:t>月</w:t>
      </w:r>
      <w:r>
        <w:rPr>
          <w:rFonts w:ascii="Times New Roman" w:eastAsia="Times New Roman"/>
        </w:rPr>
        <w:t>12</w:t>
      </w:r>
      <w:r>
        <w:rPr>
          <w:spacing w:val="-3"/>
        </w:rPr>
        <w:t>日起</w:t>
      </w:r>
      <w:r>
        <w:rPr/>
        <w:t>任职</w:t>
      </w:r>
      <w:r>
        <w:rPr>
          <w:spacing w:val="-108"/>
        </w:rPr>
        <w:t>）</w:t>
      </w:r>
      <w:r>
        <w:rPr>
          <w:spacing w:val="-9"/>
        </w:rPr>
        <w:t>、恒生交易型开放式指数证券投资基金基金经理</w:t>
      </w:r>
      <w:r>
        <w:rPr/>
        <w:t>（</w:t>
      </w:r>
      <w:r>
        <w:rPr>
          <w:rFonts w:ascii="Times New Roman" w:eastAsia="Times New Roman"/>
        </w:rPr>
        <w:t>2015</w:t>
      </w:r>
      <w:r>
        <w:rPr/>
        <w:t>年</w:t>
      </w:r>
      <w:r>
        <w:rPr>
          <w:rFonts w:ascii="Times New Roman" w:eastAsia="Times New Roman"/>
        </w:rPr>
        <w:t>12</w:t>
      </w:r>
      <w:r>
        <w:rPr/>
        <w:t>月</w:t>
      </w:r>
      <w:r>
        <w:rPr>
          <w:rFonts w:ascii="Times New Roman" w:eastAsia="Times New Roman"/>
        </w:rPr>
        <w:t>21</w:t>
      </w:r>
      <w:r>
        <w:rPr>
          <w:spacing w:val="-3"/>
        </w:rPr>
        <w:t>日起任职</w:t>
      </w:r>
      <w:r>
        <w:rPr>
          <w:spacing w:val="-106"/>
        </w:rPr>
        <w:t>）</w:t>
      </w:r>
      <w:r>
        <w:rPr>
          <w:spacing w:val="-8"/>
        </w:rPr>
        <w:t>、恒生交易</w:t>
      </w:r>
      <w:r>
        <w:rPr>
          <w:spacing w:val="-6"/>
        </w:rPr>
        <w:t>型开放式指数证券投资基金联接基金基金经理</w:t>
      </w:r>
      <w:r>
        <w:rPr/>
        <w:t>（</w:t>
      </w:r>
      <w:r>
        <w:rPr>
          <w:rFonts w:ascii="Times New Roman" w:eastAsia="Times New Roman"/>
        </w:rPr>
        <w:t>2015</w:t>
      </w:r>
      <w:r>
        <w:rPr/>
        <w:t>年</w:t>
      </w:r>
      <w:r>
        <w:rPr>
          <w:rFonts w:ascii="Times New Roman" w:eastAsia="Times New Roman"/>
        </w:rPr>
        <w:t>12</w:t>
      </w:r>
      <w:r>
        <w:rPr/>
        <w:t>月</w:t>
      </w:r>
      <w:r>
        <w:rPr>
          <w:rFonts w:ascii="Times New Roman" w:eastAsia="Times New Roman"/>
        </w:rPr>
        <w:t>21</w:t>
      </w:r>
      <w:r>
        <w:rPr>
          <w:spacing w:val="-2"/>
        </w:rPr>
        <w:t>日起任职</w:t>
      </w:r>
      <w:r>
        <w:rPr>
          <w:spacing w:val="-108"/>
        </w:rPr>
        <w:t>）</w:t>
      </w:r>
      <w:r>
        <w:rPr>
          <w:spacing w:val="-3"/>
        </w:rPr>
        <w:t>、中小企业板交易</w:t>
      </w:r>
      <w:r>
        <w:rPr>
          <w:spacing w:val="-7"/>
        </w:rPr>
        <w:t>型开放式指数基金基金经理</w:t>
      </w:r>
      <w:r>
        <w:rPr/>
        <w:t>（</w:t>
      </w:r>
      <w:r>
        <w:rPr>
          <w:rFonts w:ascii="Times New Roman" w:eastAsia="Times New Roman"/>
        </w:rPr>
        <w:t>2016</w:t>
      </w:r>
      <w:r>
        <w:rPr/>
        <w:t>年</w:t>
      </w:r>
      <w:r>
        <w:rPr>
          <w:rFonts w:ascii="Times New Roman" w:eastAsia="Times New Roman"/>
        </w:rPr>
        <w:t>12</w:t>
      </w:r>
      <w:r>
        <w:rPr/>
        <w:t>月</w:t>
      </w:r>
      <w:r>
        <w:rPr>
          <w:rFonts w:ascii="Times New Roman" w:eastAsia="Times New Roman"/>
          <w:spacing w:val="-3"/>
        </w:rPr>
        <w:t>1</w:t>
      </w:r>
      <w:r>
        <w:rPr>
          <w:spacing w:val="-3"/>
        </w:rPr>
        <w:t>日起任职</w:t>
      </w:r>
      <w:r>
        <w:rPr>
          <w:spacing w:val="-106"/>
        </w:rPr>
        <w:t>）</w:t>
      </w:r>
      <w:r>
        <w:rPr>
          <w:spacing w:val="-11"/>
        </w:rPr>
        <w:t>、华夏上证</w:t>
      </w:r>
      <w:r>
        <w:rPr>
          <w:rFonts w:ascii="Times New Roman" w:eastAsia="Times New Roman"/>
        </w:rPr>
        <w:t>50</w:t>
      </w:r>
      <w:r>
        <w:rPr>
          <w:spacing w:val="-3"/>
        </w:rPr>
        <w:t>交易型开放式指数证券投</w:t>
      </w:r>
      <w:r>
        <w:rPr>
          <w:spacing w:val="-8"/>
        </w:rPr>
        <w:t>资基金联接基金基金经理</w:t>
      </w:r>
      <w:r>
        <w:rPr/>
        <w:t>（</w:t>
      </w:r>
      <w:r>
        <w:rPr>
          <w:rFonts w:ascii="Times New Roman" w:eastAsia="Times New Roman"/>
        </w:rPr>
        <w:t>2016</w:t>
      </w:r>
      <w:r>
        <w:rPr/>
        <w:t>年</w:t>
      </w:r>
      <w:r>
        <w:rPr>
          <w:rFonts w:ascii="Times New Roman" w:eastAsia="Times New Roman"/>
        </w:rPr>
        <w:t>12</w:t>
      </w:r>
      <w:r>
        <w:rPr/>
        <w:t>月</w:t>
      </w:r>
      <w:r>
        <w:rPr>
          <w:rFonts w:ascii="Times New Roman" w:eastAsia="Times New Roman"/>
        </w:rPr>
        <w:t>1</w:t>
      </w:r>
      <w:r>
        <w:rPr>
          <w:spacing w:val="-3"/>
        </w:rPr>
        <w:t>日起任职</w:t>
      </w:r>
      <w:r>
        <w:rPr>
          <w:spacing w:val="-106"/>
        </w:rPr>
        <w:t>）</w:t>
      </w:r>
      <w:r>
        <w:rPr>
          <w:spacing w:val="-9"/>
        </w:rPr>
        <w:t>、华夏创业板交易型开放式指数证券投资</w:t>
      </w:r>
      <w:r>
        <w:rPr>
          <w:spacing w:val="-13"/>
        </w:rPr>
        <w:t>基金基金经理</w:t>
      </w:r>
      <w:r>
        <w:rPr/>
        <w:t>（</w:t>
      </w:r>
      <w:r>
        <w:rPr>
          <w:rFonts w:ascii="Times New Roman" w:eastAsia="Times New Roman"/>
        </w:rPr>
        <w:t>2017</w:t>
      </w:r>
      <w:r>
        <w:rPr/>
        <w:t>年</w:t>
      </w:r>
      <w:r>
        <w:rPr>
          <w:rFonts w:ascii="Times New Roman" w:eastAsia="Times New Roman"/>
        </w:rPr>
        <w:t>12</w:t>
      </w:r>
      <w:r>
        <w:rPr/>
        <w:t>月</w:t>
      </w:r>
      <w:r>
        <w:rPr>
          <w:rFonts w:ascii="Times New Roman" w:eastAsia="Times New Roman"/>
        </w:rPr>
        <w:t>8</w:t>
      </w:r>
      <w:r>
        <w:rPr>
          <w:spacing w:val="-3"/>
        </w:rPr>
        <w:t>日起任职</w:t>
      </w:r>
      <w:r>
        <w:rPr>
          <w:spacing w:val="-106"/>
        </w:rPr>
        <w:t>）</w:t>
      </w:r>
      <w:r>
        <w:rPr>
          <w:spacing w:val="-9"/>
        </w:rPr>
        <w:t>、战略新兴成指交易型开放式指数证券投资基金基金</w:t>
      </w:r>
    </w:p>
    <w:p>
      <w:pPr>
        <w:spacing w:after="0" w:line="417" w:lineRule="auto"/>
        <w:jc w:val="both"/>
        <w:sectPr>
          <w:pgSz w:w="11910" w:h="16840"/>
          <w:pgMar w:header="705" w:footer="683" w:top="1420" w:bottom="880" w:left="1580" w:right="920"/>
        </w:sectPr>
      </w:pPr>
    </w:p>
    <w:p>
      <w:pPr>
        <w:pStyle w:val="BodyText"/>
        <w:spacing w:line="417" w:lineRule="auto" w:before="110"/>
        <w:ind w:left="220" w:right="871"/>
        <w:jc w:val="both"/>
      </w:pPr>
      <w:r>
        <w:rPr>
          <w:spacing w:val="-24"/>
        </w:rPr>
        <w:t>经理</w:t>
      </w:r>
      <w:r>
        <w:rPr/>
        <w:t>（</w:t>
      </w:r>
      <w:r>
        <w:rPr>
          <w:rFonts w:ascii="Times New Roman" w:eastAsia="Times New Roman"/>
        </w:rPr>
        <w:t>2018</w:t>
      </w:r>
      <w:r>
        <w:rPr/>
        <w:t>年</w:t>
      </w:r>
      <w:r>
        <w:rPr>
          <w:rFonts w:ascii="Times New Roman" w:eastAsia="Times New Roman"/>
        </w:rPr>
        <w:t>7</w:t>
      </w:r>
      <w:r>
        <w:rPr>
          <w:spacing w:val="-3"/>
        </w:rPr>
        <w:t>月</w:t>
      </w:r>
      <w:r>
        <w:rPr>
          <w:rFonts w:ascii="Times New Roman" w:eastAsia="Times New Roman"/>
        </w:rPr>
        <w:t>13</w:t>
      </w:r>
      <w:r>
        <w:rPr>
          <w:spacing w:val="-3"/>
        </w:rPr>
        <w:t>日起任职</w:t>
      </w:r>
      <w:r>
        <w:rPr>
          <w:spacing w:val="-106"/>
        </w:rPr>
        <w:t>）</w:t>
      </w:r>
      <w:r>
        <w:rPr>
          <w:spacing w:val="-9"/>
        </w:rPr>
        <w:t>、华夏创业板交易型开放式指数证券投资基金发起式联接基金</w:t>
      </w:r>
      <w:r>
        <w:rPr>
          <w:spacing w:val="-18"/>
        </w:rPr>
        <w:t>基金经理</w:t>
      </w:r>
      <w:r>
        <w:rPr/>
        <w:t>（</w:t>
      </w:r>
      <w:r>
        <w:rPr>
          <w:rFonts w:ascii="Times New Roman" w:eastAsia="Times New Roman"/>
        </w:rPr>
        <w:t>2018</w:t>
      </w:r>
      <w:r>
        <w:rPr/>
        <w:t>年</w:t>
      </w:r>
      <w:r>
        <w:rPr>
          <w:rFonts w:ascii="Times New Roman" w:eastAsia="Times New Roman"/>
        </w:rPr>
        <w:t>8</w:t>
      </w:r>
      <w:r>
        <w:rPr>
          <w:spacing w:val="-3"/>
        </w:rPr>
        <w:t>月</w:t>
      </w:r>
      <w:r>
        <w:rPr>
          <w:rFonts w:ascii="Times New Roman" w:eastAsia="Times New Roman"/>
        </w:rPr>
        <w:t>14</w:t>
      </w:r>
      <w:r>
        <w:rPr>
          <w:spacing w:val="-3"/>
        </w:rPr>
        <w:t>日起任职</w:t>
      </w:r>
      <w:r>
        <w:rPr>
          <w:spacing w:val="-106"/>
        </w:rPr>
        <w:t>）</w:t>
      </w:r>
      <w:r>
        <w:rPr>
          <w:spacing w:val="-9"/>
        </w:rPr>
        <w:t>、华夏中小企业板交易型开放式指数基金发起式联接基金</w:t>
      </w:r>
      <w:r>
        <w:rPr>
          <w:spacing w:val="-18"/>
        </w:rPr>
        <w:t>基金经理</w:t>
      </w:r>
      <w:r>
        <w:rPr/>
        <w:t>（</w:t>
      </w:r>
      <w:r>
        <w:rPr>
          <w:rFonts w:ascii="Times New Roman" w:eastAsia="Times New Roman"/>
        </w:rPr>
        <w:t>2018</w:t>
      </w:r>
      <w:r>
        <w:rPr/>
        <w:t>年</w:t>
      </w:r>
      <w:r>
        <w:rPr>
          <w:rFonts w:ascii="Times New Roman" w:eastAsia="Times New Roman"/>
        </w:rPr>
        <w:t>9</w:t>
      </w:r>
      <w:r>
        <w:rPr>
          <w:spacing w:val="-3"/>
        </w:rPr>
        <w:t>月</w:t>
      </w:r>
      <w:r>
        <w:rPr>
          <w:rFonts w:ascii="Times New Roman" w:eastAsia="Times New Roman"/>
        </w:rPr>
        <w:t>10</w:t>
      </w:r>
      <w:r>
        <w:rPr>
          <w:spacing w:val="-3"/>
        </w:rPr>
        <w:t>日起任职</w:t>
      </w:r>
      <w:r>
        <w:rPr>
          <w:spacing w:val="-106"/>
        </w:rPr>
        <w:t>）</w:t>
      </w:r>
      <w:r>
        <w:rPr>
          <w:spacing w:val="-9"/>
        </w:rPr>
        <w:t>、战略新兴成指交易型开放式指数证券投资基金发起式联</w:t>
      </w:r>
      <w:r>
        <w:rPr>
          <w:spacing w:val="-5"/>
        </w:rPr>
        <w:t>接基金基金经理</w:t>
      </w:r>
      <w:r>
        <w:rPr/>
        <w:t>（</w:t>
      </w:r>
      <w:r>
        <w:rPr>
          <w:rFonts w:ascii="Times New Roman" w:eastAsia="Times New Roman"/>
        </w:rPr>
        <w:t>2019</w:t>
      </w:r>
      <w:r>
        <w:rPr/>
        <w:t>年</w:t>
      </w:r>
      <w:r>
        <w:rPr>
          <w:rFonts w:ascii="Times New Roman" w:eastAsia="Times New Roman"/>
          <w:spacing w:val="-3"/>
        </w:rPr>
        <w:t>6</w:t>
      </w:r>
      <w:r>
        <w:rPr/>
        <w:t>月</w:t>
      </w:r>
      <w:r>
        <w:rPr>
          <w:rFonts w:ascii="Times New Roman" w:eastAsia="Times New Roman"/>
        </w:rPr>
        <w:t>5</w:t>
      </w:r>
      <w:r>
        <w:rPr>
          <w:spacing w:val="-2"/>
        </w:rPr>
        <w:t>日起任职</w:t>
      </w:r>
      <w:r>
        <w:rPr>
          <w:spacing w:val="-108"/>
        </w:rPr>
        <w:t>）</w:t>
      </w:r>
      <w:r>
        <w:rPr>
          <w:spacing w:val="-1"/>
        </w:rPr>
        <w:t>、上证</w:t>
      </w:r>
      <w:r>
        <w:rPr>
          <w:rFonts w:ascii="Times New Roman" w:eastAsia="Times New Roman"/>
        </w:rPr>
        <w:t>50</w:t>
      </w:r>
      <w:r>
        <w:rPr>
          <w:spacing w:val="-3"/>
        </w:rPr>
        <w:t>交易型开放式指数证券投资基金基金经理</w:t>
      </w:r>
    </w:p>
    <w:p>
      <w:pPr>
        <w:pStyle w:val="BodyText"/>
        <w:spacing w:line="268" w:lineRule="exact"/>
        <w:ind w:left="220"/>
      </w:pPr>
      <w:r>
        <w:rPr/>
        <w:t>（</w:t>
      </w:r>
      <w:r>
        <w:rPr>
          <w:rFonts w:ascii="Times New Roman" w:eastAsia="Times New Roman"/>
        </w:rPr>
        <w:t>2020</w:t>
      </w:r>
      <w:r>
        <w:rPr/>
        <w:t>年</w:t>
      </w:r>
      <w:r>
        <w:rPr>
          <w:rFonts w:ascii="Times New Roman" w:eastAsia="Times New Roman"/>
          <w:spacing w:val="-3"/>
        </w:rPr>
        <w:t>3</w:t>
      </w:r>
      <w:r>
        <w:rPr/>
        <w:t>月</w:t>
      </w:r>
      <w:r>
        <w:rPr>
          <w:rFonts w:ascii="Times New Roman" w:eastAsia="Times New Roman"/>
        </w:rPr>
        <w:t>6</w:t>
      </w:r>
      <w:r>
        <w:rPr>
          <w:spacing w:val="-3"/>
        </w:rPr>
        <w:t>日起任职</w:t>
      </w:r>
      <w:r>
        <w:rPr>
          <w:spacing w:val="-108"/>
        </w:rPr>
        <w:t>）</w:t>
      </w:r>
      <w:r>
        <w:rPr/>
        <w:t>。</w:t>
      </w:r>
    </w:p>
    <w:p>
      <w:pPr>
        <w:pStyle w:val="BodyText"/>
        <w:spacing w:before="6"/>
        <w:ind w:left="0"/>
        <w:rPr>
          <w:sz w:val="15"/>
        </w:rPr>
      </w:pPr>
    </w:p>
    <w:p>
      <w:pPr>
        <w:pStyle w:val="BodyText"/>
        <w:spacing w:line="417" w:lineRule="auto"/>
        <w:ind w:left="220" w:right="871" w:firstLine="419"/>
      </w:pPr>
      <w:r>
        <w:rPr/>
        <w:t>历任基金经理：</w:t>
      </w:r>
      <w:r>
        <w:rPr>
          <w:rFonts w:ascii="Times New Roman" w:eastAsia="Times New Roman"/>
        </w:rPr>
        <w:t>2012</w:t>
      </w:r>
      <w:r>
        <w:rPr/>
        <w:t>年</w:t>
      </w:r>
      <w:r>
        <w:rPr>
          <w:rFonts w:ascii="Times New Roman" w:eastAsia="Times New Roman"/>
        </w:rPr>
        <w:t>8</w:t>
      </w:r>
      <w:r>
        <w:rPr/>
        <w:t>月</w:t>
      </w:r>
      <w:r>
        <w:rPr>
          <w:rFonts w:ascii="Times New Roman" w:eastAsia="Times New Roman"/>
        </w:rPr>
        <w:t>21</w:t>
      </w:r>
      <w:r>
        <w:rPr/>
        <w:t>日至</w:t>
      </w:r>
      <w:r>
        <w:rPr>
          <w:rFonts w:ascii="Times New Roman" w:eastAsia="Times New Roman"/>
        </w:rPr>
        <w:t>2017</w:t>
      </w:r>
      <w:r>
        <w:rPr/>
        <w:t>年</w:t>
      </w:r>
      <w:r>
        <w:rPr>
          <w:rFonts w:ascii="Times New Roman" w:eastAsia="Times New Roman"/>
        </w:rPr>
        <w:t>2</w:t>
      </w:r>
      <w:r>
        <w:rPr/>
        <w:t>月</w:t>
      </w:r>
      <w:r>
        <w:rPr>
          <w:rFonts w:ascii="Times New Roman" w:eastAsia="Times New Roman"/>
        </w:rPr>
        <w:t>10</w:t>
      </w:r>
      <w:r>
        <w:rPr/>
        <w:t>日期间，王路先生任基金经理；</w:t>
      </w:r>
      <w:r>
        <w:rPr>
          <w:rFonts w:ascii="Times New Roman" w:eastAsia="Times New Roman"/>
        </w:rPr>
        <w:t>2012</w:t>
      </w:r>
      <w:r>
        <w:rPr/>
        <w:t>年</w:t>
      </w:r>
      <w:r>
        <w:rPr>
          <w:rFonts w:ascii="Times New Roman" w:eastAsia="Times New Roman"/>
        </w:rPr>
        <w:t>8 </w:t>
      </w:r>
      <w:r>
        <w:rPr/>
        <w:t>月</w:t>
      </w:r>
      <w:r>
        <w:rPr>
          <w:rFonts w:ascii="Times New Roman" w:eastAsia="Times New Roman"/>
        </w:rPr>
        <w:t>21</w:t>
      </w:r>
      <w:r>
        <w:rPr/>
        <w:t>日至</w:t>
      </w:r>
      <w:r>
        <w:rPr>
          <w:rFonts w:ascii="Times New Roman" w:eastAsia="Times New Roman"/>
        </w:rPr>
        <w:t>2017</w:t>
      </w:r>
      <w:r>
        <w:rPr/>
        <w:t>年</w:t>
      </w:r>
      <w:r>
        <w:rPr>
          <w:rFonts w:ascii="Times New Roman" w:eastAsia="Times New Roman"/>
        </w:rPr>
        <w:t>11</w:t>
      </w:r>
      <w:r>
        <w:rPr/>
        <w:t>月</w:t>
      </w:r>
      <w:r>
        <w:rPr>
          <w:rFonts w:ascii="Times New Roman" w:eastAsia="Times New Roman"/>
        </w:rPr>
        <w:t>10</w:t>
      </w:r>
      <w:r>
        <w:rPr/>
        <w:t>日期间，张弘弢先生任基金经理。</w:t>
      </w:r>
    </w:p>
    <w:p>
      <w:pPr>
        <w:pStyle w:val="BodyText"/>
        <w:spacing w:before="1"/>
      </w:pPr>
      <w:r>
        <w:rPr>
          <w:rFonts w:ascii="Times New Roman" w:eastAsia="Times New Roman"/>
        </w:rPr>
        <w:t>3</w:t>
      </w:r>
      <w:r>
        <w:rPr/>
        <w:t>、本公司量化投资决策委员会</w:t>
      </w:r>
    </w:p>
    <w:p>
      <w:pPr>
        <w:pStyle w:val="BodyText"/>
        <w:spacing w:before="6"/>
        <w:ind w:left="0"/>
        <w:rPr>
          <w:sz w:val="15"/>
        </w:rPr>
      </w:pPr>
    </w:p>
    <w:p>
      <w:pPr>
        <w:pStyle w:val="BodyText"/>
      </w:pPr>
      <w:r>
        <w:rPr/>
        <w:t>主任：张弘弢先生，华夏基金管理有限公司董事总经理，基金经理。</w:t>
      </w:r>
    </w:p>
    <w:p>
      <w:pPr>
        <w:pStyle w:val="BodyText"/>
        <w:spacing w:before="7"/>
        <w:ind w:left="0"/>
        <w:rPr>
          <w:sz w:val="15"/>
        </w:rPr>
      </w:pPr>
    </w:p>
    <w:p>
      <w:pPr>
        <w:pStyle w:val="BodyText"/>
        <w:spacing w:line="417" w:lineRule="auto"/>
        <w:ind w:right="1826"/>
      </w:pPr>
      <w:r>
        <w:rPr/>
        <w:t>成员：阳琨先生，华夏基金管理有限公司副总经理、投资总监，基金经理。徐猛先生，华夏基金管理有限公司数量投资部总监，基金经理。</w:t>
      </w:r>
    </w:p>
    <w:p>
      <w:pPr>
        <w:pStyle w:val="BodyText"/>
        <w:spacing w:line="269" w:lineRule="exact"/>
      </w:pPr>
      <w:r>
        <w:rPr/>
        <w:t>袁英杰先生，华夏基金管理有限公司数量投资部投资经理。</w:t>
      </w:r>
    </w:p>
    <w:p>
      <w:pPr>
        <w:pStyle w:val="BodyText"/>
        <w:spacing w:before="7"/>
        <w:ind w:left="0"/>
        <w:rPr>
          <w:sz w:val="15"/>
        </w:rPr>
      </w:pPr>
    </w:p>
    <w:p>
      <w:pPr>
        <w:pStyle w:val="BodyText"/>
      </w:pPr>
      <w:r>
        <w:rPr/>
        <w:t>庞亚平先生，华夏基金管理有限公司数量投资部总监，基金经理。</w:t>
      </w:r>
    </w:p>
    <w:p>
      <w:pPr>
        <w:pStyle w:val="BodyText"/>
        <w:spacing w:before="7"/>
        <w:ind w:left="0"/>
        <w:rPr>
          <w:sz w:val="15"/>
        </w:rPr>
      </w:pPr>
    </w:p>
    <w:p>
      <w:pPr>
        <w:pStyle w:val="BodyText"/>
      </w:pPr>
      <w:r>
        <w:rPr/>
        <w:t>荣膺女士，华夏基金管理有限公司数量投资部高级副总裁，基金经理。</w:t>
      </w:r>
    </w:p>
    <w:p>
      <w:pPr>
        <w:pStyle w:val="BodyText"/>
        <w:spacing w:before="7"/>
        <w:ind w:left="0"/>
        <w:rPr>
          <w:sz w:val="15"/>
        </w:rPr>
      </w:pPr>
    </w:p>
    <w:p>
      <w:pPr>
        <w:pStyle w:val="BodyText"/>
      </w:pPr>
      <w:r>
        <w:rPr>
          <w:rFonts w:ascii="Times New Roman" w:eastAsia="Times New Roman"/>
        </w:rPr>
        <w:t>4</w:t>
      </w:r>
      <w:r>
        <w:rPr/>
        <w:t>、上述人员之间不存在近亲属关系。</w:t>
      </w:r>
    </w:p>
    <w:p>
      <w:pPr>
        <w:pStyle w:val="BodyText"/>
        <w:spacing w:before="6"/>
        <w:ind w:left="0"/>
        <w:rPr>
          <w:sz w:val="15"/>
        </w:rPr>
      </w:pPr>
    </w:p>
    <w:p>
      <w:pPr>
        <w:pStyle w:val="BodyText"/>
        <w:spacing w:before="1"/>
      </w:pPr>
      <w:r>
        <w:rPr/>
        <w:t>（三）基金管理人的职责</w:t>
      </w:r>
    </w:p>
    <w:p>
      <w:pPr>
        <w:pStyle w:val="BodyText"/>
        <w:spacing w:before="6"/>
        <w:ind w:left="0"/>
        <w:rPr>
          <w:sz w:val="15"/>
        </w:rPr>
      </w:pPr>
    </w:p>
    <w:p>
      <w:pPr>
        <w:pStyle w:val="BodyText"/>
        <w:spacing w:line="417" w:lineRule="auto"/>
        <w:ind w:left="220" w:right="986" w:firstLine="419"/>
      </w:pPr>
      <w:r>
        <w:rPr>
          <w:rFonts w:ascii="Times New Roman" w:eastAsia="Times New Roman"/>
        </w:rPr>
        <w:t>1</w:t>
      </w:r>
      <w:r>
        <w:rPr>
          <w:spacing w:val="-12"/>
        </w:rPr>
        <w:t>、依法募集基金，办理或者委托经国务院证券监督管理机构认定的其他机构代为办理</w:t>
      </w:r>
      <w:r>
        <w:rPr>
          <w:spacing w:val="-6"/>
        </w:rPr>
        <w:t>基金份额的发售、申购、赎回和登记事宜。</w:t>
      </w:r>
    </w:p>
    <w:p>
      <w:pPr>
        <w:pStyle w:val="BodyText"/>
        <w:spacing w:line="269" w:lineRule="exact"/>
      </w:pPr>
      <w:r>
        <w:rPr>
          <w:rFonts w:ascii="Times New Roman" w:eastAsia="Times New Roman"/>
        </w:rPr>
        <w:t>2</w:t>
      </w:r>
      <w:r>
        <w:rPr/>
        <w:t>、办理基金备案手续。</w:t>
      </w:r>
    </w:p>
    <w:p>
      <w:pPr>
        <w:pStyle w:val="BodyText"/>
        <w:spacing w:before="7"/>
        <w:ind w:left="0"/>
        <w:rPr>
          <w:sz w:val="15"/>
        </w:rPr>
      </w:pPr>
    </w:p>
    <w:p>
      <w:pPr>
        <w:pStyle w:val="BodyText"/>
      </w:pPr>
      <w:r>
        <w:rPr>
          <w:rFonts w:ascii="Times New Roman" w:eastAsia="Times New Roman"/>
        </w:rPr>
        <w:t>3</w:t>
      </w:r>
      <w:r>
        <w:rPr/>
        <w:t>、对所管理的不同基金财产分别管理、分别记账，进行证券投资。</w:t>
      </w:r>
    </w:p>
    <w:p>
      <w:pPr>
        <w:pStyle w:val="BodyText"/>
        <w:spacing w:before="7"/>
        <w:ind w:left="0"/>
        <w:rPr>
          <w:sz w:val="15"/>
        </w:rPr>
      </w:pPr>
    </w:p>
    <w:p>
      <w:pPr>
        <w:pStyle w:val="BodyText"/>
      </w:pPr>
      <w:r>
        <w:rPr>
          <w:rFonts w:ascii="Times New Roman" w:eastAsia="Times New Roman"/>
        </w:rPr>
        <w:t>4</w:t>
      </w:r>
      <w:r>
        <w:rPr/>
        <w:t>、按照基金合同的约定确定基金收益分配方案，及时向基金份额持有人分配收益。</w:t>
      </w:r>
    </w:p>
    <w:p>
      <w:pPr>
        <w:pStyle w:val="BodyText"/>
        <w:spacing w:before="7"/>
        <w:ind w:left="0"/>
        <w:rPr>
          <w:sz w:val="15"/>
        </w:rPr>
      </w:pPr>
    </w:p>
    <w:p>
      <w:pPr>
        <w:pStyle w:val="BodyText"/>
      </w:pPr>
      <w:r>
        <w:rPr>
          <w:rFonts w:ascii="Times New Roman" w:eastAsia="Times New Roman"/>
        </w:rPr>
        <w:t>5</w:t>
      </w:r>
      <w:r>
        <w:rPr/>
        <w:t>、进行基金会计核算并编制基金财务会计报告。</w:t>
      </w:r>
    </w:p>
    <w:p>
      <w:pPr>
        <w:pStyle w:val="BodyText"/>
        <w:spacing w:before="7"/>
        <w:ind w:left="0"/>
        <w:rPr>
          <w:sz w:val="15"/>
        </w:rPr>
      </w:pPr>
    </w:p>
    <w:p>
      <w:pPr>
        <w:pStyle w:val="BodyText"/>
      </w:pPr>
      <w:r>
        <w:rPr>
          <w:rFonts w:ascii="Times New Roman" w:eastAsia="Times New Roman"/>
        </w:rPr>
        <w:t>6</w:t>
      </w:r>
      <w:r>
        <w:rPr/>
        <w:t>、编制中期和年度基金报告。</w:t>
      </w:r>
    </w:p>
    <w:p>
      <w:pPr>
        <w:pStyle w:val="BodyText"/>
        <w:spacing w:before="7"/>
        <w:ind w:left="0"/>
        <w:rPr>
          <w:sz w:val="15"/>
        </w:rPr>
      </w:pPr>
    </w:p>
    <w:p>
      <w:pPr>
        <w:pStyle w:val="BodyText"/>
      </w:pPr>
      <w:r>
        <w:rPr>
          <w:rFonts w:ascii="Times New Roman" w:eastAsia="Times New Roman"/>
        </w:rPr>
        <w:t>7</w:t>
      </w:r>
      <w:r>
        <w:rPr/>
        <w:t>、计算并公告基金净值信息，确定基金份额申购、赎回价格。</w:t>
      </w:r>
    </w:p>
    <w:p>
      <w:pPr>
        <w:pStyle w:val="BodyText"/>
        <w:spacing w:before="6"/>
        <w:ind w:left="0"/>
        <w:rPr>
          <w:sz w:val="15"/>
        </w:rPr>
      </w:pPr>
    </w:p>
    <w:p>
      <w:pPr>
        <w:pStyle w:val="BodyText"/>
      </w:pPr>
      <w:r>
        <w:rPr>
          <w:rFonts w:ascii="Times New Roman" w:eastAsia="Times New Roman"/>
        </w:rPr>
        <w:t>8</w:t>
      </w:r>
      <w:r>
        <w:rPr/>
        <w:t>、办理与基金财产管理业务活动有关的信息披露事项。</w:t>
      </w:r>
    </w:p>
    <w:p>
      <w:pPr>
        <w:pStyle w:val="BodyText"/>
        <w:spacing w:before="7"/>
        <w:ind w:left="0"/>
        <w:rPr>
          <w:sz w:val="15"/>
        </w:rPr>
      </w:pPr>
    </w:p>
    <w:p>
      <w:pPr>
        <w:pStyle w:val="BodyText"/>
      </w:pPr>
      <w:r>
        <w:rPr>
          <w:rFonts w:ascii="Times New Roman" w:eastAsia="Times New Roman"/>
        </w:rPr>
        <w:t>9</w:t>
      </w:r>
      <w:r>
        <w:rPr/>
        <w:t>、召集基金份额持有人大会。</w:t>
      </w:r>
    </w:p>
    <w:p>
      <w:pPr>
        <w:pStyle w:val="BodyText"/>
        <w:spacing w:before="7"/>
        <w:ind w:left="0"/>
        <w:rPr>
          <w:sz w:val="15"/>
        </w:rPr>
      </w:pPr>
    </w:p>
    <w:p>
      <w:pPr>
        <w:pStyle w:val="BodyText"/>
      </w:pPr>
      <w:r>
        <w:rPr>
          <w:rFonts w:ascii="Times New Roman" w:eastAsia="Times New Roman"/>
        </w:rPr>
        <w:t>10</w:t>
      </w:r>
      <w:r>
        <w:rPr/>
        <w:t>、保存基金财产管理业务活动的记录、账册、报表和其他相关资料。</w:t>
      </w:r>
    </w:p>
    <w:p>
      <w:pPr>
        <w:pStyle w:val="BodyText"/>
        <w:spacing w:before="7"/>
        <w:ind w:left="0"/>
        <w:rPr>
          <w:sz w:val="15"/>
        </w:rPr>
      </w:pPr>
    </w:p>
    <w:p>
      <w:pPr>
        <w:pStyle w:val="BodyText"/>
        <w:spacing w:line="417" w:lineRule="auto"/>
        <w:ind w:left="220" w:right="989" w:firstLine="419"/>
      </w:pPr>
      <w:r>
        <w:rPr>
          <w:rFonts w:ascii="Times New Roman" w:eastAsia="Times New Roman"/>
        </w:rPr>
        <w:t>11</w:t>
      </w:r>
      <w:r>
        <w:rPr/>
        <w:t>、以基金管理人名义，代表基金份额持有人利益行使诉讼权利或者实施其他法律行为。</w:t>
      </w:r>
    </w:p>
    <w:p>
      <w:pPr>
        <w:pStyle w:val="BodyText"/>
      </w:pPr>
      <w:r>
        <w:rPr>
          <w:rFonts w:ascii="Times New Roman" w:eastAsia="Times New Roman"/>
        </w:rPr>
        <w:t>12</w:t>
      </w:r>
      <w:r>
        <w:rPr/>
        <w:t>、国务院证券监督管理机构规定的其他职责。</w:t>
      </w:r>
    </w:p>
    <w:p>
      <w:pPr>
        <w:spacing w:after="0"/>
        <w:sectPr>
          <w:pgSz w:w="11910" w:h="16840"/>
          <w:pgMar w:header="705" w:footer="683" w:top="1420" w:bottom="880" w:left="1580" w:right="920"/>
        </w:sectPr>
      </w:pPr>
    </w:p>
    <w:p>
      <w:pPr>
        <w:pStyle w:val="BodyText"/>
        <w:spacing w:before="110"/>
      </w:pPr>
      <w:r>
        <w:rPr/>
        <w:t>（四）基金管理人承诺</w:t>
      </w:r>
    </w:p>
    <w:p>
      <w:pPr>
        <w:pStyle w:val="BodyText"/>
        <w:spacing w:before="6"/>
        <w:ind w:left="0"/>
        <w:rPr>
          <w:sz w:val="15"/>
        </w:rPr>
      </w:pPr>
    </w:p>
    <w:p>
      <w:pPr>
        <w:pStyle w:val="BodyText"/>
        <w:spacing w:line="417" w:lineRule="auto"/>
        <w:ind w:left="220" w:right="988" w:firstLine="419"/>
      </w:pPr>
      <w:r>
        <w:rPr>
          <w:rFonts w:ascii="Times New Roman" w:eastAsia="Times New Roman"/>
        </w:rPr>
        <w:t>1</w:t>
      </w:r>
      <w:r>
        <w:rPr>
          <w:spacing w:val="-10"/>
        </w:rPr>
        <w:t>、本基金管理人将根据基金合同的规定，按照招募说明书列明的投资目标、策略及限</w:t>
      </w:r>
      <w:r>
        <w:rPr>
          <w:spacing w:val="-5"/>
        </w:rPr>
        <w:t>制等全权处理本基金的投资。</w:t>
      </w:r>
    </w:p>
    <w:p>
      <w:pPr>
        <w:pStyle w:val="BodyText"/>
        <w:spacing w:line="269" w:lineRule="exact"/>
      </w:pPr>
      <w:r>
        <w:rPr>
          <w:rFonts w:ascii="Times New Roman" w:eastAsia="Times New Roman"/>
        </w:rPr>
        <w:t>2</w:t>
      </w:r>
      <w:r>
        <w:rPr/>
        <w:t>、建立健全内部控制制度，采取有效措施，保证基金财产不用于下列投资或者活动：</w:t>
      </w:r>
    </w:p>
    <w:p>
      <w:pPr>
        <w:pStyle w:val="BodyText"/>
        <w:spacing w:before="7"/>
        <w:ind w:left="0"/>
        <w:rPr>
          <w:sz w:val="15"/>
        </w:rPr>
      </w:pPr>
    </w:p>
    <w:p>
      <w:pPr>
        <w:pStyle w:val="ListParagraph"/>
        <w:numPr>
          <w:ilvl w:val="3"/>
          <w:numId w:val="5"/>
        </w:numPr>
        <w:tabs>
          <w:tab w:pos="1170" w:val="left" w:leader="none"/>
        </w:tabs>
        <w:spacing w:line="240" w:lineRule="auto" w:before="0" w:after="0"/>
        <w:ind w:left="1169" w:right="0" w:hanging="530"/>
        <w:jc w:val="left"/>
        <w:rPr>
          <w:sz w:val="21"/>
        </w:rPr>
      </w:pPr>
      <w:r>
        <w:rPr>
          <w:spacing w:val="-3"/>
          <w:sz w:val="21"/>
        </w:rPr>
        <w:t>购买不动产。</w:t>
      </w:r>
    </w:p>
    <w:p>
      <w:pPr>
        <w:pStyle w:val="BodyText"/>
        <w:spacing w:before="7"/>
        <w:ind w:left="0"/>
        <w:rPr>
          <w:sz w:val="15"/>
        </w:rPr>
      </w:pPr>
    </w:p>
    <w:p>
      <w:pPr>
        <w:pStyle w:val="ListParagraph"/>
        <w:numPr>
          <w:ilvl w:val="3"/>
          <w:numId w:val="5"/>
        </w:numPr>
        <w:tabs>
          <w:tab w:pos="1170" w:val="left" w:leader="none"/>
        </w:tabs>
        <w:spacing w:line="240" w:lineRule="auto" w:before="0" w:after="0"/>
        <w:ind w:left="1169" w:right="0" w:hanging="530"/>
        <w:jc w:val="left"/>
        <w:rPr>
          <w:sz w:val="21"/>
        </w:rPr>
      </w:pPr>
      <w:r>
        <w:rPr>
          <w:spacing w:val="-3"/>
          <w:sz w:val="21"/>
        </w:rPr>
        <w:t>购买房地产抵押按揭。</w:t>
      </w:r>
    </w:p>
    <w:p>
      <w:pPr>
        <w:pStyle w:val="BodyText"/>
        <w:spacing w:before="7"/>
        <w:ind w:left="0"/>
        <w:rPr>
          <w:sz w:val="15"/>
        </w:rPr>
      </w:pPr>
    </w:p>
    <w:p>
      <w:pPr>
        <w:pStyle w:val="ListParagraph"/>
        <w:numPr>
          <w:ilvl w:val="3"/>
          <w:numId w:val="5"/>
        </w:numPr>
        <w:tabs>
          <w:tab w:pos="1170" w:val="left" w:leader="none"/>
        </w:tabs>
        <w:spacing w:line="240" w:lineRule="auto" w:before="0" w:after="0"/>
        <w:ind w:left="1169" w:right="0" w:hanging="530"/>
        <w:jc w:val="left"/>
        <w:rPr>
          <w:sz w:val="21"/>
        </w:rPr>
      </w:pPr>
      <w:r>
        <w:rPr>
          <w:spacing w:val="-3"/>
          <w:sz w:val="21"/>
        </w:rPr>
        <w:t>购买贵重金属或代表贵重金属的凭证。</w:t>
      </w:r>
    </w:p>
    <w:p>
      <w:pPr>
        <w:pStyle w:val="BodyText"/>
        <w:spacing w:before="7"/>
        <w:ind w:left="0"/>
        <w:rPr>
          <w:sz w:val="15"/>
        </w:rPr>
      </w:pPr>
    </w:p>
    <w:p>
      <w:pPr>
        <w:pStyle w:val="ListParagraph"/>
        <w:numPr>
          <w:ilvl w:val="3"/>
          <w:numId w:val="5"/>
        </w:numPr>
        <w:tabs>
          <w:tab w:pos="1170" w:val="left" w:leader="none"/>
        </w:tabs>
        <w:spacing w:line="240" w:lineRule="auto" w:before="0" w:after="0"/>
        <w:ind w:left="1169" w:right="0" w:hanging="530"/>
        <w:jc w:val="left"/>
        <w:rPr>
          <w:sz w:val="21"/>
        </w:rPr>
      </w:pPr>
      <w:r>
        <w:rPr>
          <w:spacing w:val="-3"/>
          <w:sz w:val="21"/>
        </w:rPr>
        <w:t>购买实物商品。</w:t>
      </w:r>
    </w:p>
    <w:p>
      <w:pPr>
        <w:pStyle w:val="BodyText"/>
        <w:spacing w:before="7"/>
        <w:ind w:left="0"/>
        <w:rPr>
          <w:sz w:val="15"/>
        </w:rPr>
      </w:pPr>
    </w:p>
    <w:p>
      <w:pPr>
        <w:pStyle w:val="ListParagraph"/>
        <w:numPr>
          <w:ilvl w:val="3"/>
          <w:numId w:val="5"/>
        </w:numPr>
        <w:tabs>
          <w:tab w:pos="1170" w:val="left" w:leader="none"/>
        </w:tabs>
        <w:spacing w:line="417" w:lineRule="auto" w:before="0" w:after="0"/>
        <w:ind w:left="220" w:right="986" w:firstLine="419"/>
        <w:jc w:val="left"/>
        <w:rPr>
          <w:sz w:val="21"/>
        </w:rPr>
      </w:pPr>
      <w:r>
        <w:rPr>
          <w:spacing w:val="-10"/>
          <w:sz w:val="21"/>
        </w:rPr>
        <w:t>除应付赎回、交易清算等临时用途以外，借入现金；该临时用途借入现金的比 </w:t>
      </w:r>
      <w:r>
        <w:rPr>
          <w:spacing w:val="-7"/>
          <w:sz w:val="21"/>
        </w:rPr>
        <w:t>例不得超过本基金资产净值的 </w:t>
      </w:r>
      <w:r>
        <w:rPr>
          <w:rFonts w:ascii="Times New Roman" w:eastAsia="Times New Roman"/>
          <w:sz w:val="21"/>
        </w:rPr>
        <w:t>10%</w:t>
      </w:r>
      <w:r>
        <w:rPr>
          <w:sz w:val="21"/>
        </w:rPr>
        <w:t>。</w:t>
      </w:r>
    </w:p>
    <w:p>
      <w:pPr>
        <w:pStyle w:val="ListParagraph"/>
        <w:numPr>
          <w:ilvl w:val="3"/>
          <w:numId w:val="5"/>
        </w:numPr>
        <w:tabs>
          <w:tab w:pos="1170" w:val="left" w:leader="none"/>
        </w:tabs>
        <w:spacing w:line="269" w:lineRule="exact" w:before="0" w:after="0"/>
        <w:ind w:left="1169" w:right="0" w:hanging="530"/>
        <w:jc w:val="left"/>
        <w:rPr>
          <w:sz w:val="21"/>
        </w:rPr>
      </w:pPr>
      <w:r>
        <w:rPr>
          <w:spacing w:val="-3"/>
          <w:sz w:val="21"/>
        </w:rPr>
        <w:t>利用融资购买证券，但投资金融衍生品除外。</w:t>
      </w:r>
    </w:p>
    <w:p>
      <w:pPr>
        <w:pStyle w:val="BodyText"/>
        <w:spacing w:before="6"/>
        <w:ind w:left="0"/>
        <w:rPr>
          <w:sz w:val="15"/>
        </w:rPr>
      </w:pPr>
    </w:p>
    <w:p>
      <w:pPr>
        <w:pStyle w:val="ListParagraph"/>
        <w:numPr>
          <w:ilvl w:val="3"/>
          <w:numId w:val="5"/>
        </w:numPr>
        <w:tabs>
          <w:tab w:pos="1170" w:val="left" w:leader="none"/>
        </w:tabs>
        <w:spacing w:line="240" w:lineRule="auto" w:before="1" w:after="0"/>
        <w:ind w:left="1169" w:right="0" w:hanging="530"/>
        <w:jc w:val="left"/>
        <w:rPr>
          <w:sz w:val="21"/>
        </w:rPr>
      </w:pPr>
      <w:r>
        <w:rPr>
          <w:spacing w:val="-3"/>
          <w:sz w:val="21"/>
        </w:rPr>
        <w:t>参与未持有基础资产的卖空交易。</w:t>
      </w:r>
    </w:p>
    <w:p>
      <w:pPr>
        <w:pStyle w:val="BodyText"/>
        <w:spacing w:before="6"/>
        <w:ind w:left="0"/>
        <w:rPr>
          <w:sz w:val="15"/>
        </w:rPr>
      </w:pPr>
    </w:p>
    <w:p>
      <w:pPr>
        <w:pStyle w:val="ListParagraph"/>
        <w:numPr>
          <w:ilvl w:val="3"/>
          <w:numId w:val="5"/>
        </w:numPr>
        <w:tabs>
          <w:tab w:pos="1170" w:val="left" w:leader="none"/>
        </w:tabs>
        <w:spacing w:line="240" w:lineRule="auto" w:before="0" w:after="0"/>
        <w:ind w:left="1169" w:right="0" w:hanging="530"/>
        <w:jc w:val="left"/>
        <w:rPr>
          <w:sz w:val="21"/>
        </w:rPr>
      </w:pPr>
      <w:r>
        <w:rPr>
          <w:spacing w:val="-3"/>
          <w:sz w:val="21"/>
        </w:rPr>
        <w:t>从事证券承销业务。</w:t>
      </w:r>
    </w:p>
    <w:p>
      <w:pPr>
        <w:pStyle w:val="BodyText"/>
        <w:spacing w:before="7"/>
        <w:ind w:left="0"/>
        <w:rPr>
          <w:sz w:val="15"/>
        </w:rPr>
      </w:pPr>
    </w:p>
    <w:p>
      <w:pPr>
        <w:pStyle w:val="ListParagraph"/>
        <w:numPr>
          <w:ilvl w:val="3"/>
          <w:numId w:val="5"/>
        </w:numPr>
        <w:tabs>
          <w:tab w:pos="1170" w:val="left" w:leader="none"/>
        </w:tabs>
        <w:spacing w:line="240" w:lineRule="auto" w:before="0" w:after="0"/>
        <w:ind w:left="1169" w:right="0" w:hanging="530"/>
        <w:jc w:val="left"/>
        <w:rPr>
          <w:sz w:val="21"/>
        </w:rPr>
      </w:pPr>
      <w:r>
        <w:rPr>
          <w:spacing w:val="-3"/>
          <w:sz w:val="21"/>
        </w:rPr>
        <w:t>中国证监会禁止的其他行为。</w:t>
      </w:r>
    </w:p>
    <w:p>
      <w:pPr>
        <w:pStyle w:val="BodyText"/>
        <w:spacing w:before="7"/>
        <w:ind w:left="0"/>
        <w:rPr>
          <w:sz w:val="15"/>
        </w:rPr>
      </w:pPr>
    </w:p>
    <w:p>
      <w:pPr>
        <w:pStyle w:val="BodyText"/>
      </w:pPr>
      <w:r>
        <w:rPr>
          <w:rFonts w:ascii="Times New Roman" w:eastAsia="Times New Roman"/>
        </w:rPr>
        <w:t>3</w:t>
      </w:r>
      <w:r>
        <w:rPr/>
        <w:t>、本基金管理人不从事以下行为：</w:t>
      </w:r>
    </w:p>
    <w:p>
      <w:pPr>
        <w:pStyle w:val="ListParagraph"/>
        <w:numPr>
          <w:ilvl w:val="0"/>
          <w:numId w:val="6"/>
        </w:numPr>
        <w:tabs>
          <w:tab w:pos="1170" w:val="left" w:leader="none"/>
        </w:tabs>
        <w:spacing w:line="240" w:lineRule="auto" w:before="194" w:after="0"/>
        <w:ind w:left="1169" w:right="0" w:hanging="530"/>
        <w:jc w:val="left"/>
        <w:rPr>
          <w:sz w:val="21"/>
        </w:rPr>
      </w:pPr>
      <w:r>
        <w:rPr>
          <w:spacing w:val="-3"/>
          <w:sz w:val="21"/>
        </w:rPr>
        <w:t>不公平地对待管理的不同基金财产。</w:t>
      </w:r>
    </w:p>
    <w:p>
      <w:pPr>
        <w:pStyle w:val="ListParagraph"/>
        <w:numPr>
          <w:ilvl w:val="0"/>
          <w:numId w:val="6"/>
        </w:numPr>
        <w:tabs>
          <w:tab w:pos="1170" w:val="left" w:leader="none"/>
        </w:tabs>
        <w:spacing w:line="240" w:lineRule="auto" w:before="187" w:after="0"/>
        <w:ind w:left="1169" w:right="0" w:hanging="530"/>
        <w:jc w:val="left"/>
        <w:rPr>
          <w:sz w:val="21"/>
        </w:rPr>
      </w:pPr>
      <w:r>
        <w:rPr>
          <w:spacing w:val="-3"/>
          <w:sz w:val="21"/>
        </w:rPr>
        <w:t>除法律法规规定以外，向任何第三方泄露客户资料。</w:t>
      </w:r>
    </w:p>
    <w:p>
      <w:pPr>
        <w:pStyle w:val="ListParagraph"/>
        <w:numPr>
          <w:ilvl w:val="0"/>
          <w:numId w:val="6"/>
        </w:numPr>
        <w:tabs>
          <w:tab w:pos="1170" w:val="left" w:leader="none"/>
        </w:tabs>
        <w:spacing w:line="240" w:lineRule="auto" w:before="190" w:after="0"/>
        <w:ind w:left="1169" w:right="0" w:hanging="530"/>
        <w:jc w:val="left"/>
        <w:rPr>
          <w:sz w:val="21"/>
        </w:rPr>
      </w:pPr>
      <w:r>
        <w:rPr>
          <w:spacing w:val="-3"/>
          <w:sz w:val="21"/>
        </w:rPr>
        <w:t>中国证监会禁止的其他行为。</w:t>
      </w:r>
    </w:p>
    <w:p>
      <w:pPr>
        <w:pStyle w:val="BodyText"/>
        <w:spacing w:before="6"/>
        <w:ind w:left="0"/>
        <w:rPr>
          <w:sz w:val="15"/>
        </w:rPr>
      </w:pPr>
    </w:p>
    <w:p>
      <w:pPr>
        <w:pStyle w:val="BodyText"/>
      </w:pPr>
      <w:r>
        <w:rPr>
          <w:rFonts w:ascii="Times New Roman" w:eastAsia="Times New Roman"/>
        </w:rPr>
        <w:t>4</w:t>
      </w:r>
      <w:r>
        <w:rPr/>
        <w:t>、基金经理承诺</w:t>
      </w:r>
    </w:p>
    <w:p>
      <w:pPr>
        <w:pStyle w:val="BodyText"/>
        <w:spacing w:before="7"/>
        <w:ind w:left="0"/>
        <w:rPr>
          <w:sz w:val="15"/>
        </w:rPr>
      </w:pPr>
    </w:p>
    <w:p>
      <w:pPr>
        <w:pStyle w:val="ListParagraph"/>
        <w:numPr>
          <w:ilvl w:val="0"/>
          <w:numId w:val="7"/>
        </w:numPr>
        <w:tabs>
          <w:tab w:pos="1170" w:val="left" w:leader="none"/>
        </w:tabs>
        <w:spacing w:line="417" w:lineRule="auto" w:before="0" w:after="0"/>
        <w:ind w:left="220" w:right="874" w:firstLine="419"/>
        <w:jc w:val="left"/>
        <w:rPr>
          <w:sz w:val="21"/>
        </w:rPr>
      </w:pPr>
      <w:r>
        <w:rPr>
          <w:spacing w:val="-3"/>
          <w:sz w:val="21"/>
        </w:rPr>
        <w:t>依照有关法律、法规和基金合同的规定，本着谨慎的原则为基金份额持有人谋取利益。</w:t>
      </w:r>
    </w:p>
    <w:p>
      <w:pPr>
        <w:pStyle w:val="ListParagraph"/>
        <w:numPr>
          <w:ilvl w:val="0"/>
          <w:numId w:val="7"/>
        </w:numPr>
        <w:tabs>
          <w:tab w:pos="1170" w:val="left" w:leader="none"/>
        </w:tabs>
        <w:spacing w:line="417" w:lineRule="auto" w:before="0" w:after="0"/>
        <w:ind w:left="220" w:right="874" w:firstLine="419"/>
        <w:jc w:val="left"/>
        <w:rPr>
          <w:sz w:val="21"/>
        </w:rPr>
      </w:pPr>
      <w:r>
        <w:rPr>
          <w:spacing w:val="-3"/>
          <w:sz w:val="21"/>
        </w:rPr>
        <w:t>不利用职务之便为自己、被代理人、被代表人、受雇人或任何其他第三人谋取不当利益。</w:t>
      </w:r>
    </w:p>
    <w:p>
      <w:pPr>
        <w:pStyle w:val="ListParagraph"/>
        <w:numPr>
          <w:ilvl w:val="0"/>
          <w:numId w:val="7"/>
        </w:numPr>
        <w:tabs>
          <w:tab w:pos="1170" w:val="left" w:leader="none"/>
        </w:tabs>
        <w:spacing w:line="417" w:lineRule="auto" w:before="0" w:after="0"/>
        <w:ind w:left="220" w:right="873" w:firstLine="419"/>
        <w:jc w:val="left"/>
        <w:rPr>
          <w:sz w:val="21"/>
        </w:rPr>
      </w:pPr>
      <w:r>
        <w:rPr>
          <w:spacing w:val="-3"/>
          <w:sz w:val="21"/>
        </w:rPr>
        <w:t>不泄漏在任职期间知悉的有关证券、基金的商业秘密，尚未依法公开的基金投资内容、基金投资计划等信息。</w:t>
      </w:r>
    </w:p>
    <w:p>
      <w:pPr>
        <w:pStyle w:val="BodyText"/>
        <w:spacing w:line="269" w:lineRule="exact"/>
        <w:ind w:left="654"/>
      </w:pPr>
      <w:r>
        <w:rPr/>
        <w:t>（五）基金管理人的内部控制制度</w:t>
      </w:r>
    </w:p>
    <w:p>
      <w:pPr>
        <w:pStyle w:val="BodyText"/>
        <w:spacing w:before="7"/>
        <w:ind w:left="0"/>
        <w:rPr>
          <w:sz w:val="15"/>
        </w:rPr>
      </w:pPr>
    </w:p>
    <w:p>
      <w:pPr>
        <w:pStyle w:val="BodyText"/>
        <w:spacing w:line="417" w:lineRule="auto"/>
        <w:ind w:left="220" w:right="986" w:firstLine="419"/>
        <w:jc w:val="both"/>
      </w:pPr>
      <w:r>
        <w:rPr>
          <w:spacing w:val="-3"/>
        </w:rPr>
        <w:t>基金管理人根据全面性原则、有效性原则、独立性原则、相互制约原则、防火墙原则和成本收益原则建立了一套比较完整的内部控制体系。该内部控制体系由一系列业务管理制度及相应的业务处理、控制程序组成，具体包括控制环境、风险评估、控制活动、信息</w:t>
      </w:r>
      <w:r>
        <w:rPr>
          <w:spacing w:val="-3"/>
          <w:w w:val="100"/>
        </w:rPr>
        <w:t>沟通、内部监控等要素。公司已经通过了</w:t>
      </w:r>
      <w:r>
        <w:rPr>
          <w:spacing w:val="-50"/>
        </w:rPr>
        <w:t> </w:t>
      </w:r>
      <w:r>
        <w:rPr>
          <w:rFonts w:ascii="Times New Roman" w:eastAsia="Times New Roman"/>
          <w:spacing w:val="-4"/>
          <w:w w:val="100"/>
        </w:rPr>
        <w:t>I</w:t>
      </w:r>
      <w:r>
        <w:rPr>
          <w:rFonts w:ascii="Times New Roman" w:eastAsia="Times New Roman"/>
          <w:w w:val="100"/>
        </w:rPr>
        <w:t>S</w:t>
      </w:r>
      <w:r>
        <w:rPr>
          <w:rFonts w:ascii="Times New Roman" w:eastAsia="Times New Roman"/>
          <w:spacing w:val="1"/>
          <w:w w:val="100"/>
        </w:rPr>
        <w:t>A</w:t>
      </w:r>
      <w:r>
        <w:rPr>
          <w:rFonts w:ascii="Times New Roman" w:eastAsia="Times New Roman"/>
          <w:w w:val="100"/>
        </w:rPr>
        <w:t>E</w:t>
      </w:r>
      <w:r>
        <w:rPr>
          <w:rFonts w:ascii="Times New Roman" w:eastAsia="Times New Roman"/>
          <w:spacing w:val="-2"/>
          <w:w w:val="100"/>
        </w:rPr>
        <w:t>3</w:t>
      </w:r>
      <w:r>
        <w:rPr>
          <w:rFonts w:ascii="Times New Roman" w:eastAsia="Times New Roman"/>
          <w:w w:val="100"/>
        </w:rPr>
        <w:t>40</w:t>
      </w:r>
      <w:r>
        <w:rPr>
          <w:rFonts w:ascii="Times New Roman" w:eastAsia="Times New Roman"/>
          <w:spacing w:val="-2"/>
          <w:w w:val="100"/>
        </w:rPr>
        <w:t>2</w:t>
      </w:r>
      <w:r>
        <w:rPr>
          <w:spacing w:val="-106"/>
          <w:w w:val="100"/>
        </w:rPr>
        <w:t>（</w:t>
      </w:r>
      <w:r>
        <w:rPr>
          <w:spacing w:val="-3"/>
          <w:w w:val="100"/>
        </w:rPr>
        <w:t>《鉴证业务国际准则第</w:t>
      </w:r>
      <w:r>
        <w:rPr>
          <w:spacing w:val="-53"/>
        </w:rPr>
        <w:t> </w:t>
      </w:r>
      <w:r>
        <w:rPr>
          <w:rFonts w:ascii="Times New Roman" w:eastAsia="Times New Roman"/>
          <w:spacing w:val="-3"/>
          <w:w w:val="100"/>
        </w:rPr>
        <w:t>3</w:t>
      </w:r>
      <w:r>
        <w:rPr>
          <w:rFonts w:ascii="Times New Roman" w:eastAsia="Times New Roman"/>
          <w:w w:val="100"/>
        </w:rPr>
        <w:t>402</w:t>
      </w:r>
      <w:r>
        <w:rPr>
          <w:rFonts w:ascii="Times New Roman" w:eastAsia="Times New Roman"/>
          <w:spacing w:val="3"/>
        </w:rPr>
        <w:t> </w:t>
      </w:r>
      <w:r>
        <w:rPr>
          <w:spacing w:val="-55"/>
          <w:w w:val="100"/>
        </w:rPr>
        <w:t>号》</w:t>
      </w:r>
      <w:r>
        <w:rPr>
          <w:spacing w:val="-3"/>
          <w:w w:val="100"/>
        </w:rPr>
        <w:t>）</w:t>
      </w:r>
      <w:r>
        <w:rPr>
          <w:w w:val="100"/>
        </w:rPr>
        <w:t>认</w:t>
      </w:r>
    </w:p>
    <w:p>
      <w:pPr>
        <w:spacing w:after="0" w:line="417" w:lineRule="auto"/>
        <w:jc w:val="both"/>
        <w:sectPr>
          <w:pgSz w:w="11910" w:h="16840"/>
          <w:pgMar w:header="705" w:footer="683" w:top="1420" w:bottom="880" w:left="1580" w:right="920"/>
        </w:sectPr>
      </w:pPr>
    </w:p>
    <w:p>
      <w:pPr>
        <w:pStyle w:val="BodyText"/>
        <w:spacing w:before="110"/>
        <w:ind w:left="220"/>
      </w:pPr>
      <w:r>
        <w:rPr/>
        <w:t>证，获得无保留意见的控制设计合理性及运行有效性的报告。</w:t>
      </w:r>
    </w:p>
    <w:p>
      <w:pPr>
        <w:pStyle w:val="BodyText"/>
        <w:spacing w:before="6"/>
        <w:ind w:left="0"/>
        <w:rPr>
          <w:sz w:val="15"/>
        </w:rPr>
      </w:pPr>
    </w:p>
    <w:p>
      <w:pPr>
        <w:pStyle w:val="BodyText"/>
      </w:pPr>
      <w:r>
        <w:rPr>
          <w:rFonts w:ascii="Times New Roman" w:eastAsia="Times New Roman"/>
        </w:rPr>
        <w:t>1</w:t>
      </w:r>
      <w:r>
        <w:rPr/>
        <w:t>、控制环境</w:t>
      </w:r>
    </w:p>
    <w:p>
      <w:pPr>
        <w:pStyle w:val="BodyText"/>
        <w:spacing w:before="7"/>
        <w:ind w:left="0"/>
        <w:rPr>
          <w:sz w:val="15"/>
        </w:rPr>
      </w:pPr>
    </w:p>
    <w:p>
      <w:pPr>
        <w:pStyle w:val="BodyText"/>
        <w:spacing w:line="417" w:lineRule="auto"/>
        <w:ind w:left="220" w:right="986" w:firstLine="419"/>
      </w:pPr>
      <w:r>
        <w:rPr/>
        <w:t>良好的控制环境包括科学的公司治理、有效的监督管理、合理的组织结构和有力的控制文化。</w:t>
      </w:r>
    </w:p>
    <w:p>
      <w:pPr>
        <w:pStyle w:val="ListParagraph"/>
        <w:numPr>
          <w:ilvl w:val="0"/>
          <w:numId w:val="8"/>
        </w:numPr>
        <w:tabs>
          <w:tab w:pos="1167" w:val="left" w:leader="none"/>
        </w:tabs>
        <w:spacing w:line="417" w:lineRule="auto" w:before="0" w:after="0"/>
        <w:ind w:left="220" w:right="991" w:firstLine="419"/>
        <w:jc w:val="left"/>
        <w:rPr>
          <w:sz w:val="21"/>
        </w:rPr>
      </w:pPr>
      <w:r>
        <w:rPr>
          <w:spacing w:val="-8"/>
          <w:sz w:val="21"/>
        </w:rPr>
        <w:t>公司引入了独立董事制度，目前有独立董事 </w:t>
      </w:r>
      <w:r>
        <w:rPr>
          <w:rFonts w:ascii="Times New Roman" w:eastAsia="Times New Roman"/>
          <w:sz w:val="21"/>
        </w:rPr>
        <w:t>3</w:t>
      </w:r>
      <w:r>
        <w:rPr>
          <w:rFonts w:ascii="Times New Roman" w:eastAsia="Times New Roman"/>
          <w:spacing w:val="10"/>
          <w:sz w:val="21"/>
        </w:rPr>
        <w:t> </w:t>
      </w:r>
      <w:r>
        <w:rPr>
          <w:spacing w:val="-7"/>
          <w:sz w:val="21"/>
        </w:rPr>
        <w:t>名。董事会下设审计委员会等专门</w:t>
      </w:r>
      <w:r>
        <w:rPr>
          <w:spacing w:val="-3"/>
          <w:sz w:val="21"/>
        </w:rPr>
        <w:t>委员会。公司管理层设立了投资决策委员会、风险管理委员会等专业委员会。</w:t>
      </w:r>
    </w:p>
    <w:p>
      <w:pPr>
        <w:pStyle w:val="ListParagraph"/>
        <w:numPr>
          <w:ilvl w:val="0"/>
          <w:numId w:val="8"/>
        </w:numPr>
        <w:tabs>
          <w:tab w:pos="1170" w:val="left" w:leader="none"/>
        </w:tabs>
        <w:spacing w:line="417" w:lineRule="auto" w:before="0" w:after="0"/>
        <w:ind w:left="220" w:right="989" w:firstLine="419"/>
        <w:jc w:val="left"/>
        <w:rPr>
          <w:sz w:val="21"/>
        </w:rPr>
      </w:pPr>
      <w:r>
        <w:rPr>
          <w:spacing w:val="-7"/>
          <w:sz w:val="21"/>
        </w:rPr>
        <w:t>公司各部门之间有明确的授权分工，既互相合作，又互相核对和制衡，形成了 </w:t>
      </w:r>
      <w:r>
        <w:rPr>
          <w:spacing w:val="-2"/>
          <w:sz w:val="21"/>
        </w:rPr>
        <w:t>合理的组织结构。</w:t>
      </w:r>
    </w:p>
    <w:p>
      <w:pPr>
        <w:pStyle w:val="ListParagraph"/>
        <w:numPr>
          <w:ilvl w:val="0"/>
          <w:numId w:val="8"/>
        </w:numPr>
        <w:tabs>
          <w:tab w:pos="1167" w:val="left" w:leader="none"/>
        </w:tabs>
        <w:spacing w:line="417" w:lineRule="auto" w:before="0" w:after="0"/>
        <w:ind w:left="220" w:right="986" w:firstLine="419"/>
        <w:jc w:val="left"/>
        <w:rPr>
          <w:sz w:val="21"/>
        </w:rPr>
      </w:pPr>
      <w:r>
        <w:rPr>
          <w:spacing w:val="-7"/>
          <w:sz w:val="21"/>
        </w:rPr>
        <w:t>公司坚持稳健经营和规范运作，重视员工的合规守法意识和职业道德的培养， </w:t>
      </w:r>
      <w:r>
        <w:rPr>
          <w:spacing w:val="-2"/>
          <w:sz w:val="21"/>
        </w:rPr>
        <w:t>并进行持续教育。</w:t>
      </w:r>
    </w:p>
    <w:p>
      <w:pPr>
        <w:pStyle w:val="BodyText"/>
        <w:spacing w:line="269" w:lineRule="exact"/>
      </w:pPr>
      <w:r>
        <w:rPr>
          <w:rFonts w:ascii="Times New Roman" w:eastAsia="Times New Roman"/>
        </w:rPr>
        <w:t>2</w:t>
      </w:r>
      <w:r>
        <w:rPr/>
        <w:t>、风险评估</w:t>
      </w:r>
    </w:p>
    <w:p>
      <w:pPr>
        <w:pStyle w:val="BodyText"/>
        <w:spacing w:before="6"/>
        <w:ind w:left="0"/>
        <w:rPr>
          <w:sz w:val="15"/>
        </w:rPr>
      </w:pPr>
    </w:p>
    <w:p>
      <w:pPr>
        <w:pStyle w:val="BodyText"/>
        <w:spacing w:line="417" w:lineRule="auto" w:before="1"/>
        <w:ind w:left="220" w:right="881" w:firstLine="419"/>
      </w:pPr>
      <w:r>
        <w:rPr>
          <w:spacing w:val="-8"/>
        </w:rPr>
        <w:t>公司各层面和各业务部门在确定各自的目标后，对影响目标实现的风险因素进行分析。</w:t>
      </w:r>
      <w:r>
        <w:rPr>
          <w:spacing w:val="-16"/>
        </w:rPr>
        <w:t>对于不可控风险，风险评估的目的是决定是否承担该风险或减少相关业务；对于可控风险， </w:t>
      </w:r>
      <w:r>
        <w:rPr>
          <w:spacing w:val="-7"/>
        </w:rPr>
        <w:t>风险评估的目的是分析如何通过制度安排来控制风险程度。风险评估还包括各业务部门对</w:t>
      </w:r>
      <w:r>
        <w:rPr>
          <w:spacing w:val="-5"/>
        </w:rPr>
        <w:t>日常工作中新出现的风险进行再评估并完善相应的制度，以及新业务设计过程中评估相关</w:t>
      </w:r>
      <w:r>
        <w:rPr>
          <w:spacing w:val="-4"/>
        </w:rPr>
        <w:t>风险并制定风险控制制度。</w:t>
      </w:r>
    </w:p>
    <w:p>
      <w:pPr>
        <w:pStyle w:val="BodyText"/>
        <w:spacing w:line="269" w:lineRule="exact"/>
      </w:pPr>
      <w:r>
        <w:rPr>
          <w:rFonts w:ascii="Times New Roman" w:eastAsia="Times New Roman"/>
        </w:rPr>
        <w:t>3</w:t>
      </w:r>
      <w:r>
        <w:rPr/>
        <w:t>、控制活动</w:t>
      </w:r>
    </w:p>
    <w:p>
      <w:pPr>
        <w:pStyle w:val="BodyText"/>
        <w:spacing w:before="6"/>
        <w:ind w:left="0"/>
        <w:rPr>
          <w:sz w:val="15"/>
        </w:rPr>
      </w:pPr>
    </w:p>
    <w:p>
      <w:pPr>
        <w:pStyle w:val="BodyText"/>
        <w:spacing w:line="417" w:lineRule="auto"/>
        <w:ind w:left="220" w:right="986" w:firstLine="419"/>
        <w:jc w:val="both"/>
      </w:pPr>
      <w:r>
        <w:rPr>
          <w:spacing w:val="-3"/>
        </w:rPr>
        <w:t>公司对投资、会计、技术系统和人力资源等主要业务制定了严格的控制制度。在业务管理制度上，做到了业务操作流程的科学、合理和标准化，并要求完整的记录、保存和严格的检查、复核；在岗位责任制度上，内部岗位分工合理、职责明确，不相容的职务、岗位分离设置，相互检查、相互制约。</w:t>
      </w:r>
    </w:p>
    <w:p>
      <w:pPr>
        <w:pStyle w:val="ListParagraph"/>
        <w:numPr>
          <w:ilvl w:val="0"/>
          <w:numId w:val="9"/>
        </w:numPr>
        <w:tabs>
          <w:tab w:pos="1170" w:val="left" w:leader="none"/>
        </w:tabs>
        <w:spacing w:line="240" w:lineRule="auto" w:before="0" w:after="0"/>
        <w:ind w:left="1169" w:right="0" w:hanging="530"/>
        <w:jc w:val="left"/>
        <w:rPr>
          <w:sz w:val="21"/>
        </w:rPr>
      </w:pPr>
      <w:r>
        <w:rPr>
          <w:spacing w:val="-3"/>
          <w:sz w:val="21"/>
        </w:rPr>
        <w:t>投资控制制度</w:t>
      </w:r>
    </w:p>
    <w:p>
      <w:pPr>
        <w:pStyle w:val="BodyText"/>
        <w:spacing w:before="7"/>
        <w:ind w:left="0"/>
        <w:rPr>
          <w:sz w:val="15"/>
        </w:rPr>
      </w:pPr>
    </w:p>
    <w:p>
      <w:pPr>
        <w:pStyle w:val="BodyText"/>
        <w:spacing w:line="417" w:lineRule="auto"/>
        <w:ind w:left="220" w:right="986" w:firstLine="419"/>
        <w:jc w:val="both"/>
      </w:pPr>
      <w:r>
        <w:rPr/>
        <w:t>投资决策委员会是公司的最高投资决策机构，负责资产配置和重大投资决策等；基金经理小组负责在投资决策委员会资产配置基础上进行组合构建，基金经理领导基金经理小组在基金合同和投资决策权限范围内进行日常投资运作；交易管理部负责所有交易的集中执行。</w:t>
      </w:r>
    </w:p>
    <w:p>
      <w:pPr>
        <w:pStyle w:val="BodyText"/>
        <w:spacing w:line="417" w:lineRule="auto"/>
        <w:ind w:left="220" w:right="986" w:firstLine="419"/>
      </w:pPr>
      <w:r>
        <w:rPr/>
        <w:t>①投资决策与执行相分离。投资管理决策职能和交易执行职能严格隔离，实行集中交易制度，建立和完善公平的交易分配制度，确保各投资组合享有公平的交易执行机会。</w:t>
      </w:r>
    </w:p>
    <w:p>
      <w:pPr>
        <w:pStyle w:val="BodyText"/>
        <w:spacing w:line="417" w:lineRule="auto"/>
        <w:ind w:left="220" w:right="986" w:firstLine="419"/>
      </w:pPr>
      <w:r>
        <w:rPr/>
        <w:t>②投资授权控制。建立明确的投资决策授权制度，防止越权决策。投资决策委员会负责制定投资原则并审定资产配置比例；基金经理小组在投资决策委员会确定的范围内，负</w:t>
      </w:r>
    </w:p>
    <w:p>
      <w:pPr>
        <w:spacing w:after="0" w:line="417" w:lineRule="auto"/>
        <w:sectPr>
          <w:pgSz w:w="11910" w:h="16840"/>
          <w:pgMar w:header="705" w:footer="683" w:top="1420" w:bottom="880" w:left="1580" w:right="920"/>
        </w:sectPr>
      </w:pPr>
    </w:p>
    <w:p>
      <w:pPr>
        <w:pStyle w:val="BodyText"/>
        <w:spacing w:line="417" w:lineRule="auto" w:before="110"/>
        <w:ind w:left="220" w:right="986"/>
        <w:jc w:val="both"/>
      </w:pPr>
      <w:r>
        <w:rPr/>
        <w:t>责确定与实施投资策略、建立和调整投资组合并下达投资指令，对于超过投资权限的操作需要经过严格的审批程序；交易管理部依据基金经理或基金经理授权的小组成员的指令负责交易执行。</w:t>
      </w:r>
    </w:p>
    <w:p>
      <w:pPr>
        <w:pStyle w:val="BodyText"/>
        <w:spacing w:line="417" w:lineRule="auto"/>
        <w:ind w:left="220" w:right="986" w:firstLine="419"/>
      </w:pPr>
      <w:r>
        <w:rPr/>
        <w:t>③警示性控制。按照法规或公司规定设置各类资产投资比例的预警线，交易系统在投资比例达到接近限制比例前的某一数值时自动预警。</w:t>
      </w:r>
    </w:p>
    <w:p>
      <w:pPr>
        <w:pStyle w:val="BodyText"/>
        <w:spacing w:line="417" w:lineRule="auto"/>
        <w:ind w:left="220" w:right="986" w:firstLine="419"/>
      </w:pPr>
      <w:r>
        <w:rPr/>
        <w:t>④禁止性控制。根据法律、法规和公司相关规定，基金禁止投资受限制的证券并禁止从事受限制的行为。交易系统通过预先的设定，对上述禁止进行自动提示和限制。</w:t>
      </w:r>
    </w:p>
    <w:p>
      <w:pPr>
        <w:pStyle w:val="BodyText"/>
        <w:spacing w:line="417" w:lineRule="auto"/>
        <w:ind w:left="220" w:right="986" w:firstLine="419"/>
      </w:pPr>
      <w:r>
        <w:rPr/>
        <w:t>⑤多重监控和反馈。交易管理部对投资行为进行一线监控；风险管理部进行事中的监控；监察稽核部门进行事后的监控。在监控中如发现异常情况将及时反馈并督促调整。</w:t>
      </w:r>
    </w:p>
    <w:p>
      <w:pPr>
        <w:pStyle w:val="ListParagraph"/>
        <w:numPr>
          <w:ilvl w:val="0"/>
          <w:numId w:val="9"/>
        </w:numPr>
        <w:tabs>
          <w:tab w:pos="1170" w:val="left" w:leader="none"/>
        </w:tabs>
        <w:spacing w:line="269" w:lineRule="exact" w:before="0" w:after="0"/>
        <w:ind w:left="1169" w:right="0" w:hanging="530"/>
        <w:jc w:val="left"/>
        <w:rPr>
          <w:sz w:val="21"/>
        </w:rPr>
      </w:pPr>
      <w:r>
        <w:rPr>
          <w:spacing w:val="-3"/>
          <w:sz w:val="21"/>
        </w:rPr>
        <w:t>会计控制制度</w:t>
      </w:r>
    </w:p>
    <w:p>
      <w:pPr>
        <w:pStyle w:val="BodyText"/>
        <w:spacing w:before="6"/>
        <w:ind w:left="0"/>
        <w:rPr>
          <w:sz w:val="15"/>
        </w:rPr>
      </w:pPr>
    </w:p>
    <w:p>
      <w:pPr>
        <w:pStyle w:val="BodyText"/>
      </w:pPr>
      <w:r>
        <w:rPr/>
        <w:t>①建立了基金会计的工作制度及相应的操作和控制规程，确保会计业务有章可循。</w:t>
      </w:r>
    </w:p>
    <w:p>
      <w:pPr>
        <w:pStyle w:val="BodyText"/>
        <w:spacing w:before="6"/>
        <w:ind w:left="0"/>
        <w:rPr>
          <w:sz w:val="15"/>
        </w:rPr>
      </w:pPr>
    </w:p>
    <w:p>
      <w:pPr>
        <w:pStyle w:val="BodyText"/>
        <w:spacing w:line="417" w:lineRule="auto" w:before="1"/>
        <w:ind w:left="220" w:right="986" w:firstLine="419"/>
      </w:pPr>
      <w:r>
        <w:rPr/>
        <w:t>②按照相互制约原则，建立了基金会计业务的复核制度以及与托管人相关业务的相互核查监督制度。</w:t>
      </w:r>
    </w:p>
    <w:p>
      <w:pPr>
        <w:pStyle w:val="BodyText"/>
        <w:spacing w:line="269" w:lineRule="exact"/>
      </w:pPr>
      <w:r>
        <w:rPr/>
        <w:t>③为了防范基金会计在资金头寸管理上出现透支风险，制定了资金头寸管理制度。</w:t>
      </w:r>
    </w:p>
    <w:p>
      <w:pPr>
        <w:pStyle w:val="BodyText"/>
        <w:spacing w:before="7"/>
        <w:ind w:left="0"/>
        <w:rPr>
          <w:sz w:val="15"/>
        </w:rPr>
      </w:pPr>
    </w:p>
    <w:p>
      <w:pPr>
        <w:pStyle w:val="BodyText"/>
      </w:pPr>
      <w:r>
        <w:rPr/>
        <w:t>④制定了完善的档案保管和财务交接制度。</w:t>
      </w:r>
    </w:p>
    <w:p>
      <w:pPr>
        <w:pStyle w:val="BodyText"/>
        <w:spacing w:before="6"/>
        <w:ind w:left="0"/>
        <w:rPr>
          <w:sz w:val="15"/>
        </w:rPr>
      </w:pPr>
    </w:p>
    <w:p>
      <w:pPr>
        <w:pStyle w:val="ListParagraph"/>
        <w:numPr>
          <w:ilvl w:val="0"/>
          <w:numId w:val="9"/>
        </w:numPr>
        <w:tabs>
          <w:tab w:pos="1170" w:val="left" w:leader="none"/>
        </w:tabs>
        <w:spacing w:line="240" w:lineRule="auto" w:before="1" w:after="0"/>
        <w:ind w:left="1169" w:right="0" w:hanging="530"/>
        <w:jc w:val="left"/>
        <w:rPr>
          <w:sz w:val="21"/>
        </w:rPr>
      </w:pPr>
      <w:r>
        <w:rPr>
          <w:spacing w:val="-3"/>
          <w:sz w:val="21"/>
        </w:rPr>
        <w:t>技术系统控制制度</w:t>
      </w:r>
    </w:p>
    <w:p>
      <w:pPr>
        <w:pStyle w:val="BodyText"/>
        <w:spacing w:before="6"/>
        <w:ind w:left="0"/>
        <w:rPr>
          <w:sz w:val="15"/>
        </w:rPr>
      </w:pPr>
    </w:p>
    <w:p>
      <w:pPr>
        <w:pStyle w:val="BodyText"/>
        <w:spacing w:line="417" w:lineRule="auto"/>
        <w:ind w:left="220" w:right="986" w:firstLine="419"/>
        <w:jc w:val="both"/>
      </w:pPr>
      <w:r>
        <w:rPr/>
        <w:t>为保证技术系统的安全稳定运行，公司对硬件设备的安全运行、数据传输与网络安全管理、软硬件的维护、数据的备份、信息技术人员操作管理、危机处理等方面都制定了完善的制度。</w:t>
      </w:r>
    </w:p>
    <w:p>
      <w:pPr>
        <w:pStyle w:val="ListParagraph"/>
        <w:numPr>
          <w:ilvl w:val="0"/>
          <w:numId w:val="9"/>
        </w:numPr>
        <w:tabs>
          <w:tab w:pos="1170" w:val="left" w:leader="none"/>
        </w:tabs>
        <w:spacing w:line="269" w:lineRule="exact" w:before="0" w:after="0"/>
        <w:ind w:left="1169" w:right="0" w:hanging="530"/>
        <w:jc w:val="left"/>
        <w:rPr>
          <w:sz w:val="21"/>
        </w:rPr>
      </w:pPr>
      <w:r>
        <w:rPr>
          <w:spacing w:val="-3"/>
          <w:sz w:val="21"/>
        </w:rPr>
        <w:t>人力资源管理制度</w:t>
      </w:r>
    </w:p>
    <w:p>
      <w:pPr>
        <w:pStyle w:val="BodyText"/>
        <w:spacing w:before="7"/>
        <w:ind w:left="0"/>
        <w:rPr>
          <w:sz w:val="15"/>
        </w:rPr>
      </w:pPr>
    </w:p>
    <w:p>
      <w:pPr>
        <w:pStyle w:val="BodyText"/>
        <w:spacing w:line="417" w:lineRule="auto"/>
        <w:ind w:left="220" w:right="986" w:firstLine="419"/>
      </w:pPr>
      <w:r>
        <w:rPr/>
        <w:t>公司建立了科学的招聘解聘制度、培训制度、考核制度、薪酬制度等人事管理制度， 确保人力资源的有效管理。</w:t>
      </w:r>
    </w:p>
    <w:p>
      <w:pPr>
        <w:pStyle w:val="ListParagraph"/>
        <w:numPr>
          <w:ilvl w:val="0"/>
          <w:numId w:val="9"/>
        </w:numPr>
        <w:tabs>
          <w:tab w:pos="1170" w:val="left" w:leader="none"/>
        </w:tabs>
        <w:spacing w:line="240" w:lineRule="auto" w:before="0" w:after="0"/>
        <w:ind w:left="1169" w:right="0" w:hanging="530"/>
        <w:jc w:val="left"/>
        <w:rPr>
          <w:sz w:val="21"/>
        </w:rPr>
      </w:pPr>
      <w:r>
        <w:rPr>
          <w:spacing w:val="-2"/>
          <w:sz w:val="21"/>
        </w:rPr>
        <w:t>监察制度</w:t>
      </w:r>
    </w:p>
    <w:p>
      <w:pPr>
        <w:pStyle w:val="BodyText"/>
        <w:spacing w:before="7"/>
        <w:ind w:left="0"/>
        <w:rPr>
          <w:sz w:val="15"/>
        </w:rPr>
      </w:pPr>
    </w:p>
    <w:p>
      <w:pPr>
        <w:pStyle w:val="BodyText"/>
        <w:spacing w:line="417" w:lineRule="auto"/>
        <w:ind w:left="220" w:right="986" w:firstLine="419"/>
      </w:pPr>
      <w:r>
        <w:rPr/>
        <w:t>公司设立了监察部门，负责公司的法律事务和监察工作。监察制度包括违规行为的调查程序和处理制度，以及对员工行为的监察。</w:t>
      </w:r>
    </w:p>
    <w:p>
      <w:pPr>
        <w:pStyle w:val="ListParagraph"/>
        <w:numPr>
          <w:ilvl w:val="0"/>
          <w:numId w:val="9"/>
        </w:numPr>
        <w:tabs>
          <w:tab w:pos="1170" w:val="left" w:leader="none"/>
        </w:tabs>
        <w:spacing w:line="269" w:lineRule="exact" w:before="0" w:after="0"/>
        <w:ind w:left="1169" w:right="0" w:hanging="530"/>
        <w:jc w:val="left"/>
        <w:rPr>
          <w:sz w:val="21"/>
        </w:rPr>
      </w:pPr>
      <w:r>
        <w:rPr>
          <w:spacing w:val="-3"/>
          <w:sz w:val="21"/>
        </w:rPr>
        <w:t>反洗钱制度</w:t>
      </w:r>
    </w:p>
    <w:p>
      <w:pPr>
        <w:pStyle w:val="BodyText"/>
        <w:spacing w:before="7"/>
        <w:ind w:left="0"/>
        <w:rPr>
          <w:sz w:val="15"/>
        </w:rPr>
      </w:pPr>
    </w:p>
    <w:p>
      <w:pPr>
        <w:pStyle w:val="BodyText"/>
        <w:spacing w:line="417" w:lineRule="auto"/>
        <w:ind w:left="220" w:right="986" w:firstLine="419"/>
        <w:jc w:val="both"/>
      </w:pPr>
      <w:r>
        <w:rPr/>
        <w:t>公司设立了反洗钱工作小组作为反洗钱工作的专门机构，指定专门人员负责反洗钱和反恐融资合规管理工作；各相关部门设立了反洗钱岗位，配备反洗钱负责人员。除建立健全反洗钱组织体系外，公司还制定了《反洗钱工作内部控制制度》及相关业务操作规程， 确保依法切实履行金融机构反洗钱义务。</w:t>
      </w:r>
    </w:p>
    <w:p>
      <w:pPr>
        <w:spacing w:after="0" w:line="417" w:lineRule="auto"/>
        <w:jc w:val="both"/>
        <w:sectPr>
          <w:pgSz w:w="11910" w:h="16840"/>
          <w:pgMar w:header="705" w:footer="683" w:top="1420" w:bottom="880" w:left="1580" w:right="920"/>
        </w:sectPr>
      </w:pPr>
    </w:p>
    <w:p>
      <w:pPr>
        <w:pStyle w:val="BodyText"/>
        <w:spacing w:before="110"/>
      </w:pPr>
      <w:r>
        <w:rPr>
          <w:rFonts w:ascii="Times New Roman" w:eastAsia="Times New Roman"/>
        </w:rPr>
        <w:t>4</w:t>
      </w:r>
      <w:r>
        <w:rPr/>
        <w:t>、信息沟通</w:t>
      </w:r>
    </w:p>
    <w:p>
      <w:pPr>
        <w:pStyle w:val="BodyText"/>
        <w:spacing w:before="6"/>
        <w:ind w:left="0"/>
        <w:rPr>
          <w:sz w:val="15"/>
        </w:rPr>
      </w:pPr>
    </w:p>
    <w:p>
      <w:pPr>
        <w:pStyle w:val="BodyText"/>
        <w:spacing w:line="417" w:lineRule="auto"/>
        <w:ind w:left="220" w:right="881" w:firstLine="419"/>
      </w:pPr>
      <w:r>
        <w:rPr>
          <w:spacing w:val="-8"/>
        </w:rPr>
        <w:t>公司建立了内部办公自动化信息系统与业务汇报体系，通过建立有效的信息交流渠道， </w:t>
      </w:r>
      <w:r>
        <w:rPr>
          <w:spacing w:val="-5"/>
        </w:rPr>
        <w:t>公司员工及各级管理人员可以充分了解与其职责相关的信息，信息及时送交适当的人员进</w:t>
      </w:r>
      <w:r>
        <w:rPr>
          <w:spacing w:val="-4"/>
        </w:rPr>
        <w:t>行处理。目前公司业务均已做到了办公自动化，不同的人员根据其业务性质及层级具有不</w:t>
      </w:r>
      <w:r>
        <w:rPr>
          <w:spacing w:val="-3"/>
        </w:rPr>
        <w:t>同的权限。</w:t>
      </w:r>
    </w:p>
    <w:p>
      <w:pPr>
        <w:pStyle w:val="BodyText"/>
        <w:spacing w:line="268" w:lineRule="exact"/>
      </w:pPr>
      <w:r>
        <w:rPr>
          <w:rFonts w:ascii="Times New Roman" w:eastAsia="Times New Roman"/>
        </w:rPr>
        <w:t>5</w:t>
      </w:r>
      <w:r>
        <w:rPr/>
        <w:t>、内部监控</w:t>
      </w:r>
    </w:p>
    <w:p>
      <w:pPr>
        <w:pStyle w:val="BodyText"/>
        <w:spacing w:before="7"/>
        <w:ind w:left="0"/>
        <w:rPr>
          <w:sz w:val="15"/>
        </w:rPr>
      </w:pPr>
    </w:p>
    <w:p>
      <w:pPr>
        <w:pStyle w:val="BodyText"/>
        <w:spacing w:line="417" w:lineRule="auto"/>
        <w:ind w:left="220" w:right="986" w:firstLine="419"/>
        <w:jc w:val="both"/>
      </w:pPr>
      <w:r>
        <w:rPr/>
        <w:t>公司设立了独立于各业务部门的稽核部门，通过定期或不定期检查，评价公司内部控制制度合理性、完备性和有效性，监督公司各项内部控制制度的执行情况，确保公司各项经营管理活动的有效运行。</w:t>
      </w:r>
    </w:p>
    <w:p>
      <w:pPr>
        <w:pStyle w:val="BodyText"/>
      </w:pPr>
      <w:r>
        <w:rPr>
          <w:rFonts w:ascii="Times New Roman" w:eastAsia="Times New Roman"/>
        </w:rPr>
        <w:t>6</w:t>
      </w:r>
      <w:r>
        <w:rPr/>
        <w:t>、基金管理人关于内部控制的声明</w:t>
      </w:r>
    </w:p>
    <w:p>
      <w:pPr>
        <w:pStyle w:val="BodyText"/>
        <w:spacing w:before="7"/>
        <w:ind w:left="0"/>
        <w:rPr>
          <w:sz w:val="15"/>
        </w:rPr>
      </w:pPr>
    </w:p>
    <w:p>
      <w:pPr>
        <w:pStyle w:val="ListParagraph"/>
        <w:numPr>
          <w:ilvl w:val="0"/>
          <w:numId w:val="10"/>
        </w:numPr>
        <w:tabs>
          <w:tab w:pos="1170" w:val="left" w:leader="none"/>
        </w:tabs>
        <w:spacing w:line="240" w:lineRule="auto" w:before="0" w:after="0"/>
        <w:ind w:left="1169" w:right="0" w:hanging="530"/>
        <w:jc w:val="left"/>
        <w:rPr>
          <w:sz w:val="21"/>
        </w:rPr>
      </w:pPr>
      <w:r>
        <w:rPr>
          <w:spacing w:val="-3"/>
          <w:sz w:val="21"/>
        </w:rPr>
        <w:t>本公司确知建立、实施和维持内部控制制度是本公司董事会及管理层的责任。</w:t>
      </w:r>
    </w:p>
    <w:p>
      <w:pPr>
        <w:pStyle w:val="BodyText"/>
        <w:spacing w:before="7"/>
        <w:ind w:left="0"/>
        <w:rPr>
          <w:sz w:val="15"/>
        </w:rPr>
      </w:pPr>
    </w:p>
    <w:p>
      <w:pPr>
        <w:pStyle w:val="ListParagraph"/>
        <w:numPr>
          <w:ilvl w:val="0"/>
          <w:numId w:val="10"/>
        </w:numPr>
        <w:tabs>
          <w:tab w:pos="1170" w:val="left" w:leader="none"/>
        </w:tabs>
        <w:spacing w:line="240" w:lineRule="auto" w:before="0" w:after="0"/>
        <w:ind w:left="1169" w:right="0" w:hanging="530"/>
        <w:jc w:val="left"/>
        <w:rPr>
          <w:sz w:val="21"/>
        </w:rPr>
      </w:pPr>
      <w:r>
        <w:rPr>
          <w:spacing w:val="-3"/>
          <w:sz w:val="21"/>
        </w:rPr>
        <w:t>上述关于内部控制的披露真实、准确。</w:t>
      </w:r>
    </w:p>
    <w:p>
      <w:pPr>
        <w:pStyle w:val="BodyText"/>
        <w:spacing w:before="6"/>
        <w:ind w:left="0"/>
        <w:rPr>
          <w:sz w:val="15"/>
        </w:rPr>
      </w:pPr>
    </w:p>
    <w:p>
      <w:pPr>
        <w:pStyle w:val="ListParagraph"/>
        <w:numPr>
          <w:ilvl w:val="0"/>
          <w:numId w:val="10"/>
        </w:numPr>
        <w:tabs>
          <w:tab w:pos="1170" w:val="left" w:leader="none"/>
        </w:tabs>
        <w:spacing w:line="722" w:lineRule="auto" w:before="1" w:after="0"/>
        <w:ind w:left="3578" w:right="1514" w:hanging="2939"/>
        <w:jc w:val="left"/>
        <w:rPr>
          <w:b/>
          <w:sz w:val="21"/>
        </w:rPr>
      </w:pPr>
      <w:r>
        <w:rPr>
          <w:spacing w:val="-3"/>
          <w:sz w:val="21"/>
        </w:rPr>
        <w:t>本公司承诺将根据市场环境的变化及公司的发展不断完善内部控制制度。</w:t>
      </w:r>
      <w:bookmarkStart w:name="_bookmark6" w:id="7"/>
      <w:bookmarkEnd w:id="7"/>
      <w:r>
        <w:rPr>
          <w:spacing w:val="-3"/>
          <w:sz w:val="21"/>
        </w:rPr>
      </w:r>
      <w:r>
        <w:rPr>
          <w:b/>
          <w:spacing w:val="-3"/>
          <w:sz w:val="21"/>
        </w:rPr>
        <w:t>七、基金的募集</w:t>
      </w:r>
    </w:p>
    <w:p>
      <w:pPr>
        <w:pStyle w:val="BodyText"/>
        <w:spacing w:line="255" w:lineRule="exact"/>
      </w:pPr>
      <w:r>
        <w:rPr/>
        <w:t>（一）基金的募集情况</w:t>
      </w:r>
    </w:p>
    <w:p>
      <w:pPr>
        <w:pStyle w:val="BodyText"/>
        <w:spacing w:before="6"/>
        <w:ind w:left="0"/>
        <w:rPr>
          <w:sz w:val="15"/>
        </w:rPr>
      </w:pPr>
    </w:p>
    <w:p>
      <w:pPr>
        <w:pStyle w:val="BodyText"/>
        <w:spacing w:line="417" w:lineRule="auto"/>
        <w:ind w:left="220" w:right="883" w:firstLine="419"/>
      </w:pPr>
      <w:r>
        <w:rPr>
          <w:spacing w:val="-13"/>
        </w:rPr>
        <w:t>本基金由基金管理人依照《基金法》</w:t>
      </w:r>
      <w:r>
        <w:rPr>
          <w:spacing w:val="-28"/>
        </w:rPr>
        <w:t>、《运作办法》、《销售办法》、基金合同及其他有关</w:t>
      </w:r>
      <w:r>
        <w:rPr>
          <w:spacing w:val="-18"/>
        </w:rPr>
        <w:t>规定募集。本基金募集申请已经中国证监会 </w:t>
      </w:r>
      <w:r>
        <w:rPr>
          <w:rFonts w:ascii="Times New Roman" w:eastAsia="Times New Roman"/>
        </w:rPr>
        <w:t>2012 </w:t>
      </w:r>
      <w:r>
        <w:rPr>
          <w:spacing w:val="-30"/>
        </w:rPr>
        <w:t>年 </w:t>
      </w:r>
      <w:r>
        <w:rPr>
          <w:rFonts w:ascii="Times New Roman" w:eastAsia="Times New Roman"/>
        </w:rPr>
        <w:t>6 </w:t>
      </w:r>
      <w:r>
        <w:rPr>
          <w:spacing w:val="-31"/>
        </w:rPr>
        <w:t>月 </w:t>
      </w:r>
      <w:r>
        <w:rPr>
          <w:rFonts w:ascii="Times New Roman" w:eastAsia="Times New Roman"/>
        </w:rPr>
        <w:t>14 </w:t>
      </w:r>
      <w:r>
        <w:rPr>
          <w:spacing w:val="-3"/>
        </w:rPr>
        <w:t>日证监许可</w:t>
      </w:r>
      <w:r>
        <w:rPr>
          <w:rFonts w:ascii="Times New Roman" w:eastAsia="Times New Roman"/>
        </w:rPr>
        <w:t>[2012]822 </w:t>
      </w:r>
      <w:r>
        <w:rPr>
          <w:spacing w:val="-3"/>
        </w:rPr>
        <w:t>号文核准。</w:t>
      </w:r>
    </w:p>
    <w:p>
      <w:pPr>
        <w:pStyle w:val="BodyText"/>
        <w:spacing w:line="269" w:lineRule="exact"/>
        <w:ind w:left="654"/>
      </w:pPr>
      <w:r>
        <w:rPr/>
        <w:t>本基金为</w:t>
      </w:r>
      <w:r>
        <w:rPr>
          <w:rFonts w:ascii="Times New Roman" w:eastAsia="Times New Roman"/>
        </w:rPr>
        <w:t>ETF </w:t>
      </w:r>
      <w:r>
        <w:rPr/>
        <w:t>联接基金，运作方式为契约型开放式，基金存续期限为不定期。</w:t>
      </w:r>
    </w:p>
    <w:p>
      <w:pPr>
        <w:pStyle w:val="BodyText"/>
        <w:spacing w:before="7"/>
        <w:ind w:left="0"/>
        <w:rPr>
          <w:sz w:val="15"/>
        </w:rPr>
      </w:pPr>
    </w:p>
    <w:p>
      <w:pPr>
        <w:pStyle w:val="BodyText"/>
        <w:spacing w:line="417" w:lineRule="auto"/>
        <w:ind w:left="220" w:right="768" w:firstLine="407"/>
      </w:pPr>
      <w:r>
        <w:rPr>
          <w:spacing w:val="-3"/>
        </w:rPr>
        <w:t>本基金人民币发售价格为基金份额初始面值</w:t>
      </w:r>
      <w:r>
        <w:rPr>
          <w:rFonts w:ascii="Times New Roman" w:eastAsia="Times New Roman"/>
        </w:rPr>
        <w:t>1.00</w:t>
      </w:r>
      <w:r>
        <w:rPr>
          <w:spacing w:val="-3"/>
        </w:rPr>
        <w:t>元；美元发售价格为</w:t>
      </w:r>
      <w:r>
        <w:rPr>
          <w:rFonts w:ascii="Times New Roman" w:eastAsia="Times New Roman"/>
        </w:rPr>
        <w:t>1.00</w:t>
      </w:r>
      <w:r>
        <w:rPr>
          <w:spacing w:val="-3"/>
        </w:rPr>
        <w:t>元除以募集期最后一日中国人民银行最新公布的人民币对美元汇率中间价，计算结果按照四舍五入方法， 保留小数点后四位。</w:t>
      </w:r>
    </w:p>
    <w:p>
      <w:pPr>
        <w:pStyle w:val="BodyText"/>
        <w:ind w:left="654"/>
      </w:pPr>
      <w:r>
        <w:rPr/>
        <w:t>本基金自 </w:t>
      </w:r>
      <w:r>
        <w:rPr>
          <w:rFonts w:ascii="Times New Roman" w:eastAsia="Times New Roman"/>
        </w:rPr>
        <w:t>2012 </w:t>
      </w:r>
      <w:r>
        <w:rPr/>
        <w:t>年 </w:t>
      </w:r>
      <w:r>
        <w:rPr>
          <w:rFonts w:ascii="Times New Roman" w:eastAsia="Times New Roman"/>
        </w:rPr>
        <w:t>7 </w:t>
      </w:r>
      <w:r>
        <w:rPr/>
        <w:t>月 </w:t>
      </w:r>
      <w:r>
        <w:rPr>
          <w:rFonts w:ascii="Times New Roman" w:eastAsia="Times New Roman"/>
        </w:rPr>
        <w:t>18 </w:t>
      </w:r>
      <w:r>
        <w:rPr/>
        <w:t>日至 </w:t>
      </w:r>
      <w:r>
        <w:rPr>
          <w:rFonts w:ascii="Times New Roman" w:eastAsia="Times New Roman"/>
        </w:rPr>
        <w:t>2012 </w:t>
      </w:r>
      <w:r>
        <w:rPr/>
        <w:t>年 </w:t>
      </w:r>
      <w:r>
        <w:rPr>
          <w:rFonts w:ascii="Times New Roman" w:eastAsia="Times New Roman"/>
        </w:rPr>
        <w:t>8 </w:t>
      </w:r>
      <w:r>
        <w:rPr/>
        <w:t>月 </w:t>
      </w:r>
      <w:r>
        <w:rPr>
          <w:rFonts w:ascii="Times New Roman" w:eastAsia="Times New Roman"/>
        </w:rPr>
        <w:t>17 </w:t>
      </w:r>
      <w:r>
        <w:rPr/>
        <w:t>日进行发售。募集期间，本基金共募集</w:t>
      </w:r>
    </w:p>
    <w:p>
      <w:pPr>
        <w:pStyle w:val="BodyText"/>
        <w:spacing w:before="7"/>
        <w:ind w:left="0"/>
        <w:rPr>
          <w:sz w:val="15"/>
        </w:rPr>
      </w:pPr>
    </w:p>
    <w:p>
      <w:pPr>
        <w:pStyle w:val="BodyText"/>
        <w:ind w:left="220"/>
      </w:pPr>
      <w:r>
        <w:rPr>
          <w:rFonts w:ascii="Times New Roman" w:eastAsia="Times New Roman"/>
        </w:rPr>
        <w:t>854,728,243.64 </w:t>
      </w:r>
      <w:r>
        <w:rPr/>
        <w:t>份基金份额，有效认购户数为 </w:t>
      </w:r>
      <w:r>
        <w:rPr>
          <w:rFonts w:ascii="Times New Roman" w:eastAsia="Times New Roman"/>
        </w:rPr>
        <w:t>10,130 </w:t>
      </w:r>
      <w:r>
        <w:rPr/>
        <w:t>户。</w:t>
      </w:r>
    </w:p>
    <w:p>
      <w:pPr>
        <w:pStyle w:val="BodyText"/>
        <w:spacing w:before="6"/>
        <w:ind w:left="0"/>
        <w:rPr>
          <w:sz w:val="15"/>
        </w:rPr>
      </w:pPr>
    </w:p>
    <w:p>
      <w:pPr>
        <w:pStyle w:val="BodyText"/>
        <w:spacing w:before="1"/>
      </w:pPr>
      <w:r>
        <w:rPr/>
        <w:t>（二）销售币种</w:t>
      </w:r>
    </w:p>
    <w:p>
      <w:pPr>
        <w:pStyle w:val="BodyText"/>
        <w:spacing w:before="6"/>
        <w:ind w:left="0"/>
        <w:rPr>
          <w:sz w:val="15"/>
        </w:rPr>
      </w:pPr>
    </w:p>
    <w:p>
      <w:pPr>
        <w:pStyle w:val="BodyText"/>
        <w:spacing w:line="417" w:lineRule="auto"/>
        <w:ind w:left="220" w:right="986" w:firstLine="419"/>
        <w:jc w:val="both"/>
      </w:pPr>
      <w:r>
        <w:rPr/>
        <w:t>本基金根据认购、申购、赎回计价币种的不同，分为人民币销售和美元销售，各销售币种分别设置代码和简称。基金管理人可以在不违反法律法规的情况下，增加新的销售币种、或者调整现有基金销售币种设置、或者停止现有币种的销售等，调整前基金管理人需及时公告并报中国证监会备案。</w:t>
      </w:r>
    </w:p>
    <w:p>
      <w:pPr>
        <w:spacing w:after="0" w:line="417" w:lineRule="auto"/>
        <w:jc w:val="both"/>
        <w:sectPr>
          <w:pgSz w:w="11910" w:h="16840"/>
          <w:pgMar w:header="705" w:footer="683" w:top="1420" w:bottom="880" w:left="1580" w:right="920"/>
        </w:sectPr>
      </w:pPr>
    </w:p>
    <w:p>
      <w:pPr>
        <w:pStyle w:val="BodyText"/>
        <w:spacing w:before="110"/>
        <w:jc w:val="both"/>
      </w:pPr>
      <w:r>
        <w:rPr/>
        <w:t>（三）本基金与目标 </w:t>
      </w:r>
      <w:r>
        <w:rPr>
          <w:rFonts w:ascii="Times New Roman" w:eastAsia="Times New Roman"/>
        </w:rPr>
        <w:t>ETF </w:t>
      </w:r>
      <w:r>
        <w:rPr/>
        <w:t>的联系与区别</w:t>
      </w:r>
    </w:p>
    <w:p>
      <w:pPr>
        <w:pStyle w:val="BodyText"/>
        <w:spacing w:before="6"/>
        <w:ind w:left="0"/>
        <w:rPr>
          <w:sz w:val="15"/>
        </w:rPr>
      </w:pPr>
    </w:p>
    <w:p>
      <w:pPr>
        <w:pStyle w:val="BodyText"/>
        <w:spacing w:line="417" w:lineRule="auto"/>
        <w:ind w:left="220" w:right="986" w:firstLine="419"/>
        <w:jc w:val="both"/>
      </w:pPr>
      <w:r>
        <w:rPr>
          <w:spacing w:val="-9"/>
        </w:rPr>
        <w:t>本基金为恒生 </w:t>
      </w:r>
      <w:r>
        <w:rPr>
          <w:rFonts w:ascii="Times New Roman" w:eastAsia="Times New Roman"/>
        </w:rPr>
        <w:t>ETF </w:t>
      </w:r>
      <w:r>
        <w:rPr>
          <w:spacing w:val="-14"/>
        </w:rPr>
        <w:t>的联接基金。本基金通过主要投资于恒生 </w:t>
      </w:r>
      <w:r>
        <w:rPr>
          <w:rFonts w:ascii="Times New Roman" w:eastAsia="Times New Roman"/>
        </w:rPr>
        <w:t>ETF </w:t>
      </w:r>
      <w:r>
        <w:rPr>
          <w:spacing w:val="-2"/>
        </w:rPr>
        <w:t>以求达到投资目标， </w:t>
      </w:r>
      <w:r>
        <w:rPr>
          <w:spacing w:val="24"/>
        </w:rPr>
        <w:t>恒生</w:t>
      </w:r>
      <w:r>
        <w:rPr>
          <w:rFonts w:ascii="Times New Roman" w:eastAsia="Times New Roman"/>
        </w:rPr>
        <w:t>ETF </w:t>
      </w:r>
      <w:r>
        <w:rPr>
          <w:spacing w:val="-3"/>
        </w:rPr>
        <w:t>的标的指数和本基金的标的指数一致，投资目标相似。</w:t>
      </w:r>
    </w:p>
    <w:p>
      <w:pPr>
        <w:pStyle w:val="BodyText"/>
        <w:spacing w:line="417" w:lineRule="auto"/>
        <w:ind w:left="220" w:right="986" w:firstLine="419"/>
        <w:jc w:val="both"/>
      </w:pPr>
      <w:r>
        <w:rPr>
          <w:spacing w:val="-5"/>
        </w:rPr>
        <w:t>在投资方法上，本基金为目标 </w:t>
      </w:r>
      <w:r>
        <w:rPr>
          <w:rFonts w:ascii="Times New Roman" w:eastAsia="Times New Roman"/>
        </w:rPr>
        <w:t>ETF </w:t>
      </w:r>
      <w:r>
        <w:rPr>
          <w:spacing w:val="-5"/>
        </w:rPr>
        <w:t>的联接基金，主要通过投资于目标 </w:t>
      </w:r>
      <w:r>
        <w:rPr>
          <w:rFonts w:ascii="Times New Roman" w:eastAsia="Times New Roman"/>
        </w:rPr>
        <w:t>ETF </w:t>
      </w:r>
      <w:r>
        <w:rPr>
          <w:spacing w:val="-1"/>
        </w:rPr>
        <w:t>来跟踪标</w:t>
      </w:r>
      <w:r>
        <w:rPr>
          <w:spacing w:val="-10"/>
        </w:rPr>
        <w:t>的指数；本基金的目标 </w:t>
      </w:r>
      <w:r>
        <w:rPr>
          <w:rFonts w:ascii="Times New Roman" w:eastAsia="Times New Roman"/>
        </w:rPr>
        <w:t>ETF </w:t>
      </w:r>
      <w:r>
        <w:rPr>
          <w:spacing w:val="-5"/>
        </w:rPr>
        <w:t>主要采用复制法来跟踪标的指数，即按照标的指数成份股及其</w:t>
      </w:r>
      <w:r>
        <w:rPr>
          <w:spacing w:val="-4"/>
        </w:rPr>
        <w:t>权重构建基金的股票投资组合。</w:t>
      </w:r>
    </w:p>
    <w:p>
      <w:pPr>
        <w:pStyle w:val="BodyText"/>
        <w:spacing w:line="417" w:lineRule="auto"/>
        <w:ind w:left="220" w:right="986" w:firstLine="419"/>
        <w:jc w:val="both"/>
      </w:pPr>
      <w:r>
        <w:rPr>
          <w:spacing w:val="-17"/>
        </w:rPr>
        <w:t>在交易方式上，本基金不上市交易，投资者只能通过场外销售机构以现金的方式申购、</w:t>
      </w:r>
      <w:r>
        <w:rPr>
          <w:spacing w:val="-13"/>
        </w:rPr>
        <w:t>赎回；本基金的目标 </w:t>
      </w:r>
      <w:r>
        <w:rPr>
          <w:rFonts w:ascii="Times New Roman" w:eastAsia="Times New Roman"/>
        </w:rPr>
        <w:t>ETF </w:t>
      </w:r>
      <w:r>
        <w:rPr>
          <w:spacing w:val="-5"/>
        </w:rPr>
        <w:t>属于交易型开放式指数证券投资基金，投资者可以在二级市场上</w:t>
      </w:r>
      <w:r>
        <w:rPr>
          <w:spacing w:val="-4"/>
        </w:rPr>
        <w:t>买卖基金份额，也可以根据申购赎回清单按照申购、赎回对价通过场内申购赎回代理机构</w:t>
      </w:r>
      <w:r>
        <w:rPr>
          <w:spacing w:val="-3"/>
        </w:rPr>
        <w:t>申购、赎回基金份额。</w:t>
      </w:r>
    </w:p>
    <w:p>
      <w:pPr>
        <w:pStyle w:val="BodyText"/>
        <w:spacing w:line="417" w:lineRule="auto"/>
        <w:ind w:left="220" w:right="986" w:firstLine="419"/>
        <w:jc w:val="both"/>
      </w:pPr>
      <w:r>
        <w:rPr>
          <w:spacing w:val="-7"/>
        </w:rPr>
        <w:t>在业绩表现上，虽然本基金与目标 </w:t>
      </w:r>
      <w:r>
        <w:rPr>
          <w:rFonts w:ascii="Times New Roman" w:eastAsia="Times New Roman"/>
        </w:rPr>
        <w:t>ETF </w:t>
      </w:r>
      <w:r>
        <w:rPr>
          <w:spacing w:val="-6"/>
        </w:rPr>
        <w:t>跟踪同一标的指数，但由于投资范围、投资方</w:t>
      </w:r>
      <w:r>
        <w:rPr>
          <w:spacing w:val="-8"/>
        </w:rPr>
        <w:t>法、交易方式、基金规模、费用税收等的不同，本基金的业绩表现与目标</w:t>
      </w:r>
      <w:r>
        <w:rPr>
          <w:rFonts w:ascii="Times New Roman" w:eastAsia="Times New Roman"/>
        </w:rPr>
        <w:t>ETF </w:t>
      </w:r>
      <w:r>
        <w:rPr/>
        <w:t>的业绩表现</w:t>
      </w:r>
      <w:r>
        <w:rPr>
          <w:spacing w:val="-2"/>
        </w:rPr>
        <w:t>可能出现差异。</w:t>
      </w:r>
    </w:p>
    <w:p>
      <w:pPr>
        <w:pStyle w:val="BodyText"/>
        <w:spacing w:before="7"/>
        <w:ind w:left="0"/>
        <w:rPr>
          <w:sz w:val="26"/>
        </w:rPr>
      </w:pPr>
    </w:p>
    <w:p>
      <w:pPr>
        <w:pStyle w:val="Heading1"/>
      </w:pPr>
      <w:bookmarkStart w:name="_bookmark7" w:id="8"/>
      <w:bookmarkEnd w:id="8"/>
      <w:r>
        <w:rPr>
          <w:b w:val="0"/>
        </w:rPr>
      </w:r>
      <w:r>
        <w:rPr/>
        <w:t>八、基金合同的生效</w:t>
      </w:r>
    </w:p>
    <w:p>
      <w:pPr>
        <w:pStyle w:val="BodyText"/>
        <w:ind w:left="0"/>
        <w:rPr>
          <w:b/>
          <w:sz w:val="20"/>
        </w:rPr>
      </w:pPr>
    </w:p>
    <w:p>
      <w:pPr>
        <w:pStyle w:val="BodyText"/>
        <w:spacing w:before="2"/>
        <w:ind w:left="0"/>
        <w:rPr>
          <w:b/>
        </w:rPr>
      </w:pPr>
    </w:p>
    <w:p>
      <w:pPr>
        <w:pStyle w:val="BodyText"/>
        <w:spacing w:line="417" w:lineRule="auto" w:before="1"/>
        <w:ind w:left="220" w:right="874" w:firstLine="419"/>
      </w:pPr>
      <w:r>
        <w:rPr/>
        <w:t>根据有关规定，本基金满足基金合同生效条件，基金合同于</w:t>
      </w:r>
      <w:r>
        <w:rPr>
          <w:rFonts w:ascii="Times New Roman" w:eastAsia="Times New Roman"/>
        </w:rPr>
        <w:t>2012</w:t>
      </w:r>
      <w:r>
        <w:rPr/>
        <w:t>年</w:t>
      </w:r>
      <w:r>
        <w:rPr>
          <w:rFonts w:ascii="Times New Roman" w:eastAsia="Times New Roman"/>
        </w:rPr>
        <w:t>8</w:t>
      </w:r>
      <w:r>
        <w:rPr/>
        <w:t>月</w:t>
      </w:r>
      <w:r>
        <w:rPr>
          <w:rFonts w:ascii="Times New Roman" w:eastAsia="Times New Roman"/>
        </w:rPr>
        <w:t>21</w:t>
      </w:r>
      <w:r>
        <w:rPr/>
        <w:t>日正式生效。自基金合同生效日起，本基金管理人正式开始管理本基金。</w:t>
      </w:r>
    </w:p>
    <w:p>
      <w:pPr>
        <w:pStyle w:val="BodyText"/>
        <w:spacing w:line="269" w:lineRule="exact"/>
      </w:pPr>
      <w:r>
        <w:rPr>
          <w:spacing w:val="-5"/>
        </w:rPr>
        <w:t>本基金基金合同生效后的存续期间，基金份额持有人数量不满 </w:t>
      </w:r>
      <w:r>
        <w:rPr>
          <w:rFonts w:ascii="Times New Roman" w:eastAsia="Times New Roman"/>
        </w:rPr>
        <w:t>200</w:t>
      </w:r>
      <w:r>
        <w:rPr>
          <w:rFonts w:ascii="Times New Roman" w:eastAsia="Times New Roman"/>
          <w:spacing w:val="18"/>
        </w:rPr>
        <w:t> </w:t>
      </w:r>
      <w:r>
        <w:rPr>
          <w:spacing w:val="-3"/>
        </w:rPr>
        <w:t>人或者基金资产净</w:t>
      </w:r>
    </w:p>
    <w:p>
      <w:pPr>
        <w:pStyle w:val="BodyText"/>
        <w:spacing w:before="6"/>
        <w:ind w:left="0"/>
        <w:rPr>
          <w:sz w:val="15"/>
        </w:rPr>
      </w:pPr>
    </w:p>
    <w:p>
      <w:pPr>
        <w:pStyle w:val="BodyText"/>
        <w:ind w:left="220"/>
        <w:jc w:val="both"/>
      </w:pPr>
      <w:r>
        <w:rPr>
          <w:spacing w:val="-7"/>
        </w:rPr>
        <w:t>值低于等值 </w:t>
      </w:r>
      <w:r>
        <w:rPr>
          <w:rFonts w:ascii="Times New Roman" w:eastAsia="Times New Roman"/>
        </w:rPr>
        <w:t>5000</w:t>
      </w:r>
      <w:r>
        <w:rPr>
          <w:rFonts w:ascii="Times New Roman" w:eastAsia="Times New Roman"/>
          <w:spacing w:val="22"/>
        </w:rPr>
        <w:t> </w:t>
      </w:r>
      <w:r>
        <w:rPr>
          <w:spacing w:val="-15"/>
        </w:rPr>
        <w:t>万元</w:t>
      </w:r>
      <w:r>
        <w:rPr>
          <w:spacing w:val="-3"/>
        </w:rPr>
        <w:t>（</w:t>
      </w:r>
      <w:r>
        <w:rPr>
          <w:spacing w:val="-6"/>
        </w:rPr>
        <w:t>美元折算为人民币，下同</w:t>
      </w:r>
      <w:r>
        <w:rPr>
          <w:spacing w:val="-29"/>
        </w:rPr>
        <w:t>）</w:t>
      </w:r>
      <w:r>
        <w:rPr>
          <w:spacing w:val="-7"/>
        </w:rPr>
        <w:t>的，基金管理人应当及时报告中国证监</w:t>
      </w:r>
    </w:p>
    <w:p>
      <w:pPr>
        <w:pStyle w:val="BodyText"/>
        <w:spacing w:before="7"/>
        <w:ind w:left="0"/>
        <w:rPr>
          <w:sz w:val="15"/>
        </w:rPr>
      </w:pPr>
    </w:p>
    <w:p>
      <w:pPr>
        <w:pStyle w:val="BodyText"/>
        <w:spacing w:line="417" w:lineRule="auto"/>
        <w:ind w:left="220" w:right="986"/>
        <w:jc w:val="both"/>
      </w:pPr>
      <w:r>
        <w:rPr/>
        <w:t>会；连续二十个工作日基金份额持有人数量不满 </w:t>
      </w:r>
      <w:r>
        <w:rPr>
          <w:rFonts w:ascii="Times New Roman" w:eastAsia="Times New Roman"/>
        </w:rPr>
        <w:t>200 </w:t>
      </w:r>
      <w:r>
        <w:rPr/>
        <w:t>人或者基金资产净值低于等值 </w:t>
      </w:r>
      <w:r>
        <w:rPr>
          <w:rFonts w:ascii="Times New Roman" w:eastAsia="Times New Roman"/>
        </w:rPr>
        <w:t>5000 </w:t>
      </w:r>
      <w:r>
        <w:rPr/>
        <w:t>万元的，基金管理人应当向中国证监会说明原因及报送解决方案。法律法规或监管部门另有规定的，按其规定办理。</w:t>
      </w:r>
    </w:p>
    <w:p>
      <w:pPr>
        <w:pStyle w:val="BodyText"/>
        <w:spacing w:before="8"/>
        <w:ind w:left="0"/>
        <w:rPr>
          <w:sz w:val="26"/>
        </w:rPr>
      </w:pPr>
    </w:p>
    <w:p>
      <w:pPr>
        <w:pStyle w:val="Heading1"/>
        <w:ind w:left="1346"/>
      </w:pPr>
      <w:bookmarkStart w:name="_bookmark8" w:id="9"/>
      <w:bookmarkEnd w:id="9"/>
      <w:r>
        <w:rPr>
          <w:b w:val="0"/>
        </w:rPr>
      </w:r>
      <w:r>
        <w:rPr/>
        <w:t>九、基金份额的申购与赎回</w:t>
      </w:r>
    </w:p>
    <w:p>
      <w:pPr>
        <w:pStyle w:val="BodyText"/>
        <w:ind w:left="0"/>
        <w:rPr>
          <w:b/>
          <w:sz w:val="20"/>
        </w:rPr>
      </w:pPr>
    </w:p>
    <w:p>
      <w:pPr>
        <w:pStyle w:val="BodyText"/>
        <w:spacing w:before="2"/>
        <w:ind w:left="0"/>
        <w:rPr>
          <w:b/>
        </w:rPr>
      </w:pPr>
    </w:p>
    <w:p>
      <w:pPr>
        <w:pStyle w:val="BodyText"/>
      </w:pPr>
      <w:r>
        <w:rPr/>
        <w:t>（一）基金份额类别</w:t>
      </w:r>
    </w:p>
    <w:p>
      <w:pPr>
        <w:pStyle w:val="BodyText"/>
        <w:spacing w:before="7"/>
        <w:ind w:left="0"/>
        <w:rPr>
          <w:sz w:val="15"/>
        </w:rPr>
      </w:pPr>
    </w:p>
    <w:p>
      <w:pPr>
        <w:pStyle w:val="BodyText"/>
        <w:spacing w:line="417" w:lineRule="auto"/>
        <w:ind w:left="220" w:right="986" w:firstLine="419"/>
        <w:jc w:val="both"/>
      </w:pPr>
      <w:r>
        <w:rPr/>
        <w:t>本基金根据申购费、销售服务费收取方式的不同，将基金份额分为不同的类别。在投资者申购时收取前端申购费的，称为</w:t>
      </w:r>
      <w:r>
        <w:rPr>
          <w:rFonts w:ascii="Times New Roman" w:eastAsia="Times New Roman"/>
        </w:rPr>
        <w:t>A </w:t>
      </w:r>
      <w:r>
        <w:rPr/>
        <w:t>类；不收取前后端申购费，而从本类别基金资产中计提销售服务费的，称为</w:t>
      </w:r>
      <w:r>
        <w:rPr>
          <w:rFonts w:ascii="Times New Roman" w:eastAsia="Times New Roman"/>
        </w:rPr>
        <w:t>C </w:t>
      </w:r>
      <w:r>
        <w:rPr/>
        <w:t>类。</w:t>
      </w:r>
      <w:r>
        <w:rPr>
          <w:rFonts w:ascii="Times New Roman" w:eastAsia="Times New Roman"/>
        </w:rPr>
        <w:t>A </w:t>
      </w:r>
      <w:r>
        <w:rPr/>
        <w:t>类、</w:t>
      </w:r>
      <w:r>
        <w:rPr>
          <w:rFonts w:ascii="Times New Roman" w:eastAsia="Times New Roman"/>
        </w:rPr>
        <w:t>C </w:t>
      </w:r>
      <w:r>
        <w:rPr/>
        <w:t>类基金份额分别设置代码，分别计算和公告基金份额净值和基金份额累计净值。</w:t>
      </w:r>
    </w:p>
    <w:p>
      <w:pPr>
        <w:spacing w:after="0" w:line="417" w:lineRule="auto"/>
        <w:jc w:val="both"/>
        <w:sectPr>
          <w:pgSz w:w="11910" w:h="16840"/>
          <w:pgMar w:header="705" w:footer="683" w:top="1420" w:bottom="880" w:left="1580" w:right="920"/>
        </w:sectPr>
      </w:pPr>
    </w:p>
    <w:p>
      <w:pPr>
        <w:pStyle w:val="BodyText"/>
        <w:spacing w:line="417" w:lineRule="auto" w:before="110"/>
        <w:ind w:left="220" w:right="986" w:firstLine="419"/>
        <w:jc w:val="both"/>
      </w:pPr>
      <w:r>
        <w:rPr/>
        <w:t>根据基金销售情况，基金管理人可在不损害已有基金份额持有人权益的情况下，经与基金托管人协商，增加新的基金份额类别、或者调整现有基金份额类别的费率水平、或者停止现有基金份额类别的销售等，不需召开基金份额持有人大会，调整前基金管理人需及时公告并报中国证监会备案。</w:t>
      </w:r>
    </w:p>
    <w:p>
      <w:pPr>
        <w:pStyle w:val="BodyText"/>
        <w:spacing w:line="268" w:lineRule="exact"/>
      </w:pPr>
      <w:r>
        <w:rPr/>
        <w:t>（二）申购和赎回场所</w:t>
      </w:r>
    </w:p>
    <w:p>
      <w:pPr>
        <w:pStyle w:val="BodyText"/>
        <w:spacing w:before="6"/>
        <w:ind w:left="0"/>
        <w:rPr>
          <w:sz w:val="15"/>
        </w:rPr>
      </w:pPr>
    </w:p>
    <w:p>
      <w:pPr>
        <w:pStyle w:val="BodyText"/>
      </w:pPr>
      <w:r>
        <w:rPr>
          <w:rFonts w:ascii="Times New Roman" w:eastAsia="Times New Roman"/>
        </w:rPr>
        <w:t>1</w:t>
      </w:r>
      <w:r>
        <w:rPr/>
        <w:t>、直销机构</w:t>
      </w:r>
    </w:p>
    <w:p>
      <w:pPr>
        <w:pStyle w:val="BodyText"/>
        <w:spacing w:before="7"/>
        <w:ind w:left="0"/>
        <w:rPr>
          <w:sz w:val="15"/>
        </w:rPr>
      </w:pPr>
    </w:p>
    <w:p>
      <w:pPr>
        <w:pStyle w:val="BodyText"/>
        <w:spacing w:line="417" w:lineRule="auto"/>
        <w:ind w:left="220" w:right="871" w:firstLine="419"/>
      </w:pPr>
      <w:r>
        <w:rPr>
          <w:spacing w:val="-8"/>
        </w:rPr>
        <w:t>本基金直销机构为本公司北京分公司、上海分公司、深圳分公司、南京分公司、杭州分</w:t>
      </w:r>
      <w:r>
        <w:rPr>
          <w:spacing w:val="-5"/>
        </w:rPr>
        <w:t>公司、广州分公司、成都分公司，设在北京、广州的投资理财中心以及电子交易平台。</w:t>
      </w:r>
    </w:p>
    <w:p>
      <w:pPr>
        <w:pStyle w:val="ListParagraph"/>
        <w:numPr>
          <w:ilvl w:val="0"/>
          <w:numId w:val="11"/>
        </w:numPr>
        <w:tabs>
          <w:tab w:pos="1170" w:val="left" w:leader="none"/>
        </w:tabs>
        <w:spacing w:line="240" w:lineRule="auto" w:before="0" w:after="0"/>
        <w:ind w:left="1169" w:right="0" w:hanging="530"/>
        <w:jc w:val="left"/>
        <w:rPr>
          <w:sz w:val="21"/>
        </w:rPr>
      </w:pPr>
      <w:r>
        <w:rPr>
          <w:spacing w:val="-3"/>
          <w:sz w:val="21"/>
        </w:rPr>
        <w:t>北京分公司</w:t>
      </w:r>
    </w:p>
    <w:p>
      <w:pPr>
        <w:pStyle w:val="BodyText"/>
        <w:spacing w:before="7"/>
        <w:ind w:left="0"/>
        <w:rPr>
          <w:sz w:val="15"/>
        </w:rPr>
      </w:pPr>
    </w:p>
    <w:p>
      <w:pPr>
        <w:pStyle w:val="BodyText"/>
        <w:spacing w:line="417" w:lineRule="auto"/>
        <w:ind w:right="3053"/>
        <w:rPr>
          <w:rFonts w:ascii="Times New Roman" w:eastAsia="Times New Roman"/>
        </w:rPr>
      </w:pPr>
      <w:r>
        <w:rPr>
          <w:spacing w:val="-3"/>
        </w:rPr>
        <w:t>地址：北京市西城区金融大街</w:t>
      </w:r>
      <w:r>
        <w:rPr>
          <w:rFonts w:ascii="Times New Roman" w:eastAsia="Times New Roman"/>
        </w:rPr>
        <w:t>33</w:t>
      </w:r>
      <w:r>
        <w:rPr>
          <w:spacing w:val="-3"/>
        </w:rPr>
        <w:t>号通泰大厦</w:t>
      </w:r>
      <w:r>
        <w:rPr>
          <w:rFonts w:ascii="Times New Roman" w:eastAsia="Times New Roman"/>
        </w:rPr>
        <w:t>B</w:t>
      </w:r>
      <w:r>
        <w:rPr/>
        <w:t>座</w:t>
      </w:r>
      <w:r>
        <w:rPr>
          <w:rFonts w:ascii="Times New Roman" w:eastAsia="Times New Roman"/>
          <w:spacing w:val="-3"/>
        </w:rPr>
        <w:t>1</w:t>
      </w:r>
      <w:r>
        <w:rPr>
          <w:spacing w:val="-3"/>
        </w:rPr>
        <w:t>层</w:t>
      </w:r>
      <w:r>
        <w:rPr/>
        <w:t>（</w:t>
      </w:r>
      <w:r>
        <w:rPr>
          <w:rFonts w:ascii="Times New Roman" w:eastAsia="Times New Roman"/>
        </w:rPr>
        <w:t>100033</w:t>
      </w:r>
      <w:r>
        <w:rPr/>
        <w:t>） 电话：</w:t>
      </w:r>
      <w:r>
        <w:rPr>
          <w:rFonts w:ascii="Times New Roman" w:eastAsia="Times New Roman"/>
        </w:rPr>
        <w:t>010-88087226</w:t>
      </w:r>
    </w:p>
    <w:p>
      <w:pPr>
        <w:pStyle w:val="BodyText"/>
        <w:spacing w:line="269" w:lineRule="exact"/>
        <w:rPr>
          <w:rFonts w:ascii="Times New Roman" w:eastAsia="Times New Roman"/>
        </w:rPr>
      </w:pPr>
      <w:r>
        <w:rPr>
          <w:spacing w:val="-1"/>
        </w:rPr>
        <w:t>传真：</w:t>
      </w:r>
      <w:r>
        <w:rPr>
          <w:rFonts w:ascii="Times New Roman" w:eastAsia="Times New Roman"/>
          <w:spacing w:val="-1"/>
        </w:rPr>
        <w:t>010-88066028</w:t>
      </w:r>
    </w:p>
    <w:p>
      <w:pPr>
        <w:pStyle w:val="BodyText"/>
        <w:spacing w:before="3"/>
        <w:ind w:left="0"/>
        <w:rPr>
          <w:rFonts w:ascii="Times New Roman"/>
          <w:sz w:val="17"/>
        </w:rPr>
      </w:pPr>
    </w:p>
    <w:p>
      <w:pPr>
        <w:pStyle w:val="ListParagraph"/>
        <w:numPr>
          <w:ilvl w:val="0"/>
          <w:numId w:val="11"/>
        </w:numPr>
        <w:tabs>
          <w:tab w:pos="1170" w:val="left" w:leader="none"/>
        </w:tabs>
        <w:spacing w:line="240" w:lineRule="auto" w:before="1" w:after="0"/>
        <w:ind w:left="1169" w:right="0" w:hanging="530"/>
        <w:jc w:val="left"/>
        <w:rPr>
          <w:sz w:val="21"/>
        </w:rPr>
      </w:pPr>
      <w:r>
        <w:rPr>
          <w:spacing w:val="-3"/>
          <w:sz w:val="21"/>
        </w:rPr>
        <w:t>北京东中街投资理财中心</w:t>
      </w:r>
    </w:p>
    <w:p>
      <w:pPr>
        <w:pStyle w:val="BodyText"/>
        <w:spacing w:before="6"/>
        <w:ind w:left="0"/>
        <w:rPr>
          <w:sz w:val="15"/>
        </w:rPr>
      </w:pPr>
    </w:p>
    <w:p>
      <w:pPr>
        <w:pStyle w:val="BodyText"/>
        <w:spacing w:line="417" w:lineRule="auto"/>
        <w:ind w:right="3159"/>
        <w:rPr>
          <w:rFonts w:ascii="Times New Roman" w:eastAsia="Times New Roman"/>
        </w:rPr>
      </w:pPr>
      <w:r>
        <w:rPr>
          <w:spacing w:val="-3"/>
        </w:rPr>
        <w:t>地址：北京市东城区东中街</w:t>
      </w:r>
      <w:r>
        <w:rPr>
          <w:rFonts w:ascii="Times New Roman" w:eastAsia="Times New Roman"/>
        </w:rPr>
        <w:t>29</w:t>
      </w:r>
      <w:r>
        <w:rPr>
          <w:spacing w:val="-3"/>
        </w:rPr>
        <w:t>号东环广场</w:t>
      </w:r>
      <w:r>
        <w:rPr>
          <w:rFonts w:ascii="Times New Roman" w:eastAsia="Times New Roman"/>
        </w:rPr>
        <w:t>B</w:t>
      </w:r>
      <w:r>
        <w:rPr>
          <w:spacing w:val="-2"/>
        </w:rPr>
        <w:t>座一层</w:t>
      </w:r>
      <w:r>
        <w:rPr/>
        <w:t>（</w:t>
      </w:r>
      <w:r>
        <w:rPr>
          <w:rFonts w:ascii="Times New Roman" w:eastAsia="Times New Roman"/>
        </w:rPr>
        <w:t>100027</w:t>
      </w:r>
      <w:r>
        <w:rPr/>
        <w:t>） 电话：</w:t>
      </w:r>
      <w:r>
        <w:rPr>
          <w:rFonts w:ascii="Times New Roman" w:eastAsia="Times New Roman"/>
        </w:rPr>
        <w:t>010-64185183</w:t>
      </w:r>
    </w:p>
    <w:p>
      <w:pPr>
        <w:pStyle w:val="BodyText"/>
        <w:rPr>
          <w:rFonts w:ascii="Times New Roman" w:eastAsia="Times New Roman"/>
        </w:rPr>
      </w:pPr>
      <w:r>
        <w:rPr>
          <w:spacing w:val="-1"/>
        </w:rPr>
        <w:t>传真：</w:t>
      </w:r>
      <w:r>
        <w:rPr>
          <w:rFonts w:ascii="Times New Roman" w:eastAsia="Times New Roman"/>
          <w:spacing w:val="-1"/>
        </w:rPr>
        <w:t>010-64185180</w:t>
      </w:r>
    </w:p>
    <w:p>
      <w:pPr>
        <w:pStyle w:val="BodyText"/>
        <w:spacing w:before="4"/>
        <w:ind w:left="0"/>
        <w:rPr>
          <w:rFonts w:ascii="Times New Roman"/>
          <w:sz w:val="17"/>
        </w:rPr>
      </w:pPr>
    </w:p>
    <w:p>
      <w:pPr>
        <w:pStyle w:val="ListParagraph"/>
        <w:numPr>
          <w:ilvl w:val="0"/>
          <w:numId w:val="11"/>
        </w:numPr>
        <w:tabs>
          <w:tab w:pos="1170" w:val="left" w:leader="none"/>
        </w:tabs>
        <w:spacing w:line="240" w:lineRule="auto" w:before="0" w:after="0"/>
        <w:ind w:left="1169" w:right="0" w:hanging="530"/>
        <w:jc w:val="left"/>
        <w:rPr>
          <w:sz w:val="21"/>
        </w:rPr>
      </w:pPr>
      <w:r>
        <w:rPr>
          <w:spacing w:val="-3"/>
          <w:sz w:val="21"/>
        </w:rPr>
        <w:t>北京科学院南路投资理财中心</w:t>
      </w:r>
    </w:p>
    <w:p>
      <w:pPr>
        <w:pStyle w:val="BodyText"/>
        <w:spacing w:before="6"/>
        <w:ind w:left="0"/>
        <w:rPr>
          <w:sz w:val="15"/>
        </w:rPr>
      </w:pPr>
    </w:p>
    <w:p>
      <w:pPr>
        <w:pStyle w:val="BodyText"/>
        <w:spacing w:line="417" w:lineRule="auto" w:before="1"/>
        <w:ind w:right="1200"/>
        <w:rPr>
          <w:rFonts w:ascii="Times New Roman" w:eastAsia="Times New Roman"/>
        </w:rPr>
      </w:pPr>
      <w:r>
        <w:rPr>
          <w:spacing w:val="-3"/>
          <w:w w:val="100"/>
        </w:rPr>
        <w:t>地址：北京市海淀区中关村科学院南路</w:t>
      </w:r>
      <w:r>
        <w:rPr>
          <w:rFonts w:ascii="Times New Roman" w:eastAsia="Times New Roman"/>
          <w:spacing w:val="-3"/>
          <w:w w:val="100"/>
        </w:rPr>
        <w:t>9</w:t>
      </w:r>
      <w:r>
        <w:rPr>
          <w:w w:val="100"/>
        </w:rPr>
        <w:t>号</w:t>
      </w:r>
      <w:r>
        <w:rPr>
          <w:spacing w:val="-3"/>
          <w:w w:val="100"/>
        </w:rPr>
        <w:t>（新科祥园小区大门口一层</w:t>
      </w:r>
      <w:r>
        <w:rPr>
          <w:spacing w:val="-108"/>
          <w:w w:val="100"/>
        </w:rPr>
        <w:t>）</w:t>
      </w:r>
      <w:r>
        <w:rPr>
          <w:w w:val="100"/>
        </w:rPr>
        <w:t>（</w:t>
      </w:r>
      <w:r>
        <w:rPr>
          <w:rFonts w:ascii="Times New Roman" w:eastAsia="Times New Roman"/>
          <w:w w:val="100"/>
        </w:rPr>
        <w:t>10</w:t>
      </w:r>
      <w:r>
        <w:rPr>
          <w:rFonts w:ascii="Times New Roman" w:eastAsia="Times New Roman"/>
          <w:spacing w:val="-3"/>
          <w:w w:val="100"/>
        </w:rPr>
        <w:t>01</w:t>
      </w:r>
      <w:r>
        <w:rPr>
          <w:rFonts w:ascii="Times New Roman" w:eastAsia="Times New Roman"/>
          <w:w w:val="100"/>
        </w:rPr>
        <w:t>9</w:t>
      </w:r>
      <w:r>
        <w:rPr>
          <w:rFonts w:ascii="Times New Roman" w:eastAsia="Times New Roman"/>
          <w:spacing w:val="-1"/>
          <w:w w:val="100"/>
        </w:rPr>
        <w:t>0</w:t>
      </w:r>
      <w:r>
        <w:rPr>
          <w:w w:val="100"/>
        </w:rPr>
        <w:t>）</w:t>
      </w:r>
      <w:r>
        <w:rPr/>
        <w:t>电话：</w:t>
      </w:r>
      <w:r>
        <w:rPr>
          <w:rFonts w:ascii="Times New Roman" w:eastAsia="Times New Roman"/>
        </w:rPr>
        <w:t>010-82523198</w:t>
      </w:r>
    </w:p>
    <w:p>
      <w:pPr>
        <w:pStyle w:val="BodyText"/>
        <w:spacing w:line="269" w:lineRule="exact"/>
        <w:rPr>
          <w:rFonts w:ascii="Times New Roman" w:eastAsia="Times New Roman"/>
        </w:rPr>
      </w:pPr>
      <w:r>
        <w:rPr>
          <w:spacing w:val="-1"/>
        </w:rPr>
        <w:t>传真：</w:t>
      </w:r>
      <w:r>
        <w:rPr>
          <w:rFonts w:ascii="Times New Roman" w:eastAsia="Times New Roman"/>
          <w:spacing w:val="-1"/>
        </w:rPr>
        <w:t>010-82523196</w:t>
      </w:r>
    </w:p>
    <w:p>
      <w:pPr>
        <w:pStyle w:val="BodyText"/>
        <w:spacing w:before="3"/>
        <w:ind w:left="0"/>
        <w:rPr>
          <w:rFonts w:ascii="Times New Roman"/>
          <w:sz w:val="17"/>
        </w:rPr>
      </w:pPr>
    </w:p>
    <w:p>
      <w:pPr>
        <w:pStyle w:val="ListParagraph"/>
        <w:numPr>
          <w:ilvl w:val="0"/>
          <w:numId w:val="11"/>
        </w:numPr>
        <w:tabs>
          <w:tab w:pos="1170" w:val="left" w:leader="none"/>
        </w:tabs>
        <w:spacing w:line="240" w:lineRule="auto" w:before="0" w:after="0"/>
        <w:ind w:left="1169" w:right="0" w:hanging="530"/>
        <w:jc w:val="left"/>
        <w:rPr>
          <w:sz w:val="21"/>
        </w:rPr>
      </w:pPr>
      <w:r>
        <w:rPr>
          <w:spacing w:val="-3"/>
          <w:sz w:val="21"/>
        </w:rPr>
        <w:t>北京东四环投资理财中心</w:t>
      </w:r>
    </w:p>
    <w:p>
      <w:pPr>
        <w:pStyle w:val="BodyText"/>
        <w:spacing w:before="7"/>
        <w:ind w:left="0"/>
        <w:rPr>
          <w:sz w:val="15"/>
        </w:rPr>
      </w:pPr>
    </w:p>
    <w:p>
      <w:pPr>
        <w:pStyle w:val="BodyText"/>
        <w:spacing w:line="417" w:lineRule="auto"/>
        <w:ind w:right="1620"/>
        <w:rPr>
          <w:rFonts w:ascii="Times New Roman" w:eastAsia="Times New Roman"/>
        </w:rPr>
      </w:pPr>
      <w:r>
        <w:rPr>
          <w:spacing w:val="-3"/>
        </w:rPr>
        <w:t>地址：北京市朝阳区八里庄西里</w:t>
      </w:r>
      <w:r>
        <w:rPr>
          <w:rFonts w:ascii="Times New Roman" w:eastAsia="Times New Roman"/>
        </w:rPr>
        <w:t>100</w:t>
      </w:r>
      <w:r>
        <w:rPr>
          <w:spacing w:val="-2"/>
        </w:rPr>
        <w:t>号住邦</w:t>
      </w:r>
      <w:r>
        <w:rPr>
          <w:rFonts w:ascii="Times New Roman" w:eastAsia="Times New Roman"/>
        </w:rPr>
        <w:t>2000</w:t>
      </w:r>
      <w:r>
        <w:rPr>
          <w:spacing w:val="-2"/>
        </w:rPr>
        <w:t>商务中心</w:t>
      </w:r>
      <w:r>
        <w:rPr>
          <w:rFonts w:ascii="Times New Roman" w:eastAsia="Times New Roman"/>
          <w:spacing w:val="-3"/>
        </w:rPr>
        <w:t>1</w:t>
      </w:r>
      <w:r>
        <w:rPr>
          <w:spacing w:val="-3"/>
        </w:rPr>
        <w:t>号楼一层</w:t>
      </w:r>
      <w:r>
        <w:rPr/>
        <w:t>（</w:t>
      </w:r>
      <w:r>
        <w:rPr>
          <w:rFonts w:ascii="Times New Roman" w:eastAsia="Times New Roman"/>
        </w:rPr>
        <w:t>100025</w:t>
      </w:r>
      <w:r>
        <w:rPr/>
        <w:t>） 电话：</w:t>
      </w:r>
      <w:r>
        <w:rPr>
          <w:rFonts w:ascii="Times New Roman" w:eastAsia="Times New Roman"/>
        </w:rPr>
        <w:t>010-85869755</w:t>
      </w:r>
    </w:p>
    <w:p>
      <w:pPr>
        <w:pStyle w:val="BodyText"/>
        <w:spacing w:line="269" w:lineRule="exact"/>
        <w:rPr>
          <w:rFonts w:ascii="Times New Roman" w:eastAsia="Times New Roman"/>
        </w:rPr>
      </w:pPr>
      <w:r>
        <w:rPr>
          <w:spacing w:val="-1"/>
        </w:rPr>
        <w:t>传真：</w:t>
      </w:r>
      <w:r>
        <w:rPr>
          <w:rFonts w:ascii="Times New Roman" w:eastAsia="Times New Roman"/>
          <w:spacing w:val="-1"/>
        </w:rPr>
        <w:t>010-85869575</w:t>
      </w:r>
    </w:p>
    <w:p>
      <w:pPr>
        <w:pStyle w:val="BodyText"/>
        <w:spacing w:before="4"/>
        <w:ind w:left="0"/>
        <w:rPr>
          <w:rFonts w:ascii="Times New Roman"/>
          <w:sz w:val="17"/>
        </w:rPr>
      </w:pPr>
    </w:p>
    <w:p>
      <w:pPr>
        <w:pStyle w:val="ListParagraph"/>
        <w:numPr>
          <w:ilvl w:val="0"/>
          <w:numId w:val="11"/>
        </w:numPr>
        <w:tabs>
          <w:tab w:pos="1170" w:val="left" w:leader="none"/>
        </w:tabs>
        <w:spacing w:line="240" w:lineRule="auto" w:before="0" w:after="0"/>
        <w:ind w:left="1169" w:right="0" w:hanging="530"/>
        <w:jc w:val="left"/>
        <w:rPr>
          <w:sz w:val="21"/>
        </w:rPr>
      </w:pPr>
      <w:r>
        <w:rPr>
          <w:spacing w:val="-3"/>
          <w:sz w:val="21"/>
        </w:rPr>
        <w:t>北京望京投资理财中心</w:t>
      </w:r>
    </w:p>
    <w:p>
      <w:pPr>
        <w:pStyle w:val="BodyText"/>
        <w:spacing w:before="7"/>
        <w:ind w:left="0"/>
        <w:rPr>
          <w:sz w:val="15"/>
        </w:rPr>
      </w:pPr>
    </w:p>
    <w:p>
      <w:pPr>
        <w:pStyle w:val="BodyText"/>
        <w:spacing w:line="417" w:lineRule="auto"/>
        <w:ind w:right="3195"/>
        <w:rPr>
          <w:rFonts w:ascii="Times New Roman" w:eastAsia="Times New Roman"/>
        </w:rPr>
      </w:pPr>
      <w:r>
        <w:rPr>
          <w:spacing w:val="-3"/>
        </w:rPr>
        <w:t>地址：北京市朝阳区望京宏泰东街绿地中国锦</w:t>
      </w:r>
      <w:r>
        <w:rPr>
          <w:rFonts w:ascii="Times New Roman" w:eastAsia="Times New Roman"/>
        </w:rPr>
        <w:t>103</w:t>
      </w:r>
      <w:r>
        <w:rPr/>
        <w:t>（</w:t>
      </w:r>
      <w:r>
        <w:rPr>
          <w:rFonts w:ascii="Times New Roman" w:eastAsia="Times New Roman"/>
        </w:rPr>
        <w:t>100102</w:t>
      </w:r>
      <w:r>
        <w:rPr/>
        <w:t>） 电话：</w:t>
      </w:r>
      <w:r>
        <w:rPr>
          <w:rFonts w:ascii="Times New Roman" w:eastAsia="Times New Roman"/>
        </w:rPr>
        <w:t>010-</w:t>
      </w:r>
      <w:r>
        <w:rPr>
          <w:rFonts w:ascii="Times New Roman" w:eastAsia="Times New Roman"/>
          <w:spacing w:val="-3"/>
        </w:rPr>
        <w:t> </w:t>
      </w:r>
      <w:r>
        <w:rPr>
          <w:rFonts w:ascii="Times New Roman" w:eastAsia="Times New Roman"/>
        </w:rPr>
        <w:t>64709882</w:t>
      </w:r>
    </w:p>
    <w:p>
      <w:pPr>
        <w:pStyle w:val="BodyText"/>
        <w:spacing w:line="269" w:lineRule="exact"/>
        <w:rPr>
          <w:rFonts w:ascii="Times New Roman" w:eastAsia="Times New Roman"/>
        </w:rPr>
      </w:pPr>
      <w:r>
        <w:rPr/>
        <w:t>传真：</w:t>
      </w:r>
      <w:r>
        <w:rPr>
          <w:rFonts w:ascii="Times New Roman" w:eastAsia="Times New Roman"/>
        </w:rPr>
        <w:t>010-</w:t>
      </w:r>
      <w:r>
        <w:rPr>
          <w:rFonts w:ascii="Times New Roman" w:eastAsia="Times New Roman"/>
          <w:spacing w:val="1"/>
        </w:rPr>
        <w:t> </w:t>
      </w:r>
      <w:r>
        <w:rPr>
          <w:rFonts w:ascii="Times New Roman" w:eastAsia="Times New Roman"/>
        </w:rPr>
        <w:t>64702330</w:t>
      </w:r>
    </w:p>
    <w:p>
      <w:pPr>
        <w:pStyle w:val="BodyText"/>
        <w:spacing w:before="3"/>
        <w:ind w:left="0"/>
        <w:rPr>
          <w:rFonts w:ascii="Times New Roman"/>
          <w:sz w:val="17"/>
        </w:rPr>
      </w:pPr>
    </w:p>
    <w:p>
      <w:pPr>
        <w:pStyle w:val="ListParagraph"/>
        <w:numPr>
          <w:ilvl w:val="0"/>
          <w:numId w:val="11"/>
        </w:numPr>
        <w:tabs>
          <w:tab w:pos="1170" w:val="left" w:leader="none"/>
        </w:tabs>
        <w:spacing w:line="240" w:lineRule="auto" w:before="1" w:after="0"/>
        <w:ind w:left="1169" w:right="0" w:hanging="530"/>
        <w:jc w:val="left"/>
        <w:rPr>
          <w:sz w:val="21"/>
        </w:rPr>
      </w:pPr>
      <w:r>
        <w:rPr>
          <w:spacing w:val="-3"/>
          <w:sz w:val="21"/>
        </w:rPr>
        <w:t>上海分公司</w:t>
      </w:r>
    </w:p>
    <w:p>
      <w:pPr>
        <w:pStyle w:val="BodyText"/>
        <w:spacing w:before="6"/>
        <w:ind w:left="0"/>
        <w:rPr>
          <w:sz w:val="15"/>
        </w:rPr>
      </w:pPr>
    </w:p>
    <w:p>
      <w:pPr>
        <w:pStyle w:val="BodyText"/>
      </w:pPr>
      <w:r>
        <w:rPr/>
        <w:t>地址：中国（上海）自由贸易试验区陆家嘴环路</w:t>
      </w:r>
      <w:r>
        <w:rPr>
          <w:rFonts w:ascii="Times New Roman" w:eastAsia="Times New Roman"/>
        </w:rPr>
        <w:t>1318</w:t>
      </w:r>
      <w:r>
        <w:rPr/>
        <w:t>号</w:t>
      </w:r>
      <w:r>
        <w:rPr>
          <w:rFonts w:ascii="Times New Roman" w:eastAsia="Times New Roman"/>
        </w:rPr>
        <w:t>1902</w:t>
      </w:r>
      <w:r>
        <w:rPr/>
        <w:t>室（</w:t>
      </w:r>
      <w:r>
        <w:rPr>
          <w:rFonts w:ascii="Times New Roman" w:eastAsia="Times New Roman"/>
        </w:rPr>
        <w:t>200120</w:t>
      </w:r>
      <w:r>
        <w:rPr/>
        <w:t>）</w:t>
      </w:r>
    </w:p>
    <w:p>
      <w:pPr>
        <w:spacing w:after="0"/>
        <w:sectPr>
          <w:pgSz w:w="11910" w:h="16840"/>
          <w:pgMar w:header="705" w:footer="683" w:top="1420" w:bottom="880" w:left="1580" w:right="920"/>
        </w:sectPr>
      </w:pPr>
    </w:p>
    <w:p>
      <w:pPr>
        <w:pStyle w:val="BodyText"/>
        <w:spacing w:line="417" w:lineRule="auto" w:before="110"/>
        <w:ind w:right="6906"/>
        <w:rPr>
          <w:rFonts w:ascii="Times New Roman" w:eastAsia="Times New Roman"/>
        </w:rPr>
      </w:pPr>
      <w:r>
        <w:rPr/>
        <w:t>电话：</w:t>
      </w:r>
      <w:r>
        <w:rPr>
          <w:rFonts w:ascii="Times New Roman" w:eastAsia="Times New Roman"/>
        </w:rPr>
        <w:t>021-58771599 </w:t>
      </w:r>
      <w:r>
        <w:rPr/>
        <w:t>传真：</w:t>
      </w:r>
      <w:r>
        <w:rPr>
          <w:rFonts w:ascii="Times New Roman" w:eastAsia="Times New Roman"/>
        </w:rPr>
        <w:t>021-58771998</w:t>
      </w:r>
    </w:p>
    <w:p>
      <w:pPr>
        <w:pStyle w:val="ListParagraph"/>
        <w:numPr>
          <w:ilvl w:val="0"/>
          <w:numId w:val="11"/>
        </w:numPr>
        <w:tabs>
          <w:tab w:pos="1170" w:val="left" w:leader="none"/>
        </w:tabs>
        <w:spacing w:line="269" w:lineRule="exact" w:before="0" w:after="0"/>
        <w:ind w:left="1169" w:right="0" w:hanging="530"/>
        <w:jc w:val="left"/>
        <w:rPr>
          <w:sz w:val="21"/>
        </w:rPr>
      </w:pPr>
      <w:r>
        <w:rPr>
          <w:spacing w:val="-3"/>
          <w:sz w:val="21"/>
        </w:rPr>
        <w:t>深圳分公司</w:t>
      </w:r>
    </w:p>
    <w:p>
      <w:pPr>
        <w:pStyle w:val="BodyText"/>
        <w:spacing w:before="6"/>
        <w:ind w:left="0"/>
        <w:rPr>
          <w:sz w:val="15"/>
        </w:rPr>
      </w:pPr>
    </w:p>
    <w:p>
      <w:pPr>
        <w:pStyle w:val="BodyText"/>
        <w:spacing w:line="417" w:lineRule="auto"/>
        <w:ind w:right="1617"/>
        <w:rPr>
          <w:rFonts w:ascii="Times New Roman" w:eastAsia="Times New Roman"/>
        </w:rPr>
      </w:pPr>
      <w:r>
        <w:rPr>
          <w:spacing w:val="-3"/>
        </w:rPr>
        <w:t>地址：深圳市福田区莲花街道益田路</w:t>
      </w:r>
      <w:r>
        <w:rPr>
          <w:rFonts w:ascii="Times New Roman" w:eastAsia="Times New Roman"/>
        </w:rPr>
        <w:t>6001</w:t>
      </w:r>
      <w:r>
        <w:rPr>
          <w:spacing w:val="-3"/>
        </w:rPr>
        <w:t>号太平金融大厦</w:t>
      </w:r>
      <w:r>
        <w:rPr>
          <w:rFonts w:ascii="Times New Roman" w:eastAsia="Times New Roman"/>
        </w:rPr>
        <w:t>40</w:t>
      </w:r>
      <w:r>
        <w:rPr>
          <w:spacing w:val="-3"/>
        </w:rPr>
        <w:t>层</w:t>
      </w:r>
      <w:r>
        <w:rPr>
          <w:rFonts w:ascii="Times New Roman" w:eastAsia="Times New Roman"/>
        </w:rPr>
        <w:t>02</w:t>
      </w:r>
      <w:r>
        <w:rPr>
          <w:spacing w:val="-3"/>
        </w:rPr>
        <w:t>室</w:t>
      </w:r>
      <w:r>
        <w:rPr/>
        <w:t>（</w:t>
      </w:r>
      <w:r>
        <w:rPr>
          <w:rFonts w:ascii="Times New Roman" w:eastAsia="Times New Roman"/>
        </w:rPr>
        <w:t>518038</w:t>
      </w:r>
      <w:r>
        <w:rPr/>
        <w:t>） 电话：</w:t>
      </w:r>
      <w:r>
        <w:rPr>
          <w:rFonts w:ascii="Times New Roman" w:eastAsia="Times New Roman"/>
        </w:rPr>
        <w:t>0755-82033033</w:t>
      </w:r>
    </w:p>
    <w:p>
      <w:pPr>
        <w:pStyle w:val="BodyText"/>
        <w:spacing w:line="269" w:lineRule="exact"/>
        <w:rPr>
          <w:rFonts w:ascii="Times New Roman" w:eastAsia="Times New Roman"/>
        </w:rPr>
      </w:pPr>
      <w:r>
        <w:rPr>
          <w:spacing w:val="-1"/>
        </w:rPr>
        <w:t>传真：</w:t>
      </w:r>
      <w:r>
        <w:rPr>
          <w:rFonts w:ascii="Times New Roman" w:eastAsia="Times New Roman"/>
          <w:spacing w:val="-1"/>
        </w:rPr>
        <w:t>0755-82031949</w:t>
      </w:r>
    </w:p>
    <w:p>
      <w:pPr>
        <w:pStyle w:val="BodyText"/>
        <w:spacing w:before="4"/>
        <w:ind w:left="0"/>
        <w:rPr>
          <w:rFonts w:ascii="Times New Roman"/>
          <w:sz w:val="17"/>
        </w:rPr>
      </w:pPr>
    </w:p>
    <w:p>
      <w:pPr>
        <w:pStyle w:val="ListParagraph"/>
        <w:numPr>
          <w:ilvl w:val="0"/>
          <w:numId w:val="11"/>
        </w:numPr>
        <w:tabs>
          <w:tab w:pos="1170" w:val="left" w:leader="none"/>
        </w:tabs>
        <w:spacing w:line="240" w:lineRule="auto" w:before="0" w:after="0"/>
        <w:ind w:left="1169" w:right="0" w:hanging="530"/>
        <w:jc w:val="left"/>
        <w:rPr>
          <w:sz w:val="21"/>
        </w:rPr>
      </w:pPr>
      <w:r>
        <w:rPr>
          <w:spacing w:val="-3"/>
          <w:sz w:val="21"/>
        </w:rPr>
        <w:t>南京分公司</w:t>
      </w:r>
    </w:p>
    <w:p>
      <w:pPr>
        <w:pStyle w:val="BodyText"/>
        <w:spacing w:before="7"/>
        <w:ind w:left="0"/>
        <w:rPr>
          <w:sz w:val="15"/>
        </w:rPr>
      </w:pPr>
    </w:p>
    <w:p>
      <w:pPr>
        <w:pStyle w:val="BodyText"/>
        <w:spacing w:line="417" w:lineRule="auto"/>
        <w:ind w:right="2215"/>
        <w:rPr>
          <w:rFonts w:ascii="Times New Roman" w:eastAsia="Times New Roman"/>
        </w:rPr>
      </w:pPr>
      <w:r>
        <w:rPr>
          <w:spacing w:val="-3"/>
        </w:rPr>
        <w:t>地址：南京市鼓楼区汉中路</w:t>
      </w:r>
      <w:r>
        <w:rPr>
          <w:rFonts w:ascii="Times New Roman" w:eastAsia="Times New Roman"/>
        </w:rPr>
        <w:t>2</w:t>
      </w:r>
      <w:r>
        <w:rPr>
          <w:spacing w:val="-3"/>
        </w:rPr>
        <w:t>号金陵饭店亚太商务楼</w:t>
      </w:r>
      <w:r>
        <w:rPr>
          <w:rFonts w:ascii="Times New Roman" w:eastAsia="Times New Roman"/>
        </w:rPr>
        <w:t>30</w:t>
      </w:r>
      <w:r>
        <w:rPr>
          <w:spacing w:val="-3"/>
        </w:rPr>
        <w:t>层</w:t>
      </w:r>
      <w:r>
        <w:rPr>
          <w:rFonts w:ascii="Times New Roman" w:eastAsia="Times New Roman"/>
        </w:rPr>
        <w:t>B</w:t>
      </w:r>
      <w:r>
        <w:rPr>
          <w:spacing w:val="-3"/>
        </w:rPr>
        <w:t>区</w:t>
      </w:r>
      <w:r>
        <w:rPr/>
        <w:t>（</w:t>
      </w:r>
      <w:r>
        <w:rPr>
          <w:rFonts w:ascii="Times New Roman" w:eastAsia="Times New Roman"/>
        </w:rPr>
        <w:t>210005</w:t>
      </w:r>
      <w:r>
        <w:rPr/>
        <w:t>） 电话：</w:t>
      </w:r>
      <w:r>
        <w:rPr>
          <w:rFonts w:ascii="Times New Roman" w:eastAsia="Times New Roman"/>
        </w:rPr>
        <w:t>025-84733916</w:t>
      </w:r>
    </w:p>
    <w:p>
      <w:pPr>
        <w:pStyle w:val="BodyText"/>
        <w:spacing w:line="269" w:lineRule="exact"/>
        <w:rPr>
          <w:rFonts w:ascii="Times New Roman" w:eastAsia="Times New Roman"/>
        </w:rPr>
      </w:pPr>
      <w:r>
        <w:rPr>
          <w:spacing w:val="-1"/>
        </w:rPr>
        <w:t>传真：</w:t>
      </w:r>
      <w:r>
        <w:rPr>
          <w:rFonts w:ascii="Times New Roman" w:eastAsia="Times New Roman"/>
          <w:spacing w:val="-1"/>
        </w:rPr>
        <w:t>025-84733928</w:t>
      </w:r>
    </w:p>
    <w:p>
      <w:pPr>
        <w:pStyle w:val="BodyText"/>
        <w:spacing w:before="4"/>
        <w:ind w:left="0"/>
        <w:rPr>
          <w:rFonts w:ascii="Times New Roman"/>
          <w:sz w:val="17"/>
        </w:rPr>
      </w:pPr>
    </w:p>
    <w:p>
      <w:pPr>
        <w:pStyle w:val="ListParagraph"/>
        <w:numPr>
          <w:ilvl w:val="0"/>
          <w:numId w:val="11"/>
        </w:numPr>
        <w:tabs>
          <w:tab w:pos="1170" w:val="left" w:leader="none"/>
        </w:tabs>
        <w:spacing w:line="240" w:lineRule="auto" w:before="0" w:after="0"/>
        <w:ind w:left="1169" w:right="0" w:hanging="530"/>
        <w:jc w:val="left"/>
        <w:rPr>
          <w:sz w:val="21"/>
        </w:rPr>
      </w:pPr>
      <w:r>
        <w:rPr>
          <w:spacing w:val="-3"/>
          <w:sz w:val="21"/>
        </w:rPr>
        <w:t>杭州分公司</w:t>
      </w:r>
    </w:p>
    <w:p>
      <w:pPr>
        <w:pStyle w:val="BodyText"/>
        <w:spacing w:before="6"/>
        <w:ind w:left="0"/>
        <w:rPr>
          <w:sz w:val="15"/>
        </w:rPr>
      </w:pPr>
    </w:p>
    <w:p>
      <w:pPr>
        <w:pStyle w:val="BodyText"/>
        <w:spacing w:line="417" w:lineRule="auto"/>
        <w:ind w:right="1176"/>
        <w:rPr>
          <w:rFonts w:ascii="Times New Roman" w:eastAsia="Times New Roman"/>
        </w:rPr>
      </w:pPr>
      <w:r>
        <w:rPr>
          <w:spacing w:val="-3"/>
        </w:rPr>
        <w:t>地址：浙江省杭州市西湖区杭大路</w:t>
      </w:r>
      <w:r>
        <w:rPr>
          <w:rFonts w:ascii="Times New Roman" w:eastAsia="Times New Roman"/>
          <w:spacing w:val="-3"/>
        </w:rPr>
        <w:t>1</w:t>
      </w:r>
      <w:r>
        <w:rPr>
          <w:spacing w:val="-3"/>
        </w:rPr>
        <w:t>号黄龙世纪广场</w:t>
      </w:r>
      <w:r>
        <w:rPr>
          <w:rFonts w:ascii="Times New Roman" w:eastAsia="Times New Roman"/>
        </w:rPr>
        <w:t>B</w:t>
      </w:r>
      <w:r>
        <w:rPr/>
        <w:t>区</w:t>
      </w:r>
      <w:r>
        <w:rPr>
          <w:rFonts w:ascii="Times New Roman" w:eastAsia="Times New Roman"/>
          <w:spacing w:val="-3"/>
        </w:rPr>
        <w:t>4</w:t>
      </w:r>
      <w:r>
        <w:rPr>
          <w:spacing w:val="-3"/>
        </w:rPr>
        <w:t>层</w:t>
      </w:r>
      <w:r>
        <w:rPr>
          <w:rFonts w:ascii="Times New Roman" w:eastAsia="Times New Roman"/>
        </w:rPr>
        <w:t>G05</w:t>
      </w:r>
      <w:r>
        <w:rPr/>
        <w:t>、</w:t>
      </w:r>
      <w:r>
        <w:rPr>
          <w:rFonts w:ascii="Times New Roman" w:eastAsia="Times New Roman"/>
        </w:rPr>
        <w:t>G06</w:t>
      </w:r>
      <w:r>
        <w:rPr>
          <w:spacing w:val="-3"/>
        </w:rPr>
        <w:t>室</w:t>
      </w:r>
      <w:r>
        <w:rPr/>
        <w:t>（</w:t>
      </w:r>
      <w:r>
        <w:rPr>
          <w:rFonts w:ascii="Times New Roman" w:eastAsia="Times New Roman"/>
        </w:rPr>
        <w:t>310007</w:t>
      </w:r>
      <w:r>
        <w:rPr/>
        <w:t>） 电话：</w:t>
      </w:r>
      <w:r>
        <w:rPr>
          <w:rFonts w:ascii="Times New Roman" w:eastAsia="Times New Roman"/>
        </w:rPr>
        <w:t>0571-89716606</w:t>
      </w:r>
    </w:p>
    <w:p>
      <w:pPr>
        <w:pStyle w:val="BodyText"/>
        <w:spacing w:line="269" w:lineRule="exact"/>
        <w:rPr>
          <w:rFonts w:ascii="Times New Roman" w:eastAsia="Times New Roman"/>
        </w:rPr>
      </w:pPr>
      <w:r>
        <w:rPr>
          <w:spacing w:val="-2"/>
        </w:rPr>
        <w:t>传真：</w:t>
      </w:r>
      <w:r>
        <w:rPr>
          <w:rFonts w:ascii="Times New Roman" w:eastAsia="Times New Roman"/>
          <w:spacing w:val="-2"/>
        </w:rPr>
        <w:t>0571-89716611</w:t>
      </w:r>
    </w:p>
    <w:p>
      <w:pPr>
        <w:pStyle w:val="BodyText"/>
        <w:spacing w:before="4"/>
        <w:ind w:left="0"/>
        <w:rPr>
          <w:rFonts w:ascii="Times New Roman"/>
          <w:sz w:val="17"/>
        </w:rPr>
      </w:pPr>
    </w:p>
    <w:p>
      <w:pPr>
        <w:pStyle w:val="ListParagraph"/>
        <w:numPr>
          <w:ilvl w:val="0"/>
          <w:numId w:val="11"/>
        </w:numPr>
        <w:tabs>
          <w:tab w:pos="1275" w:val="left" w:leader="none"/>
        </w:tabs>
        <w:spacing w:line="240" w:lineRule="auto" w:before="0" w:after="0"/>
        <w:ind w:left="1275" w:right="0" w:hanging="635"/>
        <w:jc w:val="left"/>
        <w:rPr>
          <w:sz w:val="21"/>
        </w:rPr>
      </w:pPr>
      <w:r>
        <w:rPr>
          <w:spacing w:val="-3"/>
          <w:sz w:val="21"/>
        </w:rPr>
        <w:t>广州分公司</w:t>
      </w:r>
    </w:p>
    <w:p>
      <w:pPr>
        <w:pStyle w:val="BodyText"/>
        <w:spacing w:before="7"/>
        <w:ind w:left="0"/>
        <w:rPr>
          <w:sz w:val="15"/>
        </w:rPr>
      </w:pPr>
    </w:p>
    <w:p>
      <w:pPr>
        <w:pStyle w:val="BodyText"/>
        <w:spacing w:line="417" w:lineRule="auto"/>
        <w:ind w:right="1305"/>
        <w:rPr>
          <w:rFonts w:ascii="Times New Roman" w:eastAsia="Times New Roman"/>
        </w:rPr>
      </w:pPr>
      <w:r>
        <w:rPr>
          <w:spacing w:val="-3"/>
        </w:rPr>
        <w:t>地址：广州市天河区珠江西路</w:t>
      </w:r>
      <w:r>
        <w:rPr>
          <w:rFonts w:ascii="Times New Roman" w:eastAsia="Times New Roman"/>
          <w:spacing w:val="-3"/>
        </w:rPr>
        <w:t>5</w:t>
      </w:r>
      <w:r>
        <w:rPr>
          <w:spacing w:val="-3"/>
        </w:rPr>
        <w:t>号广州国际金融中心主塔写字楼</w:t>
      </w:r>
      <w:r>
        <w:rPr>
          <w:rFonts w:ascii="Times New Roman" w:eastAsia="Times New Roman"/>
        </w:rPr>
        <w:t>5305</w:t>
      </w:r>
      <w:r>
        <w:rPr/>
        <w:t>房（</w:t>
      </w:r>
      <w:r>
        <w:rPr>
          <w:rFonts w:ascii="Times New Roman" w:eastAsia="Times New Roman"/>
        </w:rPr>
        <w:t>510623</w:t>
      </w:r>
      <w:r>
        <w:rPr/>
        <w:t>） 电话：</w:t>
      </w:r>
      <w:r>
        <w:rPr>
          <w:rFonts w:ascii="Times New Roman" w:eastAsia="Times New Roman"/>
        </w:rPr>
        <w:t>020-38461058</w:t>
      </w:r>
    </w:p>
    <w:p>
      <w:pPr>
        <w:pStyle w:val="BodyText"/>
        <w:spacing w:line="269" w:lineRule="exact"/>
        <w:rPr>
          <w:rFonts w:ascii="Times New Roman" w:eastAsia="Times New Roman"/>
        </w:rPr>
      </w:pPr>
      <w:r>
        <w:rPr>
          <w:spacing w:val="-1"/>
        </w:rPr>
        <w:t>传真：</w:t>
      </w:r>
      <w:r>
        <w:rPr>
          <w:rFonts w:ascii="Times New Roman" w:eastAsia="Times New Roman"/>
          <w:spacing w:val="-1"/>
        </w:rPr>
        <w:t>020-38067182</w:t>
      </w:r>
    </w:p>
    <w:p>
      <w:pPr>
        <w:pStyle w:val="BodyText"/>
        <w:spacing w:before="3"/>
        <w:ind w:left="0"/>
        <w:rPr>
          <w:rFonts w:ascii="Times New Roman"/>
          <w:sz w:val="17"/>
        </w:rPr>
      </w:pPr>
    </w:p>
    <w:p>
      <w:pPr>
        <w:pStyle w:val="ListParagraph"/>
        <w:numPr>
          <w:ilvl w:val="0"/>
          <w:numId w:val="11"/>
        </w:numPr>
        <w:tabs>
          <w:tab w:pos="1266" w:val="left" w:leader="none"/>
        </w:tabs>
        <w:spacing w:line="240" w:lineRule="auto" w:before="1" w:after="0"/>
        <w:ind w:left="1265" w:right="0" w:hanging="626"/>
        <w:jc w:val="left"/>
        <w:rPr>
          <w:sz w:val="21"/>
        </w:rPr>
      </w:pPr>
      <w:r>
        <w:rPr>
          <w:spacing w:val="-3"/>
          <w:sz w:val="21"/>
        </w:rPr>
        <w:t>广州天河投资理财中心</w:t>
      </w:r>
    </w:p>
    <w:p>
      <w:pPr>
        <w:pStyle w:val="BodyText"/>
        <w:spacing w:before="6"/>
        <w:ind w:left="0"/>
        <w:rPr>
          <w:sz w:val="15"/>
        </w:rPr>
      </w:pPr>
    </w:p>
    <w:p>
      <w:pPr>
        <w:pStyle w:val="BodyText"/>
        <w:spacing w:line="417" w:lineRule="auto"/>
        <w:ind w:right="4035"/>
        <w:rPr>
          <w:rFonts w:ascii="Times New Roman" w:eastAsia="Times New Roman"/>
        </w:rPr>
      </w:pPr>
      <w:r>
        <w:rPr>
          <w:spacing w:val="-3"/>
        </w:rPr>
        <w:t>地址：广州市天河区珠江西路</w:t>
      </w:r>
      <w:r>
        <w:rPr>
          <w:rFonts w:ascii="Times New Roman" w:eastAsia="Times New Roman"/>
          <w:spacing w:val="-3"/>
        </w:rPr>
        <w:t>5</w:t>
      </w:r>
      <w:r>
        <w:rPr/>
        <w:t>号</w:t>
      </w:r>
      <w:r>
        <w:rPr>
          <w:rFonts w:ascii="Times New Roman" w:eastAsia="Times New Roman"/>
        </w:rPr>
        <w:t>5306</w:t>
      </w:r>
      <w:r>
        <w:rPr>
          <w:spacing w:val="-3"/>
        </w:rPr>
        <w:t>房</w:t>
      </w:r>
      <w:r>
        <w:rPr/>
        <w:t>（</w:t>
      </w:r>
      <w:r>
        <w:rPr>
          <w:rFonts w:ascii="Times New Roman" w:eastAsia="Times New Roman"/>
        </w:rPr>
        <w:t>510623</w:t>
      </w:r>
      <w:r>
        <w:rPr/>
        <w:t>） 电话：</w:t>
      </w:r>
      <w:r>
        <w:rPr>
          <w:rFonts w:ascii="Times New Roman" w:eastAsia="Times New Roman"/>
        </w:rPr>
        <w:t>020-38460001</w:t>
      </w:r>
    </w:p>
    <w:p>
      <w:pPr>
        <w:pStyle w:val="BodyText"/>
        <w:spacing w:before="1"/>
        <w:rPr>
          <w:rFonts w:ascii="Times New Roman" w:eastAsia="Times New Roman"/>
        </w:rPr>
      </w:pPr>
      <w:r>
        <w:rPr>
          <w:spacing w:val="-1"/>
        </w:rPr>
        <w:t>传真：</w:t>
      </w:r>
      <w:r>
        <w:rPr>
          <w:rFonts w:ascii="Times New Roman" w:eastAsia="Times New Roman"/>
          <w:spacing w:val="-1"/>
        </w:rPr>
        <w:t>020-38067182</w:t>
      </w:r>
    </w:p>
    <w:p>
      <w:pPr>
        <w:pStyle w:val="BodyText"/>
        <w:spacing w:before="3"/>
        <w:ind w:left="0"/>
        <w:rPr>
          <w:rFonts w:ascii="Times New Roman"/>
          <w:sz w:val="17"/>
        </w:rPr>
      </w:pPr>
    </w:p>
    <w:p>
      <w:pPr>
        <w:pStyle w:val="ListParagraph"/>
        <w:numPr>
          <w:ilvl w:val="0"/>
          <w:numId w:val="11"/>
        </w:numPr>
        <w:tabs>
          <w:tab w:pos="1275" w:val="left" w:leader="none"/>
        </w:tabs>
        <w:spacing w:line="240" w:lineRule="auto" w:before="0" w:after="0"/>
        <w:ind w:left="1275" w:right="0" w:hanging="635"/>
        <w:jc w:val="left"/>
        <w:rPr>
          <w:sz w:val="21"/>
        </w:rPr>
      </w:pPr>
      <w:r>
        <w:rPr>
          <w:spacing w:val="-3"/>
          <w:sz w:val="21"/>
        </w:rPr>
        <w:t>成都分公司</w:t>
      </w:r>
    </w:p>
    <w:p>
      <w:pPr>
        <w:pStyle w:val="BodyText"/>
        <w:spacing w:before="7"/>
        <w:ind w:left="0"/>
        <w:rPr>
          <w:sz w:val="15"/>
        </w:rPr>
      </w:pPr>
    </w:p>
    <w:p>
      <w:pPr>
        <w:pStyle w:val="BodyText"/>
        <w:spacing w:line="417" w:lineRule="auto"/>
        <w:ind w:right="664"/>
        <w:rPr>
          <w:rFonts w:ascii="Times New Roman" w:eastAsia="Times New Roman"/>
        </w:rPr>
      </w:pPr>
      <w:r>
        <w:rPr>
          <w:spacing w:val="-13"/>
        </w:rPr>
        <w:t>地址：成都市高新区交子大道</w:t>
      </w:r>
      <w:r>
        <w:rPr>
          <w:rFonts w:ascii="Times New Roman" w:eastAsia="Times New Roman"/>
          <w:spacing w:val="-1"/>
        </w:rPr>
        <w:t>177</w:t>
      </w:r>
      <w:r>
        <w:rPr>
          <w:spacing w:val="-3"/>
        </w:rPr>
        <w:t>号中海国际中心</w:t>
      </w:r>
      <w:r>
        <w:rPr>
          <w:rFonts w:ascii="Times New Roman" w:eastAsia="Times New Roman"/>
        </w:rPr>
        <w:t>B</w:t>
      </w:r>
      <w:r>
        <w:rPr/>
        <w:t>座</w:t>
      </w:r>
      <w:r>
        <w:rPr>
          <w:rFonts w:ascii="Times New Roman" w:eastAsia="Times New Roman"/>
          <w:spacing w:val="-3"/>
        </w:rPr>
        <w:t>1</w:t>
      </w:r>
      <w:r>
        <w:rPr/>
        <w:t>栋</w:t>
      </w:r>
      <w:r>
        <w:rPr>
          <w:rFonts w:ascii="Times New Roman" w:eastAsia="Times New Roman"/>
        </w:rPr>
        <w:t>1</w:t>
      </w:r>
      <w:r>
        <w:rPr>
          <w:spacing w:val="-2"/>
        </w:rPr>
        <w:t>单元</w:t>
      </w:r>
      <w:r>
        <w:rPr>
          <w:rFonts w:ascii="Times New Roman" w:eastAsia="Times New Roman"/>
        </w:rPr>
        <w:t>14</w:t>
      </w:r>
      <w:r>
        <w:rPr/>
        <w:t>层</w:t>
      </w:r>
      <w:r>
        <w:rPr>
          <w:rFonts w:ascii="Times New Roman" w:eastAsia="Times New Roman"/>
        </w:rPr>
        <w:t>1406-1407</w:t>
      </w:r>
      <w:r>
        <w:rPr>
          <w:spacing w:val="-101"/>
        </w:rPr>
        <w:t>号</w:t>
      </w:r>
      <w:r>
        <w:rPr/>
        <w:t>（</w:t>
      </w:r>
      <w:r>
        <w:rPr>
          <w:rFonts w:ascii="Times New Roman" w:eastAsia="Times New Roman"/>
        </w:rPr>
        <w:t>610000</w:t>
      </w:r>
      <w:r>
        <w:rPr/>
        <w:t>） 电话：</w:t>
      </w:r>
      <w:r>
        <w:rPr>
          <w:rFonts w:ascii="Times New Roman" w:eastAsia="Times New Roman"/>
        </w:rPr>
        <w:t>028-65730073</w:t>
      </w:r>
    </w:p>
    <w:p>
      <w:pPr>
        <w:pStyle w:val="BodyText"/>
        <w:spacing w:line="269" w:lineRule="exact"/>
        <w:rPr>
          <w:rFonts w:ascii="Times New Roman" w:eastAsia="Times New Roman"/>
        </w:rPr>
      </w:pPr>
      <w:r>
        <w:rPr>
          <w:spacing w:val="-2"/>
        </w:rPr>
        <w:t>传真：</w:t>
      </w:r>
      <w:r>
        <w:rPr>
          <w:rFonts w:ascii="Times New Roman" w:eastAsia="Times New Roman"/>
          <w:spacing w:val="-2"/>
        </w:rPr>
        <w:t>028-86725411</w:t>
      </w:r>
    </w:p>
    <w:p>
      <w:pPr>
        <w:pStyle w:val="BodyText"/>
        <w:spacing w:before="3"/>
        <w:ind w:left="0"/>
        <w:rPr>
          <w:rFonts w:ascii="Times New Roman"/>
          <w:sz w:val="17"/>
        </w:rPr>
      </w:pPr>
    </w:p>
    <w:p>
      <w:pPr>
        <w:pStyle w:val="ListParagraph"/>
        <w:numPr>
          <w:ilvl w:val="0"/>
          <w:numId w:val="11"/>
        </w:numPr>
        <w:tabs>
          <w:tab w:pos="1275" w:val="left" w:leader="none"/>
        </w:tabs>
        <w:spacing w:line="240" w:lineRule="auto" w:before="0" w:after="0"/>
        <w:ind w:left="1275" w:right="0" w:hanging="635"/>
        <w:jc w:val="left"/>
        <w:rPr>
          <w:sz w:val="21"/>
        </w:rPr>
      </w:pPr>
      <w:r>
        <w:rPr>
          <w:spacing w:val="-2"/>
          <w:sz w:val="21"/>
        </w:rPr>
        <w:t>电子交易</w:t>
      </w:r>
    </w:p>
    <w:p>
      <w:pPr>
        <w:pStyle w:val="BodyText"/>
        <w:spacing w:before="7"/>
        <w:ind w:left="0"/>
        <w:rPr>
          <w:sz w:val="15"/>
        </w:rPr>
      </w:pPr>
    </w:p>
    <w:p>
      <w:pPr>
        <w:pStyle w:val="BodyText"/>
        <w:spacing w:line="417" w:lineRule="auto"/>
        <w:ind w:left="220" w:right="871" w:firstLine="419"/>
        <w:jc w:val="both"/>
      </w:pPr>
      <w:r>
        <w:rPr>
          <w:spacing w:val="-9"/>
        </w:rPr>
        <w:t>本公司电子交易包括网上交易、移动客户端交易等。投资者可以通过本公司网上交易系</w:t>
      </w:r>
      <w:r>
        <w:rPr>
          <w:spacing w:val="-11"/>
        </w:rPr>
        <w:t>统或移动客户端办理基金的申购、赎回等业务，具体业务办理情况及业务规则请登录本公司</w:t>
      </w:r>
      <w:r>
        <w:rPr>
          <w:spacing w:val="-6"/>
        </w:rPr>
        <w:t>网站查询。本公司网址：</w:t>
      </w:r>
      <w:hyperlink r:id="rId11">
        <w:r>
          <w:rPr>
            <w:rFonts w:ascii="Times New Roman" w:eastAsia="Times New Roman"/>
          </w:rPr>
          <w:t>www.ChinaAMC.com</w:t>
        </w:r>
      </w:hyperlink>
      <w:r>
        <w:rPr/>
        <w:t>。</w:t>
      </w:r>
    </w:p>
    <w:p>
      <w:pPr>
        <w:spacing w:after="0" w:line="417" w:lineRule="auto"/>
        <w:jc w:val="both"/>
        <w:sectPr>
          <w:pgSz w:w="11910" w:h="16840"/>
          <w:pgMar w:header="705" w:footer="683" w:top="1420" w:bottom="880" w:left="1580" w:right="920"/>
        </w:sectPr>
      </w:pPr>
    </w:p>
    <w:p>
      <w:pPr>
        <w:pStyle w:val="BodyText"/>
        <w:spacing w:before="110"/>
      </w:pPr>
      <w:r>
        <w:rPr>
          <w:rFonts w:ascii="Times New Roman" w:eastAsia="Times New Roman"/>
        </w:rPr>
        <w:t>2</w:t>
      </w:r>
      <w:r>
        <w:rPr/>
        <w:t>、代销机构</w:t>
      </w:r>
    </w:p>
    <w:p>
      <w:pPr>
        <w:pStyle w:val="BodyText"/>
        <w:spacing w:before="6"/>
        <w:ind w:left="0"/>
        <w:rPr>
          <w:sz w:val="15"/>
        </w:rPr>
      </w:pPr>
    </w:p>
    <w:p>
      <w:pPr>
        <w:pStyle w:val="BodyText"/>
        <w:spacing w:line="417" w:lineRule="auto"/>
        <w:ind w:left="220" w:right="876" w:firstLine="419"/>
      </w:pPr>
      <w:r>
        <w:rPr/>
        <w:t>本基金代销机构的名称、住所等信息请详见本招募说明书“十九、相关服务机构”中“（二）代销机构”的相关描述。</w:t>
      </w:r>
    </w:p>
    <w:p>
      <w:pPr>
        <w:pStyle w:val="BodyText"/>
        <w:spacing w:line="417" w:lineRule="auto"/>
        <w:ind w:left="220" w:right="871" w:firstLine="419"/>
        <w:jc w:val="both"/>
      </w:pPr>
      <w:r>
        <w:rPr/>
        <w:t>投资者可以在销售机构办理基金销售业务的营业场所或按销售机构提供的其他方式办</w:t>
      </w:r>
      <w:r>
        <w:rPr>
          <w:spacing w:val="-10"/>
        </w:rPr>
        <w:t>理基金的申购与赎回。基金管理人可根据情况变更或增减销售机构，并在基金管理人网站公示。</w:t>
      </w:r>
    </w:p>
    <w:p>
      <w:pPr>
        <w:pStyle w:val="BodyText"/>
        <w:spacing w:line="269" w:lineRule="exact"/>
      </w:pPr>
      <w:r>
        <w:rPr/>
        <w:t>（三）基金规模控制</w:t>
      </w:r>
    </w:p>
    <w:p>
      <w:pPr>
        <w:pStyle w:val="BodyText"/>
        <w:spacing w:before="7"/>
        <w:ind w:left="0"/>
        <w:rPr>
          <w:sz w:val="15"/>
        </w:rPr>
      </w:pPr>
    </w:p>
    <w:p>
      <w:pPr>
        <w:pStyle w:val="BodyText"/>
        <w:spacing w:line="417" w:lineRule="auto"/>
        <w:ind w:left="220" w:right="829" w:firstLine="419"/>
      </w:pPr>
      <w:r>
        <w:rPr/>
        <w:t>基金管理人可根据中国证监会、外管局核准的境外证券投资额度、目标</w:t>
      </w:r>
      <w:r>
        <w:rPr>
          <w:rFonts w:ascii="Times New Roman" w:eastAsia="Times New Roman"/>
        </w:rPr>
        <w:t>ETF</w:t>
      </w:r>
      <w:r>
        <w:rPr/>
        <w:t>的规模限制等，对基金规模进行控制。</w:t>
      </w:r>
    </w:p>
    <w:p>
      <w:pPr>
        <w:pStyle w:val="BodyText"/>
        <w:spacing w:line="269" w:lineRule="exact"/>
      </w:pPr>
      <w:r>
        <w:rPr/>
        <w:t>（四）申购和赎回的开放日及时间</w:t>
      </w:r>
    </w:p>
    <w:p>
      <w:pPr>
        <w:pStyle w:val="BodyText"/>
        <w:spacing w:before="7"/>
        <w:ind w:left="0"/>
        <w:rPr>
          <w:sz w:val="15"/>
        </w:rPr>
      </w:pPr>
    </w:p>
    <w:p>
      <w:pPr>
        <w:pStyle w:val="BodyText"/>
      </w:pPr>
      <w:r>
        <w:rPr>
          <w:rFonts w:ascii="Times New Roman" w:eastAsia="Times New Roman"/>
        </w:rPr>
        <w:t>1</w:t>
      </w:r>
      <w:r>
        <w:rPr/>
        <w:t>、开放日及开放时间</w:t>
      </w:r>
    </w:p>
    <w:p>
      <w:pPr>
        <w:pStyle w:val="BodyText"/>
        <w:spacing w:before="7"/>
        <w:ind w:left="0"/>
        <w:rPr>
          <w:sz w:val="15"/>
        </w:rPr>
      </w:pPr>
    </w:p>
    <w:p>
      <w:pPr>
        <w:pStyle w:val="BodyText"/>
        <w:spacing w:line="417" w:lineRule="auto"/>
        <w:ind w:left="220" w:right="870" w:firstLine="419"/>
        <w:jc w:val="both"/>
      </w:pPr>
      <w:r>
        <w:rPr>
          <w:spacing w:val="-7"/>
        </w:rPr>
        <w:t>本基金的开放日为深圳证券交易所和上海证券交易所的交易日，但基金管理人公告暂停</w:t>
      </w:r>
      <w:r>
        <w:rPr>
          <w:spacing w:val="-11"/>
        </w:rPr>
        <w:t>申购或赎回等业务时除外。开放日的具体业务办理时间以销售机构规定的时间为准。投资者在基金合同约定的日期和时间之外提出申购、赎回申请且登记结算机构接收确认的，其基金</w:t>
      </w:r>
      <w:r>
        <w:rPr>
          <w:spacing w:val="-6"/>
        </w:rPr>
        <w:t>份额申购、赎回价格为下次办理基金份额申购、赎回时间所在开放日的价格。</w:t>
      </w:r>
    </w:p>
    <w:p>
      <w:pPr>
        <w:pStyle w:val="BodyText"/>
        <w:spacing w:line="417" w:lineRule="auto"/>
        <w:ind w:left="220" w:right="871" w:firstLine="419"/>
      </w:pPr>
      <w:r>
        <w:rPr>
          <w:spacing w:val="-8"/>
        </w:rPr>
        <w:t>若证券交易场所交易时间变更或实际情况需要，基金管理人将视情况对前述开放日及开</w:t>
      </w:r>
      <w:r>
        <w:rPr>
          <w:spacing w:val="-5"/>
        </w:rPr>
        <w:t>放时间进行相应的调整并公告。</w:t>
      </w:r>
    </w:p>
    <w:p>
      <w:pPr>
        <w:pStyle w:val="BodyText"/>
        <w:spacing w:line="269" w:lineRule="exact"/>
      </w:pPr>
      <w:r>
        <w:rPr>
          <w:rFonts w:ascii="Times New Roman" w:eastAsia="Times New Roman"/>
        </w:rPr>
        <w:t>2</w:t>
      </w:r>
      <w:r>
        <w:rPr/>
        <w:t>、申购与赎回的开始时间</w:t>
      </w:r>
    </w:p>
    <w:p>
      <w:pPr>
        <w:pStyle w:val="BodyText"/>
        <w:spacing w:before="6"/>
        <w:ind w:left="0"/>
        <w:rPr>
          <w:sz w:val="15"/>
        </w:rPr>
      </w:pPr>
    </w:p>
    <w:p>
      <w:pPr>
        <w:pStyle w:val="BodyText"/>
        <w:spacing w:line="417" w:lineRule="auto"/>
        <w:ind w:left="220" w:right="871" w:firstLine="419"/>
      </w:pPr>
      <w:r>
        <w:rPr>
          <w:spacing w:val="-2"/>
        </w:rPr>
        <w:t>本基金已于</w:t>
      </w:r>
      <w:r>
        <w:rPr>
          <w:rFonts w:ascii="Times New Roman" w:eastAsia="Times New Roman"/>
        </w:rPr>
        <w:t>2012</w:t>
      </w:r>
      <w:r>
        <w:rPr/>
        <w:t>年</w:t>
      </w:r>
      <w:r>
        <w:rPr>
          <w:rFonts w:ascii="Times New Roman" w:eastAsia="Times New Roman"/>
        </w:rPr>
        <w:t>10</w:t>
      </w:r>
      <w:r>
        <w:rPr/>
        <w:t>月</w:t>
      </w:r>
      <w:r>
        <w:rPr>
          <w:rFonts w:ascii="Times New Roman" w:eastAsia="Times New Roman"/>
        </w:rPr>
        <w:t>30</w:t>
      </w:r>
      <w:r>
        <w:rPr>
          <w:spacing w:val="-3"/>
        </w:rPr>
        <w:t>日起开始办理</w:t>
      </w:r>
      <w:r>
        <w:rPr>
          <w:rFonts w:ascii="Times New Roman" w:eastAsia="Times New Roman"/>
        </w:rPr>
        <w:t>A</w:t>
      </w:r>
      <w:r>
        <w:rPr>
          <w:spacing w:val="-6"/>
        </w:rPr>
        <w:t>类基金份额的日常申购、赎回、定期定额申购</w:t>
      </w:r>
      <w:r>
        <w:rPr>
          <w:spacing w:val="-13"/>
        </w:rPr>
        <w:t>业务，已自</w:t>
      </w:r>
      <w:r>
        <w:rPr>
          <w:rFonts w:ascii="Times New Roman" w:eastAsia="Times New Roman"/>
        </w:rPr>
        <w:t>2018</w:t>
      </w:r>
      <w:r>
        <w:rPr/>
        <w:t>年</w:t>
      </w:r>
      <w:r>
        <w:rPr>
          <w:rFonts w:ascii="Times New Roman" w:eastAsia="Times New Roman"/>
          <w:spacing w:val="-3"/>
        </w:rPr>
        <w:t>9</w:t>
      </w:r>
      <w:r>
        <w:rPr/>
        <w:t>月</w:t>
      </w:r>
      <w:r>
        <w:rPr>
          <w:rFonts w:ascii="Times New Roman" w:eastAsia="Times New Roman"/>
        </w:rPr>
        <w:t>19</w:t>
      </w:r>
      <w:r>
        <w:rPr>
          <w:spacing w:val="-3"/>
        </w:rPr>
        <w:t>日起开始办理</w:t>
      </w:r>
      <w:r>
        <w:rPr>
          <w:rFonts w:ascii="Times New Roman" w:eastAsia="Times New Roman"/>
        </w:rPr>
        <w:t>C</w:t>
      </w:r>
      <w:r>
        <w:rPr>
          <w:spacing w:val="-10"/>
        </w:rPr>
        <w:t>类基金份额的日常申购、赎回、定期定额申购业务。</w:t>
      </w:r>
    </w:p>
    <w:p>
      <w:pPr>
        <w:pStyle w:val="BodyText"/>
        <w:spacing w:line="269" w:lineRule="exact"/>
      </w:pPr>
      <w:r>
        <w:rPr/>
        <w:t>（五）申购和赎回的原则</w:t>
      </w:r>
    </w:p>
    <w:p>
      <w:pPr>
        <w:pStyle w:val="BodyText"/>
        <w:spacing w:before="8"/>
        <w:ind w:left="0"/>
        <w:rPr>
          <w:sz w:val="15"/>
        </w:rPr>
      </w:pPr>
    </w:p>
    <w:p>
      <w:pPr>
        <w:pStyle w:val="BodyText"/>
        <w:spacing w:line="417" w:lineRule="auto"/>
        <w:ind w:left="220" w:right="874" w:firstLine="419"/>
      </w:pPr>
      <w:r>
        <w:rPr>
          <w:rFonts w:ascii="Times New Roman" w:eastAsia="Times New Roman"/>
        </w:rPr>
        <w:t>1</w:t>
      </w:r>
      <w:r>
        <w:rPr/>
        <w:t>、本基金采用多币种销售，投资者在申购时可自行选择申购币种，赎回币种与其对应份额的认购</w:t>
      </w:r>
      <w:r>
        <w:rPr>
          <w:rFonts w:ascii="Times New Roman" w:eastAsia="Times New Roman"/>
        </w:rPr>
        <w:t>/</w:t>
      </w:r>
      <w:r>
        <w:rPr/>
        <w:t>申购币种相同。</w:t>
      </w:r>
    </w:p>
    <w:p>
      <w:pPr>
        <w:pStyle w:val="BodyText"/>
        <w:spacing w:line="417" w:lineRule="auto"/>
        <w:ind w:left="220" w:right="986" w:firstLine="419"/>
        <w:jc w:val="both"/>
      </w:pPr>
      <w:r>
        <w:rPr>
          <w:rFonts w:ascii="Times New Roman" w:eastAsia="Times New Roman"/>
        </w:rPr>
        <w:t>2</w:t>
      </w:r>
      <w:r>
        <w:rPr>
          <w:spacing w:val="-11"/>
        </w:rPr>
        <w:t>、本基金份额分为多个类别，适用不同的申购费率或销售服务费率，</w:t>
      </w:r>
      <w:r>
        <w:rPr>
          <w:rFonts w:ascii="Times New Roman" w:eastAsia="Times New Roman"/>
          <w:spacing w:val="-19"/>
        </w:rPr>
        <w:t>A </w:t>
      </w:r>
      <w:r>
        <w:rPr>
          <w:spacing w:val="-3"/>
        </w:rPr>
        <w:t>类份额采用人民币和美元销售，</w:t>
      </w:r>
      <w:r>
        <w:rPr>
          <w:rFonts w:ascii="Times New Roman" w:eastAsia="Times New Roman"/>
        </w:rPr>
        <w:t>C</w:t>
      </w:r>
      <w:r>
        <w:rPr>
          <w:rFonts w:ascii="Times New Roman" w:eastAsia="Times New Roman"/>
          <w:spacing w:val="51"/>
        </w:rPr>
        <w:t> </w:t>
      </w:r>
      <w:r>
        <w:rPr>
          <w:spacing w:val="-3"/>
        </w:rPr>
        <w:t>类份额目前仅采用人民币销售。投资者在申购时可自行选择基金份额类别及申购币种。</w:t>
      </w:r>
    </w:p>
    <w:p>
      <w:pPr>
        <w:pStyle w:val="BodyText"/>
        <w:spacing w:line="417" w:lineRule="auto"/>
        <w:ind w:left="220" w:right="873" w:firstLine="419"/>
      </w:pPr>
      <w:r>
        <w:rPr>
          <w:rFonts w:ascii="Times New Roman" w:hAnsi="Times New Roman" w:eastAsia="Times New Roman"/>
        </w:rPr>
        <w:t>3</w:t>
      </w:r>
      <w:r>
        <w:rPr/>
        <w:t>、“未知价”原则，人民币申购与赎回价格以受理申请当日的基金份额净值为基准进行计算；美元申购与赎回价格以受理申请当日的美元折算净值为基准计算。</w:t>
      </w:r>
    </w:p>
    <w:p>
      <w:pPr>
        <w:pStyle w:val="BodyText"/>
      </w:pPr>
      <w:r>
        <w:rPr>
          <w:rFonts w:ascii="Times New Roman" w:eastAsia="Times New Roman"/>
        </w:rPr>
        <w:t>4</w:t>
      </w:r>
      <w:r>
        <w:rPr/>
        <w:t>、基金采用金额申购和份额赎回的方式，即申购以金额申请，赎回以份额申请。</w:t>
      </w:r>
    </w:p>
    <w:p>
      <w:pPr>
        <w:pStyle w:val="BodyText"/>
        <w:spacing w:before="6"/>
        <w:ind w:left="0"/>
        <w:rPr>
          <w:sz w:val="15"/>
        </w:rPr>
      </w:pPr>
    </w:p>
    <w:p>
      <w:pPr>
        <w:pStyle w:val="BodyText"/>
      </w:pPr>
      <w:r>
        <w:rPr>
          <w:rFonts w:ascii="Times New Roman" w:eastAsia="Times New Roman"/>
        </w:rPr>
        <w:t>5</w:t>
      </w:r>
      <w:r>
        <w:rPr/>
        <w:t>、当日的申购与赎回申请可以在基金管理人规定的时间以内撤销。</w:t>
      </w:r>
    </w:p>
    <w:p>
      <w:pPr>
        <w:spacing w:after="0"/>
        <w:sectPr>
          <w:pgSz w:w="11910" w:h="16840"/>
          <w:pgMar w:header="705" w:footer="683" w:top="1420" w:bottom="880" w:left="1580" w:right="920"/>
        </w:sectPr>
      </w:pPr>
    </w:p>
    <w:p>
      <w:pPr>
        <w:pStyle w:val="BodyText"/>
        <w:spacing w:line="417" w:lineRule="auto" w:before="110"/>
        <w:ind w:left="220" w:right="874" w:firstLine="419"/>
      </w:pPr>
      <w:r>
        <w:rPr>
          <w:rFonts w:ascii="Times New Roman" w:eastAsia="Times New Roman"/>
        </w:rPr>
        <w:t>6</w:t>
      </w:r>
      <w:r>
        <w:rPr/>
        <w:t>、基金管理人在不损害基金份额持有人权益的情况下可更改上述原则，但最迟应在新的原则实施三日前在至少一种指定媒介公告。</w:t>
      </w:r>
    </w:p>
    <w:p>
      <w:pPr>
        <w:pStyle w:val="BodyText"/>
        <w:spacing w:line="269" w:lineRule="exact"/>
      </w:pPr>
      <w:r>
        <w:rPr/>
        <w:t>（六）申购和赎回的数额限制</w:t>
      </w:r>
    </w:p>
    <w:p>
      <w:pPr>
        <w:pStyle w:val="BodyText"/>
        <w:spacing w:before="6"/>
        <w:ind w:left="0"/>
        <w:rPr>
          <w:sz w:val="15"/>
        </w:rPr>
      </w:pPr>
    </w:p>
    <w:p>
      <w:pPr>
        <w:pStyle w:val="BodyText"/>
        <w:spacing w:line="417" w:lineRule="auto"/>
        <w:ind w:left="220" w:right="986" w:firstLine="419"/>
        <w:jc w:val="both"/>
      </w:pPr>
      <w:r>
        <w:rPr>
          <w:rFonts w:ascii="Times New Roman" w:eastAsia="Times New Roman"/>
        </w:rPr>
        <w:t>1</w:t>
      </w:r>
      <w:r>
        <w:rPr>
          <w:spacing w:val="-13"/>
        </w:rPr>
        <w:t>、人民币</w:t>
      </w:r>
      <w:r>
        <w:rPr/>
        <w:t>（</w:t>
      </w:r>
      <w:r>
        <w:rPr>
          <w:spacing w:val="-3"/>
        </w:rPr>
        <w:t>直销机构或华夏财富</w:t>
      </w:r>
      <w:r>
        <w:rPr>
          <w:spacing w:val="-11"/>
        </w:rPr>
        <w:t>）</w:t>
      </w:r>
      <w:r>
        <w:rPr>
          <w:rFonts w:ascii="Times New Roman" w:eastAsia="Times New Roman"/>
          <w:spacing w:val="-11"/>
        </w:rPr>
        <w:t>A </w:t>
      </w:r>
      <w:r>
        <w:rPr>
          <w:spacing w:val="-12"/>
        </w:rPr>
        <w:t>类、</w:t>
      </w:r>
      <w:r>
        <w:rPr>
          <w:rFonts w:ascii="Times New Roman" w:eastAsia="Times New Roman"/>
        </w:rPr>
        <w:t>C </w:t>
      </w:r>
      <w:r>
        <w:rPr>
          <w:spacing w:val="-6"/>
        </w:rPr>
        <w:t>类基金份额的每次最低申购金额均为 </w:t>
      </w:r>
      <w:r>
        <w:rPr>
          <w:rFonts w:ascii="Times New Roman" w:eastAsia="Times New Roman"/>
        </w:rPr>
        <w:t>1.00 </w:t>
      </w:r>
      <w:r>
        <w:rPr>
          <w:spacing w:val="-17"/>
          <w:w w:val="100"/>
        </w:rPr>
        <w:t>元</w:t>
      </w:r>
      <w:r>
        <w:rPr>
          <w:w w:val="100"/>
        </w:rPr>
        <w:t>（</w:t>
      </w:r>
      <w:r>
        <w:rPr>
          <w:spacing w:val="-3"/>
          <w:w w:val="100"/>
        </w:rPr>
        <w:t>含申购费</w:t>
      </w:r>
      <w:r>
        <w:rPr>
          <w:spacing w:val="-106"/>
          <w:w w:val="100"/>
        </w:rPr>
        <w:t>）</w:t>
      </w:r>
      <w:r>
        <w:rPr>
          <w:spacing w:val="-11"/>
          <w:w w:val="100"/>
        </w:rPr>
        <w:t>，人民币</w:t>
      </w:r>
      <w:r>
        <w:rPr>
          <w:spacing w:val="-3"/>
          <w:w w:val="100"/>
        </w:rPr>
        <w:t>（</w:t>
      </w:r>
      <w:r>
        <w:rPr>
          <w:spacing w:val="-2"/>
          <w:w w:val="100"/>
        </w:rPr>
        <w:t>其他代销机构</w:t>
      </w:r>
      <w:r>
        <w:rPr>
          <w:spacing w:val="-20"/>
          <w:w w:val="100"/>
        </w:rPr>
        <w:t>）</w:t>
      </w:r>
      <w:r>
        <w:rPr>
          <w:rFonts w:ascii="Times New Roman" w:eastAsia="Times New Roman"/>
          <w:w w:val="100"/>
        </w:rPr>
        <w:t>A</w:t>
      </w:r>
      <w:r>
        <w:rPr>
          <w:rFonts w:ascii="Times New Roman" w:eastAsia="Times New Roman"/>
        </w:rPr>
        <w:t> </w:t>
      </w:r>
      <w:r>
        <w:rPr>
          <w:spacing w:val="-10"/>
          <w:w w:val="100"/>
        </w:rPr>
        <w:t>类、</w:t>
      </w:r>
      <w:r>
        <w:rPr>
          <w:rFonts w:ascii="Times New Roman" w:eastAsia="Times New Roman"/>
          <w:w w:val="100"/>
        </w:rPr>
        <w:t>C</w:t>
      </w:r>
      <w:r>
        <w:rPr>
          <w:rFonts w:ascii="Times New Roman" w:eastAsia="Times New Roman"/>
        </w:rPr>
        <w:t> </w:t>
      </w:r>
      <w:r>
        <w:rPr>
          <w:spacing w:val="-3"/>
          <w:w w:val="100"/>
        </w:rPr>
        <w:t>类基金份额的每次最低申购金额以各代</w:t>
      </w:r>
      <w:r>
        <w:rPr>
          <w:spacing w:val="-11"/>
        </w:rPr>
        <w:t>销机构的规定为准；美元 </w:t>
      </w:r>
      <w:r>
        <w:rPr>
          <w:rFonts w:ascii="Times New Roman" w:eastAsia="Times New Roman"/>
        </w:rPr>
        <w:t>A </w:t>
      </w:r>
      <w:r>
        <w:rPr>
          <w:spacing w:val="-6"/>
        </w:rPr>
        <w:t>类基金份额的每次最低申购金额为 </w:t>
      </w:r>
      <w:r>
        <w:rPr>
          <w:rFonts w:ascii="Times New Roman" w:eastAsia="Times New Roman"/>
        </w:rPr>
        <w:t>200.00 </w:t>
      </w:r>
      <w:r>
        <w:rPr>
          <w:spacing w:val="-17"/>
        </w:rPr>
        <w:t>美元</w:t>
      </w:r>
      <w:r>
        <w:rPr>
          <w:spacing w:val="-3"/>
        </w:rPr>
        <w:t>（</w:t>
      </w:r>
      <w:r>
        <w:rPr>
          <w:spacing w:val="-13"/>
        </w:rPr>
        <w:t>含申购费，定</w:t>
      </w:r>
      <w:r>
        <w:rPr>
          <w:spacing w:val="-3"/>
        </w:rPr>
        <w:t>期定额不受此限制</w:t>
      </w:r>
      <w:r>
        <w:rPr>
          <w:spacing w:val="-108"/>
        </w:rPr>
        <w:t>）</w:t>
      </w:r>
      <w:r>
        <w:rPr>
          <w:spacing w:val="-3"/>
        </w:rPr>
        <w:t>。具体业务办理请遵循各销售机构的相关规定。</w:t>
      </w:r>
    </w:p>
    <w:p>
      <w:pPr>
        <w:pStyle w:val="BodyText"/>
        <w:spacing w:line="417" w:lineRule="auto"/>
        <w:ind w:left="220" w:right="986" w:firstLine="419"/>
        <w:jc w:val="both"/>
      </w:pPr>
      <w:r>
        <w:rPr>
          <w:rFonts w:ascii="Times New Roman" w:eastAsia="Times New Roman"/>
        </w:rPr>
        <w:t>2</w:t>
      </w:r>
      <w:r>
        <w:rPr>
          <w:spacing w:val="-4"/>
        </w:rPr>
        <w:t>、基金份额持有人在直销机构或华夏财富赎回本基金 </w:t>
      </w:r>
      <w:r>
        <w:rPr>
          <w:rFonts w:ascii="Times New Roman" w:eastAsia="Times New Roman"/>
        </w:rPr>
        <w:t>A</w:t>
      </w:r>
      <w:r>
        <w:rPr>
          <w:rFonts w:ascii="Times New Roman" w:eastAsia="Times New Roman"/>
          <w:spacing w:val="38"/>
        </w:rPr>
        <w:t> </w:t>
      </w:r>
      <w:r>
        <w:rPr>
          <w:spacing w:val="-2"/>
        </w:rPr>
        <w:t>类、</w:t>
      </w:r>
      <w:r>
        <w:rPr>
          <w:rFonts w:ascii="Times New Roman" w:eastAsia="Times New Roman"/>
        </w:rPr>
        <w:t>C</w:t>
      </w:r>
      <w:r>
        <w:rPr>
          <w:rFonts w:ascii="Times New Roman" w:eastAsia="Times New Roman"/>
          <w:spacing w:val="38"/>
        </w:rPr>
        <w:t> </w:t>
      </w:r>
      <w:r>
        <w:rPr>
          <w:spacing w:val="-3"/>
        </w:rPr>
        <w:t>类基金份额时，各类</w:t>
      </w:r>
      <w:r>
        <w:rPr>
          <w:spacing w:val="-6"/>
        </w:rPr>
        <w:t>基金份额每次赎回申请不得低于 </w:t>
      </w:r>
      <w:r>
        <w:rPr>
          <w:rFonts w:ascii="Times New Roman" w:eastAsia="Times New Roman"/>
        </w:rPr>
        <w:t>1.00</w:t>
      </w:r>
      <w:r>
        <w:rPr>
          <w:rFonts w:ascii="Times New Roman" w:eastAsia="Times New Roman"/>
          <w:spacing w:val="18"/>
        </w:rPr>
        <w:t> </w:t>
      </w:r>
      <w:r>
        <w:rPr>
          <w:spacing w:val="-9"/>
        </w:rPr>
        <w:t>份基金份额，基金份额持有人赎回时或赎回后在直销</w:t>
      </w:r>
      <w:r>
        <w:rPr>
          <w:spacing w:val="-6"/>
        </w:rPr>
        <w:t>机构或华夏财富保留的 </w:t>
      </w:r>
      <w:r>
        <w:rPr>
          <w:rFonts w:ascii="Times New Roman" w:eastAsia="Times New Roman"/>
        </w:rPr>
        <w:t>A</w:t>
      </w:r>
      <w:r>
        <w:rPr>
          <w:rFonts w:ascii="Times New Roman" w:eastAsia="Times New Roman"/>
          <w:spacing w:val="18"/>
        </w:rPr>
        <w:t> </w:t>
      </w:r>
      <w:r>
        <w:rPr>
          <w:spacing w:val="-12"/>
        </w:rPr>
        <w:t>类或 </w:t>
      </w:r>
      <w:r>
        <w:rPr>
          <w:rFonts w:ascii="Times New Roman" w:eastAsia="Times New Roman"/>
        </w:rPr>
        <w:t>C</w:t>
      </w:r>
      <w:r>
        <w:rPr>
          <w:rFonts w:ascii="Times New Roman" w:eastAsia="Times New Roman"/>
          <w:spacing w:val="17"/>
        </w:rPr>
        <w:t> </w:t>
      </w:r>
      <w:r>
        <w:rPr>
          <w:spacing w:val="-7"/>
        </w:rPr>
        <w:t>类基金份额余额不足 </w:t>
      </w:r>
      <w:r>
        <w:rPr>
          <w:rFonts w:ascii="Times New Roman" w:eastAsia="Times New Roman"/>
        </w:rPr>
        <w:t>1.00</w:t>
      </w:r>
      <w:r>
        <w:rPr>
          <w:rFonts w:ascii="Times New Roman" w:eastAsia="Times New Roman"/>
          <w:spacing w:val="19"/>
        </w:rPr>
        <w:t> </w:t>
      </w:r>
      <w:r>
        <w:rPr>
          <w:spacing w:val="-3"/>
        </w:rPr>
        <w:t>份的，在赎回时需一次全部赎回。基金份额持有人在其他代销机构赎回本基金</w:t>
      </w:r>
      <w:r>
        <w:rPr>
          <w:rFonts w:ascii="Times New Roman" w:eastAsia="Times New Roman"/>
        </w:rPr>
        <w:t>A</w:t>
      </w:r>
      <w:r>
        <w:rPr>
          <w:rFonts w:ascii="Times New Roman" w:eastAsia="Times New Roman"/>
          <w:spacing w:val="17"/>
        </w:rPr>
        <w:t> </w:t>
      </w:r>
      <w:r>
        <w:rPr>
          <w:spacing w:val="-6"/>
        </w:rPr>
        <w:t>类、</w:t>
      </w:r>
      <w:r>
        <w:rPr>
          <w:rFonts w:ascii="Times New Roman" w:eastAsia="Times New Roman"/>
        </w:rPr>
        <w:t>C</w:t>
      </w:r>
      <w:r>
        <w:rPr>
          <w:rFonts w:ascii="Times New Roman" w:eastAsia="Times New Roman"/>
          <w:spacing w:val="20"/>
        </w:rPr>
        <w:t> </w:t>
      </w:r>
      <w:r>
        <w:rPr>
          <w:spacing w:val="-5"/>
        </w:rPr>
        <w:t>类基金份额时，各类基金份额每</w:t>
      </w:r>
      <w:r>
        <w:rPr>
          <w:spacing w:val="-14"/>
        </w:rPr>
        <w:t>次最低赎回份额、基金份额持有人赎回时或赎回后在该代销机构保留的 </w:t>
      </w:r>
      <w:r>
        <w:rPr>
          <w:rFonts w:ascii="Times New Roman" w:eastAsia="Times New Roman"/>
        </w:rPr>
        <w:t>A</w:t>
      </w:r>
      <w:r>
        <w:rPr>
          <w:rFonts w:ascii="Times New Roman" w:eastAsia="Times New Roman"/>
          <w:spacing w:val="11"/>
        </w:rPr>
        <w:t> </w:t>
      </w:r>
      <w:r>
        <w:rPr>
          <w:spacing w:val="-17"/>
        </w:rPr>
        <w:t>类或 </w:t>
      </w:r>
      <w:r>
        <w:rPr>
          <w:rFonts w:ascii="Times New Roman" w:eastAsia="Times New Roman"/>
        </w:rPr>
        <w:t>C</w:t>
      </w:r>
      <w:r>
        <w:rPr>
          <w:rFonts w:ascii="Times New Roman" w:eastAsia="Times New Roman"/>
          <w:spacing w:val="12"/>
        </w:rPr>
        <w:t> </w:t>
      </w:r>
      <w:r>
        <w:rPr>
          <w:spacing w:val="-3"/>
        </w:rPr>
        <w:t>类基金份额最低余额以各代销机构的规定为准。具体业务办理请遵循各销售机构的相关规定。</w:t>
      </w:r>
    </w:p>
    <w:p>
      <w:pPr>
        <w:pStyle w:val="BodyText"/>
        <w:spacing w:line="417" w:lineRule="auto"/>
        <w:ind w:left="220" w:right="986" w:firstLine="419"/>
        <w:jc w:val="both"/>
      </w:pPr>
      <w:r>
        <w:rPr>
          <w:rFonts w:ascii="Times New Roman" w:eastAsia="Times New Roman"/>
        </w:rPr>
        <w:t>3</w:t>
      </w:r>
      <w:r>
        <w:rPr>
          <w:spacing w:val="-11"/>
        </w:rPr>
        <w:t>、当接受申购申请对存量基金份额持有人利益构成潜在重大不利影响时，基金管理人</w:t>
      </w:r>
      <w:r>
        <w:rPr>
          <w:spacing w:val="-6"/>
        </w:rPr>
        <w:t>应当采取设定单一投资者申购金额上限或基金单日净申购比例上限、拒绝大额申购、暂停</w:t>
      </w:r>
      <w:r>
        <w:rPr>
          <w:spacing w:val="-4"/>
        </w:rPr>
        <w:t>基金申购等措施，切实保护存量基金份额持有人的合法权益，具体请参见相关公告。</w:t>
      </w:r>
    </w:p>
    <w:p>
      <w:pPr>
        <w:pStyle w:val="BodyText"/>
        <w:spacing w:line="417" w:lineRule="auto"/>
        <w:ind w:left="220" w:right="988" w:firstLine="419"/>
        <w:jc w:val="both"/>
      </w:pPr>
      <w:r>
        <w:rPr>
          <w:rFonts w:ascii="Times New Roman" w:eastAsia="Times New Roman"/>
        </w:rPr>
        <w:t>4</w:t>
      </w:r>
      <w:r>
        <w:rPr>
          <w:spacing w:val="-10"/>
        </w:rPr>
        <w:t>、基金管理人可根据市场情况，调整对申购金额和赎回份额的数量限制，基金管理人</w:t>
      </w:r>
      <w:r>
        <w:rPr>
          <w:spacing w:val="-17"/>
        </w:rPr>
        <w:t>必须在 </w:t>
      </w:r>
      <w:r>
        <w:rPr>
          <w:rFonts w:ascii="Times New Roman" w:eastAsia="Times New Roman"/>
        </w:rPr>
        <w:t>1 </w:t>
      </w:r>
      <w:r>
        <w:rPr>
          <w:spacing w:val="-3"/>
        </w:rPr>
        <w:t>个工作日之前在至少一种指定媒介上刊登调整公告。</w:t>
      </w:r>
    </w:p>
    <w:p>
      <w:pPr>
        <w:pStyle w:val="BodyText"/>
        <w:spacing w:line="269" w:lineRule="exact"/>
      </w:pPr>
      <w:r>
        <w:rPr/>
        <w:t>（七）申购和赎回的程序</w:t>
      </w:r>
    </w:p>
    <w:p>
      <w:pPr>
        <w:pStyle w:val="BodyText"/>
        <w:spacing w:before="6"/>
        <w:ind w:left="0"/>
        <w:rPr>
          <w:sz w:val="15"/>
        </w:rPr>
      </w:pPr>
    </w:p>
    <w:p>
      <w:pPr>
        <w:pStyle w:val="BodyText"/>
      </w:pPr>
      <w:r>
        <w:rPr>
          <w:rFonts w:ascii="Times New Roman" w:eastAsia="Times New Roman"/>
        </w:rPr>
        <w:t>1</w:t>
      </w:r>
      <w:r>
        <w:rPr/>
        <w:t>、申购与赎回申请的提出</w:t>
      </w:r>
    </w:p>
    <w:p>
      <w:pPr>
        <w:pStyle w:val="BodyText"/>
        <w:spacing w:before="7"/>
        <w:ind w:left="0"/>
        <w:rPr>
          <w:sz w:val="15"/>
        </w:rPr>
      </w:pPr>
    </w:p>
    <w:p>
      <w:pPr>
        <w:pStyle w:val="BodyText"/>
        <w:spacing w:line="417" w:lineRule="auto"/>
        <w:ind w:left="220" w:right="986" w:firstLine="419"/>
        <w:jc w:val="both"/>
      </w:pPr>
      <w:r>
        <w:rPr/>
        <w:t>基金投资者须按销售机构规定的手续，在开放日的业务办理时间提出申购或赎回的申请。投资者申购本基金，须按销售机构规定的方式全额交付相应的申购款项，否则所提交的申购申请无效。美元申购的投资者需注意，在现钞申购的情况下，投资者应将美元资金从现钞账户转入现汇账户，相应费用由投资者自行承担。</w:t>
      </w:r>
    </w:p>
    <w:p>
      <w:pPr>
        <w:pStyle w:val="BodyText"/>
        <w:spacing w:line="417" w:lineRule="auto"/>
        <w:ind w:left="220" w:right="986" w:firstLine="419"/>
      </w:pPr>
      <w:r>
        <w:rPr/>
        <w:t>投资者提交赎回申请时，其在销售机构（网点）必须有足够的相应基金份额余额，否则所提交的赎回申请无效。</w:t>
      </w:r>
    </w:p>
    <w:p>
      <w:pPr>
        <w:pStyle w:val="BodyText"/>
        <w:spacing w:line="269" w:lineRule="exact"/>
      </w:pPr>
      <w:r>
        <w:rPr>
          <w:rFonts w:ascii="Times New Roman" w:eastAsia="Times New Roman"/>
        </w:rPr>
        <w:t>2</w:t>
      </w:r>
      <w:r>
        <w:rPr/>
        <w:t>、申购与赎回申请的确认</w:t>
      </w:r>
    </w:p>
    <w:p>
      <w:pPr>
        <w:pStyle w:val="BodyText"/>
        <w:spacing w:before="6"/>
        <w:ind w:left="0"/>
        <w:rPr>
          <w:sz w:val="15"/>
        </w:rPr>
      </w:pPr>
    </w:p>
    <w:p>
      <w:pPr>
        <w:pStyle w:val="BodyText"/>
        <w:spacing w:line="417" w:lineRule="auto"/>
        <w:ind w:left="220" w:right="986" w:firstLine="419"/>
        <w:jc w:val="both"/>
      </w:pPr>
      <w:r>
        <w:rPr>
          <w:rFonts w:ascii="Times New Roman" w:eastAsia="Times New Roman"/>
        </w:rPr>
        <w:t>T </w:t>
      </w:r>
      <w:r>
        <w:rPr/>
        <w:t>日规定时间受理的申请，正常情况下，本基金登记结算机构在</w:t>
      </w:r>
      <w:r>
        <w:rPr>
          <w:rFonts w:ascii="Times New Roman" w:eastAsia="Times New Roman"/>
        </w:rPr>
        <w:t>T+1 </w:t>
      </w:r>
      <w:r>
        <w:rPr/>
        <w:t>日内为投资者对该交易进行确认。投资者应在</w:t>
      </w:r>
      <w:r>
        <w:rPr>
          <w:rFonts w:ascii="Times New Roman" w:eastAsia="Times New Roman"/>
        </w:rPr>
        <w:t>T+2 </w:t>
      </w:r>
      <w:r>
        <w:rPr/>
        <w:t>日（包括该日）后及时到销售网点柜台或以销售机构规定的其他方式查询申请的确认情况。因投资者未及时进行该查询而造成的后果，由投资者</w:t>
      </w:r>
    </w:p>
    <w:p>
      <w:pPr>
        <w:spacing w:after="0" w:line="417" w:lineRule="auto"/>
        <w:jc w:val="both"/>
        <w:sectPr>
          <w:pgSz w:w="11910" w:h="16840"/>
          <w:pgMar w:header="705" w:footer="683" w:top="1420" w:bottom="880" w:left="1580" w:right="920"/>
        </w:sectPr>
      </w:pPr>
    </w:p>
    <w:p>
      <w:pPr>
        <w:pStyle w:val="BodyText"/>
        <w:spacing w:line="417" w:lineRule="auto" w:before="110"/>
        <w:ind w:left="220" w:right="986"/>
      </w:pPr>
      <w:r>
        <w:rPr/>
        <w:t>自行承担。由于美元资金的划款时间较长，投资者美元申购时，其申购申请的提交日和申购申请受理日可能有所不同。</w:t>
      </w:r>
    </w:p>
    <w:p>
      <w:pPr>
        <w:pStyle w:val="BodyText"/>
        <w:spacing w:line="269" w:lineRule="exact"/>
      </w:pPr>
      <w:r>
        <w:rPr>
          <w:rFonts w:ascii="Times New Roman" w:eastAsia="Times New Roman"/>
        </w:rPr>
        <w:t>3</w:t>
      </w:r>
      <w:r>
        <w:rPr/>
        <w:t>、申购与赎回申请的款项支付</w:t>
      </w:r>
    </w:p>
    <w:p>
      <w:pPr>
        <w:pStyle w:val="BodyText"/>
        <w:spacing w:before="6"/>
        <w:ind w:left="0"/>
        <w:rPr>
          <w:sz w:val="15"/>
        </w:rPr>
      </w:pPr>
    </w:p>
    <w:p>
      <w:pPr>
        <w:pStyle w:val="BodyText"/>
        <w:spacing w:line="417" w:lineRule="auto"/>
        <w:ind w:left="220" w:right="986" w:firstLine="419"/>
      </w:pPr>
      <w:r>
        <w:rPr/>
        <w:t>申购采用全额交款方式，若资金在规定时间内未全额到账则申购不成功，申购不成功或无效，申购款项将退回投资者账户。</w:t>
      </w:r>
    </w:p>
    <w:p>
      <w:pPr>
        <w:pStyle w:val="BodyText"/>
        <w:spacing w:line="417" w:lineRule="auto"/>
        <w:ind w:left="220" w:right="986" w:firstLine="419"/>
        <w:jc w:val="both"/>
      </w:pPr>
      <w:r>
        <w:rPr>
          <w:spacing w:val="-3"/>
        </w:rPr>
        <w:t>投资者赎回申请成交后，基金管理人将在 </w:t>
      </w:r>
      <w:r>
        <w:rPr>
          <w:rFonts w:ascii="Times New Roman" w:eastAsia="Times New Roman"/>
        </w:rPr>
        <w:t>T+10  </w:t>
      </w:r>
      <w:r>
        <w:rPr>
          <w:spacing w:val="-3"/>
        </w:rPr>
        <w:t>日</w:t>
      </w:r>
      <w:r>
        <w:rPr/>
        <w:t>（</w:t>
      </w:r>
      <w:r>
        <w:rPr>
          <w:spacing w:val="-3"/>
        </w:rPr>
        <w:t>包括该日</w:t>
      </w:r>
      <w:r>
        <w:rPr/>
        <w:t>）</w:t>
      </w:r>
      <w:r>
        <w:rPr>
          <w:spacing w:val="-3"/>
        </w:rPr>
        <w:t>内支付赎回款项。美</w:t>
      </w:r>
      <w:r>
        <w:rPr>
          <w:spacing w:val="-9"/>
        </w:rPr>
        <w:t>元赎回时，赎回款项将划往投资者申购时的现汇账户。如遇特殊情况，如目标 </w:t>
      </w:r>
      <w:r>
        <w:rPr>
          <w:rFonts w:ascii="Times New Roman" w:eastAsia="Times New Roman"/>
        </w:rPr>
        <w:t>ETF </w:t>
      </w:r>
      <w:r>
        <w:rPr/>
        <w:t>的投资</w:t>
      </w:r>
      <w:r>
        <w:rPr>
          <w:spacing w:val="-5"/>
        </w:rPr>
        <w:t>市场暂停交易、目标 </w:t>
      </w:r>
      <w:r>
        <w:rPr>
          <w:rFonts w:ascii="Times New Roman" w:eastAsia="Times New Roman"/>
        </w:rPr>
        <w:t>ETF </w:t>
      </w:r>
      <w:r>
        <w:rPr>
          <w:spacing w:val="-5"/>
        </w:rPr>
        <w:t>暂停交易或赎回、目标 </w:t>
      </w:r>
      <w:r>
        <w:rPr>
          <w:rFonts w:ascii="Times New Roman" w:eastAsia="Times New Roman"/>
        </w:rPr>
        <w:t>ETF </w:t>
      </w:r>
      <w:r>
        <w:rPr>
          <w:spacing w:val="-3"/>
        </w:rPr>
        <w:t>延迟支付赎回款项、交易清算规则发生较大变化等</w:t>
      </w:r>
      <w:r>
        <w:rPr>
          <w:b/>
        </w:rPr>
        <w:t>，</w:t>
      </w:r>
      <w:r>
        <w:rPr>
          <w:spacing w:val="-3"/>
        </w:rPr>
        <w:t>赎回款项支付的时间可相应调整。在发生巨额赎回时，赎回款项的支付办法按基金合同有关规定处理。</w:t>
      </w:r>
    </w:p>
    <w:p>
      <w:pPr>
        <w:pStyle w:val="BodyText"/>
        <w:spacing w:line="417" w:lineRule="auto"/>
        <w:ind w:left="220" w:right="986" w:firstLine="419"/>
      </w:pPr>
      <w:r>
        <w:rPr>
          <w:rFonts w:ascii="Times New Roman" w:eastAsia="Times New Roman"/>
        </w:rPr>
        <w:t>4</w:t>
      </w:r>
      <w:r>
        <w:rPr>
          <w:spacing w:val="-12"/>
        </w:rPr>
        <w:t>、基金管理人可以在法律法规允许的范围内，对上述业务的确认及办理的时间和程序</w:t>
      </w:r>
      <w:r>
        <w:rPr>
          <w:spacing w:val="-6"/>
        </w:rPr>
        <w:t>进行调整，并提前公告。</w:t>
      </w:r>
    </w:p>
    <w:p>
      <w:pPr>
        <w:pStyle w:val="BodyText"/>
        <w:spacing w:line="269" w:lineRule="exact"/>
      </w:pPr>
      <w:r>
        <w:rPr/>
        <w:t>（八）申购费与赎回费</w:t>
      </w:r>
    </w:p>
    <w:p>
      <w:pPr>
        <w:pStyle w:val="BodyText"/>
        <w:spacing w:before="6"/>
        <w:ind w:left="0"/>
        <w:rPr>
          <w:sz w:val="15"/>
        </w:rPr>
      </w:pPr>
    </w:p>
    <w:p>
      <w:pPr>
        <w:pStyle w:val="BodyText"/>
        <w:spacing w:before="1"/>
        <w:rPr>
          <w:rFonts w:ascii="Times New Roman" w:eastAsia="Times New Roman"/>
        </w:rPr>
      </w:pPr>
      <w:r>
        <w:rPr>
          <w:rFonts w:ascii="Times New Roman" w:eastAsia="Times New Roman"/>
        </w:rPr>
        <w:t>1</w:t>
      </w:r>
      <w:r>
        <w:rPr/>
        <w:t>、本基金申购费由申购人承担，用于市场推广、销售、登记结算等各项费用。对于</w:t>
      </w:r>
      <w:r>
        <w:rPr>
          <w:rFonts w:ascii="Times New Roman" w:eastAsia="Times New Roman"/>
        </w:rPr>
        <w:t>A</w:t>
      </w:r>
    </w:p>
    <w:p>
      <w:pPr>
        <w:pStyle w:val="BodyText"/>
        <w:spacing w:before="3"/>
        <w:ind w:left="0"/>
        <w:rPr>
          <w:rFonts w:ascii="Times New Roman"/>
          <w:sz w:val="17"/>
        </w:rPr>
      </w:pPr>
    </w:p>
    <w:p>
      <w:pPr>
        <w:pStyle w:val="BodyText"/>
        <w:ind w:left="220"/>
      </w:pPr>
      <w:r>
        <w:rPr/>
        <w:t>类基金份额，投资者在申购时需交纳前端申购费，各币种申购费率具体如下：</w:t>
      </w:r>
    </w:p>
    <w:p>
      <w:pPr>
        <w:pStyle w:val="BodyText"/>
        <w:spacing w:before="7"/>
        <w:ind w:left="0"/>
        <w:rPr>
          <w:sz w:val="15"/>
        </w:rPr>
      </w:pPr>
    </w:p>
    <w:p>
      <w:pPr>
        <w:pStyle w:val="ListParagraph"/>
        <w:numPr>
          <w:ilvl w:val="0"/>
          <w:numId w:val="12"/>
        </w:numPr>
        <w:tabs>
          <w:tab w:pos="1170" w:val="left" w:leader="none"/>
        </w:tabs>
        <w:spacing w:line="240" w:lineRule="auto" w:before="0" w:after="0"/>
        <w:ind w:left="1169" w:right="0" w:hanging="530"/>
        <w:jc w:val="left"/>
        <w:rPr>
          <w:sz w:val="21"/>
        </w:rPr>
      </w:pPr>
      <w:r>
        <w:rPr/>
        <w:pict>
          <v:group style="position:absolute;margin-left:147.860001pt;margin-top:18.419994pt;width:299pt;height:123pt;mso-position-horizontal-relative:page;mso-position-vertical-relative:paragraph;z-index:-251640832;mso-wrap-distance-left:0;mso-wrap-distance-right:0" coordorigin="2957,368" coordsize="5980,2460">
            <v:line style="position:absolute" from="2972,383" to="7245,383" stroked="true" strokeweight="1.44pt" strokecolor="#000000">
              <v:stroke dashstyle="solid"/>
            </v:line>
            <v:shape style="position:absolute;left:7244;top:397;width:10;height:3" type="#_x0000_t75" stroked="false">
              <v:imagedata r:id="rId12" o:title=""/>
            </v:shape>
            <v:rect style="position:absolute;left:7244;top:368;width:29;height:29" filled="true" fillcolor="#000000" stroked="false">
              <v:fill type="solid"/>
            </v:rect>
            <v:line style="position:absolute" from="7273,383" to="8937,383" stroked="true" strokeweight="1.44pt" strokecolor="#000000">
              <v:stroke dashstyle="solid"/>
            </v:line>
            <v:rect style="position:absolute;left:7244;top:399;width:10;height:48" filled="true" fillcolor="#000000" stroked="false">
              <v:fill type="solid"/>
            </v:rect>
            <v:rect style="position:absolute;left:7244;top:447;width:10;height:48" filled="true" fillcolor="#000000" stroked="false">
              <v:fill type="solid"/>
            </v:rect>
            <v:rect style="position:absolute;left:7244;top:495;width:10;height:48" filled="true" fillcolor="#000000" stroked="false">
              <v:fill type="solid"/>
            </v:rect>
            <v:rect style="position:absolute;left:7244;top:543;width:10;height:48" filled="true" fillcolor="#000000" stroked="false">
              <v:fill type="solid"/>
            </v:rect>
            <v:rect style="position:absolute;left:7244;top:591;width:10;height:48" filled="true" fillcolor="#000000" stroked="false">
              <v:fill type="solid"/>
            </v:rect>
            <v:rect style="position:absolute;left:7244;top:639;width:10;height:48" filled="true" fillcolor="#000000" stroked="false">
              <v:fill type="solid"/>
            </v:rect>
            <v:rect style="position:absolute;left:7244;top:687;width:10;height:48" filled="true" fillcolor="#000000" stroked="false">
              <v:fill type="solid"/>
            </v:rect>
            <v:rect style="position:absolute;left:7244;top:735;width:10;height:48" filled="true" fillcolor="#000000" stroked="false">
              <v:fill type="solid"/>
            </v:rect>
            <v:shape style="position:absolute;left:7249;top:399;width:2;height:466" coordorigin="7249,400" coordsize="0,466" path="m7249,865l7249,400,7249,865xe" filled="true" fillcolor="#000000" stroked="false">
              <v:path arrowok="t"/>
              <v:fill type="solid"/>
            </v:shape>
            <v:line style="position:absolute" from="2972,880" to="7245,880" stroked="true" strokeweight="1.44pt" strokecolor="#000000">
              <v:stroke dashstyle="solid"/>
            </v:line>
            <v:shape style="position:absolute;left:7244;top:865;width:10;height:32" type="#_x0000_t75" stroked="false">
              <v:imagedata r:id="rId13" o:title=""/>
            </v:shape>
            <v:line style="position:absolute" from="7254,880" to="8937,880" stroked="true" strokeweight="1.44pt" strokecolor="#000000">
              <v:stroke dashstyle="solid"/>
            </v:line>
            <v:shape style="position:absolute;left:7244;top:896;width:10;height:432" type="#_x0000_t75" stroked="false">
              <v:imagedata r:id="rId14" o:title=""/>
            </v:shape>
            <v:rect style="position:absolute;left:2971;top:1364;width:48;height:10" filled="true" fillcolor="#000000" stroked="false">
              <v:fill type="solid"/>
            </v:rect>
            <v:rect style="position:absolute;left:3019;top:1364;width:48;height:10" filled="true" fillcolor="#000000" stroked="false">
              <v:fill type="solid"/>
            </v:rect>
            <v:rect style="position:absolute;left:3067;top:1364;width:48;height:10" filled="true" fillcolor="#000000" stroked="false">
              <v:fill type="solid"/>
            </v:rect>
            <v:rect style="position:absolute;left:3115;top:1364;width:48;height:10" filled="true" fillcolor="#000000" stroked="false">
              <v:fill type="solid"/>
            </v:rect>
            <v:rect style="position:absolute;left:3163;top:1364;width:48;height:10" filled="true" fillcolor="#000000" stroked="false">
              <v:fill type="solid"/>
            </v:rect>
            <v:rect style="position:absolute;left:3211;top:1364;width:48;height:10" filled="true" fillcolor="#000000" stroked="false">
              <v:fill type="solid"/>
            </v:rect>
            <v:rect style="position:absolute;left:3259;top:1364;width:48;height:10" filled="true" fillcolor="#000000" stroked="false">
              <v:fill type="solid"/>
            </v:rect>
            <v:rect style="position:absolute;left:3307;top:1364;width:48;height:10" filled="true" fillcolor="#000000" stroked="false">
              <v:fill type="solid"/>
            </v:rect>
            <v:rect style="position:absolute;left:3355;top:1364;width:48;height:10" filled="true" fillcolor="#000000" stroked="false">
              <v:fill type="solid"/>
            </v:rect>
            <v:rect style="position:absolute;left:3403;top:1364;width:48;height:10" filled="true" fillcolor="#000000" stroked="false">
              <v:fill type="solid"/>
            </v:rect>
            <v:rect style="position:absolute;left:3451;top:1364;width:48;height:10" filled="true" fillcolor="#000000" stroked="false">
              <v:fill type="solid"/>
            </v:rect>
            <v:rect style="position:absolute;left:3499;top:1364;width:48;height:10" filled="true" fillcolor="#000000" stroked="false">
              <v:fill type="solid"/>
            </v:rect>
            <v:rect style="position:absolute;left:3547;top:1364;width:48;height:10" filled="true" fillcolor="#000000" stroked="false">
              <v:fill type="solid"/>
            </v:rect>
            <v:rect style="position:absolute;left:3595;top:1364;width:48;height:10" filled="true" fillcolor="#000000" stroked="false">
              <v:fill type="solid"/>
            </v:rect>
            <v:rect style="position:absolute;left:3643;top:1364;width:48;height:10" filled="true" fillcolor="#000000" stroked="false">
              <v:fill type="solid"/>
            </v:rect>
            <v:rect style="position:absolute;left:3691;top:1364;width:48;height:10" filled="true" fillcolor="#000000" stroked="false">
              <v:fill type="solid"/>
            </v:rect>
            <v:rect style="position:absolute;left:3739;top:1364;width:48;height:10" filled="true" fillcolor="#000000" stroked="false">
              <v:fill type="solid"/>
            </v:rect>
            <v:rect style="position:absolute;left:3787;top:1364;width:49;height:10" filled="true" fillcolor="#000000" stroked="false">
              <v:fill type="solid"/>
            </v:rect>
            <v:rect style="position:absolute;left:3836;top:1364;width:48;height:10" filled="true" fillcolor="#000000" stroked="false">
              <v:fill type="solid"/>
            </v:rect>
            <v:rect style="position:absolute;left:3884;top:1364;width:48;height:10" filled="true" fillcolor="#000000" stroked="false">
              <v:fill type="solid"/>
            </v:rect>
            <v:rect style="position:absolute;left:3932;top:1364;width:48;height:10" filled="true" fillcolor="#000000" stroked="false">
              <v:fill type="solid"/>
            </v:rect>
            <v:rect style="position:absolute;left:3980;top:1364;width:48;height:10" filled="true" fillcolor="#000000" stroked="false">
              <v:fill type="solid"/>
            </v:rect>
            <v:rect style="position:absolute;left:4028;top:1364;width:48;height:10" filled="true" fillcolor="#000000" stroked="false">
              <v:fill type="solid"/>
            </v:rect>
            <v:rect style="position:absolute;left:4076;top:1364;width:48;height:10" filled="true" fillcolor="#000000" stroked="false">
              <v:fill type="solid"/>
            </v:rect>
            <v:rect style="position:absolute;left:4124;top:1364;width:48;height:10" filled="true" fillcolor="#000000" stroked="false">
              <v:fill type="solid"/>
            </v:rect>
            <v:rect style="position:absolute;left:4172;top:1364;width:48;height:10" filled="true" fillcolor="#000000" stroked="false">
              <v:fill type="solid"/>
            </v:rect>
            <v:rect style="position:absolute;left:4220;top:1364;width:48;height:10" filled="true" fillcolor="#000000" stroked="false">
              <v:fill type="solid"/>
            </v:rect>
            <v:rect style="position:absolute;left:4268;top:1364;width:48;height:10" filled="true" fillcolor="#000000" stroked="false">
              <v:fill type="solid"/>
            </v:rect>
            <v:rect style="position:absolute;left:4316;top:1364;width:48;height:10" filled="true" fillcolor="#000000" stroked="false">
              <v:fill type="solid"/>
            </v:rect>
            <v:rect style="position:absolute;left:4364;top:1364;width:48;height:10" filled="true" fillcolor="#000000" stroked="false">
              <v:fill type="solid"/>
            </v:rect>
            <v:rect style="position:absolute;left:4412;top:1364;width:48;height:10" filled="true" fillcolor="#000000" stroked="false">
              <v:fill type="solid"/>
            </v:rect>
            <v:rect style="position:absolute;left:4460;top:1364;width:48;height:10" filled="true" fillcolor="#000000" stroked="false">
              <v:fill type="solid"/>
            </v:rect>
            <v:rect style="position:absolute;left:4508;top:1364;width:48;height:10" filled="true" fillcolor="#000000" stroked="false">
              <v:fill type="solid"/>
            </v:rect>
            <v:rect style="position:absolute;left:4556;top:1364;width:48;height:10" filled="true" fillcolor="#000000" stroked="false">
              <v:fill type="solid"/>
            </v:rect>
            <v:rect style="position:absolute;left:4604;top:1364;width:48;height:10" filled="true" fillcolor="#000000" stroked="false">
              <v:fill type="solid"/>
            </v:rect>
            <v:rect style="position:absolute;left:4652;top:1364;width:48;height:10" filled="true" fillcolor="#000000" stroked="false">
              <v:fill type="solid"/>
            </v:rect>
            <v:rect style="position:absolute;left:4700;top:1364;width:48;height:10" filled="true" fillcolor="#000000" stroked="false">
              <v:fill type="solid"/>
            </v:rect>
            <v:rect style="position:absolute;left:4748;top:1364;width:48;height:10" filled="true" fillcolor="#000000" stroked="false">
              <v:fill type="solid"/>
            </v:rect>
            <v:rect style="position:absolute;left:4796;top:1364;width:48;height:10" filled="true" fillcolor="#000000" stroked="false">
              <v:fill type="solid"/>
            </v:rect>
            <v:rect style="position:absolute;left:4844;top:1364;width:48;height:10" filled="true" fillcolor="#000000" stroked="false">
              <v:fill type="solid"/>
            </v:rect>
            <v:rect style="position:absolute;left:4892;top:1364;width:48;height:10" filled="true" fillcolor="#000000" stroked="false">
              <v:fill type="solid"/>
            </v:rect>
            <v:rect style="position:absolute;left:4940;top:1364;width:48;height:10" filled="true" fillcolor="#000000" stroked="false">
              <v:fill type="solid"/>
            </v:rect>
            <v:rect style="position:absolute;left:4988;top:1364;width:48;height:10" filled="true" fillcolor="#000000" stroked="false">
              <v:fill type="solid"/>
            </v:rect>
            <v:rect style="position:absolute;left:5036;top:1364;width:48;height:10" filled="true" fillcolor="#000000" stroked="false">
              <v:fill type="solid"/>
            </v:rect>
            <v:rect style="position:absolute;left:5084;top:1364;width:48;height:10" filled="true" fillcolor="#000000" stroked="false">
              <v:fill type="solid"/>
            </v:rect>
            <v:rect style="position:absolute;left:5132;top:1364;width:48;height:10" filled="true" fillcolor="#000000" stroked="false">
              <v:fill type="solid"/>
            </v:rect>
            <v:rect style="position:absolute;left:5180;top:1364;width:48;height:10" filled="true" fillcolor="#000000" stroked="false">
              <v:fill type="solid"/>
            </v:rect>
            <v:rect style="position:absolute;left:5228;top:1364;width:48;height:10" filled="true" fillcolor="#000000" stroked="false">
              <v:fill type="solid"/>
            </v:rect>
            <v:rect style="position:absolute;left:5276;top:1364;width:48;height:10" filled="true" fillcolor="#000000" stroked="false">
              <v:fill type="solid"/>
            </v:rect>
            <v:rect style="position:absolute;left:5324;top:1364;width:48;height:10" filled="true" fillcolor="#000000" stroked="false">
              <v:fill type="solid"/>
            </v:rect>
            <v:rect style="position:absolute;left:5372;top:1364;width:48;height:10" filled="true" fillcolor="#000000" stroked="false">
              <v:fill type="solid"/>
            </v:rect>
            <v:rect style="position:absolute;left:5420;top:1364;width:48;height:10" filled="true" fillcolor="#000000" stroked="false">
              <v:fill type="solid"/>
            </v:rect>
            <v:rect style="position:absolute;left:5468;top:1364;width:48;height:10" filled="true" fillcolor="#000000" stroked="false">
              <v:fill type="solid"/>
            </v:rect>
            <v:rect style="position:absolute;left:5516;top:1364;width:48;height:10" filled="true" fillcolor="#000000" stroked="false">
              <v:fill type="solid"/>
            </v:rect>
            <v:rect style="position:absolute;left:5564;top:1364;width:48;height:10" filled="true" fillcolor="#000000" stroked="false">
              <v:fill type="solid"/>
            </v:rect>
            <v:rect style="position:absolute;left:5612;top:1364;width:48;height:10" filled="true" fillcolor="#000000" stroked="false">
              <v:fill type="solid"/>
            </v:rect>
            <v:rect style="position:absolute;left:5660;top:1364;width:48;height:10" filled="true" fillcolor="#000000" stroked="false">
              <v:fill type="solid"/>
            </v:rect>
            <v:rect style="position:absolute;left:5708;top:1364;width:48;height:10" filled="true" fillcolor="#000000" stroked="false">
              <v:fill type="solid"/>
            </v:rect>
            <v:rect style="position:absolute;left:5756;top:1364;width:48;height:10" filled="true" fillcolor="#000000" stroked="false">
              <v:fill type="solid"/>
            </v:rect>
            <v:rect style="position:absolute;left:5804;top:1364;width:48;height:10" filled="true" fillcolor="#000000" stroked="false">
              <v:fill type="solid"/>
            </v:rect>
            <v:rect style="position:absolute;left:5852;top:1364;width:48;height:10" filled="true" fillcolor="#000000" stroked="false">
              <v:fill type="solid"/>
            </v:rect>
            <v:rect style="position:absolute;left:5900;top:1364;width:48;height:10" filled="true" fillcolor="#000000" stroked="false">
              <v:fill type="solid"/>
            </v:rect>
            <v:rect style="position:absolute;left:5948;top:1364;width:48;height:10" filled="true" fillcolor="#000000" stroked="false">
              <v:fill type="solid"/>
            </v:rect>
            <v:rect style="position:absolute;left:5996;top:1364;width:48;height:10" filled="true" fillcolor="#000000" stroked="false">
              <v:fill type="solid"/>
            </v:rect>
            <v:rect style="position:absolute;left:6044;top:1364;width:48;height:10" filled="true" fillcolor="#000000" stroked="false">
              <v:fill type="solid"/>
            </v:rect>
            <v:rect style="position:absolute;left:6092;top:1364;width:48;height:10" filled="true" fillcolor="#000000" stroked="false">
              <v:fill type="solid"/>
            </v:rect>
            <v:rect style="position:absolute;left:6140;top:1364;width:48;height:10" filled="true" fillcolor="#000000" stroked="false">
              <v:fill type="solid"/>
            </v:rect>
            <v:rect style="position:absolute;left:6188;top:1364;width:48;height:10" filled="true" fillcolor="#000000" stroked="false">
              <v:fill type="solid"/>
            </v:rect>
            <v:rect style="position:absolute;left:6236;top:1364;width:48;height:10" filled="true" fillcolor="#000000" stroked="false">
              <v:fill type="solid"/>
            </v:rect>
            <v:rect style="position:absolute;left:6284;top:1364;width:48;height:10" filled="true" fillcolor="#000000" stroked="false">
              <v:fill type="solid"/>
            </v:rect>
            <v:rect style="position:absolute;left:6332;top:1364;width:49;height:10" filled="true" fillcolor="#000000" stroked="false">
              <v:fill type="solid"/>
            </v:rect>
            <v:rect style="position:absolute;left:6380;top:1364;width:48;height:10" filled="true" fillcolor="#000000" stroked="false">
              <v:fill type="solid"/>
            </v:rect>
            <v:rect style="position:absolute;left:6428;top:1364;width:48;height:10" filled="true" fillcolor="#000000" stroked="false">
              <v:fill type="solid"/>
            </v:rect>
            <v:rect style="position:absolute;left:6476;top:1364;width:48;height:10" filled="true" fillcolor="#000000" stroked="false">
              <v:fill type="solid"/>
            </v:rect>
            <v:rect style="position:absolute;left:6524;top:1364;width:48;height:10" filled="true" fillcolor="#000000" stroked="false">
              <v:fill type="solid"/>
            </v:rect>
            <v:rect style="position:absolute;left:6572;top:1364;width:48;height:10" filled="true" fillcolor="#000000" stroked="false">
              <v:fill type="solid"/>
            </v:rect>
            <v:rect style="position:absolute;left:6620;top:1364;width:48;height:10" filled="true" fillcolor="#000000" stroked="false">
              <v:fill type="solid"/>
            </v:rect>
            <v:rect style="position:absolute;left:6668;top:1364;width:48;height:10" filled="true" fillcolor="#000000" stroked="false">
              <v:fill type="solid"/>
            </v:rect>
            <v:rect style="position:absolute;left:6716;top:1364;width:48;height:10" filled="true" fillcolor="#000000" stroked="false">
              <v:fill type="solid"/>
            </v:rect>
            <v:rect style="position:absolute;left:6764;top:1364;width:48;height:10" filled="true" fillcolor="#000000" stroked="false">
              <v:fill type="solid"/>
            </v:rect>
            <v:rect style="position:absolute;left:6812;top:1364;width:48;height:10" filled="true" fillcolor="#000000" stroked="false">
              <v:fill type="solid"/>
            </v:rect>
            <v:rect style="position:absolute;left:6860;top:1364;width:48;height:10" filled="true" fillcolor="#000000" stroked="false">
              <v:fill type="solid"/>
            </v:rect>
            <v:rect style="position:absolute;left:6908;top:1364;width:48;height:10" filled="true" fillcolor="#000000" stroked="false">
              <v:fill type="solid"/>
            </v:rect>
            <v:rect style="position:absolute;left:6956;top:1364;width:48;height:10" filled="true" fillcolor="#000000" stroked="false">
              <v:fill type="solid"/>
            </v:rect>
            <v:rect style="position:absolute;left:7004;top:1364;width:48;height:10" filled="true" fillcolor="#000000" stroked="false">
              <v:fill type="solid"/>
            </v:rect>
            <v:rect style="position:absolute;left:7052;top:1364;width:48;height:10" filled="true" fillcolor="#000000" stroked="false">
              <v:fill type="solid"/>
            </v:rect>
            <v:rect style="position:absolute;left:7100;top:1364;width:48;height:10" filled="true" fillcolor="#000000" stroked="false">
              <v:fill type="solid"/>
            </v:rect>
            <v:rect style="position:absolute;left:7148;top:1364;width:48;height:10" filled="true" fillcolor="#000000" stroked="false">
              <v:fill type="solid"/>
            </v:rect>
            <v:rect style="position:absolute;left:7196;top:1364;width:48;height:10" filled="true" fillcolor="#000000" stroked="false">
              <v:fill type="solid"/>
            </v:rect>
            <v:shape style="position:absolute;left:7254;top:1364;width:1683;height:10" type="#_x0000_t75" stroked="false">
              <v:imagedata r:id="rId15" o:title=""/>
            </v:shape>
            <v:rect style="position:absolute;left:7244;top:1374;width:10;height:48" filled="true" fillcolor="#000000" stroked="false">
              <v:fill type="solid"/>
            </v:rect>
            <v:rect style="position:absolute;left:7244;top:1422;width:10;height:48" filled="true" fillcolor="#000000" stroked="false">
              <v:fill type="solid"/>
            </v:rect>
            <v:rect style="position:absolute;left:7244;top:1470;width:10;height:48" filled="true" fillcolor="#000000" stroked="false">
              <v:fill type="solid"/>
            </v:rect>
            <v:rect style="position:absolute;left:7244;top:1518;width:10;height:48" filled="true" fillcolor="#000000" stroked="false">
              <v:fill type="solid"/>
            </v:rect>
            <v:rect style="position:absolute;left:7244;top:1566;width:10;height:48" filled="true" fillcolor="#000000" stroked="false">
              <v:fill type="solid"/>
            </v:rect>
            <v:rect style="position:absolute;left:7244;top:1614;width:10;height:48" filled="true" fillcolor="#000000" stroked="false">
              <v:fill type="solid"/>
            </v:rect>
            <v:rect style="position:absolute;left:7244;top:1662;width:10;height:48" filled="true" fillcolor="#000000" stroked="false">
              <v:fill type="solid"/>
            </v:rect>
            <v:rect style="position:absolute;left:7244;top:1710;width:10;height:48" filled="true" fillcolor="#000000" stroked="false">
              <v:fill type="solid"/>
            </v:rect>
            <v:rect style="position:absolute;left:7244;top:1758;width:10;height:48" filled="true" fillcolor="#000000" stroked="false">
              <v:fill type="solid"/>
            </v:rect>
            <v:rect style="position:absolute;left:2971;top:1842;width:48;height:10" filled="true" fillcolor="#000000" stroked="false">
              <v:fill type="solid"/>
            </v:rect>
            <v:rect style="position:absolute;left:3019;top:1842;width:48;height:10" filled="true" fillcolor="#000000" stroked="false">
              <v:fill type="solid"/>
            </v:rect>
            <v:rect style="position:absolute;left:3067;top:1842;width:48;height:10" filled="true" fillcolor="#000000" stroked="false">
              <v:fill type="solid"/>
            </v:rect>
            <v:rect style="position:absolute;left:3115;top:1842;width:48;height:10" filled="true" fillcolor="#000000" stroked="false">
              <v:fill type="solid"/>
            </v:rect>
            <v:rect style="position:absolute;left:3163;top:1842;width:48;height:10" filled="true" fillcolor="#000000" stroked="false">
              <v:fill type="solid"/>
            </v:rect>
            <v:rect style="position:absolute;left:3211;top:1842;width:48;height:10" filled="true" fillcolor="#000000" stroked="false">
              <v:fill type="solid"/>
            </v:rect>
            <v:rect style="position:absolute;left:3259;top:1842;width:48;height:10" filled="true" fillcolor="#000000" stroked="false">
              <v:fill type="solid"/>
            </v:rect>
            <v:rect style="position:absolute;left:3307;top:1842;width:48;height:10" filled="true" fillcolor="#000000" stroked="false">
              <v:fill type="solid"/>
            </v:rect>
            <v:rect style="position:absolute;left:3355;top:1842;width:48;height:10" filled="true" fillcolor="#000000" stroked="false">
              <v:fill type="solid"/>
            </v:rect>
            <v:rect style="position:absolute;left:3403;top:1842;width:48;height:10" filled="true" fillcolor="#000000" stroked="false">
              <v:fill type="solid"/>
            </v:rect>
            <v:rect style="position:absolute;left:3451;top:1842;width:48;height:10" filled="true" fillcolor="#000000" stroked="false">
              <v:fill type="solid"/>
            </v:rect>
            <v:rect style="position:absolute;left:3499;top:1842;width:48;height:10" filled="true" fillcolor="#000000" stroked="false">
              <v:fill type="solid"/>
            </v:rect>
            <v:rect style="position:absolute;left:3547;top:1842;width:48;height:10" filled="true" fillcolor="#000000" stroked="false">
              <v:fill type="solid"/>
            </v:rect>
            <v:rect style="position:absolute;left:3595;top:1842;width:48;height:10" filled="true" fillcolor="#000000" stroked="false">
              <v:fill type="solid"/>
            </v:rect>
            <v:rect style="position:absolute;left:3643;top:1842;width:48;height:10" filled="true" fillcolor="#000000" stroked="false">
              <v:fill type="solid"/>
            </v:rect>
            <v:rect style="position:absolute;left:3691;top:1842;width:48;height:10" filled="true" fillcolor="#000000" stroked="false">
              <v:fill type="solid"/>
            </v:rect>
            <v:rect style="position:absolute;left:3739;top:1842;width:48;height:10" filled="true" fillcolor="#000000" stroked="false">
              <v:fill type="solid"/>
            </v:rect>
            <v:rect style="position:absolute;left:3787;top:1842;width:49;height:10" filled="true" fillcolor="#000000" stroked="false">
              <v:fill type="solid"/>
            </v:rect>
            <v:rect style="position:absolute;left:3836;top:1842;width:48;height:10" filled="true" fillcolor="#000000" stroked="false">
              <v:fill type="solid"/>
            </v:rect>
            <v:rect style="position:absolute;left:3884;top:1842;width:48;height:10" filled="true" fillcolor="#000000" stroked="false">
              <v:fill type="solid"/>
            </v:rect>
            <v:rect style="position:absolute;left:3932;top:1842;width:48;height:10" filled="true" fillcolor="#000000" stroked="false">
              <v:fill type="solid"/>
            </v:rect>
            <v:rect style="position:absolute;left:3980;top:1842;width:48;height:10" filled="true" fillcolor="#000000" stroked="false">
              <v:fill type="solid"/>
            </v:rect>
            <v:rect style="position:absolute;left:4028;top:1842;width:48;height:10" filled="true" fillcolor="#000000" stroked="false">
              <v:fill type="solid"/>
            </v:rect>
            <v:rect style="position:absolute;left:4076;top:1842;width:48;height:10" filled="true" fillcolor="#000000" stroked="false">
              <v:fill type="solid"/>
            </v:rect>
            <v:rect style="position:absolute;left:4124;top:1842;width:48;height:10" filled="true" fillcolor="#000000" stroked="false">
              <v:fill type="solid"/>
            </v:rect>
            <v:rect style="position:absolute;left:4172;top:1842;width:48;height:10" filled="true" fillcolor="#000000" stroked="false">
              <v:fill type="solid"/>
            </v:rect>
            <v:rect style="position:absolute;left:4220;top:1842;width:48;height:10" filled="true" fillcolor="#000000" stroked="false">
              <v:fill type="solid"/>
            </v:rect>
            <v:rect style="position:absolute;left:4268;top:1842;width:48;height:10" filled="true" fillcolor="#000000" stroked="false">
              <v:fill type="solid"/>
            </v:rect>
            <v:rect style="position:absolute;left:4316;top:1842;width:48;height:10" filled="true" fillcolor="#000000" stroked="false">
              <v:fill type="solid"/>
            </v:rect>
            <v:rect style="position:absolute;left:4364;top:1842;width:48;height:10" filled="true" fillcolor="#000000" stroked="false">
              <v:fill type="solid"/>
            </v:rect>
            <v:rect style="position:absolute;left:4412;top:1842;width:48;height:10" filled="true" fillcolor="#000000" stroked="false">
              <v:fill type="solid"/>
            </v:rect>
            <v:rect style="position:absolute;left:4460;top:1842;width:48;height:10" filled="true" fillcolor="#000000" stroked="false">
              <v:fill type="solid"/>
            </v:rect>
            <v:rect style="position:absolute;left:4508;top:1842;width:48;height:10" filled="true" fillcolor="#000000" stroked="false">
              <v:fill type="solid"/>
            </v:rect>
            <v:rect style="position:absolute;left:4556;top:1842;width:48;height:10" filled="true" fillcolor="#000000" stroked="false">
              <v:fill type="solid"/>
            </v:rect>
            <v:rect style="position:absolute;left:4604;top:1842;width:48;height:10" filled="true" fillcolor="#000000" stroked="false">
              <v:fill type="solid"/>
            </v:rect>
            <v:rect style="position:absolute;left:4652;top:1842;width:48;height:10" filled="true" fillcolor="#000000" stroked="false">
              <v:fill type="solid"/>
            </v:rect>
            <v:rect style="position:absolute;left:4700;top:1842;width:48;height:10" filled="true" fillcolor="#000000" stroked="false">
              <v:fill type="solid"/>
            </v:rect>
            <v:rect style="position:absolute;left:4748;top:1842;width:48;height:10" filled="true" fillcolor="#000000" stroked="false">
              <v:fill type="solid"/>
            </v:rect>
            <v:rect style="position:absolute;left:4796;top:1842;width:48;height:10" filled="true" fillcolor="#000000" stroked="false">
              <v:fill type="solid"/>
            </v:rect>
            <v:rect style="position:absolute;left:4844;top:1842;width:48;height:10" filled="true" fillcolor="#000000" stroked="false">
              <v:fill type="solid"/>
            </v:rect>
            <v:rect style="position:absolute;left:4892;top:1842;width:48;height:10" filled="true" fillcolor="#000000" stroked="false">
              <v:fill type="solid"/>
            </v:rect>
            <v:rect style="position:absolute;left:4940;top:1842;width:48;height:10" filled="true" fillcolor="#000000" stroked="false">
              <v:fill type="solid"/>
            </v:rect>
            <v:rect style="position:absolute;left:4988;top:1842;width:48;height:10" filled="true" fillcolor="#000000" stroked="false">
              <v:fill type="solid"/>
            </v:rect>
            <v:rect style="position:absolute;left:5036;top:1842;width:48;height:10" filled="true" fillcolor="#000000" stroked="false">
              <v:fill type="solid"/>
            </v:rect>
            <v:rect style="position:absolute;left:5084;top:1842;width:48;height:10" filled="true" fillcolor="#000000" stroked="false">
              <v:fill type="solid"/>
            </v:rect>
            <v:rect style="position:absolute;left:5132;top:1842;width:48;height:10" filled="true" fillcolor="#000000" stroked="false">
              <v:fill type="solid"/>
            </v:rect>
            <v:rect style="position:absolute;left:5180;top:1842;width:48;height:10" filled="true" fillcolor="#000000" stroked="false">
              <v:fill type="solid"/>
            </v:rect>
            <v:rect style="position:absolute;left:5228;top:1842;width:48;height:10" filled="true" fillcolor="#000000" stroked="false">
              <v:fill type="solid"/>
            </v:rect>
            <v:rect style="position:absolute;left:5276;top:1842;width:48;height:10" filled="true" fillcolor="#000000" stroked="false">
              <v:fill type="solid"/>
            </v:rect>
            <v:rect style="position:absolute;left:5324;top:1842;width:48;height:10" filled="true" fillcolor="#000000" stroked="false">
              <v:fill type="solid"/>
            </v:rect>
            <v:rect style="position:absolute;left:5372;top:1842;width:48;height:10" filled="true" fillcolor="#000000" stroked="false">
              <v:fill type="solid"/>
            </v:rect>
            <v:rect style="position:absolute;left:5420;top:1842;width:48;height:10" filled="true" fillcolor="#000000" stroked="false">
              <v:fill type="solid"/>
            </v:rect>
            <v:rect style="position:absolute;left:5468;top:1842;width:48;height:10" filled="true" fillcolor="#000000" stroked="false">
              <v:fill type="solid"/>
            </v:rect>
            <v:rect style="position:absolute;left:5516;top:1842;width:48;height:10" filled="true" fillcolor="#000000" stroked="false">
              <v:fill type="solid"/>
            </v:rect>
            <v:rect style="position:absolute;left:5564;top:1842;width:48;height:10" filled="true" fillcolor="#000000" stroked="false">
              <v:fill type="solid"/>
            </v:rect>
            <v:rect style="position:absolute;left:5612;top:1842;width:48;height:10" filled="true" fillcolor="#000000" stroked="false">
              <v:fill type="solid"/>
            </v:rect>
            <v:rect style="position:absolute;left:5660;top:1842;width:48;height:10" filled="true" fillcolor="#000000" stroked="false">
              <v:fill type="solid"/>
            </v:rect>
            <v:rect style="position:absolute;left:5708;top:1842;width:48;height:10" filled="true" fillcolor="#000000" stroked="false">
              <v:fill type="solid"/>
            </v:rect>
            <v:rect style="position:absolute;left:5756;top:1842;width:48;height:10" filled="true" fillcolor="#000000" stroked="false">
              <v:fill type="solid"/>
            </v:rect>
            <v:rect style="position:absolute;left:5804;top:1842;width:48;height:10" filled="true" fillcolor="#000000" stroked="false">
              <v:fill type="solid"/>
            </v:rect>
            <v:rect style="position:absolute;left:5852;top:1842;width:48;height:10" filled="true" fillcolor="#000000" stroked="false">
              <v:fill type="solid"/>
            </v:rect>
            <v:rect style="position:absolute;left:5900;top:1842;width:48;height:10" filled="true" fillcolor="#000000" stroked="false">
              <v:fill type="solid"/>
            </v:rect>
            <v:rect style="position:absolute;left:5948;top:1842;width:48;height:10" filled="true" fillcolor="#000000" stroked="false">
              <v:fill type="solid"/>
            </v:rect>
            <v:rect style="position:absolute;left:5996;top:1842;width:48;height:10" filled="true" fillcolor="#000000" stroked="false">
              <v:fill type="solid"/>
            </v:rect>
            <v:rect style="position:absolute;left:6044;top:1842;width:48;height:10" filled="true" fillcolor="#000000" stroked="false">
              <v:fill type="solid"/>
            </v:rect>
            <v:rect style="position:absolute;left:6092;top:1842;width:48;height:10" filled="true" fillcolor="#000000" stroked="false">
              <v:fill type="solid"/>
            </v:rect>
            <v:rect style="position:absolute;left:6140;top:1842;width:48;height:10" filled="true" fillcolor="#000000" stroked="false">
              <v:fill type="solid"/>
            </v:rect>
            <v:rect style="position:absolute;left:6188;top:1842;width:48;height:10" filled="true" fillcolor="#000000" stroked="false">
              <v:fill type="solid"/>
            </v:rect>
            <v:rect style="position:absolute;left:6236;top:1842;width:48;height:10" filled="true" fillcolor="#000000" stroked="false">
              <v:fill type="solid"/>
            </v:rect>
            <v:rect style="position:absolute;left:6284;top:1842;width:48;height:10" filled="true" fillcolor="#000000" stroked="false">
              <v:fill type="solid"/>
            </v:rect>
            <v:rect style="position:absolute;left:6332;top:1842;width:49;height:10" filled="true" fillcolor="#000000" stroked="false">
              <v:fill type="solid"/>
            </v:rect>
            <v:rect style="position:absolute;left:6380;top:1842;width:48;height:10" filled="true" fillcolor="#000000" stroked="false">
              <v:fill type="solid"/>
            </v:rect>
            <v:rect style="position:absolute;left:6428;top:1842;width:48;height:10" filled="true" fillcolor="#000000" stroked="false">
              <v:fill type="solid"/>
            </v:rect>
            <v:rect style="position:absolute;left:6476;top:1842;width:48;height:10" filled="true" fillcolor="#000000" stroked="false">
              <v:fill type="solid"/>
            </v:rect>
            <v:rect style="position:absolute;left:6524;top:1842;width:48;height:10" filled="true" fillcolor="#000000" stroked="false">
              <v:fill type="solid"/>
            </v:rect>
            <v:rect style="position:absolute;left:6572;top:1842;width:48;height:10" filled="true" fillcolor="#000000" stroked="false">
              <v:fill type="solid"/>
            </v:rect>
            <v:rect style="position:absolute;left:6620;top:1842;width:48;height:10" filled="true" fillcolor="#000000" stroked="false">
              <v:fill type="solid"/>
            </v:rect>
            <v:rect style="position:absolute;left:6668;top:1842;width:48;height:10" filled="true" fillcolor="#000000" stroked="false">
              <v:fill type="solid"/>
            </v:rect>
            <v:rect style="position:absolute;left:6716;top:1842;width:48;height:10" filled="true" fillcolor="#000000" stroked="false">
              <v:fill type="solid"/>
            </v:rect>
            <v:rect style="position:absolute;left:6764;top:1842;width:48;height:10" filled="true" fillcolor="#000000" stroked="false">
              <v:fill type="solid"/>
            </v:rect>
            <v:rect style="position:absolute;left:6812;top:1842;width:48;height:10" filled="true" fillcolor="#000000" stroked="false">
              <v:fill type="solid"/>
            </v:rect>
            <v:rect style="position:absolute;left:6860;top:1842;width:48;height:10" filled="true" fillcolor="#000000" stroked="false">
              <v:fill type="solid"/>
            </v:rect>
            <v:rect style="position:absolute;left:6908;top:1842;width:48;height:10" filled="true" fillcolor="#000000" stroked="false">
              <v:fill type="solid"/>
            </v:rect>
            <v:rect style="position:absolute;left:6956;top:1842;width:48;height:10" filled="true" fillcolor="#000000" stroked="false">
              <v:fill type="solid"/>
            </v:rect>
            <v:rect style="position:absolute;left:7004;top:1842;width:48;height:10" filled="true" fillcolor="#000000" stroked="false">
              <v:fill type="solid"/>
            </v:rect>
            <v:rect style="position:absolute;left:7052;top:1842;width:48;height:10" filled="true" fillcolor="#000000" stroked="false">
              <v:fill type="solid"/>
            </v:rect>
            <v:rect style="position:absolute;left:7100;top:1842;width:48;height:10" filled="true" fillcolor="#000000" stroked="false">
              <v:fill type="solid"/>
            </v:rect>
            <v:rect style="position:absolute;left:7148;top:1842;width:48;height:10" filled="true" fillcolor="#000000" stroked="false">
              <v:fill type="solid"/>
            </v:rect>
            <v:rect style="position:absolute;left:7196;top:1842;width:48;height:10" filled="true" fillcolor="#000000" stroked="false">
              <v:fill type="solid"/>
            </v:rect>
            <v:shape style="position:absolute;left:7254;top:1842;width:1683;height:10" type="#_x0000_t75" stroked="false">
              <v:imagedata r:id="rId15" o:title=""/>
            </v:shape>
            <v:rect style="position:absolute;left:7244;top:1851;width:10;height:48" filled="true" fillcolor="#000000" stroked="false">
              <v:fill type="solid"/>
            </v:rect>
            <v:rect style="position:absolute;left:7244;top:1899;width:10;height:48" filled="true" fillcolor="#000000" stroked="false">
              <v:fill type="solid"/>
            </v:rect>
            <v:rect style="position:absolute;left:7244;top:1947;width:10;height:48" filled="true" fillcolor="#000000" stroked="false">
              <v:fill type="solid"/>
            </v:rect>
            <v:rect style="position:absolute;left:7244;top:1995;width:10;height:48" filled="true" fillcolor="#000000" stroked="false">
              <v:fill type="solid"/>
            </v:rect>
            <v:rect style="position:absolute;left:7244;top:2043;width:10;height:48" filled="true" fillcolor="#000000" stroked="false">
              <v:fill type="solid"/>
            </v:rect>
            <v:rect style="position:absolute;left:7244;top:2091;width:10;height:48" filled="true" fillcolor="#000000" stroked="false">
              <v:fill type="solid"/>
            </v:rect>
            <v:rect style="position:absolute;left:7244;top:2139;width:10;height:48" filled="true" fillcolor="#000000" stroked="false">
              <v:fill type="solid"/>
            </v:rect>
            <v:rect style="position:absolute;left:7244;top:2187;width:10;height:48" filled="true" fillcolor="#000000" stroked="false">
              <v:fill type="solid"/>
            </v:rect>
            <v:shape style="position:absolute;left:7249;top:1374;width:2;height:910" coordorigin="7249,1374" coordsize="0,910" path="m7249,2284l7249,1374,7249,2284xe" filled="true" fillcolor="#000000" stroked="false">
              <v:path arrowok="t"/>
              <v:fill type="solid"/>
            </v:shape>
            <v:rect style="position:absolute;left:7244;top:2283;width:10;height:36" filled="true" fillcolor="#000000" stroked="false">
              <v:fill type="solid"/>
            </v:rect>
            <v:rect style="position:absolute;left:2971;top:2319;width:48;height:10" filled="true" fillcolor="#000000" stroked="false">
              <v:fill type="solid"/>
            </v:rect>
            <v:rect style="position:absolute;left:3019;top:2319;width:48;height:10" filled="true" fillcolor="#000000" stroked="false">
              <v:fill type="solid"/>
            </v:rect>
            <v:rect style="position:absolute;left:3067;top:2319;width:48;height:10" filled="true" fillcolor="#000000" stroked="false">
              <v:fill type="solid"/>
            </v:rect>
            <v:rect style="position:absolute;left:3115;top:2319;width:48;height:10" filled="true" fillcolor="#000000" stroked="false">
              <v:fill type="solid"/>
            </v:rect>
            <v:rect style="position:absolute;left:3163;top:2319;width:48;height:10" filled="true" fillcolor="#000000" stroked="false">
              <v:fill type="solid"/>
            </v:rect>
            <v:rect style="position:absolute;left:3211;top:2319;width:48;height:10" filled="true" fillcolor="#000000" stroked="false">
              <v:fill type="solid"/>
            </v:rect>
            <v:rect style="position:absolute;left:3259;top:2319;width:48;height:10" filled="true" fillcolor="#000000" stroked="false">
              <v:fill type="solid"/>
            </v:rect>
            <v:rect style="position:absolute;left:3307;top:2319;width:48;height:10" filled="true" fillcolor="#000000" stroked="false">
              <v:fill type="solid"/>
            </v:rect>
            <v:rect style="position:absolute;left:3355;top:2319;width:48;height:10" filled="true" fillcolor="#000000" stroked="false">
              <v:fill type="solid"/>
            </v:rect>
            <v:rect style="position:absolute;left:3403;top:2319;width:48;height:10" filled="true" fillcolor="#000000" stroked="false">
              <v:fill type="solid"/>
            </v:rect>
            <v:rect style="position:absolute;left:3451;top:2319;width:48;height:10" filled="true" fillcolor="#000000" stroked="false">
              <v:fill type="solid"/>
            </v:rect>
            <v:rect style="position:absolute;left:3499;top:2319;width:48;height:10" filled="true" fillcolor="#000000" stroked="false">
              <v:fill type="solid"/>
            </v:rect>
            <v:rect style="position:absolute;left:3547;top:2319;width:48;height:10" filled="true" fillcolor="#000000" stroked="false">
              <v:fill type="solid"/>
            </v:rect>
            <v:rect style="position:absolute;left:3595;top:2319;width:48;height:10" filled="true" fillcolor="#000000" stroked="false">
              <v:fill type="solid"/>
            </v:rect>
            <v:rect style="position:absolute;left:3643;top:2319;width:48;height:10" filled="true" fillcolor="#000000" stroked="false">
              <v:fill type="solid"/>
            </v:rect>
            <v:rect style="position:absolute;left:3691;top:2319;width:48;height:10" filled="true" fillcolor="#000000" stroked="false">
              <v:fill type="solid"/>
            </v:rect>
            <v:rect style="position:absolute;left:3739;top:2319;width:48;height:10" filled="true" fillcolor="#000000" stroked="false">
              <v:fill type="solid"/>
            </v:rect>
            <v:rect style="position:absolute;left:3787;top:2319;width:49;height:10" filled="true" fillcolor="#000000" stroked="false">
              <v:fill type="solid"/>
            </v:rect>
            <v:rect style="position:absolute;left:3836;top:2319;width:48;height:10" filled="true" fillcolor="#000000" stroked="false">
              <v:fill type="solid"/>
            </v:rect>
            <v:rect style="position:absolute;left:3884;top:2319;width:48;height:10" filled="true" fillcolor="#000000" stroked="false">
              <v:fill type="solid"/>
            </v:rect>
            <v:rect style="position:absolute;left:3932;top:2319;width:48;height:10" filled="true" fillcolor="#000000" stroked="false">
              <v:fill type="solid"/>
            </v:rect>
            <v:rect style="position:absolute;left:3980;top:2319;width:48;height:10" filled="true" fillcolor="#000000" stroked="false">
              <v:fill type="solid"/>
            </v:rect>
            <v:rect style="position:absolute;left:4028;top:2319;width:48;height:10" filled="true" fillcolor="#000000" stroked="false">
              <v:fill type="solid"/>
            </v:rect>
            <v:rect style="position:absolute;left:4076;top:2319;width:48;height:10" filled="true" fillcolor="#000000" stroked="false">
              <v:fill type="solid"/>
            </v:rect>
            <v:rect style="position:absolute;left:4124;top:2319;width:48;height:10" filled="true" fillcolor="#000000" stroked="false">
              <v:fill type="solid"/>
            </v:rect>
            <v:rect style="position:absolute;left:4172;top:2319;width:48;height:10" filled="true" fillcolor="#000000" stroked="false">
              <v:fill type="solid"/>
            </v:rect>
            <v:rect style="position:absolute;left:4220;top:2319;width:48;height:10" filled="true" fillcolor="#000000" stroked="false">
              <v:fill type="solid"/>
            </v:rect>
            <v:rect style="position:absolute;left:4268;top:2319;width:48;height:10" filled="true" fillcolor="#000000" stroked="false">
              <v:fill type="solid"/>
            </v:rect>
            <v:rect style="position:absolute;left:4316;top:2319;width:48;height:10" filled="true" fillcolor="#000000" stroked="false">
              <v:fill type="solid"/>
            </v:rect>
            <v:rect style="position:absolute;left:4364;top:2319;width:48;height:10" filled="true" fillcolor="#000000" stroked="false">
              <v:fill type="solid"/>
            </v:rect>
            <v:rect style="position:absolute;left:4412;top:2319;width:48;height:10" filled="true" fillcolor="#000000" stroked="false">
              <v:fill type="solid"/>
            </v:rect>
            <v:rect style="position:absolute;left:4460;top:2319;width:48;height:10" filled="true" fillcolor="#000000" stroked="false">
              <v:fill type="solid"/>
            </v:rect>
            <v:rect style="position:absolute;left:4508;top:2319;width:48;height:10" filled="true" fillcolor="#000000" stroked="false">
              <v:fill type="solid"/>
            </v:rect>
            <v:rect style="position:absolute;left:4556;top:2319;width:48;height:10" filled="true" fillcolor="#000000" stroked="false">
              <v:fill type="solid"/>
            </v:rect>
            <v:rect style="position:absolute;left:4604;top:2319;width:48;height:10" filled="true" fillcolor="#000000" stroked="false">
              <v:fill type="solid"/>
            </v:rect>
            <v:rect style="position:absolute;left:4652;top:2319;width:48;height:10" filled="true" fillcolor="#000000" stroked="false">
              <v:fill type="solid"/>
            </v:rect>
            <v:rect style="position:absolute;left:4700;top:2319;width:48;height:10" filled="true" fillcolor="#000000" stroked="false">
              <v:fill type="solid"/>
            </v:rect>
            <v:rect style="position:absolute;left:4748;top:2319;width:48;height:10" filled="true" fillcolor="#000000" stroked="false">
              <v:fill type="solid"/>
            </v:rect>
            <v:rect style="position:absolute;left:4796;top:2319;width:48;height:10" filled="true" fillcolor="#000000" stroked="false">
              <v:fill type="solid"/>
            </v:rect>
            <v:rect style="position:absolute;left:4844;top:2319;width:48;height:10" filled="true" fillcolor="#000000" stroked="false">
              <v:fill type="solid"/>
            </v:rect>
            <v:rect style="position:absolute;left:4892;top:2319;width:48;height:10" filled="true" fillcolor="#000000" stroked="false">
              <v:fill type="solid"/>
            </v:rect>
            <v:rect style="position:absolute;left:4940;top:2319;width:48;height:10" filled="true" fillcolor="#000000" stroked="false">
              <v:fill type="solid"/>
            </v:rect>
            <v:rect style="position:absolute;left:4988;top:2319;width:48;height:10" filled="true" fillcolor="#000000" stroked="false">
              <v:fill type="solid"/>
            </v:rect>
            <v:rect style="position:absolute;left:5036;top:2319;width:48;height:10" filled="true" fillcolor="#000000" stroked="false">
              <v:fill type="solid"/>
            </v:rect>
            <v:rect style="position:absolute;left:5084;top:2319;width:48;height:10" filled="true" fillcolor="#000000" stroked="false">
              <v:fill type="solid"/>
            </v:rect>
            <v:rect style="position:absolute;left:5132;top:2319;width:48;height:10" filled="true" fillcolor="#000000" stroked="false">
              <v:fill type="solid"/>
            </v:rect>
            <v:rect style="position:absolute;left:5180;top:2319;width:48;height:10" filled="true" fillcolor="#000000" stroked="false">
              <v:fill type="solid"/>
            </v:rect>
            <v:rect style="position:absolute;left:5228;top:2319;width:48;height:10" filled="true" fillcolor="#000000" stroked="false">
              <v:fill type="solid"/>
            </v:rect>
            <v:rect style="position:absolute;left:5276;top:2319;width:48;height:10" filled="true" fillcolor="#000000" stroked="false">
              <v:fill type="solid"/>
            </v:rect>
            <v:rect style="position:absolute;left:5324;top:2319;width:48;height:10" filled="true" fillcolor="#000000" stroked="false">
              <v:fill type="solid"/>
            </v:rect>
            <v:rect style="position:absolute;left:5372;top:2319;width:48;height:10" filled="true" fillcolor="#000000" stroked="false">
              <v:fill type="solid"/>
            </v:rect>
            <v:rect style="position:absolute;left:5420;top:2319;width:48;height:10" filled="true" fillcolor="#000000" stroked="false">
              <v:fill type="solid"/>
            </v:rect>
            <v:rect style="position:absolute;left:5468;top:2319;width:48;height:10" filled="true" fillcolor="#000000" stroked="false">
              <v:fill type="solid"/>
            </v:rect>
            <v:rect style="position:absolute;left:5516;top:2319;width:48;height:10" filled="true" fillcolor="#000000" stroked="false">
              <v:fill type="solid"/>
            </v:rect>
            <v:rect style="position:absolute;left:5564;top:2319;width:48;height:10" filled="true" fillcolor="#000000" stroked="false">
              <v:fill type="solid"/>
            </v:rect>
            <v:rect style="position:absolute;left:5612;top:2319;width:48;height:10" filled="true" fillcolor="#000000" stroked="false">
              <v:fill type="solid"/>
            </v:rect>
            <v:rect style="position:absolute;left:5660;top:2319;width:48;height:10" filled="true" fillcolor="#000000" stroked="false">
              <v:fill type="solid"/>
            </v:rect>
            <v:rect style="position:absolute;left:5708;top:2319;width:48;height:10" filled="true" fillcolor="#000000" stroked="false">
              <v:fill type="solid"/>
            </v:rect>
            <v:rect style="position:absolute;left:5756;top:2319;width:48;height:10" filled="true" fillcolor="#000000" stroked="false">
              <v:fill type="solid"/>
            </v:rect>
            <v:rect style="position:absolute;left:5804;top:2319;width:48;height:10" filled="true" fillcolor="#000000" stroked="false">
              <v:fill type="solid"/>
            </v:rect>
            <v:rect style="position:absolute;left:5852;top:2319;width:48;height:10" filled="true" fillcolor="#000000" stroked="false">
              <v:fill type="solid"/>
            </v:rect>
            <v:rect style="position:absolute;left:5900;top:2319;width:48;height:10" filled="true" fillcolor="#000000" stroked="false">
              <v:fill type="solid"/>
            </v:rect>
            <v:rect style="position:absolute;left:5948;top:2319;width:48;height:10" filled="true" fillcolor="#000000" stroked="false">
              <v:fill type="solid"/>
            </v:rect>
            <v:rect style="position:absolute;left:5996;top:2319;width:48;height:10" filled="true" fillcolor="#000000" stroked="false">
              <v:fill type="solid"/>
            </v:rect>
            <v:rect style="position:absolute;left:6044;top:2319;width:48;height:10" filled="true" fillcolor="#000000" stroked="false">
              <v:fill type="solid"/>
            </v:rect>
            <v:rect style="position:absolute;left:6092;top:2319;width:48;height:10" filled="true" fillcolor="#000000" stroked="false">
              <v:fill type="solid"/>
            </v:rect>
            <v:rect style="position:absolute;left:6140;top:2319;width:48;height:10" filled="true" fillcolor="#000000" stroked="false">
              <v:fill type="solid"/>
            </v:rect>
            <v:rect style="position:absolute;left:6188;top:2319;width:48;height:10" filled="true" fillcolor="#000000" stroked="false">
              <v:fill type="solid"/>
            </v:rect>
            <v:rect style="position:absolute;left:6236;top:2319;width:48;height:10" filled="true" fillcolor="#000000" stroked="false">
              <v:fill type="solid"/>
            </v:rect>
            <v:rect style="position:absolute;left:6284;top:2319;width:48;height:10" filled="true" fillcolor="#000000" stroked="false">
              <v:fill type="solid"/>
            </v:rect>
            <v:rect style="position:absolute;left:6332;top:2319;width:49;height:10" filled="true" fillcolor="#000000" stroked="false">
              <v:fill type="solid"/>
            </v:rect>
            <v:rect style="position:absolute;left:6380;top:2319;width:48;height:10" filled="true" fillcolor="#000000" stroked="false">
              <v:fill type="solid"/>
            </v:rect>
            <v:rect style="position:absolute;left:6428;top:2319;width:48;height:10" filled="true" fillcolor="#000000" stroked="false">
              <v:fill type="solid"/>
            </v:rect>
            <v:rect style="position:absolute;left:6476;top:2319;width:48;height:10" filled="true" fillcolor="#000000" stroked="false">
              <v:fill type="solid"/>
            </v:rect>
            <v:rect style="position:absolute;left:6524;top:2319;width:48;height:10" filled="true" fillcolor="#000000" stroked="false">
              <v:fill type="solid"/>
            </v:rect>
            <v:rect style="position:absolute;left:6572;top:2319;width:48;height:10" filled="true" fillcolor="#000000" stroked="false">
              <v:fill type="solid"/>
            </v:rect>
            <v:rect style="position:absolute;left:6620;top:2319;width:48;height:10" filled="true" fillcolor="#000000" stroked="false">
              <v:fill type="solid"/>
            </v:rect>
            <v:rect style="position:absolute;left:6668;top:2319;width:48;height:10" filled="true" fillcolor="#000000" stroked="false">
              <v:fill type="solid"/>
            </v:rect>
            <v:rect style="position:absolute;left:6716;top:2319;width:48;height:10" filled="true" fillcolor="#000000" stroked="false">
              <v:fill type="solid"/>
            </v:rect>
            <v:rect style="position:absolute;left:6764;top:2319;width:48;height:10" filled="true" fillcolor="#000000" stroked="false">
              <v:fill type="solid"/>
            </v:rect>
            <v:rect style="position:absolute;left:6812;top:2319;width:48;height:10" filled="true" fillcolor="#000000" stroked="false">
              <v:fill type="solid"/>
            </v:rect>
            <v:rect style="position:absolute;left:6860;top:2319;width:48;height:10" filled="true" fillcolor="#000000" stroked="false">
              <v:fill type="solid"/>
            </v:rect>
            <v:rect style="position:absolute;left:6908;top:2319;width:48;height:10" filled="true" fillcolor="#000000" stroked="false">
              <v:fill type="solid"/>
            </v:rect>
            <v:rect style="position:absolute;left:6956;top:2319;width:48;height:10" filled="true" fillcolor="#000000" stroked="false">
              <v:fill type="solid"/>
            </v:rect>
            <v:rect style="position:absolute;left:7004;top:2319;width:48;height:10" filled="true" fillcolor="#000000" stroked="false">
              <v:fill type="solid"/>
            </v:rect>
            <v:rect style="position:absolute;left:7052;top:2319;width:48;height:10" filled="true" fillcolor="#000000" stroked="false">
              <v:fill type="solid"/>
            </v:rect>
            <v:rect style="position:absolute;left:7100;top:2319;width:48;height:10" filled="true" fillcolor="#000000" stroked="false">
              <v:fill type="solid"/>
            </v:rect>
            <v:rect style="position:absolute;left:7148;top:2319;width:48;height:10" filled="true" fillcolor="#000000" stroked="false">
              <v:fill type="solid"/>
            </v:rect>
            <v:rect style="position:absolute;left:7196;top:2319;width:48;height:10" filled="true" fillcolor="#000000" stroked="false">
              <v:fill type="solid"/>
            </v:rect>
            <v:rect style="position:absolute;left:7244;top:2319;width:10;height:10" filled="true" fillcolor="#000000" stroked="false">
              <v:fill type="solid"/>
            </v:rect>
            <v:shape style="position:absolute;left:7244;top:2319;width:1693;height:480" type="#_x0000_t75" stroked="false">
              <v:imagedata r:id="rId16" o:title=""/>
            </v:shape>
            <v:line style="position:absolute" from="2957,2814" to="7245,2814" stroked="true" strokeweight="1.44pt" strokecolor="#000000">
              <v:stroke dashstyle="solid"/>
            </v:line>
            <v:rect style="position:absolute;left:7244;top:2799;width:29;height:29" filled="true" fillcolor="#000000" stroked="false">
              <v:fill type="solid"/>
            </v:rect>
            <v:line style="position:absolute" from="7273,2814" to="8937,2814" stroked="true" strokeweight="1.44pt" strokecolor="#000000">
              <v:stroke dashstyle="solid"/>
            </v:line>
            <v:shape style="position:absolute;left:4057;top:525;width:2130;height:212" type="#_x0000_t202" filled="false" stroked="false">
              <v:textbox inset="0,0,0,0">
                <w:txbxContent>
                  <w:p>
                    <w:pPr>
                      <w:spacing w:line="211" w:lineRule="exact" w:before="0"/>
                      <w:ind w:left="0" w:right="0" w:firstLine="0"/>
                      <w:jc w:val="left"/>
                      <w:rPr>
                        <w:b/>
                        <w:sz w:val="21"/>
                      </w:rPr>
                    </w:pPr>
                    <w:r>
                      <w:rPr>
                        <w:b/>
                        <w:sz w:val="21"/>
                      </w:rPr>
                      <w:t>申购金额（含申购费）</w:t>
                    </w:r>
                  </w:p>
                </w:txbxContent>
              </v:textbox>
              <w10:wrap type="none"/>
            </v:shape>
            <v:shape style="position:absolute;left:7460;top:525;width:1288;height:212" type="#_x0000_t202" filled="false" stroked="false">
              <v:textbox inset="0,0,0,0">
                <w:txbxContent>
                  <w:p>
                    <w:pPr>
                      <w:spacing w:line="211" w:lineRule="exact" w:before="0"/>
                      <w:ind w:left="0" w:right="0" w:firstLine="0"/>
                      <w:jc w:val="left"/>
                      <w:rPr>
                        <w:b/>
                        <w:sz w:val="21"/>
                      </w:rPr>
                    </w:pPr>
                    <w:r>
                      <w:rPr>
                        <w:b/>
                        <w:sz w:val="21"/>
                      </w:rPr>
                      <w:t>前端申购费率</w:t>
                    </w:r>
                  </w:p>
                </w:txbxContent>
              </v:textbox>
              <w10:wrap type="none"/>
            </v:shape>
            <v:shape style="position:absolute;left:4505;top:1017;width:1230;height:234" type="#_x0000_t202" filled="false" stroked="false">
              <v:textbox inset="0,0,0,0">
                <w:txbxContent>
                  <w:p>
                    <w:pPr>
                      <w:spacing w:line="234" w:lineRule="exact" w:before="0"/>
                      <w:ind w:left="0" w:right="0" w:firstLine="0"/>
                      <w:jc w:val="left"/>
                      <w:rPr>
                        <w:sz w:val="21"/>
                      </w:rPr>
                    </w:pPr>
                    <w:r>
                      <w:rPr>
                        <w:rFonts w:ascii="Times New Roman" w:eastAsia="Times New Roman"/>
                        <w:sz w:val="21"/>
                      </w:rPr>
                      <w:t>100 </w:t>
                    </w:r>
                    <w:r>
                      <w:rPr>
                        <w:sz w:val="21"/>
                      </w:rPr>
                      <w:t>万元以下</w:t>
                    </w:r>
                  </w:p>
                </w:txbxContent>
              </v:textbox>
              <w10:wrap type="none"/>
            </v:shape>
            <v:shape style="position:absolute;left:7873;top:1015;width:460;height:234" type="#_x0000_t202" filled="false" stroked="false">
              <v:textbox inset="0,0,0,0">
                <w:txbxContent>
                  <w:p>
                    <w:pPr>
                      <w:spacing w:line="234" w:lineRule="exact" w:before="0"/>
                      <w:ind w:left="0" w:right="0" w:firstLine="0"/>
                      <w:jc w:val="left"/>
                      <w:rPr>
                        <w:rFonts w:ascii="Times New Roman"/>
                        <w:sz w:val="21"/>
                      </w:rPr>
                    </w:pPr>
                    <w:r>
                      <w:rPr>
                        <w:rFonts w:ascii="Times New Roman"/>
                        <w:sz w:val="21"/>
                      </w:rPr>
                      <w:t>1.2%</w:t>
                    </w:r>
                  </w:p>
                </w:txbxContent>
              </v:textbox>
              <w10:wrap type="none"/>
            </v:shape>
            <v:shape style="position:absolute;left:3132;top:1495;width:3979;height:234" type="#_x0000_t202" filled="false" stroked="false">
              <v:textbox inset="0,0,0,0">
                <w:txbxContent>
                  <w:p>
                    <w:pPr>
                      <w:spacing w:line="234" w:lineRule="exact" w:before="0"/>
                      <w:ind w:left="0" w:right="0" w:firstLine="0"/>
                      <w:jc w:val="left"/>
                      <w:rPr>
                        <w:sz w:val="21"/>
                      </w:rPr>
                    </w:pPr>
                    <w:r>
                      <w:rPr>
                        <w:rFonts w:ascii="Times New Roman" w:eastAsia="Times New Roman"/>
                        <w:sz w:val="21"/>
                      </w:rPr>
                      <w:t>100 </w:t>
                    </w:r>
                    <w:r>
                      <w:rPr>
                        <w:spacing w:val="-3"/>
                        <w:sz w:val="21"/>
                      </w:rPr>
                      <w:t>万元以上（</w:t>
                    </w:r>
                    <w:r>
                      <w:rPr>
                        <w:spacing w:val="-25"/>
                        <w:sz w:val="21"/>
                      </w:rPr>
                      <w:t>含 </w:t>
                    </w:r>
                    <w:r>
                      <w:rPr>
                        <w:rFonts w:ascii="Times New Roman" w:eastAsia="Times New Roman"/>
                        <w:sz w:val="21"/>
                      </w:rPr>
                      <w:t>100 </w:t>
                    </w:r>
                    <w:r>
                      <w:rPr>
                        <w:spacing w:val="-2"/>
                        <w:sz w:val="21"/>
                      </w:rPr>
                      <w:t>万元</w:t>
                    </w:r>
                    <w:r>
                      <w:rPr>
                        <w:sz w:val="21"/>
                      </w:rPr>
                      <w:t>）</w:t>
                    </w:r>
                    <w:r>
                      <w:rPr>
                        <w:rFonts w:ascii="Times New Roman" w:eastAsia="Times New Roman"/>
                        <w:sz w:val="21"/>
                      </w:rPr>
                      <w:t>-500 </w:t>
                    </w:r>
                    <w:r>
                      <w:rPr>
                        <w:spacing w:val="-3"/>
                        <w:sz w:val="21"/>
                      </w:rPr>
                      <w:t>万元以下</w:t>
                    </w:r>
                  </w:p>
                </w:txbxContent>
              </v:textbox>
              <w10:wrap type="none"/>
            </v:shape>
            <v:shape style="position:absolute;left:7873;top:1493;width:460;height:234" type="#_x0000_t202" filled="false" stroked="false">
              <v:textbox inset="0,0,0,0">
                <w:txbxContent>
                  <w:p>
                    <w:pPr>
                      <w:spacing w:line="234" w:lineRule="exact" w:before="0"/>
                      <w:ind w:left="0" w:right="0" w:firstLine="0"/>
                      <w:jc w:val="left"/>
                      <w:rPr>
                        <w:rFonts w:ascii="Times New Roman"/>
                        <w:sz w:val="21"/>
                      </w:rPr>
                    </w:pPr>
                    <w:r>
                      <w:rPr>
                        <w:rFonts w:ascii="Times New Roman"/>
                        <w:sz w:val="21"/>
                      </w:rPr>
                      <w:t>0.9%</w:t>
                    </w:r>
                  </w:p>
                </w:txbxContent>
              </v:textbox>
              <w10:wrap type="none"/>
            </v:shape>
            <v:shape style="position:absolute;left:3079;top:1973;width:4084;height:234" type="#_x0000_t202" filled="false" stroked="false">
              <v:textbox inset="0,0,0,0">
                <w:txbxContent>
                  <w:p>
                    <w:pPr>
                      <w:spacing w:line="234" w:lineRule="exact" w:before="0"/>
                      <w:ind w:left="0" w:right="0" w:firstLine="0"/>
                      <w:jc w:val="left"/>
                      <w:rPr>
                        <w:sz w:val="21"/>
                      </w:rPr>
                    </w:pPr>
                    <w:r>
                      <w:rPr>
                        <w:rFonts w:ascii="Times New Roman" w:eastAsia="Times New Roman"/>
                        <w:sz w:val="21"/>
                      </w:rPr>
                      <w:t>500 </w:t>
                    </w:r>
                    <w:r>
                      <w:rPr>
                        <w:spacing w:val="-3"/>
                        <w:sz w:val="21"/>
                      </w:rPr>
                      <w:t>万元以上（</w:t>
                    </w:r>
                    <w:r>
                      <w:rPr>
                        <w:spacing w:val="-25"/>
                        <w:sz w:val="21"/>
                      </w:rPr>
                      <w:t>含 </w:t>
                    </w:r>
                    <w:r>
                      <w:rPr>
                        <w:rFonts w:ascii="Times New Roman" w:eastAsia="Times New Roman"/>
                        <w:sz w:val="21"/>
                      </w:rPr>
                      <w:t>500 </w:t>
                    </w:r>
                    <w:r>
                      <w:rPr>
                        <w:spacing w:val="-2"/>
                        <w:sz w:val="21"/>
                      </w:rPr>
                      <w:t>万元</w:t>
                    </w:r>
                    <w:r>
                      <w:rPr>
                        <w:sz w:val="21"/>
                      </w:rPr>
                      <w:t>）</w:t>
                    </w:r>
                    <w:r>
                      <w:rPr>
                        <w:rFonts w:ascii="Times New Roman" w:eastAsia="Times New Roman"/>
                        <w:sz w:val="21"/>
                      </w:rPr>
                      <w:t>-1000 </w:t>
                    </w:r>
                    <w:r>
                      <w:rPr>
                        <w:spacing w:val="-3"/>
                        <w:sz w:val="21"/>
                      </w:rPr>
                      <w:t>万元以下</w:t>
                    </w:r>
                  </w:p>
                </w:txbxContent>
              </v:textbox>
              <w10:wrap type="none"/>
            </v:shape>
            <v:shape style="position:absolute;left:7873;top:1970;width:460;height:234" type="#_x0000_t202" filled="false" stroked="false">
              <v:textbox inset="0,0,0,0">
                <w:txbxContent>
                  <w:p>
                    <w:pPr>
                      <w:spacing w:line="234" w:lineRule="exact" w:before="0"/>
                      <w:ind w:left="0" w:right="0" w:firstLine="0"/>
                      <w:jc w:val="left"/>
                      <w:rPr>
                        <w:rFonts w:ascii="Times New Roman"/>
                        <w:sz w:val="21"/>
                      </w:rPr>
                    </w:pPr>
                    <w:r>
                      <w:rPr>
                        <w:rFonts w:ascii="Times New Roman"/>
                        <w:sz w:val="21"/>
                      </w:rPr>
                      <w:t>0.6%</w:t>
                    </w:r>
                  </w:p>
                </w:txbxContent>
              </v:textbox>
              <w10:wrap type="none"/>
            </v:shape>
            <v:shape style="position:absolute;left:3665;top:2450;width:2913;height:234" type="#_x0000_t202" filled="false" stroked="false">
              <v:textbox inset="0,0,0,0">
                <w:txbxContent>
                  <w:p>
                    <w:pPr>
                      <w:spacing w:line="234" w:lineRule="exact" w:before="0"/>
                      <w:ind w:left="0" w:right="0" w:firstLine="0"/>
                      <w:jc w:val="left"/>
                      <w:rPr>
                        <w:sz w:val="21"/>
                      </w:rPr>
                    </w:pPr>
                    <w:r>
                      <w:rPr>
                        <w:rFonts w:ascii="Times New Roman" w:eastAsia="Times New Roman"/>
                        <w:sz w:val="21"/>
                      </w:rPr>
                      <w:t>1000 </w:t>
                    </w:r>
                    <w:r>
                      <w:rPr>
                        <w:spacing w:val="-3"/>
                        <w:sz w:val="21"/>
                      </w:rPr>
                      <w:t>万元以上</w:t>
                    </w:r>
                    <w:r>
                      <w:rPr>
                        <w:sz w:val="21"/>
                      </w:rPr>
                      <w:t>（</w:t>
                    </w:r>
                    <w:r>
                      <w:rPr>
                        <w:spacing w:val="-25"/>
                        <w:sz w:val="21"/>
                      </w:rPr>
                      <w:t>含 </w:t>
                    </w:r>
                    <w:r>
                      <w:rPr>
                        <w:rFonts w:ascii="Times New Roman" w:eastAsia="Times New Roman"/>
                        <w:sz w:val="21"/>
                      </w:rPr>
                      <w:t>1000 </w:t>
                    </w:r>
                    <w:r>
                      <w:rPr>
                        <w:sz w:val="21"/>
                      </w:rPr>
                      <w:t>万元）</w:t>
                    </w:r>
                  </w:p>
                </w:txbxContent>
              </v:textbox>
              <w10:wrap type="none"/>
            </v:shape>
            <v:shape style="position:absolute;left:7357;top:2450;width:1494;height:234" type="#_x0000_t202" filled="false" stroked="false">
              <v:textbox inset="0,0,0,0">
                <w:txbxContent>
                  <w:p>
                    <w:pPr>
                      <w:spacing w:line="234" w:lineRule="exact" w:before="0"/>
                      <w:ind w:left="0" w:right="0" w:firstLine="0"/>
                      <w:jc w:val="left"/>
                      <w:rPr>
                        <w:sz w:val="21"/>
                      </w:rPr>
                    </w:pPr>
                    <w:r>
                      <w:rPr>
                        <w:spacing w:val="-18"/>
                        <w:sz w:val="21"/>
                      </w:rPr>
                      <w:t>每笔 </w:t>
                    </w:r>
                    <w:r>
                      <w:rPr>
                        <w:rFonts w:ascii="Times New Roman" w:eastAsia="Times New Roman"/>
                        <w:sz w:val="21"/>
                      </w:rPr>
                      <w:t>1,000.00 </w:t>
                    </w:r>
                    <w:r>
                      <w:rPr>
                        <w:sz w:val="21"/>
                      </w:rPr>
                      <w:t>元</w:t>
                    </w:r>
                  </w:p>
                </w:txbxContent>
              </v:textbox>
              <w10:wrap type="none"/>
            </v:shape>
            <w10:wrap type="topAndBottom"/>
          </v:group>
        </w:pict>
      </w:r>
      <w:r>
        <w:rPr>
          <w:spacing w:val="-3"/>
          <w:sz w:val="21"/>
        </w:rPr>
        <w:t>人民币申购费率</w:t>
      </w:r>
    </w:p>
    <w:p>
      <w:pPr>
        <w:pStyle w:val="ListParagraph"/>
        <w:numPr>
          <w:ilvl w:val="0"/>
          <w:numId w:val="12"/>
        </w:numPr>
        <w:tabs>
          <w:tab w:pos="1170" w:val="left" w:leader="none"/>
        </w:tabs>
        <w:spacing w:line="240" w:lineRule="auto" w:before="70" w:after="0"/>
        <w:ind w:left="1169" w:right="0" w:hanging="530"/>
        <w:jc w:val="left"/>
        <w:rPr>
          <w:sz w:val="21"/>
        </w:rPr>
      </w:pPr>
      <w:r>
        <w:rPr>
          <w:spacing w:val="-3"/>
          <w:sz w:val="21"/>
        </w:rPr>
        <w:t>美元申购费率</w:t>
      </w:r>
    </w:p>
    <w:p>
      <w:pPr>
        <w:pStyle w:val="BodyText"/>
        <w:spacing w:before="7"/>
        <w:ind w:left="0"/>
        <w:rPr>
          <w:sz w:val="15"/>
        </w:rPr>
      </w:pPr>
    </w:p>
    <w:p>
      <w:pPr>
        <w:pStyle w:val="BodyText"/>
        <w:jc w:val="both"/>
      </w:pPr>
      <w:r>
        <w:rPr/>
        <w:t>美元申购费率应参照人民币申购费率制定。本基金在开放申购之后的 </w:t>
      </w:r>
      <w:r>
        <w:rPr>
          <w:rFonts w:ascii="Times New Roman" w:eastAsia="Times New Roman"/>
        </w:rPr>
        <w:t>1 </w:t>
      </w:r>
      <w:r>
        <w:rPr/>
        <w:t>年内对美元申</w:t>
      </w:r>
    </w:p>
    <w:p>
      <w:pPr>
        <w:pStyle w:val="BodyText"/>
        <w:spacing w:before="7"/>
        <w:ind w:left="0"/>
        <w:rPr>
          <w:sz w:val="15"/>
        </w:rPr>
      </w:pPr>
    </w:p>
    <w:p>
      <w:pPr>
        <w:pStyle w:val="BodyText"/>
        <w:spacing w:line="417" w:lineRule="auto"/>
        <w:ind w:left="220" w:right="986"/>
        <w:jc w:val="both"/>
      </w:pPr>
      <w:r>
        <w:rPr>
          <w:spacing w:val="-5"/>
        </w:rPr>
        <w:t>购实行费率优惠，基金管理人决定自该费率优惠满 </w:t>
      </w:r>
      <w:r>
        <w:rPr>
          <w:rFonts w:ascii="Times New Roman" w:eastAsia="Times New Roman"/>
        </w:rPr>
        <w:t>1 </w:t>
      </w:r>
      <w:r>
        <w:rPr>
          <w:spacing w:val="-3"/>
        </w:rPr>
        <w:t>年之日起，对美元申购继续实行费率</w:t>
      </w:r>
      <w:r>
        <w:rPr/>
        <w:t>优惠，美元申购费率为 </w:t>
      </w:r>
      <w:r>
        <w:rPr>
          <w:rFonts w:ascii="Times New Roman" w:eastAsia="Times New Roman"/>
          <w:spacing w:val="-3"/>
        </w:rPr>
        <w:t>0</w:t>
      </w:r>
      <w:r>
        <w:rPr>
          <w:spacing w:val="-3"/>
        </w:rPr>
        <w:t>。如未来调整费率优惠水平或取消费率优惠，基金管理人将在招募说明书或相关公告中披露。</w:t>
      </w:r>
    </w:p>
    <w:p>
      <w:pPr>
        <w:pStyle w:val="BodyText"/>
        <w:spacing w:line="269" w:lineRule="exact"/>
      </w:pPr>
      <w:r>
        <w:rPr>
          <w:rFonts w:ascii="Times New Roman" w:eastAsia="Times New Roman"/>
        </w:rPr>
        <w:t>2</w:t>
      </w:r>
      <w:r>
        <w:rPr/>
        <w:t>、本基金</w:t>
      </w:r>
      <w:r>
        <w:rPr>
          <w:rFonts w:ascii="Times New Roman" w:eastAsia="Times New Roman"/>
        </w:rPr>
        <w:t>C</w:t>
      </w:r>
      <w:r>
        <w:rPr/>
        <w:t>类基金份额不收取申购费。</w:t>
      </w:r>
    </w:p>
    <w:p>
      <w:pPr>
        <w:pStyle w:val="BodyText"/>
        <w:spacing w:before="6"/>
        <w:ind w:left="0"/>
        <w:rPr>
          <w:sz w:val="15"/>
        </w:rPr>
      </w:pPr>
    </w:p>
    <w:p>
      <w:pPr>
        <w:pStyle w:val="BodyText"/>
        <w:spacing w:line="417" w:lineRule="auto" w:before="1"/>
        <w:ind w:left="220" w:right="986" w:firstLine="419"/>
      </w:pPr>
      <w:r>
        <w:rPr>
          <w:rFonts w:ascii="Times New Roman" w:eastAsia="Times New Roman"/>
        </w:rPr>
        <w:t>3</w:t>
      </w:r>
      <w:r>
        <w:rPr/>
        <w:t>、本基金 </w:t>
      </w:r>
      <w:r>
        <w:rPr>
          <w:rFonts w:ascii="Times New Roman" w:eastAsia="Times New Roman"/>
        </w:rPr>
        <w:t>A </w:t>
      </w:r>
      <w:r>
        <w:rPr/>
        <w:t>类、</w:t>
      </w:r>
      <w:r>
        <w:rPr>
          <w:rFonts w:ascii="Times New Roman" w:eastAsia="Times New Roman"/>
        </w:rPr>
        <w:t>C </w:t>
      </w:r>
      <w:r>
        <w:rPr/>
        <w:t>类基金份额均收取赎回费，赎回费由赎回人承担，在投资者赎回基金份额时收取。</w:t>
      </w:r>
    </w:p>
    <w:p>
      <w:pPr>
        <w:spacing w:after="0" w:line="417" w:lineRule="auto"/>
        <w:sectPr>
          <w:pgSz w:w="11910" w:h="16840"/>
          <w:pgMar w:header="705" w:footer="683" w:top="1420" w:bottom="880" w:left="1580" w:right="920"/>
        </w:sectPr>
      </w:pPr>
    </w:p>
    <w:p>
      <w:pPr>
        <w:pStyle w:val="BodyText"/>
        <w:spacing w:before="110"/>
      </w:pPr>
      <w:r>
        <w:rPr/>
        <w:pict>
          <v:group style="position:absolute;margin-left:160.220001pt;margin-top:23.919983pt;width:274.25pt;height:75.25pt;mso-position-horizontal-relative:page;mso-position-vertical-relative:paragraph;z-index:-251633664;mso-wrap-distance-left:0;mso-wrap-distance-right:0" coordorigin="3204,478" coordsize="5485,1505">
            <v:line style="position:absolute" from="3219,493" to="7624,493" stroked="true" strokeweight="1.44pt" strokecolor="#000000">
              <v:stroke dashstyle="solid"/>
            </v:line>
            <v:shape style="position:absolute;left:7623;top:507;width:10;height:3" type="#_x0000_t75" stroked="false">
              <v:imagedata r:id="rId12" o:title=""/>
            </v:shape>
            <v:rect style="position:absolute;left:7623;top:478;width:29;height:29" filled="true" fillcolor="#000000" stroked="false">
              <v:fill type="solid"/>
            </v:rect>
            <v:line style="position:absolute" from="7653,493" to="8689,493" stroked="true" strokeweight="1.44pt" strokecolor="#000000">
              <v:stroke dashstyle="solid"/>
            </v:line>
            <v:shape style="position:absolute;left:7623;top:509;width:10;height:466" type="#_x0000_t75" stroked="false">
              <v:imagedata r:id="rId17" o:title=""/>
            </v:shape>
            <v:line style="position:absolute" from="3219,990" to="7624,990" stroked="true" strokeweight="1.44pt" strokecolor="#000000">
              <v:stroke dashstyle="solid"/>
            </v:line>
            <v:shape style="position:absolute;left:7623;top:975;width:10;height:32" type="#_x0000_t75" stroked="false">
              <v:imagedata r:id="rId13" o:title=""/>
            </v:shape>
            <v:line style="position:absolute" from="7633,990" to="8689,990" stroked="true" strokeweight="1.44pt" strokecolor="#000000">
              <v:stroke dashstyle="solid"/>
            </v:line>
            <v:shape style="position:absolute;left:3218;top:1006;width:5471;height:948" type="#_x0000_t75" stroked="false">
              <v:imagedata r:id="rId18" o:title=""/>
            </v:shape>
            <v:line style="position:absolute" from="3204,1969" to="7624,1969" stroked="true" strokeweight="1.44pt" strokecolor="#000000">
              <v:stroke dashstyle="solid"/>
            </v:line>
            <v:rect style="position:absolute;left:7623;top:1954;width:29;height:29" filled="true" fillcolor="#000000" stroked="false">
              <v:fill type="solid"/>
            </v:rect>
            <v:line style="position:absolute" from="7653,1969" to="8689,1969" stroked="true" strokeweight="1.44pt" strokecolor="#000000">
              <v:stroke dashstyle="solid"/>
            </v:line>
            <v:shape style="position:absolute;left:5002;top:635;width:865;height:212" type="#_x0000_t202" filled="false" stroked="false">
              <v:textbox inset="0,0,0,0">
                <w:txbxContent>
                  <w:p>
                    <w:pPr>
                      <w:spacing w:line="211" w:lineRule="exact" w:before="0"/>
                      <w:ind w:left="0" w:right="0" w:firstLine="0"/>
                      <w:jc w:val="left"/>
                      <w:rPr>
                        <w:b/>
                        <w:sz w:val="21"/>
                      </w:rPr>
                    </w:pPr>
                    <w:r>
                      <w:rPr>
                        <w:b/>
                        <w:sz w:val="21"/>
                      </w:rPr>
                      <w:t>持有期限</w:t>
                    </w:r>
                  </w:p>
                </w:txbxContent>
              </v:textbox>
              <w10:wrap type="none"/>
            </v:shape>
            <v:shape style="position:absolute;left:7736;top:635;width:865;height:212" type="#_x0000_t202" filled="false" stroked="false">
              <v:textbox inset="0,0,0,0">
                <w:txbxContent>
                  <w:p>
                    <w:pPr>
                      <w:spacing w:line="211" w:lineRule="exact" w:before="0"/>
                      <w:ind w:left="0" w:right="0" w:firstLine="0"/>
                      <w:jc w:val="left"/>
                      <w:rPr>
                        <w:b/>
                        <w:sz w:val="21"/>
                      </w:rPr>
                    </w:pPr>
                    <w:r>
                      <w:rPr>
                        <w:b/>
                        <w:sz w:val="21"/>
                      </w:rPr>
                      <w:t>赎回费率</w:t>
                    </w:r>
                  </w:p>
                </w:txbxContent>
              </v:textbox>
              <w10:wrap type="none"/>
            </v:shape>
            <v:shape style="position:absolute;left:5029;top:1127;width:810;height:234" type="#_x0000_t202" filled="false" stroked="false">
              <v:textbox inset="0,0,0,0">
                <w:txbxContent>
                  <w:p>
                    <w:pPr>
                      <w:spacing w:line="234" w:lineRule="exact" w:before="0"/>
                      <w:ind w:left="0" w:right="0" w:firstLine="0"/>
                      <w:jc w:val="left"/>
                      <w:rPr>
                        <w:sz w:val="21"/>
                      </w:rPr>
                    </w:pPr>
                    <w:r>
                      <w:rPr>
                        <w:rFonts w:ascii="Times New Roman" w:eastAsia="Times New Roman"/>
                        <w:sz w:val="21"/>
                      </w:rPr>
                      <w:t>7 </w:t>
                    </w:r>
                    <w:r>
                      <w:rPr>
                        <w:sz w:val="21"/>
                      </w:rPr>
                      <w:t>天以内</w:t>
                    </w:r>
                  </w:p>
                </w:txbxContent>
              </v:textbox>
              <w10:wrap type="none"/>
            </v:shape>
            <v:shape style="position:absolute;left:7940;top:1125;width:460;height:234" type="#_x0000_t202" filled="false" stroked="false">
              <v:textbox inset="0,0,0,0">
                <w:txbxContent>
                  <w:p>
                    <w:pPr>
                      <w:spacing w:line="234" w:lineRule="exact" w:before="0"/>
                      <w:ind w:left="0" w:right="0" w:firstLine="0"/>
                      <w:jc w:val="left"/>
                      <w:rPr>
                        <w:rFonts w:ascii="Times New Roman"/>
                        <w:sz w:val="21"/>
                      </w:rPr>
                    </w:pPr>
                    <w:r>
                      <w:rPr>
                        <w:rFonts w:ascii="Times New Roman"/>
                        <w:sz w:val="21"/>
                      </w:rPr>
                      <w:t>1.5%</w:t>
                    </w:r>
                  </w:p>
                </w:txbxContent>
              </v:textbox>
              <w10:wrap type="none"/>
            </v:shape>
            <v:shape style="position:absolute;left:4503;top:1605;width:1861;height:234" type="#_x0000_t202" filled="false" stroked="false">
              <v:textbox inset="0,0,0,0">
                <w:txbxContent>
                  <w:p>
                    <w:pPr>
                      <w:spacing w:line="234" w:lineRule="exact" w:before="0"/>
                      <w:ind w:left="0" w:right="0" w:firstLine="0"/>
                      <w:jc w:val="left"/>
                      <w:rPr>
                        <w:sz w:val="21"/>
                      </w:rPr>
                    </w:pPr>
                    <w:r>
                      <w:rPr>
                        <w:rFonts w:ascii="Times New Roman" w:eastAsia="Times New Roman"/>
                        <w:sz w:val="21"/>
                      </w:rPr>
                      <w:t>7 </w:t>
                    </w:r>
                    <w:r>
                      <w:rPr>
                        <w:spacing w:val="-2"/>
                        <w:sz w:val="21"/>
                      </w:rPr>
                      <w:t>天以上</w:t>
                    </w:r>
                    <w:r>
                      <w:rPr>
                        <w:spacing w:val="-3"/>
                        <w:sz w:val="21"/>
                      </w:rPr>
                      <w:t>（</w:t>
                    </w:r>
                    <w:r>
                      <w:rPr>
                        <w:spacing w:val="-25"/>
                        <w:sz w:val="21"/>
                      </w:rPr>
                      <w:t>含 </w:t>
                    </w:r>
                    <w:r>
                      <w:rPr>
                        <w:rFonts w:ascii="Times New Roman" w:eastAsia="Times New Roman"/>
                        <w:sz w:val="21"/>
                      </w:rPr>
                      <w:t>7 </w:t>
                    </w:r>
                    <w:r>
                      <w:rPr>
                        <w:sz w:val="21"/>
                      </w:rPr>
                      <w:t>天）</w:t>
                    </w:r>
                  </w:p>
                </w:txbxContent>
              </v:textbox>
              <w10:wrap type="none"/>
            </v:shape>
            <v:shape style="position:absolute;left:7940;top:1603;width:460;height:234" type="#_x0000_t202" filled="false" stroked="false">
              <v:textbox inset="0,0,0,0">
                <w:txbxContent>
                  <w:p>
                    <w:pPr>
                      <w:spacing w:line="234" w:lineRule="exact" w:before="0"/>
                      <w:ind w:left="0" w:right="0" w:firstLine="0"/>
                      <w:jc w:val="left"/>
                      <w:rPr>
                        <w:rFonts w:ascii="Times New Roman"/>
                        <w:sz w:val="21"/>
                      </w:rPr>
                    </w:pPr>
                    <w:r>
                      <w:rPr>
                        <w:rFonts w:ascii="Times New Roman"/>
                        <w:sz w:val="21"/>
                      </w:rPr>
                      <w:t>0.5%</w:t>
                    </w:r>
                  </w:p>
                </w:txbxContent>
              </v:textbox>
              <w10:wrap type="none"/>
            </v:shape>
            <w10:wrap type="topAndBottom"/>
          </v:group>
        </w:pict>
      </w:r>
      <w:r>
        <w:rPr/>
        <w:t>（</w:t>
      </w:r>
      <w:r>
        <w:rPr>
          <w:rFonts w:ascii="Times New Roman" w:eastAsia="Times New Roman"/>
        </w:rPr>
        <w:t>1</w:t>
      </w:r>
      <w:r>
        <w:rPr/>
        <w:t>）</w:t>
      </w:r>
      <w:r>
        <w:rPr>
          <w:rFonts w:ascii="Times New Roman" w:eastAsia="Times New Roman"/>
        </w:rPr>
        <w:t>A </w:t>
      </w:r>
      <w:r>
        <w:rPr/>
        <w:t>类基金份额赎回费率如下：</w:t>
      </w:r>
    </w:p>
    <w:p>
      <w:pPr>
        <w:pStyle w:val="BodyText"/>
        <w:spacing w:before="70"/>
      </w:pPr>
      <w:r>
        <w:rPr/>
        <w:t>（</w:t>
      </w:r>
      <w:r>
        <w:rPr>
          <w:rFonts w:ascii="Times New Roman" w:eastAsia="Times New Roman"/>
        </w:rPr>
        <w:t>2</w:t>
      </w:r>
      <w:r>
        <w:rPr/>
        <w:t>）</w:t>
      </w:r>
      <w:r>
        <w:rPr>
          <w:rFonts w:ascii="Times New Roman" w:eastAsia="Times New Roman"/>
        </w:rPr>
        <w:t>C </w:t>
      </w:r>
      <w:r>
        <w:rPr/>
        <w:t>类份额的赎回费率如下：</w:t>
      </w:r>
    </w:p>
    <w:p>
      <w:pPr>
        <w:pStyle w:val="BodyText"/>
        <w:spacing w:before="6"/>
        <w:ind w:left="0"/>
        <w:rPr>
          <w:sz w:val="15"/>
        </w:rPr>
      </w:pPr>
    </w:p>
    <w:p>
      <w:pPr>
        <w:pStyle w:val="BodyText"/>
        <w:spacing w:line="417" w:lineRule="auto"/>
        <w:ind w:left="220" w:right="986" w:firstLine="419"/>
      </w:pPr>
      <w:r>
        <w:rPr>
          <w:spacing w:val="-8"/>
        </w:rPr>
        <w:t>赎回时份额持有不满 </w:t>
      </w:r>
      <w:r>
        <w:rPr>
          <w:rFonts w:ascii="Times New Roman" w:eastAsia="Times New Roman"/>
        </w:rPr>
        <w:t>7 </w:t>
      </w:r>
      <w:r>
        <w:rPr>
          <w:spacing w:val="-13"/>
        </w:rPr>
        <w:t>天的，收取 </w:t>
      </w:r>
      <w:r>
        <w:rPr>
          <w:rFonts w:ascii="Times New Roman" w:eastAsia="Times New Roman"/>
        </w:rPr>
        <w:t>1.5%</w:t>
      </w:r>
      <w:r>
        <w:rPr>
          <w:spacing w:val="-10"/>
        </w:rPr>
        <w:t>的赎回费，持有满 </w:t>
      </w:r>
      <w:r>
        <w:rPr>
          <w:rFonts w:ascii="Times New Roman" w:eastAsia="Times New Roman"/>
        </w:rPr>
        <w:t>7 </w:t>
      </w:r>
      <w:r>
        <w:rPr>
          <w:spacing w:val="-7"/>
        </w:rPr>
        <w:t>天以上</w:t>
      </w:r>
      <w:r>
        <w:rPr/>
        <w:t>（</w:t>
      </w:r>
      <w:r>
        <w:rPr>
          <w:spacing w:val="-25"/>
        </w:rPr>
        <w:t>含 </w:t>
      </w:r>
      <w:r>
        <w:rPr>
          <w:rFonts w:ascii="Times New Roman" w:eastAsia="Times New Roman"/>
        </w:rPr>
        <w:t>7 </w:t>
      </w:r>
      <w:r>
        <w:rPr>
          <w:spacing w:val="-3"/>
        </w:rPr>
        <w:t>天</w:t>
      </w:r>
      <w:r>
        <w:rPr>
          <w:spacing w:val="-15"/>
        </w:rPr>
        <w:t>）</w:t>
      </w:r>
      <w:r>
        <w:rPr>
          <w:spacing w:val="-6"/>
        </w:rPr>
        <w:t>的，赎</w:t>
      </w:r>
      <w:r>
        <w:rPr>
          <w:spacing w:val="-17"/>
        </w:rPr>
        <w:t>回费为 </w:t>
      </w:r>
      <w:r>
        <w:rPr>
          <w:rFonts w:ascii="Times New Roman" w:eastAsia="Times New Roman"/>
        </w:rPr>
        <w:t>0</w:t>
      </w:r>
      <w:r>
        <w:rPr/>
        <w:t>。</w:t>
      </w:r>
    </w:p>
    <w:p>
      <w:pPr>
        <w:pStyle w:val="ListParagraph"/>
        <w:numPr>
          <w:ilvl w:val="0"/>
          <w:numId w:val="12"/>
        </w:numPr>
        <w:tabs>
          <w:tab w:pos="1167" w:val="left" w:leader="none"/>
        </w:tabs>
        <w:spacing w:line="240" w:lineRule="auto" w:before="1" w:after="0"/>
        <w:ind w:left="1167" w:right="0" w:hanging="527"/>
        <w:jc w:val="left"/>
        <w:rPr>
          <w:sz w:val="21"/>
        </w:rPr>
      </w:pPr>
      <w:r>
        <w:rPr>
          <w:spacing w:val="-7"/>
          <w:sz w:val="21"/>
        </w:rPr>
        <w:t>对于赎回时份额持有不满 </w:t>
      </w:r>
      <w:r>
        <w:rPr>
          <w:rFonts w:ascii="Times New Roman" w:eastAsia="Times New Roman"/>
          <w:sz w:val="21"/>
        </w:rPr>
        <w:t>7</w:t>
      </w:r>
      <w:r>
        <w:rPr>
          <w:rFonts w:ascii="Times New Roman" w:eastAsia="Times New Roman"/>
          <w:spacing w:val="-2"/>
          <w:sz w:val="21"/>
        </w:rPr>
        <w:t> </w:t>
      </w:r>
      <w:r>
        <w:rPr>
          <w:spacing w:val="-10"/>
          <w:sz w:val="21"/>
        </w:rPr>
        <w:t>天的，收取的赎回费全额计入基金财产。对赎回时份</w:t>
      </w:r>
    </w:p>
    <w:p>
      <w:pPr>
        <w:pStyle w:val="BodyText"/>
        <w:spacing w:before="6"/>
        <w:ind w:left="0"/>
        <w:rPr>
          <w:sz w:val="15"/>
        </w:rPr>
      </w:pPr>
    </w:p>
    <w:p>
      <w:pPr>
        <w:pStyle w:val="BodyText"/>
        <w:spacing w:line="417" w:lineRule="auto"/>
        <w:ind w:left="220" w:right="988"/>
      </w:pPr>
      <w:r>
        <w:rPr>
          <w:spacing w:val="-10"/>
        </w:rPr>
        <w:t>额持有满 </w:t>
      </w:r>
      <w:r>
        <w:rPr>
          <w:rFonts w:ascii="Times New Roman" w:eastAsia="Times New Roman"/>
        </w:rPr>
        <w:t>7 </w:t>
      </w:r>
      <w:r>
        <w:rPr>
          <w:spacing w:val="-4"/>
        </w:rPr>
        <w:t>天以上</w:t>
      </w:r>
      <w:r>
        <w:rPr/>
        <w:t>（</w:t>
      </w:r>
      <w:r>
        <w:rPr>
          <w:spacing w:val="-24"/>
        </w:rPr>
        <w:t>含 </w:t>
      </w:r>
      <w:r>
        <w:rPr>
          <w:rFonts w:ascii="Times New Roman" w:eastAsia="Times New Roman"/>
        </w:rPr>
        <w:t>7 </w:t>
      </w:r>
      <w:r>
        <w:rPr/>
        <w:t>天</w:t>
      </w:r>
      <w:r>
        <w:rPr>
          <w:spacing w:val="-8"/>
        </w:rPr>
        <w:t>）</w:t>
      </w:r>
      <w:r>
        <w:rPr>
          <w:spacing w:val="-6"/>
        </w:rPr>
        <w:t>收取的赎回费，须依法扣除所收取赎回费总额的 </w:t>
      </w:r>
      <w:r>
        <w:rPr>
          <w:rFonts w:ascii="Times New Roman" w:eastAsia="Times New Roman"/>
        </w:rPr>
        <w:t>25%</w:t>
      </w:r>
      <w:r>
        <w:rPr>
          <w:spacing w:val="-2"/>
        </w:rPr>
        <w:t>归入基</w:t>
      </w:r>
      <w:r>
        <w:rPr>
          <w:spacing w:val="-3"/>
        </w:rPr>
        <w:t>金资产，其余用于支付登记结算费、销售手续费等各项费用。</w:t>
      </w:r>
    </w:p>
    <w:p>
      <w:pPr>
        <w:pStyle w:val="BodyText"/>
        <w:spacing w:line="417" w:lineRule="auto"/>
        <w:ind w:left="220" w:right="883" w:firstLine="419"/>
      </w:pPr>
      <w:r>
        <w:rPr>
          <w:rFonts w:ascii="Times New Roman" w:eastAsia="Times New Roman"/>
        </w:rPr>
        <w:t>4</w:t>
      </w:r>
      <w:r>
        <w:rPr/>
        <w:t>、基金管理人可以在法律法规和基金合同规定范围内调整申购费率和调低赎回费率。费率如发生变更，基金管理人应在调整实施三日前在至少一种指定媒介上刊登公告。</w:t>
      </w:r>
    </w:p>
    <w:p>
      <w:pPr>
        <w:pStyle w:val="BodyText"/>
        <w:spacing w:line="417" w:lineRule="auto"/>
        <w:ind w:left="220" w:right="986" w:firstLine="419"/>
        <w:jc w:val="both"/>
      </w:pPr>
      <w:r>
        <w:rPr>
          <w:rFonts w:ascii="Times New Roman" w:eastAsia="Times New Roman"/>
        </w:rPr>
        <w:t>5</w:t>
      </w:r>
      <w:r>
        <w:rPr>
          <w:spacing w:val="-12"/>
        </w:rPr>
        <w:t>、基金管理人可以在不违反法律法规规定及基金合同约定的情况下根据市场情况制定</w:t>
      </w:r>
      <w:r>
        <w:rPr>
          <w:spacing w:val="-6"/>
        </w:rPr>
        <w:t>基金促销计划，经代销机构同意后，针对投资者定期和不定期地开展基金促销活动。在基</w:t>
      </w:r>
      <w:r>
        <w:rPr>
          <w:spacing w:val="-3"/>
        </w:rPr>
        <w:t>金促销活动期间，基金管理人可根据法律法规要求对基金申购费率、赎回费率等进行适当费率优惠。</w:t>
      </w:r>
    </w:p>
    <w:p>
      <w:pPr>
        <w:pStyle w:val="BodyText"/>
        <w:spacing w:line="417" w:lineRule="auto"/>
        <w:ind w:left="220" w:right="988" w:firstLine="419"/>
        <w:jc w:val="both"/>
      </w:pPr>
      <w:r>
        <w:rPr>
          <w:rFonts w:ascii="Times New Roman" w:eastAsia="Times New Roman"/>
        </w:rPr>
        <w:t>6</w:t>
      </w:r>
      <w:r>
        <w:rPr>
          <w:spacing w:val="-10"/>
        </w:rPr>
        <w:t>、当发生大额申购或赎回情形时，基金管理人可以采用摆动定价机制，以确保基金估</w:t>
      </w:r>
      <w:r>
        <w:rPr>
          <w:spacing w:val="-16"/>
        </w:rPr>
        <w:t>值的公平性，具体处理原则与操作规范遵循相关法律法规以及监管部门、自律规则的规定。</w:t>
      </w:r>
    </w:p>
    <w:p>
      <w:pPr>
        <w:pStyle w:val="BodyText"/>
        <w:spacing w:line="269" w:lineRule="exact"/>
      </w:pPr>
      <w:r>
        <w:rPr/>
        <w:t>（九）申购份额与赎回金额的计算方式</w:t>
      </w:r>
    </w:p>
    <w:p>
      <w:pPr>
        <w:pStyle w:val="BodyText"/>
        <w:spacing w:before="6"/>
        <w:ind w:left="0"/>
        <w:rPr>
          <w:sz w:val="15"/>
        </w:rPr>
      </w:pPr>
    </w:p>
    <w:p>
      <w:pPr>
        <w:pStyle w:val="BodyText"/>
        <w:spacing w:line="417" w:lineRule="auto"/>
        <w:ind w:left="220" w:right="986" w:firstLine="419"/>
        <w:jc w:val="both"/>
      </w:pPr>
      <w:r>
        <w:rPr>
          <w:rFonts w:ascii="Times New Roman" w:eastAsia="Times New Roman"/>
        </w:rPr>
        <w:t>1</w:t>
      </w:r>
      <w:r>
        <w:rPr/>
        <w:t>、</w:t>
      </w:r>
      <w:r>
        <w:rPr>
          <w:rFonts w:ascii="Times New Roman" w:eastAsia="Times New Roman"/>
        </w:rPr>
        <w:t>T</w:t>
      </w:r>
      <w:r>
        <w:rPr/>
        <w:t>日的基金份额净值在当日收市后计算，并在</w:t>
      </w:r>
      <w:r>
        <w:rPr>
          <w:rFonts w:ascii="Times New Roman" w:eastAsia="Times New Roman"/>
        </w:rPr>
        <w:t>T+1</w:t>
      </w:r>
      <w:r>
        <w:rPr>
          <w:spacing w:val="-1"/>
        </w:rPr>
        <w:t>日公告，计算公式为估值日基金</w:t>
      </w:r>
      <w:r>
        <w:rPr>
          <w:spacing w:val="-7"/>
        </w:rPr>
        <w:t>资产净值除以估值日基金份额余额。基金份额净值的计算保留到小数点后</w:t>
      </w:r>
      <w:r>
        <w:rPr>
          <w:rFonts w:ascii="Times New Roman" w:eastAsia="Times New Roman"/>
          <w:spacing w:val="-3"/>
        </w:rPr>
        <w:t>4</w:t>
      </w:r>
      <w:r>
        <w:rPr>
          <w:spacing w:val="-9"/>
        </w:rPr>
        <w:t>位，小数点后第</w:t>
      </w:r>
      <w:r>
        <w:rPr>
          <w:rFonts w:ascii="Times New Roman" w:eastAsia="Times New Roman"/>
          <w:spacing w:val="-9"/>
        </w:rPr>
        <w:t>5</w:t>
      </w:r>
      <w:r>
        <w:rPr>
          <w:spacing w:val="-12"/>
        </w:rPr>
        <w:t>位四舍五入。如遇特殊情况，经中国证监会同意，可以适当延迟计算或公告。未来，若市场情况发生变化，或目标</w:t>
      </w:r>
      <w:r>
        <w:rPr>
          <w:rFonts w:ascii="Times New Roman" w:eastAsia="Times New Roman"/>
          <w:spacing w:val="-12"/>
        </w:rPr>
        <w:t>ETF</w:t>
      </w:r>
      <w:r>
        <w:rPr>
          <w:spacing w:val="-12"/>
        </w:rPr>
        <w:t>净值计算和发布时间发生变化，或实际情况需要，经中国证</w:t>
      </w:r>
      <w:r>
        <w:rPr>
          <w:spacing w:val="-3"/>
        </w:rPr>
        <w:t>监会允许，本基金可相应调整基金净值计算和公告时间或频率并提前公告。</w:t>
      </w:r>
    </w:p>
    <w:p>
      <w:pPr>
        <w:pStyle w:val="BodyText"/>
        <w:spacing w:line="417" w:lineRule="auto"/>
        <w:ind w:left="220" w:right="986" w:firstLine="419"/>
        <w:jc w:val="both"/>
      </w:pPr>
      <w:r>
        <w:rPr>
          <w:rFonts w:ascii="Times New Roman" w:eastAsia="Times New Roman"/>
        </w:rPr>
        <w:t>2</w:t>
      </w:r>
      <w:r>
        <w:rPr>
          <w:spacing w:val="-29"/>
        </w:rPr>
        <w:t>、</w:t>
      </w:r>
      <w:r>
        <w:rPr>
          <w:rFonts w:ascii="Times New Roman" w:eastAsia="Times New Roman"/>
        </w:rPr>
        <w:t>T </w:t>
      </w:r>
      <w:r>
        <w:rPr>
          <w:spacing w:val="-7"/>
        </w:rPr>
        <w:t>日的美元折算净值由基金管理人计算，经基金托管人复核后在 </w:t>
      </w:r>
      <w:r>
        <w:rPr>
          <w:rFonts w:ascii="Times New Roman" w:eastAsia="Times New Roman"/>
        </w:rPr>
        <w:t>T+1 </w:t>
      </w:r>
      <w:r>
        <w:rPr>
          <w:spacing w:val="-9"/>
        </w:rPr>
        <w:t>日公告。</w:t>
      </w:r>
      <w:r>
        <w:rPr>
          <w:rFonts w:ascii="Times New Roman" w:eastAsia="Times New Roman"/>
        </w:rPr>
        <w:t>T </w:t>
      </w:r>
      <w:r>
        <w:rPr/>
        <w:t>日的美元折算净值计算公式为</w:t>
      </w:r>
      <w:r>
        <w:rPr>
          <w:rFonts w:ascii="Times New Roman" w:eastAsia="Times New Roman"/>
        </w:rPr>
        <w:t>T </w:t>
      </w:r>
      <w:r>
        <w:rPr>
          <w:spacing w:val="-3"/>
        </w:rPr>
        <w:t>日基金份额净值除以中国人民银行最新公布的人民币对美元</w:t>
      </w:r>
      <w:r>
        <w:rPr>
          <w:spacing w:val="-5"/>
        </w:rPr>
        <w:t>汇率中间价。美元折算净值保留到小数点后 </w:t>
      </w:r>
      <w:r>
        <w:rPr>
          <w:rFonts w:ascii="Times New Roman" w:eastAsia="Times New Roman"/>
        </w:rPr>
        <w:t>4 </w:t>
      </w:r>
      <w:r>
        <w:rPr>
          <w:spacing w:val="-9"/>
        </w:rPr>
        <w:t>位，小数点后第 </w:t>
      </w:r>
      <w:r>
        <w:rPr>
          <w:rFonts w:ascii="Times New Roman" w:eastAsia="Times New Roman"/>
        </w:rPr>
        <w:t>5 </w:t>
      </w:r>
      <w:r>
        <w:rPr>
          <w:spacing w:val="-3"/>
        </w:rPr>
        <w:t>位四舍五入。如遇特殊情况，基金管理人可以适当延迟计算或公告，并报中国证监会备案。基金也可根据实际情况调整美元折算净值计算和公告时间或频率并提前公告。</w:t>
      </w:r>
    </w:p>
    <w:p>
      <w:pPr>
        <w:spacing w:after="0" w:line="417" w:lineRule="auto"/>
        <w:jc w:val="both"/>
        <w:sectPr>
          <w:pgSz w:w="11910" w:h="16840"/>
          <w:pgMar w:header="705" w:footer="683" w:top="1420" w:bottom="880" w:left="1580" w:right="920"/>
        </w:sectPr>
      </w:pPr>
    </w:p>
    <w:p>
      <w:pPr>
        <w:pStyle w:val="BodyText"/>
        <w:spacing w:before="110"/>
      </w:pPr>
      <w:r>
        <w:rPr>
          <w:rFonts w:ascii="Times New Roman" w:eastAsia="Times New Roman"/>
        </w:rPr>
        <w:t>3</w:t>
      </w:r>
      <w:r>
        <w:rPr/>
        <w:t>、申购份额的计算</w:t>
      </w:r>
    </w:p>
    <w:p>
      <w:pPr>
        <w:pStyle w:val="BodyText"/>
        <w:spacing w:before="6"/>
        <w:ind w:left="0"/>
        <w:rPr>
          <w:sz w:val="15"/>
        </w:rPr>
      </w:pPr>
    </w:p>
    <w:p>
      <w:pPr>
        <w:pStyle w:val="ListParagraph"/>
        <w:numPr>
          <w:ilvl w:val="0"/>
          <w:numId w:val="13"/>
        </w:numPr>
        <w:tabs>
          <w:tab w:pos="1170" w:val="left" w:leader="none"/>
        </w:tabs>
        <w:spacing w:line="240" w:lineRule="auto" w:before="0" w:after="0"/>
        <w:ind w:left="1169" w:right="0" w:hanging="530"/>
        <w:jc w:val="left"/>
        <w:rPr>
          <w:sz w:val="21"/>
        </w:rPr>
      </w:pPr>
      <w:r>
        <w:rPr>
          <w:spacing w:val="3"/>
          <w:sz w:val="21"/>
        </w:rPr>
        <w:t>当投资者选择申购</w:t>
      </w:r>
      <w:r>
        <w:rPr>
          <w:rFonts w:ascii="Times New Roman" w:eastAsia="Times New Roman"/>
          <w:sz w:val="21"/>
        </w:rPr>
        <w:t>A</w:t>
      </w:r>
      <w:r>
        <w:rPr>
          <w:rFonts w:ascii="Times New Roman" w:eastAsia="Times New Roman"/>
          <w:spacing w:val="1"/>
          <w:sz w:val="21"/>
        </w:rPr>
        <w:t> </w:t>
      </w:r>
      <w:r>
        <w:rPr>
          <w:spacing w:val="-3"/>
          <w:sz w:val="21"/>
        </w:rPr>
        <w:t>类基金份额时，申购份额的计算方法如下：</w:t>
      </w:r>
    </w:p>
    <w:p>
      <w:pPr>
        <w:pStyle w:val="BodyText"/>
        <w:spacing w:before="7"/>
        <w:ind w:left="0"/>
        <w:rPr>
          <w:sz w:val="15"/>
        </w:rPr>
      </w:pPr>
    </w:p>
    <w:p>
      <w:pPr>
        <w:pStyle w:val="BodyText"/>
      </w:pPr>
      <w:r>
        <w:rPr/>
        <w:t>①人民币申购份额的计算</w:t>
      </w:r>
    </w:p>
    <w:p>
      <w:pPr>
        <w:pStyle w:val="BodyText"/>
        <w:spacing w:before="7"/>
        <w:ind w:left="0"/>
        <w:rPr>
          <w:sz w:val="15"/>
        </w:rPr>
      </w:pPr>
    </w:p>
    <w:p>
      <w:pPr>
        <w:pStyle w:val="BodyText"/>
        <w:spacing w:line="417" w:lineRule="auto"/>
        <w:ind w:left="1060" w:right="3557" w:hanging="420"/>
      </w:pPr>
      <w:r>
        <w:rPr>
          <w:spacing w:val="-3"/>
        </w:rPr>
        <w:t>申购费用适用比例费率时，申购份额的计算方法如下： 净申购金额</w:t>
      </w:r>
      <w:r>
        <w:rPr/>
        <w:t>＝</w:t>
      </w:r>
      <w:r>
        <w:rPr>
          <w:spacing w:val="-3"/>
        </w:rPr>
        <w:t>申购金额</w:t>
      </w:r>
      <w:r>
        <w:rPr>
          <w:rFonts w:ascii="Times New Roman" w:eastAsia="Times New Roman"/>
        </w:rPr>
        <w:t>/</w:t>
      </w:r>
      <w:r>
        <w:rPr/>
        <w:t>（</w:t>
      </w:r>
      <w:r>
        <w:rPr>
          <w:rFonts w:ascii="Times New Roman" w:eastAsia="Times New Roman"/>
        </w:rPr>
        <w:t>1</w:t>
      </w:r>
      <w:r>
        <w:rPr>
          <w:spacing w:val="-3"/>
        </w:rPr>
        <w:t>＋人民币前端申购费率</w:t>
      </w:r>
      <w:r>
        <w:rPr/>
        <w:t>） </w:t>
      </w:r>
      <w:r>
        <w:rPr>
          <w:spacing w:val="-3"/>
        </w:rPr>
        <w:t>人民币前端申购费用</w:t>
      </w:r>
      <w:r>
        <w:rPr/>
        <w:t>＝</w:t>
      </w:r>
      <w:r>
        <w:rPr>
          <w:spacing w:val="-3"/>
        </w:rPr>
        <w:t>申购金额－净申购金额</w:t>
      </w:r>
    </w:p>
    <w:p>
      <w:pPr>
        <w:pStyle w:val="BodyText"/>
        <w:spacing w:line="417" w:lineRule="auto"/>
        <w:ind w:right="3929" w:firstLine="420"/>
      </w:pPr>
      <w:r>
        <w:rPr>
          <w:spacing w:val="-1"/>
        </w:rPr>
        <w:t>申购份额</w:t>
      </w:r>
      <w:r>
        <w:rPr>
          <w:spacing w:val="-3"/>
        </w:rPr>
        <w:t>＝净申购金额</w:t>
      </w:r>
      <w:r>
        <w:rPr>
          <w:rFonts w:ascii="Times New Roman" w:eastAsia="Times New Roman"/>
        </w:rPr>
        <w:t>/T</w:t>
      </w:r>
      <w:r>
        <w:rPr/>
        <w:t>日</w:t>
      </w:r>
      <w:r>
        <w:rPr>
          <w:rFonts w:ascii="Times New Roman" w:eastAsia="Times New Roman"/>
        </w:rPr>
        <w:t>A</w:t>
      </w:r>
      <w:r>
        <w:rPr>
          <w:spacing w:val="-3"/>
        </w:rPr>
        <w:t>类基金份额净值  </w:t>
      </w:r>
      <w:r>
        <w:rPr>
          <w:spacing w:val="-4"/>
        </w:rPr>
        <w:t>申购费用为固定金额时，申购份额的计算方法如下：</w:t>
      </w:r>
    </w:p>
    <w:p>
      <w:pPr>
        <w:pStyle w:val="BodyText"/>
        <w:ind w:left="1060"/>
      </w:pPr>
      <w:r>
        <w:rPr/>
        <w:t>人民币前端申购费用＝固定金额</w:t>
      </w:r>
    </w:p>
    <w:p>
      <w:pPr>
        <w:pStyle w:val="BodyText"/>
        <w:spacing w:before="6"/>
        <w:ind w:left="0"/>
        <w:rPr>
          <w:sz w:val="15"/>
        </w:rPr>
      </w:pPr>
    </w:p>
    <w:p>
      <w:pPr>
        <w:pStyle w:val="BodyText"/>
        <w:spacing w:line="417" w:lineRule="auto"/>
        <w:ind w:left="1060" w:right="4138"/>
      </w:pPr>
      <w:r>
        <w:rPr/>
        <w:t>净申购金额＝申购金额－人民币前端申购费用申购份额＝净申购金额</w:t>
      </w:r>
      <w:r>
        <w:rPr>
          <w:rFonts w:ascii="Times New Roman" w:eastAsia="Times New Roman"/>
        </w:rPr>
        <w:t>/T</w:t>
      </w:r>
      <w:r>
        <w:rPr/>
        <w:t>日</w:t>
      </w:r>
      <w:r>
        <w:rPr>
          <w:rFonts w:ascii="Times New Roman" w:eastAsia="Times New Roman"/>
        </w:rPr>
        <w:t>A</w:t>
      </w:r>
      <w:r>
        <w:rPr/>
        <w:t>类基金份额净值</w:t>
      </w:r>
    </w:p>
    <w:p>
      <w:pPr>
        <w:pStyle w:val="BodyText"/>
        <w:spacing w:line="269" w:lineRule="exact"/>
      </w:pPr>
      <w:r>
        <w:rPr/>
        <w:t>②美元申购份额的计算</w:t>
      </w:r>
    </w:p>
    <w:p>
      <w:pPr>
        <w:pStyle w:val="BodyText"/>
        <w:spacing w:before="7"/>
        <w:ind w:left="0"/>
        <w:rPr>
          <w:sz w:val="15"/>
        </w:rPr>
      </w:pPr>
    </w:p>
    <w:p>
      <w:pPr>
        <w:pStyle w:val="BodyText"/>
        <w:ind w:left="1060"/>
        <w:jc w:val="both"/>
      </w:pPr>
      <w:r>
        <w:rPr>
          <w:spacing w:val="-2"/>
        </w:rPr>
        <w:t>申购份额</w:t>
      </w:r>
      <w:r>
        <w:rPr>
          <w:rFonts w:ascii="Times New Roman" w:eastAsia="Times New Roman"/>
        </w:rPr>
        <w:t>=</w:t>
      </w:r>
      <w:r>
        <w:rPr>
          <w:spacing w:val="-3"/>
        </w:rPr>
        <w:t>申购金额</w:t>
      </w:r>
      <w:r>
        <w:rPr>
          <w:rFonts w:ascii="Times New Roman" w:eastAsia="Times New Roman"/>
        </w:rPr>
        <w:t>/T </w:t>
      </w:r>
      <w:r>
        <w:rPr>
          <w:spacing w:val="50"/>
        </w:rPr>
        <w:t>日</w:t>
      </w:r>
      <w:r>
        <w:rPr>
          <w:rFonts w:ascii="Times New Roman" w:eastAsia="Times New Roman"/>
        </w:rPr>
        <w:t>A </w:t>
      </w:r>
      <w:r>
        <w:rPr>
          <w:spacing w:val="-3"/>
        </w:rPr>
        <w:t>类基金份额美元折算净值</w:t>
      </w:r>
    </w:p>
    <w:p>
      <w:pPr>
        <w:pStyle w:val="BodyText"/>
        <w:spacing w:before="7"/>
        <w:ind w:left="0"/>
        <w:rPr>
          <w:sz w:val="15"/>
        </w:rPr>
      </w:pPr>
    </w:p>
    <w:p>
      <w:pPr>
        <w:pStyle w:val="BodyText"/>
        <w:spacing w:line="417" w:lineRule="auto"/>
        <w:ind w:left="220" w:right="871" w:firstLine="419"/>
        <w:jc w:val="both"/>
      </w:pPr>
      <w:r>
        <w:rPr/>
        <w:t>其中，</w:t>
      </w:r>
      <w:r>
        <w:rPr>
          <w:rFonts w:ascii="Times New Roman" w:eastAsia="Times New Roman"/>
        </w:rPr>
        <w:t>T</w:t>
      </w:r>
      <w:r>
        <w:rPr/>
        <w:t>日</w:t>
      </w:r>
      <w:r>
        <w:rPr>
          <w:rFonts w:ascii="Times New Roman" w:eastAsia="Times New Roman"/>
        </w:rPr>
        <w:t>A</w:t>
      </w:r>
      <w:r>
        <w:rPr/>
        <w:t>类基金份额美元折算净值</w:t>
      </w:r>
      <w:r>
        <w:rPr>
          <w:rFonts w:ascii="Times New Roman" w:eastAsia="Times New Roman"/>
        </w:rPr>
        <w:t>=T</w:t>
      </w:r>
      <w:r>
        <w:rPr/>
        <w:t>日</w:t>
      </w:r>
      <w:r>
        <w:rPr>
          <w:rFonts w:ascii="Times New Roman" w:eastAsia="Times New Roman"/>
          <w:spacing w:val="3"/>
        </w:rPr>
        <w:t>A</w:t>
      </w:r>
      <w:r>
        <w:rPr/>
        <w:t>类基金份额净值</w:t>
      </w:r>
      <w:r>
        <w:rPr>
          <w:rFonts w:ascii="Times New Roman" w:eastAsia="Times New Roman"/>
        </w:rPr>
        <w:t>/T</w:t>
      </w:r>
      <w:r>
        <w:rPr/>
        <w:t>日中国人民银行最新公</w:t>
      </w:r>
      <w:r>
        <w:rPr>
          <w:spacing w:val="-8"/>
        </w:rPr>
        <w:t>布的人民币对美元汇率中间价，计算结果按照四舍五入方法，保留小数点后四位，由此产生</w:t>
      </w:r>
      <w:r>
        <w:rPr>
          <w:spacing w:val="-5"/>
        </w:rPr>
        <w:t>的误差计入基金资产。</w:t>
      </w:r>
    </w:p>
    <w:p>
      <w:pPr>
        <w:pStyle w:val="ListParagraph"/>
        <w:numPr>
          <w:ilvl w:val="0"/>
          <w:numId w:val="13"/>
        </w:numPr>
        <w:tabs>
          <w:tab w:pos="1170" w:val="left" w:leader="none"/>
        </w:tabs>
        <w:spacing w:line="417" w:lineRule="auto" w:before="0" w:after="0"/>
        <w:ind w:left="1060" w:right="2424" w:hanging="420"/>
        <w:jc w:val="left"/>
        <w:rPr>
          <w:sz w:val="21"/>
        </w:rPr>
      </w:pPr>
      <w:r>
        <w:rPr>
          <w:spacing w:val="-3"/>
          <w:sz w:val="21"/>
        </w:rPr>
        <w:t>当投资者选择申购</w:t>
      </w:r>
      <w:r>
        <w:rPr>
          <w:rFonts w:ascii="Times New Roman" w:eastAsia="Times New Roman"/>
          <w:sz w:val="21"/>
        </w:rPr>
        <w:t>C</w:t>
      </w:r>
      <w:r>
        <w:rPr>
          <w:spacing w:val="-3"/>
          <w:sz w:val="21"/>
        </w:rPr>
        <w:t>类基金份额时，申购份额的计算方法如下： 申购份额＝</w:t>
      </w:r>
      <w:r>
        <w:rPr>
          <w:spacing w:val="-2"/>
          <w:sz w:val="21"/>
        </w:rPr>
        <w:t>申购金额</w:t>
      </w:r>
      <w:r>
        <w:rPr>
          <w:rFonts w:ascii="Times New Roman" w:eastAsia="Times New Roman"/>
          <w:sz w:val="21"/>
        </w:rPr>
        <w:t>/T</w:t>
      </w:r>
      <w:r>
        <w:rPr>
          <w:spacing w:val="-3"/>
          <w:sz w:val="21"/>
        </w:rPr>
        <w:t>日</w:t>
      </w:r>
      <w:r>
        <w:rPr>
          <w:rFonts w:ascii="Times New Roman" w:eastAsia="Times New Roman"/>
          <w:sz w:val="21"/>
        </w:rPr>
        <w:t>C</w:t>
      </w:r>
      <w:r>
        <w:rPr>
          <w:spacing w:val="-2"/>
          <w:sz w:val="21"/>
        </w:rPr>
        <w:t>类基金份额净值</w:t>
      </w:r>
    </w:p>
    <w:p>
      <w:pPr>
        <w:pStyle w:val="ListParagraph"/>
        <w:numPr>
          <w:ilvl w:val="0"/>
          <w:numId w:val="13"/>
        </w:numPr>
        <w:tabs>
          <w:tab w:pos="1170" w:val="left" w:leader="none"/>
        </w:tabs>
        <w:spacing w:line="417" w:lineRule="auto" w:before="0" w:after="0"/>
        <w:ind w:left="220" w:right="874" w:firstLine="419"/>
        <w:jc w:val="left"/>
        <w:rPr>
          <w:sz w:val="21"/>
        </w:rPr>
      </w:pPr>
      <w:r>
        <w:rPr>
          <w:spacing w:val="-3"/>
          <w:sz w:val="21"/>
        </w:rPr>
        <w:t>基金份额按照四舍五入方法，保留小数点后两位，由此误差产生的损失由基金财产承担，产生的收益归基金财产所有。</w:t>
      </w:r>
    </w:p>
    <w:p>
      <w:pPr>
        <w:pStyle w:val="BodyText"/>
        <w:spacing w:line="417" w:lineRule="auto"/>
        <w:ind w:left="220" w:right="986" w:firstLine="419"/>
      </w:pPr>
      <w:r>
        <w:rPr/>
        <w:pict>
          <v:group style="position:absolute;margin-left:144.020004pt;margin-top:41.849995pt;width:307.3pt;height:50.3pt;mso-position-horizontal-relative:page;mso-position-vertical-relative:paragraph;z-index:-258191360" coordorigin="2880,837" coordsize="6146,1006">
            <v:line style="position:absolute" from="2880,851" to="5523,851" stroked="true" strokeweight="1.44pt" strokecolor="#000000">
              <v:stroke dashstyle="solid"/>
            </v:line>
            <v:shape style="position:absolute;left:5523;top:865;width:10;height:3" type="#_x0000_t75" stroked="false">
              <v:imagedata r:id="rId12" o:title=""/>
            </v:shape>
            <v:rect style="position:absolute;left:5523;top:837;width:29;height:29" filled="true" fillcolor="#000000" stroked="false">
              <v:fill type="solid"/>
            </v:rect>
            <v:line style="position:absolute" from="5552,851" to="6695,851" stroked="true" strokeweight="1.44pt" strokecolor="#000000">
              <v:stroke dashstyle="solid"/>
            </v:line>
            <v:shape style="position:absolute;left:6695;top:865;width:10;height:3" type="#_x0000_t75" stroked="false">
              <v:imagedata r:id="rId12" o:title=""/>
            </v:shape>
            <v:rect style="position:absolute;left:6695;top:837;width:29;height:29" filled="true" fillcolor="#000000" stroked="false">
              <v:fill type="solid"/>
            </v:rect>
            <v:line style="position:absolute" from="6724,851" to="7859,851" stroked="true" strokeweight="1.44pt" strokecolor="#000000">
              <v:stroke dashstyle="solid"/>
            </v:line>
            <v:shape style="position:absolute;left:7859;top:865;width:10;height:3" type="#_x0000_t75" stroked="false">
              <v:imagedata r:id="rId12" o:title=""/>
            </v:shape>
            <v:rect style="position:absolute;left:7859;top:837;width:29;height:29" filled="true" fillcolor="#000000" stroked="false">
              <v:fill type="solid"/>
            </v:rect>
            <v:line style="position:absolute" from="7888,851" to="9026,851" stroked="true" strokeweight="1.44pt" strokecolor="#000000">
              <v:stroke dashstyle="solid"/>
            </v:line>
            <v:shape style="position:absolute;left:5523;top:868;width:10;height:497" type="#_x0000_t75" stroked="false">
              <v:imagedata r:id="rId19" o:title=""/>
            </v:shape>
            <v:shape style="position:absolute;left:6695;top:868;width:10;height:466" type="#_x0000_t75" stroked="false">
              <v:imagedata r:id="rId20" o:title=""/>
            </v:shape>
            <v:shape style="position:absolute;left:7859;top:868;width:10;height:466" type="#_x0000_t75" stroked="false">
              <v:imagedata r:id="rId20" o:title=""/>
            </v:shape>
            <v:line style="position:absolute" from="2880,1348" to="5523,1348" stroked="true" strokeweight="1.44pt" strokecolor="#000000">
              <v:stroke dashstyle="solid"/>
            </v:line>
            <v:line style="position:absolute" from="5533,1348" to="6695,1348" stroked="true" strokeweight="1.44pt" strokecolor="#000000">
              <v:stroke dashstyle="solid"/>
            </v:line>
            <v:line style="position:absolute" from="6705,1348" to="7859,1348" stroked="true" strokeweight="1.44pt" strokecolor="#000000">
              <v:stroke dashstyle="solid"/>
            </v:line>
            <v:shape style="position:absolute;left:7859;top:1333;width:10;height:32" type="#_x0000_t75" stroked="false">
              <v:imagedata r:id="rId21" o:title=""/>
            </v:shape>
            <v:line style="position:absolute" from="7869,1348" to="9026,1348" stroked="true" strokeweight="1.44pt" strokecolor="#000000">
              <v:stroke dashstyle="solid"/>
            </v:line>
            <v:shape style="position:absolute;left:6695;top:1333;width:10;height:500" type="#_x0000_t75" stroked="false">
              <v:imagedata r:id="rId22" o:title=""/>
            </v:shape>
            <v:shape style="position:absolute;left:2880;top:1365;width:2653;height:478" type="#_x0000_t75" stroked="false">
              <v:imagedata r:id="rId23" o:title=""/>
            </v:shape>
            <v:shape style="position:absolute;left:6704;top:1365;width:1164;height:478" type="#_x0000_t75" stroked="false">
              <v:imagedata r:id="rId24" o:title=""/>
            </v:shape>
            <v:shape style="position:absolute;left:5849;top:987;width:548;height:234" type="#_x0000_t202" filled="false" stroked="false">
              <v:textbox inset="0,0,0,0">
                <w:txbxContent>
                  <w:p>
                    <w:pPr>
                      <w:spacing w:line="234" w:lineRule="exact" w:before="0"/>
                      <w:ind w:left="0" w:right="0" w:firstLine="0"/>
                      <w:jc w:val="left"/>
                      <w:rPr>
                        <w:rFonts w:ascii="Times New Roman" w:eastAsia="Times New Roman"/>
                        <w:sz w:val="21"/>
                      </w:rPr>
                    </w:pPr>
                    <w:r>
                      <w:rPr>
                        <w:sz w:val="21"/>
                      </w:rPr>
                      <w:t>申购</w:t>
                    </w:r>
                    <w:r>
                      <w:rPr>
                        <w:rFonts w:ascii="Times New Roman" w:eastAsia="Times New Roman"/>
                        <w:sz w:val="21"/>
                      </w:rPr>
                      <w:t>1</w:t>
                    </w:r>
                  </w:p>
                </w:txbxContent>
              </v:textbox>
              <w10:wrap type="none"/>
            </v:shape>
            <v:shape style="position:absolute;left:7019;top:987;width:548;height:234" type="#_x0000_t202" filled="false" stroked="false">
              <v:textbox inset="0,0,0,0">
                <w:txbxContent>
                  <w:p>
                    <w:pPr>
                      <w:spacing w:line="234" w:lineRule="exact" w:before="0"/>
                      <w:ind w:left="0" w:right="0" w:firstLine="0"/>
                      <w:jc w:val="left"/>
                      <w:rPr>
                        <w:rFonts w:ascii="Times New Roman" w:eastAsia="Times New Roman"/>
                        <w:sz w:val="21"/>
                      </w:rPr>
                    </w:pPr>
                    <w:r>
                      <w:rPr>
                        <w:sz w:val="21"/>
                      </w:rPr>
                      <w:t>申购</w:t>
                    </w:r>
                    <w:r>
                      <w:rPr>
                        <w:rFonts w:ascii="Times New Roman" w:eastAsia="Times New Roman"/>
                        <w:sz w:val="21"/>
                      </w:rPr>
                      <w:t>2</w:t>
                    </w:r>
                  </w:p>
                </w:txbxContent>
              </v:textbox>
              <w10:wrap type="none"/>
            </v:shape>
            <v:shape style="position:absolute;left:8180;top:987;width:548;height:234" type="#_x0000_t202" filled="false" stroked="false">
              <v:textbox inset="0,0,0,0">
                <w:txbxContent>
                  <w:p>
                    <w:pPr>
                      <w:spacing w:line="234" w:lineRule="exact" w:before="0"/>
                      <w:ind w:left="0" w:right="0" w:firstLine="0"/>
                      <w:jc w:val="left"/>
                      <w:rPr>
                        <w:rFonts w:ascii="Times New Roman" w:eastAsia="Times New Roman"/>
                        <w:sz w:val="21"/>
                      </w:rPr>
                    </w:pPr>
                    <w:r>
                      <w:rPr>
                        <w:sz w:val="21"/>
                      </w:rPr>
                      <w:t>申购</w:t>
                    </w:r>
                    <w:r>
                      <w:rPr>
                        <w:rFonts w:ascii="Times New Roman" w:eastAsia="Times New Roman"/>
                        <w:sz w:val="21"/>
                      </w:rPr>
                      <w:t>3</w:t>
                    </w:r>
                  </w:p>
                </w:txbxContent>
              </v:textbox>
              <w10:wrap type="none"/>
            </v:shape>
            <v:shape style="position:absolute;left:2911;top:1486;width:1797;height:234" type="#_x0000_t202" filled="false" stroked="false">
              <v:textbox inset="0,0,0,0">
                <w:txbxContent>
                  <w:p>
                    <w:pPr>
                      <w:spacing w:line="234" w:lineRule="exact" w:before="0"/>
                      <w:ind w:left="0" w:right="0" w:firstLine="0"/>
                      <w:jc w:val="left"/>
                      <w:rPr>
                        <w:sz w:val="21"/>
                      </w:rPr>
                    </w:pPr>
                    <w:r>
                      <w:rPr>
                        <w:sz w:val="21"/>
                      </w:rPr>
                      <w:t>申购金额（元，</w:t>
                    </w:r>
                    <w:r>
                      <w:rPr>
                        <w:rFonts w:ascii="Times New Roman" w:eastAsia="Times New Roman"/>
                        <w:sz w:val="21"/>
                      </w:rPr>
                      <w:t>a</w:t>
                    </w:r>
                    <w:r>
                      <w:rPr>
                        <w:sz w:val="21"/>
                      </w:rPr>
                      <w:t>）</w:t>
                    </w:r>
                  </w:p>
                </w:txbxContent>
              </v:textbox>
              <w10:wrap type="none"/>
            </v:shape>
            <v:shape style="position:absolute;left:5933;top:1484;width:3086;height:234" type="#_x0000_t202" filled="false" stroked="false">
              <v:textbox inset="0,0,0,0">
                <w:txbxContent>
                  <w:p>
                    <w:pPr>
                      <w:spacing w:line="234" w:lineRule="exact" w:before="0"/>
                      <w:ind w:left="0" w:right="0" w:firstLine="0"/>
                      <w:jc w:val="left"/>
                      <w:rPr>
                        <w:rFonts w:ascii="Times New Roman"/>
                        <w:sz w:val="21"/>
                      </w:rPr>
                    </w:pPr>
                    <w:r>
                      <w:rPr>
                        <w:rFonts w:ascii="Times New Roman"/>
                        <w:sz w:val="21"/>
                      </w:rPr>
                      <w:t>1,000.00 1,000,000.00 5,000,000.00</w:t>
                    </w:r>
                  </w:p>
                </w:txbxContent>
              </v:textbox>
              <w10:wrap type="none"/>
            </v:shape>
            <w10:wrap type="none"/>
          </v:group>
        </w:pict>
      </w:r>
      <w:r>
        <w:rPr/>
        <w:pict>
          <v:group style="position:absolute;margin-left:334.75pt;margin-top:92.129997pt;width:58.7pt;height:71.650pt;mso-position-horizontal-relative:page;mso-position-vertical-relative:paragraph;z-index:-258190336" coordorigin="6695,1843" coordsize="1174,1433">
            <v:shape style="position:absolute;left:6695;top:1842;width:10;height:468" type="#_x0000_t75" stroked="false">
              <v:imagedata r:id="rId17" o:title=""/>
            </v:shape>
            <v:shape style="position:absolute;left:6704;top:1842;width:1164;height:478" type="#_x0000_t75" stroked="false">
              <v:imagedata r:id="rId25" o:title=""/>
            </v:shape>
            <v:shape style="position:absolute;left:6695;top:2320;width:1174;height:478" type="#_x0000_t75" stroked="false">
              <v:imagedata r:id="rId26" o:title=""/>
            </v:shape>
            <v:shape style="position:absolute;left:6695;top:2797;width:1174;height:478" type="#_x0000_t75" stroked="false">
              <v:imagedata r:id="rId26" o:title=""/>
            </v:shape>
            <w10:wrap type="none"/>
          </v:group>
        </w:pict>
      </w:r>
      <w:r>
        <w:rPr/>
        <w:pict>
          <v:group style="position:absolute;margin-left:144.020004pt;margin-top:92.129997pt;width:132.65pt;height:71.650pt;mso-position-horizontal-relative:page;mso-position-vertical-relative:paragraph;z-index:-258189312" coordorigin="2880,1843" coordsize="2653,1433">
            <v:shape style="position:absolute;left:2880;top:1842;width:2653;height:478" type="#_x0000_t75" stroked="false">
              <v:imagedata r:id="rId27" o:title=""/>
            </v:shape>
            <v:shape style="position:absolute;left:2880;top:2320;width:2653;height:478" type="#_x0000_t75" stroked="false">
              <v:imagedata r:id="rId27" o:title=""/>
            </v:shape>
            <v:shape style="position:absolute;left:2880;top:2797;width:2653;height:478" type="#_x0000_t75" stroked="false">
              <v:imagedata r:id="rId27" o:title=""/>
            </v:shape>
            <w10:wrap type="none"/>
          </v:group>
        </w:pict>
      </w:r>
      <w:r>
        <w:rPr/>
        <w:t>例一：假定</w:t>
      </w:r>
      <w:r>
        <w:rPr>
          <w:rFonts w:ascii="Times New Roman" w:eastAsia="Times New Roman"/>
          <w:spacing w:val="3"/>
        </w:rPr>
        <w:t>T</w:t>
      </w:r>
      <w:r>
        <w:rPr>
          <w:spacing w:val="1"/>
        </w:rPr>
        <w:t>日的</w:t>
      </w:r>
      <w:r>
        <w:rPr>
          <w:rFonts w:ascii="Times New Roman" w:eastAsia="Times New Roman"/>
        </w:rPr>
        <w:t>A</w:t>
      </w:r>
      <w:r>
        <w:rPr/>
        <w:t>类基金份额净值为</w:t>
      </w:r>
      <w:r>
        <w:rPr>
          <w:rFonts w:ascii="Times New Roman" w:eastAsia="Times New Roman"/>
        </w:rPr>
        <w:t>1.2300</w:t>
      </w:r>
      <w:r>
        <w:rPr/>
        <w:t>元，三笔人民币申购金额分别为</w:t>
      </w:r>
      <w:r>
        <w:rPr>
          <w:rFonts w:ascii="Times New Roman" w:eastAsia="Times New Roman"/>
        </w:rPr>
        <w:t>1,000.00 </w:t>
      </w:r>
      <w:r>
        <w:rPr>
          <w:spacing w:val="-26"/>
        </w:rPr>
        <w:t>元、</w:t>
      </w:r>
      <w:r>
        <w:rPr>
          <w:rFonts w:ascii="Times New Roman" w:eastAsia="Times New Roman"/>
        </w:rPr>
        <w:t>100</w:t>
      </w:r>
      <w:r>
        <w:rPr>
          <w:spacing w:val="-19"/>
        </w:rPr>
        <w:t>万元、</w:t>
      </w:r>
      <w:r>
        <w:rPr>
          <w:rFonts w:ascii="Times New Roman" w:eastAsia="Times New Roman"/>
        </w:rPr>
        <w:t>500</w:t>
      </w:r>
      <w:r>
        <w:rPr>
          <w:spacing w:val="-8"/>
        </w:rPr>
        <w:t>万元，则各笔申购负担的前端申购费用和获得的</w:t>
      </w:r>
      <w:r>
        <w:rPr>
          <w:rFonts w:ascii="Times New Roman" w:eastAsia="Times New Roman"/>
        </w:rPr>
        <w:t>A</w:t>
      </w:r>
      <w:r>
        <w:rPr>
          <w:spacing w:val="-3"/>
        </w:rPr>
        <w:t>类基金份额计算如下：</w:t>
      </w:r>
    </w:p>
    <w:p>
      <w:pPr>
        <w:pStyle w:val="BodyText"/>
        <w:ind w:left="0"/>
        <w:rPr>
          <w:sz w:val="20"/>
        </w:rPr>
      </w:pPr>
    </w:p>
    <w:p>
      <w:pPr>
        <w:pStyle w:val="BodyText"/>
        <w:ind w:left="0"/>
        <w:rPr>
          <w:sz w:val="20"/>
        </w:rPr>
      </w:pPr>
    </w:p>
    <w:p>
      <w:pPr>
        <w:pStyle w:val="BodyText"/>
        <w:ind w:left="0"/>
        <w:rPr>
          <w:sz w:val="20"/>
        </w:rPr>
      </w:pPr>
    </w:p>
    <w:p>
      <w:pPr>
        <w:pStyle w:val="BodyText"/>
        <w:spacing w:before="4"/>
        <w:ind w:left="0"/>
        <w:rPr>
          <w:sz w:val="10"/>
        </w:rPr>
      </w:pPr>
    </w:p>
    <w:tbl>
      <w:tblPr>
        <w:tblW w:w="0" w:type="auto"/>
        <w:jc w:val="left"/>
        <w:tblInd w:w="12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661"/>
        <w:gridCol w:w="1174"/>
        <w:gridCol w:w="1162"/>
        <w:gridCol w:w="1161"/>
      </w:tblGrid>
      <w:tr>
        <w:trPr>
          <w:trHeight w:val="467" w:hRule="atLeast"/>
        </w:trPr>
        <w:tc>
          <w:tcPr>
            <w:tcW w:w="2661" w:type="dxa"/>
          </w:tcPr>
          <w:p>
            <w:pPr>
              <w:pStyle w:val="TableParagraph"/>
              <w:spacing w:before="99"/>
              <w:ind w:left="45"/>
              <w:rPr>
                <w:rFonts w:ascii="宋体" w:eastAsia="宋体" w:hint="eastAsia"/>
                <w:sz w:val="21"/>
              </w:rPr>
            </w:pPr>
            <w:r>
              <w:rPr>
                <w:rFonts w:ascii="宋体" w:eastAsia="宋体" w:hint="eastAsia"/>
                <w:sz w:val="21"/>
              </w:rPr>
              <w:t>适用前端申购费率（</w:t>
            </w:r>
            <w:r>
              <w:rPr>
                <w:sz w:val="21"/>
              </w:rPr>
              <w:t>b</w:t>
            </w:r>
            <w:r>
              <w:rPr>
                <w:rFonts w:ascii="宋体" w:eastAsia="宋体" w:hint="eastAsia"/>
                <w:sz w:val="21"/>
              </w:rPr>
              <w:t>）</w:t>
            </w:r>
          </w:p>
        </w:tc>
        <w:tc>
          <w:tcPr>
            <w:tcW w:w="1174" w:type="dxa"/>
            <w:tcBorders>
              <w:top w:val="single" w:sz="4" w:space="0" w:color="000000"/>
              <w:bottom w:val="single" w:sz="4" w:space="0" w:color="000000"/>
            </w:tcBorders>
          </w:tcPr>
          <w:p>
            <w:pPr>
              <w:pStyle w:val="TableParagraph"/>
              <w:spacing w:before="111"/>
              <w:ind w:right="27"/>
              <w:jc w:val="right"/>
              <w:rPr>
                <w:sz w:val="21"/>
              </w:rPr>
            </w:pPr>
            <w:r>
              <w:rPr>
                <w:sz w:val="21"/>
              </w:rPr>
              <w:t>1.2%</w:t>
            </w:r>
          </w:p>
        </w:tc>
        <w:tc>
          <w:tcPr>
            <w:tcW w:w="1162" w:type="dxa"/>
          </w:tcPr>
          <w:p>
            <w:pPr>
              <w:pStyle w:val="TableParagraph"/>
              <w:spacing w:before="111"/>
              <w:ind w:right="22"/>
              <w:jc w:val="right"/>
              <w:rPr>
                <w:sz w:val="21"/>
              </w:rPr>
            </w:pPr>
            <w:r>
              <w:rPr>
                <w:sz w:val="21"/>
              </w:rPr>
              <w:t>0.9%</w:t>
            </w:r>
          </w:p>
        </w:tc>
        <w:tc>
          <w:tcPr>
            <w:tcW w:w="1161" w:type="dxa"/>
            <w:tcBorders>
              <w:top w:val="single" w:sz="4" w:space="0" w:color="000000"/>
              <w:bottom w:val="single" w:sz="4" w:space="0" w:color="000000"/>
            </w:tcBorders>
          </w:tcPr>
          <w:p>
            <w:pPr>
              <w:pStyle w:val="TableParagraph"/>
              <w:spacing w:line="20" w:lineRule="exact"/>
              <w:ind w:left="1158" w:right="-44"/>
              <w:rPr>
                <w:rFonts w:ascii="宋体"/>
                <w:sz w:val="2"/>
              </w:rPr>
            </w:pPr>
            <w:r>
              <w:rPr>
                <w:rFonts w:ascii="宋体"/>
                <w:sz w:val="2"/>
              </w:rPr>
              <w:drawing>
                <wp:inline distT="0" distB="0" distL="0" distR="0">
                  <wp:extent cx="3047" cy="6095"/>
                  <wp:effectExtent l="0" t="0" r="0" b="0"/>
                  <wp:docPr id="1" name="image21.png"/>
                  <wp:cNvGraphicFramePr>
                    <a:graphicFrameLocks noChangeAspect="1"/>
                  </wp:cNvGraphicFramePr>
                  <a:graphic>
                    <a:graphicData uri="http://schemas.openxmlformats.org/drawingml/2006/picture">
                      <pic:pic>
                        <pic:nvPicPr>
                          <pic:cNvPr id="2" name="image21.png"/>
                          <pic:cNvPicPr/>
                        </pic:nvPicPr>
                        <pic:blipFill>
                          <a:blip r:embed="rId28" cstate="print"/>
                          <a:stretch>
                            <a:fillRect/>
                          </a:stretch>
                        </pic:blipFill>
                        <pic:spPr>
                          <a:xfrm>
                            <a:off x="0" y="0"/>
                            <a:ext cx="3047" cy="6095"/>
                          </a:xfrm>
                          <a:prstGeom prst="rect">
                            <a:avLst/>
                          </a:prstGeom>
                        </pic:spPr>
                      </pic:pic>
                    </a:graphicData>
                  </a:graphic>
                </wp:inline>
              </w:drawing>
            </w:r>
            <w:r>
              <w:rPr>
                <w:rFonts w:ascii="宋体"/>
                <w:sz w:val="2"/>
              </w:rPr>
            </w:r>
          </w:p>
          <w:p>
            <w:pPr>
              <w:pStyle w:val="TableParagraph"/>
              <w:spacing w:before="91"/>
              <w:ind w:right="22"/>
              <w:jc w:val="right"/>
              <w:rPr>
                <w:sz w:val="21"/>
              </w:rPr>
            </w:pPr>
            <w:r>
              <w:rPr>
                <w:sz w:val="21"/>
              </w:rPr>
              <w:t>0.6%</w:t>
            </w:r>
          </w:p>
          <w:p>
            <w:pPr>
              <w:pStyle w:val="TableParagraph"/>
              <w:rPr>
                <w:rFonts w:ascii="宋体"/>
                <w:sz w:val="9"/>
              </w:rPr>
            </w:pPr>
          </w:p>
          <w:p>
            <w:pPr>
              <w:pStyle w:val="TableParagraph"/>
              <w:spacing w:line="20" w:lineRule="exact"/>
              <w:ind w:left="1158" w:right="-44"/>
              <w:rPr>
                <w:rFonts w:ascii="宋体"/>
                <w:sz w:val="2"/>
              </w:rPr>
            </w:pPr>
            <w:r>
              <w:rPr>
                <w:rFonts w:ascii="宋体"/>
                <w:sz w:val="2"/>
              </w:rPr>
              <w:drawing>
                <wp:inline distT="0" distB="0" distL="0" distR="0">
                  <wp:extent cx="2999" cy="6000"/>
                  <wp:effectExtent l="0" t="0" r="0" b="0"/>
                  <wp:docPr id="3" name="image21.png"/>
                  <wp:cNvGraphicFramePr>
                    <a:graphicFrameLocks noChangeAspect="1"/>
                  </wp:cNvGraphicFramePr>
                  <a:graphic>
                    <a:graphicData uri="http://schemas.openxmlformats.org/drawingml/2006/picture">
                      <pic:pic>
                        <pic:nvPicPr>
                          <pic:cNvPr id="4" name="image21.png"/>
                          <pic:cNvPicPr/>
                        </pic:nvPicPr>
                        <pic:blipFill>
                          <a:blip r:embed="rId28" cstate="print"/>
                          <a:stretch>
                            <a:fillRect/>
                          </a:stretch>
                        </pic:blipFill>
                        <pic:spPr>
                          <a:xfrm>
                            <a:off x="0" y="0"/>
                            <a:ext cx="2999" cy="6000"/>
                          </a:xfrm>
                          <a:prstGeom prst="rect">
                            <a:avLst/>
                          </a:prstGeom>
                        </pic:spPr>
                      </pic:pic>
                    </a:graphicData>
                  </a:graphic>
                </wp:inline>
              </w:drawing>
            </w:r>
            <w:r>
              <w:rPr>
                <w:rFonts w:ascii="宋体"/>
                <w:sz w:val="2"/>
              </w:rPr>
            </w:r>
          </w:p>
        </w:tc>
      </w:tr>
      <w:tr>
        <w:trPr>
          <w:trHeight w:val="447" w:hRule="atLeast"/>
        </w:trPr>
        <w:tc>
          <w:tcPr>
            <w:tcW w:w="2661" w:type="dxa"/>
          </w:tcPr>
          <w:p>
            <w:pPr>
              <w:pStyle w:val="TableParagraph"/>
              <w:spacing w:before="79"/>
              <w:ind w:left="45"/>
              <w:rPr>
                <w:rFonts w:ascii="宋体" w:eastAsia="宋体" w:hint="eastAsia"/>
                <w:sz w:val="21"/>
              </w:rPr>
            </w:pPr>
            <w:r>
              <w:rPr>
                <w:rFonts w:ascii="宋体" w:eastAsia="宋体" w:hint="eastAsia"/>
                <w:spacing w:val="-2"/>
                <w:w w:val="100"/>
                <w:sz w:val="21"/>
              </w:rPr>
              <w:t>净申购金额</w:t>
            </w:r>
            <w:r>
              <w:rPr>
                <w:rFonts w:ascii="宋体" w:eastAsia="宋体" w:hint="eastAsia"/>
                <w:w w:val="100"/>
                <w:sz w:val="21"/>
              </w:rPr>
              <w:t>（</w:t>
            </w:r>
            <w:r>
              <w:rPr>
                <w:spacing w:val="-3"/>
                <w:w w:val="100"/>
                <w:sz w:val="21"/>
              </w:rPr>
              <w:t>c</w:t>
            </w:r>
            <w:r>
              <w:rPr>
                <w:w w:val="100"/>
                <w:sz w:val="21"/>
              </w:rPr>
              <w:t>=a</w:t>
            </w:r>
            <w:r>
              <w:rPr>
                <w:spacing w:val="-1"/>
                <w:w w:val="100"/>
                <w:sz w:val="21"/>
              </w:rPr>
              <w:t>/</w:t>
            </w:r>
            <w:r>
              <w:rPr>
                <w:rFonts w:ascii="宋体" w:eastAsia="宋体" w:hint="eastAsia"/>
                <w:w w:val="100"/>
                <w:sz w:val="21"/>
              </w:rPr>
              <w:t>（</w:t>
            </w:r>
            <w:r>
              <w:rPr>
                <w:spacing w:val="-3"/>
                <w:w w:val="100"/>
                <w:sz w:val="21"/>
              </w:rPr>
              <w:t>1</w:t>
            </w:r>
            <w:r>
              <w:rPr>
                <w:w w:val="100"/>
                <w:sz w:val="21"/>
              </w:rPr>
              <w:t>+b</w:t>
            </w:r>
            <w:r>
              <w:rPr>
                <w:rFonts w:ascii="宋体" w:eastAsia="宋体" w:hint="eastAsia"/>
                <w:spacing w:val="-108"/>
                <w:w w:val="100"/>
                <w:sz w:val="21"/>
              </w:rPr>
              <w:t>））</w:t>
            </w:r>
          </w:p>
        </w:tc>
        <w:tc>
          <w:tcPr>
            <w:tcW w:w="1174" w:type="dxa"/>
            <w:tcBorders>
              <w:top w:val="single" w:sz="4" w:space="0" w:color="000000"/>
              <w:bottom w:val="single" w:sz="4" w:space="0" w:color="000000"/>
            </w:tcBorders>
          </w:tcPr>
          <w:p>
            <w:pPr>
              <w:pStyle w:val="TableParagraph"/>
              <w:spacing w:before="90"/>
              <w:ind w:right="28"/>
              <w:jc w:val="right"/>
              <w:rPr>
                <w:sz w:val="21"/>
              </w:rPr>
            </w:pPr>
            <w:r>
              <w:rPr>
                <w:sz w:val="21"/>
              </w:rPr>
              <w:t>988.14</w:t>
            </w:r>
          </w:p>
        </w:tc>
        <w:tc>
          <w:tcPr>
            <w:tcW w:w="1162" w:type="dxa"/>
          </w:tcPr>
          <w:p>
            <w:pPr>
              <w:pStyle w:val="TableParagraph"/>
              <w:spacing w:before="90"/>
              <w:ind w:right="23"/>
              <w:jc w:val="right"/>
              <w:rPr>
                <w:sz w:val="21"/>
              </w:rPr>
            </w:pPr>
            <w:r>
              <w:rPr>
                <w:sz w:val="21"/>
              </w:rPr>
              <w:t>991,080.28</w:t>
            </w:r>
          </w:p>
        </w:tc>
        <w:tc>
          <w:tcPr>
            <w:tcW w:w="1161" w:type="dxa"/>
            <w:tcBorders>
              <w:top w:val="single" w:sz="4" w:space="0" w:color="000000"/>
              <w:bottom w:val="single" w:sz="4" w:space="0" w:color="000000"/>
            </w:tcBorders>
          </w:tcPr>
          <w:p>
            <w:pPr>
              <w:pStyle w:val="TableParagraph"/>
              <w:spacing w:before="90"/>
              <w:ind w:right="22"/>
              <w:jc w:val="right"/>
              <w:rPr>
                <w:sz w:val="21"/>
              </w:rPr>
            </w:pPr>
            <w:r>
              <w:rPr>
                <w:sz w:val="21"/>
              </w:rPr>
              <w:t>4,970,178.93</w:t>
            </w:r>
          </w:p>
          <w:p>
            <w:pPr>
              <w:pStyle w:val="TableParagraph"/>
              <w:spacing w:after="1"/>
              <w:rPr>
                <w:rFonts w:ascii="宋体"/>
                <w:sz w:val="9"/>
              </w:rPr>
            </w:pPr>
          </w:p>
          <w:p>
            <w:pPr>
              <w:pStyle w:val="TableParagraph"/>
              <w:spacing w:line="20" w:lineRule="exact"/>
              <w:ind w:left="1158" w:right="-44"/>
              <w:rPr>
                <w:rFonts w:ascii="宋体"/>
                <w:sz w:val="2"/>
              </w:rPr>
            </w:pPr>
            <w:r>
              <w:rPr>
                <w:rFonts w:ascii="宋体"/>
                <w:sz w:val="2"/>
              </w:rPr>
              <w:drawing>
                <wp:inline distT="0" distB="0" distL="0" distR="0">
                  <wp:extent cx="3000" cy="6000"/>
                  <wp:effectExtent l="0" t="0" r="0" b="0"/>
                  <wp:docPr id="5" name="image21.png"/>
                  <wp:cNvGraphicFramePr>
                    <a:graphicFrameLocks noChangeAspect="1"/>
                  </wp:cNvGraphicFramePr>
                  <a:graphic>
                    <a:graphicData uri="http://schemas.openxmlformats.org/drawingml/2006/picture">
                      <pic:pic>
                        <pic:nvPicPr>
                          <pic:cNvPr id="6" name="image21.png"/>
                          <pic:cNvPicPr/>
                        </pic:nvPicPr>
                        <pic:blipFill>
                          <a:blip r:embed="rId28" cstate="print"/>
                          <a:stretch>
                            <a:fillRect/>
                          </a:stretch>
                        </pic:blipFill>
                        <pic:spPr>
                          <a:xfrm>
                            <a:off x="0" y="0"/>
                            <a:ext cx="3000" cy="6000"/>
                          </a:xfrm>
                          <a:prstGeom prst="rect">
                            <a:avLst/>
                          </a:prstGeom>
                        </pic:spPr>
                      </pic:pic>
                    </a:graphicData>
                  </a:graphic>
                </wp:inline>
              </w:drawing>
            </w:r>
            <w:r>
              <w:rPr>
                <w:rFonts w:ascii="宋体"/>
                <w:sz w:val="2"/>
              </w:rPr>
            </w:r>
          </w:p>
        </w:tc>
      </w:tr>
      <w:tr>
        <w:trPr>
          <w:trHeight w:val="447" w:hRule="atLeast"/>
        </w:trPr>
        <w:tc>
          <w:tcPr>
            <w:tcW w:w="2661" w:type="dxa"/>
          </w:tcPr>
          <w:p>
            <w:pPr>
              <w:pStyle w:val="TableParagraph"/>
              <w:spacing w:before="79"/>
              <w:ind w:left="45"/>
              <w:rPr>
                <w:rFonts w:ascii="宋体" w:eastAsia="宋体" w:hint="eastAsia"/>
                <w:sz w:val="21"/>
              </w:rPr>
            </w:pPr>
            <w:r>
              <w:rPr>
                <w:rFonts w:ascii="宋体" w:eastAsia="宋体" w:hint="eastAsia"/>
                <w:sz w:val="21"/>
              </w:rPr>
              <w:t>前端申购费（</w:t>
            </w:r>
            <w:r>
              <w:rPr>
                <w:sz w:val="21"/>
              </w:rPr>
              <w:t>d=a-c</w:t>
            </w:r>
            <w:r>
              <w:rPr>
                <w:rFonts w:ascii="宋体" w:eastAsia="宋体" w:hint="eastAsia"/>
                <w:sz w:val="21"/>
              </w:rPr>
              <w:t>）</w:t>
            </w:r>
          </w:p>
        </w:tc>
        <w:tc>
          <w:tcPr>
            <w:tcW w:w="1174" w:type="dxa"/>
            <w:tcBorders>
              <w:top w:val="single" w:sz="4" w:space="0" w:color="000000"/>
              <w:bottom w:val="single" w:sz="4" w:space="0" w:color="000000"/>
            </w:tcBorders>
          </w:tcPr>
          <w:p>
            <w:pPr>
              <w:pStyle w:val="TableParagraph"/>
              <w:spacing w:before="90"/>
              <w:ind w:right="28"/>
              <w:jc w:val="right"/>
              <w:rPr>
                <w:sz w:val="21"/>
              </w:rPr>
            </w:pPr>
            <w:r>
              <w:rPr>
                <w:sz w:val="21"/>
              </w:rPr>
              <w:t>11.86</w:t>
            </w:r>
          </w:p>
        </w:tc>
        <w:tc>
          <w:tcPr>
            <w:tcW w:w="1162" w:type="dxa"/>
          </w:tcPr>
          <w:p>
            <w:pPr>
              <w:pStyle w:val="TableParagraph"/>
              <w:spacing w:before="90"/>
              <w:ind w:right="23"/>
              <w:jc w:val="right"/>
              <w:rPr>
                <w:sz w:val="21"/>
              </w:rPr>
            </w:pPr>
            <w:r>
              <w:rPr>
                <w:sz w:val="21"/>
              </w:rPr>
              <w:t>8,919.72</w:t>
            </w:r>
          </w:p>
        </w:tc>
        <w:tc>
          <w:tcPr>
            <w:tcW w:w="1161" w:type="dxa"/>
            <w:tcBorders>
              <w:top w:val="single" w:sz="4" w:space="0" w:color="000000"/>
              <w:bottom w:val="single" w:sz="4" w:space="0" w:color="000000"/>
            </w:tcBorders>
          </w:tcPr>
          <w:p>
            <w:pPr>
              <w:pStyle w:val="TableParagraph"/>
              <w:spacing w:before="90"/>
              <w:ind w:right="22"/>
              <w:jc w:val="right"/>
              <w:rPr>
                <w:sz w:val="21"/>
              </w:rPr>
            </w:pPr>
            <w:r>
              <w:rPr>
                <w:sz w:val="21"/>
              </w:rPr>
              <w:t>29,821.07</w:t>
            </w:r>
          </w:p>
          <w:p>
            <w:pPr>
              <w:pStyle w:val="TableParagraph"/>
              <w:spacing w:after="1"/>
              <w:rPr>
                <w:rFonts w:ascii="宋体"/>
                <w:sz w:val="9"/>
              </w:rPr>
            </w:pPr>
          </w:p>
          <w:p>
            <w:pPr>
              <w:pStyle w:val="TableParagraph"/>
              <w:spacing w:line="20" w:lineRule="exact"/>
              <w:ind w:left="1158" w:right="-44"/>
              <w:rPr>
                <w:rFonts w:ascii="宋体"/>
                <w:sz w:val="2"/>
              </w:rPr>
            </w:pPr>
            <w:r>
              <w:rPr>
                <w:rFonts w:ascii="宋体"/>
                <w:sz w:val="2"/>
              </w:rPr>
              <w:drawing>
                <wp:inline distT="0" distB="0" distL="0" distR="0">
                  <wp:extent cx="3000" cy="6000"/>
                  <wp:effectExtent l="0" t="0" r="0" b="0"/>
                  <wp:docPr id="7" name="image21.png"/>
                  <wp:cNvGraphicFramePr>
                    <a:graphicFrameLocks noChangeAspect="1"/>
                  </wp:cNvGraphicFramePr>
                  <a:graphic>
                    <a:graphicData uri="http://schemas.openxmlformats.org/drawingml/2006/picture">
                      <pic:pic>
                        <pic:nvPicPr>
                          <pic:cNvPr id="8" name="image21.png"/>
                          <pic:cNvPicPr/>
                        </pic:nvPicPr>
                        <pic:blipFill>
                          <a:blip r:embed="rId28" cstate="print"/>
                          <a:stretch>
                            <a:fillRect/>
                          </a:stretch>
                        </pic:blipFill>
                        <pic:spPr>
                          <a:xfrm>
                            <a:off x="0" y="0"/>
                            <a:ext cx="3000" cy="6000"/>
                          </a:xfrm>
                          <a:prstGeom prst="rect">
                            <a:avLst/>
                          </a:prstGeom>
                        </pic:spPr>
                      </pic:pic>
                    </a:graphicData>
                  </a:graphic>
                </wp:inline>
              </w:drawing>
            </w:r>
            <w:r>
              <w:rPr>
                <w:rFonts w:ascii="宋体"/>
                <w:sz w:val="2"/>
              </w:rPr>
            </w:r>
          </w:p>
        </w:tc>
      </w:tr>
      <w:tr>
        <w:trPr>
          <w:trHeight w:val="450" w:hRule="atLeast"/>
        </w:trPr>
        <w:tc>
          <w:tcPr>
            <w:tcW w:w="2661" w:type="dxa"/>
            <w:tcBorders>
              <w:right w:val="single" w:sz="4" w:space="0" w:color="000000"/>
            </w:tcBorders>
          </w:tcPr>
          <w:p>
            <w:pPr>
              <w:pStyle w:val="TableParagraph"/>
              <w:spacing w:before="81"/>
              <w:ind w:left="45"/>
              <w:rPr>
                <w:rFonts w:ascii="宋体" w:eastAsia="宋体" w:hint="eastAsia"/>
                <w:sz w:val="21"/>
              </w:rPr>
            </w:pPr>
            <w:r>
              <w:rPr>
                <w:sz w:val="21"/>
              </w:rPr>
              <w:t>T</w:t>
            </w:r>
            <w:r>
              <w:rPr>
                <w:rFonts w:ascii="宋体" w:eastAsia="宋体" w:hint="eastAsia"/>
                <w:sz w:val="21"/>
              </w:rPr>
              <w:t>日该类基金份额净值（</w:t>
            </w:r>
            <w:r>
              <w:rPr>
                <w:sz w:val="21"/>
              </w:rPr>
              <w:t>e</w:t>
            </w:r>
            <w:r>
              <w:rPr>
                <w:rFonts w:ascii="宋体" w:eastAsia="宋体" w:hint="eastAsia"/>
                <w:sz w:val="21"/>
              </w:rPr>
              <w:t>）</w:t>
            </w:r>
          </w:p>
          <w:p>
            <w:pPr>
              <w:pStyle w:val="TableParagraph"/>
              <w:spacing w:before="10"/>
              <w:rPr>
                <w:rFonts w:ascii="宋体"/>
                <w:sz w:val="7"/>
              </w:rPr>
            </w:pPr>
          </w:p>
          <w:p>
            <w:pPr>
              <w:pStyle w:val="TableParagraph"/>
              <w:spacing w:line="20" w:lineRule="exact"/>
              <w:ind w:left="14" w:right="-44"/>
              <w:rPr>
                <w:rFonts w:ascii="宋体"/>
                <w:sz w:val="2"/>
              </w:rPr>
            </w:pPr>
            <w:r>
              <w:rPr>
                <w:rFonts w:ascii="宋体"/>
                <w:sz w:val="2"/>
              </w:rPr>
              <w:drawing>
                <wp:inline distT="0" distB="0" distL="0" distR="0">
                  <wp:extent cx="1678374" cy="6096"/>
                  <wp:effectExtent l="0" t="0" r="0" b="0"/>
                  <wp:docPr id="9" name="image22.png"/>
                  <wp:cNvGraphicFramePr>
                    <a:graphicFrameLocks noChangeAspect="1"/>
                  </wp:cNvGraphicFramePr>
                  <a:graphic>
                    <a:graphicData uri="http://schemas.openxmlformats.org/drawingml/2006/picture">
                      <pic:pic>
                        <pic:nvPicPr>
                          <pic:cNvPr id="10" name="image22.png"/>
                          <pic:cNvPicPr/>
                        </pic:nvPicPr>
                        <pic:blipFill>
                          <a:blip r:embed="rId29" cstate="print"/>
                          <a:stretch>
                            <a:fillRect/>
                          </a:stretch>
                        </pic:blipFill>
                        <pic:spPr>
                          <a:xfrm>
                            <a:off x="0" y="0"/>
                            <a:ext cx="1678374" cy="6096"/>
                          </a:xfrm>
                          <a:prstGeom prst="rect">
                            <a:avLst/>
                          </a:prstGeom>
                        </pic:spPr>
                      </pic:pic>
                    </a:graphicData>
                  </a:graphic>
                </wp:inline>
              </w:drawing>
            </w:r>
            <w:r>
              <w:rPr>
                <w:rFonts w:ascii="宋体"/>
                <w:sz w:val="2"/>
              </w:rPr>
            </w:r>
          </w:p>
        </w:tc>
        <w:tc>
          <w:tcPr>
            <w:tcW w:w="1174" w:type="dxa"/>
            <w:tcBorders>
              <w:top w:val="single" w:sz="4" w:space="0" w:color="000000"/>
              <w:left w:val="single" w:sz="4" w:space="0" w:color="000000"/>
              <w:bottom w:val="single" w:sz="4" w:space="0" w:color="000000"/>
              <w:right w:val="single" w:sz="4" w:space="0" w:color="000000"/>
            </w:tcBorders>
          </w:tcPr>
          <w:p>
            <w:pPr>
              <w:pStyle w:val="TableParagraph"/>
              <w:spacing w:before="93"/>
              <w:ind w:right="24"/>
              <w:jc w:val="right"/>
              <w:rPr>
                <w:sz w:val="21"/>
              </w:rPr>
            </w:pPr>
            <w:r>
              <w:rPr>
                <w:sz w:val="21"/>
              </w:rPr>
              <w:t>1.2300</w:t>
            </w:r>
          </w:p>
        </w:tc>
        <w:tc>
          <w:tcPr>
            <w:tcW w:w="1162" w:type="dxa"/>
            <w:tcBorders>
              <w:left w:val="single" w:sz="4" w:space="0" w:color="000000"/>
              <w:right w:val="single" w:sz="4" w:space="0" w:color="000000"/>
            </w:tcBorders>
          </w:tcPr>
          <w:p>
            <w:pPr>
              <w:pStyle w:val="TableParagraph"/>
              <w:spacing w:before="93"/>
              <w:ind w:right="18"/>
              <w:jc w:val="right"/>
              <w:rPr>
                <w:sz w:val="21"/>
              </w:rPr>
            </w:pPr>
            <w:r>
              <w:rPr>
                <w:sz w:val="21"/>
              </w:rPr>
              <w:t>1.2300</w:t>
            </w:r>
          </w:p>
          <w:p>
            <w:pPr>
              <w:pStyle w:val="TableParagraph"/>
              <w:rPr>
                <w:rFonts w:ascii="宋体"/>
                <w:sz w:val="9"/>
              </w:rPr>
            </w:pPr>
          </w:p>
          <w:p>
            <w:pPr>
              <w:pStyle w:val="TableParagraph"/>
              <w:spacing w:line="20" w:lineRule="exact"/>
              <w:ind w:left="-2" w:right="-44"/>
              <w:rPr>
                <w:rFonts w:ascii="宋体"/>
                <w:sz w:val="2"/>
              </w:rPr>
            </w:pPr>
            <w:r>
              <w:rPr>
                <w:rFonts w:ascii="宋体"/>
                <w:sz w:val="2"/>
              </w:rPr>
              <w:drawing>
                <wp:inline distT="0" distB="0" distL="0" distR="0">
                  <wp:extent cx="733074" cy="6096"/>
                  <wp:effectExtent l="0" t="0" r="0" b="0"/>
                  <wp:docPr id="11" name="image23.png"/>
                  <wp:cNvGraphicFramePr>
                    <a:graphicFrameLocks noChangeAspect="1"/>
                  </wp:cNvGraphicFramePr>
                  <a:graphic>
                    <a:graphicData uri="http://schemas.openxmlformats.org/drawingml/2006/picture">
                      <pic:pic>
                        <pic:nvPicPr>
                          <pic:cNvPr id="12" name="image23.png"/>
                          <pic:cNvPicPr/>
                        </pic:nvPicPr>
                        <pic:blipFill>
                          <a:blip r:embed="rId30" cstate="print"/>
                          <a:stretch>
                            <a:fillRect/>
                          </a:stretch>
                        </pic:blipFill>
                        <pic:spPr>
                          <a:xfrm>
                            <a:off x="0" y="0"/>
                            <a:ext cx="733074" cy="6096"/>
                          </a:xfrm>
                          <a:prstGeom prst="rect">
                            <a:avLst/>
                          </a:prstGeom>
                        </pic:spPr>
                      </pic:pic>
                    </a:graphicData>
                  </a:graphic>
                </wp:inline>
              </w:drawing>
            </w:r>
            <w:r>
              <w:rPr>
                <w:rFonts w:ascii="宋体"/>
                <w:sz w:val="2"/>
              </w:rPr>
            </w:r>
          </w:p>
        </w:tc>
        <w:tc>
          <w:tcPr>
            <w:tcW w:w="1161" w:type="dxa"/>
            <w:tcBorders>
              <w:top w:val="single" w:sz="4" w:space="0" w:color="000000"/>
              <w:left w:val="single" w:sz="4" w:space="0" w:color="000000"/>
              <w:bottom w:val="single" w:sz="4" w:space="0" w:color="000000"/>
            </w:tcBorders>
          </w:tcPr>
          <w:p>
            <w:pPr>
              <w:pStyle w:val="TableParagraph"/>
              <w:spacing w:before="93"/>
              <w:ind w:right="22"/>
              <w:jc w:val="right"/>
              <w:rPr>
                <w:sz w:val="21"/>
              </w:rPr>
            </w:pPr>
            <w:r>
              <w:rPr>
                <w:sz w:val="21"/>
              </w:rPr>
              <w:t>1.2300</w:t>
            </w:r>
          </w:p>
          <w:p>
            <w:pPr>
              <w:pStyle w:val="TableParagraph"/>
              <w:rPr>
                <w:rFonts w:ascii="宋体"/>
                <w:sz w:val="9"/>
              </w:rPr>
            </w:pPr>
          </w:p>
          <w:p>
            <w:pPr>
              <w:pStyle w:val="TableParagraph"/>
              <w:spacing w:line="20" w:lineRule="exact"/>
              <w:ind w:left="1153" w:right="-44"/>
              <w:rPr>
                <w:rFonts w:ascii="宋体"/>
                <w:sz w:val="2"/>
              </w:rPr>
            </w:pPr>
            <w:r>
              <w:rPr>
                <w:rFonts w:ascii="宋体"/>
                <w:sz w:val="2"/>
              </w:rPr>
              <w:drawing>
                <wp:inline distT="0" distB="0" distL="0" distR="0">
                  <wp:extent cx="3047" cy="6096"/>
                  <wp:effectExtent l="0" t="0" r="0" b="0"/>
                  <wp:docPr id="13" name="image21.png"/>
                  <wp:cNvGraphicFramePr>
                    <a:graphicFrameLocks noChangeAspect="1"/>
                  </wp:cNvGraphicFramePr>
                  <a:graphic>
                    <a:graphicData uri="http://schemas.openxmlformats.org/drawingml/2006/picture">
                      <pic:pic>
                        <pic:nvPicPr>
                          <pic:cNvPr id="14" name="image21.png"/>
                          <pic:cNvPicPr/>
                        </pic:nvPicPr>
                        <pic:blipFill>
                          <a:blip r:embed="rId28" cstate="print"/>
                          <a:stretch>
                            <a:fillRect/>
                          </a:stretch>
                        </pic:blipFill>
                        <pic:spPr>
                          <a:xfrm>
                            <a:off x="0" y="0"/>
                            <a:ext cx="3047" cy="6096"/>
                          </a:xfrm>
                          <a:prstGeom prst="rect">
                            <a:avLst/>
                          </a:prstGeom>
                        </pic:spPr>
                      </pic:pic>
                    </a:graphicData>
                  </a:graphic>
                </wp:inline>
              </w:drawing>
            </w:r>
            <w:r>
              <w:rPr>
                <w:rFonts w:ascii="宋体"/>
                <w:sz w:val="2"/>
              </w:rPr>
            </w:r>
          </w:p>
        </w:tc>
      </w:tr>
      <w:tr>
        <w:trPr>
          <w:trHeight w:val="447" w:hRule="atLeast"/>
        </w:trPr>
        <w:tc>
          <w:tcPr>
            <w:tcW w:w="2661" w:type="dxa"/>
            <w:tcBorders>
              <w:bottom w:val="single" w:sz="12" w:space="0" w:color="000000"/>
              <w:right w:val="single" w:sz="4" w:space="0" w:color="000000"/>
            </w:tcBorders>
          </w:tcPr>
          <w:p>
            <w:pPr>
              <w:pStyle w:val="TableParagraph"/>
              <w:spacing w:before="79"/>
              <w:ind w:left="45"/>
              <w:rPr>
                <w:rFonts w:ascii="宋体" w:eastAsia="宋体" w:hint="eastAsia"/>
                <w:sz w:val="21"/>
              </w:rPr>
            </w:pPr>
            <w:r>
              <w:rPr>
                <w:rFonts w:ascii="宋体" w:eastAsia="宋体" w:hint="eastAsia"/>
                <w:sz w:val="21"/>
              </w:rPr>
              <w:t>申购份额（</w:t>
            </w:r>
            <w:r>
              <w:rPr>
                <w:sz w:val="21"/>
              </w:rPr>
              <w:t>f=c/e</w:t>
            </w:r>
            <w:r>
              <w:rPr>
                <w:rFonts w:ascii="宋体" w:eastAsia="宋体" w:hint="eastAsia"/>
                <w:sz w:val="21"/>
              </w:rPr>
              <w:t>）</w:t>
            </w:r>
          </w:p>
          <w:p>
            <w:pPr>
              <w:pStyle w:val="TableParagraph"/>
              <w:spacing w:before="12"/>
              <w:rPr>
                <w:rFonts w:ascii="宋体"/>
                <w:sz w:val="4"/>
              </w:rPr>
            </w:pPr>
          </w:p>
          <w:p>
            <w:pPr>
              <w:pStyle w:val="TableParagraph"/>
              <w:spacing w:line="35" w:lineRule="exact"/>
              <w:ind w:left="2657" w:right="-58"/>
              <w:rPr>
                <w:rFonts w:ascii="宋体"/>
                <w:sz w:val="3"/>
              </w:rPr>
            </w:pPr>
            <w:r>
              <w:rPr>
                <w:rFonts w:ascii="宋体"/>
                <w:position w:val="0"/>
                <w:sz w:val="3"/>
              </w:rPr>
              <w:drawing>
                <wp:inline distT="0" distB="0" distL="0" distR="0">
                  <wp:extent cx="6045" cy="22669"/>
                  <wp:effectExtent l="0" t="0" r="0" b="0"/>
                  <wp:docPr id="15" name="image24.png"/>
                  <wp:cNvGraphicFramePr>
                    <a:graphicFrameLocks noChangeAspect="1"/>
                  </wp:cNvGraphicFramePr>
                  <a:graphic>
                    <a:graphicData uri="http://schemas.openxmlformats.org/drawingml/2006/picture">
                      <pic:pic>
                        <pic:nvPicPr>
                          <pic:cNvPr id="16" name="image24.png"/>
                          <pic:cNvPicPr/>
                        </pic:nvPicPr>
                        <pic:blipFill>
                          <a:blip r:embed="rId31" cstate="print"/>
                          <a:stretch>
                            <a:fillRect/>
                          </a:stretch>
                        </pic:blipFill>
                        <pic:spPr>
                          <a:xfrm>
                            <a:off x="0" y="0"/>
                            <a:ext cx="6045" cy="22669"/>
                          </a:xfrm>
                          <a:prstGeom prst="rect">
                            <a:avLst/>
                          </a:prstGeom>
                        </pic:spPr>
                      </pic:pic>
                    </a:graphicData>
                  </a:graphic>
                </wp:inline>
              </w:drawing>
            </w:r>
            <w:r>
              <w:rPr>
                <w:rFonts w:ascii="宋体"/>
                <w:position w:val="0"/>
                <w:sz w:val="3"/>
              </w:rPr>
            </w:r>
          </w:p>
        </w:tc>
        <w:tc>
          <w:tcPr>
            <w:tcW w:w="1174" w:type="dxa"/>
            <w:tcBorders>
              <w:top w:val="single" w:sz="4" w:space="0" w:color="000000"/>
              <w:left w:val="single" w:sz="4" w:space="0" w:color="000000"/>
              <w:bottom w:val="single" w:sz="12" w:space="0" w:color="000000"/>
              <w:right w:val="single" w:sz="4" w:space="0" w:color="000000"/>
            </w:tcBorders>
          </w:tcPr>
          <w:p>
            <w:pPr>
              <w:pStyle w:val="TableParagraph"/>
              <w:spacing w:before="91"/>
              <w:ind w:right="23"/>
              <w:jc w:val="right"/>
              <w:rPr>
                <w:sz w:val="21"/>
              </w:rPr>
            </w:pPr>
            <w:r>
              <w:rPr>
                <w:sz w:val="21"/>
              </w:rPr>
              <w:t>803.37</w:t>
            </w:r>
          </w:p>
          <w:p>
            <w:pPr>
              <w:pStyle w:val="TableParagraph"/>
              <w:spacing w:before="2"/>
              <w:rPr>
                <w:rFonts w:ascii="宋体"/>
                <w:sz w:val="6"/>
              </w:rPr>
            </w:pPr>
          </w:p>
          <w:p>
            <w:pPr>
              <w:pStyle w:val="TableParagraph"/>
              <w:spacing w:line="35" w:lineRule="exact"/>
              <w:ind w:left="1163" w:right="-58"/>
              <w:rPr>
                <w:rFonts w:ascii="宋体"/>
                <w:sz w:val="3"/>
              </w:rPr>
            </w:pPr>
            <w:r>
              <w:rPr>
                <w:rFonts w:ascii="宋体"/>
                <w:position w:val="0"/>
                <w:sz w:val="3"/>
              </w:rPr>
              <w:drawing>
                <wp:inline distT="0" distB="0" distL="0" distR="0">
                  <wp:extent cx="6044" cy="22669"/>
                  <wp:effectExtent l="0" t="0" r="0" b="0"/>
                  <wp:docPr id="17" name="image24.png"/>
                  <wp:cNvGraphicFramePr>
                    <a:graphicFrameLocks noChangeAspect="1"/>
                  </wp:cNvGraphicFramePr>
                  <a:graphic>
                    <a:graphicData uri="http://schemas.openxmlformats.org/drawingml/2006/picture">
                      <pic:pic>
                        <pic:nvPicPr>
                          <pic:cNvPr id="18" name="image24.png"/>
                          <pic:cNvPicPr/>
                        </pic:nvPicPr>
                        <pic:blipFill>
                          <a:blip r:embed="rId31" cstate="print"/>
                          <a:stretch>
                            <a:fillRect/>
                          </a:stretch>
                        </pic:blipFill>
                        <pic:spPr>
                          <a:xfrm>
                            <a:off x="0" y="0"/>
                            <a:ext cx="6044" cy="22669"/>
                          </a:xfrm>
                          <a:prstGeom prst="rect">
                            <a:avLst/>
                          </a:prstGeom>
                        </pic:spPr>
                      </pic:pic>
                    </a:graphicData>
                  </a:graphic>
                </wp:inline>
              </w:drawing>
            </w:r>
            <w:r>
              <w:rPr>
                <w:rFonts w:ascii="宋体"/>
                <w:position w:val="0"/>
                <w:sz w:val="3"/>
              </w:rPr>
            </w:r>
          </w:p>
        </w:tc>
        <w:tc>
          <w:tcPr>
            <w:tcW w:w="1162" w:type="dxa"/>
            <w:tcBorders>
              <w:left w:val="single" w:sz="4" w:space="0" w:color="000000"/>
              <w:bottom w:val="single" w:sz="12" w:space="0" w:color="000000"/>
              <w:right w:val="single" w:sz="4" w:space="0" w:color="000000"/>
            </w:tcBorders>
          </w:tcPr>
          <w:p>
            <w:pPr>
              <w:pStyle w:val="TableParagraph"/>
              <w:spacing w:before="91"/>
              <w:ind w:right="18"/>
              <w:jc w:val="right"/>
              <w:rPr>
                <w:sz w:val="21"/>
              </w:rPr>
            </w:pPr>
            <w:r>
              <w:rPr>
                <w:sz w:val="21"/>
              </w:rPr>
              <w:t>805,756.33</w:t>
            </w:r>
          </w:p>
          <w:p>
            <w:pPr>
              <w:pStyle w:val="TableParagraph"/>
              <w:spacing w:before="2"/>
              <w:rPr>
                <w:rFonts w:ascii="宋体"/>
                <w:sz w:val="6"/>
              </w:rPr>
            </w:pPr>
          </w:p>
          <w:p>
            <w:pPr>
              <w:pStyle w:val="TableParagraph"/>
              <w:spacing w:line="35" w:lineRule="exact"/>
              <w:ind w:left="1153" w:right="-58"/>
              <w:rPr>
                <w:rFonts w:ascii="宋体"/>
                <w:sz w:val="3"/>
              </w:rPr>
            </w:pPr>
            <w:r>
              <w:rPr>
                <w:rFonts w:ascii="宋体"/>
                <w:position w:val="0"/>
                <w:sz w:val="3"/>
              </w:rPr>
              <w:drawing>
                <wp:inline distT="0" distB="0" distL="0" distR="0">
                  <wp:extent cx="6045" cy="22669"/>
                  <wp:effectExtent l="0" t="0" r="0" b="0"/>
                  <wp:docPr id="19" name="image24.png"/>
                  <wp:cNvGraphicFramePr>
                    <a:graphicFrameLocks noChangeAspect="1"/>
                  </wp:cNvGraphicFramePr>
                  <a:graphic>
                    <a:graphicData uri="http://schemas.openxmlformats.org/drawingml/2006/picture">
                      <pic:pic>
                        <pic:nvPicPr>
                          <pic:cNvPr id="20" name="image24.png"/>
                          <pic:cNvPicPr/>
                        </pic:nvPicPr>
                        <pic:blipFill>
                          <a:blip r:embed="rId31" cstate="print"/>
                          <a:stretch>
                            <a:fillRect/>
                          </a:stretch>
                        </pic:blipFill>
                        <pic:spPr>
                          <a:xfrm>
                            <a:off x="0" y="0"/>
                            <a:ext cx="6045" cy="22669"/>
                          </a:xfrm>
                          <a:prstGeom prst="rect">
                            <a:avLst/>
                          </a:prstGeom>
                        </pic:spPr>
                      </pic:pic>
                    </a:graphicData>
                  </a:graphic>
                </wp:inline>
              </w:drawing>
            </w:r>
            <w:r>
              <w:rPr>
                <w:rFonts w:ascii="宋体"/>
                <w:position w:val="0"/>
                <w:sz w:val="3"/>
              </w:rPr>
            </w:r>
          </w:p>
        </w:tc>
        <w:tc>
          <w:tcPr>
            <w:tcW w:w="1161" w:type="dxa"/>
            <w:tcBorders>
              <w:top w:val="single" w:sz="4" w:space="0" w:color="000000"/>
              <w:left w:val="single" w:sz="4" w:space="0" w:color="000000"/>
              <w:bottom w:val="single" w:sz="12" w:space="0" w:color="000000"/>
            </w:tcBorders>
          </w:tcPr>
          <w:p>
            <w:pPr>
              <w:pStyle w:val="TableParagraph"/>
              <w:spacing w:before="91"/>
              <w:ind w:right="22"/>
              <w:jc w:val="right"/>
              <w:rPr>
                <w:sz w:val="21"/>
              </w:rPr>
            </w:pPr>
            <w:r>
              <w:rPr>
                <w:sz w:val="21"/>
              </w:rPr>
              <w:t>4,040,795.88</w:t>
            </w:r>
          </w:p>
        </w:tc>
      </w:tr>
    </w:tbl>
    <w:p>
      <w:pPr>
        <w:spacing w:after="0"/>
        <w:jc w:val="right"/>
        <w:rPr>
          <w:sz w:val="21"/>
        </w:rPr>
        <w:sectPr>
          <w:pgSz w:w="11910" w:h="16840"/>
          <w:pgMar w:header="705" w:footer="683" w:top="1420" w:bottom="880" w:left="1580" w:right="920"/>
        </w:sectPr>
      </w:pPr>
    </w:p>
    <w:p>
      <w:pPr>
        <w:pStyle w:val="BodyText"/>
        <w:spacing w:before="110"/>
      </w:pPr>
      <w:r>
        <w:rPr/>
        <w:pict>
          <v:group style="position:absolute;margin-left:211.25pt;margin-top:48.759983pt;width:172.95pt;height:120.5pt;mso-position-horizontal-relative:page;mso-position-vertical-relative:paragraph;z-index:-258188288" coordorigin="4225,975" coordsize="3459,2410">
            <v:shape style="position:absolute;left:6411;top:975;width:10;height:3" type="#_x0000_t75" stroked="false">
              <v:imagedata r:id="rId32" o:title=""/>
            </v:shape>
            <v:shape style="position:absolute;left:6411;top:977;width:10;height:466" type="#_x0000_t75" stroked="false">
              <v:imagedata r:id="rId20" o:title=""/>
            </v:shape>
            <v:shape style="position:absolute;left:4225;top:1443;width:3459;height:1942" type="#_x0000_t75" stroked="false">
              <v:imagedata r:id="rId33" o:title=""/>
            </v:shape>
            <w10:wrap type="none"/>
          </v:group>
        </w:pict>
      </w:r>
      <w:r>
        <w:rPr/>
        <w:t>若人民币申购金额为 </w:t>
      </w:r>
      <w:r>
        <w:rPr>
          <w:rFonts w:ascii="Times New Roman" w:eastAsia="Times New Roman"/>
        </w:rPr>
        <w:t>1000 </w:t>
      </w:r>
      <w:r>
        <w:rPr/>
        <w:t>万元，则申购负担的前端申购费用和获得的 </w:t>
      </w:r>
      <w:r>
        <w:rPr>
          <w:rFonts w:ascii="Times New Roman" w:eastAsia="Times New Roman"/>
        </w:rPr>
        <w:t>A </w:t>
      </w:r>
      <w:r>
        <w:rPr/>
        <w:t>类基金份额</w:t>
      </w:r>
    </w:p>
    <w:p>
      <w:pPr>
        <w:pStyle w:val="BodyText"/>
        <w:spacing w:before="9"/>
        <w:ind w:left="0"/>
        <w:rPr>
          <w:sz w:val="17"/>
        </w:rPr>
      </w:pPr>
    </w:p>
    <w:tbl>
      <w:tblPr>
        <w:tblW w:w="0" w:type="auto"/>
        <w:jc w:val="left"/>
        <w:tblInd w:w="1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467"/>
        <w:gridCol w:w="2198"/>
        <w:gridCol w:w="1266"/>
      </w:tblGrid>
      <w:tr>
        <w:trPr>
          <w:trHeight w:val="339" w:hRule="atLeast"/>
        </w:trPr>
        <w:tc>
          <w:tcPr>
            <w:tcW w:w="2467" w:type="dxa"/>
          </w:tcPr>
          <w:p>
            <w:pPr>
              <w:pStyle w:val="TableParagraph"/>
              <w:spacing w:line="241" w:lineRule="exact"/>
              <w:ind w:left="50"/>
              <w:rPr>
                <w:rFonts w:ascii="宋体" w:eastAsia="宋体" w:hint="eastAsia"/>
                <w:sz w:val="21"/>
              </w:rPr>
            </w:pPr>
            <w:r>
              <w:rPr>
                <w:rFonts w:ascii="宋体" w:eastAsia="宋体" w:hint="eastAsia"/>
                <w:sz w:val="21"/>
              </w:rPr>
              <w:t>计算如下：</w:t>
            </w:r>
          </w:p>
        </w:tc>
        <w:tc>
          <w:tcPr>
            <w:tcW w:w="3464" w:type="dxa"/>
            <w:gridSpan w:val="2"/>
            <w:tcBorders>
              <w:bottom w:val="single" w:sz="12" w:space="0" w:color="000000"/>
            </w:tcBorders>
          </w:tcPr>
          <w:p>
            <w:pPr>
              <w:pStyle w:val="TableParagraph"/>
              <w:rPr>
                <w:sz w:val="20"/>
              </w:rPr>
            </w:pPr>
          </w:p>
        </w:tc>
      </w:tr>
      <w:tr>
        <w:trPr>
          <w:trHeight w:val="466" w:hRule="atLeast"/>
        </w:trPr>
        <w:tc>
          <w:tcPr>
            <w:tcW w:w="2467" w:type="dxa"/>
          </w:tcPr>
          <w:p>
            <w:pPr>
              <w:pStyle w:val="TableParagraph"/>
              <w:rPr>
                <w:sz w:val="20"/>
              </w:rPr>
            </w:pPr>
          </w:p>
        </w:tc>
        <w:tc>
          <w:tcPr>
            <w:tcW w:w="2198" w:type="dxa"/>
            <w:tcBorders>
              <w:top w:val="single" w:sz="12" w:space="0" w:color="000000"/>
              <w:bottom w:val="single" w:sz="12" w:space="0" w:color="000000"/>
            </w:tcBorders>
          </w:tcPr>
          <w:p>
            <w:pPr>
              <w:pStyle w:val="TableParagraph"/>
              <w:rPr>
                <w:sz w:val="20"/>
              </w:rPr>
            </w:pPr>
          </w:p>
        </w:tc>
        <w:tc>
          <w:tcPr>
            <w:tcW w:w="1266" w:type="dxa"/>
            <w:tcBorders>
              <w:top w:val="single" w:sz="12" w:space="0" w:color="000000"/>
              <w:bottom w:val="single" w:sz="12" w:space="0" w:color="000000"/>
            </w:tcBorders>
          </w:tcPr>
          <w:p>
            <w:pPr>
              <w:pStyle w:val="TableParagraph"/>
              <w:spacing w:before="99"/>
              <w:ind w:left="370"/>
              <w:rPr>
                <w:sz w:val="21"/>
              </w:rPr>
            </w:pPr>
            <w:r>
              <w:rPr>
                <w:rFonts w:ascii="宋体" w:eastAsia="宋体" w:hint="eastAsia"/>
                <w:sz w:val="21"/>
              </w:rPr>
              <w:t>申购</w:t>
            </w:r>
            <w:r>
              <w:rPr>
                <w:sz w:val="21"/>
              </w:rPr>
              <w:t>4</w:t>
            </w:r>
          </w:p>
        </w:tc>
      </w:tr>
      <w:tr>
        <w:trPr>
          <w:trHeight w:val="477" w:hRule="atLeast"/>
        </w:trPr>
        <w:tc>
          <w:tcPr>
            <w:tcW w:w="2467" w:type="dxa"/>
          </w:tcPr>
          <w:p>
            <w:pPr>
              <w:pStyle w:val="TableParagraph"/>
              <w:rPr>
                <w:sz w:val="20"/>
              </w:rPr>
            </w:pPr>
          </w:p>
        </w:tc>
        <w:tc>
          <w:tcPr>
            <w:tcW w:w="2198" w:type="dxa"/>
            <w:tcBorders>
              <w:top w:val="single" w:sz="12" w:space="0" w:color="000000"/>
            </w:tcBorders>
          </w:tcPr>
          <w:p>
            <w:pPr>
              <w:pStyle w:val="TableParagraph"/>
              <w:spacing w:before="101"/>
              <w:ind w:left="36"/>
              <w:rPr>
                <w:rFonts w:ascii="宋体" w:eastAsia="宋体" w:hint="eastAsia"/>
                <w:sz w:val="21"/>
              </w:rPr>
            </w:pPr>
            <w:r>
              <w:rPr>
                <w:rFonts w:ascii="宋体" w:eastAsia="宋体" w:hint="eastAsia"/>
                <w:sz w:val="21"/>
              </w:rPr>
              <w:t>申购金额（元，</w:t>
            </w:r>
            <w:r>
              <w:rPr>
                <w:sz w:val="21"/>
              </w:rPr>
              <w:t>a</w:t>
            </w:r>
            <w:r>
              <w:rPr>
                <w:rFonts w:ascii="宋体" w:eastAsia="宋体" w:hint="eastAsia"/>
                <w:sz w:val="21"/>
              </w:rPr>
              <w:t>）</w:t>
            </w:r>
          </w:p>
        </w:tc>
        <w:tc>
          <w:tcPr>
            <w:tcW w:w="1266" w:type="dxa"/>
            <w:tcBorders>
              <w:top w:val="single" w:sz="12" w:space="0" w:color="000000"/>
            </w:tcBorders>
          </w:tcPr>
          <w:p>
            <w:pPr>
              <w:pStyle w:val="TableParagraph"/>
              <w:spacing w:before="113"/>
              <w:ind w:right="24"/>
              <w:jc w:val="right"/>
              <w:rPr>
                <w:sz w:val="21"/>
              </w:rPr>
            </w:pPr>
            <w:r>
              <w:rPr>
                <w:sz w:val="21"/>
              </w:rPr>
              <w:t>10,000,000.00</w:t>
            </w:r>
          </w:p>
        </w:tc>
      </w:tr>
      <w:tr>
        <w:trPr>
          <w:trHeight w:val="477" w:hRule="atLeast"/>
        </w:trPr>
        <w:tc>
          <w:tcPr>
            <w:tcW w:w="2467" w:type="dxa"/>
          </w:tcPr>
          <w:p>
            <w:pPr>
              <w:pStyle w:val="TableParagraph"/>
              <w:rPr>
                <w:sz w:val="20"/>
              </w:rPr>
            </w:pPr>
          </w:p>
        </w:tc>
        <w:tc>
          <w:tcPr>
            <w:tcW w:w="2198" w:type="dxa"/>
          </w:tcPr>
          <w:p>
            <w:pPr>
              <w:pStyle w:val="TableParagraph"/>
              <w:spacing w:before="101"/>
              <w:ind w:left="36"/>
              <w:rPr>
                <w:rFonts w:ascii="宋体" w:eastAsia="宋体" w:hint="eastAsia"/>
                <w:sz w:val="21"/>
              </w:rPr>
            </w:pPr>
            <w:r>
              <w:rPr>
                <w:rFonts w:ascii="宋体" w:eastAsia="宋体" w:hint="eastAsia"/>
                <w:sz w:val="21"/>
              </w:rPr>
              <w:t>前端申购费（</w:t>
            </w:r>
            <w:r>
              <w:rPr>
                <w:sz w:val="21"/>
              </w:rPr>
              <w:t>b</w:t>
            </w:r>
            <w:r>
              <w:rPr>
                <w:rFonts w:ascii="宋体" w:eastAsia="宋体" w:hint="eastAsia"/>
                <w:sz w:val="21"/>
              </w:rPr>
              <w:t>）</w:t>
            </w:r>
          </w:p>
        </w:tc>
        <w:tc>
          <w:tcPr>
            <w:tcW w:w="1266" w:type="dxa"/>
          </w:tcPr>
          <w:p>
            <w:pPr>
              <w:pStyle w:val="TableParagraph"/>
              <w:spacing w:before="113"/>
              <w:ind w:right="24"/>
              <w:jc w:val="right"/>
              <w:rPr>
                <w:sz w:val="21"/>
              </w:rPr>
            </w:pPr>
            <w:r>
              <w:rPr>
                <w:sz w:val="21"/>
              </w:rPr>
              <w:t>1,000.00</w:t>
            </w:r>
          </w:p>
        </w:tc>
      </w:tr>
      <w:tr>
        <w:trPr>
          <w:trHeight w:val="477" w:hRule="atLeast"/>
        </w:trPr>
        <w:tc>
          <w:tcPr>
            <w:tcW w:w="2467" w:type="dxa"/>
          </w:tcPr>
          <w:p>
            <w:pPr>
              <w:pStyle w:val="TableParagraph"/>
              <w:rPr>
                <w:sz w:val="20"/>
              </w:rPr>
            </w:pPr>
          </w:p>
        </w:tc>
        <w:tc>
          <w:tcPr>
            <w:tcW w:w="2198" w:type="dxa"/>
          </w:tcPr>
          <w:p>
            <w:pPr>
              <w:pStyle w:val="TableParagraph"/>
              <w:spacing w:before="101"/>
              <w:ind w:left="36"/>
              <w:rPr>
                <w:rFonts w:ascii="宋体" w:eastAsia="宋体" w:hint="eastAsia"/>
                <w:sz w:val="21"/>
              </w:rPr>
            </w:pPr>
            <w:r>
              <w:rPr>
                <w:rFonts w:ascii="宋体" w:eastAsia="宋体" w:hint="eastAsia"/>
                <w:sz w:val="21"/>
              </w:rPr>
              <w:t>净申购金额（</w:t>
            </w:r>
            <w:r>
              <w:rPr>
                <w:sz w:val="21"/>
              </w:rPr>
              <w:t>c=a-b</w:t>
            </w:r>
            <w:r>
              <w:rPr>
                <w:rFonts w:ascii="宋体" w:eastAsia="宋体" w:hint="eastAsia"/>
                <w:sz w:val="21"/>
              </w:rPr>
              <w:t>）</w:t>
            </w:r>
          </w:p>
        </w:tc>
        <w:tc>
          <w:tcPr>
            <w:tcW w:w="1266" w:type="dxa"/>
          </w:tcPr>
          <w:p>
            <w:pPr>
              <w:pStyle w:val="TableParagraph"/>
              <w:spacing w:before="113"/>
              <w:ind w:right="26"/>
              <w:jc w:val="right"/>
              <w:rPr>
                <w:sz w:val="21"/>
              </w:rPr>
            </w:pPr>
            <w:r>
              <w:rPr>
                <w:sz w:val="21"/>
              </w:rPr>
              <w:t>9,999,000.00</w:t>
            </w:r>
          </w:p>
        </w:tc>
      </w:tr>
      <w:tr>
        <w:trPr>
          <w:trHeight w:val="479" w:hRule="atLeast"/>
        </w:trPr>
        <w:tc>
          <w:tcPr>
            <w:tcW w:w="2467" w:type="dxa"/>
          </w:tcPr>
          <w:p>
            <w:pPr>
              <w:pStyle w:val="TableParagraph"/>
              <w:rPr>
                <w:sz w:val="20"/>
              </w:rPr>
            </w:pPr>
          </w:p>
        </w:tc>
        <w:tc>
          <w:tcPr>
            <w:tcW w:w="2198" w:type="dxa"/>
          </w:tcPr>
          <w:p>
            <w:pPr>
              <w:pStyle w:val="TableParagraph"/>
              <w:spacing w:before="101"/>
              <w:ind w:left="36"/>
              <w:rPr>
                <w:rFonts w:ascii="宋体" w:eastAsia="宋体" w:hint="eastAsia"/>
                <w:sz w:val="21"/>
              </w:rPr>
            </w:pPr>
            <w:r>
              <w:rPr>
                <w:sz w:val="21"/>
              </w:rPr>
              <w:t>T</w:t>
            </w:r>
            <w:r>
              <w:rPr>
                <w:rFonts w:ascii="宋体" w:eastAsia="宋体" w:hint="eastAsia"/>
                <w:sz w:val="21"/>
              </w:rPr>
              <w:t>日基金份额净值（</w:t>
            </w:r>
            <w:r>
              <w:rPr>
                <w:sz w:val="21"/>
              </w:rPr>
              <w:t>d</w:t>
            </w:r>
            <w:r>
              <w:rPr>
                <w:rFonts w:ascii="宋体" w:eastAsia="宋体" w:hint="eastAsia"/>
                <w:sz w:val="21"/>
              </w:rPr>
              <w:t>）</w:t>
            </w:r>
          </w:p>
        </w:tc>
        <w:tc>
          <w:tcPr>
            <w:tcW w:w="1266" w:type="dxa"/>
          </w:tcPr>
          <w:p>
            <w:pPr>
              <w:pStyle w:val="TableParagraph"/>
              <w:spacing w:before="113"/>
              <w:ind w:right="24"/>
              <w:jc w:val="right"/>
              <w:rPr>
                <w:sz w:val="21"/>
              </w:rPr>
            </w:pPr>
            <w:r>
              <w:rPr>
                <w:sz w:val="21"/>
              </w:rPr>
              <w:t>1.2300</w:t>
            </w:r>
          </w:p>
          <w:p>
            <w:pPr>
              <w:pStyle w:val="TableParagraph"/>
              <w:spacing w:before="12"/>
              <w:rPr>
                <w:rFonts w:ascii="宋体"/>
                <w:sz w:val="8"/>
              </w:rPr>
            </w:pPr>
          </w:p>
          <w:p>
            <w:pPr>
              <w:pStyle w:val="TableParagraph"/>
              <w:spacing w:line="20" w:lineRule="exact"/>
              <w:ind w:left="-4" w:right="-44"/>
              <w:rPr>
                <w:rFonts w:ascii="宋体"/>
                <w:sz w:val="2"/>
              </w:rPr>
            </w:pPr>
            <w:r>
              <w:rPr>
                <w:rFonts w:ascii="宋体"/>
                <w:sz w:val="2"/>
              </w:rPr>
              <w:drawing>
                <wp:inline distT="0" distB="0" distL="0" distR="0">
                  <wp:extent cx="807652" cy="6096"/>
                  <wp:effectExtent l="0" t="0" r="0" b="0"/>
                  <wp:docPr id="21" name="image27.png"/>
                  <wp:cNvGraphicFramePr>
                    <a:graphicFrameLocks noChangeAspect="1"/>
                  </wp:cNvGraphicFramePr>
                  <a:graphic>
                    <a:graphicData uri="http://schemas.openxmlformats.org/drawingml/2006/picture">
                      <pic:pic>
                        <pic:nvPicPr>
                          <pic:cNvPr id="22" name="image27.png"/>
                          <pic:cNvPicPr/>
                        </pic:nvPicPr>
                        <pic:blipFill>
                          <a:blip r:embed="rId34" cstate="print"/>
                          <a:stretch>
                            <a:fillRect/>
                          </a:stretch>
                        </pic:blipFill>
                        <pic:spPr>
                          <a:xfrm>
                            <a:off x="0" y="0"/>
                            <a:ext cx="807652" cy="6096"/>
                          </a:xfrm>
                          <a:prstGeom prst="rect">
                            <a:avLst/>
                          </a:prstGeom>
                        </pic:spPr>
                      </pic:pic>
                    </a:graphicData>
                  </a:graphic>
                </wp:inline>
              </w:drawing>
            </w:r>
            <w:r>
              <w:rPr>
                <w:rFonts w:ascii="宋体"/>
                <w:sz w:val="2"/>
              </w:rPr>
            </w:r>
          </w:p>
        </w:tc>
      </w:tr>
      <w:tr>
        <w:trPr>
          <w:trHeight w:val="460" w:hRule="atLeast"/>
        </w:trPr>
        <w:tc>
          <w:tcPr>
            <w:tcW w:w="2467" w:type="dxa"/>
          </w:tcPr>
          <w:p>
            <w:pPr>
              <w:pStyle w:val="TableParagraph"/>
              <w:rPr>
                <w:sz w:val="20"/>
              </w:rPr>
            </w:pPr>
          </w:p>
        </w:tc>
        <w:tc>
          <w:tcPr>
            <w:tcW w:w="2198" w:type="dxa"/>
            <w:tcBorders>
              <w:bottom w:val="single" w:sz="12" w:space="0" w:color="000000"/>
              <w:right w:val="single" w:sz="4" w:space="0" w:color="000000"/>
            </w:tcBorders>
          </w:tcPr>
          <w:p>
            <w:pPr>
              <w:pStyle w:val="TableParagraph"/>
              <w:spacing w:before="92"/>
              <w:ind w:left="36"/>
              <w:rPr>
                <w:rFonts w:ascii="宋体" w:eastAsia="宋体" w:hint="eastAsia"/>
                <w:sz w:val="21"/>
              </w:rPr>
            </w:pPr>
            <w:r>
              <w:rPr>
                <w:rFonts w:ascii="宋体" w:eastAsia="宋体" w:hint="eastAsia"/>
                <w:sz w:val="21"/>
              </w:rPr>
              <w:t>申购份额（</w:t>
            </w:r>
            <w:r>
              <w:rPr>
                <w:sz w:val="21"/>
              </w:rPr>
              <w:t>e=c/d</w:t>
            </w:r>
            <w:r>
              <w:rPr>
                <w:rFonts w:ascii="宋体" w:eastAsia="宋体" w:hint="eastAsia"/>
                <w:sz w:val="21"/>
              </w:rPr>
              <w:t>）</w:t>
            </w:r>
          </w:p>
        </w:tc>
        <w:tc>
          <w:tcPr>
            <w:tcW w:w="1266" w:type="dxa"/>
            <w:tcBorders>
              <w:left w:val="single" w:sz="4" w:space="0" w:color="000000"/>
              <w:bottom w:val="single" w:sz="12" w:space="0" w:color="000000"/>
            </w:tcBorders>
          </w:tcPr>
          <w:p>
            <w:pPr>
              <w:pStyle w:val="TableParagraph"/>
              <w:spacing w:before="103"/>
              <w:ind w:right="26"/>
              <w:jc w:val="right"/>
              <w:rPr>
                <w:sz w:val="21"/>
              </w:rPr>
            </w:pPr>
            <w:r>
              <w:rPr>
                <w:sz w:val="21"/>
              </w:rPr>
              <w:t>8,129,268.29</w:t>
            </w:r>
          </w:p>
        </w:tc>
      </w:tr>
    </w:tbl>
    <w:p>
      <w:pPr>
        <w:pStyle w:val="BodyText"/>
        <w:spacing w:line="417" w:lineRule="auto" w:before="85"/>
        <w:ind w:left="220" w:right="990" w:firstLine="419"/>
        <w:jc w:val="both"/>
      </w:pPr>
      <w:r>
        <w:rPr/>
        <w:pict>
          <v:group style="position:absolute;margin-left:121.099998pt;margin-top:69.470024pt;width:352.4pt;height:99.15pt;mso-position-horizontal-relative:page;mso-position-vertical-relative:paragraph;z-index:-258173952" coordorigin="2422,1389" coordsize="7048,1983">
            <v:line style="position:absolute" from="2436,1404" to="4808,1404" stroked="true" strokeweight="1.44pt" strokecolor="#000000">
              <v:stroke dashstyle="solid"/>
            </v:line>
            <v:shape style="position:absolute;left:4808;top:1418;width:10;height:3" type="#_x0000_t75" stroked="false">
              <v:imagedata r:id="rId32" o:title=""/>
            </v:shape>
            <v:rect style="position:absolute;left:4808;top:1389;width:29;height:29" filled="true" fillcolor="#000000" stroked="false">
              <v:fill type="solid"/>
            </v:rect>
            <v:line style="position:absolute" from="4837,1404" to="5814,1404" stroked="true" strokeweight="1.44pt" strokecolor="#000000">
              <v:stroke dashstyle="solid"/>
            </v:line>
            <v:shape style="position:absolute;left:5813;top:1418;width:10;height:3" type="#_x0000_t75" stroked="false">
              <v:imagedata r:id="rId32" o:title=""/>
            </v:shape>
            <v:rect style="position:absolute;left:5813;top:1389;width:29;height:29" filled="true" fillcolor="#000000" stroked="false">
              <v:fill type="solid"/>
            </v:rect>
            <v:line style="position:absolute" from="5843,1404" to="6978,1404" stroked="true" strokeweight="1.44pt" strokecolor="#000000">
              <v:stroke dashstyle="solid"/>
            </v:line>
            <v:shape style="position:absolute;left:6978;top:1418;width:10;height:3" type="#_x0000_t75" stroked="false">
              <v:imagedata r:id="rId32" o:title=""/>
            </v:shape>
            <v:rect style="position:absolute;left:6978;top:1389;width:29;height:29" filled="true" fillcolor="#000000" stroked="false">
              <v:fill type="solid"/>
            </v:rect>
            <v:line style="position:absolute" from="7007,1404" to="8140,1404" stroked="true" strokeweight="1.44pt" strokecolor="#000000">
              <v:stroke dashstyle="solid"/>
            </v:line>
            <v:shape style="position:absolute;left:8139;top:1418;width:10;height:3" type="#_x0000_t75" stroked="false">
              <v:imagedata r:id="rId32" o:title=""/>
            </v:shape>
            <v:rect style="position:absolute;left:8139;top:1389;width:29;height:29" filled="true" fillcolor="#000000" stroked="false">
              <v:fill type="solid"/>
            </v:rect>
            <v:line style="position:absolute" from="8169,1404" to="9470,1404" stroked="true" strokeweight="1.44pt" strokecolor="#000000">
              <v:stroke dashstyle="solid"/>
            </v:line>
            <v:shape style="position:absolute;left:4808;top:1420;width:10;height:384" coordorigin="4808,1421" coordsize="10,384" path="m4818,1661l4808,1661,4808,1709,4808,1757,4808,1805,4818,1805,4818,1757,4818,1709,4818,1661m4818,1565l4808,1565,4808,1613,4808,1661,4818,1661,4818,1613,4818,1565m4818,1421l4808,1421,4808,1469,4808,1517,4808,1565,4818,1565,4818,1517,4818,1469,4818,1421e" filled="true" fillcolor="#000000" stroked="false">
              <v:path arrowok="t"/>
              <v:fill type="solid"/>
            </v:shape>
            <v:shape style="position:absolute;left:4813;top:1420;width:2;height:468" coordorigin="4813,1421" coordsize="0,468" path="m4813,1889l4813,1421,4813,1889xe" filled="true" fillcolor="#000000" stroked="false">
              <v:path arrowok="t"/>
              <v:fill type="solid"/>
            </v:shape>
            <v:shape style="position:absolute;left:5813;top:1420;width:10;height:384" coordorigin="5814,1421" coordsize="10,384" path="m5823,1661l5814,1661,5814,1709,5814,1757,5814,1805,5823,1805,5823,1757,5823,1709,5823,1661m5823,1565l5814,1565,5814,1613,5814,1661,5823,1661,5823,1613,5823,1565m5823,1421l5814,1421,5814,1469,5814,1517,5814,1565,5823,1565,5823,1517,5823,1469,5823,1421e" filled="true" fillcolor="#000000" stroked="false">
              <v:path arrowok="t"/>
              <v:fill type="solid"/>
            </v:shape>
            <v:shape style="position:absolute;left:5818;top:1420;width:2;height:468" coordorigin="5819,1421" coordsize="0,468" path="m5819,1889l5819,1421,5819,1889xe" filled="true" fillcolor="#000000" stroked="false">
              <v:path arrowok="t"/>
              <v:fill type="solid"/>
            </v:shape>
            <v:shape style="position:absolute;left:6978;top:1420;width:10;height:384" coordorigin="6978,1421" coordsize="10,384" path="m6988,1661l6978,1661,6978,1709,6978,1757,6978,1805,6988,1805,6988,1757,6988,1709,6988,1661m6988,1565l6978,1565,6978,1613,6978,1661,6988,1661,6988,1613,6988,1565m6988,1421l6978,1421,6978,1469,6978,1517,6978,1565,6988,1565,6988,1517,6988,1469,6988,1421e" filled="true" fillcolor="#000000" stroked="false">
              <v:path arrowok="t"/>
              <v:fill type="solid"/>
            </v:shape>
            <v:shape style="position:absolute;left:6983;top:1420;width:2;height:468" coordorigin="6983,1421" coordsize="0,468" path="m6983,1889l6983,1421,6983,1889xe" filled="true" fillcolor="#000000" stroked="false">
              <v:path arrowok="t"/>
              <v:fill type="solid"/>
            </v:shape>
            <v:shape style="position:absolute;left:8139;top:1420;width:10;height:384" coordorigin="8140,1421" coordsize="10,384" path="m8149,1661l8140,1661,8140,1709,8140,1757,8140,1805,8149,1805,8149,1757,8149,1709,8149,1661m8149,1565l8140,1565,8140,1613,8140,1661,8149,1661,8149,1613,8149,1565m8149,1421l8140,1421,8140,1469,8140,1517,8140,1565,8149,1565,8149,1517,8149,1469,8149,1421e" filled="true" fillcolor="#000000" stroked="false">
              <v:path arrowok="t"/>
              <v:fill type="solid"/>
            </v:shape>
            <v:shape style="position:absolute;left:8144;top:1420;width:2;height:468" coordorigin="8145,1421" coordsize="0,468" path="m8145,1889l8145,1421,8145,1889xe" filled="true" fillcolor="#000000" stroked="false">
              <v:path arrowok="t"/>
              <v:fill type="solid"/>
            </v:shape>
            <v:line style="position:absolute" from="2436,1903" to="4808,1903" stroked="true" strokeweight="1.44pt" strokecolor="#000000">
              <v:stroke dashstyle="solid"/>
            </v:line>
            <v:shape style="position:absolute;left:4808;top:1888;width:10;height:32" type="#_x0000_t75" stroked="false">
              <v:imagedata r:id="rId35" o:title=""/>
            </v:shape>
            <v:line style="position:absolute" from="4818,1903" to="5814,1903" stroked="true" strokeweight="1.44pt" strokecolor="#000000">
              <v:stroke dashstyle="solid"/>
            </v:line>
            <v:shape style="position:absolute;left:5813;top:1888;width:10;height:32" type="#_x0000_t75" stroked="false">
              <v:imagedata r:id="rId35" o:title=""/>
            </v:shape>
            <v:line style="position:absolute" from="5823,1903" to="6978,1903" stroked="true" strokeweight="1.44pt" strokecolor="#000000">
              <v:stroke dashstyle="solid"/>
            </v:line>
            <v:shape style="position:absolute;left:6978;top:1888;width:10;height:32" type="#_x0000_t75" stroked="false">
              <v:imagedata r:id="rId35" o:title=""/>
            </v:shape>
            <v:line style="position:absolute" from="6988,1903" to="8140,1903" stroked="true" strokeweight="1.44pt" strokecolor="#000000">
              <v:stroke dashstyle="solid"/>
            </v:line>
            <v:line style="position:absolute" from="8149,1903" to="9470,1903" stroked="true" strokeweight="1.44pt" strokecolor="#000000">
              <v:stroke dashstyle="solid"/>
            </v:line>
            <v:shape style="position:absolute;left:4808;top:1919;width:10;height:432" type="#_x0000_t75" stroked="false">
              <v:imagedata r:id="rId14" o:title=""/>
            </v:shape>
            <v:shape style="position:absolute;left:5813;top:1919;width:10;height:432" type="#_x0000_t75" stroked="false">
              <v:imagedata r:id="rId14" o:title=""/>
            </v:shape>
            <v:shape style="position:absolute;left:6978;top:1919;width:10;height:432" type="#_x0000_t75" stroked="false">
              <v:imagedata r:id="rId14" o:title=""/>
            </v:shape>
            <v:shape style="position:absolute;left:8139;top:1888;width:10;height:464" type="#_x0000_t75" stroked="false">
              <v:imagedata r:id="rId36" o:title=""/>
            </v:shape>
            <v:shape style="position:absolute;left:2436;top:2351;width:2382;height:44" type="#_x0000_t75" stroked="false">
              <v:imagedata r:id="rId37" o:title=""/>
            </v:shape>
            <v:shape style="position:absolute;left:4808;top:2385;width:1006;height:10" type="#_x0000_t75" stroked="false">
              <v:imagedata r:id="rId38" o:title=""/>
            </v:shape>
            <v:shape style="position:absolute;left:5813;top:2385;width:1165;height:10" type="#_x0000_t75" stroked="false">
              <v:imagedata r:id="rId39" o:title=""/>
            </v:shape>
            <v:shape style="position:absolute;left:8149;top:2385;width:1321;height:10" type="#_x0000_t75" stroked="false">
              <v:imagedata r:id="rId40" o:title=""/>
            </v:shape>
            <v:shape style="position:absolute;left:4808;top:2395;width:10;height:384" coordorigin="4808,2395" coordsize="10,384" path="m4818,2731l4808,2731,4808,2779,4818,2779,4818,2731m4818,2587l4808,2587,4808,2635,4808,2683,4808,2731,4818,2731,4818,2683,4818,2635,4818,2587m4818,2491l4808,2491,4808,2539,4808,2587,4818,2587,4818,2539,4818,2491m4818,2395l4808,2395,4808,2443,4808,2491,4818,2491,4818,2443,4818,2395e" filled="true" fillcolor="#000000" stroked="false">
              <v:path arrowok="t"/>
              <v:fill type="solid"/>
            </v:shape>
            <v:shape style="position:absolute;left:4813;top:2395;width:2;height:469" coordorigin="4813,2395" coordsize="0,469" path="m4813,2863l4813,2395,4813,2863xe" filled="true" fillcolor="#000000" stroked="false">
              <v:path arrowok="t"/>
              <v:fill type="solid"/>
            </v:shape>
            <v:shape style="position:absolute;left:5813;top:2395;width:10;height:384" coordorigin="5814,2395" coordsize="10,384" path="m5823,2731l5814,2731,5814,2779,5823,2779,5823,2731m5823,2587l5814,2587,5814,2635,5814,2683,5814,2731,5823,2731,5823,2683,5823,2635,5823,2587m5823,2491l5814,2491,5814,2539,5814,2587,5823,2587,5823,2539,5823,2491m5823,2395l5814,2395,5814,2443,5814,2491,5823,2491,5823,2443,5823,2395e" filled="true" fillcolor="#000000" stroked="false">
              <v:path arrowok="t"/>
              <v:fill type="solid"/>
            </v:shape>
            <v:shape style="position:absolute;left:5818;top:2395;width:2;height:469" coordorigin="5819,2395" coordsize="0,469" path="m5819,2863l5819,2395,5819,2863xe" filled="true" fillcolor="#000000" stroked="false">
              <v:path arrowok="t"/>
              <v:fill type="solid"/>
            </v:shape>
            <v:shape style="position:absolute;left:2436;top:2863;width:2372;height:10" type="#_x0000_t75" stroked="false">
              <v:imagedata r:id="rId41" o:title=""/>
            </v:shape>
            <v:shape style="position:absolute;left:4808;top:2863;width:1006;height:10" type="#_x0000_t75" stroked="false">
              <v:imagedata r:id="rId38" o:title=""/>
            </v:shape>
            <v:shape style="position:absolute;left:5813;top:2863;width:1165;height:10" type="#_x0000_t75" stroked="false">
              <v:imagedata r:id="rId39" o:title=""/>
            </v:shape>
            <v:shape style="position:absolute;left:8139;top:2863;width:1331;height:480" type="#_x0000_t75" stroked="false">
              <v:imagedata r:id="rId42" o:title=""/>
            </v:shape>
            <v:line style="position:absolute" from="2422,3358" to="4808,3358" stroked="true" strokeweight="1.44pt" strokecolor="#000000">
              <v:stroke dashstyle="solid"/>
            </v:line>
            <v:shape style="position:absolute;left:4808;top:2873;width:10;height:471" type="#_x0000_t75" stroked="false">
              <v:imagedata r:id="rId43" o:title=""/>
            </v:shape>
            <v:rect style="position:absolute;left:4808;top:3343;width:29;height:29" filled="true" fillcolor="#000000" stroked="false">
              <v:fill type="solid"/>
            </v:rect>
            <v:line style="position:absolute" from="4837,3358" to="5814,3358" stroked="true" strokeweight="1.44pt" strokecolor="#000000">
              <v:stroke dashstyle="solid"/>
            </v:line>
            <v:shape style="position:absolute;left:5813;top:2873;width:10;height:471" type="#_x0000_t75" stroked="false">
              <v:imagedata r:id="rId43" o:title=""/>
            </v:shape>
            <v:rect style="position:absolute;left:5813;top:3343;width:29;height:29" filled="true" fillcolor="#000000" stroked="false">
              <v:fill type="solid"/>
            </v:rect>
            <v:line style="position:absolute" from="5843,3358" to="6978,3358" stroked="true" strokeweight="1.44pt" strokecolor="#000000">
              <v:stroke dashstyle="solid"/>
            </v:line>
            <v:shape style="position:absolute;left:6978;top:2873;width:10;height:471" type="#_x0000_t75" stroked="false">
              <v:imagedata r:id="rId43" o:title=""/>
            </v:shape>
            <v:rect style="position:absolute;left:6978;top:3343;width:29;height:29" filled="true" fillcolor="#000000" stroked="false">
              <v:fill type="solid"/>
            </v:rect>
            <v:line style="position:absolute" from="7007,3358" to="8140,3358" stroked="true" strokeweight="1.44pt" strokecolor="#000000">
              <v:stroke dashstyle="solid"/>
            </v:line>
            <v:rect style="position:absolute;left:8139;top:3343;width:29;height:29" filled="true" fillcolor="#000000" stroked="false">
              <v:fill type="solid"/>
            </v:rect>
            <v:line style="position:absolute" from="8169,3358" to="9470,3358" stroked="true" strokeweight="1.44pt" strokecolor="#000000">
              <v:stroke dashstyle="solid"/>
            </v:line>
            <v:shape style="position:absolute;left:5053;top:1542;width:548;height:234" type="#_x0000_t202" filled="false" stroked="false">
              <v:textbox inset="0,0,0,0">
                <w:txbxContent>
                  <w:p>
                    <w:pPr>
                      <w:spacing w:line="234" w:lineRule="exact" w:before="0"/>
                      <w:ind w:left="0" w:right="0" w:firstLine="0"/>
                      <w:jc w:val="left"/>
                      <w:rPr>
                        <w:rFonts w:ascii="Times New Roman" w:eastAsia="Times New Roman"/>
                        <w:sz w:val="21"/>
                      </w:rPr>
                    </w:pPr>
                    <w:r>
                      <w:rPr>
                        <w:sz w:val="21"/>
                      </w:rPr>
                      <w:t>申购</w:t>
                    </w:r>
                    <w:r>
                      <w:rPr>
                        <w:rFonts w:ascii="Times New Roman" w:eastAsia="Times New Roman"/>
                        <w:sz w:val="21"/>
                      </w:rPr>
                      <w:t>1</w:t>
                    </w:r>
                  </w:p>
                </w:txbxContent>
              </v:textbox>
              <w10:wrap type="none"/>
            </v:shape>
            <v:shape style="position:absolute;left:6137;top:1542;width:549;height:234" type="#_x0000_t202" filled="false" stroked="false">
              <v:textbox inset="0,0,0,0">
                <w:txbxContent>
                  <w:p>
                    <w:pPr>
                      <w:spacing w:line="234" w:lineRule="exact" w:before="0"/>
                      <w:ind w:left="0" w:right="0" w:firstLine="0"/>
                      <w:jc w:val="left"/>
                      <w:rPr>
                        <w:rFonts w:ascii="Times New Roman" w:eastAsia="Times New Roman"/>
                        <w:sz w:val="21"/>
                      </w:rPr>
                    </w:pPr>
                    <w:r>
                      <w:rPr>
                        <w:sz w:val="21"/>
                      </w:rPr>
                      <w:t>申购</w:t>
                    </w:r>
                    <w:r>
                      <w:rPr>
                        <w:rFonts w:ascii="Times New Roman" w:eastAsia="Times New Roman"/>
                        <w:sz w:val="21"/>
                      </w:rPr>
                      <w:t>2</w:t>
                    </w:r>
                  </w:p>
                </w:txbxContent>
              </v:textbox>
              <w10:wrap type="none"/>
            </v:shape>
            <v:shape style="position:absolute;left:7299;top:1542;width:548;height:234" type="#_x0000_t202" filled="false" stroked="false">
              <v:textbox inset="0,0,0,0">
                <w:txbxContent>
                  <w:p>
                    <w:pPr>
                      <w:spacing w:line="234" w:lineRule="exact" w:before="0"/>
                      <w:ind w:left="0" w:right="0" w:firstLine="0"/>
                      <w:jc w:val="left"/>
                      <w:rPr>
                        <w:rFonts w:ascii="Times New Roman" w:eastAsia="Times New Roman"/>
                        <w:sz w:val="21"/>
                      </w:rPr>
                    </w:pPr>
                    <w:r>
                      <w:rPr>
                        <w:sz w:val="21"/>
                      </w:rPr>
                      <w:t>申购</w:t>
                    </w:r>
                    <w:r>
                      <w:rPr>
                        <w:rFonts w:ascii="Times New Roman" w:eastAsia="Times New Roman"/>
                        <w:sz w:val="21"/>
                      </w:rPr>
                      <w:t>3</w:t>
                    </w:r>
                  </w:p>
                </w:txbxContent>
              </v:textbox>
              <w10:wrap type="none"/>
            </v:shape>
            <v:shape style="position:absolute;left:8545;top:1542;width:549;height:234" type="#_x0000_t202" filled="false" stroked="false">
              <v:textbox inset="0,0,0,0">
                <w:txbxContent>
                  <w:p>
                    <w:pPr>
                      <w:spacing w:line="234" w:lineRule="exact" w:before="0"/>
                      <w:ind w:left="0" w:right="0" w:firstLine="0"/>
                      <w:jc w:val="left"/>
                      <w:rPr>
                        <w:rFonts w:ascii="Times New Roman" w:eastAsia="Times New Roman"/>
                        <w:sz w:val="21"/>
                      </w:rPr>
                    </w:pPr>
                    <w:r>
                      <w:rPr>
                        <w:sz w:val="21"/>
                      </w:rPr>
                      <w:t>申购</w:t>
                    </w:r>
                    <w:r>
                      <w:rPr>
                        <w:rFonts w:ascii="Times New Roman" w:eastAsia="Times New Roman"/>
                        <w:sz w:val="21"/>
                      </w:rPr>
                      <w:t>4</w:t>
                    </w:r>
                  </w:p>
                </w:txbxContent>
              </v:textbox>
              <w10:wrap type="none"/>
            </v:shape>
            <v:shape style="position:absolute;left:2467;top:2038;width:2006;height:234" type="#_x0000_t202" filled="false" stroked="false">
              <v:textbox inset="0,0,0,0">
                <w:txbxContent>
                  <w:p>
                    <w:pPr>
                      <w:spacing w:line="234" w:lineRule="exact" w:before="0"/>
                      <w:ind w:left="0" w:right="0" w:firstLine="0"/>
                      <w:jc w:val="left"/>
                      <w:rPr>
                        <w:sz w:val="21"/>
                      </w:rPr>
                    </w:pPr>
                    <w:r>
                      <w:rPr>
                        <w:sz w:val="21"/>
                      </w:rPr>
                      <w:t>申购金额（美元，</w:t>
                    </w:r>
                    <w:r>
                      <w:rPr>
                        <w:rFonts w:ascii="Times New Roman" w:eastAsia="Times New Roman"/>
                        <w:sz w:val="21"/>
                      </w:rPr>
                      <w:t>a</w:t>
                    </w:r>
                    <w:r>
                      <w:rPr>
                        <w:sz w:val="21"/>
                      </w:rPr>
                      <w:t>）</w:t>
                    </w:r>
                  </w:p>
                </w:txbxContent>
              </v:textbox>
              <w10:wrap type="none"/>
            </v:shape>
            <v:shape style="position:absolute;left:5055;top:2036;width:4409;height:234" type="#_x0000_t202" filled="false" stroked="false">
              <v:textbox inset="0,0,0,0">
                <w:txbxContent>
                  <w:p>
                    <w:pPr>
                      <w:tabs>
                        <w:tab w:pos="952" w:val="left" w:leader="none"/>
                        <w:tab w:pos="3283" w:val="left" w:leader="none"/>
                      </w:tabs>
                      <w:spacing w:line="234" w:lineRule="exact" w:before="0"/>
                      <w:ind w:left="0" w:right="0" w:firstLine="0"/>
                      <w:jc w:val="left"/>
                      <w:rPr>
                        <w:rFonts w:ascii="Times New Roman"/>
                        <w:sz w:val="21"/>
                      </w:rPr>
                    </w:pPr>
                    <w:r>
                      <w:rPr>
                        <w:rFonts w:ascii="Times New Roman"/>
                        <w:sz w:val="21"/>
                      </w:rPr>
                      <w:t>5,000.00</w:t>
                      <w:tab/>
                      <w:t>500,000.00</w:t>
                    </w:r>
                    <w:r>
                      <w:rPr>
                        <w:rFonts w:ascii="Times New Roman"/>
                        <w:spacing w:val="5"/>
                        <w:sz w:val="21"/>
                      </w:rPr>
                      <w:t> </w:t>
                    </w:r>
                    <w:r>
                      <w:rPr>
                        <w:rFonts w:ascii="Times New Roman"/>
                        <w:sz w:val="21"/>
                      </w:rPr>
                      <w:t>1,000,000.00</w:t>
                      <w:tab/>
                      <w:t>2,000,000.00</w:t>
                    </w:r>
                  </w:p>
                </w:txbxContent>
              </v:textbox>
              <w10:wrap type="none"/>
            </v:shape>
            <v:shape style="position:absolute;left:2467;top:2516;width:2135;height:234" type="#_x0000_t202" filled="false" stroked="false">
              <v:textbox inset="0,0,0,0">
                <w:txbxContent>
                  <w:p>
                    <w:pPr>
                      <w:spacing w:line="234" w:lineRule="exact" w:before="0"/>
                      <w:ind w:left="0" w:right="0" w:firstLine="0"/>
                      <w:jc w:val="left"/>
                      <w:rPr>
                        <w:sz w:val="21"/>
                      </w:rPr>
                    </w:pPr>
                    <w:r>
                      <w:rPr>
                        <w:rFonts w:ascii="Times New Roman" w:eastAsia="Times New Roman"/>
                        <w:sz w:val="21"/>
                      </w:rPr>
                      <w:t>T</w:t>
                    </w:r>
                    <w:r>
                      <w:rPr>
                        <w:sz w:val="21"/>
                      </w:rPr>
                      <w:t>日美元折算净值（</w:t>
                    </w:r>
                    <w:r>
                      <w:rPr>
                        <w:rFonts w:ascii="Times New Roman" w:eastAsia="Times New Roman"/>
                        <w:sz w:val="21"/>
                      </w:rPr>
                      <w:t>e</w:t>
                    </w:r>
                    <w:r>
                      <w:rPr>
                        <w:sz w:val="21"/>
                      </w:rPr>
                      <w:t>）</w:t>
                    </w:r>
                  </w:p>
                </w:txbxContent>
              </v:textbox>
              <w10:wrap type="none"/>
            </v:shape>
            <v:shape style="position:absolute;left:5211;top:2514;width:601;height:234" type="#_x0000_t202" filled="false" stroked="false">
              <v:textbox inset="0,0,0,0">
                <w:txbxContent>
                  <w:p>
                    <w:pPr>
                      <w:spacing w:line="234" w:lineRule="exact" w:before="0"/>
                      <w:ind w:left="0" w:right="0" w:firstLine="0"/>
                      <w:jc w:val="left"/>
                      <w:rPr>
                        <w:rFonts w:ascii="Times New Roman"/>
                        <w:sz w:val="21"/>
                      </w:rPr>
                    </w:pPr>
                    <w:r>
                      <w:rPr>
                        <w:rFonts w:ascii="Times New Roman"/>
                        <w:sz w:val="21"/>
                      </w:rPr>
                      <w:t>0.1951</w:t>
                    </w:r>
                  </w:p>
                </w:txbxContent>
              </v:textbox>
              <w10:wrap type="none"/>
            </v:shape>
            <v:shape style="position:absolute;left:6375;top:2514;width:601;height:234" type="#_x0000_t202" filled="false" stroked="false">
              <v:textbox inset="0,0,0,0">
                <w:txbxContent>
                  <w:p>
                    <w:pPr>
                      <w:spacing w:line="234" w:lineRule="exact" w:before="0"/>
                      <w:ind w:left="0" w:right="0" w:firstLine="0"/>
                      <w:jc w:val="left"/>
                      <w:rPr>
                        <w:rFonts w:ascii="Times New Roman"/>
                        <w:sz w:val="21"/>
                      </w:rPr>
                    </w:pPr>
                    <w:r>
                      <w:rPr>
                        <w:rFonts w:ascii="Times New Roman"/>
                        <w:sz w:val="21"/>
                      </w:rPr>
                      <w:t>0.1951</w:t>
                    </w:r>
                  </w:p>
                </w:txbxContent>
              </v:textbox>
              <w10:wrap type="none"/>
            </v:shape>
            <v:shape style="position:absolute;left:8862;top:2514;width:601;height:234" type="#_x0000_t202" filled="false" stroked="false">
              <v:textbox inset="0,0,0,0">
                <w:txbxContent>
                  <w:p>
                    <w:pPr>
                      <w:spacing w:line="234" w:lineRule="exact" w:before="0"/>
                      <w:ind w:left="0" w:right="0" w:firstLine="0"/>
                      <w:jc w:val="left"/>
                      <w:rPr>
                        <w:rFonts w:ascii="Times New Roman"/>
                        <w:sz w:val="21"/>
                      </w:rPr>
                    </w:pPr>
                    <w:r>
                      <w:rPr>
                        <w:rFonts w:ascii="Times New Roman"/>
                        <w:sz w:val="21"/>
                      </w:rPr>
                      <w:t>0.1951</w:t>
                    </w:r>
                  </w:p>
                </w:txbxContent>
              </v:textbox>
              <w10:wrap type="none"/>
            </v:shape>
            <v:shape style="position:absolute;left:2467;top:2994;width:1718;height:234" type="#_x0000_t202" filled="false" stroked="false">
              <v:textbox inset="0,0,0,0">
                <w:txbxContent>
                  <w:p>
                    <w:pPr>
                      <w:spacing w:line="234" w:lineRule="exact" w:before="0"/>
                      <w:ind w:left="0" w:right="0" w:firstLine="0"/>
                      <w:jc w:val="left"/>
                      <w:rPr>
                        <w:sz w:val="21"/>
                      </w:rPr>
                    </w:pPr>
                    <w:r>
                      <w:rPr>
                        <w:sz w:val="21"/>
                      </w:rPr>
                      <w:t>申购份额（</w:t>
                    </w:r>
                    <w:r>
                      <w:rPr>
                        <w:rFonts w:ascii="Times New Roman" w:eastAsia="Times New Roman"/>
                        <w:sz w:val="21"/>
                      </w:rPr>
                      <w:t>f=a/e</w:t>
                    </w:r>
                    <w:r>
                      <w:rPr>
                        <w:sz w:val="21"/>
                      </w:rPr>
                      <w:t>）</w:t>
                    </w:r>
                  </w:p>
                </w:txbxContent>
              </v:textbox>
              <w10:wrap type="none"/>
            </v:shape>
            <v:shape style="position:absolute;left:4844;top:2992;width:4619;height:234" type="#_x0000_t202" filled="false" stroked="false">
              <v:textbox inset="0,0,0,0">
                <w:txbxContent>
                  <w:p>
                    <w:pPr>
                      <w:spacing w:line="234" w:lineRule="exact" w:before="0"/>
                      <w:ind w:left="0" w:right="0" w:firstLine="0"/>
                      <w:jc w:val="left"/>
                      <w:rPr>
                        <w:rFonts w:ascii="Times New Roman"/>
                        <w:sz w:val="21"/>
                      </w:rPr>
                    </w:pPr>
                    <w:r>
                      <w:rPr>
                        <w:rFonts w:ascii="Times New Roman"/>
                        <w:sz w:val="21"/>
                      </w:rPr>
                      <w:t>25,627.88 2,562,788.31 5,125,576,63 10,251,153.25</w:t>
                    </w:r>
                  </w:p>
                </w:txbxContent>
              </v:textbox>
              <w10:wrap type="none"/>
            </v:shape>
            <v:shape style="position:absolute;left:6983;top:2390;width:1162;height:478" type="#_x0000_t202" filled="false" stroked="true" strokeweight=".47998pt" strokecolor="#000000">
              <v:textbox inset="0,0,0,0">
                <w:txbxContent>
                  <w:p>
                    <w:pPr>
                      <w:spacing w:before="111"/>
                      <w:ind w:left="549" w:right="0" w:firstLine="0"/>
                      <w:jc w:val="left"/>
                      <w:rPr>
                        <w:rFonts w:ascii="Times New Roman"/>
                        <w:sz w:val="21"/>
                      </w:rPr>
                    </w:pPr>
                    <w:r>
                      <w:rPr>
                        <w:rFonts w:ascii="Times New Roman"/>
                        <w:sz w:val="21"/>
                      </w:rPr>
                      <w:t>0.1951</w:t>
                    </w:r>
                  </w:p>
                </w:txbxContent>
              </v:textbox>
              <v:stroke dashstyle="solid"/>
              <w10:wrap type="none"/>
            </v:shape>
            <w10:wrap type="none"/>
          </v:group>
        </w:pict>
      </w:r>
      <w:r>
        <w:rPr/>
        <w:t>例二：假定</w:t>
      </w:r>
      <w:r>
        <w:rPr>
          <w:rFonts w:ascii="Times New Roman" w:eastAsia="Times New Roman"/>
        </w:rPr>
        <w:t>T</w:t>
      </w:r>
      <w:r>
        <w:rPr/>
        <w:t>日</w:t>
      </w:r>
      <w:r>
        <w:rPr>
          <w:rFonts w:ascii="Times New Roman" w:eastAsia="Times New Roman"/>
        </w:rPr>
        <w:t>A</w:t>
      </w:r>
      <w:r>
        <w:rPr/>
        <w:t>类基金份额美元折算净值为</w:t>
      </w:r>
      <w:r>
        <w:rPr>
          <w:rFonts w:ascii="Times New Roman" w:eastAsia="Times New Roman"/>
        </w:rPr>
        <w:t>0.1951</w:t>
      </w:r>
      <w:r>
        <w:rPr/>
        <w:t>美元，四笔美元申购金额分别为</w:t>
      </w:r>
      <w:r>
        <w:rPr>
          <w:rFonts w:ascii="Times New Roman" w:eastAsia="Times New Roman"/>
        </w:rPr>
        <w:t>5000.00</w:t>
      </w:r>
      <w:r>
        <w:rPr/>
        <w:t>美元、</w:t>
      </w:r>
      <w:r>
        <w:rPr>
          <w:rFonts w:ascii="Times New Roman" w:eastAsia="Times New Roman"/>
        </w:rPr>
        <w:t>50</w:t>
      </w:r>
      <w:r>
        <w:rPr/>
        <w:t>万美元、</w:t>
      </w:r>
      <w:r>
        <w:rPr>
          <w:rFonts w:ascii="Times New Roman" w:eastAsia="Times New Roman"/>
        </w:rPr>
        <w:t>100</w:t>
      </w:r>
      <w:r>
        <w:rPr/>
        <w:t>万美元、</w:t>
      </w:r>
      <w:r>
        <w:rPr>
          <w:rFonts w:ascii="Times New Roman" w:eastAsia="Times New Roman"/>
        </w:rPr>
        <w:t>200</w:t>
      </w:r>
      <w:r>
        <w:rPr/>
        <w:t>万美元，则各笔申购获得的</w:t>
      </w:r>
      <w:r>
        <w:rPr>
          <w:rFonts w:ascii="Times New Roman" w:eastAsia="Times New Roman"/>
        </w:rPr>
        <w:t>A</w:t>
      </w:r>
      <w:r>
        <w:rPr/>
        <w:t>类基金份额计算如下：</w:t>
      </w: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spacing w:before="5"/>
        <w:ind w:left="0"/>
        <w:rPr>
          <w:sz w:val="28"/>
        </w:rPr>
      </w:pPr>
    </w:p>
    <w:p>
      <w:pPr>
        <w:pStyle w:val="BodyText"/>
        <w:spacing w:line="417" w:lineRule="auto" w:before="81"/>
        <w:ind w:left="220" w:right="988" w:firstLine="419"/>
      </w:pPr>
      <w:r>
        <w:rPr/>
        <w:t>例三：假定</w:t>
      </w:r>
      <w:r>
        <w:rPr>
          <w:rFonts w:ascii="Times New Roman" w:eastAsia="Times New Roman"/>
        </w:rPr>
        <w:t>T</w:t>
      </w:r>
      <w:r>
        <w:rPr/>
        <w:t>日基金的</w:t>
      </w:r>
      <w:r>
        <w:rPr>
          <w:rFonts w:ascii="Times New Roman" w:eastAsia="Times New Roman"/>
        </w:rPr>
        <w:t>C</w:t>
      </w:r>
      <w:r>
        <w:rPr/>
        <w:t>类基金份额净值为</w:t>
      </w:r>
      <w:r>
        <w:rPr>
          <w:rFonts w:ascii="Times New Roman" w:eastAsia="Times New Roman"/>
        </w:rPr>
        <w:t>1.2000</w:t>
      </w:r>
      <w:r>
        <w:rPr/>
        <w:t>元，人民币申购金额为</w:t>
      </w:r>
      <w:r>
        <w:rPr>
          <w:rFonts w:ascii="Times New Roman" w:eastAsia="Times New Roman"/>
        </w:rPr>
        <w:t>10</w:t>
      </w:r>
      <w:r>
        <w:rPr/>
        <w:t>万元，则申购获得的</w:t>
      </w:r>
      <w:r>
        <w:rPr>
          <w:rFonts w:ascii="Times New Roman" w:eastAsia="Times New Roman"/>
        </w:rPr>
        <w:t>C</w:t>
      </w:r>
      <w:r>
        <w:rPr/>
        <w:t>类基金份额计算如下：</w:t>
      </w:r>
    </w:p>
    <w:p>
      <w:pPr>
        <w:pStyle w:val="BodyText"/>
        <w:spacing w:line="269" w:lineRule="exact"/>
        <w:ind w:left="1060"/>
      </w:pPr>
      <w:r>
        <w:rPr/>
        <w:t>申购份额＝</w:t>
      </w:r>
      <w:r>
        <w:rPr>
          <w:rFonts w:ascii="Times New Roman" w:eastAsia="Times New Roman"/>
        </w:rPr>
        <w:t>100,000.00/1.2000=83,333.33</w:t>
      </w:r>
      <w:r>
        <w:rPr/>
        <w:t>份</w:t>
      </w:r>
    </w:p>
    <w:p>
      <w:pPr>
        <w:pStyle w:val="BodyText"/>
        <w:spacing w:before="7"/>
        <w:ind w:left="0"/>
        <w:rPr>
          <w:sz w:val="15"/>
        </w:rPr>
      </w:pPr>
    </w:p>
    <w:p>
      <w:pPr>
        <w:pStyle w:val="BodyText"/>
      </w:pPr>
      <w:r>
        <w:rPr>
          <w:rFonts w:ascii="Times New Roman" w:eastAsia="Times New Roman"/>
        </w:rPr>
        <w:t>4</w:t>
      </w:r>
      <w:r>
        <w:rPr/>
        <w:t>、赎回金额的计算</w:t>
      </w:r>
    </w:p>
    <w:p>
      <w:pPr>
        <w:pStyle w:val="BodyText"/>
        <w:spacing w:before="6"/>
        <w:ind w:left="0"/>
        <w:rPr>
          <w:sz w:val="15"/>
        </w:rPr>
      </w:pPr>
    </w:p>
    <w:p>
      <w:pPr>
        <w:pStyle w:val="BodyText"/>
      </w:pPr>
      <w:r>
        <w:rPr/>
        <w:t>（</w:t>
      </w:r>
      <w:r>
        <w:rPr>
          <w:rFonts w:ascii="Times New Roman" w:eastAsia="Times New Roman"/>
        </w:rPr>
        <w:t>1</w:t>
      </w:r>
      <w:r>
        <w:rPr/>
        <w:t>）人民币赎回金额的计算方法如下：</w:t>
      </w:r>
    </w:p>
    <w:p>
      <w:pPr>
        <w:pStyle w:val="BodyText"/>
        <w:spacing w:before="7"/>
        <w:ind w:left="0"/>
        <w:rPr>
          <w:sz w:val="15"/>
        </w:rPr>
      </w:pPr>
    </w:p>
    <w:p>
      <w:pPr>
        <w:pStyle w:val="BodyText"/>
        <w:spacing w:line="417" w:lineRule="auto"/>
        <w:ind w:left="1060" w:right="4251"/>
      </w:pPr>
      <w:r>
        <w:rPr/>
        <w:t>赎回金额＝赎回份额</w:t>
      </w:r>
      <w:r>
        <w:rPr>
          <w:rFonts w:ascii="Times New Roman" w:hAnsi="Times New Roman" w:eastAsia="Times New Roman"/>
        </w:rPr>
        <w:t>×T </w:t>
      </w:r>
      <w:r>
        <w:rPr/>
        <w:t>日该类基金份额净值赎回费用＝赎回金额</w:t>
      </w:r>
      <w:r>
        <w:rPr>
          <w:rFonts w:ascii="Times New Roman" w:hAnsi="Times New Roman" w:eastAsia="Times New Roman"/>
        </w:rPr>
        <w:t>×</w:t>
      </w:r>
      <w:r>
        <w:rPr/>
        <w:t>赎回费率</w:t>
      </w:r>
    </w:p>
    <w:p>
      <w:pPr>
        <w:pStyle w:val="BodyText"/>
        <w:ind w:left="1060"/>
      </w:pPr>
      <w:r>
        <w:rPr/>
        <w:t>净赎回金额</w:t>
      </w:r>
      <w:r>
        <w:rPr>
          <w:rFonts w:ascii="Times New Roman" w:eastAsia="Times New Roman"/>
        </w:rPr>
        <w:t>=</w:t>
      </w:r>
      <w:r>
        <w:rPr/>
        <w:t>赎回金额</w:t>
      </w:r>
      <w:r>
        <w:rPr>
          <w:rFonts w:ascii="Times New Roman" w:eastAsia="Times New Roman"/>
        </w:rPr>
        <w:t>-</w:t>
      </w:r>
      <w:r>
        <w:rPr/>
        <w:t>赎回费用</w:t>
      </w:r>
    </w:p>
    <w:p>
      <w:pPr>
        <w:pStyle w:val="BodyText"/>
        <w:spacing w:before="7"/>
        <w:ind w:left="0"/>
        <w:rPr>
          <w:sz w:val="15"/>
        </w:rPr>
      </w:pPr>
    </w:p>
    <w:p>
      <w:pPr>
        <w:pStyle w:val="ListParagraph"/>
        <w:numPr>
          <w:ilvl w:val="0"/>
          <w:numId w:val="14"/>
        </w:numPr>
        <w:tabs>
          <w:tab w:pos="1064" w:val="left" w:leader="none"/>
        </w:tabs>
        <w:spacing w:line="240" w:lineRule="auto" w:before="0" w:after="0"/>
        <w:ind w:left="1063" w:right="0" w:hanging="530"/>
        <w:jc w:val="left"/>
        <w:rPr>
          <w:sz w:val="21"/>
        </w:rPr>
      </w:pPr>
      <w:r>
        <w:rPr>
          <w:spacing w:val="-3"/>
          <w:sz w:val="21"/>
        </w:rPr>
        <w:t>美元赎回金额的计算方法如下：</w:t>
      </w:r>
    </w:p>
    <w:p>
      <w:pPr>
        <w:pStyle w:val="BodyText"/>
        <w:spacing w:before="7"/>
        <w:ind w:left="0"/>
        <w:rPr>
          <w:sz w:val="15"/>
        </w:rPr>
      </w:pPr>
    </w:p>
    <w:p>
      <w:pPr>
        <w:pStyle w:val="BodyText"/>
        <w:spacing w:line="417" w:lineRule="auto"/>
        <w:ind w:left="1060" w:right="3411"/>
      </w:pPr>
      <w:r>
        <w:rPr/>
        <w:t>赎回金额＝赎回份额</w:t>
      </w:r>
      <w:r>
        <w:rPr>
          <w:rFonts w:ascii="Times New Roman" w:hAnsi="Times New Roman" w:eastAsia="Times New Roman"/>
        </w:rPr>
        <w:t>×T </w:t>
      </w:r>
      <w:r>
        <w:rPr/>
        <w:t>日该类基金份额美元折算净值赎回费用＝赎回金额</w:t>
      </w:r>
      <w:r>
        <w:rPr>
          <w:rFonts w:ascii="Times New Roman" w:hAnsi="Times New Roman" w:eastAsia="Times New Roman"/>
        </w:rPr>
        <w:t>×</w:t>
      </w:r>
      <w:r>
        <w:rPr/>
        <w:t>赎回费率</w:t>
      </w:r>
    </w:p>
    <w:p>
      <w:pPr>
        <w:pStyle w:val="BodyText"/>
        <w:spacing w:line="269" w:lineRule="exact"/>
        <w:ind w:left="1060"/>
      </w:pPr>
      <w:r>
        <w:rPr/>
        <w:t>净赎回金额</w:t>
      </w:r>
      <w:r>
        <w:rPr>
          <w:rFonts w:ascii="Times New Roman" w:eastAsia="Times New Roman"/>
        </w:rPr>
        <w:t>=</w:t>
      </w:r>
      <w:r>
        <w:rPr/>
        <w:t>赎回金额</w:t>
      </w:r>
      <w:r>
        <w:rPr>
          <w:rFonts w:ascii="Times New Roman" w:eastAsia="Times New Roman"/>
        </w:rPr>
        <w:t>-</w:t>
      </w:r>
      <w:r>
        <w:rPr/>
        <w:t>赎回费用</w:t>
      </w:r>
    </w:p>
    <w:p>
      <w:pPr>
        <w:pStyle w:val="BodyText"/>
        <w:spacing w:before="7"/>
        <w:ind w:left="0"/>
        <w:rPr>
          <w:sz w:val="15"/>
        </w:rPr>
      </w:pPr>
    </w:p>
    <w:p>
      <w:pPr>
        <w:pStyle w:val="BodyText"/>
        <w:spacing w:line="417" w:lineRule="auto"/>
        <w:ind w:left="220" w:right="918" w:firstLine="419"/>
      </w:pPr>
      <w:r>
        <w:rPr/>
        <w:t>例四：假定某投资者在</w:t>
      </w:r>
      <w:r>
        <w:rPr>
          <w:rFonts w:ascii="Times New Roman" w:eastAsia="Times New Roman"/>
        </w:rPr>
        <w:t>T</w:t>
      </w:r>
      <w:r>
        <w:rPr/>
        <w:t>日赎回</w:t>
      </w:r>
      <w:r>
        <w:rPr>
          <w:rFonts w:ascii="Times New Roman" w:eastAsia="Times New Roman"/>
        </w:rPr>
        <w:t>10,000.00</w:t>
      </w:r>
      <w:r>
        <w:rPr/>
        <w:t>份以人民币申购的</w:t>
      </w:r>
      <w:r>
        <w:rPr>
          <w:rFonts w:ascii="Times New Roman" w:eastAsia="Times New Roman"/>
        </w:rPr>
        <w:t>A</w:t>
      </w:r>
      <w:r>
        <w:rPr/>
        <w:t>类基金份额，持有期限</w:t>
      </w:r>
      <w:r>
        <w:rPr>
          <w:rFonts w:ascii="Times New Roman" w:eastAsia="Times New Roman"/>
        </w:rPr>
        <w:t>10 </w:t>
      </w:r>
      <w:r>
        <w:rPr/>
        <w:t>天，该日</w:t>
      </w:r>
      <w:r>
        <w:rPr>
          <w:rFonts w:ascii="Times New Roman" w:eastAsia="Times New Roman"/>
        </w:rPr>
        <w:t>A</w:t>
      </w:r>
      <w:r>
        <w:rPr/>
        <w:t>类基金份额净值为</w:t>
      </w:r>
      <w:r>
        <w:rPr>
          <w:rFonts w:ascii="Times New Roman" w:eastAsia="Times New Roman"/>
        </w:rPr>
        <w:t>1.2500</w:t>
      </w:r>
      <w:r>
        <w:rPr/>
        <w:t>元，则其获得的净赎回金额计算如下：</w:t>
      </w:r>
    </w:p>
    <w:p>
      <w:pPr>
        <w:spacing w:after="0" w:line="417" w:lineRule="auto"/>
        <w:sectPr>
          <w:pgSz w:w="11910" w:h="16840"/>
          <w:pgMar w:header="705" w:footer="683" w:top="1420" w:bottom="880" w:left="1580" w:right="920"/>
        </w:sectPr>
      </w:pPr>
    </w:p>
    <w:p>
      <w:pPr>
        <w:pStyle w:val="BodyText"/>
        <w:spacing w:line="417" w:lineRule="auto" w:before="110"/>
        <w:ind w:left="1060" w:right="4615"/>
      </w:pPr>
      <w:r>
        <w:rPr/>
        <w:t>赎回金额</w:t>
      </w:r>
      <w:r>
        <w:rPr>
          <w:rFonts w:ascii="Times New Roman" w:hAnsi="Times New Roman" w:eastAsia="Times New Roman"/>
        </w:rPr>
        <w:t>=10,000.00×1.25 00=12,500.00</w:t>
      </w:r>
      <w:r>
        <w:rPr/>
        <w:t>元赎回费用</w:t>
      </w:r>
      <w:r>
        <w:rPr>
          <w:rFonts w:ascii="Times New Roman" w:hAnsi="Times New Roman" w:eastAsia="Times New Roman"/>
        </w:rPr>
        <w:t>=12,500.00×0.5%=62.50 </w:t>
      </w:r>
      <w:r>
        <w:rPr/>
        <w:t>元</w:t>
      </w:r>
    </w:p>
    <w:p>
      <w:pPr>
        <w:pStyle w:val="BodyText"/>
        <w:spacing w:line="269" w:lineRule="exact"/>
        <w:ind w:left="1060"/>
      </w:pPr>
      <w:r>
        <w:rPr/>
        <w:t>净赎回金额</w:t>
      </w:r>
      <w:r>
        <w:rPr>
          <w:rFonts w:ascii="Times New Roman" w:eastAsia="Times New Roman"/>
        </w:rPr>
        <w:t>=12,500.00-62.50=12,437.50 </w:t>
      </w:r>
      <w:r>
        <w:rPr/>
        <w:t>元</w:t>
      </w:r>
    </w:p>
    <w:p>
      <w:pPr>
        <w:pStyle w:val="BodyText"/>
        <w:spacing w:before="6"/>
        <w:ind w:left="0"/>
        <w:rPr>
          <w:sz w:val="15"/>
        </w:rPr>
      </w:pPr>
    </w:p>
    <w:p>
      <w:pPr>
        <w:pStyle w:val="BodyText"/>
      </w:pPr>
      <w:r>
        <w:rPr/>
        <w:t>例五：假定某投资者在 </w:t>
      </w:r>
      <w:r>
        <w:rPr>
          <w:rFonts w:ascii="Times New Roman" w:eastAsia="Times New Roman"/>
        </w:rPr>
        <w:t>T </w:t>
      </w:r>
      <w:r>
        <w:rPr/>
        <w:t>日赎回 </w:t>
      </w:r>
      <w:r>
        <w:rPr>
          <w:rFonts w:ascii="Times New Roman" w:eastAsia="Times New Roman"/>
        </w:rPr>
        <w:t>10,000.00 </w:t>
      </w:r>
      <w:r>
        <w:rPr/>
        <w:t>份以美元申购的 </w:t>
      </w:r>
      <w:r>
        <w:rPr>
          <w:rFonts w:ascii="Times New Roman" w:eastAsia="Times New Roman"/>
        </w:rPr>
        <w:t>A </w:t>
      </w:r>
      <w:r>
        <w:rPr/>
        <w:t>类基金份额，持有期限</w:t>
      </w:r>
    </w:p>
    <w:p>
      <w:pPr>
        <w:pStyle w:val="BodyText"/>
        <w:spacing w:before="7"/>
        <w:ind w:left="0"/>
        <w:rPr>
          <w:sz w:val="15"/>
        </w:rPr>
      </w:pPr>
    </w:p>
    <w:p>
      <w:pPr>
        <w:pStyle w:val="BodyText"/>
        <w:spacing w:line="417" w:lineRule="auto"/>
        <w:ind w:left="1060" w:right="989" w:hanging="840"/>
      </w:pPr>
      <w:r>
        <w:rPr>
          <w:rFonts w:ascii="Times New Roman" w:hAnsi="Times New Roman" w:eastAsia="Times New Roman"/>
        </w:rPr>
        <w:t>20 </w:t>
      </w:r>
      <w:r>
        <w:rPr>
          <w:spacing w:val="-27"/>
        </w:rPr>
        <w:t>天，该日 </w:t>
      </w:r>
      <w:r>
        <w:rPr>
          <w:rFonts w:ascii="Times New Roman" w:hAnsi="Times New Roman" w:eastAsia="Times New Roman"/>
        </w:rPr>
        <w:t>A </w:t>
      </w:r>
      <w:r>
        <w:rPr>
          <w:spacing w:val="-7"/>
        </w:rPr>
        <w:t>类基金份额美元折算净值为 </w:t>
      </w:r>
      <w:r>
        <w:rPr>
          <w:rFonts w:ascii="Times New Roman" w:hAnsi="Times New Roman" w:eastAsia="Times New Roman"/>
        </w:rPr>
        <w:t>0.1983 </w:t>
      </w:r>
      <w:r>
        <w:rPr>
          <w:spacing w:val="-11"/>
        </w:rPr>
        <w:t>美元，则其获得的净赎回金额计算如下： </w:t>
      </w:r>
      <w:r>
        <w:rPr>
          <w:spacing w:val="-8"/>
        </w:rPr>
        <w:t>赎回金额</w:t>
      </w:r>
      <w:r>
        <w:rPr>
          <w:rFonts w:ascii="Times New Roman" w:hAnsi="Times New Roman" w:eastAsia="Times New Roman"/>
        </w:rPr>
        <w:t>=10,000.00×0.1983= 1983.00</w:t>
      </w:r>
      <w:r>
        <w:rPr/>
        <w:t>美元</w:t>
      </w:r>
    </w:p>
    <w:p>
      <w:pPr>
        <w:pStyle w:val="BodyText"/>
        <w:spacing w:line="269" w:lineRule="exact"/>
        <w:ind w:left="1060"/>
      </w:pPr>
      <w:r>
        <w:rPr/>
        <w:t>赎回费用</w:t>
      </w:r>
      <w:r>
        <w:rPr>
          <w:rFonts w:ascii="Times New Roman" w:hAnsi="Times New Roman" w:eastAsia="Times New Roman"/>
        </w:rPr>
        <w:t>=1983.00×0.5%= 9.92 </w:t>
      </w:r>
      <w:r>
        <w:rPr/>
        <w:t>美元</w:t>
      </w:r>
    </w:p>
    <w:p>
      <w:pPr>
        <w:pStyle w:val="BodyText"/>
        <w:spacing w:before="7"/>
        <w:ind w:left="0"/>
        <w:rPr>
          <w:sz w:val="15"/>
        </w:rPr>
      </w:pPr>
    </w:p>
    <w:p>
      <w:pPr>
        <w:pStyle w:val="BodyText"/>
        <w:spacing w:before="1"/>
        <w:ind w:left="1060"/>
      </w:pPr>
      <w:r>
        <w:rPr/>
        <w:t>净赎回金额</w:t>
      </w:r>
      <w:r>
        <w:rPr>
          <w:rFonts w:ascii="Times New Roman" w:eastAsia="Times New Roman"/>
        </w:rPr>
        <w:t>=1983.00-9.92=1973.08 </w:t>
      </w:r>
      <w:r>
        <w:rPr/>
        <w:t>美元</w:t>
      </w:r>
    </w:p>
    <w:p>
      <w:pPr>
        <w:pStyle w:val="BodyText"/>
        <w:spacing w:before="6"/>
        <w:ind w:left="0"/>
        <w:rPr>
          <w:sz w:val="15"/>
        </w:rPr>
      </w:pPr>
    </w:p>
    <w:p>
      <w:pPr>
        <w:pStyle w:val="BodyText"/>
        <w:spacing w:line="417" w:lineRule="auto"/>
        <w:ind w:left="220" w:right="988" w:firstLine="525"/>
      </w:pPr>
      <w:r>
        <w:rPr>
          <w:spacing w:val="-8"/>
        </w:rPr>
        <w:t>例六：假定某投资者在</w:t>
      </w:r>
      <w:r>
        <w:rPr>
          <w:rFonts w:ascii="Times New Roman" w:eastAsia="Times New Roman"/>
        </w:rPr>
        <w:t>T</w:t>
      </w:r>
      <w:r>
        <w:rPr>
          <w:spacing w:val="-3"/>
        </w:rPr>
        <w:t>日赎回</w:t>
      </w:r>
      <w:r>
        <w:rPr>
          <w:rFonts w:ascii="Times New Roman" w:eastAsia="Times New Roman"/>
        </w:rPr>
        <w:t>C</w:t>
      </w:r>
      <w:r>
        <w:rPr>
          <w:spacing w:val="-3"/>
        </w:rPr>
        <w:t>类基金份额</w:t>
      </w:r>
      <w:r>
        <w:rPr>
          <w:rFonts w:ascii="Times New Roman" w:eastAsia="Times New Roman"/>
        </w:rPr>
        <w:t>10,000.00</w:t>
      </w:r>
      <w:r>
        <w:rPr>
          <w:spacing w:val="-7"/>
        </w:rPr>
        <w:t>份，持有期限</w:t>
      </w:r>
      <w:r>
        <w:rPr>
          <w:rFonts w:ascii="Times New Roman" w:eastAsia="Times New Roman"/>
        </w:rPr>
        <w:t>30</w:t>
      </w:r>
      <w:r>
        <w:rPr>
          <w:spacing w:val="-9"/>
        </w:rPr>
        <w:t>天，该日</w:t>
      </w:r>
      <w:r>
        <w:rPr>
          <w:rFonts w:ascii="Times New Roman" w:eastAsia="Times New Roman"/>
        </w:rPr>
        <w:t>C</w:t>
      </w:r>
      <w:r>
        <w:rPr/>
        <w:t>类基</w:t>
      </w:r>
      <w:r>
        <w:rPr>
          <w:spacing w:val="-2"/>
        </w:rPr>
        <w:t>金份额净值为</w:t>
      </w:r>
      <w:r>
        <w:rPr>
          <w:rFonts w:ascii="Times New Roman" w:eastAsia="Times New Roman"/>
        </w:rPr>
        <w:t>1.2500</w:t>
      </w:r>
      <w:r>
        <w:rPr>
          <w:spacing w:val="-3"/>
        </w:rPr>
        <w:t>元，则其获得的赎回金额计算如下：</w:t>
      </w:r>
    </w:p>
    <w:p>
      <w:pPr>
        <w:pStyle w:val="BodyText"/>
        <w:spacing w:line="269" w:lineRule="exact"/>
        <w:ind w:left="1060"/>
      </w:pPr>
      <w:r>
        <w:rPr/>
        <w:t>净赎回金额</w:t>
      </w:r>
      <w:r>
        <w:rPr>
          <w:rFonts w:ascii="Times New Roman" w:hAnsi="Times New Roman" w:eastAsia="Times New Roman"/>
        </w:rPr>
        <w:t>=10,000.00×1.2500=12,500.00 </w:t>
      </w:r>
      <w:r>
        <w:rPr/>
        <w:t>元</w:t>
      </w:r>
    </w:p>
    <w:p>
      <w:pPr>
        <w:pStyle w:val="BodyText"/>
        <w:spacing w:before="7"/>
        <w:ind w:left="0"/>
        <w:rPr>
          <w:sz w:val="15"/>
        </w:rPr>
      </w:pPr>
    </w:p>
    <w:p>
      <w:pPr>
        <w:pStyle w:val="BodyText"/>
      </w:pPr>
      <w:r>
        <w:rPr/>
        <w:t>（十）申购与赎回的登记结算</w:t>
      </w:r>
    </w:p>
    <w:p>
      <w:pPr>
        <w:pStyle w:val="BodyText"/>
        <w:spacing w:before="7"/>
        <w:ind w:left="0"/>
        <w:rPr>
          <w:sz w:val="15"/>
        </w:rPr>
      </w:pPr>
    </w:p>
    <w:p>
      <w:pPr>
        <w:pStyle w:val="BodyText"/>
        <w:spacing w:line="417" w:lineRule="auto"/>
        <w:ind w:left="220" w:right="938" w:firstLine="419"/>
      </w:pPr>
      <w:r>
        <w:rPr>
          <w:rFonts w:ascii="Times New Roman" w:eastAsia="Times New Roman"/>
        </w:rPr>
        <w:t>1</w:t>
      </w:r>
      <w:r>
        <w:rPr/>
        <w:t>、投资者</w:t>
      </w:r>
      <w:r>
        <w:rPr>
          <w:rFonts w:ascii="Times New Roman" w:eastAsia="Times New Roman"/>
        </w:rPr>
        <w:t>T</w:t>
      </w:r>
      <w:r>
        <w:rPr/>
        <w:t>日申购基金成功后，基金登记结算机构在</w:t>
      </w:r>
      <w:r>
        <w:rPr>
          <w:rFonts w:ascii="Times New Roman" w:eastAsia="Times New Roman"/>
        </w:rPr>
        <w:t>T</w:t>
      </w:r>
      <w:r>
        <w:rPr/>
        <w:t>＋</w:t>
      </w:r>
      <w:r>
        <w:rPr>
          <w:rFonts w:ascii="Times New Roman" w:eastAsia="Times New Roman"/>
        </w:rPr>
        <w:t>1</w:t>
      </w:r>
      <w:r>
        <w:rPr/>
        <w:t>日为投资者增加权益并办理登记结算手续，投资者自</w:t>
      </w:r>
      <w:r>
        <w:rPr>
          <w:rFonts w:ascii="Times New Roman" w:eastAsia="Times New Roman"/>
        </w:rPr>
        <w:t>T</w:t>
      </w:r>
      <w:r>
        <w:rPr/>
        <w:t>＋</w:t>
      </w:r>
      <w:r>
        <w:rPr>
          <w:rFonts w:ascii="Times New Roman" w:eastAsia="Times New Roman"/>
        </w:rPr>
        <w:t>2</w:t>
      </w:r>
      <w:r>
        <w:rPr/>
        <w:t>日起有权赎回该部分基金份额。</w:t>
      </w:r>
    </w:p>
    <w:p>
      <w:pPr>
        <w:pStyle w:val="BodyText"/>
        <w:spacing w:line="417" w:lineRule="auto"/>
        <w:ind w:left="220" w:right="938" w:firstLine="419"/>
      </w:pPr>
      <w:r>
        <w:rPr>
          <w:rFonts w:ascii="Times New Roman" w:eastAsia="Times New Roman"/>
        </w:rPr>
        <w:t>2</w:t>
      </w:r>
      <w:r>
        <w:rPr/>
        <w:t>、投资者</w:t>
      </w:r>
      <w:r>
        <w:rPr>
          <w:rFonts w:ascii="Times New Roman" w:eastAsia="Times New Roman"/>
        </w:rPr>
        <w:t>T</w:t>
      </w:r>
      <w:r>
        <w:rPr/>
        <w:t>日赎回基金成功后，基金登记结算机构在</w:t>
      </w:r>
      <w:r>
        <w:rPr>
          <w:rFonts w:ascii="Times New Roman" w:eastAsia="Times New Roman"/>
        </w:rPr>
        <w:t>T</w:t>
      </w:r>
      <w:r>
        <w:rPr/>
        <w:t>＋</w:t>
      </w:r>
      <w:r>
        <w:rPr>
          <w:rFonts w:ascii="Times New Roman" w:eastAsia="Times New Roman"/>
        </w:rPr>
        <w:t>1</w:t>
      </w:r>
      <w:r>
        <w:rPr/>
        <w:t>日为投资者扣除权益并办理相应的登记结算手续。</w:t>
      </w:r>
    </w:p>
    <w:p>
      <w:pPr>
        <w:pStyle w:val="BodyText"/>
        <w:spacing w:line="417" w:lineRule="auto"/>
        <w:ind w:left="220" w:right="986" w:firstLine="419"/>
      </w:pPr>
      <w:r>
        <w:rPr>
          <w:rFonts w:ascii="Times New Roman" w:eastAsia="Times New Roman"/>
        </w:rPr>
        <w:t>3</w:t>
      </w:r>
      <w:r>
        <w:rPr>
          <w:spacing w:val="-10"/>
        </w:rPr>
        <w:t>、基金管理人可在法律法规允许的范围内，对上述登记结算办理时间进行调整，并最</w:t>
      </w:r>
      <w:r>
        <w:rPr>
          <w:spacing w:val="-5"/>
        </w:rPr>
        <w:t>迟于开始实施</w:t>
      </w:r>
      <w:r>
        <w:rPr>
          <w:rFonts w:ascii="Times New Roman" w:eastAsia="Times New Roman"/>
          <w:spacing w:val="-3"/>
        </w:rPr>
        <w:t>3</w:t>
      </w:r>
      <w:r>
        <w:rPr>
          <w:spacing w:val="-3"/>
        </w:rPr>
        <w:t>个工作日前在至少一种指定媒介上公告。</w:t>
      </w:r>
    </w:p>
    <w:p>
      <w:pPr>
        <w:pStyle w:val="BodyText"/>
        <w:spacing w:line="269" w:lineRule="exact"/>
      </w:pPr>
      <w:r>
        <w:rPr/>
        <w:t>（十一）巨额赎回的认定及处理方式</w:t>
      </w:r>
    </w:p>
    <w:p>
      <w:pPr>
        <w:pStyle w:val="BodyText"/>
        <w:spacing w:before="6"/>
        <w:ind w:left="0"/>
        <w:rPr>
          <w:sz w:val="15"/>
        </w:rPr>
      </w:pPr>
    </w:p>
    <w:p>
      <w:pPr>
        <w:pStyle w:val="BodyText"/>
      </w:pPr>
      <w:r>
        <w:rPr>
          <w:rFonts w:ascii="Times New Roman" w:eastAsia="Times New Roman"/>
        </w:rPr>
        <w:t>1</w:t>
      </w:r>
      <w:r>
        <w:rPr/>
        <w:t>、巨额赎回的认定</w:t>
      </w:r>
    </w:p>
    <w:p>
      <w:pPr>
        <w:pStyle w:val="BodyText"/>
        <w:spacing w:before="7"/>
        <w:ind w:left="0"/>
        <w:rPr>
          <w:sz w:val="15"/>
        </w:rPr>
      </w:pPr>
    </w:p>
    <w:p>
      <w:pPr>
        <w:pStyle w:val="BodyText"/>
        <w:spacing w:line="417" w:lineRule="auto"/>
        <w:ind w:left="220" w:right="986" w:firstLine="419"/>
        <w:jc w:val="both"/>
      </w:pPr>
      <w:r>
        <w:rPr/>
        <w:t>单个开放日中，本基金的基金份额净赎回申请（赎回申请总份额扣除申购申请总份额后的余额）与净转出申请（转出申请总份额扣除转入申请总份额后的余额）之和超过上一日基金总份额的</w:t>
      </w:r>
      <w:r>
        <w:rPr>
          <w:rFonts w:ascii="Times New Roman" w:eastAsia="Times New Roman"/>
        </w:rPr>
        <w:t>10%</w:t>
      </w:r>
      <w:r>
        <w:rPr/>
        <w:t>，为巨额赎回。</w:t>
      </w:r>
    </w:p>
    <w:p>
      <w:pPr>
        <w:pStyle w:val="BodyText"/>
      </w:pPr>
      <w:r>
        <w:rPr>
          <w:rFonts w:ascii="Times New Roman" w:eastAsia="Times New Roman"/>
        </w:rPr>
        <w:t>2</w:t>
      </w:r>
      <w:r>
        <w:rPr/>
        <w:t>、巨额赎回的处理方式</w:t>
      </w:r>
    </w:p>
    <w:p>
      <w:pPr>
        <w:pStyle w:val="BodyText"/>
        <w:spacing w:before="7"/>
        <w:ind w:left="0"/>
        <w:rPr>
          <w:sz w:val="15"/>
        </w:rPr>
      </w:pPr>
    </w:p>
    <w:p>
      <w:pPr>
        <w:pStyle w:val="BodyText"/>
        <w:spacing w:line="417" w:lineRule="auto"/>
        <w:ind w:left="220" w:right="986" w:firstLine="419"/>
      </w:pPr>
      <w:r>
        <w:rPr/>
        <w:t>出现巨额赎回时，基金管理人可以根据本基金当时的资产组合状况决定接受全额赎回或部分延期赎回。</w:t>
      </w:r>
    </w:p>
    <w:p>
      <w:pPr>
        <w:pStyle w:val="ListParagraph"/>
        <w:numPr>
          <w:ilvl w:val="0"/>
          <w:numId w:val="15"/>
        </w:numPr>
        <w:tabs>
          <w:tab w:pos="1167" w:val="left" w:leader="none"/>
        </w:tabs>
        <w:spacing w:line="417" w:lineRule="auto" w:before="0" w:after="0"/>
        <w:ind w:left="220" w:right="986" w:firstLine="419"/>
        <w:jc w:val="left"/>
        <w:rPr>
          <w:sz w:val="21"/>
        </w:rPr>
      </w:pPr>
      <w:r>
        <w:rPr>
          <w:spacing w:val="-9"/>
          <w:sz w:val="21"/>
        </w:rPr>
        <w:t>接受全额赎回：当基金管理人认为有能力兑付投资者的全部赎回申请时，按正 </w:t>
      </w:r>
      <w:r>
        <w:rPr>
          <w:spacing w:val="-6"/>
          <w:sz w:val="21"/>
        </w:rPr>
        <w:t>常赎回程序执行。</w:t>
      </w:r>
    </w:p>
    <w:p>
      <w:pPr>
        <w:pStyle w:val="ListParagraph"/>
        <w:numPr>
          <w:ilvl w:val="0"/>
          <w:numId w:val="15"/>
        </w:numPr>
        <w:tabs>
          <w:tab w:pos="1167" w:val="left" w:leader="none"/>
        </w:tabs>
        <w:spacing w:line="417" w:lineRule="auto" w:before="0" w:after="0"/>
        <w:ind w:left="220" w:right="986" w:firstLine="419"/>
        <w:jc w:val="left"/>
        <w:rPr>
          <w:sz w:val="21"/>
        </w:rPr>
      </w:pPr>
      <w:r>
        <w:rPr>
          <w:spacing w:val="-9"/>
          <w:sz w:val="21"/>
        </w:rPr>
        <w:t>部分延期赎回：当基金管理人认为兑付投资者的赎回申请有困难，或认为兑付 </w:t>
      </w:r>
      <w:r>
        <w:rPr>
          <w:spacing w:val="-3"/>
          <w:sz w:val="21"/>
        </w:rPr>
        <w:t>投资者的赎回申请进行的资产变现可能使基金资产净值发生较大波动时，基金管理人在当</w:t>
      </w:r>
      <w:r>
        <w:rPr>
          <w:sz w:val="21"/>
        </w:rPr>
        <w:t>日</w:t>
      </w:r>
    </w:p>
    <w:p>
      <w:pPr>
        <w:spacing w:after="0" w:line="417" w:lineRule="auto"/>
        <w:jc w:val="left"/>
        <w:rPr>
          <w:sz w:val="21"/>
        </w:rPr>
        <w:sectPr>
          <w:pgSz w:w="11910" w:h="16840"/>
          <w:pgMar w:header="705" w:footer="683" w:top="1420" w:bottom="880" w:left="1580" w:right="920"/>
        </w:sectPr>
      </w:pPr>
    </w:p>
    <w:p>
      <w:pPr>
        <w:pStyle w:val="BodyText"/>
        <w:spacing w:line="417" w:lineRule="auto" w:before="110"/>
        <w:ind w:left="220" w:right="986"/>
        <w:jc w:val="both"/>
      </w:pPr>
      <w:r>
        <w:rPr>
          <w:spacing w:val="-3"/>
        </w:rPr>
        <w:t>接受赎回比例不低于上一日基金总份额</w:t>
      </w:r>
      <w:r>
        <w:rPr>
          <w:rFonts w:ascii="Times New Roman" w:eastAsia="Times New Roman"/>
        </w:rPr>
        <w:t>10</w:t>
      </w:r>
      <w:r>
        <w:rPr>
          <w:spacing w:val="-3"/>
        </w:rPr>
        <w:t>％的前提下，对其余赎回申请延期办理。对于当日的赎回申请，应当按单个基金份额持有人申请赎回份额占当日申请赎回总份额的比例， 确定该单个基金份额持有人当日办理的赎回份额；未受理部分除投资者在提交赎回申请时选择将当日未获受理部分予以撤销者外，延迟至下一开放日办理，赎回价格为下一个开放</w:t>
      </w:r>
      <w:r>
        <w:rPr>
          <w:spacing w:val="-16"/>
        </w:rPr>
        <w:t>日的价格。转入下一开放日的赎回申请不享有赎回优先权，以此类推，直到全部赎回为止。</w:t>
      </w:r>
    </w:p>
    <w:p>
      <w:pPr>
        <w:pStyle w:val="ListParagraph"/>
        <w:numPr>
          <w:ilvl w:val="0"/>
          <w:numId w:val="15"/>
        </w:numPr>
        <w:tabs>
          <w:tab w:pos="1170" w:val="left" w:leader="none"/>
        </w:tabs>
        <w:spacing w:line="417" w:lineRule="auto" w:before="0" w:after="0"/>
        <w:ind w:left="220" w:right="986" w:firstLine="419"/>
        <w:jc w:val="left"/>
        <w:rPr>
          <w:sz w:val="21"/>
        </w:rPr>
      </w:pPr>
      <w:r>
        <w:rPr>
          <w:spacing w:val="-7"/>
          <w:sz w:val="21"/>
        </w:rPr>
        <w:t>当发生巨额赎回并延期办理时，基金管理人应在三个工作日内在至少一种指定 </w:t>
      </w:r>
      <w:r>
        <w:rPr>
          <w:spacing w:val="-3"/>
          <w:sz w:val="21"/>
        </w:rPr>
        <w:t>媒介予以公告，说明有关处理方法。</w:t>
      </w:r>
    </w:p>
    <w:p>
      <w:pPr>
        <w:pStyle w:val="ListParagraph"/>
        <w:numPr>
          <w:ilvl w:val="0"/>
          <w:numId w:val="15"/>
        </w:numPr>
        <w:tabs>
          <w:tab w:pos="1167" w:val="left" w:leader="none"/>
        </w:tabs>
        <w:spacing w:line="417" w:lineRule="auto" w:before="0" w:after="0"/>
        <w:ind w:left="220" w:right="986" w:firstLine="419"/>
        <w:jc w:val="both"/>
        <w:rPr>
          <w:sz w:val="21"/>
        </w:rPr>
      </w:pPr>
      <w:r>
        <w:rPr>
          <w:spacing w:val="-8"/>
          <w:sz w:val="21"/>
        </w:rPr>
        <w:t>暂停接受和延缓支付：本基金连续两个或两个开放日以上发生巨额赎回，如基 </w:t>
      </w:r>
      <w:r>
        <w:rPr>
          <w:spacing w:val="-6"/>
          <w:sz w:val="21"/>
        </w:rPr>
        <w:t>金管理人认为有必要，可暂停接受赎回申请；已经接受的赎回申请可以延缓支付赎回款项</w:t>
      </w:r>
      <w:r>
        <w:rPr>
          <w:spacing w:val="-3"/>
          <w:sz w:val="21"/>
        </w:rPr>
        <w:t>，但延缓期限不得超过二十个工作日，并应当在至少一种指定媒介公告。</w:t>
      </w:r>
    </w:p>
    <w:p>
      <w:pPr>
        <w:pStyle w:val="ListParagraph"/>
        <w:numPr>
          <w:ilvl w:val="0"/>
          <w:numId w:val="15"/>
        </w:numPr>
        <w:tabs>
          <w:tab w:pos="1167" w:val="left" w:leader="none"/>
        </w:tabs>
        <w:spacing w:line="417" w:lineRule="auto" w:before="0" w:after="0"/>
        <w:ind w:left="220" w:right="986" w:firstLine="419"/>
        <w:jc w:val="both"/>
        <w:rPr>
          <w:sz w:val="21"/>
        </w:rPr>
      </w:pPr>
      <w:r>
        <w:rPr>
          <w:spacing w:val="-6"/>
          <w:sz w:val="21"/>
        </w:rPr>
        <w:t>如果基金发生巨额赎回，在单个基金份额持有人超过基金总份额</w:t>
      </w:r>
      <w:r>
        <w:rPr>
          <w:rFonts w:ascii="Times New Roman" w:eastAsia="Times New Roman"/>
          <w:sz w:val="21"/>
        </w:rPr>
        <w:t>20%</w:t>
      </w:r>
      <w:r>
        <w:rPr>
          <w:spacing w:val="-3"/>
          <w:sz w:val="21"/>
        </w:rPr>
        <w:t>以上的大 额赎回申请情形下，如果基金管理人认为支付全部投资人的赎回申请有困难或认为因支付全部投资人的赎回申请而进行的财产变现可能会对基金资产净值造成较大波动时，基金管理人可以延期办理赎回申请。具体分为两种情况：</w:t>
      </w:r>
    </w:p>
    <w:p>
      <w:pPr>
        <w:pStyle w:val="BodyText"/>
        <w:spacing w:line="417" w:lineRule="auto"/>
        <w:ind w:left="220" w:right="986" w:firstLine="419"/>
        <w:jc w:val="both"/>
      </w:pPr>
      <w:r>
        <w:rPr/>
        <w:t>①如果基金管理人认为有能力支付其他投资人的全部赎回申请，为了保护其他赎回投资人的利益，对于其他投资人的赎回申请按正常程序进行。对于单个投资人超过基金总份额</w:t>
      </w:r>
      <w:r>
        <w:rPr>
          <w:rFonts w:ascii="Times New Roman" w:hAnsi="Times New Roman" w:eastAsia="Times New Roman"/>
        </w:rPr>
        <w:t>20%</w:t>
      </w:r>
      <w:r>
        <w:rPr/>
        <w:t>以上的大额赎回申请，基金管理人在剩余支付能力范围内对其按比例确认当日受理的赎回份额，未确认的赎回部分作自动延期处理。延期的赎回申请与下一开放日赎回申请一并处理，无优先权并以下一开放日的基金份额净值为基础计算赎回金额，以此类推，直到全部赎回为止。如投资人在提交赎回申请时选择取消赎回的，则当日未获受理的部分赎回申请将被撤销。</w:t>
      </w:r>
    </w:p>
    <w:p>
      <w:pPr>
        <w:pStyle w:val="BodyText"/>
        <w:spacing w:line="417" w:lineRule="auto"/>
        <w:ind w:left="220" w:right="986" w:firstLine="525"/>
        <w:jc w:val="both"/>
      </w:pPr>
      <w:r>
        <w:rPr>
          <w:spacing w:val="-7"/>
        </w:rPr>
        <w:t>②如果基金管理人认为仅支付其他投资人的赎回申请也有困难时，则所有投资人的赎回申请（包括单个投资人超过基金总份额</w:t>
      </w:r>
      <w:r>
        <w:rPr>
          <w:rFonts w:ascii="Times New Roman" w:hAnsi="Times New Roman" w:eastAsia="Times New Roman"/>
        </w:rPr>
        <w:t>20%</w:t>
      </w:r>
      <w:r>
        <w:rPr>
          <w:spacing w:val="-4"/>
        </w:rPr>
        <w:t>以上的大额赎回申请和其他投资人的赎回申</w:t>
      </w:r>
      <w:r>
        <w:rPr>
          <w:w w:val="100"/>
        </w:rPr>
        <w:t>请）</w:t>
      </w:r>
      <w:r>
        <w:rPr>
          <w:spacing w:val="-21"/>
          <w:w w:val="100"/>
        </w:rPr>
        <w:t>都按照上述“</w:t>
      </w:r>
      <w:r>
        <w:rPr>
          <w:spacing w:val="-1"/>
          <w:w w:val="100"/>
        </w:rPr>
        <w:t>（</w:t>
      </w:r>
      <w:r>
        <w:rPr>
          <w:rFonts w:ascii="Times New Roman" w:hAnsi="Times New Roman" w:eastAsia="Times New Roman"/>
          <w:spacing w:val="-3"/>
          <w:w w:val="100"/>
        </w:rPr>
        <w:t>2</w:t>
      </w:r>
      <w:r>
        <w:rPr>
          <w:w w:val="100"/>
        </w:rPr>
        <w:t>）</w:t>
      </w:r>
      <w:r>
        <w:rPr>
          <w:spacing w:val="-3"/>
          <w:w w:val="100"/>
        </w:rPr>
        <w:t>部分延期赎回”的约定一并办理。</w:t>
      </w:r>
    </w:p>
    <w:p>
      <w:pPr>
        <w:pStyle w:val="BodyText"/>
        <w:spacing w:line="269" w:lineRule="exact"/>
      </w:pPr>
      <w:r>
        <w:rPr/>
        <w:t>（十二）拒绝或暂停申购、暂停赎回或延缓支付赎回款项的情形及处理</w:t>
      </w:r>
    </w:p>
    <w:p>
      <w:pPr>
        <w:pStyle w:val="BodyText"/>
        <w:spacing w:before="4"/>
        <w:ind w:left="0"/>
        <w:rPr>
          <w:sz w:val="15"/>
        </w:rPr>
      </w:pPr>
    </w:p>
    <w:p>
      <w:pPr>
        <w:pStyle w:val="BodyText"/>
        <w:spacing w:before="1"/>
      </w:pPr>
      <w:r>
        <w:rPr>
          <w:rFonts w:ascii="Times New Roman" w:eastAsia="Times New Roman"/>
        </w:rPr>
        <w:t>1</w:t>
      </w:r>
      <w:r>
        <w:rPr/>
        <w:t>、在如下情况下，基金管理人可以拒绝或暂停接受投资者的申购申请</w:t>
      </w:r>
    </w:p>
    <w:p>
      <w:pPr>
        <w:pStyle w:val="BodyText"/>
        <w:spacing w:before="6"/>
        <w:ind w:left="0"/>
        <w:rPr>
          <w:sz w:val="15"/>
        </w:rPr>
      </w:pPr>
    </w:p>
    <w:p>
      <w:pPr>
        <w:pStyle w:val="ListParagraph"/>
        <w:numPr>
          <w:ilvl w:val="0"/>
          <w:numId w:val="16"/>
        </w:numPr>
        <w:tabs>
          <w:tab w:pos="1170" w:val="left" w:leader="none"/>
        </w:tabs>
        <w:spacing w:line="240" w:lineRule="auto" w:before="0" w:after="0"/>
        <w:ind w:left="1169" w:right="0" w:hanging="530"/>
        <w:jc w:val="left"/>
        <w:rPr>
          <w:sz w:val="21"/>
        </w:rPr>
      </w:pPr>
      <w:r>
        <w:rPr>
          <w:spacing w:val="-3"/>
          <w:sz w:val="21"/>
        </w:rPr>
        <w:t>因不可抗力或其他不可控制因素导致基金管理人无法接受投资者的申购申请。</w:t>
      </w:r>
    </w:p>
    <w:p>
      <w:pPr>
        <w:pStyle w:val="BodyText"/>
        <w:spacing w:before="7"/>
        <w:ind w:left="0"/>
        <w:rPr>
          <w:sz w:val="15"/>
        </w:rPr>
      </w:pPr>
    </w:p>
    <w:p>
      <w:pPr>
        <w:pStyle w:val="ListParagraph"/>
        <w:numPr>
          <w:ilvl w:val="0"/>
          <w:numId w:val="16"/>
        </w:numPr>
        <w:tabs>
          <w:tab w:pos="1170" w:val="left" w:leader="none"/>
        </w:tabs>
        <w:spacing w:line="240" w:lineRule="auto" w:before="0" w:after="0"/>
        <w:ind w:left="1169" w:right="0" w:hanging="530"/>
        <w:jc w:val="left"/>
        <w:rPr>
          <w:sz w:val="21"/>
        </w:rPr>
      </w:pPr>
      <w:r>
        <w:rPr>
          <w:spacing w:val="-3"/>
          <w:sz w:val="21"/>
        </w:rPr>
        <w:t>深圳证券交易所临时停市。</w:t>
      </w:r>
    </w:p>
    <w:p>
      <w:pPr>
        <w:pStyle w:val="BodyText"/>
        <w:spacing w:before="7"/>
        <w:ind w:left="0"/>
        <w:rPr>
          <w:sz w:val="15"/>
        </w:rPr>
      </w:pPr>
    </w:p>
    <w:p>
      <w:pPr>
        <w:pStyle w:val="ListParagraph"/>
        <w:numPr>
          <w:ilvl w:val="0"/>
          <w:numId w:val="16"/>
        </w:numPr>
        <w:tabs>
          <w:tab w:pos="1170" w:val="left" w:leader="none"/>
        </w:tabs>
        <w:spacing w:line="240" w:lineRule="auto" w:before="0" w:after="0"/>
        <w:ind w:left="1169" w:right="0" w:hanging="530"/>
        <w:jc w:val="left"/>
        <w:rPr>
          <w:sz w:val="21"/>
        </w:rPr>
      </w:pPr>
      <w:r>
        <w:rPr>
          <w:spacing w:val="5"/>
          <w:sz w:val="21"/>
        </w:rPr>
        <w:t>本基金的目标</w:t>
      </w:r>
      <w:r>
        <w:rPr>
          <w:rFonts w:ascii="Times New Roman" w:eastAsia="Times New Roman"/>
          <w:sz w:val="21"/>
        </w:rPr>
        <w:t>ETF</w:t>
      </w:r>
      <w:r>
        <w:rPr>
          <w:rFonts w:ascii="Times New Roman" w:eastAsia="Times New Roman"/>
          <w:spacing w:val="-5"/>
          <w:sz w:val="21"/>
        </w:rPr>
        <w:t> </w:t>
      </w:r>
      <w:r>
        <w:rPr>
          <w:spacing w:val="-3"/>
          <w:sz w:val="21"/>
        </w:rPr>
        <w:t>所投资的香港市场休市。</w:t>
      </w:r>
    </w:p>
    <w:p>
      <w:pPr>
        <w:pStyle w:val="BodyText"/>
        <w:spacing w:before="7"/>
        <w:ind w:left="0"/>
        <w:rPr>
          <w:sz w:val="15"/>
        </w:rPr>
      </w:pPr>
    </w:p>
    <w:p>
      <w:pPr>
        <w:pStyle w:val="ListParagraph"/>
        <w:numPr>
          <w:ilvl w:val="0"/>
          <w:numId w:val="16"/>
        </w:numPr>
        <w:tabs>
          <w:tab w:pos="1170" w:val="left" w:leader="none"/>
        </w:tabs>
        <w:spacing w:line="240" w:lineRule="auto" w:before="0" w:after="0"/>
        <w:ind w:left="1169" w:right="0" w:hanging="530"/>
        <w:jc w:val="left"/>
        <w:rPr>
          <w:sz w:val="21"/>
        </w:rPr>
      </w:pPr>
      <w:r>
        <w:rPr>
          <w:spacing w:val="-3"/>
          <w:sz w:val="21"/>
        </w:rPr>
        <w:t>本基金的目标</w:t>
      </w:r>
      <w:r>
        <w:rPr>
          <w:rFonts w:ascii="Times New Roman" w:eastAsia="Times New Roman"/>
          <w:sz w:val="21"/>
        </w:rPr>
        <w:t>ETF</w:t>
      </w:r>
      <w:r>
        <w:rPr>
          <w:spacing w:val="-3"/>
          <w:sz w:val="21"/>
        </w:rPr>
        <w:t>暂停申购、赎回或交易。</w:t>
      </w:r>
    </w:p>
    <w:p>
      <w:pPr>
        <w:spacing w:after="0" w:line="240" w:lineRule="auto"/>
        <w:jc w:val="left"/>
        <w:rPr>
          <w:sz w:val="21"/>
        </w:rPr>
        <w:sectPr>
          <w:pgSz w:w="11910" w:h="16840"/>
          <w:pgMar w:header="705" w:footer="683" w:top="1420" w:bottom="880" w:left="1580" w:right="920"/>
        </w:sectPr>
      </w:pPr>
    </w:p>
    <w:p>
      <w:pPr>
        <w:pStyle w:val="ListParagraph"/>
        <w:numPr>
          <w:ilvl w:val="0"/>
          <w:numId w:val="16"/>
        </w:numPr>
        <w:tabs>
          <w:tab w:pos="1170" w:val="left" w:leader="none"/>
        </w:tabs>
        <w:spacing w:line="240" w:lineRule="auto" w:before="110" w:after="0"/>
        <w:ind w:left="1169" w:right="0" w:hanging="530"/>
        <w:jc w:val="both"/>
        <w:rPr>
          <w:sz w:val="21"/>
        </w:rPr>
      </w:pPr>
      <w:r>
        <w:rPr>
          <w:spacing w:val="5"/>
          <w:sz w:val="21"/>
        </w:rPr>
        <w:t>本基金的目标</w:t>
      </w:r>
      <w:r>
        <w:rPr>
          <w:rFonts w:ascii="Times New Roman" w:eastAsia="Times New Roman"/>
          <w:sz w:val="21"/>
        </w:rPr>
        <w:t>ETF</w:t>
      </w:r>
      <w:r>
        <w:rPr>
          <w:rFonts w:ascii="Times New Roman" w:eastAsia="Times New Roman"/>
          <w:spacing w:val="-5"/>
          <w:sz w:val="21"/>
        </w:rPr>
        <w:t> </w:t>
      </w:r>
      <w:r>
        <w:rPr>
          <w:spacing w:val="-1"/>
          <w:sz w:val="21"/>
        </w:rPr>
        <w:t>暂停估值。</w:t>
      </w:r>
    </w:p>
    <w:p>
      <w:pPr>
        <w:pStyle w:val="BodyText"/>
        <w:spacing w:before="6"/>
        <w:ind w:left="0"/>
        <w:rPr>
          <w:sz w:val="15"/>
        </w:rPr>
      </w:pPr>
    </w:p>
    <w:p>
      <w:pPr>
        <w:pStyle w:val="ListParagraph"/>
        <w:numPr>
          <w:ilvl w:val="0"/>
          <w:numId w:val="16"/>
        </w:numPr>
        <w:tabs>
          <w:tab w:pos="1167" w:val="left" w:leader="none"/>
        </w:tabs>
        <w:spacing w:line="417" w:lineRule="auto" w:before="0" w:after="0"/>
        <w:ind w:left="220" w:right="986" w:firstLine="419"/>
        <w:jc w:val="both"/>
        <w:rPr>
          <w:sz w:val="21"/>
        </w:rPr>
      </w:pPr>
      <w:r>
        <w:rPr>
          <w:spacing w:val="-5"/>
          <w:sz w:val="21"/>
        </w:rPr>
        <w:t>发生基金合同规定的暂停基金资产估值的情况。当前一估值日基金资产净值 </w:t>
      </w:r>
      <w:r>
        <w:rPr>
          <w:rFonts w:ascii="Times New Roman" w:eastAsia="Times New Roman"/>
          <w:spacing w:val="-5"/>
          <w:sz w:val="21"/>
        </w:rPr>
        <w:t>50%</w:t>
      </w:r>
      <w:r>
        <w:rPr>
          <w:spacing w:val="-4"/>
          <w:sz w:val="21"/>
        </w:rPr>
        <w:t>以上的资产出现无可参考的活跃市场价格且采用估值技术仍导致公允价值存在重大不</w:t>
      </w:r>
      <w:r>
        <w:rPr>
          <w:spacing w:val="-3"/>
          <w:sz w:val="21"/>
        </w:rPr>
        <w:t>确定性时，经与基金托管人协商确认后，基金管理人应当暂停接受基金申购申请 。</w:t>
      </w:r>
    </w:p>
    <w:p>
      <w:pPr>
        <w:pStyle w:val="ListParagraph"/>
        <w:numPr>
          <w:ilvl w:val="0"/>
          <w:numId w:val="16"/>
        </w:numPr>
        <w:tabs>
          <w:tab w:pos="1170" w:val="left" w:leader="none"/>
        </w:tabs>
        <w:spacing w:line="417" w:lineRule="auto" w:before="0" w:after="0"/>
        <w:ind w:left="220" w:right="986" w:firstLine="419"/>
        <w:jc w:val="both"/>
        <w:rPr>
          <w:sz w:val="21"/>
        </w:rPr>
      </w:pPr>
      <w:r>
        <w:rPr>
          <w:spacing w:val="-9"/>
          <w:sz w:val="21"/>
        </w:rPr>
        <w:t>因基金收益分配、或基金投资组合内某个或某些证券即将上市或进行权益分派 </w:t>
      </w:r>
      <w:r>
        <w:rPr>
          <w:spacing w:val="-3"/>
          <w:sz w:val="21"/>
        </w:rPr>
        <w:t>等原因，使基金管理人认为短期内继续接受申购可能会影响或损害已有基金份额持有人利</w:t>
      </w:r>
      <w:r>
        <w:rPr>
          <w:sz w:val="21"/>
        </w:rPr>
        <w:t>益的。</w:t>
      </w:r>
    </w:p>
    <w:p>
      <w:pPr>
        <w:pStyle w:val="ListParagraph"/>
        <w:numPr>
          <w:ilvl w:val="0"/>
          <w:numId w:val="16"/>
        </w:numPr>
        <w:tabs>
          <w:tab w:pos="1170" w:val="left" w:leader="none"/>
        </w:tabs>
        <w:spacing w:line="240" w:lineRule="auto" w:before="0" w:after="0"/>
        <w:ind w:left="1169" w:right="0" w:hanging="530"/>
        <w:jc w:val="left"/>
        <w:rPr>
          <w:sz w:val="21"/>
        </w:rPr>
      </w:pPr>
      <w:r>
        <w:rPr>
          <w:spacing w:val="-3"/>
          <w:sz w:val="21"/>
        </w:rPr>
        <w:t>基金财产规模过大，使基金管理人无法找到合适的投资品种。</w:t>
      </w:r>
    </w:p>
    <w:p>
      <w:pPr>
        <w:pStyle w:val="BodyText"/>
        <w:spacing w:before="7"/>
        <w:ind w:left="0"/>
        <w:rPr>
          <w:sz w:val="15"/>
        </w:rPr>
      </w:pPr>
    </w:p>
    <w:p>
      <w:pPr>
        <w:pStyle w:val="ListParagraph"/>
        <w:numPr>
          <w:ilvl w:val="0"/>
          <w:numId w:val="16"/>
        </w:numPr>
        <w:tabs>
          <w:tab w:pos="1170" w:val="left" w:leader="none"/>
        </w:tabs>
        <w:spacing w:line="417" w:lineRule="auto" w:before="0" w:after="0"/>
        <w:ind w:left="220" w:right="986" w:firstLine="419"/>
        <w:jc w:val="both"/>
        <w:rPr>
          <w:sz w:val="21"/>
        </w:rPr>
      </w:pPr>
      <w:r>
        <w:rPr>
          <w:spacing w:val="-9"/>
          <w:sz w:val="21"/>
        </w:rPr>
        <w:t>个别投资者的申购、赎回过于频繁，导致基金的交易费用和变现成本增加，或 </w:t>
      </w:r>
      <w:r>
        <w:rPr>
          <w:spacing w:val="-3"/>
          <w:sz w:val="21"/>
        </w:rPr>
        <w:t>使得基金管理人无法顺利实施投资策略，继续接受其申购可能对其他基金份额持有人的利</w:t>
      </w:r>
      <w:r>
        <w:rPr>
          <w:spacing w:val="-1"/>
          <w:sz w:val="21"/>
        </w:rPr>
        <w:t>益产生损害。</w:t>
      </w:r>
    </w:p>
    <w:p>
      <w:pPr>
        <w:pStyle w:val="ListParagraph"/>
        <w:numPr>
          <w:ilvl w:val="0"/>
          <w:numId w:val="16"/>
        </w:numPr>
        <w:tabs>
          <w:tab w:pos="1275" w:val="left" w:leader="none"/>
        </w:tabs>
        <w:spacing w:line="417" w:lineRule="auto" w:before="0" w:after="0"/>
        <w:ind w:left="220" w:right="986" w:firstLine="419"/>
        <w:jc w:val="left"/>
        <w:rPr>
          <w:sz w:val="21"/>
        </w:rPr>
      </w:pPr>
      <w:r>
        <w:rPr>
          <w:spacing w:val="-3"/>
          <w:sz w:val="21"/>
        </w:rPr>
        <w:t>其他可能对基金业绩产生负面影响，从而损害现有基金份额持有人的利益的情形。</w:t>
      </w:r>
    </w:p>
    <w:p>
      <w:pPr>
        <w:pStyle w:val="ListParagraph"/>
        <w:numPr>
          <w:ilvl w:val="0"/>
          <w:numId w:val="16"/>
        </w:numPr>
        <w:tabs>
          <w:tab w:pos="1266" w:val="left" w:leader="none"/>
        </w:tabs>
        <w:spacing w:line="269" w:lineRule="exact" w:before="0" w:after="0"/>
        <w:ind w:left="1265" w:right="0" w:hanging="626"/>
        <w:jc w:val="left"/>
        <w:rPr>
          <w:sz w:val="21"/>
        </w:rPr>
      </w:pPr>
      <w:r>
        <w:rPr>
          <w:spacing w:val="-3"/>
          <w:sz w:val="21"/>
        </w:rPr>
        <w:t>基金资产规模接近或达到规模上限。</w:t>
      </w:r>
    </w:p>
    <w:p>
      <w:pPr>
        <w:pStyle w:val="BodyText"/>
        <w:spacing w:before="6"/>
        <w:ind w:left="0"/>
        <w:rPr>
          <w:sz w:val="15"/>
        </w:rPr>
      </w:pPr>
    </w:p>
    <w:p>
      <w:pPr>
        <w:pStyle w:val="ListParagraph"/>
        <w:numPr>
          <w:ilvl w:val="0"/>
          <w:numId w:val="16"/>
        </w:numPr>
        <w:tabs>
          <w:tab w:pos="1275" w:val="left" w:leader="none"/>
        </w:tabs>
        <w:spacing w:line="240" w:lineRule="auto" w:before="0" w:after="0"/>
        <w:ind w:left="1275" w:right="0" w:hanging="635"/>
        <w:jc w:val="left"/>
        <w:rPr>
          <w:sz w:val="21"/>
        </w:rPr>
      </w:pPr>
      <w:r>
        <w:rPr>
          <w:spacing w:val="-3"/>
          <w:sz w:val="21"/>
        </w:rPr>
        <w:t>法律、法规规定或经中国证监会认定的其他情形。</w:t>
      </w:r>
    </w:p>
    <w:p>
      <w:pPr>
        <w:pStyle w:val="BodyText"/>
        <w:spacing w:before="7"/>
        <w:ind w:left="0"/>
        <w:rPr>
          <w:sz w:val="15"/>
        </w:rPr>
      </w:pPr>
    </w:p>
    <w:p>
      <w:pPr>
        <w:pStyle w:val="BodyText"/>
        <w:spacing w:line="417" w:lineRule="auto"/>
        <w:ind w:left="220" w:right="986" w:firstLine="419"/>
        <w:jc w:val="both"/>
      </w:pPr>
      <w:r>
        <w:rPr/>
        <w:t>基金管理人决定拒绝或暂停接受某些投资者的申购申请时，申购款项将退回投资者账户。基金管理人决定暂停接受全部或部分申购申请时，应当依法公告。在暂停申购的情形消除时，基金管理人应及时恢复申购业务的办理。</w:t>
      </w:r>
    </w:p>
    <w:p>
      <w:pPr>
        <w:pStyle w:val="BodyText"/>
        <w:spacing w:line="269" w:lineRule="exact"/>
      </w:pPr>
      <w:r>
        <w:rPr>
          <w:rFonts w:ascii="Times New Roman" w:eastAsia="Times New Roman"/>
        </w:rPr>
        <w:t>2</w:t>
      </w:r>
      <w:r>
        <w:rPr/>
        <w:t>、在如下情况下，基金管理人可以暂停接受投资者的赎回申请或延缓支付赎回款项</w:t>
      </w:r>
    </w:p>
    <w:p>
      <w:pPr>
        <w:pStyle w:val="BodyText"/>
        <w:spacing w:before="7"/>
        <w:ind w:left="0"/>
        <w:rPr>
          <w:sz w:val="15"/>
        </w:rPr>
      </w:pPr>
    </w:p>
    <w:p>
      <w:pPr>
        <w:pStyle w:val="ListParagraph"/>
        <w:numPr>
          <w:ilvl w:val="0"/>
          <w:numId w:val="17"/>
        </w:numPr>
        <w:tabs>
          <w:tab w:pos="1170" w:val="left" w:leader="none"/>
        </w:tabs>
        <w:spacing w:line="240" w:lineRule="auto" w:before="0" w:after="0"/>
        <w:ind w:left="1169" w:right="0" w:hanging="530"/>
        <w:jc w:val="left"/>
        <w:rPr>
          <w:sz w:val="21"/>
        </w:rPr>
      </w:pPr>
      <w:r>
        <w:rPr>
          <w:spacing w:val="-3"/>
          <w:sz w:val="21"/>
        </w:rPr>
        <w:t>因不可抗力或其他不可控制因素导致基金管理人不能支付赎回款项。</w:t>
      </w:r>
    </w:p>
    <w:p>
      <w:pPr>
        <w:pStyle w:val="BodyText"/>
        <w:spacing w:before="6"/>
        <w:ind w:left="0"/>
        <w:rPr>
          <w:sz w:val="15"/>
        </w:rPr>
      </w:pPr>
    </w:p>
    <w:p>
      <w:pPr>
        <w:pStyle w:val="ListParagraph"/>
        <w:numPr>
          <w:ilvl w:val="0"/>
          <w:numId w:val="17"/>
        </w:numPr>
        <w:tabs>
          <w:tab w:pos="1170" w:val="left" w:leader="none"/>
        </w:tabs>
        <w:spacing w:line="240" w:lineRule="auto" w:before="1" w:after="0"/>
        <w:ind w:left="1169" w:right="0" w:hanging="530"/>
        <w:jc w:val="left"/>
        <w:rPr>
          <w:sz w:val="21"/>
        </w:rPr>
      </w:pPr>
      <w:r>
        <w:rPr>
          <w:spacing w:val="-3"/>
          <w:sz w:val="21"/>
        </w:rPr>
        <w:t>深圳证券交易所临时停市。</w:t>
      </w:r>
    </w:p>
    <w:p>
      <w:pPr>
        <w:pStyle w:val="BodyText"/>
        <w:spacing w:before="7"/>
        <w:ind w:left="0"/>
        <w:rPr>
          <w:sz w:val="15"/>
        </w:rPr>
      </w:pPr>
    </w:p>
    <w:p>
      <w:pPr>
        <w:pStyle w:val="ListParagraph"/>
        <w:numPr>
          <w:ilvl w:val="0"/>
          <w:numId w:val="17"/>
        </w:numPr>
        <w:tabs>
          <w:tab w:pos="1170" w:val="left" w:leader="none"/>
        </w:tabs>
        <w:spacing w:line="240" w:lineRule="auto" w:before="0" w:after="0"/>
        <w:ind w:left="1169" w:right="0" w:hanging="530"/>
        <w:jc w:val="left"/>
        <w:rPr>
          <w:sz w:val="21"/>
        </w:rPr>
      </w:pPr>
      <w:r>
        <w:rPr>
          <w:spacing w:val="5"/>
          <w:sz w:val="21"/>
        </w:rPr>
        <w:t>本基金的目标</w:t>
      </w:r>
      <w:r>
        <w:rPr>
          <w:rFonts w:ascii="Times New Roman" w:eastAsia="Times New Roman"/>
          <w:sz w:val="21"/>
        </w:rPr>
        <w:t>ETF</w:t>
      </w:r>
      <w:r>
        <w:rPr>
          <w:rFonts w:ascii="Times New Roman" w:eastAsia="Times New Roman"/>
          <w:spacing w:val="-5"/>
          <w:sz w:val="21"/>
        </w:rPr>
        <w:t> </w:t>
      </w:r>
      <w:r>
        <w:rPr>
          <w:spacing w:val="-3"/>
          <w:sz w:val="21"/>
        </w:rPr>
        <w:t>所投资的香港市场休市。</w:t>
      </w:r>
    </w:p>
    <w:p>
      <w:pPr>
        <w:pStyle w:val="BodyText"/>
        <w:spacing w:before="7"/>
        <w:ind w:left="0"/>
        <w:rPr>
          <w:sz w:val="15"/>
        </w:rPr>
      </w:pPr>
    </w:p>
    <w:p>
      <w:pPr>
        <w:pStyle w:val="ListParagraph"/>
        <w:numPr>
          <w:ilvl w:val="0"/>
          <w:numId w:val="17"/>
        </w:numPr>
        <w:tabs>
          <w:tab w:pos="1170" w:val="left" w:leader="none"/>
        </w:tabs>
        <w:spacing w:line="240" w:lineRule="auto" w:before="0" w:after="0"/>
        <w:ind w:left="1169" w:right="0" w:hanging="530"/>
        <w:jc w:val="left"/>
        <w:rPr>
          <w:sz w:val="21"/>
        </w:rPr>
      </w:pPr>
      <w:r>
        <w:rPr>
          <w:spacing w:val="-3"/>
          <w:sz w:val="21"/>
        </w:rPr>
        <w:t>本基金的目标</w:t>
      </w:r>
      <w:r>
        <w:rPr>
          <w:rFonts w:ascii="Times New Roman" w:eastAsia="Times New Roman"/>
          <w:sz w:val="21"/>
        </w:rPr>
        <w:t>ETF</w:t>
      </w:r>
      <w:r>
        <w:rPr>
          <w:spacing w:val="-3"/>
          <w:sz w:val="21"/>
        </w:rPr>
        <w:t>暂停申购、赎回或交易。</w:t>
      </w:r>
    </w:p>
    <w:p>
      <w:pPr>
        <w:pStyle w:val="BodyText"/>
        <w:spacing w:before="6"/>
        <w:ind w:left="0"/>
        <w:rPr>
          <w:sz w:val="15"/>
        </w:rPr>
      </w:pPr>
    </w:p>
    <w:p>
      <w:pPr>
        <w:pStyle w:val="ListParagraph"/>
        <w:numPr>
          <w:ilvl w:val="0"/>
          <w:numId w:val="17"/>
        </w:numPr>
        <w:tabs>
          <w:tab w:pos="1170" w:val="left" w:leader="none"/>
        </w:tabs>
        <w:spacing w:line="240" w:lineRule="auto" w:before="1" w:after="0"/>
        <w:ind w:left="1169" w:right="0" w:hanging="530"/>
        <w:jc w:val="left"/>
        <w:rPr>
          <w:sz w:val="21"/>
        </w:rPr>
      </w:pPr>
      <w:r>
        <w:rPr>
          <w:spacing w:val="-3"/>
          <w:sz w:val="21"/>
        </w:rPr>
        <w:t>本基金的目标</w:t>
      </w:r>
      <w:r>
        <w:rPr>
          <w:rFonts w:ascii="Times New Roman" w:eastAsia="Times New Roman"/>
          <w:sz w:val="21"/>
        </w:rPr>
        <w:t>ETF</w:t>
      </w:r>
      <w:r>
        <w:rPr>
          <w:spacing w:val="-1"/>
          <w:sz w:val="21"/>
        </w:rPr>
        <w:t>暂停估值。</w:t>
      </w:r>
    </w:p>
    <w:p>
      <w:pPr>
        <w:pStyle w:val="BodyText"/>
        <w:spacing w:before="6"/>
        <w:ind w:left="0"/>
        <w:rPr>
          <w:sz w:val="15"/>
        </w:rPr>
      </w:pPr>
    </w:p>
    <w:p>
      <w:pPr>
        <w:pStyle w:val="ListParagraph"/>
        <w:numPr>
          <w:ilvl w:val="0"/>
          <w:numId w:val="17"/>
        </w:numPr>
        <w:tabs>
          <w:tab w:pos="1167" w:val="left" w:leader="none"/>
        </w:tabs>
        <w:spacing w:line="417" w:lineRule="auto" w:before="0" w:after="0"/>
        <w:ind w:left="220" w:right="988" w:firstLine="419"/>
        <w:jc w:val="left"/>
        <w:rPr>
          <w:sz w:val="21"/>
        </w:rPr>
      </w:pPr>
      <w:r>
        <w:rPr>
          <w:spacing w:val="-2"/>
          <w:sz w:val="21"/>
        </w:rPr>
        <w:t>连续</w:t>
      </w:r>
      <w:r>
        <w:rPr>
          <w:rFonts w:ascii="Times New Roman" w:eastAsia="Times New Roman"/>
          <w:sz w:val="21"/>
        </w:rPr>
        <w:t>2</w:t>
      </w:r>
      <w:r>
        <w:rPr>
          <w:spacing w:val="-2"/>
          <w:sz w:val="21"/>
        </w:rPr>
        <w:t>个或</w:t>
      </w:r>
      <w:r>
        <w:rPr>
          <w:rFonts w:ascii="Times New Roman" w:eastAsia="Times New Roman"/>
          <w:spacing w:val="-3"/>
          <w:sz w:val="21"/>
        </w:rPr>
        <w:t>2</w:t>
      </w:r>
      <w:r>
        <w:rPr>
          <w:spacing w:val="-8"/>
          <w:sz w:val="21"/>
        </w:rPr>
        <w:t>个以上开放日发生巨额赎回，根据基金合同规定，可以暂停接受赎 </w:t>
      </w:r>
      <w:r>
        <w:rPr>
          <w:spacing w:val="-2"/>
          <w:sz w:val="21"/>
        </w:rPr>
        <w:t>回申请的情况。</w:t>
      </w:r>
    </w:p>
    <w:p>
      <w:pPr>
        <w:pStyle w:val="ListParagraph"/>
        <w:numPr>
          <w:ilvl w:val="0"/>
          <w:numId w:val="17"/>
        </w:numPr>
        <w:tabs>
          <w:tab w:pos="1167" w:val="left" w:leader="none"/>
        </w:tabs>
        <w:spacing w:line="417" w:lineRule="auto" w:before="0" w:after="0"/>
        <w:ind w:left="220" w:right="986" w:firstLine="419"/>
        <w:jc w:val="both"/>
        <w:rPr>
          <w:sz w:val="21"/>
        </w:rPr>
      </w:pPr>
      <w:r>
        <w:rPr>
          <w:spacing w:val="-5"/>
          <w:sz w:val="21"/>
        </w:rPr>
        <w:t>发生基金合同规定的暂停基金资产估值的情况。当前一估值日基金资产净值 </w:t>
      </w:r>
      <w:r>
        <w:rPr>
          <w:rFonts w:ascii="Times New Roman" w:eastAsia="Times New Roman"/>
          <w:spacing w:val="-5"/>
          <w:sz w:val="21"/>
        </w:rPr>
        <w:t>50%</w:t>
      </w:r>
      <w:r>
        <w:rPr>
          <w:spacing w:val="-4"/>
          <w:sz w:val="21"/>
        </w:rPr>
        <w:t>以上的资产出现无可参考的活跃市场价格且采用估值技术仍导致公允价值存在重大不</w:t>
      </w:r>
      <w:r>
        <w:rPr>
          <w:spacing w:val="-3"/>
          <w:sz w:val="21"/>
        </w:rPr>
        <w:t>确定性时，经与基金托管人协商确认后，基金管理人应当暂停接受基金赎回申请或延缓支付赎回款项。</w:t>
      </w:r>
    </w:p>
    <w:p>
      <w:pPr>
        <w:spacing w:after="0" w:line="417" w:lineRule="auto"/>
        <w:jc w:val="both"/>
        <w:rPr>
          <w:sz w:val="21"/>
        </w:rPr>
        <w:sectPr>
          <w:pgSz w:w="11910" w:h="16840"/>
          <w:pgMar w:header="705" w:footer="683" w:top="1420" w:bottom="880" w:left="1580" w:right="920"/>
        </w:sectPr>
      </w:pPr>
    </w:p>
    <w:p>
      <w:pPr>
        <w:pStyle w:val="ListParagraph"/>
        <w:numPr>
          <w:ilvl w:val="0"/>
          <w:numId w:val="17"/>
        </w:numPr>
        <w:tabs>
          <w:tab w:pos="1170" w:val="left" w:leader="none"/>
        </w:tabs>
        <w:spacing w:line="240" w:lineRule="auto" w:before="110" w:after="0"/>
        <w:ind w:left="1169" w:right="0" w:hanging="530"/>
        <w:jc w:val="left"/>
        <w:rPr>
          <w:sz w:val="21"/>
        </w:rPr>
      </w:pPr>
      <w:r>
        <w:rPr>
          <w:spacing w:val="-3"/>
          <w:sz w:val="21"/>
        </w:rPr>
        <w:t>法律、法规规定或经中国证监会认定的其他情形。</w:t>
      </w:r>
    </w:p>
    <w:p>
      <w:pPr>
        <w:pStyle w:val="BodyText"/>
        <w:spacing w:before="6"/>
        <w:ind w:left="0"/>
        <w:rPr>
          <w:sz w:val="15"/>
        </w:rPr>
      </w:pPr>
    </w:p>
    <w:p>
      <w:pPr>
        <w:pStyle w:val="BodyText"/>
        <w:spacing w:line="417" w:lineRule="auto"/>
        <w:ind w:left="220" w:right="986" w:firstLine="419"/>
        <w:jc w:val="both"/>
      </w:pPr>
      <w:r>
        <w:rPr/>
        <w:t>发生上述情形之一的，已经确认的赎回申请，基金管理人应当足额支付；如暂时不能足额支付，应当按单个赎回申请人已被接受的赎回申请量占已接受的赎回申请总量的比例分配给赎回申请人，其余部分在后续开放日予以支付。</w:t>
      </w:r>
    </w:p>
    <w:p>
      <w:pPr>
        <w:pStyle w:val="BodyText"/>
        <w:spacing w:line="269" w:lineRule="exact"/>
      </w:pPr>
      <w:r>
        <w:rPr/>
        <w:t>在暂停赎回的情况消除时，基金管理人应及时恢复赎回业务的办理。</w:t>
      </w:r>
    </w:p>
    <w:p>
      <w:pPr>
        <w:pStyle w:val="BodyText"/>
        <w:spacing w:before="7"/>
        <w:ind w:left="0"/>
        <w:rPr>
          <w:sz w:val="15"/>
        </w:rPr>
      </w:pPr>
    </w:p>
    <w:p>
      <w:pPr>
        <w:pStyle w:val="BodyText"/>
      </w:pPr>
      <w:r>
        <w:rPr>
          <w:rFonts w:ascii="Times New Roman" w:eastAsia="Times New Roman"/>
        </w:rPr>
        <w:t>3</w:t>
      </w:r>
      <w:r>
        <w:rPr/>
        <w:t>、暂停基金的申购、赎回，基金管理人应按规定公告。</w:t>
      </w:r>
    </w:p>
    <w:p>
      <w:pPr>
        <w:pStyle w:val="BodyText"/>
        <w:spacing w:before="7"/>
        <w:ind w:left="0"/>
        <w:rPr>
          <w:sz w:val="15"/>
        </w:rPr>
      </w:pPr>
    </w:p>
    <w:p>
      <w:pPr>
        <w:pStyle w:val="BodyText"/>
      </w:pPr>
      <w:r>
        <w:rPr>
          <w:rFonts w:ascii="Times New Roman" w:eastAsia="Times New Roman"/>
        </w:rPr>
        <w:t>4</w:t>
      </w:r>
      <w:r>
        <w:rPr/>
        <w:t>、暂停期间结束，基金重新开放时，基金管理人应按规定公告。</w:t>
      </w:r>
    </w:p>
    <w:p>
      <w:pPr>
        <w:pStyle w:val="BodyText"/>
        <w:spacing w:before="7"/>
        <w:ind w:left="0"/>
        <w:rPr>
          <w:sz w:val="15"/>
        </w:rPr>
      </w:pPr>
    </w:p>
    <w:p>
      <w:pPr>
        <w:pStyle w:val="ListParagraph"/>
        <w:numPr>
          <w:ilvl w:val="0"/>
          <w:numId w:val="18"/>
        </w:numPr>
        <w:tabs>
          <w:tab w:pos="1167" w:val="left" w:leader="none"/>
        </w:tabs>
        <w:spacing w:line="240" w:lineRule="auto" w:before="0" w:after="0"/>
        <w:ind w:left="1167" w:right="0" w:hanging="527"/>
        <w:jc w:val="left"/>
        <w:rPr>
          <w:sz w:val="21"/>
        </w:rPr>
      </w:pPr>
      <w:r>
        <w:rPr>
          <w:spacing w:val="-9"/>
          <w:sz w:val="21"/>
        </w:rPr>
        <w:t>如发生暂停的时间为 </w:t>
      </w:r>
      <w:r>
        <w:rPr>
          <w:rFonts w:ascii="Times New Roman" w:eastAsia="Times New Roman"/>
          <w:sz w:val="21"/>
        </w:rPr>
        <w:t>1</w:t>
      </w:r>
      <w:r>
        <w:rPr>
          <w:rFonts w:ascii="Times New Roman" w:eastAsia="Times New Roman"/>
          <w:spacing w:val="2"/>
          <w:sz w:val="21"/>
        </w:rPr>
        <w:t> </w:t>
      </w:r>
      <w:r>
        <w:rPr>
          <w:spacing w:val="-10"/>
          <w:sz w:val="21"/>
        </w:rPr>
        <w:t>日，基金管理人应于重新开放日，在至少一种指定媒介上</w:t>
      </w:r>
    </w:p>
    <w:p>
      <w:pPr>
        <w:pStyle w:val="BodyText"/>
        <w:spacing w:before="7"/>
        <w:ind w:left="0"/>
        <w:rPr>
          <w:sz w:val="15"/>
        </w:rPr>
      </w:pPr>
    </w:p>
    <w:p>
      <w:pPr>
        <w:pStyle w:val="BodyText"/>
        <w:ind w:left="220"/>
        <w:jc w:val="both"/>
      </w:pPr>
      <w:r>
        <w:rPr/>
        <w:t>刊登基金重新开放申购或赎回公告，并公布最近 </w:t>
      </w:r>
      <w:r>
        <w:rPr>
          <w:rFonts w:ascii="Times New Roman" w:eastAsia="Times New Roman"/>
        </w:rPr>
        <w:t>1 </w:t>
      </w:r>
      <w:r>
        <w:rPr/>
        <w:t>个开放日的基金份额净值。</w:t>
      </w:r>
    </w:p>
    <w:p>
      <w:pPr>
        <w:pStyle w:val="BodyText"/>
        <w:spacing w:before="7"/>
        <w:ind w:left="0"/>
        <w:rPr>
          <w:sz w:val="15"/>
        </w:rPr>
      </w:pPr>
    </w:p>
    <w:p>
      <w:pPr>
        <w:pStyle w:val="ListParagraph"/>
        <w:numPr>
          <w:ilvl w:val="0"/>
          <w:numId w:val="18"/>
        </w:numPr>
        <w:tabs>
          <w:tab w:pos="1170" w:val="left" w:leader="none"/>
        </w:tabs>
        <w:spacing w:line="240" w:lineRule="auto" w:before="0" w:after="0"/>
        <w:ind w:left="1169" w:right="0" w:hanging="530"/>
        <w:jc w:val="left"/>
        <w:rPr>
          <w:sz w:val="21"/>
        </w:rPr>
      </w:pPr>
      <w:r>
        <w:rPr>
          <w:spacing w:val="-8"/>
          <w:sz w:val="21"/>
        </w:rPr>
        <w:t>如发生暂停的时间超过 </w:t>
      </w:r>
      <w:r>
        <w:rPr>
          <w:rFonts w:ascii="Times New Roman" w:eastAsia="Times New Roman"/>
          <w:sz w:val="21"/>
        </w:rPr>
        <w:t>1</w:t>
      </w:r>
      <w:r>
        <w:rPr>
          <w:rFonts w:ascii="Times New Roman" w:eastAsia="Times New Roman"/>
          <w:spacing w:val="2"/>
          <w:sz w:val="21"/>
        </w:rPr>
        <w:t> </w:t>
      </w:r>
      <w:r>
        <w:rPr>
          <w:spacing w:val="-13"/>
          <w:sz w:val="21"/>
        </w:rPr>
        <w:t>日但少于 </w:t>
      </w:r>
      <w:r>
        <w:rPr>
          <w:rFonts w:ascii="Times New Roman" w:eastAsia="Times New Roman"/>
          <w:sz w:val="21"/>
        </w:rPr>
        <w:t>2</w:t>
      </w:r>
      <w:r>
        <w:rPr>
          <w:rFonts w:ascii="Times New Roman" w:eastAsia="Times New Roman"/>
          <w:spacing w:val="-1"/>
          <w:sz w:val="21"/>
        </w:rPr>
        <w:t> </w:t>
      </w:r>
      <w:r>
        <w:rPr>
          <w:spacing w:val="-17"/>
          <w:sz w:val="21"/>
        </w:rPr>
        <w:t>周，暂停结束，基金重新开放申购或赎回时，</w:t>
      </w:r>
    </w:p>
    <w:p>
      <w:pPr>
        <w:pStyle w:val="BodyText"/>
        <w:spacing w:before="6"/>
        <w:ind w:left="0"/>
        <w:rPr>
          <w:sz w:val="15"/>
        </w:rPr>
      </w:pPr>
    </w:p>
    <w:p>
      <w:pPr>
        <w:pStyle w:val="BodyText"/>
        <w:spacing w:before="1"/>
        <w:ind w:left="220"/>
        <w:jc w:val="both"/>
      </w:pPr>
      <w:r>
        <w:rPr/>
        <w:t>基金管理人应提前 </w:t>
      </w:r>
      <w:r>
        <w:rPr>
          <w:rFonts w:ascii="Times New Roman" w:eastAsia="Times New Roman"/>
        </w:rPr>
        <w:t>2 </w:t>
      </w:r>
      <w:r>
        <w:rPr/>
        <w:t>日在至少一种指定媒介上刊登基金重新开放申购或赎回公告，并公告</w:t>
      </w:r>
    </w:p>
    <w:p>
      <w:pPr>
        <w:pStyle w:val="BodyText"/>
        <w:spacing w:before="6"/>
        <w:ind w:left="0"/>
        <w:rPr>
          <w:sz w:val="15"/>
        </w:rPr>
      </w:pPr>
    </w:p>
    <w:p>
      <w:pPr>
        <w:pStyle w:val="BodyText"/>
        <w:ind w:left="220"/>
        <w:jc w:val="both"/>
      </w:pPr>
      <w:r>
        <w:rPr/>
        <w:t>最近 </w:t>
      </w:r>
      <w:r>
        <w:rPr>
          <w:rFonts w:ascii="Times New Roman" w:eastAsia="Times New Roman"/>
        </w:rPr>
        <w:t>1 </w:t>
      </w:r>
      <w:r>
        <w:rPr/>
        <w:t>个开放日的基金份额净值。</w:t>
      </w:r>
    </w:p>
    <w:p>
      <w:pPr>
        <w:pStyle w:val="BodyText"/>
        <w:spacing w:before="7"/>
        <w:ind w:left="0"/>
        <w:rPr>
          <w:sz w:val="15"/>
        </w:rPr>
      </w:pPr>
    </w:p>
    <w:p>
      <w:pPr>
        <w:pStyle w:val="ListParagraph"/>
        <w:numPr>
          <w:ilvl w:val="0"/>
          <w:numId w:val="18"/>
        </w:numPr>
        <w:tabs>
          <w:tab w:pos="1170" w:val="left" w:leader="none"/>
        </w:tabs>
        <w:spacing w:line="417" w:lineRule="auto" w:before="0" w:after="0"/>
        <w:ind w:left="220" w:right="986" w:firstLine="419"/>
        <w:jc w:val="both"/>
        <w:rPr>
          <w:sz w:val="21"/>
        </w:rPr>
      </w:pPr>
      <w:r>
        <w:rPr>
          <w:spacing w:val="-3"/>
          <w:sz w:val="21"/>
        </w:rPr>
        <w:t>如发生暂停的时间超过</w:t>
      </w:r>
      <w:r>
        <w:rPr>
          <w:rFonts w:ascii="Times New Roman" w:eastAsia="Times New Roman"/>
          <w:sz w:val="21"/>
        </w:rPr>
        <w:t>2</w:t>
      </w:r>
      <w:r>
        <w:rPr>
          <w:spacing w:val="-3"/>
          <w:sz w:val="21"/>
        </w:rPr>
        <w:t>周，暂停期间，基金管理人应每</w:t>
      </w:r>
      <w:r>
        <w:rPr>
          <w:rFonts w:ascii="Times New Roman" w:eastAsia="Times New Roman"/>
          <w:spacing w:val="-3"/>
          <w:sz w:val="21"/>
        </w:rPr>
        <w:t>2</w:t>
      </w:r>
      <w:r>
        <w:rPr>
          <w:spacing w:val="-3"/>
          <w:sz w:val="21"/>
        </w:rPr>
        <w:t>周至少刊登暂停公告</w:t>
      </w:r>
      <w:r>
        <w:rPr>
          <w:rFonts w:ascii="Times New Roman" w:eastAsia="Times New Roman"/>
          <w:sz w:val="21"/>
        </w:rPr>
        <w:t>1 </w:t>
      </w:r>
      <w:r>
        <w:rPr>
          <w:spacing w:val="-3"/>
          <w:sz w:val="21"/>
        </w:rPr>
        <w:t>次。当连续暂停时间超过两个月时，可对重复刊登暂停公告的频率进行调整。暂停结束， </w:t>
      </w:r>
      <w:r>
        <w:rPr>
          <w:spacing w:val="-11"/>
          <w:sz w:val="21"/>
        </w:rPr>
        <w:t>基金重新开放申购或赎回时，基金管理人应提前</w:t>
      </w:r>
      <w:r>
        <w:rPr>
          <w:rFonts w:ascii="Times New Roman" w:eastAsia="Times New Roman"/>
          <w:sz w:val="21"/>
        </w:rPr>
        <w:t>2</w:t>
      </w:r>
      <w:r>
        <w:rPr>
          <w:spacing w:val="-3"/>
          <w:sz w:val="21"/>
        </w:rPr>
        <w:t>日在至少一种指定媒介上刊登基金重新开放申购或赎回公告，并公告最近</w:t>
      </w:r>
      <w:r>
        <w:rPr>
          <w:rFonts w:ascii="Times New Roman" w:eastAsia="Times New Roman"/>
          <w:sz w:val="21"/>
        </w:rPr>
        <w:t>1</w:t>
      </w:r>
      <w:r>
        <w:rPr>
          <w:spacing w:val="-3"/>
          <w:sz w:val="21"/>
        </w:rPr>
        <w:t>个开放日的基金份额净值。</w:t>
      </w:r>
    </w:p>
    <w:p>
      <w:pPr>
        <w:pStyle w:val="BodyText"/>
        <w:spacing w:line="269" w:lineRule="exact"/>
      </w:pPr>
      <w:r>
        <w:rPr/>
        <w:t>（十三）基金转换</w:t>
      </w:r>
    </w:p>
    <w:p>
      <w:pPr>
        <w:pStyle w:val="BodyText"/>
        <w:spacing w:before="7"/>
        <w:ind w:left="0"/>
        <w:rPr>
          <w:sz w:val="15"/>
        </w:rPr>
      </w:pPr>
    </w:p>
    <w:p>
      <w:pPr>
        <w:pStyle w:val="BodyText"/>
        <w:spacing w:line="417" w:lineRule="auto"/>
        <w:ind w:left="220" w:right="986" w:firstLine="419"/>
        <w:jc w:val="both"/>
      </w:pPr>
      <w:r>
        <w:rPr/>
        <w:t>基金管理人可以根据相关法律法规以及基金合同的规定，在条件成熟的情况下提供本基金与基金管理人管理的其他基金之间的转换服务。基金转换可以收取一定的转换费。基金转换的程序及相关规则由基金管理人届时根据相关法律法规及基金合同的规定制定并公告。</w:t>
      </w:r>
    </w:p>
    <w:p>
      <w:pPr>
        <w:pStyle w:val="BodyText"/>
      </w:pPr>
      <w:r>
        <w:rPr/>
        <w:t>（十四）基金的非交易过户、转托管与冻结等业务</w:t>
      </w:r>
    </w:p>
    <w:p>
      <w:pPr>
        <w:pStyle w:val="BodyText"/>
        <w:spacing w:before="6"/>
        <w:ind w:left="0"/>
        <w:rPr>
          <w:sz w:val="15"/>
        </w:rPr>
      </w:pPr>
    </w:p>
    <w:p>
      <w:pPr>
        <w:pStyle w:val="BodyText"/>
        <w:spacing w:line="417" w:lineRule="auto"/>
        <w:ind w:left="220" w:right="986" w:firstLine="419"/>
        <w:jc w:val="both"/>
      </w:pPr>
      <w:r>
        <w:rPr>
          <w:rFonts w:ascii="Times New Roman" w:eastAsia="Times New Roman"/>
        </w:rPr>
        <w:t>1</w:t>
      </w:r>
      <w:r>
        <w:rPr>
          <w:spacing w:val="-11"/>
        </w:rPr>
        <w:t>、非交易过户是指不采用申购、赎回等基金交易方式，将一定数量的基金份额按照一</w:t>
      </w:r>
      <w:r>
        <w:rPr>
          <w:spacing w:val="-6"/>
        </w:rPr>
        <w:t>定规则从某一投资者基金账户转移到另一投资者基金账户的行为，包括继承、捐赠、司法</w:t>
      </w:r>
      <w:r>
        <w:rPr>
          <w:spacing w:val="-14"/>
        </w:rPr>
        <w:t>强制执行及基金登记结算机构认可的、符合法律法规的其他行为。无论在上述何种情况下， </w:t>
      </w:r>
      <w:r>
        <w:rPr>
          <w:spacing w:val="-7"/>
        </w:rPr>
        <w:t>接受划转的主体必须是符合相关法律法规和基金合同规定的合格的个人投资者或机构投资</w:t>
      </w:r>
      <w:r>
        <w:rPr>
          <w:spacing w:val="-4"/>
        </w:rPr>
        <w:t>者。其中：</w:t>
      </w:r>
    </w:p>
    <w:p>
      <w:pPr>
        <w:pStyle w:val="ListParagraph"/>
        <w:numPr>
          <w:ilvl w:val="0"/>
          <w:numId w:val="19"/>
        </w:numPr>
        <w:tabs>
          <w:tab w:pos="1170" w:val="left" w:leader="none"/>
        </w:tabs>
        <w:spacing w:line="268" w:lineRule="exact" w:before="0" w:after="0"/>
        <w:ind w:left="1169" w:right="0" w:hanging="530"/>
        <w:jc w:val="left"/>
        <w:rPr>
          <w:sz w:val="21"/>
        </w:rPr>
      </w:pPr>
      <w:r>
        <w:rPr>
          <w:spacing w:val="-3"/>
          <w:sz w:val="21"/>
        </w:rPr>
        <w:t>“继承”是指基金份额持有人死亡，其持有的基金份额由其合法的继承人继承。</w:t>
      </w:r>
    </w:p>
    <w:p>
      <w:pPr>
        <w:pStyle w:val="BodyText"/>
        <w:spacing w:before="7"/>
        <w:ind w:left="0"/>
        <w:rPr>
          <w:sz w:val="15"/>
        </w:rPr>
      </w:pPr>
    </w:p>
    <w:p>
      <w:pPr>
        <w:pStyle w:val="ListParagraph"/>
        <w:numPr>
          <w:ilvl w:val="0"/>
          <w:numId w:val="19"/>
        </w:numPr>
        <w:tabs>
          <w:tab w:pos="1167" w:val="left" w:leader="none"/>
        </w:tabs>
        <w:spacing w:line="417" w:lineRule="auto" w:before="1" w:after="0"/>
        <w:ind w:left="220" w:right="986" w:firstLine="419"/>
        <w:jc w:val="left"/>
        <w:rPr>
          <w:sz w:val="21"/>
        </w:rPr>
      </w:pPr>
      <w:r>
        <w:rPr>
          <w:spacing w:val="-3"/>
          <w:sz w:val="21"/>
        </w:rPr>
        <w:t>“捐赠”仅指基金份额持有人将其合法持有的基金份额捐赠给福利性质的基金会或其他具有社会公益性质的社会团体。</w:t>
      </w:r>
    </w:p>
    <w:p>
      <w:pPr>
        <w:spacing w:after="0" w:line="417" w:lineRule="auto"/>
        <w:jc w:val="left"/>
        <w:rPr>
          <w:sz w:val="21"/>
        </w:rPr>
        <w:sectPr>
          <w:pgSz w:w="11910" w:h="16840"/>
          <w:pgMar w:header="705" w:footer="683" w:top="1420" w:bottom="880" w:left="1580" w:right="920"/>
        </w:sectPr>
      </w:pPr>
    </w:p>
    <w:p>
      <w:pPr>
        <w:pStyle w:val="ListParagraph"/>
        <w:numPr>
          <w:ilvl w:val="0"/>
          <w:numId w:val="19"/>
        </w:numPr>
        <w:tabs>
          <w:tab w:pos="1167" w:val="left" w:leader="none"/>
        </w:tabs>
        <w:spacing w:line="417" w:lineRule="auto" w:before="110" w:after="0"/>
        <w:ind w:left="220" w:right="986" w:firstLine="419"/>
        <w:jc w:val="left"/>
        <w:rPr>
          <w:sz w:val="21"/>
        </w:rPr>
      </w:pPr>
      <w:r>
        <w:rPr>
          <w:spacing w:val="-3"/>
          <w:sz w:val="21"/>
        </w:rPr>
        <w:t>“司法强制执行”是指国家有权机关依据生效的法律文书将基金份额持有人持有的基金份额强制执行划转给其他自然人、法人、社会团体或其他组织。</w:t>
      </w:r>
    </w:p>
    <w:p>
      <w:pPr>
        <w:pStyle w:val="BodyText"/>
        <w:spacing w:line="417" w:lineRule="auto"/>
        <w:ind w:left="220" w:right="986" w:firstLine="419"/>
      </w:pPr>
      <w:r>
        <w:rPr>
          <w:rFonts w:ascii="Times New Roman" w:eastAsia="Times New Roman"/>
        </w:rPr>
        <w:t>2</w:t>
      </w:r>
      <w:r>
        <w:rPr>
          <w:spacing w:val="-11"/>
        </w:rPr>
        <w:t>、办理非交易过户业务必须提供基金登记结算机构要求提供的相关资料，并向基金登</w:t>
      </w:r>
      <w:r>
        <w:rPr>
          <w:spacing w:val="-6"/>
        </w:rPr>
        <w:t>记结算机构申请办理。</w:t>
      </w:r>
    </w:p>
    <w:p>
      <w:pPr>
        <w:pStyle w:val="BodyText"/>
        <w:spacing w:line="417" w:lineRule="auto"/>
        <w:ind w:left="220" w:right="989" w:firstLine="419"/>
      </w:pPr>
      <w:r>
        <w:rPr>
          <w:rFonts w:ascii="Times New Roman" w:eastAsia="Times New Roman"/>
        </w:rPr>
        <w:t>3</w:t>
      </w:r>
      <w:r>
        <w:rPr/>
        <w:t>、符合条件的非交易过户申请自申请受理日起</w:t>
      </w:r>
      <w:r>
        <w:rPr>
          <w:rFonts w:ascii="Times New Roman" w:eastAsia="Times New Roman"/>
        </w:rPr>
        <w:t>2</w:t>
      </w:r>
      <w:r>
        <w:rPr/>
        <w:t>个月内办理；申请人按基金登记结算机构规定的标准缴纳过户费用。</w:t>
      </w:r>
    </w:p>
    <w:p>
      <w:pPr>
        <w:pStyle w:val="BodyText"/>
        <w:spacing w:line="417" w:lineRule="auto"/>
        <w:ind w:left="220" w:right="986" w:firstLine="419"/>
        <w:jc w:val="both"/>
      </w:pPr>
      <w:r>
        <w:rPr>
          <w:rFonts w:ascii="Times New Roman" w:eastAsia="Times New Roman"/>
        </w:rPr>
        <w:t>4</w:t>
      </w:r>
      <w:r>
        <w:rPr>
          <w:spacing w:val="-11"/>
        </w:rPr>
        <w:t>、基金份额持有人可以办理其基金份额在不同交易账户间的转托管手续，基金销售机</w:t>
      </w:r>
      <w:r>
        <w:rPr>
          <w:spacing w:val="-6"/>
        </w:rPr>
        <w:t>构可以按照规定的标准收取转托管费。具体办理方法参照基金管理人及代销机构的业务规则。</w:t>
      </w:r>
    </w:p>
    <w:p>
      <w:pPr>
        <w:pStyle w:val="BodyText"/>
        <w:spacing w:line="417" w:lineRule="auto"/>
        <w:ind w:left="220" w:right="777" w:firstLine="419"/>
      </w:pPr>
      <w:r>
        <w:rPr>
          <w:rFonts w:ascii="Times New Roman" w:eastAsia="Times New Roman"/>
        </w:rPr>
        <w:t>5</w:t>
      </w:r>
      <w:r>
        <w:rPr>
          <w:spacing w:val="-12"/>
        </w:rPr>
        <w:t>、基金登记结算机构受理国家有权机关依法要求的基金账户或基金份额的冻结与解冻， </w:t>
      </w:r>
      <w:r>
        <w:rPr>
          <w:spacing w:val="-6"/>
        </w:rPr>
        <w:t>以及登记结算机构认可的、符合法律法规的其他情况下的冻结与解冻。</w:t>
      </w:r>
    </w:p>
    <w:p>
      <w:pPr>
        <w:pStyle w:val="BodyText"/>
        <w:spacing w:before="1"/>
        <w:ind w:left="0"/>
        <w:rPr>
          <w:sz w:val="26"/>
        </w:rPr>
      </w:pPr>
    </w:p>
    <w:p>
      <w:pPr>
        <w:pStyle w:val="Heading1"/>
        <w:ind w:left="1350"/>
      </w:pPr>
      <w:bookmarkStart w:name="_bookmark9" w:id="10"/>
      <w:bookmarkEnd w:id="10"/>
      <w:r>
        <w:rPr>
          <w:b w:val="0"/>
        </w:rPr>
      </w:r>
      <w:r>
        <w:rPr/>
        <w:t>十、基金的费用与税收</w:t>
      </w:r>
    </w:p>
    <w:p>
      <w:pPr>
        <w:pStyle w:val="BodyText"/>
        <w:ind w:left="0"/>
        <w:rPr>
          <w:b/>
          <w:sz w:val="20"/>
        </w:rPr>
      </w:pPr>
    </w:p>
    <w:p>
      <w:pPr>
        <w:pStyle w:val="BodyText"/>
        <w:spacing w:before="6"/>
        <w:ind w:left="0"/>
        <w:rPr>
          <w:b/>
          <w:sz w:val="20"/>
        </w:rPr>
      </w:pPr>
    </w:p>
    <w:p>
      <w:pPr>
        <w:pStyle w:val="BodyText"/>
      </w:pPr>
      <w:r>
        <w:rPr/>
        <w:t>（一）基金运作费用</w:t>
      </w:r>
    </w:p>
    <w:p>
      <w:pPr>
        <w:pStyle w:val="BodyText"/>
        <w:ind w:left="0"/>
        <w:rPr>
          <w:sz w:val="15"/>
        </w:rPr>
      </w:pPr>
    </w:p>
    <w:p>
      <w:pPr>
        <w:pStyle w:val="BodyText"/>
      </w:pPr>
      <w:r>
        <w:rPr>
          <w:rFonts w:ascii="Times New Roman" w:eastAsia="Times New Roman"/>
        </w:rPr>
        <w:t>1</w:t>
      </w:r>
      <w:r>
        <w:rPr/>
        <w:t>、基金费用的种类</w:t>
      </w:r>
    </w:p>
    <w:p>
      <w:pPr>
        <w:pStyle w:val="BodyText"/>
        <w:spacing w:before="189"/>
      </w:pPr>
      <w:r>
        <w:rPr/>
        <w:t>基金运作过程中，从基金财产中支付的费用包括：</w:t>
      </w:r>
    </w:p>
    <w:p>
      <w:pPr>
        <w:pStyle w:val="BodyText"/>
        <w:spacing w:before="10"/>
        <w:ind w:left="0"/>
        <w:rPr>
          <w:sz w:val="14"/>
        </w:rPr>
      </w:pPr>
    </w:p>
    <w:p>
      <w:pPr>
        <w:pStyle w:val="ListParagraph"/>
        <w:numPr>
          <w:ilvl w:val="0"/>
          <w:numId w:val="20"/>
        </w:numPr>
        <w:tabs>
          <w:tab w:pos="1170" w:val="left" w:leader="none"/>
        </w:tabs>
        <w:spacing w:line="240" w:lineRule="auto" w:before="0" w:after="0"/>
        <w:ind w:left="1169" w:right="0" w:hanging="530"/>
        <w:jc w:val="left"/>
        <w:rPr>
          <w:sz w:val="21"/>
        </w:rPr>
      </w:pPr>
      <w:r>
        <w:rPr>
          <w:spacing w:val="-3"/>
          <w:sz w:val="21"/>
        </w:rPr>
        <w:t>基金管理人的管理费。</w:t>
      </w:r>
    </w:p>
    <w:p>
      <w:pPr>
        <w:pStyle w:val="ListParagraph"/>
        <w:numPr>
          <w:ilvl w:val="0"/>
          <w:numId w:val="20"/>
        </w:numPr>
        <w:tabs>
          <w:tab w:pos="1170" w:val="left" w:leader="none"/>
        </w:tabs>
        <w:spacing w:line="240" w:lineRule="auto" w:before="190" w:after="0"/>
        <w:ind w:left="1169" w:right="0" w:hanging="530"/>
        <w:jc w:val="left"/>
        <w:rPr>
          <w:sz w:val="21"/>
        </w:rPr>
      </w:pPr>
      <w:r>
        <w:rPr>
          <w:spacing w:val="-3"/>
          <w:sz w:val="21"/>
        </w:rPr>
        <w:t>基金托管人的托管费</w:t>
      </w:r>
      <w:r>
        <w:rPr>
          <w:sz w:val="21"/>
        </w:rPr>
        <w:t>（</w:t>
      </w:r>
      <w:r>
        <w:rPr>
          <w:spacing w:val="-3"/>
          <w:sz w:val="21"/>
        </w:rPr>
        <w:t>含境外资产托管人收取的费用</w:t>
      </w:r>
      <w:r>
        <w:rPr>
          <w:spacing w:val="-106"/>
          <w:sz w:val="21"/>
        </w:rPr>
        <w:t>）</w:t>
      </w:r>
      <w:r>
        <w:rPr>
          <w:sz w:val="21"/>
        </w:rPr>
        <w:t>。</w:t>
      </w:r>
    </w:p>
    <w:p>
      <w:pPr>
        <w:pStyle w:val="ListParagraph"/>
        <w:numPr>
          <w:ilvl w:val="0"/>
          <w:numId w:val="20"/>
        </w:numPr>
        <w:tabs>
          <w:tab w:pos="1170" w:val="left" w:leader="none"/>
        </w:tabs>
        <w:spacing w:line="240" w:lineRule="auto" w:before="189" w:after="0"/>
        <w:ind w:left="1169" w:right="0" w:hanging="530"/>
        <w:jc w:val="left"/>
        <w:rPr>
          <w:sz w:val="21"/>
        </w:rPr>
      </w:pPr>
      <w:r>
        <w:rPr>
          <w:spacing w:val="-3"/>
          <w:sz w:val="21"/>
        </w:rPr>
        <w:t>基金的销售服务费。</w:t>
      </w:r>
    </w:p>
    <w:p>
      <w:pPr>
        <w:pStyle w:val="ListParagraph"/>
        <w:numPr>
          <w:ilvl w:val="0"/>
          <w:numId w:val="20"/>
        </w:numPr>
        <w:tabs>
          <w:tab w:pos="1170" w:val="left" w:leader="none"/>
        </w:tabs>
        <w:spacing w:line="408" w:lineRule="auto" w:before="192" w:after="0"/>
        <w:ind w:left="220" w:right="986" w:firstLine="419"/>
        <w:jc w:val="left"/>
        <w:rPr>
          <w:sz w:val="21"/>
        </w:rPr>
      </w:pPr>
      <w:r>
        <w:rPr>
          <w:spacing w:val="-9"/>
          <w:sz w:val="21"/>
        </w:rPr>
        <w:t>标的指数使用许可费</w:t>
      </w:r>
      <w:r>
        <w:rPr>
          <w:sz w:val="21"/>
        </w:rPr>
        <w:t>（</w:t>
      </w:r>
      <w:r>
        <w:rPr>
          <w:spacing w:val="-3"/>
          <w:sz w:val="21"/>
        </w:rPr>
        <w:t>包括为指数公司缴纳的相关税收以及与支付外币相关的 汇兑损益、手续费、汇款费等</w:t>
      </w:r>
      <w:r>
        <w:rPr>
          <w:spacing w:val="-106"/>
          <w:sz w:val="21"/>
        </w:rPr>
        <w:t>）</w:t>
      </w:r>
      <w:r>
        <w:rPr>
          <w:sz w:val="21"/>
        </w:rPr>
        <w:t>。</w:t>
      </w:r>
    </w:p>
    <w:p>
      <w:pPr>
        <w:pStyle w:val="ListParagraph"/>
        <w:numPr>
          <w:ilvl w:val="0"/>
          <w:numId w:val="20"/>
        </w:numPr>
        <w:tabs>
          <w:tab w:pos="1167" w:val="left" w:leader="none"/>
        </w:tabs>
        <w:spacing w:line="408" w:lineRule="auto" w:before="5" w:after="0"/>
        <w:ind w:left="220" w:right="989" w:firstLine="419"/>
        <w:jc w:val="left"/>
        <w:rPr>
          <w:sz w:val="21"/>
        </w:rPr>
      </w:pPr>
      <w:r>
        <w:rPr>
          <w:spacing w:val="-9"/>
          <w:sz w:val="21"/>
        </w:rPr>
        <w:t>基金投资目标 </w:t>
      </w:r>
      <w:r>
        <w:rPr>
          <w:rFonts w:ascii="Times New Roman" w:eastAsia="Times New Roman"/>
          <w:sz w:val="21"/>
        </w:rPr>
        <w:t>ETF</w:t>
      </w:r>
      <w:r>
        <w:rPr>
          <w:rFonts w:ascii="Times New Roman" w:eastAsia="Times New Roman"/>
          <w:spacing w:val="7"/>
          <w:sz w:val="21"/>
        </w:rPr>
        <w:t> </w:t>
      </w:r>
      <w:r>
        <w:rPr>
          <w:spacing w:val="-2"/>
          <w:sz w:val="21"/>
        </w:rPr>
        <w:t>的相关费用</w:t>
      </w:r>
      <w:r>
        <w:rPr>
          <w:spacing w:val="-3"/>
          <w:sz w:val="21"/>
        </w:rPr>
        <w:t>（</w:t>
      </w:r>
      <w:r>
        <w:rPr>
          <w:spacing w:val="-8"/>
          <w:sz w:val="21"/>
        </w:rPr>
        <w:t>包括但不限于目标 </w:t>
      </w:r>
      <w:r>
        <w:rPr>
          <w:rFonts w:ascii="Times New Roman" w:eastAsia="Times New Roman"/>
          <w:sz w:val="21"/>
        </w:rPr>
        <w:t>ETF</w:t>
      </w:r>
      <w:r>
        <w:rPr>
          <w:rFonts w:ascii="Times New Roman" w:eastAsia="Times New Roman"/>
          <w:spacing w:val="4"/>
          <w:sz w:val="21"/>
        </w:rPr>
        <w:t> </w:t>
      </w:r>
      <w:r>
        <w:rPr>
          <w:spacing w:val="-3"/>
          <w:sz w:val="21"/>
        </w:rPr>
        <w:t>的交易费用、申购赎回费用等</w:t>
      </w:r>
      <w:r>
        <w:rPr>
          <w:spacing w:val="-106"/>
          <w:sz w:val="21"/>
        </w:rPr>
        <w:t>）</w:t>
      </w:r>
      <w:r>
        <w:rPr>
          <w:sz w:val="21"/>
        </w:rPr>
        <w:t>。</w:t>
      </w:r>
    </w:p>
    <w:p>
      <w:pPr>
        <w:pStyle w:val="ListParagraph"/>
        <w:numPr>
          <w:ilvl w:val="0"/>
          <w:numId w:val="20"/>
        </w:numPr>
        <w:tabs>
          <w:tab w:pos="1170" w:val="left" w:leader="none"/>
        </w:tabs>
        <w:spacing w:line="410" w:lineRule="auto" w:before="0" w:after="0"/>
        <w:ind w:left="220" w:right="883" w:firstLine="419"/>
        <w:jc w:val="left"/>
        <w:rPr>
          <w:sz w:val="21"/>
        </w:rPr>
      </w:pPr>
      <w:r>
        <w:rPr>
          <w:spacing w:val="-3"/>
          <w:sz w:val="21"/>
        </w:rPr>
        <w:t>因基金的证券交易或结算产生的费用</w:t>
      </w:r>
      <w:r>
        <w:rPr>
          <w:sz w:val="21"/>
        </w:rPr>
        <w:t>（</w:t>
      </w:r>
      <w:r>
        <w:rPr>
          <w:spacing w:val="-3"/>
          <w:sz w:val="21"/>
        </w:rPr>
        <w:t>包括但不限于经手费、印花税、证管费、过户费、手续费、券商佣金、权证交易的结算费、融资融券费、证券账户相关费用及其他类似性质的费用等</w:t>
      </w:r>
      <w:r>
        <w:rPr>
          <w:spacing w:val="-108"/>
          <w:sz w:val="21"/>
        </w:rPr>
        <w:t>）</w:t>
      </w:r>
      <w:r>
        <w:rPr>
          <w:sz w:val="21"/>
        </w:rPr>
        <w:t>。</w:t>
      </w:r>
    </w:p>
    <w:p>
      <w:pPr>
        <w:pStyle w:val="ListParagraph"/>
        <w:numPr>
          <w:ilvl w:val="0"/>
          <w:numId w:val="20"/>
        </w:numPr>
        <w:tabs>
          <w:tab w:pos="1167" w:val="left" w:leader="none"/>
        </w:tabs>
        <w:spacing w:line="408" w:lineRule="auto" w:before="0" w:after="0"/>
        <w:ind w:left="220" w:right="988" w:firstLine="419"/>
        <w:jc w:val="left"/>
        <w:rPr>
          <w:sz w:val="21"/>
        </w:rPr>
      </w:pPr>
      <w:r>
        <w:rPr>
          <w:spacing w:val="-10"/>
          <w:sz w:val="21"/>
        </w:rPr>
        <w:t>除法律法规、中国证监会另有规定外，基金合同生效以后与基金相关的信息披 </w:t>
      </w:r>
      <w:r>
        <w:rPr>
          <w:sz w:val="21"/>
        </w:rPr>
        <w:t>露费用。</w:t>
      </w:r>
    </w:p>
    <w:p>
      <w:pPr>
        <w:pStyle w:val="ListParagraph"/>
        <w:numPr>
          <w:ilvl w:val="0"/>
          <w:numId w:val="20"/>
        </w:numPr>
        <w:tabs>
          <w:tab w:pos="1170" w:val="left" w:leader="none"/>
        </w:tabs>
        <w:spacing w:line="240" w:lineRule="auto" w:before="0" w:after="0"/>
        <w:ind w:left="1169" w:right="0" w:hanging="530"/>
        <w:jc w:val="left"/>
        <w:rPr>
          <w:sz w:val="21"/>
        </w:rPr>
      </w:pPr>
      <w:r>
        <w:rPr>
          <w:spacing w:val="-3"/>
          <w:sz w:val="21"/>
        </w:rPr>
        <w:t>基金份额持有人大会费用。</w:t>
      </w:r>
    </w:p>
    <w:p>
      <w:pPr>
        <w:spacing w:after="0" w:line="240" w:lineRule="auto"/>
        <w:jc w:val="left"/>
        <w:rPr>
          <w:sz w:val="21"/>
        </w:rPr>
        <w:sectPr>
          <w:pgSz w:w="11910" w:h="16840"/>
          <w:pgMar w:header="705" w:footer="683" w:top="1420" w:bottom="880" w:left="1580" w:right="920"/>
        </w:sectPr>
      </w:pPr>
    </w:p>
    <w:p>
      <w:pPr>
        <w:pStyle w:val="ListParagraph"/>
        <w:numPr>
          <w:ilvl w:val="0"/>
          <w:numId w:val="20"/>
        </w:numPr>
        <w:tabs>
          <w:tab w:pos="1170" w:val="left" w:leader="none"/>
        </w:tabs>
        <w:spacing w:line="240" w:lineRule="auto" w:before="105" w:after="0"/>
        <w:ind w:left="1169" w:right="0" w:hanging="530"/>
        <w:jc w:val="left"/>
        <w:rPr>
          <w:sz w:val="21"/>
        </w:rPr>
      </w:pPr>
      <w:r>
        <w:rPr>
          <w:spacing w:val="-3"/>
          <w:sz w:val="21"/>
        </w:rPr>
        <w:t>基金合同生效以后的会计师费和律师费。</w:t>
      </w:r>
    </w:p>
    <w:p>
      <w:pPr>
        <w:pStyle w:val="ListParagraph"/>
        <w:numPr>
          <w:ilvl w:val="0"/>
          <w:numId w:val="20"/>
        </w:numPr>
        <w:tabs>
          <w:tab w:pos="1275" w:val="left" w:leader="none"/>
        </w:tabs>
        <w:spacing w:line="240" w:lineRule="auto" w:before="189" w:after="0"/>
        <w:ind w:left="1275" w:right="0" w:hanging="635"/>
        <w:jc w:val="left"/>
        <w:rPr>
          <w:sz w:val="21"/>
        </w:rPr>
      </w:pPr>
      <w:r>
        <w:rPr>
          <w:spacing w:val="-3"/>
          <w:sz w:val="21"/>
        </w:rPr>
        <w:t>基金进行外汇兑换交易的相关费用。</w:t>
      </w:r>
    </w:p>
    <w:p>
      <w:pPr>
        <w:pStyle w:val="ListParagraph"/>
        <w:numPr>
          <w:ilvl w:val="0"/>
          <w:numId w:val="20"/>
        </w:numPr>
        <w:tabs>
          <w:tab w:pos="1266" w:val="left" w:leader="none"/>
        </w:tabs>
        <w:spacing w:line="240" w:lineRule="auto" w:before="190" w:after="0"/>
        <w:ind w:left="1265" w:right="0" w:hanging="626"/>
        <w:jc w:val="left"/>
        <w:rPr>
          <w:sz w:val="21"/>
        </w:rPr>
      </w:pPr>
      <w:r>
        <w:rPr>
          <w:spacing w:val="-3"/>
          <w:sz w:val="21"/>
        </w:rPr>
        <w:t>基金的资金汇划费用。</w:t>
      </w:r>
    </w:p>
    <w:p>
      <w:pPr>
        <w:pStyle w:val="ListParagraph"/>
        <w:numPr>
          <w:ilvl w:val="0"/>
          <w:numId w:val="20"/>
        </w:numPr>
        <w:tabs>
          <w:tab w:pos="1275" w:val="left" w:leader="none"/>
        </w:tabs>
        <w:spacing w:line="240" w:lineRule="auto" w:before="191" w:after="0"/>
        <w:ind w:left="1275" w:right="0" w:hanging="635"/>
        <w:jc w:val="left"/>
        <w:rPr>
          <w:sz w:val="21"/>
        </w:rPr>
      </w:pPr>
      <w:r>
        <w:rPr>
          <w:spacing w:val="-3"/>
          <w:sz w:val="21"/>
        </w:rPr>
        <w:t>基金收益分配中发生的费用。</w:t>
      </w:r>
    </w:p>
    <w:p>
      <w:pPr>
        <w:pStyle w:val="ListParagraph"/>
        <w:numPr>
          <w:ilvl w:val="0"/>
          <w:numId w:val="20"/>
        </w:numPr>
        <w:tabs>
          <w:tab w:pos="1275" w:val="left" w:leader="none"/>
        </w:tabs>
        <w:spacing w:line="240" w:lineRule="auto" w:before="194" w:after="0"/>
        <w:ind w:left="1275" w:right="0" w:hanging="635"/>
        <w:jc w:val="left"/>
        <w:rPr>
          <w:sz w:val="21"/>
        </w:rPr>
      </w:pPr>
      <w:r>
        <w:rPr>
          <w:spacing w:val="-3"/>
          <w:sz w:val="21"/>
        </w:rPr>
        <w:t>与基金缴纳税收有关的手续费、汇款费等。</w:t>
      </w:r>
    </w:p>
    <w:p>
      <w:pPr>
        <w:pStyle w:val="ListParagraph"/>
        <w:numPr>
          <w:ilvl w:val="0"/>
          <w:numId w:val="20"/>
        </w:numPr>
        <w:tabs>
          <w:tab w:pos="1275" w:val="left" w:leader="none"/>
        </w:tabs>
        <w:spacing w:line="408" w:lineRule="auto" w:before="195" w:after="0"/>
        <w:ind w:left="220" w:right="986" w:firstLine="419"/>
        <w:jc w:val="left"/>
        <w:rPr>
          <w:sz w:val="21"/>
        </w:rPr>
      </w:pPr>
      <w:r>
        <w:rPr>
          <w:spacing w:val="-3"/>
          <w:sz w:val="21"/>
        </w:rPr>
        <w:t>其他为基金的利益而产生的费用，如代表基金投票产生的费用、与基金有关的诉讼费、追索费等。</w:t>
      </w:r>
    </w:p>
    <w:p>
      <w:pPr>
        <w:pStyle w:val="ListParagraph"/>
        <w:numPr>
          <w:ilvl w:val="0"/>
          <w:numId w:val="20"/>
        </w:numPr>
        <w:tabs>
          <w:tab w:pos="1275" w:val="left" w:leader="none"/>
        </w:tabs>
        <w:spacing w:line="240" w:lineRule="auto" w:before="2" w:after="0"/>
        <w:ind w:left="1275" w:right="0" w:hanging="635"/>
        <w:jc w:val="left"/>
        <w:rPr>
          <w:sz w:val="21"/>
        </w:rPr>
      </w:pPr>
      <w:r>
        <w:rPr>
          <w:spacing w:val="-3"/>
          <w:sz w:val="21"/>
        </w:rPr>
        <w:t>按照国家有关规定可以在基金财产中列支的其他费用。</w:t>
      </w:r>
    </w:p>
    <w:p>
      <w:pPr>
        <w:pStyle w:val="BodyText"/>
        <w:spacing w:line="410" w:lineRule="auto" w:before="190"/>
        <w:ind w:left="220" w:right="986" w:firstLine="419"/>
      </w:pPr>
      <w:r>
        <w:rPr/>
        <w:t>在中国证监会允许的前提下，本基金可以从基金财产中计提销售服务费，具体计提方法、计提标准在招募说明书或相关公告中载明。</w:t>
      </w:r>
    </w:p>
    <w:p>
      <w:pPr>
        <w:pStyle w:val="BodyText"/>
        <w:spacing w:line="268" w:lineRule="exact"/>
      </w:pPr>
      <w:r>
        <w:rPr>
          <w:rFonts w:ascii="Times New Roman" w:eastAsia="Times New Roman"/>
        </w:rPr>
        <w:t>2</w:t>
      </w:r>
      <w:r>
        <w:rPr/>
        <w:t>、基金费用计提方法、计提标准和支付方式</w:t>
      </w:r>
    </w:p>
    <w:p>
      <w:pPr>
        <w:pStyle w:val="ListParagraph"/>
        <w:numPr>
          <w:ilvl w:val="0"/>
          <w:numId w:val="21"/>
        </w:numPr>
        <w:tabs>
          <w:tab w:pos="1170" w:val="left" w:leader="none"/>
        </w:tabs>
        <w:spacing w:line="240" w:lineRule="auto" w:before="189" w:after="0"/>
        <w:ind w:left="1169" w:right="0" w:hanging="530"/>
        <w:jc w:val="left"/>
        <w:rPr>
          <w:sz w:val="21"/>
        </w:rPr>
      </w:pPr>
      <w:r>
        <w:rPr>
          <w:spacing w:val="-3"/>
          <w:sz w:val="21"/>
        </w:rPr>
        <w:t>基金管理人的管理费</w:t>
      </w:r>
    </w:p>
    <w:p>
      <w:pPr>
        <w:pStyle w:val="BodyText"/>
        <w:spacing w:before="189"/>
      </w:pPr>
      <w:r>
        <w:rPr/>
        <w:t>本基金投资目标</w:t>
      </w:r>
      <w:r>
        <w:rPr>
          <w:rFonts w:ascii="Times New Roman" w:eastAsia="Times New Roman"/>
        </w:rPr>
        <w:t>ETF</w:t>
      </w:r>
      <w:r>
        <w:rPr/>
        <w:t>部分不收取管理费。</w:t>
      </w:r>
    </w:p>
    <w:p>
      <w:pPr>
        <w:pStyle w:val="BodyText"/>
        <w:spacing w:line="410" w:lineRule="auto" w:before="190"/>
        <w:ind w:left="220" w:right="986" w:firstLine="419"/>
      </w:pPr>
      <w:r>
        <w:rPr/>
        <w:t>在通常情况下，基金管理费按前一日基金资产净值扣除基金资产中目标</w:t>
      </w:r>
      <w:r>
        <w:rPr>
          <w:rFonts w:ascii="Times New Roman" w:eastAsia="Times New Roman"/>
        </w:rPr>
        <w:t>ETF</w:t>
      </w:r>
      <w:r>
        <w:rPr/>
        <w:t>份额所对应资产净值后剩余部分的</w:t>
      </w:r>
      <w:r>
        <w:rPr>
          <w:rFonts w:ascii="Times New Roman" w:eastAsia="Times New Roman"/>
        </w:rPr>
        <w:t>0.60%</w:t>
      </w:r>
      <w:r>
        <w:rPr/>
        <w:t>年费率计提。计算方法如下：</w:t>
      </w:r>
    </w:p>
    <w:p>
      <w:pPr>
        <w:pStyle w:val="BodyText"/>
        <w:spacing w:line="268" w:lineRule="exact"/>
      </w:pPr>
      <w:r>
        <w:rPr>
          <w:rFonts w:ascii="Times New Roman" w:hAnsi="Times New Roman" w:eastAsia="Times New Roman"/>
        </w:rPr>
        <w:t>H</w:t>
      </w:r>
      <w:r>
        <w:rPr/>
        <w:t>＝</w:t>
      </w:r>
      <w:r>
        <w:rPr>
          <w:rFonts w:ascii="Times New Roman" w:hAnsi="Times New Roman" w:eastAsia="Times New Roman"/>
        </w:rPr>
        <w:t>E×0.60%÷</w:t>
      </w:r>
      <w:r>
        <w:rPr/>
        <w:t>当年天数</w:t>
      </w:r>
    </w:p>
    <w:p>
      <w:pPr>
        <w:pStyle w:val="BodyText"/>
        <w:spacing w:before="189"/>
      </w:pPr>
      <w:r>
        <w:rPr>
          <w:rFonts w:ascii="Times New Roman" w:eastAsia="Times New Roman"/>
        </w:rPr>
        <w:t>H</w:t>
      </w:r>
      <w:r>
        <w:rPr/>
        <w:t>为每日应计提的基金管理费</w:t>
      </w:r>
    </w:p>
    <w:p>
      <w:pPr>
        <w:pStyle w:val="BodyText"/>
        <w:spacing w:line="408" w:lineRule="auto" w:before="189"/>
        <w:ind w:left="220" w:right="989" w:firstLine="419"/>
      </w:pPr>
      <w:r>
        <w:rPr>
          <w:rFonts w:ascii="Times New Roman" w:eastAsia="Times New Roman"/>
        </w:rPr>
        <w:t>E</w:t>
      </w:r>
      <w:r>
        <w:rPr>
          <w:spacing w:val="-3"/>
        </w:rPr>
        <w:t>为前一日基金资产净值扣除基金资产中目标</w:t>
      </w:r>
      <w:r>
        <w:rPr>
          <w:rFonts w:ascii="Times New Roman" w:eastAsia="Times New Roman"/>
          <w:spacing w:val="-2"/>
        </w:rPr>
        <w:t>ETF</w:t>
      </w:r>
      <w:r>
        <w:rPr>
          <w:spacing w:val="-9"/>
        </w:rPr>
        <w:t>份额所对应资产净值后剩余部分，若</w:t>
      </w:r>
      <w:r>
        <w:rPr>
          <w:spacing w:val="-6"/>
        </w:rPr>
        <w:t>为负数，则</w:t>
      </w:r>
      <w:r>
        <w:rPr>
          <w:rFonts w:ascii="Times New Roman" w:eastAsia="Times New Roman"/>
        </w:rPr>
        <w:t>E</w:t>
      </w:r>
      <w:r>
        <w:rPr/>
        <w:t>取</w:t>
      </w:r>
      <w:r>
        <w:rPr>
          <w:rFonts w:ascii="Times New Roman" w:eastAsia="Times New Roman"/>
        </w:rPr>
        <w:t>0</w:t>
      </w:r>
      <w:r>
        <w:rPr/>
        <w:t>。</w:t>
      </w:r>
    </w:p>
    <w:p>
      <w:pPr>
        <w:pStyle w:val="BodyText"/>
        <w:spacing w:line="408" w:lineRule="auto" w:before="5"/>
        <w:ind w:left="220" w:right="986" w:firstLine="419"/>
      </w:pPr>
      <w:r>
        <w:rPr/>
        <w:t>基金管理费每日计提，按月支付。经基金管理人与基金托管人核对一致后，由基金托管人于次月首日起</w:t>
      </w:r>
      <w:r>
        <w:rPr>
          <w:rFonts w:ascii="Times New Roman" w:eastAsia="Times New Roman"/>
        </w:rPr>
        <w:t>3</w:t>
      </w:r>
      <w:r>
        <w:rPr/>
        <w:t>个工作日内从基金财产中一次性支付给基金管理人。</w:t>
      </w:r>
    </w:p>
    <w:p>
      <w:pPr>
        <w:pStyle w:val="ListParagraph"/>
        <w:numPr>
          <w:ilvl w:val="0"/>
          <w:numId w:val="21"/>
        </w:numPr>
        <w:tabs>
          <w:tab w:pos="1170" w:val="left" w:leader="none"/>
        </w:tabs>
        <w:spacing w:line="240" w:lineRule="auto" w:before="2" w:after="0"/>
        <w:ind w:left="1169" w:right="0" w:hanging="530"/>
        <w:jc w:val="left"/>
        <w:rPr>
          <w:sz w:val="21"/>
        </w:rPr>
      </w:pPr>
      <w:r>
        <w:rPr>
          <w:spacing w:val="-3"/>
          <w:sz w:val="21"/>
        </w:rPr>
        <w:t>基金托管人的托管费</w:t>
      </w:r>
    </w:p>
    <w:p>
      <w:pPr>
        <w:pStyle w:val="BodyText"/>
        <w:spacing w:before="190"/>
      </w:pPr>
      <w:r>
        <w:rPr/>
        <w:t>本基金投资目标</w:t>
      </w:r>
      <w:r>
        <w:rPr>
          <w:rFonts w:ascii="Times New Roman" w:eastAsia="Times New Roman"/>
        </w:rPr>
        <w:t>ETF</w:t>
      </w:r>
      <w:r>
        <w:rPr/>
        <w:t>部分不收取托管费。</w:t>
      </w:r>
    </w:p>
    <w:p>
      <w:pPr>
        <w:pStyle w:val="BodyText"/>
        <w:spacing w:line="408" w:lineRule="auto" w:before="191"/>
        <w:ind w:left="220" w:right="986" w:firstLine="419"/>
      </w:pPr>
      <w:r>
        <w:rPr/>
        <w:t>在通常情况下，基金托管费按前一日基金资产净值扣除基金资产中目标</w:t>
      </w:r>
      <w:r>
        <w:rPr>
          <w:rFonts w:ascii="Times New Roman" w:eastAsia="Times New Roman"/>
        </w:rPr>
        <w:t>ETF</w:t>
      </w:r>
      <w:r>
        <w:rPr/>
        <w:t>份额所对应资产净值后剩余部分的</w:t>
      </w:r>
      <w:r>
        <w:rPr>
          <w:rFonts w:ascii="Times New Roman" w:eastAsia="Times New Roman"/>
        </w:rPr>
        <w:t>0.15%</w:t>
      </w:r>
      <w:r>
        <w:rPr/>
        <w:t>年费率计提。计算方法如下：</w:t>
      </w:r>
    </w:p>
    <w:p>
      <w:pPr>
        <w:pStyle w:val="BodyText"/>
        <w:spacing w:before="2"/>
      </w:pPr>
      <w:r>
        <w:rPr>
          <w:rFonts w:ascii="Times New Roman" w:hAnsi="Times New Roman" w:eastAsia="Times New Roman"/>
        </w:rPr>
        <w:t>H=E×0.15%÷ </w:t>
      </w:r>
      <w:r>
        <w:rPr/>
        <w:t>当年天数</w:t>
      </w:r>
    </w:p>
    <w:p>
      <w:pPr>
        <w:pStyle w:val="BodyText"/>
        <w:spacing w:before="190"/>
      </w:pPr>
      <w:r>
        <w:rPr>
          <w:rFonts w:ascii="Times New Roman" w:eastAsia="Times New Roman"/>
        </w:rPr>
        <w:t>H</w:t>
      </w:r>
      <w:r>
        <w:rPr/>
        <w:t>为每日应计提的基金托管费</w:t>
      </w:r>
    </w:p>
    <w:p>
      <w:pPr>
        <w:pStyle w:val="BodyText"/>
        <w:spacing w:line="410" w:lineRule="auto" w:before="189"/>
        <w:ind w:left="220" w:right="883" w:firstLine="419"/>
      </w:pPr>
      <w:r>
        <w:rPr>
          <w:rFonts w:ascii="Times New Roman" w:eastAsia="Times New Roman"/>
        </w:rPr>
        <w:t>E</w:t>
      </w:r>
      <w:r>
        <w:rPr/>
        <w:t>为前一日的基金资产净值扣除基金资产中目标</w:t>
      </w:r>
      <w:r>
        <w:rPr>
          <w:rFonts w:ascii="Times New Roman" w:eastAsia="Times New Roman"/>
        </w:rPr>
        <w:t>ETF</w:t>
      </w:r>
      <w:r>
        <w:rPr/>
        <w:t>份额所对应资产净值后剩余部分， 若为负数，则</w:t>
      </w:r>
      <w:r>
        <w:rPr>
          <w:rFonts w:ascii="Times New Roman" w:eastAsia="Times New Roman"/>
        </w:rPr>
        <w:t>E</w:t>
      </w:r>
      <w:r>
        <w:rPr/>
        <w:t>取</w:t>
      </w:r>
      <w:r>
        <w:rPr>
          <w:rFonts w:ascii="Times New Roman" w:eastAsia="Times New Roman"/>
        </w:rPr>
        <w:t>0</w:t>
      </w:r>
      <w:r>
        <w:rPr/>
        <w:t>。</w:t>
      </w:r>
    </w:p>
    <w:p>
      <w:pPr>
        <w:pStyle w:val="BodyText"/>
        <w:spacing w:line="268" w:lineRule="exact"/>
      </w:pPr>
      <w:r>
        <w:rPr/>
        <w:t>基金托管费每日计提，按月支付。经基金管理人与基金托管人核对一致后，由基金托</w:t>
      </w:r>
    </w:p>
    <w:p>
      <w:pPr>
        <w:spacing w:after="0" w:line="268" w:lineRule="exact"/>
        <w:sectPr>
          <w:pgSz w:w="11910" w:h="16840"/>
          <w:pgMar w:header="705" w:footer="683" w:top="1420" w:bottom="880" w:left="1580" w:right="920"/>
        </w:sectPr>
      </w:pPr>
    </w:p>
    <w:p>
      <w:pPr>
        <w:pStyle w:val="BodyText"/>
        <w:spacing w:before="105"/>
        <w:ind w:left="220"/>
      </w:pPr>
      <w:r>
        <w:rPr/>
        <w:t>管人于次月首日起</w:t>
      </w:r>
      <w:r>
        <w:rPr>
          <w:rFonts w:ascii="Times New Roman" w:eastAsia="Times New Roman"/>
        </w:rPr>
        <w:t>3</w:t>
      </w:r>
      <w:r>
        <w:rPr/>
        <w:t>个工作日内从基金财产中一次性支付给基金托管人。</w:t>
      </w:r>
    </w:p>
    <w:p>
      <w:pPr>
        <w:pStyle w:val="ListParagraph"/>
        <w:numPr>
          <w:ilvl w:val="0"/>
          <w:numId w:val="21"/>
        </w:numPr>
        <w:tabs>
          <w:tab w:pos="1170" w:val="left" w:leader="none"/>
        </w:tabs>
        <w:spacing w:line="240" w:lineRule="auto" w:before="194" w:after="0"/>
        <w:ind w:left="1169" w:right="0" w:hanging="530"/>
        <w:jc w:val="left"/>
        <w:rPr>
          <w:sz w:val="21"/>
        </w:rPr>
      </w:pPr>
      <w:r>
        <w:rPr>
          <w:spacing w:val="-3"/>
          <w:sz w:val="21"/>
        </w:rPr>
        <w:t>销售服务费</w:t>
      </w:r>
    </w:p>
    <w:p>
      <w:pPr>
        <w:pStyle w:val="BodyText"/>
        <w:spacing w:before="7"/>
        <w:ind w:left="0"/>
        <w:rPr>
          <w:sz w:val="15"/>
        </w:rPr>
      </w:pPr>
    </w:p>
    <w:p>
      <w:pPr>
        <w:pStyle w:val="BodyText"/>
        <w:spacing w:line="417" w:lineRule="auto"/>
        <w:ind w:left="220" w:right="986" w:firstLine="419"/>
        <w:jc w:val="both"/>
      </w:pPr>
      <w:r>
        <w:rPr/>
        <w:t>销售服务费可用于本基金市场推广、销售以及基金份额持有人服务等各项费用。本基金份额分为不同的类别，适用不同的销售服务费率。其中，</w:t>
      </w:r>
      <w:r>
        <w:rPr>
          <w:rFonts w:ascii="Times New Roman" w:eastAsia="Times New Roman"/>
        </w:rPr>
        <w:t>A </w:t>
      </w:r>
      <w:r>
        <w:rPr/>
        <w:t>类不收取销售服务费，</w:t>
      </w:r>
      <w:r>
        <w:rPr>
          <w:rFonts w:ascii="Times New Roman" w:eastAsia="Times New Roman"/>
        </w:rPr>
        <w:t>C </w:t>
      </w:r>
      <w:r>
        <w:rPr/>
        <w:t>类销售服务费年费率为 </w:t>
      </w:r>
      <w:r>
        <w:rPr>
          <w:rFonts w:ascii="Times New Roman" w:eastAsia="Times New Roman"/>
        </w:rPr>
        <w:t>0.3%</w:t>
      </w:r>
      <w:r>
        <w:rPr/>
        <w:t>。</w:t>
      </w:r>
    </w:p>
    <w:p>
      <w:pPr>
        <w:pStyle w:val="BodyText"/>
        <w:spacing w:line="269" w:lineRule="exact"/>
      </w:pPr>
      <w:r>
        <w:rPr/>
        <w:t>各类别基金份额的销售服务费计算方法如下：</w:t>
      </w:r>
    </w:p>
    <w:p>
      <w:pPr>
        <w:pStyle w:val="BodyText"/>
        <w:spacing w:before="6"/>
        <w:ind w:left="0"/>
        <w:rPr>
          <w:sz w:val="15"/>
        </w:rPr>
      </w:pPr>
    </w:p>
    <w:p>
      <w:pPr>
        <w:pStyle w:val="BodyText"/>
        <w:spacing w:before="1"/>
      </w:pPr>
      <w:r>
        <w:rPr>
          <w:rFonts w:ascii="Times New Roman" w:hAnsi="Times New Roman" w:eastAsia="Times New Roman"/>
        </w:rPr>
        <w:t>H</w:t>
      </w:r>
      <w:r>
        <w:rPr/>
        <w:t>＝</w:t>
      </w:r>
      <w:r>
        <w:rPr>
          <w:rFonts w:ascii="Times New Roman" w:hAnsi="Times New Roman" w:eastAsia="Times New Roman"/>
        </w:rPr>
        <w:t>E×R÷</w:t>
      </w:r>
      <w:r>
        <w:rPr/>
        <w:t>当年天数</w:t>
      </w:r>
    </w:p>
    <w:p>
      <w:pPr>
        <w:pStyle w:val="BodyText"/>
        <w:spacing w:before="7"/>
        <w:ind w:left="0"/>
        <w:rPr>
          <w:sz w:val="15"/>
        </w:rPr>
      </w:pPr>
    </w:p>
    <w:p>
      <w:pPr>
        <w:pStyle w:val="BodyText"/>
      </w:pPr>
      <w:r>
        <w:rPr>
          <w:rFonts w:ascii="Times New Roman" w:eastAsia="Times New Roman"/>
        </w:rPr>
        <w:t>H </w:t>
      </w:r>
      <w:r>
        <w:rPr/>
        <w:t>为各类别基金份额每日应计提的销售服务费</w:t>
      </w:r>
    </w:p>
    <w:p>
      <w:pPr>
        <w:pStyle w:val="BodyText"/>
        <w:spacing w:before="6"/>
        <w:ind w:left="0"/>
        <w:rPr>
          <w:sz w:val="15"/>
        </w:rPr>
      </w:pPr>
    </w:p>
    <w:p>
      <w:pPr>
        <w:pStyle w:val="BodyText"/>
        <w:spacing w:before="1"/>
      </w:pPr>
      <w:r>
        <w:rPr>
          <w:rFonts w:ascii="Times New Roman" w:eastAsia="Times New Roman"/>
        </w:rPr>
        <w:t>E</w:t>
      </w:r>
      <w:r>
        <w:rPr>
          <w:rFonts w:ascii="Times New Roman" w:eastAsia="Times New Roman"/>
          <w:spacing w:val="21"/>
        </w:rPr>
        <w:t> </w:t>
      </w:r>
      <w:r>
        <w:rPr>
          <w:spacing w:val="-3"/>
        </w:rPr>
        <w:t>为各类别基金份额前一日基金资产净值</w:t>
      </w:r>
    </w:p>
    <w:p>
      <w:pPr>
        <w:pStyle w:val="BodyText"/>
        <w:spacing w:before="6"/>
        <w:ind w:left="0"/>
        <w:rPr>
          <w:sz w:val="15"/>
        </w:rPr>
      </w:pPr>
    </w:p>
    <w:p>
      <w:pPr>
        <w:pStyle w:val="BodyText"/>
        <w:jc w:val="both"/>
      </w:pPr>
      <w:r>
        <w:rPr>
          <w:rFonts w:ascii="Times New Roman" w:eastAsia="Times New Roman"/>
        </w:rPr>
        <w:t>R</w:t>
      </w:r>
      <w:r>
        <w:rPr>
          <w:rFonts w:ascii="Times New Roman" w:eastAsia="Times New Roman"/>
          <w:spacing w:val="22"/>
        </w:rPr>
        <w:t> </w:t>
      </w:r>
      <w:r>
        <w:rPr>
          <w:spacing w:val="-3"/>
        </w:rPr>
        <w:t>为各类别基金份额适用的销售服务费率</w:t>
      </w:r>
    </w:p>
    <w:p>
      <w:pPr>
        <w:pStyle w:val="BodyText"/>
        <w:spacing w:line="410" w:lineRule="auto" w:before="195"/>
        <w:ind w:left="220" w:right="986" w:firstLine="419"/>
        <w:jc w:val="both"/>
      </w:pPr>
      <w:r>
        <w:rPr>
          <w:spacing w:val="-3"/>
        </w:rPr>
        <w:t>销售服务费每日计提，按月支付。经基金管理人与基金托管人核对一致后，由基金托管人于次月首日起</w:t>
      </w:r>
      <w:r>
        <w:rPr>
          <w:rFonts w:ascii="Times New Roman" w:eastAsia="Times New Roman"/>
          <w:spacing w:val="-3"/>
        </w:rPr>
        <w:t>3</w:t>
      </w:r>
      <w:r>
        <w:rPr>
          <w:spacing w:val="-11"/>
        </w:rPr>
        <w:t>个工作日内从基金财产中划出，经登记结算机构分别支付给各个基金销</w:t>
      </w:r>
      <w:r>
        <w:rPr>
          <w:spacing w:val="-6"/>
        </w:rPr>
        <w:t>售机构。若遇不可抗力致使无法按时支付的，支付日期顺延至最近可支付日。</w:t>
      </w:r>
    </w:p>
    <w:p>
      <w:pPr>
        <w:pStyle w:val="ListParagraph"/>
        <w:numPr>
          <w:ilvl w:val="0"/>
          <w:numId w:val="21"/>
        </w:numPr>
        <w:tabs>
          <w:tab w:pos="1170" w:val="left" w:leader="none"/>
        </w:tabs>
        <w:spacing w:line="240" w:lineRule="auto" w:before="2" w:after="0"/>
        <w:ind w:left="1169" w:right="0" w:hanging="530"/>
        <w:jc w:val="left"/>
        <w:rPr>
          <w:sz w:val="21"/>
        </w:rPr>
      </w:pPr>
      <w:r>
        <w:rPr>
          <w:spacing w:val="-3"/>
          <w:sz w:val="21"/>
        </w:rPr>
        <w:t>标的指数许可使用费</w:t>
      </w:r>
    </w:p>
    <w:p>
      <w:pPr>
        <w:pStyle w:val="BodyText"/>
        <w:spacing w:before="7"/>
        <w:ind w:left="0"/>
        <w:rPr>
          <w:sz w:val="15"/>
        </w:rPr>
      </w:pPr>
    </w:p>
    <w:p>
      <w:pPr>
        <w:pStyle w:val="BodyText"/>
        <w:spacing w:line="417" w:lineRule="auto"/>
        <w:ind w:left="220" w:right="986" w:firstLine="419"/>
      </w:pPr>
      <w:r>
        <w:rPr/>
        <w:t>基金合同生效后的标的指数许可使用费按照基金管理人与指数许可方签署的指数使用许可协议的约定从基金财产中支付。</w:t>
      </w:r>
    </w:p>
    <w:p>
      <w:pPr>
        <w:pStyle w:val="BodyText"/>
        <w:spacing w:line="417" w:lineRule="auto"/>
        <w:ind w:left="220" w:right="986" w:firstLine="419"/>
      </w:pPr>
      <w:r>
        <w:rPr/>
        <w:t>根据指数使用许可协议，目前指数许可使用费按前一日基金资产净值扣除基金资产中目标</w:t>
      </w:r>
      <w:r>
        <w:rPr>
          <w:rFonts w:ascii="Times New Roman" w:eastAsia="Times New Roman"/>
        </w:rPr>
        <w:t>ETF </w:t>
      </w:r>
      <w:r>
        <w:rPr/>
        <w:t>份额所对应资产净值后剩余部分的 </w:t>
      </w:r>
      <w:r>
        <w:rPr>
          <w:rFonts w:ascii="Times New Roman" w:eastAsia="Times New Roman"/>
        </w:rPr>
        <w:t>0.04%</w:t>
      </w:r>
      <w:r>
        <w:rPr/>
        <w:t>的年费率计提。计算方法如下：</w:t>
      </w:r>
    </w:p>
    <w:p>
      <w:pPr>
        <w:pStyle w:val="BodyText"/>
        <w:spacing w:line="269" w:lineRule="exact"/>
      </w:pPr>
      <w:r>
        <w:rPr>
          <w:rFonts w:ascii="Times New Roman" w:hAnsi="Times New Roman" w:eastAsia="Times New Roman"/>
        </w:rPr>
        <w:t>H=E×0.04%÷ </w:t>
      </w:r>
      <w:r>
        <w:rPr/>
        <w:t>当年天数</w:t>
      </w:r>
    </w:p>
    <w:p>
      <w:pPr>
        <w:pStyle w:val="BodyText"/>
        <w:spacing w:before="6"/>
        <w:ind w:left="0"/>
        <w:rPr>
          <w:sz w:val="15"/>
        </w:rPr>
      </w:pPr>
    </w:p>
    <w:p>
      <w:pPr>
        <w:pStyle w:val="BodyText"/>
      </w:pPr>
      <w:r>
        <w:rPr>
          <w:rFonts w:ascii="Times New Roman" w:eastAsia="Times New Roman"/>
        </w:rPr>
        <w:t>H </w:t>
      </w:r>
      <w:r>
        <w:rPr/>
        <w:t>为每日应计提的指数许可使用费</w:t>
      </w:r>
    </w:p>
    <w:p>
      <w:pPr>
        <w:pStyle w:val="BodyText"/>
        <w:spacing w:before="7"/>
        <w:ind w:left="0"/>
        <w:rPr>
          <w:sz w:val="15"/>
        </w:rPr>
      </w:pPr>
    </w:p>
    <w:p>
      <w:pPr>
        <w:pStyle w:val="BodyText"/>
        <w:spacing w:line="417" w:lineRule="auto"/>
        <w:ind w:left="220" w:right="777" w:firstLine="419"/>
      </w:pPr>
      <w:r>
        <w:rPr>
          <w:rFonts w:ascii="Times New Roman" w:eastAsia="Times New Roman"/>
        </w:rPr>
        <w:t>E </w:t>
      </w:r>
      <w:r>
        <w:rPr/>
        <w:t>为前一日的基金资产净值扣除基金资产中目标</w:t>
      </w:r>
      <w:r>
        <w:rPr>
          <w:rFonts w:ascii="Times New Roman" w:eastAsia="Times New Roman"/>
        </w:rPr>
        <w:t>ETF </w:t>
      </w:r>
      <w:r>
        <w:rPr/>
        <w:t>份额所对应资产净值后剩余部分， 若为负数，则</w:t>
      </w:r>
      <w:r>
        <w:rPr>
          <w:rFonts w:ascii="Times New Roman" w:eastAsia="Times New Roman"/>
        </w:rPr>
        <w:t>E </w:t>
      </w:r>
      <w:r>
        <w:rPr/>
        <w:t>取 </w:t>
      </w:r>
      <w:r>
        <w:rPr>
          <w:rFonts w:ascii="Times New Roman" w:eastAsia="Times New Roman"/>
        </w:rPr>
        <w:t>0</w:t>
      </w:r>
      <w:r>
        <w:rPr/>
        <w:t>。</w:t>
      </w:r>
    </w:p>
    <w:p>
      <w:pPr>
        <w:pStyle w:val="BodyText"/>
        <w:spacing w:line="417" w:lineRule="auto"/>
        <w:ind w:left="220" w:right="986" w:firstLine="419"/>
      </w:pPr>
      <w:r>
        <w:rPr/>
        <w:t>标的指数许可使用费每日计算，按季支付。每年应支付的标的指数许可使用费不低于指数使用许可协议规定的下限。</w:t>
      </w:r>
    </w:p>
    <w:p>
      <w:pPr>
        <w:pStyle w:val="BodyText"/>
        <w:spacing w:line="417" w:lineRule="auto"/>
        <w:ind w:left="220" w:right="986" w:firstLine="419"/>
        <w:jc w:val="both"/>
      </w:pPr>
      <w:r>
        <w:rPr/>
        <w:t>如果指数使用许可协议约定的指数许可使用费的计算方法、费率和支付方式等发生调整，本基金将采用调整后的方法或费率计算指数许可使用费。基金管理人将在招募说明书更新或其他公告中披露基金最新适用的方法。</w:t>
      </w:r>
    </w:p>
    <w:p>
      <w:pPr>
        <w:pStyle w:val="ListParagraph"/>
        <w:numPr>
          <w:ilvl w:val="0"/>
          <w:numId w:val="21"/>
        </w:numPr>
        <w:tabs>
          <w:tab w:pos="1170" w:val="left" w:leader="none"/>
        </w:tabs>
        <w:spacing w:line="410" w:lineRule="auto" w:before="0" w:after="0"/>
        <w:ind w:left="220" w:right="986" w:firstLine="419"/>
        <w:jc w:val="left"/>
        <w:rPr>
          <w:sz w:val="21"/>
        </w:rPr>
      </w:pPr>
      <w:r>
        <w:rPr>
          <w:spacing w:val="-5"/>
          <w:sz w:val="21"/>
        </w:rPr>
        <w:t>基金管理人和基金托管人可协商酌情调低基金管理费和基金托管费，无须召开 </w:t>
      </w:r>
      <w:r>
        <w:rPr>
          <w:spacing w:val="-3"/>
          <w:sz w:val="21"/>
        </w:rPr>
        <w:t>基金份额持有人大会。</w:t>
      </w:r>
    </w:p>
    <w:p>
      <w:pPr>
        <w:pStyle w:val="ListParagraph"/>
        <w:numPr>
          <w:ilvl w:val="0"/>
          <w:numId w:val="21"/>
        </w:numPr>
        <w:tabs>
          <w:tab w:pos="1170" w:val="left" w:leader="none"/>
        </w:tabs>
        <w:spacing w:line="266" w:lineRule="exact" w:before="0" w:after="0"/>
        <w:ind w:left="1169" w:right="0" w:hanging="530"/>
        <w:jc w:val="left"/>
        <w:rPr>
          <w:sz w:val="21"/>
        </w:rPr>
      </w:pPr>
      <w:r>
        <w:rPr>
          <w:spacing w:val="-7"/>
          <w:sz w:val="21"/>
        </w:rPr>
        <w:t>本条第</w:t>
      </w:r>
      <w:r>
        <w:rPr>
          <w:sz w:val="21"/>
        </w:rPr>
        <w:t>（</w:t>
      </w:r>
      <w:r>
        <w:rPr>
          <w:spacing w:val="-3"/>
          <w:sz w:val="21"/>
        </w:rPr>
        <w:t>一</w:t>
      </w:r>
      <w:r>
        <w:rPr>
          <w:spacing w:val="-14"/>
          <w:sz w:val="21"/>
        </w:rPr>
        <w:t>）</w:t>
      </w:r>
      <w:r>
        <w:rPr>
          <w:spacing w:val="-2"/>
          <w:sz w:val="21"/>
        </w:rPr>
        <w:t>款第</w:t>
      </w:r>
      <w:r>
        <w:rPr>
          <w:rFonts w:ascii="Times New Roman" w:eastAsia="Times New Roman"/>
          <w:spacing w:val="-3"/>
          <w:sz w:val="21"/>
        </w:rPr>
        <w:t>1</w:t>
      </w:r>
      <w:r>
        <w:rPr>
          <w:spacing w:val="-6"/>
          <w:sz w:val="21"/>
        </w:rPr>
        <w:t>项中第</w:t>
      </w:r>
      <w:r>
        <w:rPr>
          <w:spacing w:val="-7"/>
          <w:sz w:val="21"/>
        </w:rPr>
        <w:t>（</w:t>
      </w:r>
      <w:r>
        <w:rPr>
          <w:rFonts w:ascii="Times New Roman" w:eastAsia="Times New Roman"/>
          <w:spacing w:val="-7"/>
          <w:sz w:val="21"/>
        </w:rPr>
        <w:t>5</w:t>
      </w:r>
      <w:r>
        <w:rPr>
          <w:spacing w:val="-7"/>
          <w:sz w:val="21"/>
        </w:rPr>
        <w:t>）</w:t>
      </w:r>
      <w:r>
        <w:rPr>
          <w:spacing w:val="-9"/>
          <w:sz w:val="21"/>
        </w:rPr>
        <w:t>至第</w:t>
      </w:r>
      <w:r>
        <w:rPr>
          <w:spacing w:val="-5"/>
          <w:sz w:val="21"/>
        </w:rPr>
        <w:t>（</w:t>
      </w:r>
      <w:r>
        <w:rPr>
          <w:rFonts w:ascii="Times New Roman" w:eastAsia="Times New Roman"/>
          <w:spacing w:val="-5"/>
          <w:sz w:val="21"/>
        </w:rPr>
        <w:t>15</w:t>
      </w:r>
      <w:r>
        <w:rPr>
          <w:spacing w:val="-5"/>
          <w:sz w:val="21"/>
        </w:rPr>
        <w:t>）</w:t>
      </w:r>
      <w:r>
        <w:rPr>
          <w:spacing w:val="-3"/>
          <w:sz w:val="21"/>
        </w:rPr>
        <w:t>项费用由基金管理人和基金托管人根</w:t>
      </w:r>
    </w:p>
    <w:p>
      <w:pPr>
        <w:spacing w:after="0" w:line="266" w:lineRule="exact"/>
        <w:jc w:val="left"/>
        <w:rPr>
          <w:sz w:val="21"/>
        </w:rPr>
        <w:sectPr>
          <w:pgSz w:w="11910" w:h="16840"/>
          <w:pgMar w:header="705" w:footer="683" w:top="1420" w:bottom="880" w:left="1580" w:right="920"/>
        </w:sectPr>
      </w:pPr>
    </w:p>
    <w:p>
      <w:pPr>
        <w:pStyle w:val="BodyText"/>
        <w:spacing w:before="105"/>
        <w:ind w:left="206" w:right="974"/>
        <w:jc w:val="center"/>
      </w:pPr>
      <w:r>
        <w:rPr/>
        <w:t>据有关法规及相应协议的规定，按费用实际支出金额支付，并列入或摊入当期基金费用。</w:t>
      </w:r>
    </w:p>
    <w:p>
      <w:pPr>
        <w:pStyle w:val="BodyText"/>
        <w:spacing w:before="10"/>
        <w:ind w:left="0"/>
        <w:rPr>
          <w:sz w:val="14"/>
        </w:rPr>
      </w:pPr>
    </w:p>
    <w:p>
      <w:pPr>
        <w:pStyle w:val="BodyText"/>
      </w:pPr>
      <w:r>
        <w:rPr>
          <w:rFonts w:ascii="Times New Roman" w:eastAsia="Times New Roman"/>
        </w:rPr>
        <w:t>3</w:t>
      </w:r>
      <w:r>
        <w:rPr/>
        <w:t>、不列入基金费用的项目</w:t>
      </w:r>
    </w:p>
    <w:p>
      <w:pPr>
        <w:pStyle w:val="BodyText"/>
        <w:spacing w:line="410" w:lineRule="auto" w:before="189"/>
        <w:ind w:left="220" w:right="986" w:firstLine="419"/>
      </w:pPr>
      <w:r>
        <w:rPr/>
        <w:t>基金管理人和基金托管人因未履行或未完全履行义务导致的费用支出或基金财产的损失，以及处理与基金运作无关的事项发生的费用等不列入基金费用。</w:t>
      </w:r>
    </w:p>
    <w:p>
      <w:pPr>
        <w:pStyle w:val="BodyText"/>
        <w:spacing w:line="268" w:lineRule="exact"/>
      </w:pPr>
      <w:r>
        <w:rPr/>
        <w:t>（二）基金销售费用</w:t>
      </w:r>
    </w:p>
    <w:p>
      <w:pPr>
        <w:pStyle w:val="BodyText"/>
        <w:spacing w:before="10"/>
        <w:ind w:left="0"/>
        <w:rPr>
          <w:sz w:val="14"/>
        </w:rPr>
      </w:pPr>
    </w:p>
    <w:p>
      <w:pPr>
        <w:pStyle w:val="BodyText"/>
        <w:spacing w:line="408" w:lineRule="auto"/>
        <w:ind w:left="220" w:right="986" w:firstLine="419"/>
        <w:jc w:val="both"/>
      </w:pPr>
      <w:r>
        <w:rPr/>
        <w:t>本基金申购费、赎回费的费率水平、计算公式、收取方式和使用方式请详见本招募说明书“九、基金份额的申购与赎回”中的“（八）申购费与赎回费”与“（九）申购份额与赎回金额的计算方式”中的相关规定。</w:t>
      </w:r>
    </w:p>
    <w:p>
      <w:pPr>
        <w:pStyle w:val="BodyText"/>
        <w:spacing w:before="6"/>
      </w:pPr>
      <w:r>
        <w:rPr/>
        <w:t>（三）基金税收</w:t>
      </w:r>
    </w:p>
    <w:p>
      <w:pPr>
        <w:pStyle w:val="BodyText"/>
        <w:spacing w:before="2"/>
        <w:ind w:left="0"/>
        <w:rPr>
          <w:sz w:val="15"/>
        </w:rPr>
      </w:pPr>
    </w:p>
    <w:p>
      <w:pPr>
        <w:pStyle w:val="BodyText"/>
      </w:pPr>
      <w:r>
        <w:rPr/>
        <w:t>本基金运作过程中涉及的各纳税主体，依照国家法律法规履行纳税义务。</w:t>
      </w:r>
    </w:p>
    <w:p>
      <w:pPr>
        <w:pStyle w:val="BodyText"/>
        <w:ind w:left="0"/>
        <w:rPr>
          <w:sz w:val="20"/>
        </w:rPr>
      </w:pPr>
    </w:p>
    <w:p>
      <w:pPr>
        <w:pStyle w:val="BodyText"/>
        <w:spacing w:before="2"/>
        <w:ind w:left="0"/>
        <w:rPr>
          <w:sz w:val="22"/>
        </w:rPr>
      </w:pPr>
    </w:p>
    <w:p>
      <w:pPr>
        <w:pStyle w:val="Heading1"/>
      </w:pPr>
      <w:bookmarkStart w:name="_bookmark10" w:id="11"/>
      <w:bookmarkEnd w:id="11"/>
      <w:r>
        <w:rPr>
          <w:b w:val="0"/>
        </w:rPr>
      </w:r>
      <w:r>
        <w:rPr/>
        <w:t>十一、基金的财产</w:t>
      </w:r>
    </w:p>
    <w:p>
      <w:pPr>
        <w:pStyle w:val="BodyText"/>
        <w:ind w:left="0"/>
        <w:rPr>
          <w:b/>
          <w:sz w:val="20"/>
        </w:rPr>
      </w:pPr>
    </w:p>
    <w:p>
      <w:pPr>
        <w:pStyle w:val="BodyText"/>
        <w:spacing w:before="2"/>
        <w:ind w:left="0"/>
        <w:rPr>
          <w:b/>
        </w:rPr>
      </w:pPr>
    </w:p>
    <w:p>
      <w:pPr>
        <w:pStyle w:val="BodyText"/>
      </w:pPr>
      <w:r>
        <w:rPr/>
        <w:t>（一）基金资产总值</w:t>
      </w:r>
    </w:p>
    <w:p>
      <w:pPr>
        <w:pStyle w:val="BodyText"/>
        <w:spacing w:before="7"/>
        <w:ind w:left="0"/>
        <w:rPr>
          <w:sz w:val="15"/>
        </w:rPr>
      </w:pPr>
    </w:p>
    <w:p>
      <w:pPr>
        <w:pStyle w:val="BodyText"/>
        <w:spacing w:line="417" w:lineRule="auto"/>
        <w:ind w:left="220" w:right="986" w:firstLine="419"/>
      </w:pPr>
      <w:r>
        <w:rPr/>
        <w:t>本基金基金资产总值包括基金所拥有的基金份额、股票、银行存款本息、基金的应收款项和其他投资所形成的价值总和。</w:t>
      </w:r>
    </w:p>
    <w:p>
      <w:pPr>
        <w:pStyle w:val="BodyText"/>
      </w:pPr>
      <w:r>
        <w:rPr/>
        <w:t>（二）基金资产净值</w:t>
      </w:r>
    </w:p>
    <w:p>
      <w:pPr>
        <w:pStyle w:val="BodyText"/>
        <w:spacing w:before="7"/>
        <w:ind w:left="0"/>
        <w:rPr>
          <w:sz w:val="15"/>
        </w:rPr>
      </w:pPr>
    </w:p>
    <w:p>
      <w:pPr>
        <w:pStyle w:val="BodyText"/>
      </w:pPr>
      <w:r>
        <w:rPr/>
        <w:t>本基金基金资产净值是指基金资产总值减去负债后的价值。</w:t>
      </w:r>
    </w:p>
    <w:p>
      <w:pPr>
        <w:pStyle w:val="BodyText"/>
        <w:spacing w:before="6"/>
        <w:ind w:left="0"/>
        <w:rPr>
          <w:sz w:val="15"/>
        </w:rPr>
      </w:pPr>
    </w:p>
    <w:p>
      <w:pPr>
        <w:pStyle w:val="BodyText"/>
      </w:pPr>
      <w:r>
        <w:rPr/>
        <w:t>（三）基金财产的账户</w:t>
      </w:r>
    </w:p>
    <w:p>
      <w:pPr>
        <w:pStyle w:val="BodyText"/>
        <w:spacing w:before="7"/>
        <w:ind w:left="0"/>
        <w:rPr>
          <w:sz w:val="15"/>
        </w:rPr>
      </w:pPr>
    </w:p>
    <w:p>
      <w:pPr>
        <w:pStyle w:val="BodyText"/>
        <w:spacing w:line="417" w:lineRule="auto"/>
        <w:ind w:left="220" w:right="986" w:firstLine="419"/>
        <w:jc w:val="both"/>
      </w:pPr>
      <w:r>
        <w:rPr>
          <w:spacing w:val="-16"/>
        </w:rPr>
        <w:t>本基金根据相关法律法规、规范性文件在境内开立证券账户、人民币和外币资金账户， </w:t>
      </w:r>
      <w:r>
        <w:rPr>
          <w:spacing w:val="-7"/>
        </w:rPr>
        <w:t>在境外开立外币资金账户及证券账户，上述账户与基金管理人、基金托管人和境外资产托</w:t>
      </w:r>
      <w:r>
        <w:rPr>
          <w:spacing w:val="-5"/>
        </w:rPr>
        <w:t>管人自有的财产账户以及其他基金财产账户独立。</w:t>
      </w:r>
    </w:p>
    <w:p>
      <w:pPr>
        <w:pStyle w:val="BodyText"/>
      </w:pPr>
      <w:r>
        <w:rPr/>
        <w:t>（四）基金财产的保管及处分</w:t>
      </w:r>
    </w:p>
    <w:p>
      <w:pPr>
        <w:pStyle w:val="BodyText"/>
        <w:spacing w:before="7"/>
        <w:ind w:left="0"/>
        <w:rPr>
          <w:sz w:val="15"/>
        </w:rPr>
      </w:pPr>
    </w:p>
    <w:p>
      <w:pPr>
        <w:pStyle w:val="BodyText"/>
        <w:spacing w:line="417" w:lineRule="auto"/>
        <w:ind w:left="220" w:right="986" w:firstLine="419"/>
      </w:pPr>
      <w:r>
        <w:rPr>
          <w:rFonts w:ascii="Times New Roman" w:eastAsia="Times New Roman"/>
        </w:rPr>
        <w:t>1</w:t>
      </w:r>
      <w:r>
        <w:rPr>
          <w:spacing w:val="-10"/>
        </w:rPr>
        <w:t>、本基金财产独立于基金管理人、基金托管人和境外资产托管人的固有财产。基金管</w:t>
      </w:r>
      <w:r>
        <w:rPr>
          <w:spacing w:val="-5"/>
        </w:rPr>
        <w:t>理人、基金托管人、境外资产托管人不得将基金财产归入其固有财产。</w:t>
      </w:r>
    </w:p>
    <w:p>
      <w:pPr>
        <w:pStyle w:val="BodyText"/>
        <w:spacing w:line="269" w:lineRule="exact"/>
      </w:pPr>
      <w:r>
        <w:rPr>
          <w:rFonts w:ascii="Times New Roman" w:eastAsia="Times New Roman"/>
        </w:rPr>
        <w:t>2</w:t>
      </w:r>
      <w:r>
        <w:rPr/>
        <w:t>、基金托管人和境外资产托管人应安全保管基金财产。</w:t>
      </w:r>
    </w:p>
    <w:p>
      <w:pPr>
        <w:pStyle w:val="BodyText"/>
        <w:spacing w:before="7"/>
        <w:ind w:left="0"/>
        <w:rPr>
          <w:sz w:val="15"/>
        </w:rPr>
      </w:pPr>
    </w:p>
    <w:p>
      <w:pPr>
        <w:pStyle w:val="BodyText"/>
        <w:spacing w:line="417" w:lineRule="auto"/>
        <w:ind w:left="220" w:right="986" w:firstLine="419"/>
      </w:pPr>
      <w:r>
        <w:rPr>
          <w:rFonts w:ascii="Times New Roman" w:eastAsia="Times New Roman"/>
        </w:rPr>
        <w:t>3</w:t>
      </w:r>
      <w:r>
        <w:rPr>
          <w:spacing w:val="-12"/>
        </w:rPr>
        <w:t>、基金管理人、基金托管人、境外资产托管人因基金财产的管理、运用或者其他情形</w:t>
      </w:r>
      <w:r>
        <w:rPr>
          <w:spacing w:val="-6"/>
        </w:rPr>
        <w:t>而取得的财产和收益，归基金财产。</w:t>
      </w:r>
    </w:p>
    <w:p>
      <w:pPr>
        <w:pStyle w:val="BodyText"/>
        <w:spacing w:line="417" w:lineRule="auto"/>
        <w:ind w:left="220" w:right="986" w:firstLine="419"/>
      </w:pPr>
      <w:r>
        <w:rPr>
          <w:rFonts w:ascii="Times New Roman" w:eastAsia="Times New Roman"/>
        </w:rPr>
        <w:t>4</w:t>
      </w:r>
      <w:r>
        <w:rPr>
          <w:spacing w:val="-12"/>
        </w:rPr>
        <w:t>、基金托管人或境外资产托管人按照规定或境外市场惯例开设基金财产的所有资金账</w:t>
      </w:r>
      <w:r>
        <w:rPr>
          <w:spacing w:val="-6"/>
        </w:rPr>
        <w:t>户和证券账户。</w:t>
      </w:r>
    </w:p>
    <w:p>
      <w:pPr>
        <w:spacing w:after="0" w:line="417" w:lineRule="auto"/>
        <w:sectPr>
          <w:pgSz w:w="11910" w:h="16840"/>
          <w:pgMar w:header="705" w:footer="683" w:top="1420" w:bottom="880" w:left="1580" w:right="920"/>
        </w:sectPr>
      </w:pPr>
    </w:p>
    <w:p>
      <w:pPr>
        <w:pStyle w:val="BodyText"/>
        <w:spacing w:before="110"/>
      </w:pPr>
      <w:r>
        <w:rPr>
          <w:rFonts w:ascii="Times New Roman" w:eastAsia="Times New Roman"/>
        </w:rPr>
        <w:t>5</w:t>
      </w:r>
      <w:r>
        <w:rPr/>
        <w:t>、基金托管人对所托管的不同基金财产分别设置账户，确保基金财产的完整与独立。</w:t>
      </w:r>
    </w:p>
    <w:p>
      <w:pPr>
        <w:pStyle w:val="BodyText"/>
        <w:spacing w:before="6"/>
        <w:ind w:left="0"/>
        <w:rPr>
          <w:sz w:val="15"/>
        </w:rPr>
      </w:pPr>
    </w:p>
    <w:p>
      <w:pPr>
        <w:pStyle w:val="BodyText"/>
        <w:spacing w:line="417" w:lineRule="auto"/>
        <w:ind w:left="220" w:right="986" w:firstLine="419"/>
        <w:jc w:val="both"/>
      </w:pPr>
      <w:r>
        <w:rPr>
          <w:rFonts w:ascii="Times New Roman" w:eastAsia="Times New Roman"/>
        </w:rPr>
        <w:t>6</w:t>
      </w:r>
      <w:r>
        <w:rPr>
          <w:spacing w:val="-11"/>
        </w:rPr>
        <w:t>、基金管理人、基金托管人以其自有的财产承担自身相应的法律责任，其债权人不得</w:t>
      </w:r>
      <w:r>
        <w:rPr>
          <w:spacing w:val="-6"/>
        </w:rPr>
        <w:t>对基金财产行使请求冻结、扣押或其他权利。基金管理人、基金托管人因依法解散、被依</w:t>
      </w:r>
      <w:r>
        <w:rPr>
          <w:spacing w:val="-4"/>
        </w:rPr>
        <w:t>法撤销或者被依法宣告破产等原因进行清算的，基金财产不属于其清算范围。</w:t>
      </w:r>
    </w:p>
    <w:p>
      <w:pPr>
        <w:pStyle w:val="BodyText"/>
        <w:spacing w:line="269" w:lineRule="exact"/>
      </w:pPr>
      <w:r>
        <w:rPr>
          <w:rFonts w:ascii="Times New Roman" w:eastAsia="Times New Roman"/>
        </w:rPr>
        <w:t>7</w:t>
      </w:r>
      <w:r>
        <w:rPr/>
        <w:t>、非因基金财产本身承担的债务，不得对基金财产强制执行。</w:t>
      </w:r>
    </w:p>
    <w:p>
      <w:pPr>
        <w:pStyle w:val="BodyText"/>
        <w:ind w:left="0"/>
        <w:rPr>
          <w:sz w:val="22"/>
        </w:rPr>
      </w:pPr>
    </w:p>
    <w:p>
      <w:pPr>
        <w:pStyle w:val="BodyText"/>
        <w:spacing w:before="2"/>
        <w:ind w:left="0"/>
        <w:rPr>
          <w:sz w:val="20"/>
        </w:rPr>
      </w:pPr>
    </w:p>
    <w:p>
      <w:pPr>
        <w:pStyle w:val="Heading1"/>
        <w:ind w:left="1350"/>
      </w:pPr>
      <w:bookmarkStart w:name="_bookmark11" w:id="12"/>
      <w:bookmarkEnd w:id="12"/>
      <w:r>
        <w:rPr>
          <w:b w:val="0"/>
        </w:rPr>
      </w:r>
      <w:r>
        <w:rPr/>
        <w:t>十二、基金资产的估值</w:t>
      </w:r>
    </w:p>
    <w:p>
      <w:pPr>
        <w:pStyle w:val="BodyText"/>
        <w:ind w:left="0"/>
        <w:rPr>
          <w:b/>
          <w:sz w:val="20"/>
        </w:rPr>
      </w:pPr>
    </w:p>
    <w:p>
      <w:pPr>
        <w:pStyle w:val="BodyText"/>
        <w:spacing w:before="3"/>
        <w:ind w:left="0"/>
        <w:rPr>
          <w:b/>
        </w:rPr>
      </w:pPr>
    </w:p>
    <w:p>
      <w:pPr>
        <w:pStyle w:val="BodyText"/>
      </w:pPr>
      <w:r>
        <w:rPr/>
        <w:t>（一）估值目的</w:t>
      </w:r>
    </w:p>
    <w:p>
      <w:pPr>
        <w:pStyle w:val="BodyText"/>
        <w:spacing w:before="7"/>
        <w:ind w:left="0"/>
        <w:rPr>
          <w:sz w:val="15"/>
        </w:rPr>
      </w:pPr>
    </w:p>
    <w:p>
      <w:pPr>
        <w:pStyle w:val="BodyText"/>
        <w:spacing w:line="417" w:lineRule="auto"/>
        <w:ind w:left="220" w:right="986" w:firstLine="419"/>
      </w:pPr>
      <w:r>
        <w:rPr/>
        <w:t>基金资产的估值目的是客观、准确地反映基金财产的价值，确定基金资产净值，并为基金份额提供计价依据。</w:t>
      </w:r>
    </w:p>
    <w:p>
      <w:pPr>
        <w:pStyle w:val="BodyText"/>
        <w:spacing w:line="269" w:lineRule="exact"/>
      </w:pPr>
      <w:r>
        <w:rPr/>
        <w:t>（二）估值日</w:t>
      </w:r>
    </w:p>
    <w:p>
      <w:pPr>
        <w:pStyle w:val="BodyText"/>
        <w:spacing w:before="6"/>
        <w:ind w:left="0"/>
        <w:rPr>
          <w:sz w:val="15"/>
        </w:rPr>
      </w:pPr>
    </w:p>
    <w:p>
      <w:pPr>
        <w:pStyle w:val="BodyText"/>
        <w:spacing w:line="417" w:lineRule="auto" w:before="1"/>
        <w:ind w:left="220" w:right="986" w:firstLine="419"/>
      </w:pPr>
      <w:r>
        <w:rPr/>
        <w:t>基金合同生效后，每开放日以及国家法律法规规定需要对外披露基金净值的非开放日进行估值。</w:t>
      </w:r>
    </w:p>
    <w:p>
      <w:pPr>
        <w:pStyle w:val="BodyText"/>
        <w:spacing w:line="269" w:lineRule="exact"/>
      </w:pPr>
      <w:r>
        <w:rPr/>
        <w:t>（三）估值对象</w:t>
      </w:r>
    </w:p>
    <w:p>
      <w:pPr>
        <w:pStyle w:val="BodyText"/>
        <w:spacing w:before="7"/>
        <w:ind w:left="0"/>
        <w:rPr>
          <w:sz w:val="15"/>
        </w:rPr>
      </w:pPr>
    </w:p>
    <w:p>
      <w:pPr>
        <w:pStyle w:val="BodyText"/>
        <w:spacing w:line="417" w:lineRule="auto"/>
        <w:ind w:left="220" w:right="984" w:firstLine="419"/>
      </w:pPr>
      <w:r>
        <w:rPr/>
        <w:t>本基金所拥有的目标</w:t>
      </w:r>
      <w:r>
        <w:rPr>
          <w:rFonts w:ascii="Times New Roman" w:eastAsia="Times New Roman"/>
        </w:rPr>
        <w:t>ETF</w:t>
      </w:r>
      <w:r>
        <w:rPr/>
        <w:t>份额、股票、债券以及银行存款本息、应收款项和其他投资等资产。</w:t>
      </w:r>
    </w:p>
    <w:p>
      <w:pPr>
        <w:pStyle w:val="BodyText"/>
        <w:spacing w:line="269" w:lineRule="exact"/>
      </w:pPr>
      <w:r>
        <w:rPr/>
        <w:t>（四）估值方法</w:t>
      </w:r>
    </w:p>
    <w:p>
      <w:pPr>
        <w:pStyle w:val="BodyText"/>
        <w:spacing w:before="6"/>
        <w:ind w:left="0"/>
        <w:rPr>
          <w:sz w:val="15"/>
        </w:rPr>
      </w:pPr>
    </w:p>
    <w:p>
      <w:pPr>
        <w:pStyle w:val="BodyText"/>
      </w:pPr>
      <w:r>
        <w:rPr>
          <w:rFonts w:ascii="Times New Roman" w:eastAsia="Times New Roman"/>
        </w:rPr>
        <w:t>1</w:t>
      </w:r>
      <w:r>
        <w:rPr/>
        <w:t>、目标</w:t>
      </w:r>
      <w:r>
        <w:rPr>
          <w:rFonts w:ascii="Times New Roman" w:eastAsia="Times New Roman"/>
        </w:rPr>
        <w:t>ETF</w:t>
      </w:r>
      <w:r>
        <w:rPr/>
        <w:t>的估值方法</w:t>
      </w:r>
    </w:p>
    <w:p>
      <w:pPr>
        <w:pStyle w:val="BodyText"/>
        <w:spacing w:before="7"/>
        <w:ind w:left="0"/>
        <w:rPr>
          <w:sz w:val="15"/>
        </w:rPr>
      </w:pPr>
    </w:p>
    <w:p>
      <w:pPr>
        <w:pStyle w:val="BodyText"/>
        <w:spacing w:line="417" w:lineRule="auto"/>
        <w:ind w:left="220" w:right="986" w:firstLine="419"/>
        <w:jc w:val="both"/>
      </w:pPr>
      <w:r>
        <w:rPr>
          <w:spacing w:val="-3"/>
        </w:rPr>
        <w:t>本基金投资的目标</w:t>
      </w:r>
      <w:r>
        <w:rPr>
          <w:rFonts w:ascii="Times New Roman" w:eastAsia="Times New Roman"/>
          <w:spacing w:val="-2"/>
        </w:rPr>
        <w:t>ETF</w:t>
      </w:r>
      <w:r>
        <w:rPr>
          <w:spacing w:val="-3"/>
        </w:rPr>
        <w:t>按照估值日目标</w:t>
      </w:r>
      <w:r>
        <w:rPr>
          <w:rFonts w:ascii="Times New Roman" w:eastAsia="Times New Roman"/>
        </w:rPr>
        <w:t>ETF</w:t>
      </w:r>
      <w:r>
        <w:rPr>
          <w:spacing w:val="-10"/>
        </w:rPr>
        <w:t>的基金份额净值估值，如该日目标</w:t>
      </w:r>
      <w:r>
        <w:rPr>
          <w:rFonts w:ascii="Times New Roman" w:eastAsia="Times New Roman"/>
        </w:rPr>
        <w:t>ETF</w:t>
      </w:r>
      <w:r>
        <w:rPr/>
        <w:t>未公布净值，则按该日目标</w:t>
      </w:r>
      <w:r>
        <w:rPr>
          <w:rFonts w:ascii="Times New Roman" w:eastAsia="Times New Roman"/>
        </w:rPr>
        <w:t>ETF</w:t>
      </w:r>
      <w:r>
        <w:rPr/>
        <w:t>的收盘价估值；如果该日目标</w:t>
      </w:r>
      <w:r>
        <w:rPr>
          <w:rFonts w:ascii="Times New Roman" w:eastAsia="Times New Roman"/>
        </w:rPr>
        <w:t>ETF</w:t>
      </w:r>
      <w:r>
        <w:rPr/>
        <w:t>未公布净值且没有交易的， 则按最近公布的目标</w:t>
      </w:r>
      <w:r>
        <w:rPr>
          <w:rFonts w:ascii="Times New Roman" w:eastAsia="Times New Roman"/>
        </w:rPr>
        <w:t>ETF</w:t>
      </w:r>
      <w:r>
        <w:rPr>
          <w:spacing w:val="-1"/>
        </w:rPr>
        <w:t>的基金份额净值估值。如果基金管理人认为按上述基金份额净值</w:t>
      </w:r>
      <w:r>
        <w:rPr>
          <w:spacing w:val="-3"/>
        </w:rPr>
        <w:t>不能客观反映其公允价值的，基金管理人可根据具体情况与基金托管人协商后，按最能反映其公允价值的价格估值。</w:t>
      </w:r>
    </w:p>
    <w:p>
      <w:pPr>
        <w:pStyle w:val="BodyText"/>
        <w:spacing w:line="269" w:lineRule="exact"/>
      </w:pPr>
      <w:r>
        <w:rPr>
          <w:rFonts w:ascii="Times New Roman" w:eastAsia="Times New Roman"/>
        </w:rPr>
        <w:t>2</w:t>
      </w:r>
      <w:r>
        <w:rPr/>
        <w:t>、股票估值方法</w:t>
      </w:r>
    </w:p>
    <w:p>
      <w:pPr>
        <w:pStyle w:val="BodyText"/>
        <w:spacing w:before="7"/>
        <w:ind w:left="0"/>
        <w:rPr>
          <w:sz w:val="15"/>
        </w:rPr>
      </w:pPr>
    </w:p>
    <w:p>
      <w:pPr>
        <w:pStyle w:val="ListParagraph"/>
        <w:numPr>
          <w:ilvl w:val="0"/>
          <w:numId w:val="22"/>
        </w:numPr>
        <w:tabs>
          <w:tab w:pos="1167" w:val="left" w:leader="none"/>
        </w:tabs>
        <w:spacing w:line="417" w:lineRule="auto" w:before="0" w:after="0"/>
        <w:ind w:left="220" w:right="986" w:firstLine="419"/>
        <w:jc w:val="left"/>
        <w:rPr>
          <w:sz w:val="21"/>
        </w:rPr>
      </w:pPr>
      <w:r>
        <w:rPr>
          <w:spacing w:val="-6"/>
          <w:sz w:val="21"/>
        </w:rPr>
        <w:t>上市流通股票按估值日其所在证券交易所的收盘价估值；估值日无交易的，以 </w:t>
      </w:r>
      <w:r>
        <w:rPr>
          <w:spacing w:val="-5"/>
          <w:sz w:val="21"/>
        </w:rPr>
        <w:t>最近交易日的收盘价估值。</w:t>
      </w:r>
    </w:p>
    <w:p>
      <w:pPr>
        <w:pStyle w:val="ListParagraph"/>
        <w:numPr>
          <w:ilvl w:val="0"/>
          <w:numId w:val="22"/>
        </w:numPr>
        <w:tabs>
          <w:tab w:pos="1170" w:val="left" w:leader="none"/>
        </w:tabs>
        <w:spacing w:line="269" w:lineRule="exact" w:before="0" w:after="0"/>
        <w:ind w:left="1169" w:right="0" w:hanging="530"/>
        <w:jc w:val="left"/>
        <w:rPr>
          <w:sz w:val="21"/>
        </w:rPr>
      </w:pPr>
      <w:r>
        <w:rPr>
          <w:spacing w:val="-3"/>
          <w:sz w:val="21"/>
        </w:rPr>
        <w:t>未上市股票的估值</w:t>
      </w:r>
    </w:p>
    <w:p>
      <w:pPr>
        <w:pStyle w:val="BodyText"/>
        <w:spacing w:before="7"/>
        <w:ind w:left="0"/>
        <w:rPr>
          <w:sz w:val="15"/>
        </w:rPr>
      </w:pPr>
    </w:p>
    <w:p>
      <w:pPr>
        <w:pStyle w:val="BodyText"/>
        <w:spacing w:line="417" w:lineRule="auto"/>
        <w:ind w:left="220" w:right="986" w:firstLine="419"/>
      </w:pPr>
      <w:r>
        <w:rPr/>
        <w:t>①送股、转增股、配股和增发等方式发行的股票，按估值日在交易所挂牌的同一股票的收盘价估值，该日无交易的，以最近交易日的收盘价估值。</w:t>
      </w:r>
    </w:p>
    <w:p>
      <w:pPr>
        <w:spacing w:after="0" w:line="417" w:lineRule="auto"/>
        <w:sectPr>
          <w:pgSz w:w="11910" w:h="16840"/>
          <w:pgMar w:header="705" w:footer="683" w:top="1420" w:bottom="880" w:left="1580" w:right="920"/>
        </w:sectPr>
      </w:pPr>
    </w:p>
    <w:p>
      <w:pPr>
        <w:pStyle w:val="BodyText"/>
        <w:spacing w:line="417" w:lineRule="auto" w:before="110"/>
        <w:ind w:left="220" w:right="986" w:firstLine="419"/>
      </w:pPr>
      <w:r>
        <w:rPr/>
        <w:t>②首次发行且未上市的股票，按成本或估值技术确定公允价值；首次发行且有明确锁定期的股票，同一股票在交易所上市后，按交易所上市的同一股票的市价估值。</w:t>
      </w:r>
    </w:p>
    <w:p>
      <w:pPr>
        <w:pStyle w:val="BodyText"/>
        <w:spacing w:line="269" w:lineRule="exact"/>
      </w:pPr>
      <w:r>
        <w:rPr>
          <w:rFonts w:ascii="Times New Roman" w:eastAsia="Times New Roman"/>
        </w:rPr>
        <w:t>3</w:t>
      </w:r>
      <w:r>
        <w:rPr/>
        <w:t>、债券估值方法</w:t>
      </w:r>
    </w:p>
    <w:p>
      <w:pPr>
        <w:pStyle w:val="BodyText"/>
        <w:spacing w:before="6"/>
        <w:ind w:left="0"/>
        <w:rPr>
          <w:sz w:val="15"/>
        </w:rPr>
      </w:pPr>
    </w:p>
    <w:p>
      <w:pPr>
        <w:pStyle w:val="ListParagraph"/>
        <w:numPr>
          <w:ilvl w:val="0"/>
          <w:numId w:val="23"/>
        </w:numPr>
        <w:tabs>
          <w:tab w:pos="1170" w:val="left" w:leader="none"/>
        </w:tabs>
        <w:spacing w:line="417" w:lineRule="auto" w:before="0" w:after="0"/>
        <w:ind w:left="220" w:right="986" w:firstLine="419"/>
        <w:jc w:val="both"/>
        <w:rPr>
          <w:sz w:val="21"/>
        </w:rPr>
      </w:pPr>
      <w:r>
        <w:rPr>
          <w:spacing w:val="-8"/>
          <w:sz w:val="21"/>
        </w:rPr>
        <w:t>对于上市流通的债券，证券交易所市场实行净价交易的债券按估值日其所在证 </w:t>
      </w:r>
      <w:r>
        <w:rPr>
          <w:spacing w:val="-3"/>
          <w:sz w:val="21"/>
        </w:rPr>
        <w:t>券交易所的收盘价估值；估值日无交易的，以最近交易日的收盘价估值。证券交易所市场未实行净价交易的债券按估值日收盘价减去债券收盘价中所含的债券应收利息得到的净价进行估值，估值日没有交易的，按最近交易日债券收盘价减去所含的最近交易日债券应收利息后得到的净价估值。</w:t>
      </w:r>
    </w:p>
    <w:p>
      <w:pPr>
        <w:pStyle w:val="ListParagraph"/>
        <w:numPr>
          <w:ilvl w:val="0"/>
          <w:numId w:val="23"/>
        </w:numPr>
        <w:tabs>
          <w:tab w:pos="1167" w:val="left" w:leader="none"/>
        </w:tabs>
        <w:spacing w:line="417" w:lineRule="auto" w:before="0" w:after="0"/>
        <w:ind w:left="220" w:right="986" w:firstLine="419"/>
        <w:jc w:val="both"/>
        <w:rPr>
          <w:sz w:val="21"/>
        </w:rPr>
      </w:pPr>
      <w:r>
        <w:rPr>
          <w:spacing w:val="-9"/>
          <w:sz w:val="21"/>
        </w:rPr>
        <w:t>对于非上市债券，参照主要做市商或其他权威价格提供机构的报价进行估值， </w:t>
      </w:r>
      <w:r>
        <w:rPr>
          <w:spacing w:val="-3"/>
          <w:sz w:val="21"/>
        </w:rPr>
        <w:t>其中成熟市场的债券按估值日的最近买价估值；新兴市场的债券按估值日的最近买价和卖</w:t>
      </w:r>
      <w:r>
        <w:rPr>
          <w:spacing w:val="-2"/>
          <w:sz w:val="21"/>
        </w:rPr>
        <w:t>价的均值估值。</w:t>
      </w:r>
    </w:p>
    <w:p>
      <w:pPr>
        <w:pStyle w:val="BodyText"/>
        <w:spacing w:line="269" w:lineRule="exact"/>
      </w:pPr>
      <w:r>
        <w:rPr>
          <w:rFonts w:ascii="Times New Roman" w:eastAsia="Times New Roman"/>
        </w:rPr>
        <w:t>4</w:t>
      </w:r>
      <w:r>
        <w:rPr/>
        <w:t>、衍生品估值方法</w:t>
      </w:r>
    </w:p>
    <w:p>
      <w:pPr>
        <w:pStyle w:val="BodyText"/>
        <w:spacing w:before="7"/>
        <w:ind w:left="0"/>
        <w:rPr>
          <w:sz w:val="15"/>
        </w:rPr>
      </w:pPr>
    </w:p>
    <w:p>
      <w:pPr>
        <w:pStyle w:val="ListParagraph"/>
        <w:numPr>
          <w:ilvl w:val="0"/>
          <w:numId w:val="24"/>
        </w:numPr>
        <w:tabs>
          <w:tab w:pos="1167" w:val="left" w:leader="none"/>
        </w:tabs>
        <w:spacing w:line="417" w:lineRule="auto" w:before="0" w:after="0"/>
        <w:ind w:left="220" w:right="986" w:firstLine="419"/>
        <w:jc w:val="left"/>
        <w:rPr>
          <w:sz w:val="21"/>
        </w:rPr>
      </w:pPr>
      <w:r>
        <w:rPr>
          <w:spacing w:val="-6"/>
          <w:sz w:val="21"/>
        </w:rPr>
        <w:t>上市流通衍生品按估值日其所在证券交易所的收盘价估值；估值日无交易的， </w:t>
      </w:r>
      <w:r>
        <w:rPr>
          <w:spacing w:val="-3"/>
          <w:sz w:val="21"/>
        </w:rPr>
        <w:t>以最近交易日的收盘价估值。</w:t>
      </w:r>
    </w:p>
    <w:p>
      <w:pPr>
        <w:pStyle w:val="ListParagraph"/>
        <w:numPr>
          <w:ilvl w:val="0"/>
          <w:numId w:val="24"/>
        </w:numPr>
        <w:tabs>
          <w:tab w:pos="1167" w:val="left" w:leader="none"/>
        </w:tabs>
        <w:spacing w:line="417" w:lineRule="auto" w:before="0" w:after="0"/>
        <w:ind w:left="220" w:right="988" w:firstLine="419"/>
        <w:jc w:val="left"/>
        <w:rPr>
          <w:sz w:val="21"/>
        </w:rPr>
      </w:pPr>
      <w:r>
        <w:rPr>
          <w:spacing w:val="-8"/>
          <w:sz w:val="21"/>
        </w:rPr>
        <w:t>未上市衍生品按成本价估值，如成本价不能反映公允价值，则采用估值技术确 </w:t>
      </w:r>
      <w:r>
        <w:rPr>
          <w:spacing w:val="-1"/>
          <w:sz w:val="21"/>
        </w:rPr>
        <w:t>定公允价值。</w:t>
      </w:r>
    </w:p>
    <w:p>
      <w:pPr>
        <w:pStyle w:val="BodyText"/>
        <w:spacing w:line="269" w:lineRule="exact"/>
      </w:pPr>
      <w:r>
        <w:rPr>
          <w:rFonts w:ascii="Times New Roman" w:eastAsia="Times New Roman"/>
        </w:rPr>
        <w:t>5</w:t>
      </w:r>
      <w:r>
        <w:rPr/>
        <w:t>、存托凭证估值方法</w:t>
      </w:r>
    </w:p>
    <w:p>
      <w:pPr>
        <w:pStyle w:val="BodyText"/>
        <w:spacing w:before="7"/>
        <w:ind w:left="0"/>
        <w:rPr>
          <w:sz w:val="15"/>
        </w:rPr>
      </w:pPr>
    </w:p>
    <w:p>
      <w:pPr>
        <w:pStyle w:val="BodyText"/>
      </w:pPr>
      <w:r>
        <w:rPr/>
        <w:t>公开挂牌的存托凭证按其所在证券交易所的最近交易日的收盘价估值。</w:t>
      </w:r>
    </w:p>
    <w:p>
      <w:pPr>
        <w:pStyle w:val="BodyText"/>
        <w:spacing w:before="6"/>
        <w:ind w:left="0"/>
        <w:rPr>
          <w:sz w:val="15"/>
        </w:rPr>
      </w:pPr>
    </w:p>
    <w:p>
      <w:pPr>
        <w:pStyle w:val="BodyText"/>
        <w:spacing w:before="1"/>
      </w:pPr>
      <w:r>
        <w:rPr>
          <w:rFonts w:ascii="Times New Roman" w:eastAsia="Times New Roman"/>
        </w:rPr>
        <w:t>6</w:t>
      </w:r>
      <w:r>
        <w:rPr/>
        <w:t>、基金（不含目标</w:t>
      </w:r>
      <w:r>
        <w:rPr>
          <w:rFonts w:ascii="Times New Roman" w:eastAsia="Times New Roman"/>
        </w:rPr>
        <w:t>ETF</w:t>
      </w:r>
      <w:r>
        <w:rPr/>
        <w:t>）估值方法</w:t>
      </w:r>
    </w:p>
    <w:p>
      <w:pPr>
        <w:pStyle w:val="BodyText"/>
        <w:spacing w:before="6"/>
        <w:ind w:left="0"/>
        <w:rPr>
          <w:sz w:val="15"/>
        </w:rPr>
      </w:pPr>
    </w:p>
    <w:p>
      <w:pPr>
        <w:pStyle w:val="ListParagraph"/>
        <w:numPr>
          <w:ilvl w:val="0"/>
          <w:numId w:val="25"/>
        </w:numPr>
        <w:tabs>
          <w:tab w:pos="1167" w:val="left" w:leader="none"/>
        </w:tabs>
        <w:spacing w:line="417" w:lineRule="auto" w:before="0" w:after="0"/>
        <w:ind w:left="220" w:right="986" w:firstLine="419"/>
        <w:jc w:val="left"/>
        <w:rPr>
          <w:sz w:val="21"/>
        </w:rPr>
      </w:pPr>
      <w:r>
        <w:rPr>
          <w:spacing w:val="-6"/>
          <w:sz w:val="21"/>
        </w:rPr>
        <w:t>上市流通的基金按估值日其所在证券交易所的收盘价估值；估值日无交易的， </w:t>
      </w:r>
      <w:r>
        <w:rPr>
          <w:spacing w:val="-3"/>
          <w:sz w:val="21"/>
        </w:rPr>
        <w:t>以最近交易日的收盘价估值。</w:t>
      </w:r>
    </w:p>
    <w:p>
      <w:pPr>
        <w:pStyle w:val="ListParagraph"/>
        <w:numPr>
          <w:ilvl w:val="0"/>
          <w:numId w:val="25"/>
        </w:numPr>
        <w:tabs>
          <w:tab w:pos="1170" w:val="left" w:leader="none"/>
        </w:tabs>
        <w:spacing w:line="240" w:lineRule="auto" w:before="1" w:after="0"/>
        <w:ind w:left="1169" w:right="0" w:hanging="530"/>
        <w:jc w:val="left"/>
        <w:rPr>
          <w:sz w:val="21"/>
        </w:rPr>
      </w:pPr>
      <w:r>
        <w:rPr>
          <w:spacing w:val="-3"/>
          <w:sz w:val="21"/>
        </w:rPr>
        <w:t>其他基金按最近公布的基金份额净值估值。</w:t>
      </w:r>
    </w:p>
    <w:p>
      <w:pPr>
        <w:pStyle w:val="BodyText"/>
        <w:spacing w:before="6"/>
        <w:ind w:left="0"/>
        <w:rPr>
          <w:sz w:val="15"/>
        </w:rPr>
      </w:pPr>
    </w:p>
    <w:p>
      <w:pPr>
        <w:pStyle w:val="BodyText"/>
      </w:pPr>
      <w:r>
        <w:rPr>
          <w:rFonts w:ascii="Times New Roman" w:eastAsia="Times New Roman"/>
        </w:rPr>
        <w:t>7</w:t>
      </w:r>
      <w:r>
        <w:rPr/>
        <w:t>、非流动性资产或暂停交易的证券估值方法</w:t>
      </w:r>
    </w:p>
    <w:p>
      <w:pPr>
        <w:pStyle w:val="BodyText"/>
        <w:spacing w:before="7"/>
        <w:ind w:left="0"/>
        <w:rPr>
          <w:sz w:val="15"/>
        </w:rPr>
      </w:pPr>
    </w:p>
    <w:p>
      <w:pPr>
        <w:pStyle w:val="BodyText"/>
        <w:spacing w:line="417" w:lineRule="auto"/>
        <w:ind w:left="220" w:right="986" w:firstLine="419"/>
        <w:jc w:val="both"/>
      </w:pPr>
      <w:r>
        <w:rPr/>
        <w:t>对于未上市流通、或流通受限、或暂停交易的证券，应参照上述估值原则进行估值。如果上述估值方法不能客观反映公允价值的，基金管理人可根据具体情况，并与基金托管人商定后，按最能反映公允价值的价格估值。</w:t>
      </w:r>
    </w:p>
    <w:p>
      <w:pPr>
        <w:pStyle w:val="BodyText"/>
        <w:spacing w:line="269" w:lineRule="exact"/>
      </w:pPr>
      <w:r>
        <w:rPr>
          <w:rFonts w:ascii="Times New Roman" w:eastAsia="Times New Roman"/>
        </w:rPr>
        <w:t>8</w:t>
      </w:r>
      <w:r>
        <w:rPr/>
        <w:t>、汇率</w:t>
      </w:r>
    </w:p>
    <w:p>
      <w:pPr>
        <w:pStyle w:val="BodyText"/>
        <w:spacing w:before="7"/>
        <w:ind w:left="0"/>
        <w:rPr>
          <w:sz w:val="15"/>
        </w:rPr>
      </w:pPr>
    </w:p>
    <w:p>
      <w:pPr>
        <w:pStyle w:val="BodyText"/>
        <w:spacing w:line="417" w:lineRule="auto"/>
        <w:ind w:left="220" w:right="986" w:firstLine="419"/>
      </w:pPr>
      <w:r>
        <w:rPr/>
        <w:t>人民币对主要外汇的汇率应当以中国人民银行或其授权机构最新公布的人民币汇率中间价为准。</w:t>
      </w:r>
    </w:p>
    <w:p>
      <w:pPr>
        <w:pStyle w:val="BodyText"/>
      </w:pPr>
      <w:r>
        <w:rPr>
          <w:rFonts w:ascii="Times New Roman" w:eastAsia="Times New Roman"/>
        </w:rPr>
        <w:t>9</w:t>
      </w:r>
      <w:r>
        <w:rPr/>
        <w:t>、在任何情况下，基金管理人如采用本款第</w:t>
      </w:r>
      <w:r>
        <w:rPr>
          <w:rFonts w:ascii="Times New Roman" w:eastAsia="Times New Roman"/>
        </w:rPr>
        <w:t>1~8</w:t>
      </w:r>
      <w:r>
        <w:rPr/>
        <w:t>项规定的方法对基金资产进行估值，</w:t>
      </w:r>
    </w:p>
    <w:p>
      <w:pPr>
        <w:spacing w:after="0"/>
        <w:sectPr>
          <w:pgSz w:w="11910" w:h="16840"/>
          <w:pgMar w:header="705" w:footer="683" w:top="1420" w:bottom="880" w:left="1580" w:right="920"/>
        </w:sectPr>
      </w:pPr>
    </w:p>
    <w:p>
      <w:pPr>
        <w:pStyle w:val="BodyText"/>
        <w:spacing w:line="417" w:lineRule="auto" w:before="110"/>
        <w:ind w:left="220" w:right="986"/>
        <w:jc w:val="both"/>
      </w:pPr>
      <w:r>
        <w:rPr/>
        <w:t>均应被认为采用了适当的估值方法。但是，如果基金管理人认为按本款第</w:t>
      </w:r>
      <w:r>
        <w:rPr>
          <w:rFonts w:ascii="Times New Roman" w:eastAsia="Times New Roman"/>
        </w:rPr>
        <w:t>1~8</w:t>
      </w:r>
      <w:r>
        <w:rPr/>
        <w:t>项规定的方法对基金资产进行估值不能客观反映其公允价值的，基金管理人可根据具体情况，并与基金托管人商定后，按最能反映公允价值的价格估值。</w:t>
      </w:r>
    </w:p>
    <w:p>
      <w:pPr>
        <w:pStyle w:val="BodyText"/>
        <w:spacing w:line="417" w:lineRule="auto"/>
        <w:ind w:left="220" w:right="986" w:firstLine="419"/>
      </w:pPr>
      <w:r>
        <w:rPr>
          <w:rFonts w:ascii="Times New Roman" w:eastAsia="Times New Roman"/>
        </w:rPr>
        <w:t>10</w:t>
      </w:r>
      <w:r>
        <w:rPr/>
        <w:t>、当发生大额申购或赎回情形时，基金管理人可以采用摆动定价机制，以确保基金估值的公平性。</w:t>
      </w:r>
    </w:p>
    <w:p>
      <w:pPr>
        <w:pStyle w:val="BodyText"/>
        <w:spacing w:line="269" w:lineRule="exact"/>
      </w:pPr>
      <w:r>
        <w:rPr>
          <w:rFonts w:ascii="Times New Roman" w:eastAsia="Times New Roman"/>
        </w:rPr>
        <w:t>11</w:t>
      </w:r>
      <w:r>
        <w:rPr/>
        <w:t>、法律法规或监管部门有最新规定的，按其规定进行估值。</w:t>
      </w:r>
    </w:p>
    <w:p>
      <w:pPr>
        <w:pStyle w:val="BodyText"/>
        <w:spacing w:before="6"/>
        <w:ind w:left="0"/>
        <w:rPr>
          <w:sz w:val="15"/>
        </w:rPr>
      </w:pPr>
    </w:p>
    <w:p>
      <w:pPr>
        <w:pStyle w:val="BodyText"/>
      </w:pPr>
      <w:r>
        <w:rPr/>
        <w:t>（五）估值程序</w:t>
      </w:r>
    </w:p>
    <w:p>
      <w:pPr>
        <w:pStyle w:val="BodyText"/>
        <w:spacing w:before="7"/>
        <w:ind w:left="0"/>
        <w:rPr>
          <w:sz w:val="15"/>
        </w:rPr>
      </w:pPr>
    </w:p>
    <w:p>
      <w:pPr>
        <w:pStyle w:val="BodyText"/>
        <w:spacing w:line="417" w:lineRule="auto"/>
        <w:ind w:left="220" w:right="986" w:firstLine="419"/>
        <w:jc w:val="both"/>
      </w:pPr>
      <w:r>
        <w:rPr/>
        <w:t>基金日常估值由基金管理人和基金托管人一同进行。基金管理人将估值结果以约定的方式发送基金托管人，基金托管人按基金合同规定的估值方法、时间、程序进行复核，基金托管人复核无误后返回给基金管理人。月末、年中和年末估值复核与基金会计账目的核对同时进行。</w:t>
      </w:r>
    </w:p>
    <w:p>
      <w:pPr>
        <w:pStyle w:val="BodyText"/>
        <w:spacing w:line="268" w:lineRule="exact"/>
      </w:pPr>
      <w:r>
        <w:rPr/>
        <w:t>（六）暂停估值的情形</w:t>
      </w:r>
    </w:p>
    <w:p>
      <w:pPr>
        <w:pStyle w:val="BodyText"/>
        <w:spacing w:before="7"/>
        <w:ind w:left="0"/>
        <w:rPr>
          <w:sz w:val="15"/>
        </w:rPr>
      </w:pPr>
    </w:p>
    <w:p>
      <w:pPr>
        <w:pStyle w:val="BodyText"/>
      </w:pPr>
      <w:r>
        <w:rPr/>
        <w:t>当发生下列情形时，本基金可暂停估值：</w:t>
      </w:r>
    </w:p>
    <w:p>
      <w:pPr>
        <w:pStyle w:val="BodyText"/>
        <w:spacing w:before="7"/>
        <w:ind w:left="0"/>
        <w:rPr>
          <w:sz w:val="15"/>
        </w:rPr>
      </w:pPr>
    </w:p>
    <w:p>
      <w:pPr>
        <w:pStyle w:val="BodyText"/>
      </w:pPr>
      <w:r>
        <w:rPr>
          <w:rFonts w:ascii="Times New Roman" w:eastAsia="Times New Roman"/>
        </w:rPr>
        <w:t>1</w:t>
      </w:r>
      <w:r>
        <w:rPr/>
        <w:t>、基金投资所涉及的证券交易场所遇法定节假日或因其他原因停市时。</w:t>
      </w:r>
    </w:p>
    <w:p>
      <w:pPr>
        <w:pStyle w:val="BodyText"/>
        <w:spacing w:before="7"/>
        <w:ind w:left="0"/>
        <w:rPr>
          <w:sz w:val="15"/>
        </w:rPr>
      </w:pPr>
    </w:p>
    <w:p>
      <w:pPr>
        <w:pStyle w:val="BodyText"/>
        <w:spacing w:line="417" w:lineRule="auto"/>
        <w:ind w:left="220" w:right="988" w:firstLine="419"/>
      </w:pPr>
      <w:r>
        <w:rPr>
          <w:rFonts w:ascii="Times New Roman" w:eastAsia="Times New Roman"/>
        </w:rPr>
        <w:t>2</w:t>
      </w:r>
      <w:r>
        <w:rPr>
          <w:spacing w:val="-10"/>
        </w:rPr>
        <w:t>、因不可抗力或其他情形致使基金管理人、基金托管人、境外资产托管人无法准确评</w:t>
      </w:r>
      <w:r>
        <w:rPr>
          <w:spacing w:val="-5"/>
        </w:rPr>
        <w:t>估基金财产价值时。</w:t>
      </w:r>
    </w:p>
    <w:p>
      <w:pPr>
        <w:pStyle w:val="BodyText"/>
        <w:spacing w:line="269" w:lineRule="exact"/>
      </w:pPr>
      <w:r>
        <w:rPr>
          <w:rFonts w:ascii="Times New Roman" w:eastAsia="Times New Roman"/>
        </w:rPr>
        <w:t>3</w:t>
      </w:r>
      <w:r>
        <w:rPr/>
        <w:t>、本基金所投资的目标</w:t>
      </w:r>
      <w:r>
        <w:rPr>
          <w:rFonts w:ascii="Times New Roman" w:eastAsia="Times New Roman"/>
        </w:rPr>
        <w:t>ETF</w:t>
      </w:r>
      <w:r>
        <w:rPr/>
        <w:t>暂停估值或暂停公告基金份额净值的。</w:t>
      </w:r>
    </w:p>
    <w:p>
      <w:pPr>
        <w:pStyle w:val="BodyText"/>
        <w:spacing w:before="7"/>
        <w:ind w:left="0"/>
        <w:rPr>
          <w:sz w:val="15"/>
        </w:rPr>
      </w:pPr>
    </w:p>
    <w:p>
      <w:pPr>
        <w:pStyle w:val="BodyText"/>
        <w:spacing w:line="417" w:lineRule="auto"/>
        <w:ind w:left="220" w:right="986" w:firstLine="419"/>
      </w:pPr>
      <w:r>
        <w:rPr>
          <w:rFonts w:ascii="Times New Roman" w:eastAsia="Times New Roman"/>
        </w:rPr>
        <w:t>4</w:t>
      </w:r>
      <w:r>
        <w:rPr>
          <w:spacing w:val="-11"/>
        </w:rPr>
        <w:t>、占基金相当比例的投资品种的估值出现重大转变，而基金管理人为保障投资者的利</w:t>
      </w:r>
      <w:r>
        <w:rPr>
          <w:spacing w:val="-6"/>
        </w:rPr>
        <w:t>益，已决定延迟估值。</w:t>
      </w:r>
    </w:p>
    <w:p>
      <w:pPr>
        <w:pStyle w:val="BodyText"/>
        <w:spacing w:line="417" w:lineRule="auto"/>
        <w:ind w:left="220" w:right="986" w:firstLine="419"/>
      </w:pPr>
      <w:r>
        <w:rPr>
          <w:rFonts w:ascii="Times New Roman" w:eastAsia="Times New Roman"/>
        </w:rPr>
        <w:t>5</w:t>
      </w:r>
      <w:r>
        <w:rPr>
          <w:spacing w:val="-11"/>
        </w:rPr>
        <w:t>、如出现基金管理人认为属于紧急事故的任何情况，会导致基金管理人不能出售或无</w:t>
      </w:r>
      <w:r>
        <w:rPr>
          <w:spacing w:val="-6"/>
        </w:rPr>
        <w:t>法评估基金资产的。</w:t>
      </w:r>
    </w:p>
    <w:p>
      <w:pPr>
        <w:pStyle w:val="BodyText"/>
        <w:spacing w:line="417" w:lineRule="auto"/>
        <w:ind w:left="220" w:right="986" w:firstLine="419"/>
        <w:jc w:val="both"/>
      </w:pPr>
      <w:r>
        <w:rPr>
          <w:rFonts w:ascii="Times New Roman" w:eastAsia="Times New Roman"/>
        </w:rPr>
        <w:t>6</w:t>
      </w:r>
      <w:r>
        <w:rPr>
          <w:spacing w:val="-10"/>
        </w:rPr>
        <w:t>、当前一估值日基金资产净值</w:t>
      </w:r>
      <w:r>
        <w:rPr>
          <w:rFonts w:ascii="Times New Roman" w:eastAsia="Times New Roman"/>
        </w:rPr>
        <w:t>50%</w:t>
      </w:r>
      <w:r>
        <w:rPr>
          <w:spacing w:val="-3"/>
        </w:rPr>
        <w:t>以上的资产出现无可参考的活跃市场价格且采用估值技术仍导致公允价值存在重大不确定性时，经与基金托管人协商确认后，基金管理人应当暂停基金估值。</w:t>
      </w:r>
    </w:p>
    <w:p>
      <w:pPr>
        <w:pStyle w:val="BodyText"/>
        <w:spacing w:line="269" w:lineRule="exact"/>
      </w:pPr>
      <w:r>
        <w:rPr>
          <w:rFonts w:ascii="Times New Roman" w:eastAsia="Times New Roman"/>
        </w:rPr>
        <w:t>7</w:t>
      </w:r>
      <w:r>
        <w:rPr/>
        <w:t>、中国证监会认定的其他情形。</w:t>
      </w:r>
    </w:p>
    <w:p>
      <w:pPr>
        <w:pStyle w:val="BodyText"/>
        <w:spacing w:before="6"/>
        <w:ind w:left="0"/>
        <w:rPr>
          <w:sz w:val="15"/>
        </w:rPr>
      </w:pPr>
    </w:p>
    <w:p>
      <w:pPr>
        <w:pStyle w:val="BodyText"/>
      </w:pPr>
      <w:r>
        <w:rPr/>
        <w:t>（七）基金份额净值的确认</w:t>
      </w:r>
    </w:p>
    <w:p>
      <w:pPr>
        <w:pStyle w:val="BodyText"/>
        <w:spacing w:before="7"/>
        <w:ind w:left="0"/>
        <w:rPr>
          <w:sz w:val="15"/>
        </w:rPr>
      </w:pPr>
    </w:p>
    <w:p>
      <w:pPr>
        <w:pStyle w:val="BodyText"/>
        <w:spacing w:line="417" w:lineRule="auto"/>
        <w:ind w:left="220" w:right="986" w:firstLine="419"/>
        <w:jc w:val="both"/>
      </w:pPr>
      <w:r>
        <w:rPr/>
        <w:t>用于基金信息披露的基金份额净值由基金管理人负责计算，基金托管人进行复核。基金管理人每个估值日对基金资产估值后将计算的基金份额净值发送给基金托管人。基金托管人对净值计算结果复核确认后发送给基金管理人。</w:t>
      </w:r>
    </w:p>
    <w:p>
      <w:pPr>
        <w:pStyle w:val="BodyText"/>
      </w:pPr>
      <w:r>
        <w:rPr/>
        <w:t>基金份额净值的计算精确到</w:t>
      </w:r>
      <w:r>
        <w:rPr>
          <w:rFonts w:ascii="Times New Roman" w:eastAsia="Times New Roman"/>
        </w:rPr>
        <w:t>0.0001</w:t>
      </w:r>
      <w:r>
        <w:rPr/>
        <w:t>元人民币，小数点后第五位四舍五入。国家另有规</w:t>
      </w:r>
    </w:p>
    <w:p>
      <w:pPr>
        <w:spacing w:after="0"/>
        <w:sectPr>
          <w:pgSz w:w="11910" w:h="16840"/>
          <w:pgMar w:header="705" w:footer="683" w:top="1420" w:bottom="880" w:left="1580" w:right="920"/>
        </w:sectPr>
      </w:pPr>
    </w:p>
    <w:p>
      <w:pPr>
        <w:pStyle w:val="BodyText"/>
        <w:spacing w:before="110"/>
        <w:ind w:left="220"/>
      </w:pPr>
      <w:r>
        <w:rPr/>
        <w:t>定的，从其规定。</w:t>
      </w:r>
    </w:p>
    <w:p>
      <w:pPr>
        <w:pStyle w:val="BodyText"/>
        <w:spacing w:before="6"/>
        <w:ind w:left="0"/>
        <w:rPr>
          <w:sz w:val="15"/>
        </w:rPr>
      </w:pPr>
    </w:p>
    <w:p>
      <w:pPr>
        <w:pStyle w:val="BodyText"/>
      </w:pPr>
      <w:r>
        <w:rPr/>
        <w:t>（八）估值错误的处理</w:t>
      </w:r>
    </w:p>
    <w:p>
      <w:pPr>
        <w:pStyle w:val="BodyText"/>
        <w:spacing w:before="7"/>
        <w:ind w:left="0"/>
        <w:rPr>
          <w:sz w:val="15"/>
        </w:rPr>
      </w:pPr>
    </w:p>
    <w:p>
      <w:pPr>
        <w:pStyle w:val="BodyText"/>
        <w:spacing w:line="417" w:lineRule="auto"/>
        <w:ind w:left="220" w:right="989" w:firstLine="419"/>
      </w:pPr>
      <w:r>
        <w:rPr>
          <w:rFonts w:ascii="Times New Roman" w:eastAsia="Times New Roman"/>
        </w:rPr>
        <w:t>1</w:t>
      </w:r>
      <w:r>
        <w:rPr>
          <w:spacing w:val="-7"/>
        </w:rPr>
        <w:t>、当基金财产的估值导致基金份额净值小数点后</w:t>
      </w:r>
      <w:r>
        <w:rPr>
          <w:rFonts w:ascii="Times New Roman" w:eastAsia="Times New Roman"/>
          <w:spacing w:val="-3"/>
        </w:rPr>
        <w:t>4</w:t>
      </w:r>
      <w:r>
        <w:rPr>
          <w:spacing w:val="-15"/>
        </w:rPr>
        <w:t>位内</w:t>
      </w:r>
      <w:r>
        <w:rPr/>
        <w:t>（</w:t>
      </w:r>
      <w:r>
        <w:rPr>
          <w:spacing w:val="-2"/>
        </w:rPr>
        <w:t>含第</w:t>
      </w:r>
      <w:r>
        <w:rPr>
          <w:rFonts w:ascii="Times New Roman" w:eastAsia="Times New Roman"/>
          <w:spacing w:val="-3"/>
        </w:rPr>
        <w:t>4</w:t>
      </w:r>
      <w:r>
        <w:rPr/>
        <w:t>位</w:t>
      </w:r>
      <w:r>
        <w:rPr>
          <w:spacing w:val="-27"/>
        </w:rPr>
        <w:t>）</w:t>
      </w:r>
      <w:r>
        <w:rPr>
          <w:spacing w:val="-6"/>
        </w:rPr>
        <w:t>发生差错时，视为</w:t>
      </w:r>
      <w:r>
        <w:rPr>
          <w:spacing w:val="-4"/>
        </w:rPr>
        <w:t>基金份额净值估值错误。</w:t>
      </w:r>
    </w:p>
    <w:p>
      <w:pPr>
        <w:pStyle w:val="BodyText"/>
        <w:spacing w:line="417" w:lineRule="auto"/>
        <w:ind w:left="220" w:right="880" w:firstLine="419"/>
      </w:pPr>
      <w:r>
        <w:rPr>
          <w:rFonts w:ascii="Times New Roman" w:eastAsia="Times New Roman"/>
        </w:rPr>
        <w:t>2</w:t>
      </w:r>
      <w:r>
        <w:rPr>
          <w:spacing w:val="-18"/>
        </w:rPr>
        <w:t>、基金管理人和基金托管人将采取必要、适当合理的措施确保基金资产估值的准确性、</w:t>
      </w:r>
      <w:r>
        <w:rPr>
          <w:spacing w:val="-7"/>
        </w:rPr>
        <w:t>及时性。当基金份额净值出现错误时，基金管理人应当立即予以纠正，并采取合理的措施防止损失进一步扩大；当计价错误达到或超过基金份额净值的</w:t>
      </w:r>
      <w:r>
        <w:rPr>
          <w:rFonts w:ascii="Times New Roman" w:eastAsia="Times New Roman"/>
        </w:rPr>
        <w:t>0.25%</w:t>
      </w:r>
      <w:r>
        <w:rPr/>
        <w:t>时，基金管理人应当</w:t>
      </w:r>
      <w:r>
        <w:rPr>
          <w:spacing w:val="-10"/>
        </w:rPr>
        <w:t>报中国证监会备案；当计价错误达到或超过基金份额净值的</w:t>
      </w:r>
      <w:r>
        <w:rPr>
          <w:rFonts w:ascii="Times New Roman" w:eastAsia="Times New Roman"/>
        </w:rPr>
        <w:t>0.5%</w:t>
      </w:r>
      <w:r>
        <w:rPr>
          <w:spacing w:val="-10"/>
        </w:rPr>
        <w:t>时，基金管理人应当公告， </w:t>
      </w:r>
      <w:r>
        <w:rPr>
          <w:spacing w:val="-5"/>
        </w:rPr>
        <w:t>并同时报中国证监会备案。</w:t>
      </w:r>
    </w:p>
    <w:p>
      <w:pPr>
        <w:pStyle w:val="BodyText"/>
        <w:spacing w:line="269" w:lineRule="exact"/>
      </w:pPr>
      <w:r>
        <w:rPr>
          <w:rFonts w:ascii="Times New Roman" w:eastAsia="Times New Roman"/>
        </w:rPr>
        <w:t>3</w:t>
      </w:r>
      <w:r>
        <w:rPr/>
        <w:t>、前述内容如法律法规或监管机构另有规定的，按其规定处理。</w:t>
      </w:r>
    </w:p>
    <w:p>
      <w:pPr>
        <w:pStyle w:val="BodyText"/>
        <w:spacing w:before="6"/>
        <w:ind w:left="0"/>
        <w:rPr>
          <w:sz w:val="15"/>
        </w:rPr>
      </w:pPr>
    </w:p>
    <w:p>
      <w:pPr>
        <w:pStyle w:val="BodyText"/>
        <w:spacing w:before="1"/>
        <w:ind w:left="534"/>
      </w:pPr>
      <w:r>
        <w:rPr/>
        <w:t>（九）特殊情形的处理</w:t>
      </w:r>
    </w:p>
    <w:p>
      <w:pPr>
        <w:pStyle w:val="BodyText"/>
        <w:spacing w:before="6"/>
        <w:ind w:left="0"/>
        <w:rPr>
          <w:sz w:val="15"/>
        </w:rPr>
      </w:pPr>
    </w:p>
    <w:p>
      <w:pPr>
        <w:pStyle w:val="BodyText"/>
        <w:spacing w:line="417" w:lineRule="auto"/>
        <w:ind w:left="220" w:right="988" w:firstLine="419"/>
      </w:pPr>
      <w:r>
        <w:rPr>
          <w:rFonts w:ascii="Times New Roman" w:eastAsia="Times New Roman"/>
        </w:rPr>
        <w:t>1</w:t>
      </w:r>
      <w:r>
        <w:rPr/>
        <w:t>、基金管理人按本条（四）估值方法中的第</w:t>
      </w:r>
      <w:r>
        <w:rPr>
          <w:rFonts w:ascii="Times New Roman" w:eastAsia="Times New Roman"/>
        </w:rPr>
        <w:t>9</w:t>
      </w:r>
      <w:r>
        <w:rPr/>
        <w:t>项进行估值时，所造成的误差不作为基金份额净值错误处理。</w:t>
      </w:r>
    </w:p>
    <w:p>
      <w:pPr>
        <w:pStyle w:val="BodyText"/>
        <w:spacing w:line="417" w:lineRule="auto"/>
        <w:ind w:left="220" w:right="986" w:firstLine="419"/>
        <w:jc w:val="both"/>
      </w:pPr>
      <w:r>
        <w:rPr>
          <w:rFonts w:ascii="Times New Roman" w:hAnsi="Times New Roman" w:eastAsia="Times New Roman"/>
        </w:rPr>
        <w:t>2</w:t>
      </w:r>
      <w:r>
        <w:rPr>
          <w:spacing w:val="-12"/>
        </w:rPr>
        <w:t>、对于因税收规定调整或其他原因导致基金实际交纳税金与基金按照权责发生制进行</w:t>
      </w:r>
      <w:r>
        <w:rPr>
          <w:spacing w:val="-6"/>
        </w:rPr>
        <w:t>估值的应交税金有差异的，相关估值调整不作为基金资产估值错误处理。但是，对于其中</w:t>
      </w:r>
      <w:r>
        <w:rPr>
          <w:spacing w:val="-4"/>
        </w:rPr>
        <w:t>因基金管理人、基金托管人、境外资产托管人或基金管理人委托的税务顾问</w:t>
      </w:r>
      <w:r>
        <w:rPr/>
        <w:t>（</w:t>
      </w:r>
      <w:r>
        <w:rPr>
          <w:spacing w:val="-3"/>
        </w:rPr>
        <w:t>称为“责任</w:t>
      </w:r>
      <w:r>
        <w:rPr/>
        <w:t>人”）</w:t>
      </w:r>
      <w:r>
        <w:rPr>
          <w:spacing w:val="-3"/>
        </w:rPr>
        <w:t>业务操作不当、疏忽或者故意违约等行为导致基金实际税收负担</w:t>
      </w:r>
      <w:r>
        <w:rPr/>
        <w:t>（</w:t>
      </w:r>
      <w:r>
        <w:rPr>
          <w:spacing w:val="-2"/>
        </w:rPr>
        <w:t>含罚金等</w:t>
      </w:r>
      <w:r>
        <w:rPr/>
        <w:t>）</w:t>
      </w:r>
      <w:r>
        <w:rPr>
          <w:spacing w:val="-3"/>
        </w:rPr>
        <w:t>与估值有所差异的，该等差异应由责任人负责赔偿，基金管理人应代表基金利益进行追偿。</w:t>
      </w:r>
    </w:p>
    <w:p>
      <w:pPr>
        <w:pStyle w:val="BodyText"/>
        <w:spacing w:line="417" w:lineRule="auto"/>
        <w:ind w:left="220" w:right="986" w:firstLine="419"/>
        <w:jc w:val="both"/>
      </w:pPr>
      <w:r>
        <w:rPr>
          <w:rFonts w:ascii="Times New Roman" w:eastAsia="Times New Roman"/>
        </w:rPr>
        <w:t>3</w:t>
      </w:r>
      <w:r>
        <w:rPr>
          <w:spacing w:val="-11"/>
        </w:rPr>
        <w:t>、由于证券交易市场或登记结算公司或其他中介机构发送的数据错误，或数据来源受</w:t>
      </w:r>
      <w:r>
        <w:rPr>
          <w:spacing w:val="-6"/>
        </w:rPr>
        <w:t>到限制，或有关会计制度变化以及由于其他不可抗力原因，基金管理人和基金托管人虽然</w:t>
      </w:r>
      <w:r>
        <w:rPr>
          <w:spacing w:val="-4"/>
        </w:rPr>
        <w:t>已经采取必要、适当、合理的措施进行检查，但是未能发现该错误而造成的基金资产估值</w:t>
      </w:r>
      <w:r>
        <w:rPr>
          <w:spacing w:val="-3"/>
        </w:rPr>
        <w:t>错误，基金管理人、基金托管人可以免除赔偿责任。但基金管理人、基金托管人应积极采取必要的措施消除由此造成的影响。</w:t>
      </w:r>
    </w:p>
    <w:p>
      <w:pPr>
        <w:pStyle w:val="BodyText"/>
        <w:spacing w:before="2"/>
        <w:ind w:left="0"/>
        <w:rPr>
          <w:sz w:val="26"/>
        </w:rPr>
      </w:pPr>
    </w:p>
    <w:p>
      <w:pPr>
        <w:pStyle w:val="Heading1"/>
        <w:ind w:left="1350"/>
      </w:pPr>
      <w:bookmarkStart w:name="_bookmark12" w:id="13"/>
      <w:bookmarkEnd w:id="13"/>
      <w:r>
        <w:rPr>
          <w:b w:val="0"/>
        </w:rPr>
      </w:r>
      <w:r>
        <w:rPr/>
        <w:t>十三、基金的收益与分配</w:t>
      </w:r>
    </w:p>
    <w:p>
      <w:pPr>
        <w:pStyle w:val="BodyText"/>
        <w:ind w:left="0"/>
        <w:rPr>
          <w:b/>
          <w:sz w:val="20"/>
        </w:rPr>
      </w:pPr>
    </w:p>
    <w:p>
      <w:pPr>
        <w:pStyle w:val="BodyText"/>
        <w:spacing w:before="6"/>
        <w:ind w:left="0"/>
        <w:rPr>
          <w:b/>
          <w:sz w:val="20"/>
        </w:rPr>
      </w:pPr>
    </w:p>
    <w:p>
      <w:pPr>
        <w:pStyle w:val="BodyText"/>
      </w:pPr>
      <w:r>
        <w:rPr/>
        <w:t>（一）收益的构成</w:t>
      </w:r>
    </w:p>
    <w:p>
      <w:pPr>
        <w:pStyle w:val="BodyText"/>
        <w:spacing w:before="12"/>
        <w:ind w:left="0"/>
        <w:rPr>
          <w:sz w:val="14"/>
        </w:rPr>
      </w:pPr>
    </w:p>
    <w:p>
      <w:pPr>
        <w:pStyle w:val="BodyText"/>
        <w:spacing w:line="408" w:lineRule="auto"/>
        <w:ind w:left="220" w:right="988" w:firstLine="419"/>
      </w:pPr>
      <w:r>
        <w:rPr>
          <w:rFonts w:ascii="Times New Roman" w:eastAsia="Times New Roman"/>
        </w:rPr>
        <w:t>1</w:t>
      </w:r>
      <w:r>
        <w:rPr>
          <w:spacing w:val="-17"/>
        </w:rPr>
        <w:t>、基金收益包括：基金投资所得红利、股息、投资</w:t>
      </w:r>
      <w:r>
        <w:rPr>
          <w:rFonts w:ascii="Times New Roman" w:eastAsia="Times New Roman"/>
          <w:spacing w:val="-2"/>
        </w:rPr>
        <w:t>ETF</w:t>
      </w:r>
      <w:r>
        <w:rPr>
          <w:spacing w:val="-9"/>
        </w:rPr>
        <w:t>份额所得收益、买卖证券差价、</w:t>
      </w:r>
      <w:r>
        <w:rPr>
          <w:spacing w:val="-5"/>
        </w:rPr>
        <w:t>银行存款利息、外汇兑换损益以及其他合法收入。</w:t>
      </w:r>
    </w:p>
    <w:p>
      <w:pPr>
        <w:pStyle w:val="BodyText"/>
        <w:spacing w:before="3"/>
      </w:pPr>
      <w:r>
        <w:rPr>
          <w:rFonts w:ascii="Times New Roman" w:eastAsia="Times New Roman"/>
        </w:rPr>
        <w:t>2</w:t>
      </w:r>
      <w:r>
        <w:rPr/>
        <w:t>、因运用基金财产带来的成本或费用的节约应计入收益。</w:t>
      </w:r>
    </w:p>
    <w:p>
      <w:pPr>
        <w:spacing w:after="0"/>
        <w:sectPr>
          <w:pgSz w:w="11910" w:h="16840"/>
          <w:pgMar w:header="705" w:footer="683" w:top="1420" w:bottom="880" w:left="1580" w:right="920"/>
        </w:sectPr>
      </w:pPr>
    </w:p>
    <w:p>
      <w:pPr>
        <w:pStyle w:val="BodyText"/>
        <w:spacing w:before="105"/>
      </w:pPr>
      <w:r>
        <w:rPr/>
        <w:t>（二）基金可供分配利润</w:t>
      </w:r>
    </w:p>
    <w:p>
      <w:pPr>
        <w:pStyle w:val="BodyText"/>
        <w:spacing w:before="10"/>
        <w:ind w:left="0"/>
        <w:rPr>
          <w:sz w:val="14"/>
        </w:rPr>
      </w:pPr>
    </w:p>
    <w:p>
      <w:pPr>
        <w:pStyle w:val="BodyText"/>
        <w:spacing w:line="408" w:lineRule="auto"/>
        <w:ind w:left="220" w:right="986" w:firstLine="419"/>
      </w:pPr>
      <w:r>
        <w:rPr/>
        <w:t>基金可供分配利润为截至收益分配基准日未分配利润与未分配利润中已实现收益的孰低数。</w:t>
      </w:r>
    </w:p>
    <w:p>
      <w:pPr>
        <w:pStyle w:val="BodyText"/>
        <w:spacing w:before="4"/>
      </w:pPr>
      <w:r>
        <w:rPr/>
        <w:t>（三）收益分配原则</w:t>
      </w:r>
    </w:p>
    <w:p>
      <w:pPr>
        <w:pStyle w:val="BodyText"/>
        <w:spacing w:before="10"/>
        <w:ind w:left="0"/>
        <w:rPr>
          <w:sz w:val="14"/>
        </w:rPr>
      </w:pPr>
    </w:p>
    <w:p>
      <w:pPr>
        <w:pStyle w:val="BodyText"/>
        <w:spacing w:line="408" w:lineRule="auto"/>
        <w:ind w:left="220" w:right="986" w:firstLine="419"/>
        <w:jc w:val="both"/>
      </w:pPr>
      <w:r>
        <w:rPr>
          <w:rFonts w:ascii="Times New Roman" w:eastAsia="Times New Roman"/>
        </w:rPr>
        <w:t>1</w:t>
      </w:r>
      <w:r>
        <w:rPr>
          <w:spacing w:val="-11"/>
        </w:rPr>
        <w:t>、由于基金费用的不同，不同类别的基金份额在收益分配数额方面可能有所不同，基</w:t>
      </w:r>
      <w:r>
        <w:rPr>
          <w:spacing w:val="-6"/>
        </w:rPr>
        <w:t>金管理人可对各类别基金份额分别制定收益分配方案，同一类别内的每份基金份额享有同</w:t>
      </w:r>
      <w:r>
        <w:rPr>
          <w:spacing w:val="-4"/>
        </w:rPr>
        <w:t>等分配权。</w:t>
      </w:r>
    </w:p>
    <w:p>
      <w:pPr>
        <w:pStyle w:val="BodyText"/>
        <w:spacing w:line="410" w:lineRule="auto" w:before="4"/>
        <w:ind w:left="220" w:right="986" w:firstLine="419"/>
      </w:pPr>
      <w:r>
        <w:rPr>
          <w:rFonts w:ascii="Times New Roman" w:eastAsia="Times New Roman"/>
        </w:rPr>
        <w:t>2</w:t>
      </w:r>
      <w:r>
        <w:rPr/>
        <w:t>、收益分配币种与其对应份额的认购</w:t>
      </w:r>
      <w:r>
        <w:rPr>
          <w:rFonts w:ascii="Times New Roman" w:eastAsia="Times New Roman"/>
        </w:rPr>
        <w:t>/</w:t>
      </w:r>
      <w:r>
        <w:rPr/>
        <w:t>申购币种相同。美元收益分配金额按除权前一日中国人民银行最新公布的人民币对美元汇率中间价折算为相应的美元金额。</w:t>
      </w:r>
    </w:p>
    <w:p>
      <w:pPr>
        <w:pStyle w:val="BodyText"/>
        <w:spacing w:line="408" w:lineRule="auto"/>
        <w:ind w:left="220" w:right="986" w:firstLine="419"/>
        <w:jc w:val="both"/>
      </w:pPr>
      <w:r>
        <w:rPr>
          <w:rFonts w:ascii="Times New Roman" w:eastAsia="Times New Roman"/>
        </w:rPr>
        <w:t>3</w:t>
      </w:r>
      <w:r>
        <w:rPr>
          <w:spacing w:val="-12"/>
        </w:rPr>
        <w:t>、基金收益分配采用现金方式或红利再投资方式，基金份额持有人可自行选择收益分</w:t>
      </w:r>
      <w:r>
        <w:rPr>
          <w:spacing w:val="-6"/>
        </w:rPr>
        <w:t>配方式；基金份额持有人事先未做出选择的，默认的分红方式为现金方式；选择红利再投</w:t>
      </w:r>
      <w:r>
        <w:rPr>
          <w:spacing w:val="-4"/>
        </w:rPr>
        <w:t>资的，分红资金将按分红权益再投资日</w:t>
      </w:r>
      <w:r>
        <w:rPr>
          <w:spacing w:val="-3"/>
        </w:rPr>
        <w:t>（具体以届时的基金分红公告为准）</w:t>
      </w:r>
      <w:r>
        <w:rPr>
          <w:spacing w:val="-2"/>
        </w:rPr>
        <w:t>的基金份额净</w:t>
      </w:r>
      <w:r>
        <w:rPr>
          <w:spacing w:val="-3"/>
        </w:rPr>
        <w:t>值进行再投资。</w:t>
      </w:r>
    </w:p>
    <w:p>
      <w:pPr>
        <w:pStyle w:val="BodyText"/>
        <w:spacing w:line="408" w:lineRule="auto" w:before="5"/>
        <w:ind w:left="220" w:right="986" w:firstLine="419"/>
        <w:jc w:val="both"/>
      </w:pPr>
      <w:r>
        <w:rPr>
          <w:rFonts w:ascii="Times New Roman" w:eastAsia="Times New Roman"/>
        </w:rPr>
        <w:t>4</w:t>
      </w:r>
      <w:r>
        <w:rPr>
          <w:spacing w:val="-9"/>
        </w:rPr>
        <w:t>、在符合基金收益分配条件的情况下，本基金收益每年最多分配</w:t>
      </w:r>
      <w:r>
        <w:rPr>
          <w:rFonts w:ascii="Times New Roman" w:eastAsia="Times New Roman"/>
        </w:rPr>
        <w:t>12</w:t>
      </w:r>
      <w:r>
        <w:rPr>
          <w:spacing w:val="-8"/>
        </w:rPr>
        <w:t>次，每次基金收益分配比例不低于该次可供分配利润的</w:t>
      </w:r>
      <w:r>
        <w:rPr>
          <w:rFonts w:ascii="Times New Roman" w:eastAsia="Times New Roman"/>
        </w:rPr>
        <w:t>20%</w:t>
      </w:r>
      <w:r>
        <w:rPr>
          <w:spacing w:val="-2"/>
        </w:rPr>
        <w:t>，基金红利发放日距离收益分配基准日</w:t>
      </w:r>
      <w:r>
        <w:rPr/>
        <w:t>（</w:t>
      </w:r>
      <w:r>
        <w:rPr>
          <w:spacing w:val="-4"/>
        </w:rPr>
        <w:t>即可供</w:t>
      </w:r>
      <w:r>
        <w:rPr>
          <w:spacing w:val="-3"/>
        </w:rPr>
        <w:t>分配利润计算截至日</w:t>
      </w:r>
      <w:r>
        <w:rPr>
          <w:spacing w:val="-53"/>
        </w:rPr>
        <w:t>）</w:t>
      </w:r>
      <w:r>
        <w:rPr>
          <w:spacing w:val="-3"/>
        </w:rPr>
        <w:t>的时间不得超过</w:t>
      </w:r>
      <w:r>
        <w:rPr>
          <w:rFonts w:ascii="Times New Roman" w:eastAsia="Times New Roman"/>
        </w:rPr>
        <w:t>15</w:t>
      </w:r>
      <w:r>
        <w:rPr>
          <w:spacing w:val="-9"/>
        </w:rPr>
        <w:t>个工作日，若基金合同生效不满</w:t>
      </w:r>
      <w:r>
        <w:rPr>
          <w:rFonts w:ascii="Times New Roman" w:eastAsia="Times New Roman"/>
        </w:rPr>
        <w:t>3</w:t>
      </w:r>
      <w:r>
        <w:rPr>
          <w:spacing w:val="-3"/>
        </w:rPr>
        <w:t>个月可不进行收益分配。</w:t>
      </w:r>
    </w:p>
    <w:p>
      <w:pPr>
        <w:pStyle w:val="BodyText"/>
        <w:spacing w:line="410" w:lineRule="auto" w:before="5"/>
        <w:ind w:left="220" w:right="986" w:firstLine="419"/>
      </w:pPr>
      <w:r>
        <w:rPr>
          <w:rFonts w:ascii="Times New Roman" w:eastAsia="Times New Roman"/>
        </w:rPr>
        <w:t>5</w:t>
      </w:r>
      <w:r>
        <w:rPr>
          <w:spacing w:val="-11"/>
        </w:rPr>
        <w:t>、基金收益分配后每一基金份额净值不能低于面值，即基金收益分配基准日的基金份</w:t>
      </w:r>
      <w:r>
        <w:rPr>
          <w:spacing w:val="-6"/>
        </w:rPr>
        <w:t>额净值减去每单位基金份额收益分配金额后不能低于面值。</w:t>
      </w:r>
    </w:p>
    <w:p>
      <w:pPr>
        <w:pStyle w:val="BodyText"/>
        <w:spacing w:line="268" w:lineRule="exact"/>
      </w:pPr>
      <w:r>
        <w:rPr>
          <w:rFonts w:ascii="Times New Roman" w:eastAsia="Times New Roman"/>
        </w:rPr>
        <w:t>6</w:t>
      </w:r>
      <w:r>
        <w:rPr/>
        <w:t>、法律法规或监管机构另有规定的从其规定。</w:t>
      </w:r>
    </w:p>
    <w:p>
      <w:pPr>
        <w:pStyle w:val="BodyText"/>
        <w:spacing w:line="408" w:lineRule="auto" w:before="189"/>
        <w:ind w:left="220" w:right="986" w:firstLine="419"/>
      </w:pPr>
      <w:r>
        <w:rPr/>
        <w:t>在遵守法律法规的前提下，基金管理人、登记结算机构可对基金收益分配的有关业务规则进行调整，并及时公告。</w:t>
      </w:r>
    </w:p>
    <w:p>
      <w:pPr>
        <w:pStyle w:val="BodyText"/>
        <w:spacing w:before="5"/>
      </w:pPr>
      <w:r>
        <w:rPr/>
        <w:t>（四）收益分配方案</w:t>
      </w:r>
    </w:p>
    <w:p>
      <w:pPr>
        <w:pStyle w:val="BodyText"/>
        <w:spacing w:before="10"/>
        <w:ind w:left="0"/>
        <w:rPr>
          <w:sz w:val="14"/>
        </w:rPr>
      </w:pPr>
    </w:p>
    <w:p>
      <w:pPr>
        <w:pStyle w:val="BodyText"/>
        <w:spacing w:line="408" w:lineRule="auto"/>
        <w:ind w:left="220" w:right="986" w:firstLine="419"/>
      </w:pPr>
      <w:r>
        <w:rPr/>
        <w:t>基金收益分配方案中载明基金收益分配基准日可供分配利润、基金收益分配对象、分配时间、分配数额及比例、分配方式等内容。</w:t>
      </w:r>
    </w:p>
    <w:p>
      <w:pPr>
        <w:pStyle w:val="BodyText"/>
        <w:spacing w:before="2"/>
      </w:pPr>
      <w:r>
        <w:rPr/>
        <w:t>（五）收益分配方案的确定与公告</w:t>
      </w:r>
    </w:p>
    <w:p>
      <w:pPr>
        <w:pStyle w:val="BodyText"/>
        <w:spacing w:before="10"/>
        <w:ind w:left="0"/>
        <w:rPr>
          <w:sz w:val="14"/>
        </w:rPr>
      </w:pPr>
    </w:p>
    <w:p>
      <w:pPr>
        <w:pStyle w:val="BodyText"/>
        <w:spacing w:line="410" w:lineRule="auto"/>
        <w:ind w:left="220" w:right="986" w:firstLine="419"/>
      </w:pPr>
      <w:r>
        <w:rPr/>
        <w:t>基金收益分配方案由基金管理人拟定，并由基金托管人复核，基金管理人按法律法规的规定公告。</w:t>
      </w:r>
    </w:p>
    <w:p>
      <w:pPr>
        <w:pStyle w:val="BodyText"/>
        <w:spacing w:line="268" w:lineRule="exact"/>
      </w:pPr>
      <w:r>
        <w:rPr/>
        <w:t>（六）收益分配中发生的费用</w:t>
      </w:r>
    </w:p>
    <w:p>
      <w:pPr>
        <w:pStyle w:val="BodyText"/>
        <w:spacing w:before="10"/>
        <w:ind w:left="0"/>
        <w:rPr>
          <w:sz w:val="14"/>
        </w:rPr>
      </w:pPr>
    </w:p>
    <w:p>
      <w:pPr>
        <w:pStyle w:val="BodyText"/>
      </w:pPr>
      <w:r>
        <w:rPr>
          <w:rFonts w:ascii="Times New Roman" w:eastAsia="Times New Roman"/>
        </w:rPr>
        <w:t>1</w:t>
      </w:r>
      <w:r>
        <w:rPr/>
        <w:t>、收益分配采用红利再投资方式免收再投资的费用。</w:t>
      </w:r>
    </w:p>
    <w:p>
      <w:pPr>
        <w:spacing w:after="0"/>
        <w:sectPr>
          <w:pgSz w:w="11910" w:h="16840"/>
          <w:pgMar w:header="705" w:footer="683" w:top="1420" w:bottom="880" w:left="1580" w:right="920"/>
        </w:sectPr>
      </w:pPr>
    </w:p>
    <w:p>
      <w:pPr>
        <w:pStyle w:val="BodyText"/>
        <w:spacing w:line="410" w:lineRule="auto" w:before="105"/>
        <w:ind w:left="220" w:right="986" w:firstLine="419"/>
        <w:jc w:val="both"/>
      </w:pPr>
      <w:r>
        <w:rPr>
          <w:rFonts w:ascii="Times New Roman" w:eastAsia="Times New Roman"/>
        </w:rPr>
        <w:t>2</w:t>
      </w:r>
      <w:r>
        <w:rPr>
          <w:spacing w:val="-11"/>
        </w:rPr>
        <w:t>、收益分配时发生的银行转账等手续费用应由基金份额持有人自行承担。当投资者的</w:t>
      </w:r>
      <w:r>
        <w:rPr>
          <w:spacing w:val="-6"/>
        </w:rPr>
        <w:t>现金红利小于一定金额，不足于支付银行转账或其他手续费用时，基金登记结算机构可将</w:t>
      </w:r>
      <w:r>
        <w:rPr>
          <w:spacing w:val="-4"/>
        </w:rPr>
        <w:t>基金份额持有人的现金红利按分红权益再投资日</w:t>
      </w:r>
      <w:r>
        <w:rPr/>
        <w:t>（</w:t>
      </w:r>
      <w:r>
        <w:rPr>
          <w:spacing w:val="-3"/>
        </w:rPr>
        <w:t>具体以届时的基金分红公告为准</w:t>
      </w:r>
      <w:r>
        <w:rPr/>
        <w:t>）</w:t>
      </w:r>
      <w:r>
        <w:rPr>
          <w:spacing w:val="-3"/>
        </w:rPr>
        <w:t>的基金份额净值转为基金份额。红利再投资的计算方法，依照业务规则执行。</w:t>
      </w:r>
    </w:p>
    <w:p>
      <w:pPr>
        <w:pStyle w:val="BodyText"/>
        <w:spacing w:before="3"/>
        <w:ind w:left="0"/>
        <w:rPr>
          <w:sz w:val="26"/>
        </w:rPr>
      </w:pPr>
    </w:p>
    <w:p>
      <w:pPr>
        <w:pStyle w:val="Heading1"/>
        <w:ind w:left="1350"/>
      </w:pPr>
      <w:bookmarkStart w:name="_bookmark13" w:id="14"/>
      <w:bookmarkEnd w:id="14"/>
      <w:r>
        <w:rPr>
          <w:b w:val="0"/>
        </w:rPr>
      </w:r>
      <w:r>
        <w:rPr/>
        <w:t>十四、基金的会计与审计</w:t>
      </w:r>
    </w:p>
    <w:p>
      <w:pPr>
        <w:pStyle w:val="BodyText"/>
        <w:ind w:left="0"/>
        <w:rPr>
          <w:b/>
          <w:sz w:val="20"/>
        </w:rPr>
      </w:pPr>
    </w:p>
    <w:p>
      <w:pPr>
        <w:pStyle w:val="BodyText"/>
        <w:spacing w:before="6"/>
        <w:ind w:left="0"/>
        <w:rPr>
          <w:b/>
          <w:sz w:val="20"/>
        </w:rPr>
      </w:pPr>
    </w:p>
    <w:p>
      <w:pPr>
        <w:pStyle w:val="BodyText"/>
      </w:pPr>
      <w:r>
        <w:rPr/>
        <w:t>（一）基金会计政策</w:t>
      </w:r>
    </w:p>
    <w:p>
      <w:pPr>
        <w:pStyle w:val="BodyText"/>
        <w:spacing w:before="10"/>
        <w:ind w:left="0"/>
        <w:rPr>
          <w:sz w:val="14"/>
        </w:rPr>
      </w:pPr>
    </w:p>
    <w:p>
      <w:pPr>
        <w:pStyle w:val="BodyText"/>
      </w:pPr>
      <w:r>
        <w:rPr>
          <w:rFonts w:ascii="Times New Roman" w:eastAsia="Times New Roman"/>
        </w:rPr>
        <w:t>1</w:t>
      </w:r>
      <w:r>
        <w:rPr/>
        <w:t>、基金的会计年度为公历每年</w:t>
      </w:r>
      <w:r>
        <w:rPr>
          <w:rFonts w:ascii="Times New Roman" w:eastAsia="Times New Roman"/>
        </w:rPr>
        <w:t>1</w:t>
      </w:r>
      <w:r>
        <w:rPr/>
        <w:t>月</w:t>
      </w:r>
      <w:r>
        <w:rPr>
          <w:rFonts w:ascii="Times New Roman" w:eastAsia="Times New Roman"/>
        </w:rPr>
        <w:t>1</w:t>
      </w:r>
      <w:r>
        <w:rPr/>
        <w:t>日至</w:t>
      </w:r>
      <w:r>
        <w:rPr>
          <w:rFonts w:ascii="Times New Roman" w:eastAsia="Times New Roman"/>
        </w:rPr>
        <w:t>12</w:t>
      </w:r>
      <w:r>
        <w:rPr/>
        <w:t>月</w:t>
      </w:r>
      <w:r>
        <w:rPr>
          <w:rFonts w:ascii="Times New Roman" w:eastAsia="Times New Roman"/>
        </w:rPr>
        <w:t>31</w:t>
      </w:r>
      <w:r>
        <w:rPr/>
        <w:t>日。</w:t>
      </w:r>
    </w:p>
    <w:p>
      <w:pPr>
        <w:pStyle w:val="BodyText"/>
        <w:spacing w:before="192"/>
      </w:pPr>
      <w:r>
        <w:rPr>
          <w:rFonts w:ascii="Times New Roman" w:eastAsia="Times New Roman"/>
        </w:rPr>
        <w:t>2</w:t>
      </w:r>
      <w:r>
        <w:rPr/>
        <w:t>、基金核算以人民币为记账本位币，以人民币元为记账单位。</w:t>
      </w:r>
    </w:p>
    <w:p>
      <w:pPr>
        <w:pStyle w:val="BodyText"/>
        <w:spacing w:before="189"/>
      </w:pPr>
      <w:r>
        <w:rPr>
          <w:rFonts w:ascii="Times New Roman" w:eastAsia="Times New Roman"/>
        </w:rPr>
        <w:t>3</w:t>
      </w:r>
      <w:r>
        <w:rPr/>
        <w:t>、会计制度按国家有关的会计制度执行，并可参考国际会计准则。</w:t>
      </w:r>
    </w:p>
    <w:p>
      <w:pPr>
        <w:pStyle w:val="BodyText"/>
        <w:spacing w:before="190"/>
      </w:pPr>
      <w:r>
        <w:rPr>
          <w:rFonts w:ascii="Times New Roman" w:eastAsia="Times New Roman"/>
        </w:rPr>
        <w:t>4</w:t>
      </w:r>
      <w:r>
        <w:rPr/>
        <w:t>、本基金独立建账、独立核算。</w:t>
      </w:r>
    </w:p>
    <w:p>
      <w:pPr>
        <w:pStyle w:val="BodyText"/>
        <w:spacing w:before="189"/>
      </w:pPr>
      <w:r>
        <w:rPr>
          <w:rFonts w:ascii="Times New Roman" w:eastAsia="Times New Roman"/>
        </w:rPr>
        <w:t>5</w:t>
      </w:r>
      <w:r>
        <w:rPr/>
        <w:t>、本基金会计责任人为基金管理人。</w:t>
      </w:r>
    </w:p>
    <w:p>
      <w:pPr>
        <w:pStyle w:val="BodyText"/>
        <w:spacing w:line="410" w:lineRule="auto" w:before="189"/>
        <w:ind w:left="220" w:right="986" w:firstLine="419"/>
        <w:jc w:val="both"/>
      </w:pPr>
      <w:r>
        <w:rPr>
          <w:rFonts w:ascii="Times New Roman" w:eastAsia="Times New Roman"/>
        </w:rPr>
        <w:t>6</w:t>
      </w:r>
      <w:r>
        <w:rPr>
          <w:spacing w:val="-10"/>
        </w:rPr>
        <w:t>、基金管理人应保留完整的会计账目、凭证并进行日常的会计核算，按照有关规定编</w:t>
      </w:r>
      <w:r>
        <w:rPr>
          <w:spacing w:val="-5"/>
        </w:rPr>
        <w:t>制基金会计报表，基金托管人定期与基金管理人就基金的会计核算、报表编制等进行核对</w:t>
      </w:r>
      <w:r>
        <w:rPr>
          <w:spacing w:val="-4"/>
        </w:rPr>
        <w:t>并以书面方式确认。</w:t>
      </w:r>
    </w:p>
    <w:p>
      <w:pPr>
        <w:pStyle w:val="BodyText"/>
        <w:spacing w:line="267" w:lineRule="exact"/>
      </w:pPr>
      <w:r>
        <w:rPr>
          <w:rFonts w:ascii="Times New Roman" w:eastAsia="Times New Roman"/>
        </w:rPr>
        <w:t>7</w:t>
      </w:r>
      <w:r>
        <w:rPr/>
        <w:t>、法律法规或监管部门对基金会计政策另有规定的，从其规定。</w:t>
      </w:r>
    </w:p>
    <w:p>
      <w:pPr>
        <w:pStyle w:val="BodyText"/>
        <w:spacing w:before="190"/>
      </w:pPr>
      <w:r>
        <w:rPr/>
        <w:t>（二）基金年度审计</w:t>
      </w:r>
    </w:p>
    <w:p>
      <w:pPr>
        <w:pStyle w:val="BodyText"/>
        <w:spacing w:before="10"/>
        <w:ind w:left="0"/>
        <w:rPr>
          <w:sz w:val="14"/>
        </w:rPr>
      </w:pPr>
    </w:p>
    <w:p>
      <w:pPr>
        <w:pStyle w:val="BodyText"/>
        <w:spacing w:line="410" w:lineRule="auto"/>
        <w:ind w:left="220" w:right="986" w:firstLine="419"/>
        <w:jc w:val="both"/>
      </w:pPr>
      <w:r>
        <w:rPr>
          <w:rFonts w:ascii="Times New Roman" w:eastAsia="Times New Roman"/>
        </w:rPr>
        <w:t>1</w:t>
      </w:r>
      <w:r>
        <w:rPr>
          <w:spacing w:val="-11"/>
        </w:rPr>
        <w:t>、基金管理人聘请与基金管理人、基金托管人、境外资产托管人相独立的、具有从事</w:t>
      </w:r>
      <w:r>
        <w:rPr>
          <w:spacing w:val="-3"/>
        </w:rPr>
        <w:t>证券业务资格的会计师事务所及其注册会计师等机构对基金年度财务报表及其他规定事项进行审计。</w:t>
      </w:r>
    </w:p>
    <w:p>
      <w:pPr>
        <w:pStyle w:val="BodyText"/>
        <w:spacing w:line="266" w:lineRule="exact"/>
      </w:pPr>
      <w:r>
        <w:rPr>
          <w:rFonts w:ascii="Times New Roman" w:eastAsia="Times New Roman"/>
        </w:rPr>
        <w:t>2</w:t>
      </w:r>
      <w:r>
        <w:rPr/>
        <w:t>、会计师事务所更换经办注册会计师，应事先征得基金管理人同意。</w:t>
      </w:r>
    </w:p>
    <w:p>
      <w:pPr>
        <w:pStyle w:val="BodyText"/>
        <w:spacing w:line="408" w:lineRule="auto" w:before="190"/>
        <w:ind w:left="220" w:right="988" w:firstLine="419"/>
      </w:pPr>
      <w:r>
        <w:rPr>
          <w:rFonts w:ascii="Times New Roman" w:eastAsia="Times New Roman"/>
        </w:rPr>
        <w:t>3</w:t>
      </w:r>
      <w:r>
        <w:rPr>
          <w:spacing w:val="-10"/>
        </w:rPr>
        <w:t>、基金管理人认为有充足理由更换会计师事务所，须经基金托管人同意。基金管理人</w:t>
      </w:r>
      <w:r>
        <w:rPr>
          <w:spacing w:val="-5"/>
        </w:rPr>
        <w:t>应在更换会计师事务所后</w:t>
      </w:r>
      <w:r>
        <w:rPr>
          <w:rFonts w:ascii="Times New Roman" w:eastAsia="Times New Roman"/>
          <w:spacing w:val="-3"/>
        </w:rPr>
        <w:t>2</w:t>
      </w:r>
      <w:r>
        <w:rPr>
          <w:spacing w:val="-1"/>
        </w:rPr>
        <w:t>日内披露。</w:t>
      </w:r>
    </w:p>
    <w:p>
      <w:pPr>
        <w:pStyle w:val="BodyText"/>
        <w:spacing w:before="12"/>
        <w:ind w:left="0"/>
        <w:rPr>
          <w:sz w:val="26"/>
        </w:rPr>
      </w:pPr>
    </w:p>
    <w:p>
      <w:pPr>
        <w:pStyle w:val="Heading1"/>
        <w:ind w:left="1350"/>
      </w:pPr>
      <w:bookmarkStart w:name="_bookmark14" w:id="15"/>
      <w:bookmarkEnd w:id="15"/>
      <w:r>
        <w:rPr>
          <w:b w:val="0"/>
        </w:rPr>
      </w:r>
      <w:r>
        <w:rPr/>
        <w:t>十五、基金的信息披露</w:t>
      </w:r>
    </w:p>
    <w:p>
      <w:pPr>
        <w:pStyle w:val="BodyText"/>
        <w:ind w:left="0"/>
        <w:rPr>
          <w:b/>
          <w:sz w:val="20"/>
        </w:rPr>
      </w:pPr>
    </w:p>
    <w:p>
      <w:pPr>
        <w:pStyle w:val="BodyText"/>
        <w:spacing w:before="10"/>
        <w:ind w:left="0"/>
        <w:rPr>
          <w:b/>
          <w:sz w:val="20"/>
        </w:rPr>
      </w:pPr>
    </w:p>
    <w:p>
      <w:pPr>
        <w:pStyle w:val="BodyText"/>
        <w:spacing w:line="417" w:lineRule="auto"/>
        <w:ind w:left="220" w:right="986" w:firstLine="419"/>
      </w:pPr>
      <w:r>
        <w:rPr/>
        <w:t>（一</w:t>
      </w:r>
      <w:r>
        <w:rPr>
          <w:spacing w:val="-3"/>
        </w:rPr>
        <w:t>）</w:t>
      </w:r>
      <w:r>
        <w:rPr>
          <w:spacing w:val="-24"/>
        </w:rPr>
        <w:t>本基金的信息披露应符合《基金法》、《信息披露办法》、《基金合同》及其他有</w:t>
      </w:r>
      <w:r>
        <w:rPr>
          <w:spacing w:val="-13"/>
        </w:rPr>
        <w:t>关规定。</w:t>
      </w:r>
    </w:p>
    <w:p>
      <w:pPr>
        <w:pStyle w:val="BodyText"/>
        <w:spacing w:line="269" w:lineRule="exact"/>
      </w:pPr>
      <w:r>
        <w:rPr/>
        <w:t>（二）信息披露义务人</w:t>
      </w:r>
    </w:p>
    <w:p>
      <w:pPr>
        <w:pStyle w:val="BodyText"/>
        <w:spacing w:before="7"/>
        <w:ind w:left="0"/>
        <w:rPr>
          <w:sz w:val="15"/>
        </w:rPr>
      </w:pPr>
    </w:p>
    <w:p>
      <w:pPr>
        <w:pStyle w:val="BodyText"/>
      </w:pPr>
      <w:r>
        <w:rPr/>
        <w:t>本基金信息披露义务人包括基金管理人、基金托管人、召集基金份额持有人大会的基</w:t>
      </w:r>
    </w:p>
    <w:p>
      <w:pPr>
        <w:spacing w:after="0"/>
        <w:sectPr>
          <w:pgSz w:w="11910" w:h="16840"/>
          <w:pgMar w:header="705" w:footer="683" w:top="1420" w:bottom="880" w:left="1580" w:right="920"/>
        </w:sectPr>
      </w:pPr>
    </w:p>
    <w:p>
      <w:pPr>
        <w:pStyle w:val="BodyText"/>
        <w:spacing w:before="110"/>
        <w:ind w:left="220"/>
      </w:pPr>
      <w:r>
        <w:rPr/>
        <w:t>金份额持有人等法律、行政法规和中国证监会规定的自然人、法人和非法人组织。</w:t>
      </w:r>
    </w:p>
    <w:p>
      <w:pPr>
        <w:pStyle w:val="BodyText"/>
        <w:spacing w:before="6"/>
        <w:ind w:left="0"/>
        <w:rPr>
          <w:sz w:val="15"/>
        </w:rPr>
      </w:pPr>
    </w:p>
    <w:p>
      <w:pPr>
        <w:pStyle w:val="BodyText"/>
        <w:spacing w:line="417" w:lineRule="auto"/>
        <w:ind w:left="220" w:right="986" w:firstLine="419"/>
        <w:jc w:val="both"/>
      </w:pPr>
      <w:r>
        <w:rPr>
          <w:spacing w:val="-3"/>
        </w:rPr>
        <w:t>本基金信息披露义务人应当以保护基金份额持有人利益为根本出发点，按照法律、行</w:t>
      </w:r>
      <w:r>
        <w:rPr>
          <w:spacing w:val="-12"/>
        </w:rPr>
        <w:t>政法规和中国证监会的规定披露基金信息，并保证所披露信息的真实性、准确性、完整性、</w:t>
      </w:r>
      <w:r>
        <w:rPr>
          <w:spacing w:val="-6"/>
        </w:rPr>
        <w:t>及时性、简明性和易得性。</w:t>
      </w:r>
    </w:p>
    <w:p>
      <w:pPr>
        <w:pStyle w:val="BodyText"/>
        <w:spacing w:line="417" w:lineRule="auto"/>
        <w:ind w:left="220" w:right="986" w:firstLine="419"/>
        <w:jc w:val="both"/>
      </w:pPr>
      <w:r>
        <w:rPr/>
        <w:t>本基金信息披露义务人应当在中国证监会规定时间内，将应予披露的基金信息通过中国证监会指定媒介披露，并保证基金投资者能够按照《基金合同》约定的时间和方式查阅或者复制公开披露的信息资料。</w:t>
      </w:r>
    </w:p>
    <w:p>
      <w:pPr>
        <w:pStyle w:val="BodyText"/>
      </w:pPr>
      <w:r>
        <w:rPr/>
        <w:t>（三）本基金信息披露义务人承诺公开披露的基金信息，不得有下列行为：</w:t>
      </w:r>
    </w:p>
    <w:p>
      <w:pPr>
        <w:pStyle w:val="BodyText"/>
        <w:spacing w:before="7"/>
        <w:ind w:left="0"/>
        <w:rPr>
          <w:sz w:val="15"/>
        </w:rPr>
      </w:pPr>
    </w:p>
    <w:p>
      <w:pPr>
        <w:pStyle w:val="BodyText"/>
      </w:pPr>
      <w:r>
        <w:rPr>
          <w:rFonts w:ascii="Times New Roman" w:eastAsia="Times New Roman"/>
        </w:rPr>
        <w:t>1</w:t>
      </w:r>
      <w:r>
        <w:rPr/>
        <w:t>、虚假记载、误导性陈述或者重大遗漏；</w:t>
      </w:r>
    </w:p>
    <w:p>
      <w:pPr>
        <w:pStyle w:val="BodyText"/>
        <w:spacing w:before="6"/>
        <w:ind w:left="0"/>
        <w:rPr>
          <w:sz w:val="15"/>
        </w:rPr>
      </w:pPr>
    </w:p>
    <w:p>
      <w:pPr>
        <w:pStyle w:val="BodyText"/>
        <w:spacing w:before="1"/>
      </w:pPr>
      <w:r>
        <w:rPr>
          <w:rFonts w:ascii="Times New Roman" w:eastAsia="Times New Roman"/>
        </w:rPr>
        <w:t>2</w:t>
      </w:r>
      <w:r>
        <w:rPr/>
        <w:t>、对证券投资业绩进行预测；</w:t>
      </w:r>
    </w:p>
    <w:p>
      <w:pPr>
        <w:pStyle w:val="BodyText"/>
        <w:spacing w:before="6"/>
        <w:ind w:left="0"/>
        <w:rPr>
          <w:sz w:val="15"/>
        </w:rPr>
      </w:pPr>
    </w:p>
    <w:p>
      <w:pPr>
        <w:pStyle w:val="BodyText"/>
      </w:pPr>
      <w:r>
        <w:rPr>
          <w:rFonts w:ascii="Times New Roman" w:eastAsia="Times New Roman"/>
        </w:rPr>
        <w:t>3</w:t>
      </w:r>
      <w:r>
        <w:rPr/>
        <w:t>、违规承诺收益或者承担损失；</w:t>
      </w:r>
    </w:p>
    <w:p>
      <w:pPr>
        <w:pStyle w:val="BodyText"/>
        <w:spacing w:before="7"/>
        <w:ind w:left="0"/>
        <w:rPr>
          <w:sz w:val="15"/>
        </w:rPr>
      </w:pPr>
    </w:p>
    <w:p>
      <w:pPr>
        <w:pStyle w:val="BodyText"/>
      </w:pPr>
      <w:r>
        <w:rPr>
          <w:rFonts w:ascii="Times New Roman" w:eastAsia="Times New Roman"/>
        </w:rPr>
        <w:t>4</w:t>
      </w:r>
      <w:r>
        <w:rPr/>
        <w:t>、诋毁其他基金管理人、基金托管人或者基金销售机构；</w:t>
      </w:r>
    </w:p>
    <w:p>
      <w:pPr>
        <w:pStyle w:val="BodyText"/>
        <w:spacing w:before="7"/>
        <w:ind w:left="0"/>
        <w:rPr>
          <w:sz w:val="15"/>
        </w:rPr>
      </w:pPr>
    </w:p>
    <w:p>
      <w:pPr>
        <w:pStyle w:val="BodyText"/>
      </w:pPr>
      <w:r>
        <w:rPr>
          <w:rFonts w:ascii="Times New Roman" w:eastAsia="Times New Roman"/>
        </w:rPr>
        <w:t>5</w:t>
      </w:r>
      <w:r>
        <w:rPr/>
        <w:t>、登载任何自然人、法人和非法人组织的祝贺性、恭维性或推荐性文字；</w:t>
      </w:r>
    </w:p>
    <w:p>
      <w:pPr>
        <w:pStyle w:val="BodyText"/>
        <w:spacing w:before="6"/>
        <w:ind w:left="0"/>
        <w:rPr>
          <w:sz w:val="15"/>
        </w:rPr>
      </w:pPr>
    </w:p>
    <w:p>
      <w:pPr>
        <w:pStyle w:val="BodyText"/>
        <w:spacing w:before="1"/>
      </w:pPr>
      <w:r>
        <w:rPr>
          <w:rFonts w:ascii="Times New Roman" w:eastAsia="Times New Roman"/>
        </w:rPr>
        <w:t>6</w:t>
      </w:r>
      <w:r>
        <w:rPr/>
        <w:t>、中国证监会禁止的其他行为。</w:t>
      </w:r>
    </w:p>
    <w:p>
      <w:pPr>
        <w:pStyle w:val="BodyText"/>
        <w:spacing w:before="6"/>
        <w:ind w:left="0"/>
        <w:rPr>
          <w:sz w:val="15"/>
        </w:rPr>
      </w:pPr>
    </w:p>
    <w:p>
      <w:pPr>
        <w:pStyle w:val="BodyText"/>
        <w:spacing w:line="417" w:lineRule="auto" w:before="1"/>
        <w:ind w:left="220" w:right="986" w:firstLine="419"/>
      </w:pPr>
      <w:r>
        <w:rPr/>
        <w:t>（四</w:t>
      </w:r>
      <w:r>
        <w:rPr>
          <w:spacing w:val="-3"/>
        </w:rPr>
        <w:t>）本基金公开披露的信息应采用中文文本。如同时采用外文文本的，基金信息披露义务人应保证不同文本的内容一致。不同文本之间发生歧义的，以中文文本为准。</w:t>
      </w:r>
    </w:p>
    <w:p>
      <w:pPr>
        <w:pStyle w:val="BodyText"/>
        <w:spacing w:line="269" w:lineRule="exact"/>
      </w:pPr>
      <w:r>
        <w:rPr>
          <w:spacing w:val="-3"/>
        </w:rPr>
        <w:t>本基金公开披露的信息采用阿拉伯数字；除特别说明外，货币单位为人民币元。</w:t>
      </w:r>
    </w:p>
    <w:p>
      <w:pPr>
        <w:pStyle w:val="BodyText"/>
        <w:spacing w:before="6"/>
        <w:ind w:left="0"/>
        <w:rPr>
          <w:sz w:val="15"/>
        </w:rPr>
      </w:pPr>
    </w:p>
    <w:p>
      <w:pPr>
        <w:pStyle w:val="BodyText"/>
        <w:spacing w:line="417" w:lineRule="auto"/>
        <w:ind w:right="6241"/>
      </w:pPr>
      <w:r>
        <w:rPr/>
        <w:t>（五）公开披露的基金信息公开披露的基金信息包括：</w:t>
      </w:r>
    </w:p>
    <w:p>
      <w:pPr>
        <w:pStyle w:val="BodyText"/>
        <w:spacing w:line="269" w:lineRule="exact"/>
      </w:pPr>
      <w:r>
        <w:rPr>
          <w:rFonts w:ascii="Times New Roman" w:eastAsia="Times New Roman"/>
        </w:rPr>
        <w:t>1</w:t>
      </w:r>
      <w:r>
        <w:rPr/>
        <w:t>、基金招募说明书、《基金合同》、基金托管协议</w:t>
      </w:r>
    </w:p>
    <w:p>
      <w:pPr>
        <w:pStyle w:val="BodyText"/>
        <w:spacing w:before="7"/>
        <w:ind w:left="0"/>
        <w:rPr>
          <w:sz w:val="15"/>
        </w:rPr>
      </w:pPr>
    </w:p>
    <w:p>
      <w:pPr>
        <w:pStyle w:val="ListParagraph"/>
        <w:numPr>
          <w:ilvl w:val="0"/>
          <w:numId w:val="26"/>
        </w:numPr>
        <w:tabs>
          <w:tab w:pos="1170" w:val="left" w:leader="none"/>
        </w:tabs>
        <w:spacing w:line="417" w:lineRule="auto" w:before="0" w:after="0"/>
        <w:ind w:left="220" w:right="986" w:firstLine="419"/>
        <w:jc w:val="both"/>
        <w:rPr>
          <w:sz w:val="21"/>
        </w:rPr>
      </w:pPr>
      <w:r>
        <w:rPr>
          <w:spacing w:val="-3"/>
          <w:sz w:val="21"/>
        </w:rPr>
        <w:t>《基金合同》是界定《基金合同》当事人的各项权利、义务关系，明确基金份额持有人大会召开的规则及具体程序，说明基金产品的特性等涉及基金投资者重大利益的</w:t>
      </w:r>
      <w:r>
        <w:rPr>
          <w:spacing w:val="-2"/>
          <w:sz w:val="21"/>
        </w:rPr>
        <w:t>事项的法律文件。</w:t>
      </w:r>
    </w:p>
    <w:p>
      <w:pPr>
        <w:pStyle w:val="ListParagraph"/>
        <w:numPr>
          <w:ilvl w:val="0"/>
          <w:numId w:val="26"/>
        </w:numPr>
        <w:tabs>
          <w:tab w:pos="1170" w:val="left" w:leader="none"/>
        </w:tabs>
        <w:spacing w:line="417" w:lineRule="auto" w:before="0" w:after="0"/>
        <w:ind w:left="220" w:right="986" w:firstLine="419"/>
        <w:jc w:val="both"/>
        <w:rPr>
          <w:sz w:val="21"/>
        </w:rPr>
      </w:pPr>
      <w:r>
        <w:rPr>
          <w:spacing w:val="-5"/>
          <w:sz w:val="21"/>
        </w:rPr>
        <w:t>基金招募说明书应当最大限度地披露影响基金投资者决策的全部事项，说明基 </w:t>
      </w:r>
      <w:r>
        <w:rPr>
          <w:spacing w:val="-3"/>
          <w:sz w:val="21"/>
        </w:rPr>
        <w:t>金认购、申购和赎回安排、基金投资、基金产品特性、风险揭示、信息披露及基金份额持</w:t>
      </w:r>
      <w:r>
        <w:rPr>
          <w:spacing w:val="-17"/>
          <w:sz w:val="21"/>
        </w:rPr>
        <w:t>有人服务等内容。基金招募说明书的信息发生重大变更的，基金管理人应当在 </w:t>
      </w:r>
      <w:r>
        <w:rPr>
          <w:rFonts w:ascii="Times New Roman" w:eastAsia="Times New Roman"/>
          <w:sz w:val="21"/>
        </w:rPr>
        <w:t>3</w:t>
      </w:r>
      <w:r>
        <w:rPr>
          <w:rFonts w:ascii="Times New Roman" w:eastAsia="Times New Roman"/>
          <w:spacing w:val="20"/>
          <w:sz w:val="21"/>
        </w:rPr>
        <w:t> </w:t>
      </w:r>
      <w:r>
        <w:rPr>
          <w:spacing w:val="-3"/>
          <w:sz w:val="21"/>
        </w:rPr>
        <w:t>个工作日内，更新基金招募说明书并登载在指定网站上。基金招募说明书的其他信息发生变更的，基金管理人至少每年更新一次。基金合同终止的，基金管理人可以不再更新基金招募说明书</w:t>
      </w:r>
      <w:r>
        <w:rPr>
          <w:sz w:val="21"/>
        </w:rPr>
        <w:t>。</w:t>
      </w:r>
    </w:p>
    <w:p>
      <w:pPr>
        <w:pStyle w:val="ListParagraph"/>
        <w:numPr>
          <w:ilvl w:val="0"/>
          <w:numId w:val="26"/>
        </w:numPr>
        <w:tabs>
          <w:tab w:pos="1167" w:val="left" w:leader="none"/>
        </w:tabs>
        <w:spacing w:line="417" w:lineRule="auto" w:before="0" w:after="0"/>
        <w:ind w:left="220" w:right="986" w:firstLine="419"/>
        <w:jc w:val="left"/>
        <w:rPr>
          <w:sz w:val="21"/>
        </w:rPr>
      </w:pPr>
      <w:r>
        <w:rPr>
          <w:spacing w:val="-3"/>
          <w:sz w:val="21"/>
        </w:rPr>
        <w:t>基金托管协议是界定基金托管人和基金管理人在基金财产保管及基金运作监督等活动中的权利、义务关系的法律文件。</w:t>
      </w:r>
    </w:p>
    <w:p>
      <w:pPr>
        <w:spacing w:after="0" w:line="417" w:lineRule="auto"/>
        <w:jc w:val="left"/>
        <w:rPr>
          <w:sz w:val="21"/>
        </w:rPr>
        <w:sectPr>
          <w:pgSz w:w="11910" w:h="16840"/>
          <w:pgMar w:header="705" w:footer="683" w:top="1420" w:bottom="880" w:left="1580" w:right="920"/>
        </w:sectPr>
      </w:pPr>
    </w:p>
    <w:p>
      <w:pPr>
        <w:pStyle w:val="BodyText"/>
        <w:spacing w:before="110"/>
      </w:pPr>
      <w:r>
        <w:rPr>
          <w:rFonts w:ascii="Times New Roman" w:eastAsia="Times New Roman"/>
        </w:rPr>
        <w:t>2</w:t>
      </w:r>
      <w:r>
        <w:rPr/>
        <w:t>、基金产品资料概要</w:t>
      </w:r>
    </w:p>
    <w:p>
      <w:pPr>
        <w:pStyle w:val="BodyText"/>
        <w:spacing w:before="6"/>
        <w:ind w:left="0"/>
        <w:rPr>
          <w:sz w:val="15"/>
        </w:rPr>
      </w:pPr>
    </w:p>
    <w:p>
      <w:pPr>
        <w:pStyle w:val="BodyText"/>
        <w:spacing w:line="417" w:lineRule="auto"/>
        <w:ind w:left="220" w:right="986" w:firstLine="419"/>
        <w:jc w:val="both"/>
      </w:pPr>
      <w:r>
        <w:rPr>
          <w:spacing w:val="-3"/>
        </w:rPr>
        <w:t>基金管理人根据《信息披露办法》的要求公告基金产品资料概要。基金产品资料概要</w:t>
      </w:r>
      <w:r>
        <w:rPr>
          <w:spacing w:val="-5"/>
        </w:rPr>
        <w:t>的信息发生重大变更的，基金管理人应当在 </w:t>
      </w:r>
      <w:r>
        <w:rPr>
          <w:rFonts w:ascii="Times New Roman" w:eastAsia="Times New Roman"/>
        </w:rPr>
        <w:t>3 </w:t>
      </w:r>
      <w:r>
        <w:rPr>
          <w:spacing w:val="-3"/>
        </w:rPr>
        <w:t>个工作日内，更新基金产品资料概要，并登载在指定网站上和基金销售机构网站上或营业网点。基金产品资料概要的其他信息发生变更的，基金管理人至少每年更新一次。基金合同终止的，基金管理人可以不再更新基金产品资料概要。</w:t>
      </w:r>
    </w:p>
    <w:p>
      <w:pPr>
        <w:pStyle w:val="BodyText"/>
        <w:spacing w:line="268" w:lineRule="exact"/>
      </w:pPr>
      <w:r>
        <w:rPr/>
        <w:t>关于基金产品资料概要编制、披露与更新的要求，自中国证监会规定之日起开始执行。</w:t>
      </w:r>
    </w:p>
    <w:p>
      <w:pPr>
        <w:pStyle w:val="BodyText"/>
        <w:spacing w:before="8"/>
        <w:ind w:left="0"/>
        <w:rPr>
          <w:sz w:val="15"/>
        </w:rPr>
      </w:pPr>
    </w:p>
    <w:p>
      <w:pPr>
        <w:pStyle w:val="BodyText"/>
      </w:pPr>
      <w:r>
        <w:rPr>
          <w:rFonts w:ascii="Times New Roman" w:eastAsia="Times New Roman"/>
        </w:rPr>
        <w:t>3</w:t>
      </w:r>
      <w:r>
        <w:rPr/>
        <w:t>、基金份额发售公告</w:t>
      </w:r>
    </w:p>
    <w:p>
      <w:pPr>
        <w:pStyle w:val="BodyText"/>
        <w:spacing w:before="6"/>
        <w:ind w:left="0"/>
        <w:rPr>
          <w:sz w:val="15"/>
        </w:rPr>
      </w:pPr>
    </w:p>
    <w:p>
      <w:pPr>
        <w:pStyle w:val="BodyText"/>
        <w:spacing w:line="417" w:lineRule="auto" w:before="1"/>
        <w:ind w:left="220" w:right="986" w:firstLine="419"/>
      </w:pPr>
      <w:r>
        <w:rPr/>
        <w:t>基金管理人应当就基金份额发售的具体事宜编制基金份额发售公告，并在披露招募说明书的当日登载于指定报刊和网站上。</w:t>
      </w:r>
    </w:p>
    <w:p>
      <w:pPr>
        <w:pStyle w:val="BodyText"/>
        <w:spacing w:line="269" w:lineRule="exact"/>
      </w:pPr>
      <w:r>
        <w:rPr>
          <w:rFonts w:ascii="Times New Roman" w:eastAsia="Times New Roman"/>
        </w:rPr>
        <w:t>4</w:t>
      </w:r>
      <w:r>
        <w:rPr/>
        <w:t>、基金合同生效公告</w:t>
      </w:r>
    </w:p>
    <w:p>
      <w:pPr>
        <w:pStyle w:val="BodyText"/>
        <w:spacing w:before="6"/>
        <w:ind w:left="0"/>
        <w:rPr>
          <w:sz w:val="15"/>
        </w:rPr>
      </w:pPr>
    </w:p>
    <w:p>
      <w:pPr>
        <w:pStyle w:val="BodyText"/>
        <w:spacing w:line="417" w:lineRule="auto"/>
        <w:ind w:left="220" w:right="986" w:firstLine="419"/>
      </w:pPr>
      <w:r>
        <w:rPr/>
        <w:t>基金管理人应当在收到中国证监会确认文件的下一工作日在指定媒介上登载基金合同生效公告。</w:t>
      </w:r>
    </w:p>
    <w:p>
      <w:pPr>
        <w:pStyle w:val="BodyText"/>
        <w:spacing w:line="269" w:lineRule="exact"/>
      </w:pPr>
      <w:r>
        <w:rPr>
          <w:rFonts w:ascii="Times New Roman" w:eastAsia="Times New Roman"/>
        </w:rPr>
        <w:t>5</w:t>
      </w:r>
      <w:r>
        <w:rPr/>
        <w:t>、基金净值信息</w:t>
      </w:r>
    </w:p>
    <w:p>
      <w:pPr>
        <w:pStyle w:val="BodyText"/>
        <w:spacing w:before="7"/>
        <w:ind w:left="0"/>
        <w:rPr>
          <w:sz w:val="15"/>
        </w:rPr>
      </w:pPr>
    </w:p>
    <w:p>
      <w:pPr>
        <w:pStyle w:val="BodyText"/>
        <w:spacing w:line="417" w:lineRule="auto"/>
        <w:ind w:left="220" w:right="986" w:firstLine="419"/>
      </w:pPr>
      <w:r>
        <w:rPr/>
        <w:t>基金管理人通常情况下在不晚于每个开放日的次日通过指定网站、基金销售机构网站或者营业网点，披露开放日的基金份额净值和基金份额累计净值。</w:t>
      </w:r>
    </w:p>
    <w:p>
      <w:pPr>
        <w:pStyle w:val="BodyText"/>
        <w:spacing w:line="417" w:lineRule="auto"/>
        <w:ind w:left="220" w:right="986" w:firstLine="419"/>
      </w:pPr>
      <w:r>
        <w:rPr/>
        <w:t>基金管理人通常情况下在不晚于半年度和年度最后一日的次日，在指定网站披露半年度和年度最后一日的基金份额净值和基金份额累计净值。</w:t>
      </w:r>
    </w:p>
    <w:p>
      <w:pPr>
        <w:pStyle w:val="BodyText"/>
        <w:spacing w:line="269" w:lineRule="exact"/>
      </w:pPr>
      <w:r>
        <w:rPr/>
        <w:t>基金管理人在每个开放日的次日披露开放日的美元折算净值。</w:t>
      </w:r>
    </w:p>
    <w:p>
      <w:pPr>
        <w:pStyle w:val="BodyText"/>
        <w:spacing w:before="7"/>
        <w:ind w:left="0"/>
        <w:rPr>
          <w:sz w:val="15"/>
        </w:rPr>
      </w:pPr>
    </w:p>
    <w:p>
      <w:pPr>
        <w:pStyle w:val="BodyText"/>
      </w:pPr>
      <w:r>
        <w:rPr>
          <w:rFonts w:ascii="Times New Roman" w:eastAsia="Times New Roman"/>
        </w:rPr>
        <w:t>6</w:t>
      </w:r>
      <w:r>
        <w:rPr/>
        <w:t>、基金份额申购、赎回价格</w:t>
      </w:r>
    </w:p>
    <w:p>
      <w:pPr>
        <w:pStyle w:val="BodyText"/>
        <w:spacing w:before="6"/>
        <w:ind w:left="0"/>
        <w:rPr>
          <w:sz w:val="15"/>
        </w:rPr>
      </w:pPr>
    </w:p>
    <w:p>
      <w:pPr>
        <w:pStyle w:val="BodyText"/>
        <w:spacing w:line="417" w:lineRule="auto" w:before="1"/>
        <w:ind w:left="220" w:right="986" w:firstLine="419"/>
        <w:jc w:val="both"/>
      </w:pPr>
      <w:r>
        <w:rPr>
          <w:spacing w:val="-18"/>
        </w:rPr>
        <w:t>基金管理人应当在《基金合同》、招募说明书等信息披露文件上载明基金份额申购、赎</w:t>
      </w:r>
      <w:r>
        <w:rPr>
          <w:spacing w:val="-7"/>
        </w:rPr>
        <w:t>回价格的计算方式及有关申购、赎回费率，并保证投资者能够在基金销售机构网站或营业</w:t>
      </w:r>
      <w:r>
        <w:rPr>
          <w:spacing w:val="-5"/>
        </w:rPr>
        <w:t>份额网点查阅或者复制前述信息资料。</w:t>
      </w:r>
    </w:p>
    <w:p>
      <w:pPr>
        <w:pStyle w:val="BodyText"/>
        <w:spacing w:line="417" w:lineRule="auto"/>
        <w:ind w:left="220" w:right="986" w:firstLine="419"/>
      </w:pPr>
      <w:r>
        <w:rPr>
          <w:rFonts w:ascii="Times New Roman" w:eastAsia="Times New Roman"/>
        </w:rPr>
        <w:t>7</w:t>
      </w:r>
      <w:r>
        <w:rPr>
          <w:spacing w:val="-12"/>
        </w:rPr>
        <w:t>、基金定期报告，包括基金年度报告、基金中期报告和基金季度报告</w:t>
      </w:r>
      <w:r>
        <w:rPr>
          <w:spacing w:val="-3"/>
        </w:rPr>
        <w:t>（含资产组合季度报告</w:t>
      </w:r>
      <w:r>
        <w:rPr/>
        <w:t>）</w:t>
      </w:r>
    </w:p>
    <w:p>
      <w:pPr>
        <w:pStyle w:val="BodyText"/>
        <w:spacing w:line="417" w:lineRule="auto"/>
        <w:ind w:left="220" w:right="986" w:firstLine="419"/>
        <w:jc w:val="both"/>
      </w:pPr>
      <w:r>
        <w:rPr>
          <w:spacing w:val="-5"/>
        </w:rPr>
        <w:t>基金管理人应当在每年结束之日起 </w:t>
      </w:r>
      <w:r>
        <w:rPr>
          <w:rFonts w:ascii="Times New Roman" w:eastAsia="Times New Roman"/>
        </w:rPr>
        <w:t>3 </w:t>
      </w:r>
      <w:r>
        <w:rPr>
          <w:spacing w:val="-3"/>
        </w:rPr>
        <w:t>个月内，编制完成基金年度报告，将年度报告登载在指定网站上，并将年度报告提示性公告登载在指定报刊上。基金年度报告中的财务会计报告应当经过具有证券、期货相关业务资格的会计师事务所审计。</w:t>
      </w:r>
    </w:p>
    <w:p>
      <w:pPr>
        <w:pStyle w:val="BodyText"/>
        <w:spacing w:line="417" w:lineRule="auto"/>
        <w:ind w:left="220" w:right="986" w:firstLine="419"/>
        <w:jc w:val="both"/>
      </w:pPr>
      <w:r>
        <w:rPr>
          <w:spacing w:val="-5"/>
        </w:rPr>
        <w:t>基金管理人应当在上半年结束之日起 </w:t>
      </w:r>
      <w:r>
        <w:rPr>
          <w:rFonts w:ascii="Times New Roman" w:eastAsia="Times New Roman"/>
        </w:rPr>
        <w:t>2 </w:t>
      </w:r>
      <w:r>
        <w:rPr>
          <w:spacing w:val="-3"/>
        </w:rPr>
        <w:t>个月内，编制完成基金中期报告，将中期报告登载在指定网站上，并将中期报告提示性公告登载在指定报刊上。</w:t>
      </w:r>
    </w:p>
    <w:p>
      <w:pPr>
        <w:spacing w:after="0" w:line="417" w:lineRule="auto"/>
        <w:jc w:val="both"/>
        <w:sectPr>
          <w:pgSz w:w="11910" w:h="16840"/>
          <w:pgMar w:header="705" w:footer="683" w:top="1420" w:bottom="880" w:left="1580" w:right="920"/>
        </w:sectPr>
      </w:pPr>
    </w:p>
    <w:p>
      <w:pPr>
        <w:pStyle w:val="BodyText"/>
        <w:spacing w:line="417" w:lineRule="auto" w:before="110"/>
        <w:ind w:left="220" w:right="986" w:firstLine="419"/>
      </w:pPr>
      <w:r>
        <w:rPr>
          <w:spacing w:val="-6"/>
        </w:rPr>
        <w:t>基金管理人应当在季度结束之日起 </w:t>
      </w:r>
      <w:r>
        <w:rPr>
          <w:rFonts w:ascii="Times New Roman" w:eastAsia="Times New Roman"/>
        </w:rPr>
        <w:t>15 </w:t>
      </w:r>
      <w:r>
        <w:rPr>
          <w:spacing w:val="-12"/>
        </w:rPr>
        <w:t>个工作日内，编制完成基金季度报告，将季度报</w:t>
      </w:r>
      <w:r>
        <w:rPr>
          <w:spacing w:val="-6"/>
        </w:rPr>
        <w:t>告登载在指定网站上，并将季度报告提示性公告登载在指定报刊上。</w:t>
      </w:r>
    </w:p>
    <w:p>
      <w:pPr>
        <w:pStyle w:val="BodyText"/>
        <w:spacing w:line="417" w:lineRule="auto"/>
        <w:ind w:left="220" w:right="986" w:firstLine="419"/>
      </w:pPr>
      <w:r>
        <w:rPr>
          <w:spacing w:val="-3"/>
        </w:rPr>
        <w:t>基金合同生效不足两个月的，基金管理人可以不编制当期季度报告、中期报告或者年度报告。</w:t>
      </w:r>
    </w:p>
    <w:p>
      <w:pPr>
        <w:pStyle w:val="BodyText"/>
        <w:spacing w:line="417" w:lineRule="auto"/>
        <w:ind w:left="220" w:right="986" w:firstLine="419"/>
      </w:pPr>
      <w:r>
        <w:rPr>
          <w:spacing w:val="-3"/>
        </w:rPr>
        <w:t>基金管理人应当在基金年度报告和中期报告中披露基金组合资产情况及其流动性风险分析等。</w:t>
      </w:r>
    </w:p>
    <w:p>
      <w:pPr>
        <w:pStyle w:val="BodyText"/>
        <w:spacing w:line="417" w:lineRule="auto"/>
        <w:ind w:left="220" w:right="986" w:firstLine="419"/>
        <w:jc w:val="both"/>
      </w:pPr>
      <w:r>
        <w:rPr>
          <w:spacing w:val="-4"/>
        </w:rPr>
        <w:t>如报告期内出现单一投资者持有基金份额达到或超过基金总份额 </w:t>
      </w:r>
      <w:r>
        <w:rPr>
          <w:rFonts w:ascii="Times New Roman" w:hAnsi="Times New Roman" w:eastAsia="Times New Roman"/>
        </w:rPr>
        <w:t>20%</w:t>
      </w:r>
      <w:r>
        <w:rPr>
          <w:spacing w:val="-6"/>
        </w:rPr>
        <w:t>的情形，为保障</w:t>
      </w:r>
      <w:r>
        <w:rPr>
          <w:spacing w:val="-4"/>
        </w:rPr>
        <w:t>其他投资者的权益，基金管理人至少应当在基金定期报告“影响投资者决策的其他重要信</w:t>
      </w:r>
      <w:r>
        <w:rPr>
          <w:spacing w:val="-3"/>
        </w:rPr>
        <w:t>息”项下披露该投资者的类别、报告期末持有份额及占比、报告期内持有份额变化情况及产品的特有风险，中国证监会认定的特殊情形除外。</w:t>
      </w:r>
    </w:p>
    <w:p>
      <w:pPr>
        <w:pStyle w:val="BodyText"/>
      </w:pPr>
      <w:r>
        <w:rPr>
          <w:spacing w:val="-3"/>
        </w:rPr>
        <w:t>法律法规或中国证监会另有规定的，从其规定。</w:t>
      </w:r>
    </w:p>
    <w:p>
      <w:pPr>
        <w:pStyle w:val="BodyText"/>
        <w:spacing w:before="5"/>
        <w:ind w:left="0"/>
        <w:rPr>
          <w:sz w:val="15"/>
        </w:rPr>
      </w:pPr>
    </w:p>
    <w:p>
      <w:pPr>
        <w:pStyle w:val="BodyText"/>
      </w:pPr>
      <w:r>
        <w:rPr>
          <w:rFonts w:ascii="Times New Roman" w:eastAsia="Times New Roman"/>
        </w:rPr>
        <w:t>8</w:t>
      </w:r>
      <w:r>
        <w:rPr/>
        <w:t>、临时报告</w:t>
      </w:r>
    </w:p>
    <w:p>
      <w:pPr>
        <w:pStyle w:val="BodyText"/>
        <w:spacing w:before="7"/>
        <w:ind w:left="0"/>
        <w:rPr>
          <w:sz w:val="15"/>
        </w:rPr>
      </w:pPr>
    </w:p>
    <w:p>
      <w:pPr>
        <w:pStyle w:val="BodyText"/>
        <w:spacing w:line="417" w:lineRule="auto"/>
        <w:ind w:left="220" w:right="927" w:firstLine="419"/>
      </w:pPr>
      <w:r>
        <w:rPr/>
        <w:t>本基金发生重大事件，有关信息披露义务人应当在 </w:t>
      </w:r>
      <w:r>
        <w:rPr>
          <w:rFonts w:ascii="Times New Roman" w:eastAsia="Times New Roman"/>
        </w:rPr>
        <w:t>2 </w:t>
      </w:r>
      <w:r>
        <w:rPr/>
        <w:t>日内编制临时报告书，并登载在指定报刊和指定网站上。</w:t>
      </w:r>
    </w:p>
    <w:p>
      <w:pPr>
        <w:pStyle w:val="BodyText"/>
        <w:spacing w:line="417" w:lineRule="auto"/>
        <w:ind w:left="220" w:right="986" w:firstLine="419"/>
      </w:pPr>
      <w:r>
        <w:rPr/>
        <w:t>前款所称重大事件，是指可能对基金份额持有人权益或者基金份额的价格产生重大影响的下列事件：</w:t>
      </w:r>
    </w:p>
    <w:p>
      <w:pPr>
        <w:pStyle w:val="ListParagraph"/>
        <w:numPr>
          <w:ilvl w:val="0"/>
          <w:numId w:val="27"/>
        </w:numPr>
        <w:tabs>
          <w:tab w:pos="1170" w:val="left" w:leader="none"/>
        </w:tabs>
        <w:spacing w:line="269" w:lineRule="exact" w:before="0" w:after="0"/>
        <w:ind w:left="1169" w:right="0" w:hanging="530"/>
        <w:jc w:val="left"/>
        <w:rPr>
          <w:sz w:val="21"/>
        </w:rPr>
      </w:pPr>
      <w:r>
        <w:rPr>
          <w:spacing w:val="-3"/>
          <w:sz w:val="21"/>
        </w:rPr>
        <w:t>基金份额持有人大会的召开及决定的事项。</w:t>
      </w:r>
    </w:p>
    <w:p>
      <w:pPr>
        <w:pStyle w:val="BodyText"/>
        <w:spacing w:before="7"/>
        <w:ind w:left="0"/>
        <w:rPr>
          <w:sz w:val="15"/>
        </w:rPr>
      </w:pPr>
    </w:p>
    <w:p>
      <w:pPr>
        <w:pStyle w:val="ListParagraph"/>
        <w:numPr>
          <w:ilvl w:val="0"/>
          <w:numId w:val="27"/>
        </w:numPr>
        <w:tabs>
          <w:tab w:pos="1170" w:val="left" w:leader="none"/>
        </w:tabs>
        <w:spacing w:line="240" w:lineRule="auto" w:before="0" w:after="0"/>
        <w:ind w:left="1169" w:right="0" w:hanging="530"/>
        <w:jc w:val="left"/>
        <w:rPr>
          <w:sz w:val="21"/>
        </w:rPr>
      </w:pPr>
      <w:r>
        <w:rPr>
          <w:spacing w:val="-3"/>
          <w:sz w:val="21"/>
        </w:rPr>
        <w:t>基金合同终止、基金清算。</w:t>
      </w:r>
    </w:p>
    <w:p>
      <w:pPr>
        <w:pStyle w:val="BodyText"/>
        <w:spacing w:before="6"/>
        <w:ind w:left="0"/>
        <w:rPr>
          <w:sz w:val="15"/>
        </w:rPr>
      </w:pPr>
    </w:p>
    <w:p>
      <w:pPr>
        <w:pStyle w:val="ListParagraph"/>
        <w:numPr>
          <w:ilvl w:val="0"/>
          <w:numId w:val="27"/>
        </w:numPr>
        <w:tabs>
          <w:tab w:pos="1170" w:val="left" w:leader="none"/>
        </w:tabs>
        <w:spacing w:line="240" w:lineRule="auto" w:before="1" w:after="0"/>
        <w:ind w:left="1169" w:right="0" w:hanging="530"/>
        <w:jc w:val="left"/>
        <w:rPr>
          <w:sz w:val="21"/>
        </w:rPr>
      </w:pPr>
      <w:r>
        <w:rPr>
          <w:spacing w:val="-3"/>
          <w:sz w:val="21"/>
        </w:rPr>
        <w:t>转换基金运作方式、基金合并。</w:t>
      </w:r>
    </w:p>
    <w:p>
      <w:pPr>
        <w:pStyle w:val="BodyText"/>
        <w:spacing w:before="6"/>
        <w:ind w:left="0"/>
        <w:rPr>
          <w:sz w:val="15"/>
        </w:rPr>
      </w:pPr>
    </w:p>
    <w:p>
      <w:pPr>
        <w:pStyle w:val="ListParagraph"/>
        <w:numPr>
          <w:ilvl w:val="0"/>
          <w:numId w:val="27"/>
        </w:numPr>
        <w:tabs>
          <w:tab w:pos="1170" w:val="left" w:leader="none"/>
        </w:tabs>
        <w:spacing w:line="240" w:lineRule="auto" w:before="0" w:after="0"/>
        <w:ind w:left="1169" w:right="0" w:hanging="530"/>
        <w:jc w:val="left"/>
        <w:rPr>
          <w:sz w:val="21"/>
        </w:rPr>
      </w:pPr>
      <w:r>
        <w:rPr>
          <w:spacing w:val="-3"/>
          <w:sz w:val="21"/>
        </w:rPr>
        <w:t>更换基金管理人、基金托管人、基金份额登记机构，基金改聘会计师事务所。</w:t>
      </w:r>
    </w:p>
    <w:p>
      <w:pPr>
        <w:pStyle w:val="BodyText"/>
        <w:spacing w:before="7"/>
        <w:ind w:left="0"/>
        <w:rPr>
          <w:sz w:val="15"/>
        </w:rPr>
      </w:pPr>
    </w:p>
    <w:p>
      <w:pPr>
        <w:pStyle w:val="ListParagraph"/>
        <w:numPr>
          <w:ilvl w:val="0"/>
          <w:numId w:val="27"/>
        </w:numPr>
        <w:tabs>
          <w:tab w:pos="1170" w:val="left" w:leader="none"/>
        </w:tabs>
        <w:spacing w:line="417" w:lineRule="auto" w:before="0" w:after="0"/>
        <w:ind w:left="220" w:right="989" w:firstLine="419"/>
        <w:jc w:val="left"/>
        <w:rPr>
          <w:sz w:val="21"/>
        </w:rPr>
      </w:pPr>
      <w:r>
        <w:rPr>
          <w:spacing w:val="-7"/>
          <w:sz w:val="21"/>
        </w:rPr>
        <w:t>基金管理人委托基金服务机构代为办理基金的份额登记、核算、估值等事项， </w:t>
      </w:r>
      <w:r>
        <w:rPr>
          <w:spacing w:val="-3"/>
          <w:sz w:val="21"/>
        </w:rPr>
        <w:t>基金托管人委托基金服务机构代为办理基金的核算、估值、复核等事项。</w:t>
      </w:r>
    </w:p>
    <w:p>
      <w:pPr>
        <w:pStyle w:val="ListParagraph"/>
        <w:numPr>
          <w:ilvl w:val="0"/>
          <w:numId w:val="27"/>
        </w:numPr>
        <w:tabs>
          <w:tab w:pos="1170" w:val="left" w:leader="none"/>
        </w:tabs>
        <w:spacing w:line="240" w:lineRule="auto" w:before="0" w:after="0"/>
        <w:ind w:left="1169" w:right="0" w:hanging="530"/>
        <w:jc w:val="left"/>
        <w:rPr>
          <w:sz w:val="21"/>
        </w:rPr>
      </w:pPr>
      <w:r>
        <w:rPr>
          <w:spacing w:val="-3"/>
          <w:sz w:val="21"/>
        </w:rPr>
        <w:t>基金管理人、基金托管人的法定名称、住所发生变更。</w:t>
      </w:r>
    </w:p>
    <w:p>
      <w:pPr>
        <w:pStyle w:val="BodyText"/>
        <w:spacing w:before="7"/>
        <w:ind w:left="0"/>
        <w:rPr>
          <w:sz w:val="15"/>
        </w:rPr>
      </w:pPr>
    </w:p>
    <w:p>
      <w:pPr>
        <w:pStyle w:val="ListParagraph"/>
        <w:numPr>
          <w:ilvl w:val="0"/>
          <w:numId w:val="27"/>
        </w:numPr>
        <w:tabs>
          <w:tab w:pos="1170" w:val="left" w:leader="none"/>
        </w:tabs>
        <w:spacing w:line="240" w:lineRule="auto" w:before="0" w:after="0"/>
        <w:ind w:left="1169" w:right="0" w:hanging="530"/>
        <w:jc w:val="left"/>
        <w:rPr>
          <w:sz w:val="21"/>
        </w:rPr>
      </w:pPr>
      <w:r>
        <w:rPr>
          <w:spacing w:val="-3"/>
          <w:sz w:val="21"/>
        </w:rPr>
        <w:t>基金管理公司变更持有百分之五以上股权的股东、变更公司的实际控制人。</w:t>
      </w:r>
    </w:p>
    <w:p>
      <w:pPr>
        <w:pStyle w:val="BodyText"/>
        <w:spacing w:before="7"/>
        <w:ind w:left="0"/>
        <w:rPr>
          <w:sz w:val="15"/>
        </w:rPr>
      </w:pPr>
    </w:p>
    <w:p>
      <w:pPr>
        <w:pStyle w:val="ListParagraph"/>
        <w:numPr>
          <w:ilvl w:val="0"/>
          <w:numId w:val="27"/>
        </w:numPr>
        <w:tabs>
          <w:tab w:pos="1170" w:val="left" w:leader="none"/>
        </w:tabs>
        <w:spacing w:line="417" w:lineRule="auto" w:before="0" w:after="0"/>
        <w:ind w:left="220" w:right="986" w:firstLine="419"/>
        <w:jc w:val="left"/>
        <w:rPr>
          <w:sz w:val="21"/>
        </w:rPr>
      </w:pPr>
      <w:r>
        <w:rPr>
          <w:spacing w:val="-8"/>
          <w:sz w:val="21"/>
        </w:rPr>
        <w:t>基金管理人高级管理人员、基金经理和基金托管人专门基金托管部门负责人发 </w:t>
      </w:r>
      <w:r>
        <w:rPr>
          <w:sz w:val="21"/>
        </w:rPr>
        <w:t>生变动。</w:t>
      </w:r>
    </w:p>
    <w:p>
      <w:pPr>
        <w:pStyle w:val="ListParagraph"/>
        <w:numPr>
          <w:ilvl w:val="0"/>
          <w:numId w:val="27"/>
        </w:numPr>
        <w:tabs>
          <w:tab w:pos="1170" w:val="left" w:leader="none"/>
        </w:tabs>
        <w:spacing w:line="417" w:lineRule="auto" w:before="0" w:after="0"/>
        <w:ind w:left="220" w:right="989" w:firstLine="419"/>
        <w:jc w:val="left"/>
        <w:rPr>
          <w:sz w:val="21"/>
        </w:rPr>
      </w:pPr>
      <w:r>
        <w:rPr>
          <w:spacing w:val="-7"/>
          <w:sz w:val="21"/>
        </w:rPr>
        <w:t>基金管理人的董事在最近 </w:t>
      </w:r>
      <w:r>
        <w:rPr>
          <w:rFonts w:ascii="Times New Roman" w:eastAsia="Times New Roman"/>
          <w:sz w:val="21"/>
        </w:rPr>
        <w:t>12</w:t>
      </w:r>
      <w:r>
        <w:rPr>
          <w:rFonts w:ascii="Times New Roman" w:eastAsia="Times New Roman"/>
          <w:spacing w:val="13"/>
          <w:sz w:val="21"/>
        </w:rPr>
        <w:t> </w:t>
      </w:r>
      <w:r>
        <w:rPr>
          <w:spacing w:val="-8"/>
          <w:sz w:val="21"/>
        </w:rPr>
        <w:t>个月内变更超过 </w:t>
      </w:r>
      <w:r>
        <w:rPr>
          <w:rFonts w:ascii="Times New Roman" w:eastAsia="Times New Roman"/>
          <w:spacing w:val="-6"/>
          <w:sz w:val="21"/>
        </w:rPr>
        <w:t>50</w:t>
      </w:r>
      <w:r>
        <w:rPr>
          <w:spacing w:val="-6"/>
          <w:sz w:val="21"/>
        </w:rPr>
        <w:t>％，基金管理人、基金托管人专</w:t>
      </w:r>
      <w:r>
        <w:rPr>
          <w:spacing w:val="-7"/>
          <w:sz w:val="21"/>
        </w:rPr>
        <w:t>门基金托管部门的主要业务人员在最近 </w:t>
      </w:r>
      <w:r>
        <w:rPr>
          <w:rFonts w:ascii="Times New Roman" w:eastAsia="Times New Roman"/>
          <w:sz w:val="21"/>
        </w:rPr>
        <w:t>12</w:t>
      </w:r>
      <w:r>
        <w:rPr>
          <w:rFonts w:ascii="Times New Roman" w:eastAsia="Times New Roman"/>
          <w:spacing w:val="1"/>
          <w:sz w:val="21"/>
        </w:rPr>
        <w:t> </w:t>
      </w:r>
      <w:r>
        <w:rPr>
          <w:spacing w:val="-10"/>
          <w:sz w:val="21"/>
        </w:rPr>
        <w:t>个月内变动超过 </w:t>
      </w:r>
      <w:r>
        <w:rPr>
          <w:rFonts w:ascii="Times New Roman" w:eastAsia="Times New Roman"/>
          <w:sz w:val="21"/>
        </w:rPr>
        <w:t>30</w:t>
      </w:r>
      <w:r>
        <w:rPr>
          <w:sz w:val="21"/>
        </w:rPr>
        <w:t>％。</w:t>
      </w:r>
    </w:p>
    <w:p>
      <w:pPr>
        <w:pStyle w:val="ListParagraph"/>
        <w:numPr>
          <w:ilvl w:val="0"/>
          <w:numId w:val="27"/>
        </w:numPr>
        <w:tabs>
          <w:tab w:pos="1275" w:val="left" w:leader="none"/>
        </w:tabs>
        <w:spacing w:line="240" w:lineRule="auto" w:before="0" w:after="0"/>
        <w:ind w:left="1275" w:right="0" w:hanging="635"/>
        <w:jc w:val="left"/>
        <w:rPr>
          <w:sz w:val="21"/>
        </w:rPr>
      </w:pPr>
      <w:r>
        <w:rPr>
          <w:spacing w:val="-3"/>
          <w:sz w:val="21"/>
        </w:rPr>
        <w:t>涉及基金财产、基金管理业务、基金托管业务的诉讼或仲裁。</w:t>
      </w:r>
    </w:p>
    <w:p>
      <w:pPr>
        <w:pStyle w:val="BodyText"/>
        <w:spacing w:before="6"/>
        <w:ind w:left="0"/>
        <w:rPr>
          <w:sz w:val="15"/>
        </w:rPr>
      </w:pPr>
    </w:p>
    <w:p>
      <w:pPr>
        <w:pStyle w:val="ListParagraph"/>
        <w:numPr>
          <w:ilvl w:val="0"/>
          <w:numId w:val="27"/>
        </w:numPr>
        <w:tabs>
          <w:tab w:pos="1268" w:val="left" w:leader="none"/>
        </w:tabs>
        <w:spacing w:line="240" w:lineRule="auto" w:before="0" w:after="0"/>
        <w:ind w:left="1267" w:right="0" w:hanging="628"/>
        <w:jc w:val="left"/>
        <w:rPr>
          <w:sz w:val="21"/>
        </w:rPr>
      </w:pPr>
      <w:r>
        <w:rPr>
          <w:spacing w:val="-3"/>
          <w:sz w:val="21"/>
        </w:rPr>
        <w:t>基金管理人或其高级管理人员、基金经理因基金管理业务相关行为受到重大行</w:t>
      </w:r>
    </w:p>
    <w:p>
      <w:pPr>
        <w:spacing w:after="0" w:line="240" w:lineRule="auto"/>
        <w:jc w:val="left"/>
        <w:rPr>
          <w:sz w:val="21"/>
        </w:rPr>
        <w:sectPr>
          <w:pgSz w:w="11910" w:h="16840"/>
          <w:pgMar w:header="705" w:footer="683" w:top="1420" w:bottom="880" w:left="1580" w:right="920"/>
        </w:sectPr>
      </w:pPr>
    </w:p>
    <w:p>
      <w:pPr>
        <w:pStyle w:val="BodyText"/>
        <w:spacing w:line="417" w:lineRule="auto" w:before="110"/>
        <w:ind w:left="220" w:right="986"/>
      </w:pPr>
      <w:r>
        <w:rPr/>
        <w:t>政处罚、刑事处罚，基金托管人或其专门基金托管部门负责人因基金托管业务相关行为受到重大行政处罚、刑事处罚。</w:t>
      </w:r>
    </w:p>
    <w:p>
      <w:pPr>
        <w:pStyle w:val="ListParagraph"/>
        <w:numPr>
          <w:ilvl w:val="0"/>
          <w:numId w:val="27"/>
        </w:numPr>
        <w:tabs>
          <w:tab w:pos="1275" w:val="left" w:leader="none"/>
        </w:tabs>
        <w:spacing w:line="417" w:lineRule="auto" w:before="0" w:after="0"/>
        <w:ind w:left="220" w:right="986" w:firstLine="419"/>
        <w:jc w:val="both"/>
        <w:rPr>
          <w:sz w:val="21"/>
        </w:rPr>
      </w:pPr>
      <w:r>
        <w:rPr>
          <w:spacing w:val="-3"/>
          <w:sz w:val="21"/>
        </w:rPr>
        <w:t>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p>
    <w:p>
      <w:pPr>
        <w:pStyle w:val="ListParagraph"/>
        <w:numPr>
          <w:ilvl w:val="0"/>
          <w:numId w:val="27"/>
        </w:numPr>
        <w:tabs>
          <w:tab w:pos="1275" w:val="left" w:leader="none"/>
        </w:tabs>
        <w:spacing w:line="269" w:lineRule="exact" w:before="0" w:after="0"/>
        <w:ind w:left="1275" w:right="0" w:hanging="635"/>
        <w:jc w:val="left"/>
        <w:rPr>
          <w:sz w:val="21"/>
        </w:rPr>
      </w:pPr>
      <w:r>
        <w:rPr>
          <w:spacing w:val="-3"/>
          <w:sz w:val="21"/>
        </w:rPr>
        <w:t>基金收益分配事项。</w:t>
      </w:r>
    </w:p>
    <w:p>
      <w:pPr>
        <w:pStyle w:val="BodyText"/>
        <w:spacing w:before="6"/>
        <w:ind w:left="0"/>
        <w:rPr>
          <w:sz w:val="15"/>
        </w:rPr>
      </w:pPr>
    </w:p>
    <w:p>
      <w:pPr>
        <w:pStyle w:val="ListParagraph"/>
        <w:numPr>
          <w:ilvl w:val="0"/>
          <w:numId w:val="27"/>
        </w:numPr>
        <w:tabs>
          <w:tab w:pos="1275" w:val="left" w:leader="none"/>
        </w:tabs>
        <w:spacing w:line="417" w:lineRule="auto" w:before="0" w:after="0"/>
        <w:ind w:left="220" w:right="986" w:firstLine="419"/>
        <w:jc w:val="left"/>
        <w:rPr>
          <w:sz w:val="21"/>
        </w:rPr>
      </w:pPr>
      <w:r>
        <w:rPr>
          <w:spacing w:val="-3"/>
          <w:sz w:val="21"/>
        </w:rPr>
        <w:t>管理费、托管费、销售服务费、申购费、赎回费等费用计提标准、计提方式和费率发生变更。</w:t>
      </w:r>
    </w:p>
    <w:p>
      <w:pPr>
        <w:pStyle w:val="ListParagraph"/>
        <w:numPr>
          <w:ilvl w:val="0"/>
          <w:numId w:val="27"/>
        </w:numPr>
        <w:tabs>
          <w:tab w:pos="1275" w:val="left" w:leader="none"/>
        </w:tabs>
        <w:spacing w:line="240" w:lineRule="auto" w:before="0" w:after="0"/>
        <w:ind w:left="1275" w:right="0" w:hanging="635"/>
        <w:jc w:val="left"/>
        <w:rPr>
          <w:sz w:val="21"/>
        </w:rPr>
      </w:pPr>
      <w:r>
        <w:rPr>
          <w:spacing w:val="-6"/>
          <w:sz w:val="21"/>
        </w:rPr>
        <w:t>基金份额净值计价错误达基金份额净值 </w:t>
      </w:r>
      <w:r>
        <w:rPr>
          <w:rFonts w:ascii="Times New Roman" w:eastAsia="Times New Roman"/>
          <w:sz w:val="21"/>
        </w:rPr>
        <w:t>0.5%</w:t>
      </w:r>
      <w:r>
        <w:rPr>
          <w:sz w:val="21"/>
        </w:rPr>
        <w:t>。</w:t>
      </w:r>
    </w:p>
    <w:p>
      <w:pPr>
        <w:pStyle w:val="BodyText"/>
        <w:spacing w:before="7"/>
        <w:ind w:left="0"/>
        <w:rPr>
          <w:sz w:val="15"/>
        </w:rPr>
      </w:pPr>
    </w:p>
    <w:p>
      <w:pPr>
        <w:pStyle w:val="ListParagraph"/>
        <w:numPr>
          <w:ilvl w:val="0"/>
          <w:numId w:val="27"/>
        </w:numPr>
        <w:tabs>
          <w:tab w:pos="1275" w:val="left" w:leader="none"/>
        </w:tabs>
        <w:spacing w:line="240" w:lineRule="auto" w:before="0" w:after="0"/>
        <w:ind w:left="1275" w:right="0" w:hanging="635"/>
        <w:jc w:val="left"/>
        <w:rPr>
          <w:sz w:val="21"/>
        </w:rPr>
      </w:pPr>
      <w:r>
        <w:rPr>
          <w:spacing w:val="-3"/>
          <w:sz w:val="21"/>
        </w:rPr>
        <w:t>基金开始办理申购、赎回。</w:t>
      </w:r>
    </w:p>
    <w:p>
      <w:pPr>
        <w:pStyle w:val="BodyText"/>
        <w:spacing w:before="7"/>
        <w:ind w:left="0"/>
        <w:rPr>
          <w:sz w:val="15"/>
        </w:rPr>
      </w:pPr>
    </w:p>
    <w:p>
      <w:pPr>
        <w:pStyle w:val="ListParagraph"/>
        <w:numPr>
          <w:ilvl w:val="0"/>
          <w:numId w:val="27"/>
        </w:numPr>
        <w:tabs>
          <w:tab w:pos="1275" w:val="left" w:leader="none"/>
        </w:tabs>
        <w:spacing w:line="240" w:lineRule="auto" w:before="0" w:after="0"/>
        <w:ind w:left="1275" w:right="0" w:hanging="635"/>
        <w:jc w:val="left"/>
        <w:rPr>
          <w:sz w:val="21"/>
        </w:rPr>
      </w:pPr>
      <w:r>
        <w:rPr>
          <w:spacing w:val="-3"/>
          <w:sz w:val="21"/>
        </w:rPr>
        <w:t>基金发生巨额赎回并延期办理。</w:t>
      </w:r>
    </w:p>
    <w:p>
      <w:pPr>
        <w:pStyle w:val="BodyText"/>
        <w:spacing w:before="6"/>
        <w:ind w:left="0"/>
        <w:rPr>
          <w:sz w:val="15"/>
        </w:rPr>
      </w:pPr>
    </w:p>
    <w:p>
      <w:pPr>
        <w:pStyle w:val="ListParagraph"/>
        <w:numPr>
          <w:ilvl w:val="0"/>
          <w:numId w:val="27"/>
        </w:numPr>
        <w:tabs>
          <w:tab w:pos="1275" w:val="left" w:leader="none"/>
        </w:tabs>
        <w:spacing w:line="240" w:lineRule="auto" w:before="1" w:after="0"/>
        <w:ind w:left="1275" w:right="0" w:hanging="635"/>
        <w:jc w:val="left"/>
        <w:rPr>
          <w:sz w:val="21"/>
        </w:rPr>
      </w:pPr>
      <w:r>
        <w:rPr>
          <w:spacing w:val="-3"/>
          <w:sz w:val="21"/>
        </w:rPr>
        <w:t>基金连续发生巨额赎回并暂停接受赎回申请或延缓支付赎回款项。</w:t>
      </w:r>
    </w:p>
    <w:p>
      <w:pPr>
        <w:pStyle w:val="BodyText"/>
        <w:spacing w:before="6"/>
        <w:ind w:left="0"/>
        <w:rPr>
          <w:sz w:val="15"/>
        </w:rPr>
      </w:pPr>
    </w:p>
    <w:p>
      <w:pPr>
        <w:pStyle w:val="ListParagraph"/>
        <w:numPr>
          <w:ilvl w:val="0"/>
          <w:numId w:val="27"/>
        </w:numPr>
        <w:tabs>
          <w:tab w:pos="1275" w:val="left" w:leader="none"/>
        </w:tabs>
        <w:spacing w:line="240" w:lineRule="auto" w:before="0" w:after="0"/>
        <w:ind w:left="1275" w:right="0" w:hanging="635"/>
        <w:jc w:val="left"/>
        <w:rPr>
          <w:sz w:val="21"/>
        </w:rPr>
      </w:pPr>
      <w:r>
        <w:rPr>
          <w:spacing w:val="-3"/>
          <w:sz w:val="21"/>
        </w:rPr>
        <w:t>基金暂停接受申购、赎回申请或重新接受申购、赎回申请。</w:t>
      </w:r>
    </w:p>
    <w:p>
      <w:pPr>
        <w:pStyle w:val="BodyText"/>
        <w:spacing w:before="7"/>
        <w:ind w:left="0"/>
        <w:rPr>
          <w:sz w:val="15"/>
        </w:rPr>
      </w:pPr>
    </w:p>
    <w:p>
      <w:pPr>
        <w:pStyle w:val="ListParagraph"/>
        <w:numPr>
          <w:ilvl w:val="0"/>
          <w:numId w:val="27"/>
        </w:numPr>
        <w:tabs>
          <w:tab w:pos="1275" w:val="left" w:leader="none"/>
        </w:tabs>
        <w:spacing w:line="240" w:lineRule="auto" w:before="0" w:after="0"/>
        <w:ind w:left="1275" w:right="0" w:hanging="635"/>
        <w:jc w:val="left"/>
        <w:rPr>
          <w:sz w:val="21"/>
        </w:rPr>
      </w:pPr>
      <w:r>
        <w:rPr>
          <w:spacing w:val="-3"/>
          <w:sz w:val="21"/>
        </w:rPr>
        <w:t>基金变更标的指数或业绩比较基准。</w:t>
      </w:r>
    </w:p>
    <w:p>
      <w:pPr>
        <w:pStyle w:val="BodyText"/>
        <w:spacing w:before="7"/>
        <w:ind w:left="0"/>
        <w:rPr>
          <w:sz w:val="15"/>
        </w:rPr>
      </w:pPr>
    </w:p>
    <w:p>
      <w:pPr>
        <w:pStyle w:val="ListParagraph"/>
        <w:numPr>
          <w:ilvl w:val="0"/>
          <w:numId w:val="27"/>
        </w:numPr>
        <w:tabs>
          <w:tab w:pos="1275" w:val="left" w:leader="none"/>
        </w:tabs>
        <w:spacing w:line="240" w:lineRule="auto" w:before="0" w:after="0"/>
        <w:ind w:left="1275" w:right="0" w:hanging="635"/>
        <w:jc w:val="left"/>
        <w:rPr>
          <w:sz w:val="21"/>
        </w:rPr>
      </w:pPr>
      <w:r>
        <w:rPr>
          <w:spacing w:val="-3"/>
          <w:sz w:val="21"/>
        </w:rPr>
        <w:t>基金份额拆分。</w:t>
      </w:r>
    </w:p>
    <w:p>
      <w:pPr>
        <w:pStyle w:val="BodyText"/>
        <w:spacing w:before="7"/>
        <w:ind w:left="0"/>
        <w:rPr>
          <w:sz w:val="15"/>
        </w:rPr>
      </w:pPr>
    </w:p>
    <w:p>
      <w:pPr>
        <w:pStyle w:val="ListParagraph"/>
        <w:numPr>
          <w:ilvl w:val="0"/>
          <w:numId w:val="27"/>
        </w:numPr>
        <w:tabs>
          <w:tab w:pos="1275" w:val="left" w:leader="none"/>
        </w:tabs>
        <w:spacing w:line="240" w:lineRule="auto" w:before="0" w:after="0"/>
        <w:ind w:left="1275" w:right="0" w:hanging="635"/>
        <w:jc w:val="left"/>
        <w:rPr>
          <w:sz w:val="21"/>
        </w:rPr>
      </w:pPr>
      <w:r>
        <w:rPr>
          <w:spacing w:val="-3"/>
          <w:sz w:val="21"/>
        </w:rPr>
        <w:t>选择或更换境外投资顾问、境外资产托管人。</w:t>
      </w:r>
    </w:p>
    <w:p>
      <w:pPr>
        <w:pStyle w:val="BodyText"/>
        <w:spacing w:before="7"/>
        <w:ind w:left="0"/>
        <w:rPr>
          <w:sz w:val="15"/>
        </w:rPr>
      </w:pPr>
    </w:p>
    <w:p>
      <w:pPr>
        <w:pStyle w:val="ListParagraph"/>
        <w:numPr>
          <w:ilvl w:val="0"/>
          <w:numId w:val="27"/>
        </w:numPr>
        <w:tabs>
          <w:tab w:pos="1275" w:val="left" w:leader="none"/>
        </w:tabs>
        <w:spacing w:line="240" w:lineRule="auto" w:before="0" w:after="0"/>
        <w:ind w:left="1275" w:right="0" w:hanging="635"/>
        <w:jc w:val="left"/>
        <w:rPr>
          <w:sz w:val="21"/>
        </w:rPr>
      </w:pPr>
      <w:r>
        <w:rPr>
          <w:spacing w:val="-3"/>
          <w:sz w:val="21"/>
        </w:rPr>
        <w:t>本基金发生涉及基金申购、赎回事项调整或潜在影响投资者赎回等重大事项。</w:t>
      </w:r>
    </w:p>
    <w:p>
      <w:pPr>
        <w:pStyle w:val="BodyText"/>
        <w:spacing w:before="6"/>
        <w:ind w:left="0"/>
        <w:rPr>
          <w:sz w:val="15"/>
        </w:rPr>
      </w:pPr>
    </w:p>
    <w:p>
      <w:pPr>
        <w:pStyle w:val="ListParagraph"/>
        <w:numPr>
          <w:ilvl w:val="0"/>
          <w:numId w:val="27"/>
        </w:numPr>
        <w:tabs>
          <w:tab w:pos="1275" w:val="left" w:leader="none"/>
        </w:tabs>
        <w:spacing w:line="240" w:lineRule="auto" w:before="1" w:after="0"/>
        <w:ind w:left="1275" w:right="0" w:hanging="635"/>
        <w:jc w:val="left"/>
        <w:rPr>
          <w:sz w:val="21"/>
        </w:rPr>
      </w:pPr>
      <w:r>
        <w:rPr>
          <w:spacing w:val="-3"/>
          <w:sz w:val="21"/>
        </w:rPr>
        <w:t>基金管理人采用摆动定价机制进行估值。</w:t>
      </w:r>
    </w:p>
    <w:p>
      <w:pPr>
        <w:pStyle w:val="BodyText"/>
        <w:spacing w:before="6"/>
        <w:ind w:left="0"/>
        <w:rPr>
          <w:sz w:val="15"/>
        </w:rPr>
      </w:pPr>
    </w:p>
    <w:p>
      <w:pPr>
        <w:pStyle w:val="ListParagraph"/>
        <w:numPr>
          <w:ilvl w:val="0"/>
          <w:numId w:val="27"/>
        </w:numPr>
        <w:tabs>
          <w:tab w:pos="1275" w:val="left" w:leader="none"/>
        </w:tabs>
        <w:spacing w:line="417" w:lineRule="auto" w:before="0" w:after="0"/>
        <w:ind w:left="220" w:right="986" w:firstLine="419"/>
        <w:jc w:val="left"/>
        <w:rPr>
          <w:sz w:val="21"/>
        </w:rPr>
      </w:pPr>
      <w:r>
        <w:rPr>
          <w:spacing w:val="-3"/>
          <w:sz w:val="21"/>
        </w:rPr>
        <w:t>基金信息披露义务人认为可能对基金份额持有人权益或者基金份额的价格产生重大影响的其他事项或中国证监会规定的其他事项。</w:t>
      </w:r>
    </w:p>
    <w:p>
      <w:pPr>
        <w:pStyle w:val="BodyText"/>
        <w:spacing w:line="269" w:lineRule="exact"/>
      </w:pPr>
      <w:r>
        <w:rPr>
          <w:rFonts w:ascii="Times New Roman" w:eastAsia="Times New Roman"/>
        </w:rPr>
        <w:t>9</w:t>
      </w:r>
      <w:r>
        <w:rPr/>
        <w:t>、澄清公告</w:t>
      </w:r>
    </w:p>
    <w:p>
      <w:pPr>
        <w:pStyle w:val="BodyText"/>
        <w:spacing w:before="7"/>
        <w:ind w:left="0"/>
        <w:rPr>
          <w:sz w:val="15"/>
        </w:rPr>
      </w:pPr>
    </w:p>
    <w:p>
      <w:pPr>
        <w:pStyle w:val="BodyText"/>
        <w:spacing w:line="417" w:lineRule="auto" w:before="1"/>
        <w:ind w:left="220" w:right="986" w:firstLine="419"/>
        <w:jc w:val="both"/>
      </w:pPr>
      <w:r>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pPr>
        <w:pStyle w:val="BodyText"/>
        <w:spacing w:line="268" w:lineRule="exact"/>
      </w:pPr>
      <w:r>
        <w:rPr>
          <w:rFonts w:ascii="Times New Roman" w:eastAsia="Times New Roman"/>
        </w:rPr>
        <w:t>10</w:t>
      </w:r>
      <w:r>
        <w:rPr/>
        <w:t>、清算报告</w:t>
      </w:r>
    </w:p>
    <w:p>
      <w:pPr>
        <w:pStyle w:val="BodyText"/>
        <w:spacing w:before="6"/>
        <w:ind w:left="0"/>
        <w:rPr>
          <w:sz w:val="15"/>
        </w:rPr>
      </w:pPr>
    </w:p>
    <w:p>
      <w:pPr>
        <w:pStyle w:val="BodyText"/>
        <w:spacing w:line="417" w:lineRule="auto"/>
        <w:ind w:left="220" w:right="986" w:firstLine="419"/>
      </w:pPr>
      <w:r>
        <w:rPr/>
        <w:t>基金财产清算小组应当将清算报告登载在指定网站上，并将清算报告提示性公告登载在指定报刊上。</w:t>
      </w:r>
    </w:p>
    <w:p>
      <w:pPr>
        <w:pStyle w:val="BodyText"/>
      </w:pPr>
      <w:r>
        <w:rPr>
          <w:rFonts w:ascii="Times New Roman" w:eastAsia="Times New Roman"/>
        </w:rPr>
        <w:t>11</w:t>
      </w:r>
      <w:r>
        <w:rPr/>
        <w:t>、基金份额持有人大会决议</w:t>
      </w:r>
    </w:p>
    <w:p>
      <w:pPr>
        <w:pStyle w:val="BodyText"/>
        <w:spacing w:before="7"/>
        <w:ind w:left="0"/>
        <w:rPr>
          <w:sz w:val="15"/>
        </w:rPr>
      </w:pPr>
    </w:p>
    <w:p>
      <w:pPr>
        <w:pStyle w:val="BodyText"/>
      </w:pPr>
      <w:r>
        <w:rPr/>
        <w:t>基金份额持有人大会决定的事项，应当依法报中国证监会备案，并予以公告。</w:t>
      </w:r>
    </w:p>
    <w:p>
      <w:pPr>
        <w:spacing w:after="0"/>
        <w:sectPr>
          <w:pgSz w:w="11910" w:h="16840"/>
          <w:pgMar w:header="705" w:footer="683" w:top="1420" w:bottom="880" w:left="1580" w:right="920"/>
        </w:sectPr>
      </w:pPr>
    </w:p>
    <w:p>
      <w:pPr>
        <w:pStyle w:val="BodyText"/>
        <w:spacing w:before="110"/>
      </w:pPr>
      <w:r>
        <w:rPr>
          <w:rFonts w:ascii="Times New Roman" w:eastAsia="Times New Roman"/>
        </w:rPr>
        <w:t>12</w:t>
      </w:r>
      <w:r>
        <w:rPr/>
        <w:t>、中国证监会规定的其他信息。</w:t>
      </w:r>
    </w:p>
    <w:p>
      <w:pPr>
        <w:pStyle w:val="BodyText"/>
        <w:spacing w:before="6"/>
        <w:ind w:left="0"/>
        <w:rPr>
          <w:sz w:val="15"/>
        </w:rPr>
      </w:pPr>
    </w:p>
    <w:p>
      <w:pPr>
        <w:pStyle w:val="BodyText"/>
      </w:pPr>
      <w:r>
        <w:rPr/>
        <w:t>（六</w:t>
      </w:r>
      <w:r>
        <w:rPr>
          <w:spacing w:val="-3"/>
        </w:rPr>
        <w:t>）信息披露事务管理</w:t>
      </w:r>
    </w:p>
    <w:p>
      <w:pPr>
        <w:pStyle w:val="BodyText"/>
        <w:spacing w:before="7"/>
        <w:ind w:left="0"/>
        <w:rPr>
          <w:sz w:val="15"/>
        </w:rPr>
      </w:pPr>
    </w:p>
    <w:p>
      <w:pPr>
        <w:pStyle w:val="BodyText"/>
        <w:spacing w:line="417" w:lineRule="auto"/>
        <w:ind w:left="220" w:right="986" w:firstLine="419"/>
      </w:pPr>
      <w:r>
        <w:rPr>
          <w:spacing w:val="-3"/>
        </w:rPr>
        <w:t>基金管理人、基金托管人应当建立健全信息披露管理制度，指定专门部门及高级管理人员负责管理信息披露事务。</w:t>
      </w:r>
    </w:p>
    <w:p>
      <w:pPr>
        <w:pStyle w:val="BodyText"/>
        <w:spacing w:line="417" w:lineRule="auto"/>
        <w:ind w:left="220" w:right="986" w:firstLine="419"/>
      </w:pPr>
      <w:r>
        <w:rPr/>
        <w:t>基金信息披露义务人公开披露基金信息，应当符合中国证监会相关基金信息披露内容与格式准则等法规的规定。</w:t>
      </w:r>
    </w:p>
    <w:p>
      <w:pPr>
        <w:pStyle w:val="BodyText"/>
        <w:spacing w:line="417" w:lineRule="auto"/>
        <w:ind w:left="220" w:right="986" w:firstLine="419"/>
        <w:jc w:val="both"/>
      </w:pPr>
      <w:r>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pPr>
        <w:pStyle w:val="BodyText"/>
        <w:spacing w:line="417" w:lineRule="auto"/>
        <w:ind w:left="220" w:right="986" w:firstLine="419"/>
      </w:pPr>
      <w:r>
        <w:rPr/>
        <w:t>基金管理人、基金托管人应当在指定报刊中选择披露信息的报刊，本基金只需选择一家报刊。</w:t>
      </w:r>
    </w:p>
    <w:p>
      <w:pPr>
        <w:pStyle w:val="BodyText"/>
        <w:spacing w:line="417" w:lineRule="auto"/>
        <w:ind w:left="220" w:right="986" w:firstLine="419"/>
        <w:jc w:val="both"/>
      </w:pPr>
      <w:r>
        <w:rPr/>
        <w:t>为强化投资者保护，提升信息披露服务质量，基金管理人应当自中国证监会规定之日起，按照《信息披露办法》等相关法律法规的规定和中国证监会规定向投资者及时提供对其投资决策有重大影响的信息。</w:t>
      </w:r>
    </w:p>
    <w:p>
      <w:pPr>
        <w:pStyle w:val="BodyText"/>
        <w:spacing w:line="417" w:lineRule="auto"/>
        <w:ind w:left="220" w:right="986" w:firstLine="419"/>
        <w:jc w:val="both"/>
      </w:pPr>
      <w:r>
        <w:rPr/>
        <w:t>为基金信息披露义务人公开披露的基金信息出具审计报告、法律意见书的专业机构， 应当制作工作底稿，并将相关档案至少保存到《基金合同》终止后 </w:t>
      </w:r>
      <w:r>
        <w:rPr>
          <w:rFonts w:ascii="Times New Roman" w:eastAsia="Times New Roman"/>
        </w:rPr>
        <w:t>10 </w:t>
      </w:r>
      <w:r>
        <w:rPr/>
        <w:t>年。</w:t>
      </w:r>
    </w:p>
    <w:p>
      <w:pPr>
        <w:pStyle w:val="BodyText"/>
        <w:spacing w:line="269" w:lineRule="exact"/>
      </w:pPr>
      <w:r>
        <w:rPr/>
        <w:t>（七）信息披露文件的存放与查阅</w:t>
      </w:r>
    </w:p>
    <w:p>
      <w:pPr>
        <w:pStyle w:val="BodyText"/>
        <w:spacing w:before="6"/>
        <w:ind w:left="0"/>
        <w:rPr>
          <w:sz w:val="15"/>
        </w:rPr>
      </w:pPr>
    </w:p>
    <w:p>
      <w:pPr>
        <w:pStyle w:val="BodyText"/>
        <w:spacing w:line="417" w:lineRule="auto"/>
        <w:ind w:left="220" w:right="986" w:firstLine="419"/>
      </w:pPr>
      <w:r>
        <w:rPr/>
        <w:t>依法必须披露的信息发布后，基金管理人、基金托管人应当按照相关法律法规规定将信息置备于公司住所，供社会公众查阅、复制。</w:t>
      </w:r>
    </w:p>
    <w:p>
      <w:pPr>
        <w:spacing w:line="717" w:lineRule="auto" w:before="0"/>
        <w:ind w:left="2102" w:right="2873" w:hanging="1462"/>
        <w:jc w:val="left"/>
        <w:rPr>
          <w:b/>
          <w:sz w:val="21"/>
        </w:rPr>
      </w:pPr>
      <w:r>
        <w:rPr>
          <w:sz w:val="21"/>
        </w:rPr>
        <w:t>（八）法律法规或监管部门对信息披露另有规定的，从其规定。</w:t>
      </w:r>
      <w:bookmarkStart w:name="_bookmark15" w:id="16"/>
      <w:bookmarkEnd w:id="16"/>
      <w:r>
        <w:rPr>
          <w:sz w:val="21"/>
        </w:rPr>
      </w:r>
      <w:r>
        <w:rPr>
          <w:b/>
          <w:sz w:val="21"/>
        </w:rPr>
        <w:t>十六、基金合同的变更、终止与基金财产的清算</w:t>
      </w:r>
    </w:p>
    <w:p>
      <w:pPr>
        <w:pStyle w:val="BodyText"/>
        <w:spacing w:line="252" w:lineRule="exact"/>
      </w:pPr>
      <w:r>
        <w:rPr/>
        <w:t>（一）基金合同的变更</w:t>
      </w:r>
    </w:p>
    <w:p>
      <w:pPr>
        <w:pStyle w:val="BodyText"/>
        <w:spacing w:before="12"/>
        <w:ind w:left="0"/>
        <w:rPr>
          <w:sz w:val="14"/>
        </w:rPr>
      </w:pPr>
    </w:p>
    <w:p>
      <w:pPr>
        <w:pStyle w:val="BodyText"/>
        <w:spacing w:line="408" w:lineRule="auto"/>
        <w:ind w:left="220" w:right="986" w:firstLine="419"/>
      </w:pPr>
      <w:r>
        <w:rPr>
          <w:rFonts w:ascii="Times New Roman" w:eastAsia="Times New Roman"/>
        </w:rPr>
        <w:t>1</w:t>
      </w:r>
      <w:r>
        <w:rPr>
          <w:spacing w:val="-9"/>
        </w:rPr>
        <w:t>、变更基金合同涉及法律法规规定或基金合同第九条第</w:t>
      </w:r>
      <w:r>
        <w:rPr/>
        <w:t>（</w:t>
      </w:r>
      <w:r>
        <w:rPr>
          <w:spacing w:val="-3"/>
        </w:rPr>
        <w:t>二</w:t>
      </w:r>
      <w:r>
        <w:rPr>
          <w:spacing w:val="-36"/>
        </w:rPr>
        <w:t>）</w:t>
      </w:r>
      <w:r>
        <w:rPr>
          <w:spacing w:val="-3"/>
        </w:rPr>
        <w:t>款约定应经基金份额持有人大会决议通过的事项的，应召开基金份额持有人大会决议通过。</w:t>
      </w:r>
    </w:p>
    <w:p>
      <w:pPr>
        <w:pStyle w:val="BodyText"/>
        <w:spacing w:line="408" w:lineRule="auto" w:before="2"/>
        <w:ind w:left="220" w:right="986" w:firstLine="419"/>
      </w:pPr>
      <w:r>
        <w:rPr>
          <w:rFonts w:ascii="Times New Roman" w:eastAsia="Times New Roman"/>
        </w:rPr>
        <w:t>2</w:t>
      </w:r>
      <w:r>
        <w:rPr>
          <w:spacing w:val="-11"/>
        </w:rPr>
        <w:t>、变更基金合同的基金份额持有人大会决议应报中国证监会核准或备案，并自中国证</w:t>
      </w:r>
      <w:r>
        <w:rPr>
          <w:spacing w:val="-6"/>
        </w:rPr>
        <w:t>监会核准或出具无异议意见之日起生效。</w:t>
      </w:r>
    </w:p>
    <w:p>
      <w:pPr>
        <w:pStyle w:val="BodyText"/>
        <w:spacing w:before="2"/>
      </w:pPr>
      <w:r>
        <w:rPr>
          <w:rFonts w:ascii="Times New Roman" w:eastAsia="Times New Roman"/>
        </w:rPr>
        <w:t>3</w:t>
      </w:r>
      <w:r>
        <w:rPr/>
        <w:t>、但如变更基金合同的事项属于基金合同第九条第（三）款约定的情形，可不经基金</w:t>
      </w:r>
    </w:p>
    <w:p>
      <w:pPr>
        <w:spacing w:after="0"/>
        <w:sectPr>
          <w:pgSz w:w="11910" w:h="16840"/>
          <w:pgMar w:header="705" w:footer="683" w:top="1420" w:bottom="880" w:left="1580" w:right="920"/>
        </w:sectPr>
      </w:pPr>
    </w:p>
    <w:p>
      <w:pPr>
        <w:pStyle w:val="BodyText"/>
        <w:spacing w:line="408" w:lineRule="auto" w:before="105"/>
        <w:ind w:left="220" w:right="986"/>
      </w:pPr>
      <w:r>
        <w:rPr/>
        <w:t>份额持有人大会决议，而经基金管理人和基金托管人同意修改后公告，并报中国证监会备案。</w:t>
      </w:r>
    </w:p>
    <w:p>
      <w:pPr>
        <w:pStyle w:val="BodyText"/>
        <w:spacing w:before="2"/>
      </w:pPr>
      <w:r>
        <w:rPr/>
        <w:t>（二）基金合同的终止</w:t>
      </w:r>
    </w:p>
    <w:p>
      <w:pPr>
        <w:pStyle w:val="BodyText"/>
        <w:spacing w:before="12"/>
        <w:ind w:left="0"/>
        <w:rPr>
          <w:sz w:val="14"/>
        </w:rPr>
      </w:pPr>
    </w:p>
    <w:p>
      <w:pPr>
        <w:pStyle w:val="BodyText"/>
      </w:pPr>
      <w:r>
        <w:rPr/>
        <w:t>有下列情形之一的，基金合同终止：</w:t>
      </w:r>
    </w:p>
    <w:p>
      <w:pPr>
        <w:pStyle w:val="BodyText"/>
        <w:spacing w:before="10"/>
        <w:ind w:left="0"/>
        <w:rPr>
          <w:sz w:val="14"/>
        </w:rPr>
      </w:pPr>
    </w:p>
    <w:p>
      <w:pPr>
        <w:pStyle w:val="BodyText"/>
      </w:pPr>
      <w:r>
        <w:rPr>
          <w:rFonts w:ascii="Times New Roman" w:eastAsia="Times New Roman"/>
        </w:rPr>
        <w:t>1</w:t>
      </w:r>
      <w:r>
        <w:rPr/>
        <w:t>、基金份额持有人大会决定终止。</w:t>
      </w:r>
    </w:p>
    <w:p>
      <w:pPr>
        <w:pStyle w:val="BodyText"/>
        <w:spacing w:line="408" w:lineRule="auto" w:before="190"/>
        <w:ind w:left="220" w:right="986" w:firstLine="419"/>
      </w:pPr>
      <w:r>
        <w:rPr>
          <w:rFonts w:ascii="Times New Roman" w:eastAsia="Times New Roman"/>
        </w:rPr>
        <w:t>2</w:t>
      </w:r>
      <w:r>
        <w:rPr>
          <w:spacing w:val="-12"/>
        </w:rPr>
        <w:t>、基金管理人、基金托管人职责终止，在六个月内没有新基金管理人、基金托管人承接的。</w:t>
      </w:r>
    </w:p>
    <w:p>
      <w:pPr>
        <w:pStyle w:val="BodyText"/>
        <w:spacing w:before="2"/>
      </w:pPr>
      <w:r>
        <w:rPr>
          <w:rFonts w:ascii="Times New Roman" w:eastAsia="Times New Roman"/>
        </w:rPr>
        <w:t>3</w:t>
      </w:r>
      <w:r>
        <w:rPr/>
        <w:t>、法律法规和基金合同规定的其他情形。</w:t>
      </w:r>
    </w:p>
    <w:p>
      <w:pPr>
        <w:pStyle w:val="BodyText"/>
        <w:spacing w:before="192"/>
      </w:pPr>
      <w:r>
        <w:rPr/>
        <w:t>（三）基金财产的清算</w:t>
      </w:r>
    </w:p>
    <w:p>
      <w:pPr>
        <w:pStyle w:val="BodyText"/>
        <w:spacing w:before="10"/>
        <w:ind w:left="0"/>
        <w:rPr>
          <w:sz w:val="14"/>
        </w:rPr>
      </w:pPr>
    </w:p>
    <w:p>
      <w:pPr>
        <w:pStyle w:val="BodyText"/>
        <w:spacing w:line="408" w:lineRule="auto"/>
        <w:ind w:left="220" w:right="986" w:firstLine="419"/>
      </w:pPr>
      <w:r>
        <w:rPr>
          <w:rFonts w:ascii="Times New Roman" w:eastAsia="Times New Roman"/>
        </w:rPr>
        <w:t>1</w:t>
      </w:r>
      <w:r>
        <w:rPr>
          <w:spacing w:val="-12"/>
        </w:rPr>
        <w:t>、基金合同终止，基金管理人应当按法律法规和基金合同的有关规定对基金财产进行清算。</w:t>
      </w:r>
    </w:p>
    <w:p>
      <w:pPr>
        <w:pStyle w:val="BodyText"/>
        <w:spacing w:before="2"/>
      </w:pPr>
      <w:r>
        <w:rPr>
          <w:rFonts w:ascii="Times New Roman" w:eastAsia="Times New Roman"/>
        </w:rPr>
        <w:t>2</w:t>
      </w:r>
      <w:r>
        <w:rPr/>
        <w:t>、基金财产清算组</w:t>
      </w:r>
    </w:p>
    <w:p>
      <w:pPr>
        <w:pStyle w:val="ListParagraph"/>
        <w:numPr>
          <w:ilvl w:val="0"/>
          <w:numId w:val="28"/>
        </w:numPr>
        <w:tabs>
          <w:tab w:pos="1167" w:val="left" w:leader="none"/>
        </w:tabs>
        <w:spacing w:line="410" w:lineRule="auto" w:before="189" w:after="0"/>
        <w:ind w:left="220" w:right="986" w:firstLine="419"/>
        <w:jc w:val="both"/>
        <w:rPr>
          <w:sz w:val="21"/>
        </w:rPr>
      </w:pPr>
      <w:r>
        <w:rPr>
          <w:spacing w:val="-3"/>
          <w:sz w:val="21"/>
        </w:rPr>
        <w:t>自基金合同终止事由发生之日起三十个工作日内由基金管理人组织成立基金财产清算组，在基金财产清算组接管基金财产之前，基金管理人和基金托管人应按照基金合同和托管协议的规定继续履行保护基金财产安全的职责。</w:t>
      </w:r>
    </w:p>
    <w:p>
      <w:pPr>
        <w:pStyle w:val="ListParagraph"/>
        <w:numPr>
          <w:ilvl w:val="0"/>
          <w:numId w:val="28"/>
        </w:numPr>
        <w:tabs>
          <w:tab w:pos="1167" w:val="left" w:leader="none"/>
        </w:tabs>
        <w:spacing w:line="408" w:lineRule="auto" w:before="0" w:after="0"/>
        <w:ind w:left="220" w:right="986" w:firstLine="419"/>
        <w:jc w:val="both"/>
        <w:rPr>
          <w:sz w:val="21"/>
        </w:rPr>
      </w:pPr>
      <w:r>
        <w:rPr>
          <w:spacing w:val="-7"/>
          <w:sz w:val="21"/>
        </w:rPr>
        <w:t>基金财产清算组成员由基金管理人、基金托管人、具有从事证券相关业务资格 </w:t>
      </w:r>
      <w:r>
        <w:rPr>
          <w:spacing w:val="-3"/>
          <w:sz w:val="21"/>
        </w:rPr>
        <w:t>的注册会计师、律师以及中国证监会指定的人员组成。基金财产清算组可以聘用必要的工</w:t>
      </w:r>
      <w:r>
        <w:rPr>
          <w:sz w:val="21"/>
        </w:rPr>
        <w:t>作人员。</w:t>
      </w:r>
    </w:p>
    <w:p>
      <w:pPr>
        <w:pStyle w:val="ListParagraph"/>
        <w:numPr>
          <w:ilvl w:val="0"/>
          <w:numId w:val="28"/>
        </w:numPr>
        <w:tabs>
          <w:tab w:pos="1170" w:val="left" w:leader="none"/>
        </w:tabs>
        <w:spacing w:line="408" w:lineRule="auto" w:before="3" w:after="0"/>
        <w:ind w:left="220" w:right="989" w:firstLine="419"/>
        <w:jc w:val="left"/>
        <w:rPr>
          <w:sz w:val="21"/>
        </w:rPr>
      </w:pPr>
      <w:r>
        <w:rPr>
          <w:spacing w:val="-8"/>
          <w:sz w:val="21"/>
        </w:rPr>
        <w:t>基金财产清算组负责基金财产的保管、清理、估价、变现和分配。基金财产清 </w:t>
      </w:r>
      <w:r>
        <w:rPr>
          <w:spacing w:val="-3"/>
          <w:sz w:val="21"/>
        </w:rPr>
        <w:t>算组可以依法进行必要的民事活动。</w:t>
      </w:r>
    </w:p>
    <w:p>
      <w:pPr>
        <w:pStyle w:val="BodyText"/>
        <w:spacing w:before="2"/>
      </w:pPr>
      <w:r>
        <w:rPr>
          <w:rFonts w:ascii="Times New Roman" w:eastAsia="Times New Roman"/>
        </w:rPr>
        <w:t>3</w:t>
      </w:r>
      <w:r>
        <w:rPr/>
        <w:t>、清算程序</w:t>
      </w:r>
    </w:p>
    <w:p>
      <w:pPr>
        <w:pStyle w:val="ListParagraph"/>
        <w:numPr>
          <w:ilvl w:val="0"/>
          <w:numId w:val="29"/>
        </w:numPr>
        <w:tabs>
          <w:tab w:pos="1170" w:val="left" w:leader="none"/>
        </w:tabs>
        <w:spacing w:line="240" w:lineRule="auto" w:before="190" w:after="0"/>
        <w:ind w:left="1169" w:right="0" w:hanging="530"/>
        <w:jc w:val="left"/>
        <w:rPr>
          <w:sz w:val="21"/>
        </w:rPr>
      </w:pPr>
      <w:r>
        <w:rPr>
          <w:spacing w:val="-3"/>
          <w:sz w:val="21"/>
        </w:rPr>
        <w:t>基金合同终止情形发生后，由基金财产清算组统一接管基金财产。</w:t>
      </w:r>
    </w:p>
    <w:p>
      <w:pPr>
        <w:pStyle w:val="ListParagraph"/>
        <w:numPr>
          <w:ilvl w:val="0"/>
          <w:numId w:val="29"/>
        </w:numPr>
        <w:tabs>
          <w:tab w:pos="1170" w:val="left" w:leader="none"/>
        </w:tabs>
        <w:spacing w:line="240" w:lineRule="auto" w:before="192" w:after="0"/>
        <w:ind w:left="1169" w:right="0" w:hanging="530"/>
        <w:jc w:val="left"/>
        <w:rPr>
          <w:sz w:val="21"/>
        </w:rPr>
      </w:pPr>
      <w:r>
        <w:rPr>
          <w:spacing w:val="-3"/>
          <w:sz w:val="21"/>
        </w:rPr>
        <w:t>基金财产清算组根据基金财产的情况确定清算期限。</w:t>
      </w:r>
    </w:p>
    <w:p>
      <w:pPr>
        <w:pStyle w:val="ListParagraph"/>
        <w:numPr>
          <w:ilvl w:val="0"/>
          <w:numId w:val="29"/>
        </w:numPr>
        <w:tabs>
          <w:tab w:pos="1170" w:val="left" w:leader="none"/>
        </w:tabs>
        <w:spacing w:line="240" w:lineRule="auto" w:before="189" w:after="0"/>
        <w:ind w:left="1169" w:right="0" w:hanging="530"/>
        <w:jc w:val="left"/>
        <w:rPr>
          <w:sz w:val="21"/>
        </w:rPr>
      </w:pPr>
      <w:r>
        <w:rPr>
          <w:spacing w:val="-3"/>
          <w:sz w:val="21"/>
        </w:rPr>
        <w:t>基金财产清算组对基金财产进行清理和确认。</w:t>
      </w:r>
    </w:p>
    <w:p>
      <w:pPr>
        <w:pStyle w:val="ListParagraph"/>
        <w:numPr>
          <w:ilvl w:val="0"/>
          <w:numId w:val="29"/>
        </w:numPr>
        <w:tabs>
          <w:tab w:pos="1170" w:val="left" w:leader="none"/>
        </w:tabs>
        <w:spacing w:line="240" w:lineRule="auto" w:before="190" w:after="0"/>
        <w:ind w:left="1169" w:right="0" w:hanging="530"/>
        <w:jc w:val="left"/>
        <w:rPr>
          <w:sz w:val="21"/>
        </w:rPr>
      </w:pPr>
      <w:r>
        <w:rPr>
          <w:spacing w:val="-3"/>
          <w:sz w:val="21"/>
        </w:rPr>
        <w:t>对基金财产进行评估和变现。</w:t>
      </w:r>
    </w:p>
    <w:p>
      <w:pPr>
        <w:pStyle w:val="ListParagraph"/>
        <w:numPr>
          <w:ilvl w:val="0"/>
          <w:numId w:val="29"/>
        </w:numPr>
        <w:tabs>
          <w:tab w:pos="1170" w:val="left" w:leader="none"/>
        </w:tabs>
        <w:spacing w:line="240" w:lineRule="auto" w:before="189" w:after="0"/>
        <w:ind w:left="1169" w:right="0" w:hanging="530"/>
        <w:jc w:val="left"/>
        <w:rPr>
          <w:sz w:val="21"/>
        </w:rPr>
      </w:pPr>
      <w:r>
        <w:rPr>
          <w:spacing w:val="-3"/>
          <w:sz w:val="21"/>
        </w:rPr>
        <w:t>制作清算报告。</w:t>
      </w:r>
    </w:p>
    <w:p>
      <w:pPr>
        <w:pStyle w:val="ListParagraph"/>
        <w:numPr>
          <w:ilvl w:val="0"/>
          <w:numId w:val="29"/>
        </w:numPr>
        <w:tabs>
          <w:tab w:pos="1170" w:val="left" w:leader="none"/>
        </w:tabs>
        <w:spacing w:line="410" w:lineRule="auto" w:before="189" w:after="0"/>
        <w:ind w:left="220" w:right="986" w:firstLine="419"/>
        <w:jc w:val="left"/>
        <w:rPr>
          <w:sz w:val="21"/>
        </w:rPr>
      </w:pPr>
      <w:r>
        <w:rPr>
          <w:spacing w:val="-6"/>
          <w:sz w:val="21"/>
        </w:rPr>
        <w:t>聘请会计师事务所对清算报告进行外部审计，聘请律师事务所对清算报告出具 </w:t>
      </w:r>
      <w:r>
        <w:rPr>
          <w:spacing w:val="-1"/>
          <w:sz w:val="21"/>
        </w:rPr>
        <w:t>法律意见书。</w:t>
      </w:r>
    </w:p>
    <w:p>
      <w:pPr>
        <w:pStyle w:val="ListParagraph"/>
        <w:numPr>
          <w:ilvl w:val="0"/>
          <w:numId w:val="29"/>
        </w:numPr>
        <w:tabs>
          <w:tab w:pos="1170" w:val="left" w:leader="none"/>
        </w:tabs>
        <w:spacing w:line="268" w:lineRule="exact" w:before="0" w:after="0"/>
        <w:ind w:left="1169" w:right="0" w:hanging="530"/>
        <w:jc w:val="left"/>
        <w:rPr>
          <w:sz w:val="21"/>
        </w:rPr>
      </w:pPr>
      <w:r>
        <w:rPr>
          <w:spacing w:val="-3"/>
          <w:sz w:val="21"/>
        </w:rPr>
        <w:t>将清算报告报中国证监会备案并公告。</w:t>
      </w:r>
    </w:p>
    <w:p>
      <w:pPr>
        <w:pStyle w:val="ListParagraph"/>
        <w:numPr>
          <w:ilvl w:val="0"/>
          <w:numId w:val="29"/>
        </w:numPr>
        <w:tabs>
          <w:tab w:pos="1170" w:val="left" w:leader="none"/>
        </w:tabs>
        <w:spacing w:line="240" w:lineRule="auto" w:before="190" w:after="0"/>
        <w:ind w:left="1169" w:right="0" w:hanging="530"/>
        <w:jc w:val="left"/>
        <w:rPr>
          <w:sz w:val="21"/>
        </w:rPr>
      </w:pPr>
      <w:r>
        <w:rPr>
          <w:spacing w:val="-3"/>
          <w:sz w:val="21"/>
        </w:rPr>
        <w:t>对基金财产进行分配。</w:t>
      </w:r>
    </w:p>
    <w:p>
      <w:pPr>
        <w:spacing w:after="0" w:line="240" w:lineRule="auto"/>
        <w:jc w:val="left"/>
        <w:rPr>
          <w:sz w:val="21"/>
        </w:rPr>
        <w:sectPr>
          <w:pgSz w:w="11910" w:h="16840"/>
          <w:pgMar w:header="705" w:footer="683" w:top="1420" w:bottom="880" w:left="1580" w:right="920"/>
        </w:sectPr>
      </w:pPr>
    </w:p>
    <w:p>
      <w:pPr>
        <w:pStyle w:val="BodyText"/>
        <w:spacing w:before="105"/>
      </w:pPr>
      <w:r>
        <w:rPr>
          <w:rFonts w:ascii="Times New Roman" w:eastAsia="Times New Roman"/>
        </w:rPr>
        <w:t>4</w:t>
      </w:r>
      <w:r>
        <w:rPr/>
        <w:t>、清算费用</w:t>
      </w:r>
    </w:p>
    <w:p>
      <w:pPr>
        <w:pStyle w:val="BodyText"/>
        <w:spacing w:line="408" w:lineRule="auto" w:before="189"/>
        <w:ind w:left="220" w:right="986" w:firstLine="419"/>
      </w:pPr>
      <w:r>
        <w:rPr/>
        <w:t>清算费用是指基金财产清算组在进行基金清算过程中发生的所有合理费用，清算费用由基金财产清算组优先从基金财产中支付。</w:t>
      </w:r>
    </w:p>
    <w:p>
      <w:pPr>
        <w:pStyle w:val="BodyText"/>
        <w:spacing w:line="408" w:lineRule="auto" w:before="5"/>
        <w:ind w:right="6241"/>
      </w:pPr>
      <w:r>
        <w:rPr>
          <w:rFonts w:ascii="Times New Roman" w:eastAsia="Times New Roman"/>
        </w:rPr>
        <w:t>5</w:t>
      </w:r>
      <w:r>
        <w:rPr>
          <w:spacing w:val="-3"/>
        </w:rPr>
        <w:t>、基金剩余财产的分配  </w:t>
      </w:r>
      <w:r>
        <w:rPr>
          <w:spacing w:val="-4"/>
        </w:rPr>
        <w:t>基金财产按下列顺序清偿：</w:t>
      </w:r>
    </w:p>
    <w:p>
      <w:pPr>
        <w:pStyle w:val="ListParagraph"/>
        <w:numPr>
          <w:ilvl w:val="0"/>
          <w:numId w:val="30"/>
        </w:numPr>
        <w:tabs>
          <w:tab w:pos="1170" w:val="left" w:leader="none"/>
        </w:tabs>
        <w:spacing w:line="240" w:lineRule="auto" w:before="2" w:after="0"/>
        <w:ind w:left="1169" w:right="0" w:hanging="530"/>
        <w:jc w:val="left"/>
        <w:rPr>
          <w:sz w:val="21"/>
        </w:rPr>
      </w:pPr>
      <w:r>
        <w:rPr>
          <w:spacing w:val="-3"/>
          <w:sz w:val="21"/>
        </w:rPr>
        <w:t>支付清算费用。</w:t>
      </w:r>
    </w:p>
    <w:p>
      <w:pPr>
        <w:pStyle w:val="ListParagraph"/>
        <w:numPr>
          <w:ilvl w:val="0"/>
          <w:numId w:val="30"/>
        </w:numPr>
        <w:tabs>
          <w:tab w:pos="1170" w:val="left" w:leader="none"/>
        </w:tabs>
        <w:spacing w:line="240" w:lineRule="auto" w:before="189" w:after="0"/>
        <w:ind w:left="1169" w:right="0" w:hanging="530"/>
        <w:jc w:val="left"/>
        <w:rPr>
          <w:sz w:val="21"/>
        </w:rPr>
      </w:pPr>
      <w:r>
        <w:rPr>
          <w:spacing w:val="-3"/>
          <w:sz w:val="21"/>
        </w:rPr>
        <w:t>交纳所欠税款。</w:t>
      </w:r>
    </w:p>
    <w:p>
      <w:pPr>
        <w:pStyle w:val="ListParagraph"/>
        <w:numPr>
          <w:ilvl w:val="0"/>
          <w:numId w:val="30"/>
        </w:numPr>
        <w:tabs>
          <w:tab w:pos="1170" w:val="left" w:leader="none"/>
        </w:tabs>
        <w:spacing w:line="240" w:lineRule="auto" w:before="190" w:after="0"/>
        <w:ind w:left="1169" w:right="0" w:hanging="530"/>
        <w:jc w:val="left"/>
        <w:rPr>
          <w:sz w:val="21"/>
        </w:rPr>
      </w:pPr>
      <w:r>
        <w:rPr>
          <w:spacing w:val="-3"/>
          <w:sz w:val="21"/>
        </w:rPr>
        <w:t>清偿基金债务。</w:t>
      </w:r>
    </w:p>
    <w:p>
      <w:pPr>
        <w:pStyle w:val="ListParagraph"/>
        <w:numPr>
          <w:ilvl w:val="0"/>
          <w:numId w:val="30"/>
        </w:numPr>
        <w:tabs>
          <w:tab w:pos="1170" w:val="left" w:leader="none"/>
        </w:tabs>
        <w:spacing w:line="240" w:lineRule="auto" w:before="192" w:after="0"/>
        <w:ind w:left="1169" w:right="0" w:hanging="530"/>
        <w:jc w:val="left"/>
        <w:rPr>
          <w:sz w:val="21"/>
        </w:rPr>
      </w:pPr>
      <w:r>
        <w:rPr>
          <w:spacing w:val="-3"/>
          <w:sz w:val="21"/>
        </w:rPr>
        <w:t>按基金份额持有人持有的基金份额比例进行分配。</w:t>
      </w:r>
    </w:p>
    <w:p>
      <w:pPr>
        <w:pStyle w:val="BodyText"/>
        <w:spacing w:line="410" w:lineRule="auto" w:before="189"/>
        <w:ind w:right="986"/>
      </w:pPr>
      <w:r>
        <w:rPr>
          <w:spacing w:val="-3"/>
          <w:w w:val="100"/>
        </w:rPr>
        <w:t>基金财产未按前款（</w:t>
      </w:r>
      <w:r>
        <w:rPr>
          <w:rFonts w:ascii="Times New Roman" w:eastAsia="Times New Roman"/>
          <w:w w:val="100"/>
        </w:rPr>
        <w:t>1</w:t>
      </w:r>
      <w:r>
        <w:rPr>
          <w:spacing w:val="-106"/>
          <w:w w:val="100"/>
        </w:rPr>
        <w:t>）</w:t>
      </w:r>
      <w:r>
        <w:rPr>
          <w:spacing w:val="-3"/>
          <w:w w:val="100"/>
        </w:rPr>
        <w:t>、</w:t>
      </w:r>
      <w:r>
        <w:rPr>
          <w:w w:val="100"/>
        </w:rPr>
        <w:t>（</w:t>
      </w:r>
      <w:r>
        <w:rPr>
          <w:rFonts w:ascii="Times New Roman" w:eastAsia="Times New Roman"/>
          <w:w w:val="100"/>
        </w:rPr>
        <w:t>2</w:t>
      </w:r>
      <w:r>
        <w:rPr>
          <w:spacing w:val="-106"/>
          <w:w w:val="100"/>
        </w:rPr>
        <w:t>）</w:t>
      </w:r>
      <w:r>
        <w:rPr>
          <w:spacing w:val="-3"/>
          <w:w w:val="100"/>
        </w:rPr>
        <w:t>、</w:t>
      </w:r>
      <w:r>
        <w:rPr>
          <w:w w:val="100"/>
        </w:rPr>
        <w:t>（</w:t>
      </w:r>
      <w:r>
        <w:rPr>
          <w:rFonts w:ascii="Times New Roman" w:eastAsia="Times New Roman"/>
          <w:spacing w:val="-3"/>
          <w:w w:val="100"/>
        </w:rPr>
        <w:t>3</w:t>
      </w:r>
      <w:r>
        <w:rPr>
          <w:w w:val="100"/>
        </w:rPr>
        <w:t>）</w:t>
      </w:r>
      <w:r>
        <w:rPr>
          <w:spacing w:val="-3"/>
          <w:w w:val="100"/>
        </w:rPr>
        <w:t>项规定清偿前，不分配给基金份额持有人。  </w:t>
      </w:r>
      <w:r>
        <w:rPr>
          <w:spacing w:val="-3"/>
        </w:rPr>
        <w:t>对于基金缴存于中国证券登记结算有限责任公司的最低结算备付金和交易席位保证金</w:t>
      </w:r>
    </w:p>
    <w:p>
      <w:pPr>
        <w:pStyle w:val="BodyText"/>
        <w:spacing w:line="268" w:lineRule="exact"/>
        <w:ind w:left="220"/>
      </w:pPr>
      <w:r>
        <w:rPr/>
        <w:t>等，在中国证券登记结算有限责任公司对其进行调整后方可收回。</w:t>
      </w:r>
    </w:p>
    <w:p>
      <w:pPr>
        <w:pStyle w:val="BodyText"/>
        <w:spacing w:before="7"/>
        <w:ind w:left="0"/>
        <w:rPr>
          <w:sz w:val="14"/>
        </w:rPr>
      </w:pPr>
    </w:p>
    <w:p>
      <w:pPr>
        <w:pStyle w:val="BodyText"/>
        <w:spacing w:before="1"/>
      </w:pPr>
      <w:r>
        <w:rPr>
          <w:rFonts w:ascii="Times New Roman" w:eastAsia="Times New Roman"/>
        </w:rPr>
        <w:t>6</w:t>
      </w:r>
      <w:r>
        <w:rPr/>
        <w:t>、基金财产清算的公告</w:t>
      </w:r>
    </w:p>
    <w:p>
      <w:pPr>
        <w:pStyle w:val="BodyText"/>
        <w:spacing w:line="408" w:lineRule="auto" w:before="191"/>
        <w:ind w:left="220" w:right="881" w:firstLine="419"/>
      </w:pPr>
      <w:r>
        <w:rPr>
          <w:spacing w:val="-8"/>
        </w:rPr>
        <w:t>基金财产清算组做出的清算报告经会计师事务所审计，律师事务所出具法律意见书后， </w:t>
      </w:r>
      <w:r>
        <w:rPr>
          <w:spacing w:val="-5"/>
        </w:rPr>
        <w:t>报中国证监会备案并公告。</w:t>
      </w:r>
    </w:p>
    <w:p>
      <w:pPr>
        <w:pStyle w:val="BodyText"/>
        <w:spacing w:before="3"/>
      </w:pPr>
      <w:r>
        <w:rPr>
          <w:rFonts w:ascii="Times New Roman" w:eastAsia="Times New Roman"/>
        </w:rPr>
        <w:t>7</w:t>
      </w:r>
      <w:r>
        <w:rPr/>
        <w:t>、基金财产清算账册及文件由基金托管人保存二十年以上。</w:t>
      </w:r>
    </w:p>
    <w:p>
      <w:pPr>
        <w:pStyle w:val="BodyText"/>
        <w:ind w:left="0"/>
        <w:rPr>
          <w:sz w:val="22"/>
        </w:rPr>
      </w:pPr>
    </w:p>
    <w:p>
      <w:pPr>
        <w:pStyle w:val="BodyText"/>
        <w:spacing w:before="9"/>
        <w:ind w:left="0"/>
        <w:rPr>
          <w:sz w:val="19"/>
        </w:rPr>
      </w:pPr>
    </w:p>
    <w:p>
      <w:pPr>
        <w:pStyle w:val="Heading1"/>
      </w:pPr>
      <w:bookmarkStart w:name="_bookmark16" w:id="17"/>
      <w:bookmarkEnd w:id="17"/>
      <w:r>
        <w:rPr>
          <w:b w:val="0"/>
        </w:rPr>
      </w:r>
      <w:r>
        <w:rPr/>
        <w:t>十七、基金托管人</w:t>
      </w:r>
    </w:p>
    <w:p>
      <w:pPr>
        <w:pStyle w:val="BodyText"/>
        <w:ind w:left="0"/>
        <w:rPr>
          <w:b/>
          <w:sz w:val="20"/>
        </w:rPr>
      </w:pPr>
    </w:p>
    <w:p>
      <w:pPr>
        <w:pStyle w:val="BodyText"/>
        <w:spacing w:before="3"/>
        <w:ind w:left="0"/>
        <w:rPr>
          <w:b/>
        </w:rPr>
      </w:pPr>
    </w:p>
    <w:p>
      <w:pPr>
        <w:pStyle w:val="BodyText"/>
      </w:pPr>
      <w:r>
        <w:rPr/>
        <w:t>（一）基本情况</w:t>
      </w:r>
    </w:p>
    <w:p>
      <w:pPr>
        <w:pStyle w:val="BodyText"/>
        <w:spacing w:before="6"/>
        <w:ind w:left="0"/>
        <w:rPr>
          <w:sz w:val="15"/>
        </w:rPr>
      </w:pPr>
    </w:p>
    <w:p>
      <w:pPr>
        <w:pStyle w:val="BodyText"/>
        <w:spacing w:line="417" w:lineRule="auto"/>
        <w:ind w:right="4162"/>
      </w:pPr>
      <w:r>
        <w:rPr/>
        <w:t>名称：中国银行股份有限公司（简称</w:t>
      </w:r>
      <w:r>
        <w:rPr>
          <w:rFonts w:ascii="Times New Roman" w:hAnsi="Times New Roman" w:eastAsia="Times New Roman"/>
        </w:rPr>
        <w:t>“</w:t>
      </w:r>
      <w:r>
        <w:rPr/>
        <w:t>中国银行</w:t>
      </w:r>
      <w:r>
        <w:rPr>
          <w:rFonts w:ascii="Times New Roman" w:hAnsi="Times New Roman" w:eastAsia="Times New Roman"/>
        </w:rPr>
        <w:t>”</w:t>
      </w:r>
      <w:r>
        <w:rPr/>
        <w:t>） 住所及办公地址：北京市西城区复兴门内大街</w:t>
      </w:r>
      <w:r>
        <w:rPr>
          <w:rFonts w:ascii="Times New Roman" w:hAnsi="Times New Roman" w:eastAsia="Times New Roman"/>
        </w:rPr>
        <w:t>1</w:t>
      </w:r>
      <w:r>
        <w:rPr/>
        <w:t>号首次注册登记日期：</w:t>
      </w:r>
      <w:r>
        <w:rPr>
          <w:rFonts w:ascii="Times New Roman" w:hAnsi="Times New Roman" w:eastAsia="Times New Roman"/>
        </w:rPr>
        <w:t>1983</w:t>
      </w:r>
      <w:r>
        <w:rPr/>
        <w:t>年</w:t>
      </w:r>
      <w:r>
        <w:rPr>
          <w:rFonts w:ascii="Times New Roman" w:hAnsi="Times New Roman" w:eastAsia="Times New Roman"/>
        </w:rPr>
        <w:t>10</w:t>
      </w:r>
      <w:r>
        <w:rPr/>
        <w:t>月</w:t>
      </w:r>
      <w:r>
        <w:rPr>
          <w:rFonts w:ascii="Times New Roman" w:hAnsi="Times New Roman" w:eastAsia="Times New Roman"/>
        </w:rPr>
        <w:t>31</w:t>
      </w:r>
      <w:r>
        <w:rPr/>
        <w:t>日</w:t>
      </w:r>
    </w:p>
    <w:p>
      <w:pPr>
        <w:pStyle w:val="BodyText"/>
        <w:spacing w:line="417" w:lineRule="auto" w:before="1"/>
        <w:ind w:right="1826"/>
      </w:pPr>
      <w:r>
        <w:rPr/>
        <w:t>注册资本：人民币贰仟玖佰肆拾叁亿捌仟柒佰柒拾玖万壹仟贰佰肆拾壹元整法定代表人：刘连舸</w:t>
      </w:r>
    </w:p>
    <w:p>
      <w:pPr>
        <w:pStyle w:val="BodyText"/>
        <w:spacing w:line="417" w:lineRule="auto"/>
        <w:ind w:right="3195"/>
      </w:pPr>
      <w:r>
        <w:rPr/>
        <w:t>基金托管业务批准文号：中国证监会证监基字【</w:t>
      </w:r>
      <w:r>
        <w:rPr>
          <w:rFonts w:ascii="Times New Roman" w:eastAsia="Times New Roman"/>
        </w:rPr>
        <w:t>1998</w:t>
      </w:r>
      <w:r>
        <w:rPr/>
        <w:t>】</w:t>
      </w:r>
      <w:r>
        <w:rPr>
          <w:rFonts w:ascii="Times New Roman" w:eastAsia="Times New Roman"/>
        </w:rPr>
        <w:t>24 </w:t>
      </w:r>
      <w:r>
        <w:rPr/>
        <w:t>号托管部门信息披露联系人：许俊</w:t>
      </w:r>
    </w:p>
    <w:p>
      <w:pPr>
        <w:pStyle w:val="BodyText"/>
        <w:spacing w:line="269" w:lineRule="exact"/>
        <w:rPr>
          <w:rFonts w:ascii="Times New Roman" w:eastAsia="Times New Roman"/>
        </w:rPr>
      </w:pPr>
      <w:r>
        <w:rPr>
          <w:spacing w:val="-36"/>
          <w:w w:val="100"/>
        </w:rPr>
        <w:t>传真：</w:t>
      </w:r>
      <w:r>
        <w:rPr>
          <w:spacing w:val="-1"/>
          <w:w w:val="100"/>
        </w:rPr>
        <w:t>（</w:t>
      </w:r>
      <w:r>
        <w:rPr>
          <w:rFonts w:ascii="Times New Roman" w:eastAsia="Times New Roman"/>
          <w:w w:val="100"/>
        </w:rPr>
        <w:t>01</w:t>
      </w:r>
      <w:r>
        <w:rPr>
          <w:rFonts w:ascii="Times New Roman" w:eastAsia="Times New Roman"/>
          <w:spacing w:val="-3"/>
          <w:w w:val="100"/>
        </w:rPr>
        <w:t>0</w:t>
      </w:r>
      <w:r>
        <w:rPr>
          <w:w w:val="100"/>
        </w:rPr>
        <w:t>）</w:t>
      </w:r>
      <w:r>
        <w:rPr>
          <w:rFonts w:ascii="Times New Roman" w:eastAsia="Times New Roman"/>
          <w:w w:val="100"/>
        </w:rPr>
        <w:t>6</w:t>
      </w:r>
      <w:r>
        <w:rPr>
          <w:rFonts w:ascii="Times New Roman" w:eastAsia="Times New Roman"/>
          <w:spacing w:val="-3"/>
          <w:w w:val="100"/>
        </w:rPr>
        <w:t>6</w:t>
      </w:r>
      <w:r>
        <w:rPr>
          <w:rFonts w:ascii="Times New Roman" w:eastAsia="Times New Roman"/>
          <w:w w:val="100"/>
        </w:rPr>
        <w:t>594</w:t>
      </w:r>
      <w:r>
        <w:rPr>
          <w:rFonts w:ascii="Times New Roman" w:eastAsia="Times New Roman"/>
          <w:spacing w:val="-3"/>
          <w:w w:val="100"/>
        </w:rPr>
        <w:t>9</w:t>
      </w:r>
      <w:r>
        <w:rPr>
          <w:rFonts w:ascii="Times New Roman" w:eastAsia="Times New Roman"/>
          <w:w w:val="100"/>
        </w:rPr>
        <w:t>42</w:t>
      </w:r>
    </w:p>
    <w:p>
      <w:pPr>
        <w:pStyle w:val="BodyText"/>
        <w:spacing w:before="2"/>
        <w:ind w:left="0"/>
        <w:rPr>
          <w:rFonts w:ascii="Times New Roman"/>
          <w:sz w:val="17"/>
        </w:rPr>
      </w:pPr>
    </w:p>
    <w:p>
      <w:pPr>
        <w:pStyle w:val="BodyText"/>
        <w:spacing w:before="1"/>
        <w:rPr>
          <w:rFonts w:ascii="Times New Roman" w:eastAsia="Times New Roman"/>
        </w:rPr>
      </w:pPr>
      <w:r>
        <w:rPr/>
        <w:t>中国银行客服电话：</w:t>
      </w:r>
      <w:r>
        <w:rPr>
          <w:rFonts w:ascii="Times New Roman" w:eastAsia="Times New Roman"/>
        </w:rPr>
        <w:t>95566</w:t>
      </w:r>
    </w:p>
    <w:p>
      <w:pPr>
        <w:pStyle w:val="BodyText"/>
        <w:spacing w:before="3"/>
        <w:ind w:left="0"/>
        <w:rPr>
          <w:rFonts w:ascii="Times New Roman"/>
          <w:sz w:val="17"/>
        </w:rPr>
      </w:pPr>
    </w:p>
    <w:p>
      <w:pPr>
        <w:pStyle w:val="BodyText"/>
        <w:spacing w:before="1"/>
      </w:pPr>
      <w:r>
        <w:rPr/>
        <w:t>（二）基金托管部门及主要人员情况</w:t>
      </w:r>
    </w:p>
    <w:p>
      <w:pPr>
        <w:spacing w:after="0"/>
        <w:sectPr>
          <w:pgSz w:w="11910" w:h="16840"/>
          <w:pgMar w:header="705" w:footer="683" w:top="1420" w:bottom="880" w:left="1580" w:right="920"/>
        </w:sectPr>
      </w:pPr>
    </w:p>
    <w:p>
      <w:pPr>
        <w:pStyle w:val="BodyText"/>
        <w:spacing w:line="417" w:lineRule="auto" w:before="110"/>
        <w:ind w:left="220" w:right="881" w:firstLine="419"/>
      </w:pPr>
      <w:r>
        <w:rPr>
          <w:spacing w:val="-3"/>
        </w:rPr>
        <w:t>中国银行托管业务部设立于</w:t>
      </w:r>
      <w:r>
        <w:rPr>
          <w:rFonts w:ascii="Times New Roman" w:eastAsia="Times New Roman"/>
        </w:rPr>
        <w:t>1998</w:t>
      </w:r>
      <w:r>
        <w:rPr>
          <w:spacing w:val="-2"/>
        </w:rPr>
        <w:t>年，现有员工</w:t>
      </w:r>
      <w:r>
        <w:rPr>
          <w:rFonts w:ascii="Times New Roman" w:eastAsia="Times New Roman"/>
          <w:spacing w:val="-4"/>
        </w:rPr>
        <w:t>110</w:t>
      </w:r>
      <w:r>
        <w:rPr>
          <w:spacing w:val="-3"/>
        </w:rPr>
        <w:t>余人，大部分员工具有丰富的银行、证券、基金、信托从业经验，且具有海外工作、学习或培训经历，</w:t>
      </w:r>
      <w:r>
        <w:rPr>
          <w:rFonts w:ascii="Times New Roman" w:eastAsia="Times New Roman"/>
        </w:rPr>
        <w:t>60</w:t>
      </w:r>
      <w:r>
        <w:rPr>
          <w:spacing w:val="-3"/>
        </w:rPr>
        <w:t>％以上的员工具有硕士以上学位或高级职称。为给客户提供专业化的托管服务，中国银行已在境内、外分行开展托管业务。</w:t>
      </w:r>
    </w:p>
    <w:p>
      <w:pPr>
        <w:pStyle w:val="BodyText"/>
        <w:spacing w:line="417" w:lineRule="auto"/>
        <w:ind w:left="220" w:right="986" w:firstLine="419"/>
        <w:jc w:val="both"/>
      </w:pPr>
      <w:r>
        <w:rPr>
          <w:spacing w:val="-3"/>
        </w:rPr>
        <w:t>作为国内首批开展证券投资基金托管业务的商业银行，中国银行拥有证券投资基金、基金（一对多、一对一</w:t>
      </w:r>
      <w:r>
        <w:rPr>
          <w:spacing w:val="-106"/>
        </w:rPr>
        <w:t>）</w:t>
      </w:r>
      <w:r>
        <w:rPr>
          <w:spacing w:val="-5"/>
        </w:rPr>
        <w:t>、社保基金、保险资金、</w:t>
      </w:r>
      <w:r>
        <w:rPr>
          <w:rFonts w:ascii="Times New Roman" w:eastAsia="Times New Roman"/>
        </w:rPr>
        <w:t>QFII</w:t>
      </w:r>
      <w:r>
        <w:rPr>
          <w:spacing w:val="-5"/>
        </w:rPr>
        <w:t>、</w:t>
      </w:r>
      <w:r>
        <w:rPr>
          <w:rFonts w:ascii="Times New Roman" w:eastAsia="Times New Roman"/>
        </w:rPr>
        <w:t>RQFII</w:t>
      </w:r>
      <w:r>
        <w:rPr>
          <w:spacing w:val="-5"/>
        </w:rPr>
        <w:t>、</w:t>
      </w:r>
      <w:r>
        <w:rPr>
          <w:rFonts w:ascii="Times New Roman" w:eastAsia="Times New Roman"/>
        </w:rPr>
        <w:t>QDII</w:t>
      </w:r>
      <w:r>
        <w:rPr>
          <w:spacing w:val="-4"/>
        </w:rPr>
        <w:t>、境外三类机构、券</w:t>
      </w:r>
      <w:r>
        <w:rPr>
          <w:spacing w:val="-3"/>
        </w:rPr>
        <w:t>商资产管理计划、信托计划、企业年金、银行理财产品、股权基金、私募基金、资金托管等门类齐全、产品丰富的托管业务体系。在国内，中国银行首家开展绩效评估、风险分析等增值服务，为各类客户提供个性化的托管增值服务，是国内领先的大型中资托管银行。</w:t>
      </w:r>
    </w:p>
    <w:p>
      <w:pPr>
        <w:pStyle w:val="BodyText"/>
        <w:spacing w:line="269" w:lineRule="exact"/>
      </w:pPr>
      <w:r>
        <w:rPr/>
        <w:t>（三）证券投资基金托管情况</w:t>
      </w:r>
    </w:p>
    <w:p>
      <w:pPr>
        <w:pStyle w:val="BodyText"/>
        <w:spacing w:before="6"/>
        <w:ind w:left="0"/>
        <w:rPr>
          <w:sz w:val="15"/>
        </w:rPr>
      </w:pPr>
    </w:p>
    <w:p>
      <w:pPr>
        <w:pStyle w:val="BodyText"/>
        <w:spacing w:line="417" w:lineRule="auto"/>
        <w:ind w:left="220" w:right="988" w:firstLine="419"/>
        <w:jc w:val="both"/>
      </w:pPr>
      <w:r>
        <w:rPr/>
        <w:t>截至</w:t>
      </w:r>
      <w:r>
        <w:rPr>
          <w:rFonts w:ascii="Times New Roman" w:eastAsia="Times New Roman"/>
        </w:rPr>
        <w:t>2020</w:t>
      </w:r>
      <w:r>
        <w:rPr>
          <w:spacing w:val="-3"/>
        </w:rPr>
        <w:t>年</w:t>
      </w:r>
      <w:r>
        <w:rPr>
          <w:rFonts w:ascii="Times New Roman" w:eastAsia="Times New Roman"/>
        </w:rPr>
        <w:t>6</w:t>
      </w:r>
      <w:r>
        <w:rPr/>
        <w:t>月</w:t>
      </w:r>
      <w:r>
        <w:rPr>
          <w:rFonts w:ascii="Times New Roman" w:eastAsia="Times New Roman"/>
        </w:rPr>
        <w:t>30</w:t>
      </w:r>
      <w:r>
        <w:rPr>
          <w:spacing w:val="-8"/>
        </w:rPr>
        <w:t>日，中国银行已托管</w:t>
      </w:r>
      <w:r>
        <w:rPr>
          <w:rFonts w:ascii="Times New Roman" w:eastAsia="Times New Roman"/>
        </w:rPr>
        <w:t>830</w:t>
      </w:r>
      <w:r>
        <w:rPr>
          <w:spacing w:val="-8"/>
        </w:rPr>
        <w:t>只证券投资基金，其中境内基金</w:t>
      </w:r>
      <w:r>
        <w:rPr>
          <w:rFonts w:ascii="Times New Roman" w:eastAsia="Times New Roman"/>
        </w:rPr>
        <w:t>783</w:t>
      </w:r>
      <w:r>
        <w:rPr>
          <w:spacing w:val="-7"/>
        </w:rPr>
        <w:t>只，</w:t>
      </w:r>
      <w:r>
        <w:rPr>
          <w:rFonts w:ascii="Times New Roman" w:eastAsia="Times New Roman"/>
          <w:spacing w:val="-10"/>
        </w:rPr>
        <w:t>QDII </w:t>
      </w:r>
      <w:r>
        <w:rPr/>
        <w:t>基金</w:t>
      </w:r>
      <w:r>
        <w:rPr>
          <w:rFonts w:ascii="Times New Roman" w:eastAsia="Times New Roman"/>
        </w:rPr>
        <w:t>47</w:t>
      </w:r>
      <w:r>
        <w:rPr>
          <w:spacing w:val="-2"/>
        </w:rPr>
        <w:t>只，覆盖了股票型、债券型、混合型、货币型、指数型、</w:t>
      </w:r>
      <w:r>
        <w:rPr>
          <w:rFonts w:ascii="Times New Roman" w:eastAsia="Times New Roman"/>
          <w:spacing w:val="-3"/>
        </w:rPr>
        <w:t>FOF</w:t>
      </w:r>
      <w:r>
        <w:rPr>
          <w:spacing w:val="-2"/>
        </w:rPr>
        <w:t>等多种类型的基金， </w:t>
      </w:r>
      <w:r>
        <w:rPr>
          <w:spacing w:val="-3"/>
        </w:rPr>
        <w:t>满足了不同客户多元化的投资理财需求，基金托管规模位居同业前列。</w:t>
      </w:r>
    </w:p>
    <w:p>
      <w:pPr>
        <w:pStyle w:val="BodyText"/>
        <w:spacing w:line="269" w:lineRule="exact"/>
      </w:pPr>
      <w:r>
        <w:rPr/>
        <w:t>（四）托管业务的内部控制制度</w:t>
      </w:r>
    </w:p>
    <w:p>
      <w:pPr>
        <w:pStyle w:val="BodyText"/>
        <w:spacing w:before="7"/>
        <w:ind w:left="0"/>
        <w:rPr>
          <w:sz w:val="15"/>
        </w:rPr>
      </w:pPr>
    </w:p>
    <w:p>
      <w:pPr>
        <w:pStyle w:val="BodyText"/>
        <w:spacing w:line="417" w:lineRule="auto"/>
        <w:ind w:left="220" w:right="986" w:firstLine="419"/>
        <w:jc w:val="both"/>
      </w:pPr>
      <w:r>
        <w:rPr/>
        <w:t>中国银行托管业务部风险管理与控制工作是中国银行全面风险控制工作的组成部分， 秉承中国银行风险控制理念，坚持</w:t>
      </w:r>
      <w:r>
        <w:rPr>
          <w:rFonts w:ascii="Times New Roman" w:hAnsi="Times New Roman" w:eastAsia="Times New Roman"/>
        </w:rPr>
        <w:t>“</w:t>
      </w:r>
      <w:r>
        <w:rPr/>
        <w:t>规范运作、稳健经营</w:t>
      </w:r>
      <w:r>
        <w:rPr>
          <w:rFonts w:ascii="Times New Roman" w:hAnsi="Times New Roman" w:eastAsia="Times New Roman"/>
        </w:rPr>
        <w:t>”</w:t>
      </w:r>
      <w:r>
        <w:rPr/>
        <w:t>的原则。中国银行托管业务部风险控制工作贯穿业务各环节，通过风险识别与评估、风险控制措施设定及制度建设、内外部检查及审计等措施强化托管业务全员、全面、全程的风险管控。</w:t>
      </w:r>
    </w:p>
    <w:p>
      <w:pPr>
        <w:pStyle w:val="BodyText"/>
        <w:spacing w:line="417" w:lineRule="auto"/>
        <w:ind w:left="220" w:right="881" w:firstLine="419"/>
      </w:pPr>
      <w:r>
        <w:rPr>
          <w:rFonts w:ascii="Times New Roman" w:hAnsi="Times New Roman" w:eastAsia="Times New Roman"/>
        </w:rPr>
        <w:t>2007</w:t>
      </w:r>
      <w:r>
        <w:rPr>
          <w:spacing w:val="-13"/>
        </w:rPr>
        <w:t>年起，中国银行连续聘请外部会计会计师事务所开展托管业务内部控制审阅工作。</w:t>
      </w:r>
      <w:r>
        <w:rPr>
          <w:spacing w:val="-5"/>
        </w:rPr>
        <w:t>先后获得基于 </w:t>
      </w:r>
      <w:r>
        <w:rPr>
          <w:rFonts w:ascii="Times New Roman" w:hAnsi="Times New Roman" w:eastAsia="Times New Roman"/>
        </w:rPr>
        <w:t>“SAS70”</w:t>
      </w:r>
      <w:r>
        <w:rPr>
          <w:spacing w:val="-17"/>
        </w:rPr>
        <w:t>、</w:t>
      </w:r>
      <w:r>
        <w:rPr>
          <w:rFonts w:ascii="Times New Roman" w:hAnsi="Times New Roman" w:eastAsia="Times New Roman"/>
        </w:rPr>
        <w:t>“AAF01/06”</w:t>
      </w:r>
      <w:r>
        <w:rPr>
          <w:rFonts w:ascii="Times New Roman" w:hAnsi="Times New Roman" w:eastAsia="Times New Roman"/>
          <w:spacing w:val="1"/>
        </w:rPr>
        <w:t> “</w:t>
      </w:r>
      <w:r>
        <w:rPr>
          <w:rFonts w:ascii="Times New Roman" w:hAnsi="Times New Roman" w:eastAsia="Times New Roman"/>
        </w:rPr>
        <w:t>ISAE3402”</w:t>
      </w:r>
      <w:r>
        <w:rPr/>
        <w:t>和</w:t>
      </w:r>
      <w:r>
        <w:rPr>
          <w:rFonts w:ascii="Times New Roman" w:hAnsi="Times New Roman" w:eastAsia="Times New Roman"/>
        </w:rPr>
        <w:t>“SSAE16”</w:t>
      </w:r>
      <w:r>
        <w:rPr>
          <w:spacing w:val="-3"/>
        </w:rPr>
        <w:t>等国际主流内控审阅准则的</w:t>
      </w:r>
      <w:r>
        <w:rPr>
          <w:spacing w:val="-7"/>
        </w:rPr>
        <w:t>无保留意见的审阅报告。</w:t>
      </w:r>
      <w:r>
        <w:rPr>
          <w:rFonts w:ascii="Times New Roman" w:hAnsi="Times New Roman" w:eastAsia="Times New Roman"/>
        </w:rPr>
        <w:t>2017</w:t>
      </w:r>
      <w:r>
        <w:rPr>
          <w:spacing w:val="-8"/>
        </w:rPr>
        <w:t>年，中国银行继续获得了基于</w:t>
      </w:r>
      <w:r>
        <w:rPr>
          <w:rFonts w:ascii="Times New Roman" w:hAnsi="Times New Roman" w:eastAsia="Times New Roman"/>
        </w:rPr>
        <w:t>“ISAE3402”</w:t>
      </w:r>
      <w:r>
        <w:rPr/>
        <w:t>和</w:t>
      </w:r>
      <w:r>
        <w:rPr>
          <w:rFonts w:ascii="Times New Roman" w:hAnsi="Times New Roman" w:eastAsia="Times New Roman"/>
        </w:rPr>
        <w:t>“SSAE16”</w:t>
      </w:r>
      <w:r>
        <w:rPr>
          <w:spacing w:val="-2"/>
        </w:rPr>
        <w:t>双准则</w:t>
      </w:r>
      <w:r>
        <w:rPr>
          <w:spacing w:val="-3"/>
        </w:rPr>
        <w:t>的内部控制审计报告。中国银行托管业务内控制度完善，内控措施严密，能够有效保证托管资产的安全。</w:t>
      </w:r>
    </w:p>
    <w:p>
      <w:pPr>
        <w:pStyle w:val="BodyText"/>
        <w:spacing w:line="269" w:lineRule="exact"/>
      </w:pPr>
      <w:r>
        <w:rPr/>
        <w:t>（五）托管人对管理人运作基金进行监督的方法和程序</w:t>
      </w:r>
    </w:p>
    <w:p>
      <w:pPr>
        <w:pStyle w:val="BodyText"/>
        <w:spacing w:before="6"/>
        <w:ind w:left="0"/>
        <w:rPr>
          <w:sz w:val="15"/>
        </w:rPr>
      </w:pPr>
    </w:p>
    <w:p>
      <w:pPr>
        <w:pStyle w:val="BodyText"/>
        <w:spacing w:line="417" w:lineRule="auto"/>
        <w:ind w:left="220" w:right="986" w:firstLine="419"/>
        <w:jc w:val="both"/>
      </w:pPr>
      <w:r>
        <w:rPr>
          <w:spacing w:val="-15"/>
        </w:rPr>
        <w:t>根据《中华人民共和国证券投资基金法》、《公开募集证券投资基金运作管理办法》的</w:t>
      </w:r>
      <w:r>
        <w:rPr>
          <w:spacing w:val="-7"/>
        </w:rPr>
        <w:t>相关规定，基金托管人发现基金管理人的投资指令违反法律、行政法规和其他有关规定， </w:t>
      </w:r>
      <w:r>
        <w:rPr>
          <w:spacing w:val="-5"/>
        </w:rPr>
        <w:t>或者违反基金合同约定的，应当拒绝执行，及时通知基金管理人，并及时向国务院证券监</w:t>
      </w:r>
      <w:r>
        <w:rPr>
          <w:spacing w:val="-4"/>
        </w:rPr>
        <w:t>督管理机构报告。基金托管人如发现基金管理人依据交易程序已经生效的投资指令违反法</w:t>
      </w:r>
      <w:r>
        <w:rPr>
          <w:spacing w:val="-7"/>
        </w:rPr>
        <w:t>律、行政法规和其他有关规定，或者违反基金合同约定的</w:t>
      </w:r>
      <w:r>
        <w:rPr>
          <w:rFonts w:ascii="Times New Roman" w:eastAsia="Times New Roman"/>
        </w:rPr>
        <w:t>,</w:t>
      </w:r>
      <w:r>
        <w:rPr>
          <w:spacing w:val="-5"/>
        </w:rPr>
        <w:t>应当及时通知基金管理人，并及</w:t>
      </w:r>
      <w:r>
        <w:rPr>
          <w:spacing w:val="-4"/>
        </w:rPr>
        <w:t>时向国务院证券监督管理机构报告。</w:t>
      </w:r>
    </w:p>
    <w:p>
      <w:pPr>
        <w:spacing w:after="0" w:line="417" w:lineRule="auto"/>
        <w:jc w:val="both"/>
        <w:sectPr>
          <w:pgSz w:w="11910" w:h="16840"/>
          <w:pgMar w:header="705" w:footer="683" w:top="1420" w:bottom="880" w:left="1580" w:right="920"/>
        </w:sectPr>
      </w:pPr>
    </w:p>
    <w:p>
      <w:pPr>
        <w:pStyle w:val="Heading1"/>
        <w:spacing w:before="110"/>
        <w:ind w:left="1350"/>
      </w:pPr>
      <w:bookmarkStart w:name="_bookmark17" w:id="18"/>
      <w:bookmarkEnd w:id="18"/>
      <w:r>
        <w:rPr>
          <w:b w:val="0"/>
        </w:rPr>
      </w:r>
      <w:r>
        <w:rPr/>
        <w:t>十八、境外资产托管人</w:t>
      </w:r>
    </w:p>
    <w:p>
      <w:pPr>
        <w:pStyle w:val="BodyText"/>
        <w:ind w:left="0"/>
        <w:rPr>
          <w:b/>
          <w:sz w:val="20"/>
        </w:rPr>
      </w:pPr>
    </w:p>
    <w:p>
      <w:pPr>
        <w:pStyle w:val="BodyText"/>
        <w:spacing w:before="2"/>
        <w:ind w:left="0"/>
        <w:rPr>
          <w:b/>
        </w:rPr>
      </w:pPr>
    </w:p>
    <w:p>
      <w:pPr>
        <w:pStyle w:val="BodyText"/>
      </w:pPr>
      <w:r>
        <w:rPr/>
        <w:t>（一）境外资产托管人基本情况</w:t>
      </w:r>
    </w:p>
    <w:p>
      <w:pPr>
        <w:pStyle w:val="BodyText"/>
        <w:spacing w:before="7"/>
        <w:ind w:left="0"/>
        <w:rPr>
          <w:sz w:val="15"/>
        </w:rPr>
      </w:pPr>
    </w:p>
    <w:p>
      <w:pPr>
        <w:pStyle w:val="BodyText"/>
        <w:spacing w:line="417" w:lineRule="auto"/>
        <w:ind w:right="3744"/>
      </w:pPr>
      <w:r>
        <w:rPr/>
        <w:t>名称：中国银行（香港）有限公司（简称</w:t>
      </w:r>
      <w:r>
        <w:rPr>
          <w:rFonts w:ascii="Times New Roman" w:hAnsi="Times New Roman" w:eastAsia="Times New Roman"/>
        </w:rPr>
        <w:t>“</w:t>
      </w:r>
      <w:r>
        <w:rPr/>
        <w:t>中银香港</w:t>
      </w:r>
      <w:r>
        <w:rPr>
          <w:rFonts w:ascii="Times New Roman" w:hAnsi="Times New Roman" w:eastAsia="Times New Roman"/>
        </w:rPr>
        <w:t>”</w:t>
      </w:r>
      <w:r>
        <w:rPr/>
        <w:t>） 注册地址：香港中环花园道 </w:t>
      </w:r>
      <w:r>
        <w:rPr>
          <w:rFonts w:ascii="Times New Roman" w:hAnsi="Times New Roman" w:eastAsia="Times New Roman"/>
        </w:rPr>
        <w:t>1 </w:t>
      </w:r>
      <w:r>
        <w:rPr/>
        <w:t>号中银大厦</w:t>
      </w:r>
    </w:p>
    <w:p>
      <w:pPr>
        <w:pStyle w:val="BodyText"/>
        <w:spacing w:line="417" w:lineRule="auto"/>
        <w:ind w:right="4917"/>
      </w:pPr>
      <w:r>
        <w:rPr/>
        <w:t>办公地址：香港中环花园道 </w:t>
      </w:r>
      <w:r>
        <w:rPr>
          <w:rFonts w:ascii="Times New Roman" w:eastAsia="Times New Roman"/>
        </w:rPr>
        <w:t>1 </w:t>
      </w:r>
      <w:r>
        <w:rPr/>
        <w:t>号中银大厦法定代表人：岳毅</w:t>
      </w:r>
    </w:p>
    <w:p>
      <w:pPr>
        <w:pStyle w:val="BodyText"/>
        <w:spacing w:line="417" w:lineRule="auto"/>
        <w:ind w:right="5979"/>
      </w:pPr>
      <w:r>
        <w:rPr>
          <w:spacing w:val="-1"/>
        </w:rPr>
        <w:t>成立时间：</w:t>
      </w:r>
      <w:r>
        <w:rPr>
          <w:rFonts w:ascii="Times New Roman" w:eastAsia="Times New Roman"/>
        </w:rPr>
        <w:t>1964 </w:t>
      </w:r>
      <w:r>
        <w:rPr>
          <w:spacing w:val="-26"/>
        </w:rPr>
        <w:t>年 </w:t>
      </w:r>
      <w:r>
        <w:rPr>
          <w:rFonts w:ascii="Times New Roman" w:eastAsia="Times New Roman"/>
        </w:rPr>
        <w:t>10 </w:t>
      </w:r>
      <w:r>
        <w:rPr>
          <w:spacing w:val="-27"/>
        </w:rPr>
        <w:t>月 </w:t>
      </w:r>
      <w:r>
        <w:rPr>
          <w:rFonts w:ascii="Times New Roman" w:eastAsia="Times New Roman"/>
        </w:rPr>
        <w:t>16 </w:t>
      </w:r>
      <w:r>
        <w:rPr>
          <w:spacing w:val="-13"/>
        </w:rPr>
        <w:t>日</w:t>
      </w:r>
      <w:r>
        <w:rPr>
          <w:spacing w:val="-3"/>
        </w:rPr>
        <w:t>组织形式：股份有限公司</w:t>
      </w:r>
    </w:p>
    <w:p>
      <w:pPr>
        <w:pStyle w:val="BodyText"/>
      </w:pPr>
      <w:r>
        <w:rPr/>
        <w:t>存续期间：持续经营</w:t>
      </w:r>
    </w:p>
    <w:p>
      <w:pPr>
        <w:pStyle w:val="BodyText"/>
        <w:spacing w:before="6"/>
        <w:ind w:left="0"/>
        <w:rPr>
          <w:sz w:val="15"/>
        </w:rPr>
      </w:pPr>
    </w:p>
    <w:p>
      <w:pPr>
        <w:pStyle w:val="BodyText"/>
        <w:spacing w:line="417" w:lineRule="auto"/>
        <w:ind w:left="220" w:right="986" w:firstLine="419"/>
        <w:jc w:val="both"/>
      </w:pPr>
      <w:r>
        <w:rPr>
          <w:spacing w:val="-10"/>
        </w:rPr>
        <w:t>中银香港于 </w:t>
      </w:r>
      <w:r>
        <w:rPr>
          <w:rFonts w:ascii="Times New Roman" w:hAnsi="Times New Roman" w:eastAsia="Times New Roman"/>
        </w:rPr>
        <w:t>1964 </w:t>
      </w:r>
      <w:r>
        <w:rPr>
          <w:spacing w:val="-15"/>
        </w:rPr>
        <w:t>年成立，并在 </w:t>
      </w:r>
      <w:r>
        <w:rPr>
          <w:rFonts w:ascii="Times New Roman" w:hAnsi="Times New Roman" w:eastAsia="Times New Roman"/>
        </w:rPr>
        <w:t>2001 </w:t>
      </w:r>
      <w:r>
        <w:rPr>
          <w:spacing w:val="-25"/>
        </w:rPr>
        <w:t>年 </w:t>
      </w:r>
      <w:r>
        <w:rPr>
          <w:rFonts w:ascii="Times New Roman" w:hAnsi="Times New Roman" w:eastAsia="Times New Roman"/>
        </w:rPr>
        <w:t>10 </w:t>
      </w:r>
      <w:r>
        <w:rPr>
          <w:spacing w:val="-25"/>
        </w:rPr>
        <w:t>月 </w:t>
      </w:r>
      <w:r>
        <w:rPr>
          <w:rFonts w:ascii="Times New Roman" w:hAnsi="Times New Roman" w:eastAsia="Times New Roman"/>
        </w:rPr>
        <w:t>1 </w:t>
      </w:r>
      <w:r>
        <w:rPr>
          <w:spacing w:val="-7"/>
        </w:rPr>
        <w:t>日正式重组为中国银行</w:t>
      </w:r>
      <w:r>
        <w:rPr/>
        <w:t>（</w:t>
      </w:r>
      <w:r>
        <w:rPr>
          <w:spacing w:val="-3"/>
        </w:rPr>
        <w:t>香港</w:t>
      </w:r>
      <w:r>
        <w:rPr>
          <w:spacing w:val="-36"/>
        </w:rPr>
        <w:t>）</w:t>
      </w:r>
      <w:r>
        <w:rPr/>
        <w:t>有限公</w:t>
      </w:r>
      <w:r>
        <w:rPr>
          <w:spacing w:val="-8"/>
        </w:rPr>
        <w:t>司，是一家在香港注册的持牌银行。其控股母公司中银香港</w:t>
      </w:r>
      <w:r>
        <w:rPr>
          <w:spacing w:val="-3"/>
        </w:rPr>
        <w:t>（</w:t>
      </w:r>
      <w:r>
        <w:rPr/>
        <w:t>控股</w:t>
      </w:r>
      <w:r>
        <w:rPr>
          <w:spacing w:val="-22"/>
        </w:rPr>
        <w:t>）</w:t>
      </w:r>
      <w:r>
        <w:rPr>
          <w:spacing w:val="-8"/>
        </w:rPr>
        <w:t>有限公司</w:t>
      </w:r>
      <w:r>
        <w:rPr/>
        <w:t>（</w:t>
      </w:r>
      <w:r>
        <w:rPr>
          <w:spacing w:val="-2"/>
        </w:rPr>
        <w:t>简称</w:t>
      </w:r>
      <w:r>
        <w:rPr>
          <w:rFonts w:ascii="Times New Roman" w:hAnsi="Times New Roman" w:eastAsia="Times New Roman"/>
        </w:rPr>
        <w:t>“</w:t>
      </w:r>
      <w:r>
        <w:rPr>
          <w:spacing w:val="-3"/>
        </w:rPr>
        <w:t>中银</w:t>
      </w:r>
      <w:r>
        <w:rPr>
          <w:spacing w:val="-13"/>
        </w:rPr>
        <w:t>香港</w:t>
      </w:r>
      <w:r>
        <w:rPr>
          <w:spacing w:val="-3"/>
        </w:rPr>
        <w:t>（</w:t>
      </w:r>
      <w:r>
        <w:rPr/>
        <w:t>控股</w:t>
      </w:r>
      <w:r>
        <w:rPr>
          <w:spacing w:val="-8"/>
        </w:rPr>
        <w:t>）</w:t>
      </w:r>
      <w:r>
        <w:rPr>
          <w:rFonts w:ascii="Times New Roman" w:hAnsi="Times New Roman" w:eastAsia="Times New Roman"/>
          <w:spacing w:val="-8"/>
        </w:rPr>
        <w:t>”</w:t>
      </w:r>
      <w:r>
        <w:rPr>
          <w:spacing w:val="-8"/>
        </w:rPr>
        <w:t>）</w:t>
      </w:r>
      <w:r>
        <w:rPr>
          <w:rFonts w:ascii="Times New Roman" w:hAnsi="Times New Roman" w:eastAsia="Times New Roman"/>
          <w:spacing w:val="-8"/>
        </w:rPr>
        <w:t>2001 </w:t>
      </w:r>
      <w:r>
        <w:rPr>
          <w:spacing w:val="-24"/>
        </w:rPr>
        <w:t>年 </w:t>
      </w:r>
      <w:r>
        <w:rPr>
          <w:rFonts w:ascii="Times New Roman" w:hAnsi="Times New Roman" w:eastAsia="Times New Roman"/>
        </w:rPr>
        <w:t>2 </w:t>
      </w:r>
      <w:r>
        <w:rPr>
          <w:spacing w:val="-4"/>
        </w:rPr>
        <w:t>日在香港注册成立，</w:t>
      </w:r>
      <w:r>
        <w:rPr>
          <w:rFonts w:ascii="Times New Roman" w:hAnsi="Times New Roman" w:eastAsia="Times New Roman"/>
          <w:spacing w:val="-6"/>
        </w:rPr>
        <w:t>2002 </w:t>
      </w:r>
      <w:r>
        <w:rPr>
          <w:spacing w:val="-24"/>
        </w:rPr>
        <w:t>年 </w:t>
      </w:r>
      <w:r>
        <w:rPr>
          <w:rFonts w:ascii="Times New Roman" w:hAnsi="Times New Roman" w:eastAsia="Times New Roman"/>
        </w:rPr>
        <w:t>7 </w:t>
      </w:r>
      <w:r>
        <w:rPr>
          <w:spacing w:val="-24"/>
        </w:rPr>
        <w:t>月 </w:t>
      </w:r>
      <w:r>
        <w:rPr>
          <w:rFonts w:ascii="Times New Roman" w:hAnsi="Times New Roman" w:eastAsia="Times New Roman"/>
        </w:rPr>
        <w:t>25 </w:t>
      </w:r>
      <w:r>
        <w:rPr>
          <w:spacing w:val="-3"/>
        </w:rPr>
        <w:t>日开始在香港联合交易所主</w:t>
      </w:r>
    </w:p>
    <w:p>
      <w:pPr>
        <w:pStyle w:val="BodyText"/>
        <w:spacing w:line="417" w:lineRule="auto"/>
        <w:ind w:left="220" w:right="986"/>
        <w:jc w:val="both"/>
      </w:pPr>
      <w:r>
        <w:rPr>
          <w:spacing w:val="-1"/>
        </w:rPr>
        <w:t>板上市，</w:t>
      </w:r>
      <w:r>
        <w:rPr>
          <w:rFonts w:ascii="Times New Roman" w:eastAsia="Times New Roman"/>
        </w:rPr>
        <w:t>2002 </w:t>
      </w:r>
      <w:r>
        <w:rPr>
          <w:spacing w:val="-18"/>
        </w:rPr>
        <w:t>年 </w:t>
      </w:r>
      <w:r>
        <w:rPr>
          <w:rFonts w:ascii="Times New Roman" w:eastAsia="Times New Roman"/>
        </w:rPr>
        <w:t>12 </w:t>
      </w:r>
      <w:r>
        <w:rPr>
          <w:spacing w:val="-17"/>
        </w:rPr>
        <w:t>月 </w:t>
      </w:r>
      <w:r>
        <w:rPr>
          <w:rFonts w:ascii="Times New Roman" w:eastAsia="Times New Roman"/>
        </w:rPr>
        <w:t>2 </w:t>
      </w:r>
      <w:r>
        <w:rPr>
          <w:spacing w:val="-3"/>
        </w:rPr>
        <w:t>日被纳入为恒生指数成份股。中银香港目前主要受香港金管局、证监会以及联交所等机构的监管。</w:t>
      </w:r>
    </w:p>
    <w:p>
      <w:pPr>
        <w:pStyle w:val="BodyText"/>
        <w:spacing w:line="417" w:lineRule="auto"/>
        <w:ind w:left="218" w:right="1031" w:firstLine="419"/>
        <w:jc w:val="both"/>
      </w:pPr>
      <w:r>
        <w:rPr/>
        <w:pict>
          <v:shape style="position:absolute;margin-left:89.543999pt;margin-top:65.220009pt;width:412.65pt;height:91pt;mso-position-horizontal-relative:page;mso-position-vertical-relative:paragraph;z-index:251707392"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07"/>
                    <w:gridCol w:w="2437"/>
                    <w:gridCol w:w="1904"/>
                    <w:gridCol w:w="1892"/>
                  </w:tblGrid>
                  <w:tr>
                    <w:trPr>
                      <w:trHeight w:val="510" w:hRule="atLeast"/>
                    </w:trPr>
                    <w:tc>
                      <w:tcPr>
                        <w:tcW w:w="2007" w:type="dxa"/>
                        <w:tcBorders>
                          <w:right w:val="single" w:sz="6" w:space="0" w:color="000000"/>
                        </w:tcBorders>
                      </w:tcPr>
                      <w:p>
                        <w:pPr>
                          <w:pStyle w:val="TableParagraph"/>
                          <w:rPr>
                            <w:sz w:val="20"/>
                          </w:rPr>
                        </w:pPr>
                      </w:p>
                    </w:tc>
                    <w:tc>
                      <w:tcPr>
                        <w:tcW w:w="2437" w:type="dxa"/>
                        <w:tcBorders>
                          <w:left w:val="single" w:sz="6" w:space="0" w:color="000000"/>
                        </w:tcBorders>
                      </w:tcPr>
                      <w:p>
                        <w:pPr>
                          <w:pStyle w:val="TableParagraph"/>
                          <w:spacing w:before="25"/>
                          <w:ind w:left="105"/>
                          <w:rPr>
                            <w:rFonts w:ascii="宋体" w:eastAsia="宋体" w:hint="eastAsia"/>
                            <w:sz w:val="21"/>
                          </w:rPr>
                        </w:pPr>
                        <w:r>
                          <w:rPr>
                            <w:rFonts w:ascii="宋体" w:eastAsia="宋体" w:hint="eastAsia"/>
                            <w:sz w:val="21"/>
                          </w:rPr>
                          <w:t>穆迪投资服务</w:t>
                        </w:r>
                      </w:p>
                    </w:tc>
                    <w:tc>
                      <w:tcPr>
                        <w:tcW w:w="1904" w:type="dxa"/>
                      </w:tcPr>
                      <w:p>
                        <w:pPr>
                          <w:pStyle w:val="TableParagraph"/>
                          <w:spacing w:before="25"/>
                          <w:ind w:left="107"/>
                          <w:rPr>
                            <w:rFonts w:ascii="宋体" w:eastAsia="宋体" w:hint="eastAsia"/>
                            <w:sz w:val="21"/>
                          </w:rPr>
                        </w:pPr>
                        <w:r>
                          <w:rPr>
                            <w:rFonts w:ascii="宋体" w:eastAsia="宋体" w:hint="eastAsia"/>
                            <w:sz w:val="21"/>
                          </w:rPr>
                          <w:t>标准普尔</w:t>
                        </w:r>
                      </w:p>
                    </w:tc>
                    <w:tc>
                      <w:tcPr>
                        <w:tcW w:w="1892" w:type="dxa"/>
                      </w:tcPr>
                      <w:p>
                        <w:pPr>
                          <w:pStyle w:val="TableParagraph"/>
                          <w:spacing w:before="25"/>
                          <w:ind w:left="106"/>
                          <w:rPr>
                            <w:rFonts w:ascii="宋体" w:eastAsia="宋体" w:hint="eastAsia"/>
                            <w:sz w:val="21"/>
                          </w:rPr>
                        </w:pPr>
                        <w:r>
                          <w:rPr>
                            <w:rFonts w:ascii="宋体" w:eastAsia="宋体" w:hint="eastAsia"/>
                            <w:sz w:val="21"/>
                          </w:rPr>
                          <w:t>惠誉国际评级</w:t>
                        </w:r>
                      </w:p>
                    </w:tc>
                  </w:tr>
                  <w:tr>
                    <w:trPr>
                      <w:trHeight w:val="311" w:hRule="atLeast"/>
                    </w:trPr>
                    <w:tc>
                      <w:tcPr>
                        <w:tcW w:w="2007" w:type="dxa"/>
                        <w:tcBorders>
                          <w:right w:val="single" w:sz="6" w:space="0" w:color="000000"/>
                        </w:tcBorders>
                      </w:tcPr>
                      <w:p>
                        <w:pPr>
                          <w:pStyle w:val="TableParagraph"/>
                          <w:spacing w:before="22"/>
                          <w:ind w:left="107"/>
                          <w:rPr>
                            <w:rFonts w:ascii="宋体" w:eastAsia="宋体" w:hint="eastAsia"/>
                            <w:sz w:val="21"/>
                          </w:rPr>
                        </w:pPr>
                        <w:r>
                          <w:rPr>
                            <w:rFonts w:ascii="宋体" w:eastAsia="宋体" w:hint="eastAsia"/>
                            <w:sz w:val="21"/>
                          </w:rPr>
                          <w:t>评级展望</w:t>
                        </w:r>
                      </w:p>
                    </w:tc>
                    <w:tc>
                      <w:tcPr>
                        <w:tcW w:w="2437" w:type="dxa"/>
                        <w:tcBorders>
                          <w:left w:val="single" w:sz="6" w:space="0" w:color="000000"/>
                        </w:tcBorders>
                      </w:tcPr>
                      <w:p>
                        <w:pPr>
                          <w:pStyle w:val="TableParagraph"/>
                          <w:spacing w:before="22"/>
                          <w:ind w:left="105"/>
                          <w:rPr>
                            <w:rFonts w:ascii="宋体" w:eastAsia="宋体" w:hint="eastAsia"/>
                            <w:sz w:val="21"/>
                          </w:rPr>
                        </w:pPr>
                        <w:r>
                          <w:rPr>
                            <w:rFonts w:ascii="宋体" w:eastAsia="宋体" w:hint="eastAsia"/>
                            <w:sz w:val="21"/>
                          </w:rPr>
                          <w:t>稳定</w:t>
                        </w:r>
                      </w:p>
                    </w:tc>
                    <w:tc>
                      <w:tcPr>
                        <w:tcW w:w="1904" w:type="dxa"/>
                      </w:tcPr>
                      <w:p>
                        <w:pPr>
                          <w:pStyle w:val="TableParagraph"/>
                          <w:spacing w:before="22"/>
                          <w:ind w:left="107"/>
                          <w:rPr>
                            <w:rFonts w:ascii="宋体" w:eastAsia="宋体" w:hint="eastAsia"/>
                            <w:sz w:val="21"/>
                          </w:rPr>
                        </w:pPr>
                        <w:r>
                          <w:rPr>
                            <w:rFonts w:ascii="宋体" w:eastAsia="宋体" w:hint="eastAsia"/>
                            <w:sz w:val="21"/>
                          </w:rPr>
                          <w:t>稳定</w:t>
                        </w:r>
                      </w:p>
                    </w:tc>
                    <w:tc>
                      <w:tcPr>
                        <w:tcW w:w="1892" w:type="dxa"/>
                      </w:tcPr>
                      <w:p>
                        <w:pPr>
                          <w:pStyle w:val="TableParagraph"/>
                          <w:spacing w:before="22"/>
                          <w:ind w:left="106"/>
                          <w:rPr>
                            <w:rFonts w:ascii="宋体" w:eastAsia="宋体" w:hint="eastAsia"/>
                            <w:sz w:val="21"/>
                          </w:rPr>
                        </w:pPr>
                        <w:r>
                          <w:rPr>
                            <w:rFonts w:ascii="宋体" w:eastAsia="宋体" w:hint="eastAsia"/>
                            <w:sz w:val="21"/>
                          </w:rPr>
                          <w:t>稳定</w:t>
                        </w:r>
                      </w:p>
                    </w:tc>
                  </w:tr>
                  <w:tr>
                    <w:trPr>
                      <w:trHeight w:val="311" w:hRule="atLeast"/>
                    </w:trPr>
                    <w:tc>
                      <w:tcPr>
                        <w:tcW w:w="2007" w:type="dxa"/>
                        <w:tcBorders>
                          <w:right w:val="single" w:sz="6" w:space="0" w:color="000000"/>
                        </w:tcBorders>
                      </w:tcPr>
                      <w:p>
                        <w:pPr>
                          <w:pStyle w:val="TableParagraph"/>
                          <w:spacing w:before="22"/>
                          <w:ind w:left="107"/>
                          <w:rPr>
                            <w:rFonts w:ascii="宋体" w:eastAsia="宋体" w:hint="eastAsia"/>
                            <w:sz w:val="21"/>
                          </w:rPr>
                        </w:pPr>
                        <w:r>
                          <w:rPr>
                            <w:rFonts w:ascii="宋体" w:eastAsia="宋体" w:hint="eastAsia"/>
                            <w:sz w:val="21"/>
                          </w:rPr>
                          <w:t>长期</w:t>
                        </w:r>
                      </w:p>
                    </w:tc>
                    <w:tc>
                      <w:tcPr>
                        <w:tcW w:w="2437" w:type="dxa"/>
                        <w:tcBorders>
                          <w:left w:val="single" w:sz="6" w:space="0" w:color="000000"/>
                        </w:tcBorders>
                      </w:tcPr>
                      <w:p>
                        <w:pPr>
                          <w:pStyle w:val="TableParagraph"/>
                          <w:spacing w:before="34"/>
                          <w:ind w:left="105"/>
                          <w:rPr>
                            <w:sz w:val="21"/>
                          </w:rPr>
                        </w:pPr>
                        <w:r>
                          <w:rPr>
                            <w:sz w:val="21"/>
                          </w:rPr>
                          <w:t>Aa3</w:t>
                        </w:r>
                      </w:p>
                    </w:tc>
                    <w:tc>
                      <w:tcPr>
                        <w:tcW w:w="1904" w:type="dxa"/>
                      </w:tcPr>
                      <w:p>
                        <w:pPr>
                          <w:pStyle w:val="TableParagraph"/>
                          <w:spacing w:before="34"/>
                          <w:ind w:left="107"/>
                          <w:rPr>
                            <w:sz w:val="21"/>
                          </w:rPr>
                        </w:pPr>
                        <w:r>
                          <w:rPr>
                            <w:sz w:val="21"/>
                          </w:rPr>
                          <w:t>A+</w:t>
                        </w:r>
                      </w:p>
                    </w:tc>
                    <w:tc>
                      <w:tcPr>
                        <w:tcW w:w="1892" w:type="dxa"/>
                      </w:tcPr>
                      <w:p>
                        <w:pPr>
                          <w:pStyle w:val="TableParagraph"/>
                          <w:spacing w:before="34"/>
                          <w:ind w:left="106"/>
                          <w:rPr>
                            <w:sz w:val="21"/>
                          </w:rPr>
                        </w:pPr>
                        <w:r>
                          <w:rPr>
                            <w:w w:val="100"/>
                            <w:sz w:val="21"/>
                          </w:rPr>
                          <w:t>A</w:t>
                        </w:r>
                      </w:p>
                    </w:tc>
                  </w:tr>
                  <w:tr>
                    <w:trPr>
                      <w:trHeight w:val="313" w:hRule="atLeast"/>
                    </w:trPr>
                    <w:tc>
                      <w:tcPr>
                        <w:tcW w:w="2007" w:type="dxa"/>
                        <w:tcBorders>
                          <w:right w:val="single" w:sz="6" w:space="0" w:color="000000"/>
                        </w:tcBorders>
                      </w:tcPr>
                      <w:p>
                        <w:pPr>
                          <w:pStyle w:val="TableParagraph"/>
                          <w:spacing w:before="25"/>
                          <w:ind w:left="107"/>
                          <w:rPr>
                            <w:rFonts w:ascii="宋体" w:eastAsia="宋体" w:hint="eastAsia"/>
                            <w:sz w:val="21"/>
                          </w:rPr>
                        </w:pPr>
                        <w:r>
                          <w:rPr>
                            <w:rFonts w:ascii="宋体" w:eastAsia="宋体" w:hint="eastAsia"/>
                            <w:sz w:val="21"/>
                          </w:rPr>
                          <w:t>短期</w:t>
                        </w:r>
                      </w:p>
                    </w:tc>
                    <w:tc>
                      <w:tcPr>
                        <w:tcW w:w="2437" w:type="dxa"/>
                        <w:tcBorders>
                          <w:left w:val="single" w:sz="6" w:space="0" w:color="000000"/>
                        </w:tcBorders>
                      </w:tcPr>
                      <w:p>
                        <w:pPr>
                          <w:pStyle w:val="TableParagraph"/>
                          <w:spacing w:before="36"/>
                          <w:ind w:left="105"/>
                          <w:rPr>
                            <w:sz w:val="21"/>
                          </w:rPr>
                        </w:pPr>
                        <w:r>
                          <w:rPr>
                            <w:sz w:val="21"/>
                          </w:rPr>
                          <w:t>P-1</w:t>
                        </w:r>
                      </w:p>
                    </w:tc>
                    <w:tc>
                      <w:tcPr>
                        <w:tcW w:w="1904" w:type="dxa"/>
                      </w:tcPr>
                      <w:p>
                        <w:pPr>
                          <w:pStyle w:val="TableParagraph"/>
                          <w:spacing w:before="36"/>
                          <w:ind w:left="107"/>
                          <w:rPr>
                            <w:sz w:val="21"/>
                          </w:rPr>
                        </w:pPr>
                        <w:r>
                          <w:rPr>
                            <w:sz w:val="21"/>
                          </w:rPr>
                          <w:t>A-1</w:t>
                        </w:r>
                      </w:p>
                    </w:tc>
                    <w:tc>
                      <w:tcPr>
                        <w:tcW w:w="1892" w:type="dxa"/>
                      </w:tcPr>
                      <w:p>
                        <w:pPr>
                          <w:pStyle w:val="TableParagraph"/>
                          <w:spacing w:before="36"/>
                          <w:ind w:left="106"/>
                          <w:rPr>
                            <w:sz w:val="21"/>
                          </w:rPr>
                        </w:pPr>
                        <w:r>
                          <w:rPr>
                            <w:sz w:val="21"/>
                          </w:rPr>
                          <w:t>F1</w:t>
                        </w:r>
                      </w:p>
                    </w:tc>
                  </w:tr>
                  <w:tr>
                    <w:trPr>
                      <w:trHeight w:val="312" w:hRule="atLeast"/>
                    </w:trPr>
                    <w:tc>
                      <w:tcPr>
                        <w:tcW w:w="2007" w:type="dxa"/>
                        <w:tcBorders>
                          <w:right w:val="single" w:sz="6" w:space="0" w:color="000000"/>
                        </w:tcBorders>
                      </w:tcPr>
                      <w:p>
                        <w:pPr>
                          <w:pStyle w:val="TableParagraph"/>
                          <w:spacing w:before="23"/>
                          <w:ind w:left="107"/>
                          <w:rPr>
                            <w:rFonts w:ascii="宋体" w:eastAsia="宋体" w:hint="eastAsia"/>
                            <w:sz w:val="21"/>
                          </w:rPr>
                        </w:pPr>
                        <w:r>
                          <w:rPr>
                            <w:rFonts w:ascii="宋体" w:eastAsia="宋体" w:hint="eastAsia"/>
                            <w:sz w:val="21"/>
                          </w:rPr>
                          <w:t>展望</w:t>
                        </w:r>
                      </w:p>
                    </w:tc>
                    <w:tc>
                      <w:tcPr>
                        <w:tcW w:w="2437" w:type="dxa"/>
                        <w:tcBorders>
                          <w:left w:val="single" w:sz="6" w:space="0" w:color="000000"/>
                        </w:tcBorders>
                      </w:tcPr>
                      <w:p>
                        <w:pPr>
                          <w:pStyle w:val="TableParagraph"/>
                          <w:spacing w:before="23"/>
                          <w:ind w:left="105"/>
                          <w:rPr>
                            <w:rFonts w:ascii="宋体" w:eastAsia="宋体" w:hint="eastAsia"/>
                            <w:sz w:val="21"/>
                          </w:rPr>
                        </w:pPr>
                        <w:r>
                          <w:rPr>
                            <w:rFonts w:ascii="宋体" w:eastAsia="宋体" w:hint="eastAsia"/>
                            <w:sz w:val="21"/>
                          </w:rPr>
                          <w:t>稳定</w:t>
                        </w:r>
                      </w:p>
                    </w:tc>
                    <w:tc>
                      <w:tcPr>
                        <w:tcW w:w="1904" w:type="dxa"/>
                      </w:tcPr>
                      <w:p>
                        <w:pPr>
                          <w:pStyle w:val="TableParagraph"/>
                          <w:spacing w:before="23"/>
                          <w:ind w:left="107"/>
                          <w:rPr>
                            <w:rFonts w:ascii="宋体" w:eastAsia="宋体" w:hint="eastAsia"/>
                            <w:sz w:val="21"/>
                          </w:rPr>
                        </w:pPr>
                        <w:r>
                          <w:rPr>
                            <w:rFonts w:ascii="宋体" w:eastAsia="宋体" w:hint="eastAsia"/>
                            <w:sz w:val="21"/>
                          </w:rPr>
                          <w:t>稳定</w:t>
                        </w:r>
                      </w:p>
                    </w:tc>
                    <w:tc>
                      <w:tcPr>
                        <w:tcW w:w="1892" w:type="dxa"/>
                      </w:tcPr>
                      <w:p>
                        <w:pPr>
                          <w:pStyle w:val="TableParagraph"/>
                          <w:spacing w:before="23"/>
                          <w:ind w:left="106"/>
                          <w:rPr>
                            <w:rFonts w:ascii="宋体" w:eastAsia="宋体" w:hint="eastAsia"/>
                            <w:sz w:val="21"/>
                          </w:rPr>
                        </w:pPr>
                        <w:r>
                          <w:rPr>
                            <w:rFonts w:ascii="宋体" w:eastAsia="宋体" w:hint="eastAsia"/>
                            <w:sz w:val="21"/>
                          </w:rPr>
                          <w:t>稳定</w:t>
                        </w:r>
                      </w:p>
                    </w:tc>
                  </w:tr>
                </w:tbl>
                <w:p>
                  <w:pPr>
                    <w:pStyle w:val="BodyText"/>
                    <w:ind w:left="0"/>
                  </w:pPr>
                </w:p>
              </w:txbxContent>
            </v:textbox>
            <w10:wrap type="none"/>
          </v:shape>
        </w:pict>
      </w:r>
      <w:r>
        <w:rPr>
          <w:spacing w:val="-15"/>
        </w:rPr>
        <w:t>截至 </w:t>
      </w:r>
      <w:r>
        <w:rPr>
          <w:rFonts w:ascii="Times New Roman" w:eastAsia="Times New Roman"/>
        </w:rPr>
        <w:t>2018 </w:t>
      </w:r>
      <w:r>
        <w:rPr>
          <w:spacing w:val="-3"/>
        </w:rPr>
        <w:t>年末，中银香港</w:t>
      </w:r>
      <w:r>
        <w:rPr/>
        <w:t>（</w:t>
      </w:r>
      <w:r>
        <w:rPr>
          <w:spacing w:val="-2"/>
        </w:rPr>
        <w:t>控股</w:t>
      </w:r>
      <w:r>
        <w:rPr/>
        <w:t>）</w:t>
      </w:r>
      <w:r>
        <w:rPr>
          <w:spacing w:val="-7"/>
        </w:rPr>
        <w:t>有限公司的总资产超过 </w:t>
      </w:r>
      <w:r>
        <w:rPr>
          <w:rFonts w:ascii="Times New Roman" w:eastAsia="Times New Roman"/>
        </w:rPr>
        <w:t>29,529 </w:t>
      </w:r>
      <w:r>
        <w:rPr>
          <w:spacing w:val="-3"/>
        </w:rPr>
        <w:t>亿港元，资本总额</w:t>
      </w:r>
      <w:r>
        <w:rPr>
          <w:spacing w:val="-18"/>
        </w:rPr>
        <w:t>超过 </w:t>
      </w:r>
      <w:r>
        <w:rPr>
          <w:rFonts w:ascii="Times New Roman" w:eastAsia="Times New Roman"/>
        </w:rPr>
        <w:t>2,570 </w:t>
      </w:r>
      <w:r>
        <w:rPr>
          <w:spacing w:val="-7"/>
        </w:rPr>
        <w:t>亿港元，总资本比率为 </w:t>
      </w:r>
      <w:r>
        <w:rPr>
          <w:rFonts w:ascii="Times New Roman" w:eastAsia="Times New Roman"/>
        </w:rPr>
        <w:t>23.1%</w:t>
      </w:r>
      <w:r>
        <w:rPr>
          <w:spacing w:val="-3"/>
        </w:rPr>
        <w:t>。中银香港</w:t>
      </w:r>
      <w:r>
        <w:rPr/>
        <w:t>（</w:t>
      </w:r>
      <w:r>
        <w:rPr>
          <w:spacing w:val="-2"/>
        </w:rPr>
        <w:t>控股</w:t>
      </w:r>
      <w:r>
        <w:rPr>
          <w:spacing w:val="-3"/>
        </w:rPr>
        <w:t>）</w:t>
      </w:r>
      <w:r>
        <w:rPr>
          <w:spacing w:val="4"/>
        </w:rPr>
        <w:t>的财务实力及双</w:t>
      </w:r>
      <w:r>
        <w:rPr>
          <w:rFonts w:ascii="Times New Roman" w:eastAsia="Times New Roman"/>
        </w:rPr>
        <w:t>A </w:t>
      </w:r>
      <w:r>
        <w:rPr>
          <w:spacing w:val="-3"/>
        </w:rPr>
        <w:t>级信用评</w:t>
      </w:r>
      <w:r>
        <w:rPr>
          <w:spacing w:val="-3"/>
          <w:w w:val="100"/>
        </w:rPr>
        <w:t>级，可媲美不少大型全球托管银行，其最新信评如下</w:t>
      </w:r>
      <w:r>
        <w:rPr>
          <w:w w:val="100"/>
        </w:rPr>
        <w:t>（</w:t>
      </w:r>
      <w:r>
        <w:rPr>
          <w:spacing w:val="-2"/>
          <w:w w:val="100"/>
        </w:rPr>
        <w:t>截至</w:t>
      </w:r>
      <w:r>
        <w:rPr>
          <w:spacing w:val="-53"/>
        </w:rPr>
        <w:t> </w:t>
      </w:r>
      <w:r>
        <w:rPr>
          <w:rFonts w:ascii="Times New Roman" w:eastAsia="Times New Roman"/>
          <w:spacing w:val="-3"/>
          <w:w w:val="100"/>
        </w:rPr>
        <w:t>2</w:t>
      </w:r>
      <w:r>
        <w:rPr>
          <w:rFonts w:ascii="Times New Roman" w:eastAsia="Times New Roman"/>
          <w:w w:val="100"/>
        </w:rPr>
        <w:t>0</w:t>
      </w:r>
      <w:r>
        <w:rPr>
          <w:rFonts w:ascii="Times New Roman" w:eastAsia="Times New Roman"/>
          <w:spacing w:val="-1"/>
          <w:w w:val="100"/>
        </w:rPr>
        <w:t>1</w:t>
      </w:r>
      <w:r>
        <w:rPr>
          <w:rFonts w:ascii="Times New Roman" w:eastAsia="Times New Roman"/>
          <w:w w:val="100"/>
        </w:rPr>
        <w:t>8</w:t>
      </w:r>
      <w:r>
        <w:rPr>
          <w:rFonts w:ascii="Times New Roman" w:eastAsia="Times New Roman"/>
        </w:rPr>
        <w:t> </w:t>
      </w:r>
      <w:r>
        <w:rPr>
          <w:w w:val="100"/>
        </w:rPr>
        <w:t>年</w:t>
      </w:r>
      <w:r>
        <w:rPr>
          <w:spacing w:val="-53"/>
        </w:rPr>
        <w:t> </w:t>
      </w:r>
      <w:r>
        <w:rPr>
          <w:rFonts w:ascii="Times New Roman" w:eastAsia="Times New Roman"/>
          <w:w w:val="100"/>
        </w:rPr>
        <w:t>12</w:t>
      </w:r>
      <w:r>
        <w:rPr>
          <w:rFonts w:ascii="Times New Roman" w:eastAsia="Times New Roman"/>
        </w:rPr>
        <w:t> </w:t>
      </w:r>
      <w:r>
        <w:rPr>
          <w:w w:val="100"/>
        </w:rPr>
        <w:t>月</w:t>
      </w:r>
      <w:r>
        <w:rPr>
          <w:spacing w:val="-53"/>
        </w:rPr>
        <w:t> </w:t>
      </w:r>
      <w:r>
        <w:rPr>
          <w:rFonts w:ascii="Times New Roman" w:eastAsia="Times New Roman"/>
          <w:spacing w:val="-3"/>
          <w:w w:val="100"/>
        </w:rPr>
        <w:t>3</w:t>
      </w:r>
      <w:r>
        <w:rPr>
          <w:rFonts w:ascii="Times New Roman" w:eastAsia="Times New Roman"/>
          <w:w w:val="100"/>
        </w:rPr>
        <w:t>1</w:t>
      </w:r>
      <w:r>
        <w:rPr>
          <w:rFonts w:ascii="Times New Roman" w:eastAsia="Times New Roman"/>
        </w:rPr>
        <w:t> </w:t>
      </w:r>
      <w:r>
        <w:rPr>
          <w:w w:val="100"/>
        </w:rPr>
        <w:t>日</w:t>
      </w:r>
      <w:r>
        <w:rPr>
          <w:spacing w:val="-106"/>
          <w:w w:val="100"/>
        </w:rPr>
        <w:t>）</w:t>
      </w:r>
      <w:r>
        <w:rPr>
          <w:w w:val="100"/>
        </w:rPr>
        <w:t>：</w:t>
      </w:r>
    </w:p>
    <w:p>
      <w:pPr>
        <w:pStyle w:val="BodyText"/>
        <w:ind w:left="0"/>
        <w:rPr>
          <w:sz w:val="22"/>
        </w:rPr>
      </w:pPr>
    </w:p>
    <w:p>
      <w:pPr>
        <w:pStyle w:val="BodyText"/>
        <w:ind w:left="0"/>
        <w:rPr>
          <w:sz w:val="22"/>
        </w:rPr>
      </w:pPr>
    </w:p>
    <w:p>
      <w:pPr>
        <w:pStyle w:val="BodyText"/>
        <w:ind w:left="0"/>
        <w:rPr>
          <w:sz w:val="22"/>
        </w:rPr>
      </w:pPr>
    </w:p>
    <w:p>
      <w:pPr>
        <w:pStyle w:val="BodyText"/>
        <w:ind w:left="0"/>
        <w:rPr>
          <w:sz w:val="22"/>
        </w:rPr>
      </w:pPr>
    </w:p>
    <w:p>
      <w:pPr>
        <w:pStyle w:val="BodyText"/>
        <w:ind w:left="0"/>
        <w:rPr>
          <w:sz w:val="22"/>
        </w:rPr>
      </w:pPr>
    </w:p>
    <w:p>
      <w:pPr>
        <w:pStyle w:val="BodyText"/>
        <w:spacing w:before="12"/>
        <w:ind w:left="0"/>
        <w:rPr>
          <w:sz w:val="31"/>
        </w:rPr>
      </w:pPr>
    </w:p>
    <w:p>
      <w:pPr>
        <w:pStyle w:val="BodyText"/>
        <w:spacing w:before="1"/>
        <w:ind w:left="638"/>
      </w:pPr>
      <w:r>
        <w:rPr/>
        <w:t>截至 </w:t>
      </w:r>
      <w:r>
        <w:rPr>
          <w:rFonts w:ascii="Times New Roman" w:eastAsia="Times New Roman"/>
        </w:rPr>
        <w:t>2018 </w:t>
      </w:r>
      <w:r>
        <w:rPr/>
        <w:t>年末，中银香港（控股）的托管资产规模达 </w:t>
      </w:r>
      <w:r>
        <w:rPr>
          <w:rFonts w:ascii="Times New Roman" w:eastAsia="Times New Roman"/>
        </w:rPr>
        <w:t>10,984 </w:t>
      </w:r>
      <w:r>
        <w:rPr/>
        <w:t>亿港元。</w:t>
      </w:r>
    </w:p>
    <w:p>
      <w:pPr>
        <w:pStyle w:val="BodyText"/>
        <w:spacing w:before="6"/>
        <w:ind w:left="0"/>
        <w:rPr>
          <w:sz w:val="15"/>
        </w:rPr>
      </w:pPr>
    </w:p>
    <w:p>
      <w:pPr>
        <w:pStyle w:val="BodyText"/>
      </w:pPr>
      <w:r>
        <w:rPr/>
        <w:t>（二）境外资产托管人职责</w:t>
      </w:r>
    </w:p>
    <w:p>
      <w:pPr>
        <w:pStyle w:val="BodyText"/>
        <w:spacing w:before="7"/>
        <w:ind w:left="0"/>
        <w:rPr>
          <w:sz w:val="15"/>
        </w:rPr>
      </w:pPr>
    </w:p>
    <w:p>
      <w:pPr>
        <w:pStyle w:val="BodyText"/>
      </w:pPr>
      <w:r>
        <w:rPr>
          <w:rFonts w:ascii="Times New Roman" w:eastAsia="Times New Roman"/>
        </w:rPr>
        <w:t>1</w:t>
      </w:r>
      <w:r>
        <w:rPr/>
        <w:t>、安全保管基金的境外资产，及时办理清算、交割事宜。</w:t>
      </w:r>
    </w:p>
    <w:p>
      <w:pPr>
        <w:pStyle w:val="BodyText"/>
        <w:spacing w:before="7"/>
        <w:ind w:left="0"/>
        <w:rPr>
          <w:sz w:val="15"/>
        </w:rPr>
      </w:pPr>
    </w:p>
    <w:p>
      <w:pPr>
        <w:pStyle w:val="BodyText"/>
        <w:spacing w:line="417" w:lineRule="auto"/>
        <w:ind w:left="220" w:right="990" w:firstLine="419"/>
      </w:pPr>
      <w:r>
        <w:rPr>
          <w:rFonts w:ascii="Times New Roman" w:eastAsia="Times New Roman"/>
        </w:rPr>
        <w:t>2</w:t>
      </w:r>
      <w:r>
        <w:rPr/>
        <w:t>、准时将公司行为信息通知基金管理人和</w:t>
      </w:r>
      <w:r>
        <w:rPr>
          <w:rFonts w:ascii="Times New Roman" w:eastAsia="Times New Roman"/>
        </w:rPr>
        <w:t>/</w:t>
      </w:r>
      <w:r>
        <w:rPr/>
        <w:t>或基金托管人，确保基金及时收取所有应得收入。</w:t>
      </w:r>
    </w:p>
    <w:p>
      <w:pPr>
        <w:pStyle w:val="BodyText"/>
        <w:spacing w:line="269" w:lineRule="exact"/>
        <w:ind w:left="638"/>
      </w:pPr>
      <w:r>
        <w:rPr>
          <w:rFonts w:ascii="Times New Roman" w:eastAsia="Times New Roman"/>
        </w:rPr>
        <w:t>3</w:t>
      </w:r>
      <w:r>
        <w:rPr/>
        <w:t>、其他由基金托管人委托其履行的职责。</w:t>
      </w:r>
    </w:p>
    <w:p>
      <w:pPr>
        <w:spacing w:after="0" w:line="269" w:lineRule="exact"/>
        <w:sectPr>
          <w:pgSz w:w="11910" w:h="16840"/>
          <w:pgMar w:header="705" w:footer="683" w:top="1420" w:bottom="880" w:left="1580" w:right="920"/>
        </w:sectPr>
      </w:pPr>
    </w:p>
    <w:p>
      <w:pPr>
        <w:pStyle w:val="Heading1"/>
        <w:spacing w:before="110"/>
      </w:pPr>
      <w:bookmarkStart w:name="_bookmark18" w:id="19"/>
      <w:bookmarkEnd w:id="19"/>
      <w:r>
        <w:rPr>
          <w:b w:val="0"/>
        </w:rPr>
      </w:r>
      <w:r>
        <w:rPr/>
        <w:t>十九、相关服务机构</w:t>
      </w:r>
    </w:p>
    <w:p>
      <w:pPr>
        <w:pStyle w:val="BodyText"/>
        <w:ind w:left="0"/>
        <w:rPr>
          <w:b/>
          <w:sz w:val="20"/>
        </w:rPr>
      </w:pPr>
    </w:p>
    <w:p>
      <w:pPr>
        <w:pStyle w:val="BodyText"/>
        <w:spacing w:before="2"/>
        <w:ind w:left="0"/>
        <w:rPr>
          <w:b/>
        </w:rPr>
      </w:pPr>
    </w:p>
    <w:p>
      <w:pPr>
        <w:pStyle w:val="BodyText"/>
        <w:spacing w:line="417" w:lineRule="auto"/>
        <w:ind w:right="4978"/>
      </w:pPr>
      <w:r>
        <w:rPr/>
        <w:t>（一）直销机构：华夏基金管理有限公司住所：北京市顺义区安庆大街甲</w:t>
      </w:r>
      <w:r>
        <w:rPr>
          <w:rFonts w:ascii="Times New Roman" w:eastAsia="Times New Roman"/>
        </w:rPr>
        <w:t>3</w:t>
      </w:r>
      <w:r>
        <w:rPr/>
        <w:t>号院</w:t>
      </w:r>
    </w:p>
    <w:p>
      <w:pPr>
        <w:pStyle w:val="BodyText"/>
        <w:spacing w:line="417" w:lineRule="auto"/>
        <w:ind w:right="3684"/>
      </w:pPr>
      <w:r>
        <w:rPr>
          <w:spacing w:val="-3"/>
        </w:rPr>
        <w:t>办公地址：北京市西城区金融大街</w:t>
      </w:r>
      <w:r>
        <w:rPr>
          <w:rFonts w:ascii="Times New Roman" w:eastAsia="Times New Roman"/>
        </w:rPr>
        <w:t>33</w:t>
      </w:r>
      <w:r>
        <w:rPr>
          <w:spacing w:val="-3"/>
        </w:rPr>
        <w:t>号通泰大厦</w:t>
      </w:r>
      <w:r>
        <w:rPr>
          <w:rFonts w:ascii="Times New Roman" w:eastAsia="Times New Roman"/>
        </w:rPr>
        <w:t>B</w:t>
      </w:r>
      <w:r>
        <w:rPr>
          <w:spacing w:val="-3"/>
        </w:rPr>
        <w:t>座</w:t>
      </w:r>
      <w:r>
        <w:rPr>
          <w:rFonts w:ascii="Times New Roman" w:eastAsia="Times New Roman"/>
        </w:rPr>
        <w:t>8</w:t>
      </w:r>
      <w:r>
        <w:rPr/>
        <w:t>层</w:t>
      </w:r>
      <w:r>
        <w:rPr>
          <w:spacing w:val="-3"/>
        </w:rPr>
        <w:t>法定代表人：杨明辉</w:t>
      </w:r>
    </w:p>
    <w:p>
      <w:pPr>
        <w:pStyle w:val="BodyText"/>
        <w:spacing w:line="417" w:lineRule="auto"/>
        <w:ind w:right="6101"/>
        <w:rPr>
          <w:rFonts w:ascii="Times New Roman" w:eastAsia="Times New Roman"/>
        </w:rPr>
      </w:pPr>
      <w:r>
        <w:rPr>
          <w:spacing w:val="-3"/>
        </w:rPr>
        <w:t>客户服务电话：</w:t>
      </w:r>
      <w:r>
        <w:rPr>
          <w:rFonts w:ascii="Times New Roman" w:eastAsia="Times New Roman"/>
          <w:spacing w:val="-1"/>
        </w:rPr>
        <w:t>400-818-6666 </w:t>
      </w:r>
      <w:r>
        <w:rPr/>
        <w:t>传真：</w:t>
      </w:r>
      <w:r>
        <w:rPr>
          <w:rFonts w:ascii="Times New Roman" w:eastAsia="Times New Roman"/>
        </w:rPr>
        <w:t>010-63136700</w:t>
      </w:r>
    </w:p>
    <w:p>
      <w:pPr>
        <w:pStyle w:val="BodyText"/>
      </w:pPr>
      <w:r>
        <w:rPr/>
        <w:t>联系人：张德根</w:t>
      </w:r>
    </w:p>
    <w:p>
      <w:pPr>
        <w:pStyle w:val="BodyText"/>
        <w:spacing w:before="6"/>
        <w:ind w:left="0"/>
        <w:rPr>
          <w:sz w:val="15"/>
        </w:rPr>
      </w:pPr>
    </w:p>
    <w:p>
      <w:pPr>
        <w:pStyle w:val="BodyText"/>
        <w:rPr>
          <w:rFonts w:ascii="Times New Roman" w:eastAsia="Times New Roman"/>
        </w:rPr>
      </w:pPr>
      <w:r>
        <w:rPr/>
        <w:t>网址：</w:t>
      </w:r>
      <w:hyperlink r:id="rId11">
        <w:r>
          <w:rPr>
            <w:rFonts w:ascii="Times New Roman" w:eastAsia="Times New Roman"/>
          </w:rPr>
          <w:t>www.ChinaAMC.com</w:t>
        </w:r>
      </w:hyperlink>
    </w:p>
    <w:p>
      <w:pPr>
        <w:pStyle w:val="BodyText"/>
        <w:spacing w:before="4"/>
        <w:ind w:left="0"/>
        <w:rPr>
          <w:rFonts w:ascii="Times New Roman"/>
          <w:sz w:val="17"/>
        </w:rPr>
      </w:pPr>
    </w:p>
    <w:p>
      <w:pPr>
        <w:pStyle w:val="BodyText"/>
      </w:pPr>
      <w:r>
        <w:rPr/>
        <w:t>（二）代销机构</w:t>
      </w:r>
    </w:p>
    <w:p>
      <w:pPr>
        <w:pStyle w:val="BodyText"/>
        <w:spacing w:before="6"/>
        <w:ind w:left="0"/>
        <w:rPr>
          <w:sz w:val="15"/>
        </w:rPr>
      </w:pPr>
    </w:p>
    <w:p>
      <w:pPr>
        <w:pStyle w:val="BodyText"/>
        <w:spacing w:before="1"/>
      </w:pPr>
      <w:r>
        <w:rPr>
          <w:rFonts w:ascii="Times New Roman" w:eastAsia="Times New Roman"/>
        </w:rPr>
        <w:t>1</w:t>
      </w:r>
      <w:r>
        <w:rPr/>
        <w:t>、人民币代销机构：</w:t>
      </w:r>
    </w:p>
    <w:p>
      <w:pPr>
        <w:pStyle w:val="BodyText"/>
        <w:spacing w:before="6"/>
        <w:ind w:left="0"/>
        <w:rPr>
          <w:sz w:val="15"/>
        </w:rPr>
      </w:pPr>
    </w:p>
    <w:p>
      <w:pPr>
        <w:pStyle w:val="ListParagraph"/>
        <w:numPr>
          <w:ilvl w:val="0"/>
          <w:numId w:val="31"/>
        </w:numPr>
        <w:tabs>
          <w:tab w:pos="1170" w:val="left" w:leader="none"/>
        </w:tabs>
        <w:spacing w:line="240" w:lineRule="auto" w:before="0" w:after="0"/>
        <w:ind w:left="1169" w:right="0" w:hanging="530"/>
        <w:jc w:val="left"/>
        <w:rPr>
          <w:sz w:val="21"/>
        </w:rPr>
      </w:pPr>
      <w:r>
        <w:rPr>
          <w:spacing w:val="-3"/>
          <w:sz w:val="21"/>
        </w:rPr>
        <w:t>中国工商银行股份有限公司</w:t>
      </w:r>
    </w:p>
    <w:p>
      <w:pPr>
        <w:pStyle w:val="BodyText"/>
        <w:spacing w:before="7"/>
        <w:ind w:left="0"/>
        <w:rPr>
          <w:sz w:val="15"/>
        </w:rPr>
      </w:pPr>
    </w:p>
    <w:p>
      <w:pPr>
        <w:pStyle w:val="BodyText"/>
      </w:pPr>
      <w:r>
        <w:rPr/>
        <w:t>住所：北京市西城区复兴门内大街</w:t>
      </w:r>
      <w:r>
        <w:rPr>
          <w:rFonts w:ascii="Times New Roman" w:eastAsia="Times New Roman"/>
        </w:rPr>
        <w:t>55</w:t>
      </w:r>
      <w:r>
        <w:rPr/>
        <w:t>号</w:t>
      </w:r>
    </w:p>
    <w:p>
      <w:pPr>
        <w:pStyle w:val="BodyText"/>
        <w:spacing w:before="7"/>
        <w:ind w:left="0"/>
        <w:rPr>
          <w:sz w:val="15"/>
        </w:rPr>
      </w:pPr>
    </w:p>
    <w:p>
      <w:pPr>
        <w:pStyle w:val="BodyText"/>
        <w:spacing w:line="417" w:lineRule="auto"/>
        <w:ind w:right="4769"/>
      </w:pPr>
      <w:r>
        <w:rPr>
          <w:spacing w:val="-3"/>
        </w:rPr>
        <w:t>办公地址：北京市西城区复兴门内大街</w:t>
      </w:r>
      <w:r>
        <w:rPr>
          <w:rFonts w:ascii="Times New Roman" w:eastAsia="Times New Roman"/>
        </w:rPr>
        <w:t>55</w:t>
      </w:r>
      <w:r>
        <w:rPr>
          <w:spacing w:val="-12"/>
        </w:rPr>
        <w:t>号</w:t>
      </w:r>
      <w:r>
        <w:rPr>
          <w:spacing w:val="-3"/>
        </w:rPr>
        <w:t>法定代表人：陈四清</w:t>
      </w:r>
    </w:p>
    <w:p>
      <w:pPr>
        <w:pStyle w:val="BodyText"/>
        <w:spacing w:line="417" w:lineRule="auto"/>
        <w:ind w:right="6767"/>
        <w:rPr>
          <w:rFonts w:ascii="Times New Roman" w:eastAsia="Times New Roman"/>
        </w:rPr>
      </w:pPr>
      <w:r>
        <w:rPr>
          <w:spacing w:val="-3"/>
        </w:rPr>
        <w:t>客户服务电话：</w:t>
      </w:r>
      <w:r>
        <w:rPr>
          <w:rFonts w:ascii="Times New Roman" w:eastAsia="Times New Roman"/>
          <w:spacing w:val="-4"/>
        </w:rPr>
        <w:t>95588 </w:t>
      </w:r>
      <w:r>
        <w:rPr/>
        <w:t>传真：</w:t>
      </w:r>
      <w:r>
        <w:rPr>
          <w:rFonts w:ascii="Times New Roman" w:eastAsia="Times New Roman"/>
        </w:rPr>
        <w:t>010-66107914</w:t>
      </w:r>
    </w:p>
    <w:p>
      <w:pPr>
        <w:pStyle w:val="BodyText"/>
        <w:spacing w:line="269" w:lineRule="exact"/>
      </w:pPr>
      <w:r>
        <w:rPr/>
        <w:t>联系人：王佺</w:t>
      </w:r>
    </w:p>
    <w:p>
      <w:pPr>
        <w:pStyle w:val="BodyText"/>
        <w:spacing w:before="7"/>
        <w:ind w:left="0"/>
        <w:rPr>
          <w:sz w:val="15"/>
        </w:rPr>
      </w:pPr>
    </w:p>
    <w:p>
      <w:pPr>
        <w:pStyle w:val="BodyText"/>
        <w:rPr>
          <w:rFonts w:ascii="Times New Roman" w:eastAsia="Times New Roman"/>
        </w:rPr>
      </w:pPr>
      <w:r>
        <w:rPr/>
        <w:t>网址：</w:t>
      </w:r>
      <w:hyperlink r:id="rId44">
        <w:r>
          <w:rPr>
            <w:rFonts w:ascii="Times New Roman" w:eastAsia="Times New Roman"/>
          </w:rPr>
          <w:t>www.icbc.com.cn</w:t>
        </w:r>
      </w:hyperlink>
    </w:p>
    <w:p>
      <w:pPr>
        <w:pStyle w:val="BodyText"/>
        <w:spacing w:before="3"/>
        <w:ind w:left="0"/>
        <w:rPr>
          <w:rFonts w:ascii="Times New Roman"/>
          <w:sz w:val="17"/>
        </w:rPr>
      </w:pPr>
    </w:p>
    <w:p>
      <w:pPr>
        <w:pStyle w:val="ListParagraph"/>
        <w:numPr>
          <w:ilvl w:val="0"/>
          <w:numId w:val="31"/>
        </w:numPr>
        <w:tabs>
          <w:tab w:pos="1170" w:val="left" w:leader="none"/>
        </w:tabs>
        <w:spacing w:line="240" w:lineRule="auto" w:before="0" w:after="0"/>
        <w:ind w:left="1169" w:right="0" w:hanging="530"/>
        <w:jc w:val="left"/>
        <w:rPr>
          <w:sz w:val="21"/>
        </w:rPr>
      </w:pPr>
      <w:r>
        <w:rPr>
          <w:spacing w:val="-3"/>
          <w:sz w:val="21"/>
        </w:rPr>
        <w:t>中国农业银行股份有限公司</w:t>
      </w:r>
    </w:p>
    <w:p>
      <w:pPr>
        <w:pStyle w:val="BodyText"/>
        <w:spacing w:before="7"/>
        <w:ind w:left="0"/>
        <w:rPr>
          <w:sz w:val="15"/>
        </w:rPr>
      </w:pPr>
    </w:p>
    <w:p>
      <w:pPr>
        <w:pStyle w:val="BodyText"/>
      </w:pPr>
      <w:r>
        <w:rPr/>
        <w:t>住所：北京市东城区建国门内大街</w:t>
      </w:r>
      <w:r>
        <w:rPr>
          <w:rFonts w:ascii="Times New Roman" w:eastAsia="Times New Roman"/>
        </w:rPr>
        <w:t>69</w:t>
      </w:r>
      <w:r>
        <w:rPr/>
        <w:t>号</w:t>
      </w:r>
    </w:p>
    <w:p>
      <w:pPr>
        <w:pStyle w:val="BodyText"/>
        <w:spacing w:before="7"/>
        <w:ind w:left="0"/>
        <w:rPr>
          <w:sz w:val="15"/>
        </w:rPr>
      </w:pPr>
    </w:p>
    <w:p>
      <w:pPr>
        <w:pStyle w:val="BodyText"/>
        <w:spacing w:line="417" w:lineRule="auto"/>
        <w:ind w:right="4769"/>
      </w:pPr>
      <w:r>
        <w:rPr/>
        <w:t>办公地址：北京市东城区建国门内大街</w:t>
      </w:r>
      <w:r>
        <w:rPr>
          <w:rFonts w:ascii="Times New Roman" w:eastAsia="Times New Roman"/>
        </w:rPr>
        <w:t>69</w:t>
      </w:r>
      <w:r>
        <w:rPr/>
        <w:t>号法定代表人：周慕冰</w:t>
      </w:r>
    </w:p>
    <w:p>
      <w:pPr>
        <w:pStyle w:val="BodyText"/>
        <w:spacing w:line="417" w:lineRule="auto"/>
        <w:ind w:right="6568"/>
        <w:rPr>
          <w:rFonts w:ascii="Times New Roman" w:eastAsia="Times New Roman"/>
        </w:rPr>
      </w:pPr>
      <w:r>
        <w:rPr>
          <w:spacing w:val="-2"/>
        </w:rPr>
        <w:t>客户服务电话：</w:t>
      </w:r>
      <w:r>
        <w:rPr>
          <w:rFonts w:ascii="Times New Roman" w:eastAsia="Times New Roman"/>
        </w:rPr>
        <w:t>95599 </w:t>
      </w:r>
      <w:r>
        <w:rPr>
          <w:spacing w:val="-3"/>
        </w:rPr>
        <w:t>联系人：客户服务中心网址：</w:t>
      </w:r>
      <w:hyperlink r:id="rId45">
        <w:r>
          <w:rPr>
            <w:rFonts w:ascii="Times New Roman" w:eastAsia="Times New Roman"/>
            <w:spacing w:val="-3"/>
          </w:rPr>
          <w:t>www.abchina.com</w:t>
        </w:r>
      </w:hyperlink>
    </w:p>
    <w:p>
      <w:pPr>
        <w:pStyle w:val="ListParagraph"/>
        <w:numPr>
          <w:ilvl w:val="0"/>
          <w:numId w:val="31"/>
        </w:numPr>
        <w:tabs>
          <w:tab w:pos="1170" w:val="left" w:leader="none"/>
        </w:tabs>
        <w:spacing w:line="269" w:lineRule="exact" w:before="0" w:after="0"/>
        <w:ind w:left="1169" w:right="0" w:hanging="530"/>
        <w:jc w:val="left"/>
        <w:rPr>
          <w:sz w:val="21"/>
        </w:rPr>
      </w:pPr>
      <w:r>
        <w:rPr>
          <w:spacing w:val="-3"/>
          <w:sz w:val="21"/>
        </w:rPr>
        <w:t>中国银行股份有限公司</w:t>
      </w:r>
    </w:p>
    <w:p>
      <w:pPr>
        <w:pStyle w:val="BodyText"/>
        <w:spacing w:before="7"/>
        <w:ind w:left="0"/>
        <w:rPr>
          <w:sz w:val="15"/>
        </w:rPr>
      </w:pPr>
    </w:p>
    <w:p>
      <w:pPr>
        <w:pStyle w:val="BodyText"/>
      </w:pPr>
      <w:r>
        <w:rPr/>
        <w:t>住所：北京市西城区复兴门内大街</w:t>
      </w:r>
      <w:r>
        <w:rPr>
          <w:rFonts w:ascii="Times New Roman" w:eastAsia="Times New Roman"/>
        </w:rPr>
        <w:t>1</w:t>
      </w:r>
      <w:r>
        <w:rPr/>
        <w:t>号</w:t>
      </w:r>
    </w:p>
    <w:p>
      <w:pPr>
        <w:pStyle w:val="BodyText"/>
        <w:spacing w:before="7"/>
        <w:ind w:left="0"/>
        <w:rPr>
          <w:sz w:val="15"/>
        </w:rPr>
      </w:pPr>
    </w:p>
    <w:p>
      <w:pPr>
        <w:pStyle w:val="BodyText"/>
      </w:pPr>
      <w:r>
        <w:rPr/>
        <w:t>办公地址：北京市西城区复兴门内大街</w:t>
      </w:r>
      <w:r>
        <w:rPr>
          <w:rFonts w:ascii="Times New Roman" w:eastAsia="Times New Roman"/>
        </w:rPr>
        <w:t>1</w:t>
      </w:r>
      <w:r>
        <w:rPr/>
        <w:t>号</w:t>
      </w:r>
    </w:p>
    <w:p>
      <w:pPr>
        <w:spacing w:after="0"/>
        <w:sectPr>
          <w:pgSz w:w="11910" w:h="16840"/>
          <w:pgMar w:header="705" w:footer="683" w:top="1420" w:bottom="880" w:left="1580" w:right="920"/>
        </w:sectPr>
      </w:pPr>
    </w:p>
    <w:p>
      <w:pPr>
        <w:pStyle w:val="BodyText"/>
        <w:spacing w:line="417" w:lineRule="auto" w:before="110"/>
        <w:ind w:right="6870"/>
        <w:jc w:val="both"/>
        <w:rPr>
          <w:rFonts w:ascii="Times New Roman" w:eastAsia="Times New Roman"/>
        </w:rPr>
      </w:pPr>
      <w:r>
        <w:rPr/>
        <w:t>法定代表人：刘连舸电话：</w:t>
      </w:r>
      <w:r>
        <w:rPr>
          <w:rFonts w:ascii="Times New Roman" w:eastAsia="Times New Roman"/>
        </w:rPr>
        <w:t>010-66596688 </w:t>
      </w:r>
      <w:r>
        <w:rPr/>
        <w:t>传真：</w:t>
      </w:r>
      <w:r>
        <w:rPr>
          <w:rFonts w:ascii="Times New Roman" w:eastAsia="Times New Roman"/>
        </w:rPr>
        <w:t>010-66593777</w:t>
      </w:r>
    </w:p>
    <w:p>
      <w:pPr>
        <w:pStyle w:val="BodyText"/>
        <w:spacing w:line="417" w:lineRule="auto"/>
        <w:ind w:right="6661"/>
        <w:rPr>
          <w:rFonts w:ascii="Times New Roman" w:eastAsia="Times New Roman"/>
        </w:rPr>
      </w:pPr>
      <w:r>
        <w:rPr/>
        <w:t>联系人：客户服务中心网址：</w:t>
      </w:r>
      <w:hyperlink r:id="rId46">
        <w:r>
          <w:rPr>
            <w:rFonts w:ascii="Times New Roman" w:eastAsia="Times New Roman"/>
          </w:rPr>
          <w:t>www.boc.cn</w:t>
        </w:r>
      </w:hyperlink>
    </w:p>
    <w:p>
      <w:pPr>
        <w:pStyle w:val="BodyText"/>
        <w:spacing w:line="269" w:lineRule="exact"/>
        <w:rPr>
          <w:rFonts w:ascii="Times New Roman" w:eastAsia="Times New Roman"/>
        </w:rPr>
      </w:pPr>
      <w:r>
        <w:rPr/>
        <w:t>客户服务电话：</w:t>
      </w:r>
      <w:r>
        <w:rPr>
          <w:rFonts w:ascii="Times New Roman" w:eastAsia="Times New Roman"/>
        </w:rPr>
        <w:t>95566</w:t>
      </w:r>
    </w:p>
    <w:p>
      <w:pPr>
        <w:pStyle w:val="BodyText"/>
        <w:spacing w:before="2"/>
        <w:ind w:left="0"/>
        <w:rPr>
          <w:rFonts w:ascii="Times New Roman"/>
          <w:sz w:val="17"/>
        </w:rPr>
      </w:pPr>
    </w:p>
    <w:p>
      <w:pPr>
        <w:pStyle w:val="ListParagraph"/>
        <w:numPr>
          <w:ilvl w:val="0"/>
          <w:numId w:val="31"/>
        </w:numPr>
        <w:tabs>
          <w:tab w:pos="1170" w:val="left" w:leader="none"/>
        </w:tabs>
        <w:spacing w:line="417" w:lineRule="auto" w:before="1" w:after="0"/>
        <w:ind w:left="640" w:right="5609" w:firstLine="0"/>
        <w:jc w:val="left"/>
        <w:rPr>
          <w:sz w:val="21"/>
        </w:rPr>
      </w:pPr>
      <w:r>
        <w:rPr>
          <w:spacing w:val="-3"/>
          <w:sz w:val="21"/>
        </w:rPr>
        <w:t>中国建设银行股份有限公司住所：北京市西城区金融大街</w:t>
      </w:r>
      <w:r>
        <w:rPr>
          <w:rFonts w:ascii="Times New Roman" w:eastAsia="Times New Roman"/>
          <w:sz w:val="21"/>
        </w:rPr>
        <w:t>25</w:t>
      </w:r>
      <w:r>
        <w:rPr>
          <w:spacing w:val="-13"/>
          <w:sz w:val="21"/>
        </w:rPr>
        <w:t>号</w:t>
      </w:r>
    </w:p>
    <w:p>
      <w:pPr>
        <w:pStyle w:val="BodyText"/>
        <w:spacing w:line="417" w:lineRule="auto"/>
        <w:ind w:right="4352"/>
      </w:pPr>
      <w:r>
        <w:rPr>
          <w:spacing w:val="-3"/>
        </w:rPr>
        <w:t>办公地址：北京市西城区闹市口大街</w:t>
      </w:r>
      <w:r>
        <w:rPr>
          <w:rFonts w:ascii="Times New Roman" w:eastAsia="Times New Roman"/>
        </w:rPr>
        <w:t>1</w:t>
      </w:r>
      <w:r>
        <w:rPr>
          <w:spacing w:val="-2"/>
        </w:rPr>
        <w:t>号院</w:t>
      </w:r>
      <w:r>
        <w:rPr>
          <w:rFonts w:ascii="Times New Roman" w:eastAsia="Times New Roman"/>
        </w:rPr>
        <w:t>1</w:t>
      </w:r>
      <w:r>
        <w:rPr>
          <w:spacing w:val="-9"/>
        </w:rPr>
        <w:t>号楼</w:t>
      </w:r>
      <w:r>
        <w:rPr>
          <w:spacing w:val="-3"/>
        </w:rPr>
        <w:t>法定代表人：田国立</w:t>
      </w:r>
    </w:p>
    <w:p>
      <w:pPr>
        <w:pStyle w:val="BodyText"/>
        <w:spacing w:line="417" w:lineRule="auto"/>
        <w:ind w:right="6767"/>
        <w:rPr>
          <w:rFonts w:ascii="Times New Roman" w:eastAsia="Times New Roman"/>
        </w:rPr>
      </w:pPr>
      <w:r>
        <w:rPr>
          <w:spacing w:val="-3"/>
        </w:rPr>
        <w:t>客户服务电话：</w:t>
      </w:r>
      <w:r>
        <w:rPr>
          <w:rFonts w:ascii="Times New Roman" w:eastAsia="Times New Roman"/>
          <w:spacing w:val="-4"/>
        </w:rPr>
        <w:t>95533 </w:t>
      </w:r>
      <w:r>
        <w:rPr/>
        <w:t>传真：</w:t>
      </w:r>
      <w:r>
        <w:rPr>
          <w:rFonts w:ascii="Times New Roman" w:eastAsia="Times New Roman"/>
        </w:rPr>
        <w:t>010-66275654</w:t>
      </w:r>
    </w:p>
    <w:p>
      <w:pPr>
        <w:pStyle w:val="BodyText"/>
        <w:spacing w:line="269" w:lineRule="exact"/>
      </w:pPr>
      <w:r>
        <w:rPr/>
        <w:t>联系人：王嘉朔</w:t>
      </w:r>
    </w:p>
    <w:p>
      <w:pPr>
        <w:pStyle w:val="BodyText"/>
        <w:spacing w:before="6"/>
        <w:ind w:left="0"/>
        <w:rPr>
          <w:sz w:val="15"/>
        </w:rPr>
      </w:pPr>
    </w:p>
    <w:p>
      <w:pPr>
        <w:pStyle w:val="BodyText"/>
        <w:rPr>
          <w:rFonts w:ascii="Times New Roman" w:eastAsia="Times New Roman"/>
        </w:rPr>
      </w:pPr>
      <w:r>
        <w:rPr/>
        <w:t>网址：</w:t>
      </w:r>
      <w:hyperlink r:id="rId47">
        <w:r>
          <w:rPr>
            <w:rFonts w:ascii="Times New Roman" w:eastAsia="Times New Roman"/>
          </w:rPr>
          <w:t>www.ccb.com</w:t>
        </w:r>
      </w:hyperlink>
    </w:p>
    <w:p>
      <w:pPr>
        <w:pStyle w:val="BodyText"/>
        <w:spacing w:before="4"/>
        <w:ind w:left="0"/>
        <w:rPr>
          <w:rFonts w:ascii="Times New Roman"/>
          <w:sz w:val="17"/>
        </w:rPr>
      </w:pPr>
    </w:p>
    <w:p>
      <w:pPr>
        <w:pStyle w:val="ListParagraph"/>
        <w:numPr>
          <w:ilvl w:val="0"/>
          <w:numId w:val="31"/>
        </w:numPr>
        <w:tabs>
          <w:tab w:pos="1170" w:val="left" w:leader="none"/>
        </w:tabs>
        <w:spacing w:line="240" w:lineRule="auto" w:before="0" w:after="0"/>
        <w:ind w:left="1169" w:right="0" w:hanging="530"/>
        <w:jc w:val="left"/>
        <w:rPr>
          <w:sz w:val="21"/>
        </w:rPr>
      </w:pPr>
      <w:r>
        <w:rPr>
          <w:spacing w:val="-3"/>
          <w:sz w:val="21"/>
        </w:rPr>
        <w:t>交通银行股份有限公司</w:t>
      </w:r>
    </w:p>
    <w:p>
      <w:pPr>
        <w:pStyle w:val="BodyText"/>
        <w:spacing w:before="7"/>
        <w:ind w:left="0"/>
        <w:rPr>
          <w:sz w:val="15"/>
        </w:rPr>
      </w:pPr>
    </w:p>
    <w:p>
      <w:pPr>
        <w:pStyle w:val="BodyText"/>
      </w:pPr>
      <w:r>
        <w:rPr/>
        <w:t>住所：上海市浦东新区银城中路</w:t>
      </w:r>
      <w:r>
        <w:rPr>
          <w:rFonts w:ascii="Times New Roman" w:eastAsia="Times New Roman"/>
        </w:rPr>
        <w:t>188</w:t>
      </w:r>
      <w:r>
        <w:rPr/>
        <w:t>号</w:t>
      </w:r>
    </w:p>
    <w:p>
      <w:pPr>
        <w:pStyle w:val="BodyText"/>
        <w:spacing w:before="6"/>
        <w:ind w:left="0"/>
        <w:rPr>
          <w:sz w:val="15"/>
        </w:rPr>
      </w:pPr>
    </w:p>
    <w:p>
      <w:pPr>
        <w:pStyle w:val="BodyText"/>
        <w:spacing w:line="417" w:lineRule="auto" w:before="1"/>
        <w:ind w:right="4875"/>
      </w:pPr>
      <w:r>
        <w:rPr/>
        <w:t>办公地址：上海市浦东新区银城中路</w:t>
      </w:r>
      <w:r>
        <w:rPr>
          <w:rFonts w:ascii="Times New Roman" w:eastAsia="Times New Roman"/>
        </w:rPr>
        <w:t>188</w:t>
      </w:r>
      <w:r>
        <w:rPr/>
        <w:t>号法定代表人：任德奇</w:t>
      </w:r>
    </w:p>
    <w:p>
      <w:pPr>
        <w:pStyle w:val="BodyText"/>
        <w:spacing w:line="417" w:lineRule="auto"/>
        <w:ind w:right="6906"/>
        <w:rPr>
          <w:rFonts w:ascii="Times New Roman" w:eastAsia="Times New Roman"/>
        </w:rPr>
      </w:pPr>
      <w:r>
        <w:rPr/>
        <w:t>电话：</w:t>
      </w:r>
      <w:r>
        <w:rPr>
          <w:rFonts w:ascii="Times New Roman" w:eastAsia="Times New Roman"/>
        </w:rPr>
        <w:t>021-58781234 </w:t>
      </w:r>
      <w:r>
        <w:rPr/>
        <w:t>传真：</w:t>
      </w:r>
      <w:r>
        <w:rPr>
          <w:rFonts w:ascii="Times New Roman" w:eastAsia="Times New Roman"/>
        </w:rPr>
        <w:t>021-58408483</w:t>
      </w:r>
    </w:p>
    <w:p>
      <w:pPr>
        <w:pStyle w:val="BodyText"/>
        <w:spacing w:line="269" w:lineRule="exact"/>
      </w:pPr>
      <w:r>
        <w:rPr/>
        <w:t>联系人：陈旭</w:t>
      </w:r>
    </w:p>
    <w:p>
      <w:pPr>
        <w:pStyle w:val="BodyText"/>
        <w:spacing w:before="6"/>
        <w:ind w:left="0"/>
        <w:rPr>
          <w:sz w:val="15"/>
        </w:rPr>
      </w:pPr>
    </w:p>
    <w:p>
      <w:pPr>
        <w:pStyle w:val="BodyText"/>
        <w:spacing w:line="417" w:lineRule="auto" w:before="1"/>
        <w:ind w:right="6248"/>
        <w:rPr>
          <w:rFonts w:ascii="Times New Roman" w:eastAsia="Times New Roman"/>
        </w:rPr>
      </w:pPr>
      <w:r>
        <w:rPr/>
        <w:t>网址：</w:t>
      </w:r>
      <w:hyperlink r:id="rId48">
        <w:r>
          <w:rPr>
            <w:rFonts w:ascii="Times New Roman" w:eastAsia="Times New Roman"/>
          </w:rPr>
          <w:t>www.bankcomm.com </w:t>
        </w:r>
      </w:hyperlink>
      <w:r>
        <w:rPr/>
        <w:t>客户服务电话：</w:t>
      </w:r>
      <w:r>
        <w:rPr>
          <w:rFonts w:ascii="Times New Roman" w:eastAsia="Times New Roman"/>
        </w:rPr>
        <w:t>95559</w:t>
      </w:r>
    </w:p>
    <w:p>
      <w:pPr>
        <w:pStyle w:val="ListParagraph"/>
        <w:numPr>
          <w:ilvl w:val="0"/>
          <w:numId w:val="31"/>
        </w:numPr>
        <w:tabs>
          <w:tab w:pos="1170" w:val="left" w:leader="none"/>
        </w:tabs>
        <w:spacing w:line="269" w:lineRule="exact" w:before="0" w:after="0"/>
        <w:ind w:left="1169" w:right="0" w:hanging="530"/>
        <w:jc w:val="left"/>
        <w:rPr>
          <w:sz w:val="21"/>
        </w:rPr>
      </w:pPr>
      <w:r>
        <w:rPr>
          <w:spacing w:val="-3"/>
          <w:sz w:val="21"/>
        </w:rPr>
        <w:t>招商银行股份有限公司</w:t>
      </w:r>
    </w:p>
    <w:p>
      <w:pPr>
        <w:pStyle w:val="BodyText"/>
        <w:spacing w:before="6"/>
        <w:ind w:left="0"/>
        <w:rPr>
          <w:sz w:val="15"/>
        </w:rPr>
      </w:pPr>
    </w:p>
    <w:p>
      <w:pPr>
        <w:pStyle w:val="BodyText"/>
      </w:pPr>
      <w:r>
        <w:rPr/>
        <w:t>住所：深圳市深南大道</w:t>
      </w:r>
      <w:r>
        <w:rPr>
          <w:rFonts w:ascii="Times New Roman" w:eastAsia="Times New Roman"/>
        </w:rPr>
        <w:t>7088</w:t>
      </w:r>
      <w:r>
        <w:rPr/>
        <w:t>号招商银行大厦</w:t>
      </w:r>
    </w:p>
    <w:p>
      <w:pPr>
        <w:pStyle w:val="BodyText"/>
        <w:spacing w:before="7"/>
        <w:ind w:left="0"/>
        <w:rPr>
          <w:sz w:val="15"/>
        </w:rPr>
      </w:pPr>
    </w:p>
    <w:p>
      <w:pPr>
        <w:pStyle w:val="BodyText"/>
        <w:spacing w:line="417" w:lineRule="auto"/>
        <w:ind w:right="4349"/>
      </w:pPr>
      <w:r>
        <w:rPr/>
        <w:t>办公地址：深圳市深南大道</w:t>
      </w:r>
      <w:r>
        <w:rPr>
          <w:rFonts w:ascii="Times New Roman" w:eastAsia="Times New Roman"/>
        </w:rPr>
        <w:t>7088</w:t>
      </w:r>
      <w:r>
        <w:rPr/>
        <w:t>号招商银行大厦法定代表人：李建红</w:t>
      </w:r>
    </w:p>
    <w:p>
      <w:pPr>
        <w:pStyle w:val="BodyText"/>
        <w:spacing w:line="417" w:lineRule="auto"/>
        <w:ind w:right="6800"/>
        <w:rPr>
          <w:rFonts w:ascii="Times New Roman" w:eastAsia="Times New Roman"/>
        </w:rPr>
      </w:pPr>
      <w:r>
        <w:rPr/>
        <w:t>电话：</w:t>
      </w:r>
      <w:r>
        <w:rPr>
          <w:rFonts w:ascii="Times New Roman" w:eastAsia="Times New Roman"/>
        </w:rPr>
        <w:t>0755-83198888 </w:t>
      </w:r>
      <w:r>
        <w:rPr/>
        <w:t>传真：</w:t>
      </w:r>
      <w:r>
        <w:rPr>
          <w:rFonts w:ascii="Times New Roman" w:eastAsia="Times New Roman"/>
        </w:rPr>
        <w:t>0755-83195109</w:t>
      </w:r>
    </w:p>
    <w:p>
      <w:pPr>
        <w:pStyle w:val="BodyText"/>
      </w:pPr>
      <w:r>
        <w:rPr/>
        <w:t>联系人：邓炯鹏</w:t>
      </w:r>
    </w:p>
    <w:p>
      <w:pPr>
        <w:spacing w:after="0"/>
        <w:sectPr>
          <w:pgSz w:w="11910" w:h="16840"/>
          <w:pgMar w:header="705" w:footer="683" w:top="1420" w:bottom="880" w:left="1580" w:right="920"/>
        </w:sectPr>
      </w:pPr>
    </w:p>
    <w:p>
      <w:pPr>
        <w:pStyle w:val="BodyText"/>
        <w:spacing w:line="417" w:lineRule="auto" w:before="110"/>
        <w:ind w:right="6363"/>
        <w:rPr>
          <w:rFonts w:ascii="Times New Roman" w:eastAsia="Times New Roman"/>
        </w:rPr>
      </w:pPr>
      <w:r>
        <w:rPr/>
        <w:t>网址：</w:t>
      </w:r>
      <w:hyperlink r:id="rId49">
        <w:r>
          <w:rPr>
            <w:rFonts w:ascii="Times New Roman" w:eastAsia="Times New Roman"/>
          </w:rPr>
          <w:t>www.cmbchina.com </w:t>
        </w:r>
      </w:hyperlink>
      <w:r>
        <w:rPr/>
        <w:t>客户服务电话：</w:t>
      </w:r>
      <w:r>
        <w:rPr>
          <w:rFonts w:ascii="Times New Roman" w:eastAsia="Times New Roman"/>
        </w:rPr>
        <w:t>95555</w:t>
      </w:r>
    </w:p>
    <w:p>
      <w:pPr>
        <w:pStyle w:val="ListParagraph"/>
        <w:numPr>
          <w:ilvl w:val="0"/>
          <w:numId w:val="31"/>
        </w:numPr>
        <w:tabs>
          <w:tab w:pos="1170" w:val="left" w:leader="none"/>
        </w:tabs>
        <w:spacing w:line="417" w:lineRule="auto" w:before="0" w:after="0"/>
        <w:ind w:left="640" w:right="5295" w:firstLine="0"/>
        <w:jc w:val="left"/>
        <w:rPr>
          <w:sz w:val="21"/>
        </w:rPr>
      </w:pPr>
      <w:r>
        <w:rPr>
          <w:spacing w:val="-4"/>
          <w:sz w:val="21"/>
        </w:rPr>
        <w:t>上海浦东发展银行股份有限公司</w:t>
      </w:r>
      <w:r>
        <w:rPr>
          <w:spacing w:val="-3"/>
          <w:sz w:val="21"/>
        </w:rPr>
        <w:t>住所：上海市中山东一路</w:t>
      </w:r>
      <w:r>
        <w:rPr>
          <w:rFonts w:ascii="Times New Roman" w:eastAsia="Times New Roman"/>
          <w:sz w:val="21"/>
        </w:rPr>
        <w:t>12</w:t>
      </w:r>
      <w:r>
        <w:rPr>
          <w:sz w:val="21"/>
        </w:rPr>
        <w:t>号</w:t>
      </w:r>
    </w:p>
    <w:p>
      <w:pPr>
        <w:pStyle w:val="BodyText"/>
        <w:spacing w:line="417" w:lineRule="auto"/>
        <w:ind w:right="5715"/>
      </w:pPr>
      <w:r>
        <w:rPr/>
        <w:t>办公地址：上海市北京东路</w:t>
      </w:r>
      <w:r>
        <w:rPr>
          <w:rFonts w:ascii="Times New Roman" w:eastAsia="Times New Roman"/>
        </w:rPr>
        <w:t>689</w:t>
      </w:r>
      <w:r>
        <w:rPr/>
        <w:t>号法定代表人：郑杨</w:t>
      </w:r>
    </w:p>
    <w:p>
      <w:pPr>
        <w:pStyle w:val="BodyText"/>
        <w:spacing w:line="417" w:lineRule="auto"/>
        <w:ind w:right="6906"/>
        <w:rPr>
          <w:rFonts w:ascii="Times New Roman" w:eastAsia="Times New Roman"/>
        </w:rPr>
      </w:pPr>
      <w:r>
        <w:rPr/>
        <w:t>电话：</w:t>
      </w:r>
      <w:r>
        <w:rPr>
          <w:rFonts w:ascii="Times New Roman" w:eastAsia="Times New Roman"/>
        </w:rPr>
        <w:t>021-61618888 </w:t>
      </w:r>
      <w:r>
        <w:rPr/>
        <w:t>传真：</w:t>
      </w:r>
      <w:r>
        <w:rPr>
          <w:rFonts w:ascii="Times New Roman" w:eastAsia="Times New Roman"/>
        </w:rPr>
        <w:t>021-63602431</w:t>
      </w:r>
    </w:p>
    <w:p>
      <w:pPr>
        <w:pStyle w:val="BodyText"/>
        <w:spacing w:line="417" w:lineRule="auto"/>
        <w:ind w:right="6534"/>
        <w:rPr>
          <w:rFonts w:ascii="Times New Roman" w:eastAsia="Times New Roman"/>
        </w:rPr>
      </w:pPr>
      <w:r>
        <w:rPr/>
        <w:t>联系人：高天、汤嘉惠网址：</w:t>
      </w:r>
      <w:hyperlink r:id="rId50">
        <w:r>
          <w:rPr>
            <w:rFonts w:ascii="Times New Roman" w:eastAsia="Times New Roman"/>
          </w:rPr>
          <w:t>www.spdb.com.cn </w:t>
        </w:r>
      </w:hyperlink>
      <w:r>
        <w:rPr/>
        <w:t>客户服务电话：</w:t>
      </w:r>
      <w:r>
        <w:rPr>
          <w:rFonts w:ascii="Times New Roman" w:eastAsia="Times New Roman"/>
        </w:rPr>
        <w:t>95528</w:t>
      </w:r>
    </w:p>
    <w:p>
      <w:pPr>
        <w:pStyle w:val="ListParagraph"/>
        <w:numPr>
          <w:ilvl w:val="0"/>
          <w:numId w:val="31"/>
        </w:numPr>
        <w:tabs>
          <w:tab w:pos="1170" w:val="left" w:leader="none"/>
        </w:tabs>
        <w:spacing w:line="269" w:lineRule="exact" w:before="0" w:after="0"/>
        <w:ind w:left="1169" w:right="0" w:hanging="530"/>
        <w:jc w:val="left"/>
        <w:rPr>
          <w:sz w:val="21"/>
        </w:rPr>
      </w:pPr>
      <w:r>
        <w:rPr>
          <w:spacing w:val="-3"/>
          <w:sz w:val="21"/>
        </w:rPr>
        <w:t>中国民生银行股份有限公司</w:t>
      </w:r>
    </w:p>
    <w:p>
      <w:pPr>
        <w:pStyle w:val="BodyText"/>
        <w:spacing w:before="6"/>
        <w:ind w:left="0"/>
        <w:rPr>
          <w:sz w:val="15"/>
        </w:rPr>
      </w:pPr>
    </w:p>
    <w:p>
      <w:pPr>
        <w:pStyle w:val="BodyText"/>
      </w:pPr>
      <w:r>
        <w:rPr/>
        <w:t>住所：北京市西城区复兴门内大街</w:t>
      </w:r>
      <w:r>
        <w:rPr>
          <w:rFonts w:ascii="Times New Roman" w:eastAsia="Times New Roman"/>
        </w:rPr>
        <w:t>2</w:t>
      </w:r>
      <w:r>
        <w:rPr/>
        <w:t>号</w:t>
      </w:r>
    </w:p>
    <w:p>
      <w:pPr>
        <w:pStyle w:val="BodyText"/>
        <w:spacing w:before="6"/>
        <w:ind w:left="0"/>
        <w:rPr>
          <w:sz w:val="15"/>
        </w:rPr>
      </w:pPr>
    </w:p>
    <w:p>
      <w:pPr>
        <w:pStyle w:val="BodyText"/>
        <w:spacing w:line="417" w:lineRule="auto"/>
        <w:ind w:right="4875"/>
      </w:pPr>
      <w:r>
        <w:rPr/>
        <w:t>办公地址：北京市西城区复兴门内大街</w:t>
      </w:r>
      <w:r>
        <w:rPr>
          <w:rFonts w:ascii="Times New Roman" w:eastAsia="Times New Roman"/>
        </w:rPr>
        <w:t>2</w:t>
      </w:r>
      <w:r>
        <w:rPr/>
        <w:t>号法定代表人：董文标</w:t>
      </w:r>
    </w:p>
    <w:p>
      <w:pPr>
        <w:pStyle w:val="BodyText"/>
        <w:spacing w:line="417" w:lineRule="auto" w:before="1"/>
        <w:ind w:right="6767"/>
        <w:rPr>
          <w:rFonts w:ascii="Times New Roman" w:eastAsia="Times New Roman"/>
        </w:rPr>
      </w:pPr>
      <w:r>
        <w:rPr/>
        <w:t>客户服务电话：</w:t>
      </w:r>
      <w:r>
        <w:rPr>
          <w:rFonts w:ascii="Times New Roman" w:eastAsia="Times New Roman"/>
        </w:rPr>
        <w:t>95568 </w:t>
      </w:r>
      <w:r>
        <w:rPr/>
        <w:t>传真：</w:t>
      </w:r>
      <w:r>
        <w:rPr>
          <w:rFonts w:ascii="Times New Roman" w:eastAsia="Times New Roman"/>
        </w:rPr>
        <w:t>010-57092611</w:t>
      </w:r>
    </w:p>
    <w:p>
      <w:pPr>
        <w:pStyle w:val="BodyText"/>
        <w:spacing w:line="269" w:lineRule="exact"/>
      </w:pPr>
      <w:r>
        <w:rPr/>
        <w:t>联系人：董云巍</w:t>
      </w:r>
    </w:p>
    <w:p>
      <w:pPr>
        <w:pStyle w:val="BodyText"/>
        <w:spacing w:before="6"/>
        <w:ind w:left="0"/>
        <w:rPr>
          <w:sz w:val="15"/>
        </w:rPr>
      </w:pPr>
    </w:p>
    <w:p>
      <w:pPr>
        <w:pStyle w:val="BodyText"/>
        <w:rPr>
          <w:rFonts w:ascii="Times New Roman" w:eastAsia="Times New Roman"/>
        </w:rPr>
      </w:pPr>
      <w:r>
        <w:rPr/>
        <w:t>网址：</w:t>
      </w:r>
      <w:hyperlink r:id="rId51">
        <w:r>
          <w:rPr>
            <w:rFonts w:ascii="Times New Roman" w:eastAsia="Times New Roman"/>
          </w:rPr>
          <w:t>www.cmbc.com.cn</w:t>
        </w:r>
      </w:hyperlink>
    </w:p>
    <w:p>
      <w:pPr>
        <w:pStyle w:val="BodyText"/>
        <w:spacing w:before="4"/>
        <w:ind w:left="0"/>
        <w:rPr>
          <w:rFonts w:ascii="Times New Roman"/>
          <w:sz w:val="17"/>
        </w:rPr>
      </w:pPr>
    </w:p>
    <w:p>
      <w:pPr>
        <w:pStyle w:val="ListParagraph"/>
        <w:numPr>
          <w:ilvl w:val="0"/>
          <w:numId w:val="31"/>
        </w:numPr>
        <w:tabs>
          <w:tab w:pos="1170" w:val="left" w:leader="none"/>
        </w:tabs>
        <w:spacing w:line="240" w:lineRule="auto" w:before="0" w:after="0"/>
        <w:ind w:left="1169" w:right="0" w:hanging="530"/>
        <w:jc w:val="left"/>
        <w:rPr>
          <w:sz w:val="21"/>
        </w:rPr>
      </w:pPr>
      <w:r>
        <w:rPr>
          <w:spacing w:val="-3"/>
          <w:sz w:val="21"/>
        </w:rPr>
        <w:t>华夏银行股份有限公司</w:t>
      </w:r>
    </w:p>
    <w:p>
      <w:pPr>
        <w:pStyle w:val="BodyText"/>
        <w:spacing w:before="6"/>
        <w:ind w:left="0"/>
        <w:rPr>
          <w:sz w:val="15"/>
        </w:rPr>
      </w:pPr>
    </w:p>
    <w:p>
      <w:pPr>
        <w:pStyle w:val="BodyText"/>
      </w:pPr>
      <w:r>
        <w:rPr/>
        <w:t>住所：北京市东城区建国门内大街</w:t>
      </w:r>
      <w:r>
        <w:rPr>
          <w:rFonts w:ascii="Times New Roman" w:eastAsia="Times New Roman"/>
        </w:rPr>
        <w:t>22</w:t>
      </w:r>
      <w:r>
        <w:rPr/>
        <w:t>号</w:t>
      </w:r>
    </w:p>
    <w:p>
      <w:pPr>
        <w:pStyle w:val="BodyText"/>
        <w:spacing w:before="8"/>
        <w:ind w:left="0"/>
        <w:rPr>
          <w:sz w:val="15"/>
        </w:rPr>
      </w:pPr>
    </w:p>
    <w:p>
      <w:pPr>
        <w:pStyle w:val="BodyText"/>
        <w:spacing w:line="417" w:lineRule="auto"/>
        <w:ind w:right="4769"/>
      </w:pPr>
      <w:r>
        <w:rPr/>
        <w:t>办公地址：北京市东城区建国门内大街</w:t>
      </w:r>
      <w:r>
        <w:rPr>
          <w:rFonts w:ascii="Times New Roman" w:eastAsia="Times New Roman"/>
        </w:rPr>
        <w:t>22</w:t>
      </w:r>
      <w:r>
        <w:rPr/>
        <w:t>号法定代表人：吴建</w:t>
      </w:r>
    </w:p>
    <w:p>
      <w:pPr>
        <w:pStyle w:val="BodyText"/>
        <w:spacing w:line="417" w:lineRule="auto"/>
        <w:ind w:right="6906"/>
        <w:rPr>
          <w:rFonts w:ascii="Times New Roman" w:eastAsia="Times New Roman"/>
        </w:rPr>
      </w:pPr>
      <w:r>
        <w:rPr/>
        <w:t>电话：</w:t>
      </w:r>
      <w:r>
        <w:rPr>
          <w:rFonts w:ascii="Times New Roman" w:eastAsia="Times New Roman"/>
        </w:rPr>
        <w:t>010-85238670 </w:t>
      </w:r>
      <w:r>
        <w:rPr/>
        <w:t>传真：</w:t>
      </w:r>
      <w:r>
        <w:rPr>
          <w:rFonts w:ascii="Times New Roman" w:eastAsia="Times New Roman"/>
        </w:rPr>
        <w:t>010-85238680</w:t>
      </w:r>
    </w:p>
    <w:p>
      <w:pPr>
        <w:pStyle w:val="BodyText"/>
        <w:spacing w:line="269" w:lineRule="exact"/>
      </w:pPr>
      <w:r>
        <w:rPr/>
        <w:t>联系人：李慧</w:t>
      </w:r>
    </w:p>
    <w:p>
      <w:pPr>
        <w:pStyle w:val="BodyText"/>
        <w:spacing w:before="6"/>
        <w:ind w:left="0"/>
        <w:rPr>
          <w:sz w:val="15"/>
        </w:rPr>
      </w:pPr>
    </w:p>
    <w:p>
      <w:pPr>
        <w:pStyle w:val="BodyText"/>
        <w:spacing w:line="417" w:lineRule="auto"/>
        <w:ind w:right="6615"/>
        <w:rPr>
          <w:rFonts w:ascii="Times New Roman" w:eastAsia="Times New Roman"/>
        </w:rPr>
      </w:pPr>
      <w:r>
        <w:rPr/>
        <w:t>网址：</w:t>
      </w:r>
      <w:hyperlink r:id="rId52">
        <w:r>
          <w:rPr>
            <w:rFonts w:ascii="Times New Roman" w:eastAsia="Times New Roman"/>
          </w:rPr>
          <w:t>www.hxb.com.cn </w:t>
        </w:r>
      </w:hyperlink>
      <w:r>
        <w:rPr/>
        <w:t>客户服务电话：</w:t>
      </w:r>
      <w:r>
        <w:rPr>
          <w:rFonts w:ascii="Times New Roman" w:eastAsia="Times New Roman"/>
        </w:rPr>
        <w:t>95577</w:t>
      </w:r>
    </w:p>
    <w:p>
      <w:pPr>
        <w:pStyle w:val="ListParagraph"/>
        <w:numPr>
          <w:ilvl w:val="0"/>
          <w:numId w:val="31"/>
        </w:numPr>
        <w:tabs>
          <w:tab w:pos="1275" w:val="left" w:leader="none"/>
        </w:tabs>
        <w:spacing w:line="240" w:lineRule="auto" w:before="0" w:after="0"/>
        <w:ind w:left="1275" w:right="0" w:hanging="635"/>
        <w:jc w:val="left"/>
        <w:rPr>
          <w:sz w:val="21"/>
        </w:rPr>
      </w:pPr>
      <w:r>
        <w:rPr>
          <w:spacing w:val="-3"/>
          <w:sz w:val="21"/>
        </w:rPr>
        <w:t>上海银行股份有限公司</w:t>
      </w:r>
    </w:p>
    <w:p>
      <w:pPr>
        <w:pStyle w:val="BodyText"/>
        <w:spacing w:before="7"/>
        <w:ind w:left="0"/>
        <w:rPr>
          <w:sz w:val="15"/>
        </w:rPr>
      </w:pPr>
    </w:p>
    <w:p>
      <w:pPr>
        <w:pStyle w:val="BodyText"/>
      </w:pPr>
      <w:r>
        <w:rPr/>
        <w:t>住所：上海市浦东新区银城中路</w:t>
      </w:r>
      <w:r>
        <w:rPr>
          <w:rFonts w:ascii="Times New Roman" w:eastAsia="Times New Roman"/>
        </w:rPr>
        <w:t>168</w:t>
      </w:r>
      <w:r>
        <w:rPr/>
        <w:t>号</w:t>
      </w:r>
    </w:p>
    <w:p>
      <w:pPr>
        <w:spacing w:after="0"/>
        <w:sectPr>
          <w:pgSz w:w="11910" w:h="16840"/>
          <w:pgMar w:header="705" w:footer="683" w:top="1420" w:bottom="880" w:left="1580" w:right="920"/>
        </w:sectPr>
      </w:pPr>
    </w:p>
    <w:p>
      <w:pPr>
        <w:pStyle w:val="BodyText"/>
        <w:spacing w:line="417" w:lineRule="auto" w:before="110"/>
        <w:ind w:right="4875"/>
      </w:pPr>
      <w:r>
        <w:rPr/>
        <w:t>办公地址：上海市浦东新区银城中路</w:t>
      </w:r>
      <w:r>
        <w:rPr>
          <w:rFonts w:ascii="Times New Roman" w:eastAsia="Times New Roman"/>
        </w:rPr>
        <w:t>168</w:t>
      </w:r>
      <w:r>
        <w:rPr/>
        <w:t>号法定代表人：金煜</w:t>
      </w:r>
    </w:p>
    <w:p>
      <w:pPr>
        <w:pStyle w:val="BodyText"/>
        <w:spacing w:line="417" w:lineRule="auto"/>
        <w:ind w:right="6906"/>
        <w:rPr>
          <w:rFonts w:ascii="Times New Roman" w:eastAsia="Times New Roman"/>
        </w:rPr>
      </w:pPr>
      <w:r>
        <w:rPr/>
        <w:t>电话：</w:t>
      </w:r>
      <w:r>
        <w:rPr>
          <w:rFonts w:ascii="Times New Roman" w:eastAsia="Times New Roman"/>
        </w:rPr>
        <w:t>021-68475888 </w:t>
      </w:r>
      <w:r>
        <w:rPr/>
        <w:t>传真：</w:t>
      </w:r>
      <w:r>
        <w:rPr>
          <w:rFonts w:ascii="Times New Roman" w:eastAsia="Times New Roman"/>
        </w:rPr>
        <w:t>021-68476111</w:t>
      </w:r>
    </w:p>
    <w:p>
      <w:pPr>
        <w:pStyle w:val="BodyText"/>
        <w:spacing w:line="269" w:lineRule="exact"/>
      </w:pPr>
      <w:r>
        <w:rPr/>
        <w:t>联系人：王笑</w:t>
      </w:r>
    </w:p>
    <w:p>
      <w:pPr>
        <w:pStyle w:val="BodyText"/>
        <w:spacing w:before="6"/>
        <w:ind w:left="0"/>
        <w:rPr>
          <w:sz w:val="15"/>
        </w:rPr>
      </w:pPr>
    </w:p>
    <w:p>
      <w:pPr>
        <w:pStyle w:val="BodyText"/>
        <w:spacing w:line="417" w:lineRule="auto"/>
        <w:ind w:right="6400"/>
        <w:rPr>
          <w:rFonts w:ascii="Times New Roman" w:eastAsia="Times New Roman"/>
        </w:rPr>
      </w:pPr>
      <w:r>
        <w:rPr/>
        <w:t>网址：</w:t>
      </w:r>
      <w:hyperlink r:id="rId53">
        <w:r>
          <w:rPr>
            <w:rFonts w:ascii="Times New Roman" w:eastAsia="Times New Roman"/>
          </w:rPr>
          <w:t>http://www.bosc.cn/ </w:t>
        </w:r>
      </w:hyperlink>
      <w:r>
        <w:rPr/>
        <w:t>客户服务电话：</w:t>
      </w:r>
      <w:r>
        <w:rPr>
          <w:rFonts w:ascii="Times New Roman" w:eastAsia="Times New Roman"/>
        </w:rPr>
        <w:t>95594</w:t>
      </w:r>
    </w:p>
    <w:p>
      <w:pPr>
        <w:pStyle w:val="ListParagraph"/>
        <w:numPr>
          <w:ilvl w:val="0"/>
          <w:numId w:val="31"/>
        </w:numPr>
        <w:tabs>
          <w:tab w:pos="1266" w:val="left" w:leader="none"/>
        </w:tabs>
        <w:spacing w:line="240" w:lineRule="auto" w:before="0" w:after="0"/>
        <w:ind w:left="1265" w:right="0" w:hanging="626"/>
        <w:jc w:val="left"/>
        <w:rPr>
          <w:sz w:val="21"/>
        </w:rPr>
      </w:pPr>
      <w:r>
        <w:rPr>
          <w:spacing w:val="-3"/>
          <w:sz w:val="21"/>
        </w:rPr>
        <w:t>宁波银行股份有限公司</w:t>
      </w:r>
    </w:p>
    <w:p>
      <w:pPr>
        <w:pStyle w:val="BodyText"/>
        <w:spacing w:before="7"/>
        <w:ind w:left="0"/>
        <w:rPr>
          <w:sz w:val="15"/>
        </w:rPr>
      </w:pPr>
    </w:p>
    <w:p>
      <w:pPr>
        <w:pStyle w:val="BodyText"/>
      </w:pPr>
      <w:r>
        <w:rPr/>
        <w:t>住所：宁波市鄞州区宁南南路</w:t>
      </w:r>
      <w:r>
        <w:rPr>
          <w:rFonts w:ascii="Times New Roman" w:eastAsia="Times New Roman"/>
        </w:rPr>
        <w:t>700</w:t>
      </w:r>
      <w:r>
        <w:rPr/>
        <w:t>号</w:t>
      </w:r>
    </w:p>
    <w:p>
      <w:pPr>
        <w:pStyle w:val="BodyText"/>
        <w:spacing w:before="7"/>
        <w:ind w:left="0"/>
        <w:rPr>
          <w:sz w:val="15"/>
        </w:rPr>
      </w:pPr>
    </w:p>
    <w:p>
      <w:pPr>
        <w:pStyle w:val="BodyText"/>
        <w:spacing w:line="417" w:lineRule="auto"/>
        <w:ind w:right="5084"/>
      </w:pPr>
      <w:r>
        <w:rPr/>
        <w:t>办公地址：宁波市鄞州区宁南南路</w:t>
      </w:r>
      <w:r>
        <w:rPr>
          <w:rFonts w:ascii="Times New Roman" w:eastAsia="Times New Roman"/>
        </w:rPr>
        <w:t>700</w:t>
      </w:r>
      <w:r>
        <w:rPr/>
        <w:t>号法定代表人：陆华裕</w:t>
      </w:r>
    </w:p>
    <w:p>
      <w:pPr>
        <w:pStyle w:val="BodyText"/>
        <w:spacing w:line="417" w:lineRule="auto"/>
        <w:ind w:right="6800"/>
        <w:rPr>
          <w:rFonts w:ascii="Times New Roman" w:eastAsia="Times New Roman"/>
        </w:rPr>
      </w:pPr>
      <w:r>
        <w:rPr/>
        <w:t>电话：</w:t>
      </w:r>
      <w:r>
        <w:rPr>
          <w:rFonts w:ascii="Times New Roman" w:eastAsia="Times New Roman"/>
        </w:rPr>
        <w:t>0574-89068340 </w:t>
      </w:r>
      <w:r>
        <w:rPr/>
        <w:t>传真：</w:t>
      </w:r>
      <w:r>
        <w:rPr>
          <w:rFonts w:ascii="Times New Roman" w:eastAsia="Times New Roman"/>
        </w:rPr>
        <w:t>0574-87050024</w:t>
      </w:r>
    </w:p>
    <w:p>
      <w:pPr>
        <w:pStyle w:val="BodyText"/>
        <w:spacing w:line="417" w:lineRule="auto"/>
        <w:ind w:right="6978"/>
        <w:rPr>
          <w:rFonts w:ascii="Times New Roman" w:eastAsia="Times New Roman"/>
        </w:rPr>
      </w:pPr>
      <w:r>
        <w:rPr>
          <w:spacing w:val="-2"/>
        </w:rPr>
        <w:t>联系人：胡技勋  </w:t>
      </w:r>
      <w:r>
        <w:rPr>
          <w:spacing w:val="-3"/>
        </w:rPr>
        <w:t>网址：</w:t>
      </w:r>
      <w:hyperlink r:id="rId54">
        <w:r>
          <w:rPr>
            <w:rFonts w:ascii="Times New Roman" w:eastAsia="Times New Roman"/>
            <w:spacing w:val="-4"/>
          </w:rPr>
          <w:t>www.nbcb.cn</w:t>
        </w:r>
      </w:hyperlink>
    </w:p>
    <w:p>
      <w:pPr>
        <w:pStyle w:val="BodyText"/>
        <w:rPr>
          <w:rFonts w:ascii="Times New Roman" w:eastAsia="Times New Roman"/>
        </w:rPr>
      </w:pPr>
      <w:r>
        <w:rPr/>
        <w:t>客户服务电话：</w:t>
      </w:r>
      <w:r>
        <w:rPr>
          <w:rFonts w:ascii="Times New Roman" w:eastAsia="Times New Roman"/>
        </w:rPr>
        <w:t>95574</w:t>
      </w:r>
    </w:p>
    <w:p>
      <w:pPr>
        <w:pStyle w:val="BodyText"/>
        <w:spacing w:before="3"/>
        <w:ind w:left="0"/>
        <w:rPr>
          <w:rFonts w:ascii="Times New Roman"/>
          <w:sz w:val="17"/>
        </w:rPr>
      </w:pPr>
    </w:p>
    <w:p>
      <w:pPr>
        <w:pStyle w:val="ListParagraph"/>
        <w:numPr>
          <w:ilvl w:val="0"/>
          <w:numId w:val="31"/>
        </w:numPr>
        <w:tabs>
          <w:tab w:pos="1275" w:val="left" w:leader="none"/>
        </w:tabs>
        <w:spacing w:line="417" w:lineRule="auto" w:before="0" w:after="0"/>
        <w:ind w:left="640" w:right="5189" w:firstLine="0"/>
        <w:jc w:val="left"/>
        <w:rPr>
          <w:sz w:val="21"/>
        </w:rPr>
      </w:pPr>
      <w:r>
        <w:rPr>
          <w:spacing w:val="-4"/>
          <w:sz w:val="21"/>
        </w:rPr>
        <w:t>上海农村商业银行股份有限公司</w:t>
      </w:r>
      <w:r>
        <w:rPr>
          <w:spacing w:val="-3"/>
          <w:sz w:val="21"/>
        </w:rPr>
        <w:t>住所：上海市浦东新区浦东大道</w:t>
      </w:r>
      <w:r>
        <w:rPr>
          <w:rFonts w:ascii="Times New Roman" w:eastAsia="Times New Roman"/>
          <w:sz w:val="21"/>
        </w:rPr>
        <w:t>981</w:t>
      </w:r>
      <w:r>
        <w:rPr>
          <w:sz w:val="21"/>
        </w:rPr>
        <w:t>号</w:t>
      </w:r>
    </w:p>
    <w:p>
      <w:pPr>
        <w:pStyle w:val="BodyText"/>
        <w:spacing w:line="417" w:lineRule="auto"/>
        <w:ind w:right="3826"/>
      </w:pPr>
      <w:r>
        <w:rPr/>
        <w:t>办公地址：上海市银城中路</w:t>
      </w:r>
      <w:r>
        <w:rPr>
          <w:rFonts w:ascii="Times New Roman" w:eastAsia="Times New Roman"/>
        </w:rPr>
        <w:t>8</w:t>
      </w:r>
      <w:r>
        <w:rPr/>
        <w:t>号中融碧玉蓝天大厦</w:t>
      </w:r>
      <w:r>
        <w:rPr>
          <w:rFonts w:ascii="Times New Roman" w:eastAsia="Times New Roman"/>
        </w:rPr>
        <w:t>15</w:t>
      </w:r>
      <w:r>
        <w:rPr/>
        <w:t>层法定代表人：胡平西</w:t>
      </w:r>
    </w:p>
    <w:p>
      <w:pPr>
        <w:pStyle w:val="BodyText"/>
        <w:spacing w:line="417" w:lineRule="auto"/>
        <w:ind w:right="6906"/>
        <w:rPr>
          <w:rFonts w:ascii="Times New Roman" w:eastAsia="Times New Roman"/>
        </w:rPr>
      </w:pPr>
      <w:r>
        <w:rPr/>
        <w:t>电话：</w:t>
      </w:r>
      <w:r>
        <w:rPr>
          <w:rFonts w:ascii="Times New Roman" w:eastAsia="Times New Roman"/>
        </w:rPr>
        <w:t>021-38523692 </w:t>
      </w:r>
      <w:r>
        <w:rPr/>
        <w:t>传真：</w:t>
      </w:r>
      <w:r>
        <w:rPr>
          <w:rFonts w:ascii="Times New Roman" w:eastAsia="Times New Roman"/>
        </w:rPr>
        <w:t>021-50105124</w:t>
      </w:r>
    </w:p>
    <w:p>
      <w:pPr>
        <w:pStyle w:val="BodyText"/>
      </w:pPr>
      <w:r>
        <w:rPr/>
        <w:t>联系人：施传荣</w:t>
      </w:r>
    </w:p>
    <w:p>
      <w:pPr>
        <w:pStyle w:val="BodyText"/>
        <w:spacing w:before="6"/>
        <w:ind w:left="0"/>
        <w:rPr>
          <w:sz w:val="15"/>
        </w:rPr>
      </w:pPr>
    </w:p>
    <w:p>
      <w:pPr>
        <w:pStyle w:val="BodyText"/>
        <w:rPr>
          <w:rFonts w:ascii="Times New Roman" w:eastAsia="Times New Roman"/>
        </w:rPr>
      </w:pPr>
      <w:r>
        <w:rPr/>
        <w:t>网址：</w:t>
      </w:r>
      <w:hyperlink r:id="rId55">
        <w:r>
          <w:rPr>
            <w:rFonts w:ascii="Times New Roman" w:eastAsia="Times New Roman"/>
          </w:rPr>
          <w:t>www.srcb.com</w:t>
        </w:r>
      </w:hyperlink>
    </w:p>
    <w:p>
      <w:pPr>
        <w:pStyle w:val="BodyText"/>
        <w:spacing w:before="3"/>
        <w:ind w:left="0"/>
        <w:rPr>
          <w:rFonts w:ascii="Times New Roman"/>
          <w:sz w:val="17"/>
        </w:rPr>
      </w:pPr>
    </w:p>
    <w:p>
      <w:pPr>
        <w:pStyle w:val="BodyText"/>
        <w:spacing w:before="1"/>
        <w:rPr>
          <w:rFonts w:ascii="Times New Roman" w:eastAsia="Times New Roman"/>
        </w:rPr>
      </w:pPr>
      <w:r>
        <w:rPr/>
        <w:t>客户服务电话：</w:t>
      </w:r>
      <w:r>
        <w:rPr>
          <w:rFonts w:ascii="Times New Roman" w:eastAsia="Times New Roman"/>
        </w:rPr>
        <w:t>021-962999</w:t>
      </w:r>
    </w:p>
    <w:p>
      <w:pPr>
        <w:pStyle w:val="BodyText"/>
        <w:spacing w:before="3"/>
        <w:ind w:left="0"/>
        <w:rPr>
          <w:rFonts w:ascii="Times New Roman"/>
          <w:sz w:val="17"/>
        </w:rPr>
      </w:pPr>
    </w:p>
    <w:p>
      <w:pPr>
        <w:pStyle w:val="ListParagraph"/>
        <w:numPr>
          <w:ilvl w:val="0"/>
          <w:numId w:val="31"/>
        </w:numPr>
        <w:tabs>
          <w:tab w:pos="1275" w:val="left" w:leader="none"/>
        </w:tabs>
        <w:spacing w:line="417" w:lineRule="auto" w:before="0" w:after="0"/>
        <w:ind w:left="640" w:right="4978" w:firstLine="0"/>
        <w:jc w:val="left"/>
        <w:rPr>
          <w:sz w:val="21"/>
        </w:rPr>
      </w:pPr>
      <w:r>
        <w:rPr>
          <w:spacing w:val="-3"/>
          <w:sz w:val="21"/>
        </w:rPr>
        <w:t>北京农村商业银行股份有限公司 住所：北京市西城区月坛南街</w:t>
      </w:r>
      <w:r>
        <w:rPr>
          <w:rFonts w:ascii="Times New Roman" w:eastAsia="Times New Roman"/>
          <w:spacing w:val="-3"/>
          <w:sz w:val="21"/>
        </w:rPr>
        <w:t>1</w:t>
      </w:r>
      <w:r>
        <w:rPr>
          <w:sz w:val="21"/>
        </w:rPr>
        <w:t>号院</w:t>
      </w:r>
      <w:r>
        <w:rPr>
          <w:rFonts w:ascii="Times New Roman" w:eastAsia="Times New Roman"/>
          <w:spacing w:val="-3"/>
          <w:sz w:val="21"/>
        </w:rPr>
        <w:t>2</w:t>
      </w:r>
      <w:r>
        <w:rPr>
          <w:spacing w:val="-7"/>
          <w:sz w:val="21"/>
        </w:rPr>
        <w:t>号楼</w:t>
      </w:r>
    </w:p>
    <w:p>
      <w:pPr>
        <w:pStyle w:val="BodyText"/>
        <w:spacing w:line="417" w:lineRule="auto"/>
        <w:ind w:right="4558"/>
      </w:pPr>
      <w:r>
        <w:rPr>
          <w:spacing w:val="-3"/>
        </w:rPr>
        <w:t>办公地址：北京市西城区月坛南街</w:t>
      </w:r>
      <w:r>
        <w:rPr>
          <w:rFonts w:ascii="Times New Roman" w:eastAsia="Times New Roman"/>
          <w:spacing w:val="-3"/>
        </w:rPr>
        <w:t>1</w:t>
      </w:r>
      <w:r>
        <w:rPr/>
        <w:t>号院</w:t>
      </w:r>
      <w:r>
        <w:rPr>
          <w:rFonts w:ascii="Times New Roman" w:eastAsia="Times New Roman"/>
          <w:spacing w:val="-3"/>
        </w:rPr>
        <w:t>2</w:t>
      </w:r>
      <w:r>
        <w:rPr>
          <w:spacing w:val="-6"/>
        </w:rPr>
        <w:t>号楼</w:t>
      </w:r>
      <w:r>
        <w:rPr>
          <w:spacing w:val="-3"/>
        </w:rPr>
        <w:t>法定代表人：王金山</w:t>
      </w:r>
    </w:p>
    <w:p>
      <w:pPr>
        <w:pStyle w:val="BodyText"/>
        <w:rPr>
          <w:rFonts w:ascii="Times New Roman" w:eastAsia="Times New Roman"/>
        </w:rPr>
      </w:pPr>
      <w:r>
        <w:rPr>
          <w:spacing w:val="-1"/>
        </w:rPr>
        <w:t>电话：</w:t>
      </w:r>
      <w:r>
        <w:rPr>
          <w:rFonts w:ascii="Times New Roman" w:eastAsia="Times New Roman"/>
          <w:spacing w:val="-1"/>
        </w:rPr>
        <w:t>010-89198762</w:t>
      </w:r>
    </w:p>
    <w:p>
      <w:pPr>
        <w:spacing w:after="0"/>
        <w:rPr>
          <w:rFonts w:ascii="Times New Roman" w:eastAsia="Times New Roman"/>
        </w:rPr>
        <w:sectPr>
          <w:pgSz w:w="11910" w:h="16840"/>
          <w:pgMar w:header="705" w:footer="683" w:top="1420" w:bottom="880" w:left="1580" w:right="920"/>
        </w:sectPr>
      </w:pPr>
    </w:p>
    <w:p>
      <w:pPr>
        <w:pStyle w:val="BodyText"/>
        <w:spacing w:before="110"/>
        <w:rPr>
          <w:rFonts w:ascii="Times New Roman" w:eastAsia="Times New Roman"/>
        </w:rPr>
      </w:pPr>
      <w:r>
        <w:rPr/>
        <w:t>传真：</w:t>
      </w:r>
      <w:r>
        <w:rPr>
          <w:rFonts w:ascii="Times New Roman" w:eastAsia="Times New Roman"/>
        </w:rPr>
        <w:t>010-89198678</w:t>
      </w:r>
    </w:p>
    <w:p>
      <w:pPr>
        <w:pStyle w:val="BodyText"/>
        <w:spacing w:before="3"/>
        <w:ind w:left="0"/>
        <w:rPr>
          <w:rFonts w:ascii="Times New Roman"/>
          <w:sz w:val="17"/>
        </w:rPr>
      </w:pPr>
    </w:p>
    <w:p>
      <w:pPr>
        <w:pStyle w:val="BodyText"/>
      </w:pPr>
      <w:r>
        <w:rPr/>
        <w:t>联系人：鲁娟</w:t>
      </w:r>
    </w:p>
    <w:p>
      <w:pPr>
        <w:pStyle w:val="BodyText"/>
        <w:spacing w:before="7"/>
        <w:ind w:left="0"/>
        <w:rPr>
          <w:sz w:val="15"/>
        </w:rPr>
      </w:pPr>
    </w:p>
    <w:p>
      <w:pPr>
        <w:pStyle w:val="BodyText"/>
        <w:spacing w:line="417" w:lineRule="auto"/>
        <w:ind w:right="6767"/>
        <w:rPr>
          <w:rFonts w:ascii="Times New Roman" w:eastAsia="Times New Roman"/>
        </w:rPr>
      </w:pPr>
      <w:r>
        <w:rPr/>
        <w:t>网址：</w:t>
      </w:r>
      <w:hyperlink r:id="rId56">
        <w:r>
          <w:rPr>
            <w:rFonts w:ascii="Times New Roman" w:eastAsia="Times New Roman"/>
          </w:rPr>
          <w:t>www.bjrcb.com </w:t>
        </w:r>
      </w:hyperlink>
      <w:r>
        <w:rPr/>
        <w:t>客户服务电话：</w:t>
      </w:r>
      <w:r>
        <w:rPr>
          <w:rFonts w:ascii="Times New Roman" w:eastAsia="Times New Roman"/>
        </w:rPr>
        <w:t>96198</w:t>
      </w:r>
    </w:p>
    <w:p>
      <w:pPr>
        <w:pStyle w:val="ListParagraph"/>
        <w:numPr>
          <w:ilvl w:val="0"/>
          <w:numId w:val="31"/>
        </w:numPr>
        <w:tabs>
          <w:tab w:pos="1275" w:val="left" w:leader="none"/>
        </w:tabs>
        <w:spacing w:line="269" w:lineRule="exact" w:before="0" w:after="0"/>
        <w:ind w:left="1275" w:right="0" w:hanging="635"/>
        <w:jc w:val="left"/>
        <w:rPr>
          <w:sz w:val="21"/>
        </w:rPr>
      </w:pPr>
      <w:r>
        <w:rPr>
          <w:spacing w:val="-3"/>
          <w:sz w:val="21"/>
        </w:rPr>
        <w:t>青岛银行股份有限公司</w:t>
      </w:r>
    </w:p>
    <w:p>
      <w:pPr>
        <w:pStyle w:val="BodyText"/>
        <w:spacing w:before="6"/>
        <w:ind w:left="0"/>
        <w:rPr>
          <w:sz w:val="15"/>
        </w:rPr>
      </w:pPr>
    </w:p>
    <w:p>
      <w:pPr>
        <w:pStyle w:val="BodyText"/>
        <w:spacing w:before="1"/>
      </w:pPr>
      <w:r>
        <w:rPr>
          <w:spacing w:val="-3"/>
        </w:rPr>
        <w:t>住所：青岛市市南区香港中路</w:t>
      </w:r>
      <w:r>
        <w:rPr>
          <w:rFonts w:ascii="Times New Roman" w:eastAsia="Times New Roman"/>
        </w:rPr>
        <w:t>68</w:t>
      </w:r>
      <w:r>
        <w:rPr>
          <w:spacing w:val="-3"/>
        </w:rPr>
        <w:t>号华普大厦</w:t>
      </w:r>
    </w:p>
    <w:p>
      <w:pPr>
        <w:pStyle w:val="BodyText"/>
        <w:spacing w:before="6"/>
        <w:ind w:left="0"/>
        <w:rPr>
          <w:sz w:val="15"/>
        </w:rPr>
      </w:pPr>
    </w:p>
    <w:p>
      <w:pPr>
        <w:pStyle w:val="BodyText"/>
        <w:spacing w:line="417" w:lineRule="auto"/>
        <w:ind w:right="4349"/>
      </w:pPr>
      <w:r>
        <w:rPr/>
        <w:t>办公地址：青岛市市南区香港中路</w:t>
      </w:r>
      <w:r>
        <w:rPr>
          <w:rFonts w:ascii="Times New Roman" w:eastAsia="Times New Roman"/>
        </w:rPr>
        <w:t>68</w:t>
      </w:r>
      <w:r>
        <w:rPr/>
        <w:t>号华普大厦法定代表人：郭少泉</w:t>
      </w:r>
    </w:p>
    <w:p>
      <w:pPr>
        <w:pStyle w:val="BodyText"/>
        <w:spacing w:line="417" w:lineRule="auto" w:before="1"/>
        <w:ind w:right="6800"/>
        <w:rPr>
          <w:rFonts w:ascii="Times New Roman" w:eastAsia="Times New Roman"/>
        </w:rPr>
      </w:pPr>
      <w:r>
        <w:rPr/>
        <w:t>电话：</w:t>
      </w:r>
      <w:r>
        <w:rPr>
          <w:rFonts w:ascii="Times New Roman" w:eastAsia="Times New Roman"/>
        </w:rPr>
        <w:t>0532-85709749 </w:t>
      </w:r>
      <w:r>
        <w:rPr/>
        <w:t>传真：</w:t>
      </w:r>
      <w:r>
        <w:rPr>
          <w:rFonts w:ascii="Times New Roman" w:eastAsia="Times New Roman"/>
        </w:rPr>
        <w:t>0532-85709839</w:t>
      </w:r>
    </w:p>
    <w:p>
      <w:pPr>
        <w:pStyle w:val="BodyText"/>
        <w:spacing w:line="269" w:lineRule="exact"/>
      </w:pPr>
      <w:r>
        <w:rPr/>
        <w:t>联系人：赵蓓蓓</w:t>
      </w:r>
    </w:p>
    <w:p>
      <w:pPr>
        <w:pStyle w:val="BodyText"/>
        <w:spacing w:before="6"/>
        <w:ind w:left="0"/>
        <w:rPr>
          <w:sz w:val="15"/>
        </w:rPr>
      </w:pPr>
    </w:p>
    <w:p>
      <w:pPr>
        <w:pStyle w:val="BodyText"/>
        <w:rPr>
          <w:rFonts w:ascii="Times New Roman" w:eastAsia="Times New Roman"/>
        </w:rPr>
      </w:pPr>
      <w:r>
        <w:rPr/>
        <w:t>网址：</w:t>
      </w:r>
      <w:hyperlink r:id="rId57">
        <w:r>
          <w:rPr>
            <w:rFonts w:ascii="Times New Roman" w:eastAsia="Times New Roman"/>
          </w:rPr>
          <w:t>www.qdccb.com</w:t>
        </w:r>
      </w:hyperlink>
    </w:p>
    <w:p>
      <w:pPr>
        <w:pStyle w:val="BodyText"/>
        <w:spacing w:before="4"/>
        <w:ind w:left="0"/>
        <w:rPr>
          <w:rFonts w:ascii="Times New Roman"/>
          <w:sz w:val="17"/>
        </w:rPr>
      </w:pPr>
    </w:p>
    <w:p>
      <w:pPr>
        <w:pStyle w:val="BodyText"/>
      </w:pPr>
      <w:r>
        <w:rPr>
          <w:spacing w:val="-2"/>
        </w:rPr>
        <w:t>客户服务电话：</w:t>
      </w:r>
      <w:r>
        <w:rPr>
          <w:rFonts w:ascii="Times New Roman" w:eastAsia="Times New Roman"/>
        </w:rPr>
        <w:t>96588</w:t>
      </w:r>
      <w:r>
        <w:rPr/>
        <w:t>（</w:t>
      </w:r>
      <w:r>
        <w:rPr>
          <w:spacing w:val="-2"/>
        </w:rPr>
        <w:t>青岛</w:t>
      </w:r>
      <w:r>
        <w:rPr>
          <w:spacing w:val="-106"/>
        </w:rPr>
        <w:t>）</w:t>
      </w:r>
      <w:r>
        <w:rPr/>
        <w:t>、</w:t>
      </w:r>
      <w:r>
        <w:rPr>
          <w:rFonts w:ascii="Times New Roman" w:eastAsia="Times New Roman"/>
        </w:rPr>
        <w:t>400-669-6588</w:t>
      </w:r>
      <w:r>
        <w:rPr/>
        <w:t>（</w:t>
      </w:r>
      <w:r>
        <w:rPr>
          <w:spacing w:val="-3"/>
        </w:rPr>
        <w:t>全国</w:t>
      </w:r>
      <w:r>
        <w:rPr/>
        <w:t>）</w:t>
      </w:r>
    </w:p>
    <w:p>
      <w:pPr>
        <w:pStyle w:val="BodyText"/>
        <w:spacing w:before="6"/>
        <w:ind w:left="0"/>
        <w:rPr>
          <w:sz w:val="15"/>
        </w:rPr>
      </w:pPr>
    </w:p>
    <w:p>
      <w:pPr>
        <w:pStyle w:val="ListParagraph"/>
        <w:numPr>
          <w:ilvl w:val="0"/>
          <w:numId w:val="31"/>
        </w:numPr>
        <w:tabs>
          <w:tab w:pos="1275" w:val="left" w:leader="none"/>
        </w:tabs>
        <w:spacing w:line="240" w:lineRule="auto" w:before="1" w:after="0"/>
        <w:ind w:left="1275" w:right="0" w:hanging="635"/>
        <w:jc w:val="left"/>
        <w:rPr>
          <w:sz w:val="21"/>
        </w:rPr>
      </w:pPr>
      <w:r>
        <w:rPr>
          <w:spacing w:val="-3"/>
          <w:sz w:val="21"/>
        </w:rPr>
        <w:t>杭州银行股份有限公司</w:t>
      </w:r>
    </w:p>
    <w:p>
      <w:pPr>
        <w:pStyle w:val="BodyText"/>
        <w:spacing w:before="7"/>
        <w:ind w:left="0"/>
        <w:rPr>
          <w:sz w:val="15"/>
        </w:rPr>
      </w:pPr>
    </w:p>
    <w:p>
      <w:pPr>
        <w:pStyle w:val="BodyText"/>
      </w:pPr>
      <w:r>
        <w:rPr/>
        <w:t>住所：杭州市庆春路</w:t>
      </w:r>
      <w:r>
        <w:rPr>
          <w:rFonts w:ascii="Times New Roman" w:eastAsia="Times New Roman"/>
        </w:rPr>
        <w:t>46</w:t>
      </w:r>
      <w:r>
        <w:rPr/>
        <w:t>号杭州银行大厦</w:t>
      </w:r>
    </w:p>
    <w:p>
      <w:pPr>
        <w:pStyle w:val="BodyText"/>
        <w:spacing w:before="6"/>
        <w:ind w:left="0"/>
        <w:rPr>
          <w:sz w:val="15"/>
        </w:rPr>
      </w:pPr>
    </w:p>
    <w:p>
      <w:pPr>
        <w:pStyle w:val="BodyText"/>
        <w:spacing w:line="417" w:lineRule="auto" w:before="1"/>
        <w:ind w:right="4771"/>
      </w:pPr>
      <w:r>
        <w:rPr/>
        <w:t>办公地址：杭州市庆春路</w:t>
      </w:r>
      <w:r>
        <w:rPr>
          <w:rFonts w:ascii="Times New Roman" w:eastAsia="Times New Roman"/>
        </w:rPr>
        <w:t>46</w:t>
      </w:r>
      <w:r>
        <w:rPr/>
        <w:t>号杭州银行大厦法定代表人：吴太普</w:t>
      </w:r>
    </w:p>
    <w:p>
      <w:pPr>
        <w:pStyle w:val="BodyText"/>
        <w:spacing w:line="417" w:lineRule="auto"/>
        <w:ind w:right="6800"/>
        <w:rPr>
          <w:rFonts w:ascii="Times New Roman" w:eastAsia="Times New Roman"/>
        </w:rPr>
      </w:pPr>
      <w:r>
        <w:rPr/>
        <w:t>电话：</w:t>
      </w:r>
      <w:r>
        <w:rPr>
          <w:rFonts w:ascii="Times New Roman" w:eastAsia="Times New Roman"/>
        </w:rPr>
        <w:t>0571-85108195 </w:t>
      </w:r>
      <w:r>
        <w:rPr/>
        <w:t>传真：</w:t>
      </w:r>
      <w:r>
        <w:rPr>
          <w:rFonts w:ascii="Times New Roman" w:eastAsia="Times New Roman"/>
        </w:rPr>
        <w:t>0571-85106576</w:t>
      </w:r>
    </w:p>
    <w:p>
      <w:pPr>
        <w:pStyle w:val="BodyText"/>
        <w:spacing w:line="269" w:lineRule="exact"/>
      </w:pPr>
      <w:r>
        <w:rPr/>
        <w:t>联系人：陈振峰</w:t>
      </w:r>
    </w:p>
    <w:p>
      <w:pPr>
        <w:pStyle w:val="BodyText"/>
        <w:spacing w:before="6"/>
        <w:ind w:left="0"/>
        <w:rPr>
          <w:sz w:val="15"/>
        </w:rPr>
      </w:pPr>
    </w:p>
    <w:p>
      <w:pPr>
        <w:pStyle w:val="BodyText"/>
        <w:rPr>
          <w:rFonts w:ascii="Times New Roman" w:eastAsia="Times New Roman"/>
        </w:rPr>
      </w:pPr>
      <w:r>
        <w:rPr/>
        <w:t>网址：</w:t>
      </w:r>
      <w:hyperlink r:id="rId58">
        <w:r>
          <w:rPr>
            <w:rFonts w:ascii="Times New Roman" w:eastAsia="Times New Roman"/>
          </w:rPr>
          <w:t>www.hzbank.com.cn</w:t>
        </w:r>
      </w:hyperlink>
    </w:p>
    <w:p>
      <w:pPr>
        <w:pStyle w:val="BodyText"/>
        <w:spacing w:before="4"/>
        <w:ind w:left="0"/>
        <w:rPr>
          <w:rFonts w:ascii="Times New Roman"/>
          <w:sz w:val="17"/>
        </w:rPr>
      </w:pPr>
    </w:p>
    <w:p>
      <w:pPr>
        <w:pStyle w:val="BodyText"/>
        <w:rPr>
          <w:rFonts w:ascii="Times New Roman" w:eastAsia="Times New Roman"/>
        </w:rPr>
      </w:pPr>
      <w:r>
        <w:rPr/>
        <w:t>客户服务电话：</w:t>
      </w:r>
      <w:r>
        <w:rPr>
          <w:rFonts w:ascii="Times New Roman" w:eastAsia="Times New Roman"/>
        </w:rPr>
        <w:t>400-888-8508</w:t>
      </w:r>
    </w:p>
    <w:p>
      <w:pPr>
        <w:pStyle w:val="BodyText"/>
        <w:spacing w:before="3"/>
        <w:ind w:left="0"/>
        <w:rPr>
          <w:rFonts w:ascii="Times New Roman"/>
          <w:sz w:val="17"/>
        </w:rPr>
      </w:pPr>
    </w:p>
    <w:p>
      <w:pPr>
        <w:pStyle w:val="ListParagraph"/>
        <w:numPr>
          <w:ilvl w:val="0"/>
          <w:numId w:val="31"/>
        </w:numPr>
        <w:tabs>
          <w:tab w:pos="1275" w:val="left" w:leader="none"/>
        </w:tabs>
        <w:spacing w:line="417" w:lineRule="auto" w:before="0" w:after="0"/>
        <w:ind w:left="640" w:right="5818" w:firstLine="0"/>
        <w:jc w:val="left"/>
        <w:rPr>
          <w:sz w:val="21"/>
        </w:rPr>
      </w:pPr>
      <w:r>
        <w:rPr>
          <w:spacing w:val="-3"/>
          <w:sz w:val="21"/>
        </w:rPr>
        <w:t>南京银行股份有限公司 住所：南京市白下区淮海路</w:t>
      </w:r>
      <w:r>
        <w:rPr>
          <w:rFonts w:ascii="Times New Roman" w:eastAsia="Times New Roman"/>
          <w:sz w:val="21"/>
        </w:rPr>
        <w:t>50</w:t>
      </w:r>
      <w:r>
        <w:rPr>
          <w:spacing w:val="-14"/>
          <w:sz w:val="21"/>
        </w:rPr>
        <w:t>号</w:t>
      </w:r>
    </w:p>
    <w:p>
      <w:pPr>
        <w:pStyle w:val="BodyText"/>
        <w:spacing w:line="417" w:lineRule="auto"/>
        <w:ind w:right="5398"/>
      </w:pPr>
      <w:r>
        <w:rPr/>
        <w:t>办公地址：南京市白下区淮海路</w:t>
      </w:r>
      <w:r>
        <w:rPr>
          <w:rFonts w:ascii="Times New Roman" w:eastAsia="Times New Roman"/>
        </w:rPr>
        <w:t>50</w:t>
      </w:r>
      <w:r>
        <w:rPr/>
        <w:t>号法定代表人：林复</w:t>
      </w:r>
    </w:p>
    <w:p>
      <w:pPr>
        <w:pStyle w:val="BodyText"/>
        <w:spacing w:line="417" w:lineRule="auto"/>
        <w:ind w:right="6906"/>
        <w:rPr>
          <w:rFonts w:ascii="Times New Roman" w:eastAsia="Times New Roman"/>
        </w:rPr>
      </w:pPr>
      <w:r>
        <w:rPr/>
        <w:t>电话：</w:t>
      </w:r>
      <w:r>
        <w:rPr>
          <w:rFonts w:ascii="Times New Roman" w:eastAsia="Times New Roman"/>
        </w:rPr>
        <w:t>025-84544021 </w:t>
      </w:r>
      <w:r>
        <w:rPr/>
        <w:t>传真：</w:t>
      </w:r>
      <w:r>
        <w:rPr>
          <w:rFonts w:ascii="Times New Roman" w:eastAsia="Times New Roman"/>
        </w:rPr>
        <w:t>025-84544129</w:t>
      </w:r>
    </w:p>
    <w:p>
      <w:pPr>
        <w:pStyle w:val="BodyText"/>
      </w:pPr>
      <w:r>
        <w:rPr/>
        <w:t>联系人：翁俊</w:t>
      </w:r>
    </w:p>
    <w:p>
      <w:pPr>
        <w:pStyle w:val="BodyText"/>
        <w:spacing w:before="6"/>
        <w:ind w:left="0"/>
        <w:rPr>
          <w:sz w:val="15"/>
        </w:rPr>
      </w:pPr>
    </w:p>
    <w:p>
      <w:pPr>
        <w:pStyle w:val="BodyText"/>
        <w:spacing w:before="1"/>
        <w:rPr>
          <w:rFonts w:ascii="Times New Roman" w:eastAsia="Times New Roman"/>
        </w:rPr>
      </w:pPr>
      <w:r>
        <w:rPr/>
        <w:t>网址：</w:t>
      </w:r>
      <w:hyperlink r:id="rId59">
        <w:r>
          <w:rPr>
            <w:rFonts w:ascii="Times New Roman" w:eastAsia="Times New Roman"/>
          </w:rPr>
          <w:t>www.njcb.com.cn</w:t>
        </w:r>
      </w:hyperlink>
    </w:p>
    <w:p>
      <w:pPr>
        <w:spacing w:after="0"/>
        <w:rPr>
          <w:rFonts w:ascii="Times New Roman" w:eastAsia="Times New Roman"/>
        </w:rPr>
        <w:sectPr>
          <w:pgSz w:w="11910" w:h="16840"/>
          <w:pgMar w:header="705" w:footer="683" w:top="1420" w:bottom="880" w:left="1580" w:right="920"/>
        </w:sectPr>
      </w:pPr>
    </w:p>
    <w:p>
      <w:pPr>
        <w:pStyle w:val="BodyText"/>
        <w:spacing w:before="110"/>
        <w:rPr>
          <w:rFonts w:ascii="Times New Roman" w:eastAsia="Times New Roman"/>
        </w:rPr>
      </w:pPr>
      <w:r>
        <w:rPr/>
        <w:t>客户服务电话：</w:t>
      </w:r>
      <w:r>
        <w:rPr>
          <w:rFonts w:ascii="Times New Roman" w:eastAsia="Times New Roman"/>
        </w:rPr>
        <w:t>95302</w:t>
      </w:r>
    </w:p>
    <w:p>
      <w:pPr>
        <w:pStyle w:val="BodyText"/>
        <w:spacing w:before="3"/>
        <w:ind w:left="0"/>
        <w:rPr>
          <w:rFonts w:ascii="Times New Roman"/>
          <w:sz w:val="17"/>
        </w:rPr>
      </w:pPr>
    </w:p>
    <w:p>
      <w:pPr>
        <w:pStyle w:val="ListParagraph"/>
        <w:numPr>
          <w:ilvl w:val="0"/>
          <w:numId w:val="31"/>
        </w:numPr>
        <w:tabs>
          <w:tab w:pos="1275" w:val="left" w:leader="none"/>
        </w:tabs>
        <w:spacing w:line="417" w:lineRule="auto" w:before="0" w:after="0"/>
        <w:ind w:left="640" w:right="5715" w:firstLine="0"/>
        <w:jc w:val="left"/>
        <w:rPr>
          <w:sz w:val="21"/>
        </w:rPr>
      </w:pPr>
      <w:r>
        <w:rPr>
          <w:spacing w:val="-3"/>
          <w:sz w:val="21"/>
        </w:rPr>
        <w:t>临商银行股份有限公司  住所：山东省临沂市沂蒙路</w:t>
      </w:r>
      <w:r>
        <w:rPr>
          <w:rFonts w:ascii="Times New Roman" w:eastAsia="Times New Roman"/>
          <w:sz w:val="21"/>
        </w:rPr>
        <w:t>336</w:t>
      </w:r>
      <w:r>
        <w:rPr>
          <w:spacing w:val="-13"/>
          <w:sz w:val="21"/>
        </w:rPr>
        <w:t>号</w:t>
      </w:r>
    </w:p>
    <w:p>
      <w:pPr>
        <w:pStyle w:val="BodyText"/>
        <w:spacing w:line="417" w:lineRule="auto"/>
        <w:ind w:right="5295"/>
      </w:pPr>
      <w:r>
        <w:rPr/>
        <w:t>办公地址：山东省临沂市沂蒙路</w:t>
      </w:r>
      <w:r>
        <w:rPr>
          <w:rFonts w:ascii="Times New Roman" w:eastAsia="Times New Roman"/>
        </w:rPr>
        <w:t>336</w:t>
      </w:r>
      <w:r>
        <w:rPr/>
        <w:t>号法定代表人：王傢玉</w:t>
      </w:r>
    </w:p>
    <w:p>
      <w:pPr>
        <w:pStyle w:val="BodyText"/>
        <w:spacing w:line="417" w:lineRule="auto"/>
        <w:ind w:right="6906"/>
        <w:rPr>
          <w:rFonts w:ascii="Times New Roman" w:eastAsia="Times New Roman"/>
        </w:rPr>
      </w:pPr>
      <w:r>
        <w:rPr/>
        <w:t>电话：</w:t>
      </w:r>
      <w:r>
        <w:rPr>
          <w:rFonts w:ascii="Times New Roman" w:eastAsia="Times New Roman"/>
        </w:rPr>
        <w:t>0539-7877780 </w:t>
      </w:r>
      <w:r>
        <w:rPr/>
        <w:t>传真：</w:t>
      </w:r>
      <w:r>
        <w:rPr>
          <w:rFonts w:ascii="Times New Roman" w:eastAsia="Times New Roman"/>
        </w:rPr>
        <w:t>0539-8051127</w:t>
      </w:r>
    </w:p>
    <w:p>
      <w:pPr>
        <w:pStyle w:val="BodyText"/>
      </w:pPr>
      <w:r>
        <w:rPr/>
        <w:t>联系人：吕芳芳</w:t>
      </w:r>
    </w:p>
    <w:p>
      <w:pPr>
        <w:pStyle w:val="BodyText"/>
        <w:spacing w:before="6"/>
        <w:ind w:left="0"/>
        <w:rPr>
          <w:sz w:val="15"/>
        </w:rPr>
      </w:pPr>
    </w:p>
    <w:p>
      <w:pPr>
        <w:pStyle w:val="BodyText"/>
        <w:rPr>
          <w:rFonts w:ascii="Times New Roman" w:eastAsia="Times New Roman"/>
        </w:rPr>
      </w:pPr>
      <w:r>
        <w:rPr/>
        <w:t>网址：</w:t>
      </w:r>
      <w:hyperlink r:id="rId60">
        <w:r>
          <w:rPr>
            <w:rFonts w:ascii="Times New Roman" w:eastAsia="Times New Roman"/>
          </w:rPr>
          <w:t>www.lsbchina.com</w:t>
        </w:r>
      </w:hyperlink>
    </w:p>
    <w:p>
      <w:pPr>
        <w:pStyle w:val="BodyText"/>
        <w:spacing w:before="4"/>
        <w:ind w:left="0"/>
        <w:rPr>
          <w:rFonts w:ascii="Times New Roman"/>
          <w:sz w:val="17"/>
        </w:rPr>
      </w:pPr>
    </w:p>
    <w:p>
      <w:pPr>
        <w:pStyle w:val="BodyText"/>
        <w:rPr>
          <w:rFonts w:ascii="Times New Roman" w:eastAsia="Times New Roman"/>
        </w:rPr>
      </w:pPr>
      <w:r>
        <w:rPr/>
        <w:t>客户服务电话：</w:t>
      </w:r>
      <w:r>
        <w:rPr>
          <w:rFonts w:ascii="Times New Roman" w:eastAsia="Times New Roman"/>
        </w:rPr>
        <w:t>400-699-6588</w:t>
      </w:r>
    </w:p>
    <w:p>
      <w:pPr>
        <w:pStyle w:val="BodyText"/>
        <w:spacing w:before="3"/>
        <w:ind w:left="0"/>
        <w:rPr>
          <w:rFonts w:ascii="Times New Roman"/>
          <w:sz w:val="17"/>
        </w:rPr>
      </w:pPr>
    </w:p>
    <w:p>
      <w:pPr>
        <w:pStyle w:val="ListParagraph"/>
        <w:numPr>
          <w:ilvl w:val="0"/>
          <w:numId w:val="31"/>
        </w:numPr>
        <w:tabs>
          <w:tab w:pos="1275" w:val="left" w:leader="none"/>
        </w:tabs>
        <w:spacing w:line="240" w:lineRule="auto" w:before="0" w:after="0"/>
        <w:ind w:left="1275" w:right="0" w:hanging="635"/>
        <w:jc w:val="left"/>
        <w:rPr>
          <w:sz w:val="21"/>
        </w:rPr>
      </w:pPr>
      <w:r>
        <w:rPr>
          <w:spacing w:val="-3"/>
          <w:sz w:val="21"/>
        </w:rPr>
        <w:t>温州银行股份有限公司</w:t>
      </w:r>
    </w:p>
    <w:p>
      <w:pPr>
        <w:pStyle w:val="BodyText"/>
        <w:spacing w:before="7"/>
        <w:ind w:left="0"/>
        <w:rPr>
          <w:sz w:val="15"/>
        </w:rPr>
      </w:pPr>
    </w:p>
    <w:p>
      <w:pPr>
        <w:pStyle w:val="BodyText"/>
      </w:pPr>
      <w:r>
        <w:rPr/>
        <w:t>住所：温州市车站大道华海广场</w:t>
      </w:r>
      <w:r>
        <w:rPr>
          <w:rFonts w:ascii="Times New Roman" w:eastAsia="Times New Roman"/>
        </w:rPr>
        <w:t>1</w:t>
      </w:r>
      <w:r>
        <w:rPr/>
        <w:t>号楼</w:t>
      </w:r>
    </w:p>
    <w:p>
      <w:pPr>
        <w:pStyle w:val="BodyText"/>
        <w:spacing w:before="7"/>
        <w:ind w:left="0"/>
        <w:rPr>
          <w:sz w:val="15"/>
        </w:rPr>
      </w:pPr>
    </w:p>
    <w:p>
      <w:pPr>
        <w:pStyle w:val="BodyText"/>
        <w:spacing w:line="417" w:lineRule="auto"/>
        <w:ind w:right="4877"/>
      </w:pPr>
      <w:r>
        <w:rPr/>
        <w:t>办公地址：温州市车站大道华海广场</w:t>
      </w:r>
      <w:r>
        <w:rPr>
          <w:rFonts w:ascii="Times New Roman" w:eastAsia="Times New Roman"/>
        </w:rPr>
        <w:t>1</w:t>
      </w:r>
      <w:r>
        <w:rPr/>
        <w:t>号楼法定代表人：夏瑞洲</w:t>
      </w:r>
    </w:p>
    <w:p>
      <w:pPr>
        <w:pStyle w:val="BodyText"/>
        <w:spacing w:line="417" w:lineRule="auto"/>
        <w:ind w:right="6800"/>
        <w:rPr>
          <w:rFonts w:ascii="Times New Roman" w:eastAsia="Times New Roman"/>
        </w:rPr>
      </w:pPr>
      <w:r>
        <w:rPr/>
        <w:t>电话：</w:t>
      </w:r>
      <w:r>
        <w:rPr>
          <w:rFonts w:ascii="Times New Roman" w:eastAsia="Times New Roman"/>
        </w:rPr>
        <w:t>0577-88990082 </w:t>
      </w:r>
      <w:r>
        <w:rPr/>
        <w:t>传真：</w:t>
      </w:r>
      <w:r>
        <w:rPr>
          <w:rFonts w:ascii="Times New Roman" w:eastAsia="Times New Roman"/>
        </w:rPr>
        <w:t>0577-88995217</w:t>
      </w:r>
    </w:p>
    <w:p>
      <w:pPr>
        <w:pStyle w:val="BodyText"/>
        <w:spacing w:line="269" w:lineRule="exact"/>
      </w:pPr>
      <w:r>
        <w:rPr/>
        <w:t>联系人：林波</w:t>
      </w:r>
    </w:p>
    <w:p>
      <w:pPr>
        <w:pStyle w:val="BodyText"/>
        <w:spacing w:before="7"/>
        <w:ind w:left="0"/>
        <w:rPr>
          <w:sz w:val="15"/>
        </w:rPr>
      </w:pPr>
    </w:p>
    <w:p>
      <w:pPr>
        <w:pStyle w:val="BodyText"/>
        <w:rPr>
          <w:rFonts w:ascii="Times New Roman" w:eastAsia="Times New Roman"/>
        </w:rPr>
      </w:pPr>
      <w:r>
        <w:rPr/>
        <w:t>网址：</w:t>
      </w:r>
      <w:hyperlink r:id="rId61">
        <w:r>
          <w:rPr>
            <w:rFonts w:ascii="Times New Roman" w:eastAsia="Times New Roman"/>
          </w:rPr>
          <w:t>www.wzbank.cn</w:t>
        </w:r>
      </w:hyperlink>
    </w:p>
    <w:p>
      <w:pPr>
        <w:pStyle w:val="BodyText"/>
        <w:spacing w:before="3"/>
        <w:ind w:left="0"/>
        <w:rPr>
          <w:rFonts w:ascii="Times New Roman"/>
          <w:sz w:val="17"/>
        </w:rPr>
      </w:pPr>
    </w:p>
    <w:p>
      <w:pPr>
        <w:pStyle w:val="BodyText"/>
      </w:pPr>
      <w:r>
        <w:rPr>
          <w:spacing w:val="-2"/>
        </w:rPr>
        <w:t>客户服务电话：</w:t>
      </w:r>
      <w:r>
        <w:rPr>
          <w:rFonts w:ascii="Times New Roman" w:eastAsia="Times New Roman"/>
        </w:rPr>
        <w:t>96699</w:t>
      </w:r>
      <w:r>
        <w:rPr/>
        <w:t>（</w:t>
      </w:r>
      <w:r>
        <w:rPr>
          <w:spacing w:val="-3"/>
        </w:rPr>
        <w:t>浙江和上海地区</w:t>
      </w:r>
      <w:r>
        <w:rPr>
          <w:spacing w:val="-108"/>
        </w:rPr>
        <w:t>）</w:t>
      </w:r>
      <w:r>
        <w:rPr/>
        <w:t>、</w:t>
      </w:r>
      <w:r>
        <w:rPr>
          <w:rFonts w:ascii="Times New Roman" w:eastAsia="Times New Roman"/>
        </w:rPr>
        <w:t>0577-96699</w:t>
      </w:r>
      <w:r>
        <w:rPr/>
        <w:t>（</w:t>
      </w:r>
      <w:r>
        <w:rPr>
          <w:spacing w:val="-3"/>
        </w:rPr>
        <w:t>其他地区</w:t>
      </w:r>
      <w:r>
        <w:rPr/>
        <w:t>）</w:t>
      </w:r>
    </w:p>
    <w:p>
      <w:pPr>
        <w:pStyle w:val="BodyText"/>
        <w:spacing w:before="7"/>
        <w:ind w:left="0"/>
        <w:rPr>
          <w:sz w:val="15"/>
        </w:rPr>
      </w:pPr>
    </w:p>
    <w:p>
      <w:pPr>
        <w:pStyle w:val="ListParagraph"/>
        <w:numPr>
          <w:ilvl w:val="0"/>
          <w:numId w:val="31"/>
        </w:numPr>
        <w:tabs>
          <w:tab w:pos="1275" w:val="left" w:leader="none"/>
        </w:tabs>
        <w:spacing w:line="417" w:lineRule="auto" w:before="0" w:after="0"/>
        <w:ind w:left="640" w:right="6030" w:firstLine="0"/>
        <w:jc w:val="left"/>
        <w:rPr>
          <w:sz w:val="21"/>
        </w:rPr>
      </w:pPr>
      <w:r>
        <w:rPr>
          <w:spacing w:val="-5"/>
          <w:sz w:val="21"/>
        </w:rPr>
        <w:t>江苏银行股份有限公司</w:t>
      </w:r>
      <w:r>
        <w:rPr>
          <w:spacing w:val="-3"/>
          <w:sz w:val="21"/>
        </w:rPr>
        <w:t>住所：南京市中华路</w:t>
      </w:r>
      <w:r>
        <w:rPr>
          <w:rFonts w:ascii="Times New Roman" w:eastAsia="Times New Roman"/>
          <w:sz w:val="21"/>
        </w:rPr>
        <w:t>26</w:t>
      </w:r>
      <w:r>
        <w:rPr>
          <w:sz w:val="21"/>
        </w:rPr>
        <w:t>号</w:t>
      </w:r>
    </w:p>
    <w:p>
      <w:pPr>
        <w:pStyle w:val="BodyText"/>
        <w:spacing w:line="417" w:lineRule="auto"/>
        <w:ind w:right="6032"/>
      </w:pPr>
      <w:r>
        <w:rPr/>
        <w:t>办公地址：南京市中华路</w:t>
      </w:r>
      <w:r>
        <w:rPr>
          <w:rFonts w:ascii="Times New Roman" w:eastAsia="Times New Roman"/>
        </w:rPr>
        <w:t>26</w:t>
      </w:r>
      <w:r>
        <w:rPr/>
        <w:t>号法定代表人：夏平</w:t>
      </w:r>
    </w:p>
    <w:p>
      <w:pPr>
        <w:pStyle w:val="BodyText"/>
        <w:spacing w:line="417" w:lineRule="auto"/>
        <w:ind w:right="6906"/>
        <w:rPr>
          <w:rFonts w:ascii="Times New Roman" w:eastAsia="Times New Roman"/>
        </w:rPr>
      </w:pPr>
      <w:r>
        <w:rPr/>
        <w:t>电话：</w:t>
      </w:r>
      <w:r>
        <w:rPr>
          <w:rFonts w:ascii="Times New Roman" w:eastAsia="Times New Roman"/>
        </w:rPr>
        <w:t>025-58588167 </w:t>
      </w:r>
      <w:r>
        <w:rPr/>
        <w:t>传真：</w:t>
      </w:r>
      <w:r>
        <w:rPr>
          <w:rFonts w:ascii="Times New Roman" w:eastAsia="Times New Roman"/>
        </w:rPr>
        <w:t>025-58588164</w:t>
      </w:r>
    </w:p>
    <w:p>
      <w:pPr>
        <w:pStyle w:val="BodyText"/>
        <w:spacing w:line="269" w:lineRule="exact"/>
      </w:pPr>
      <w:r>
        <w:rPr/>
        <w:t>联系人：田春慧</w:t>
      </w:r>
    </w:p>
    <w:p>
      <w:pPr>
        <w:pStyle w:val="BodyText"/>
        <w:spacing w:before="6"/>
        <w:ind w:left="0"/>
        <w:rPr>
          <w:sz w:val="15"/>
        </w:rPr>
      </w:pPr>
    </w:p>
    <w:p>
      <w:pPr>
        <w:pStyle w:val="BodyText"/>
        <w:spacing w:line="417" w:lineRule="auto" w:before="1"/>
        <w:ind w:right="6644"/>
        <w:rPr>
          <w:rFonts w:ascii="Times New Roman" w:eastAsia="Times New Roman"/>
        </w:rPr>
      </w:pPr>
      <w:r>
        <w:rPr/>
        <w:t>网址：</w:t>
      </w:r>
      <w:hyperlink r:id="rId62">
        <w:r>
          <w:rPr>
            <w:rFonts w:ascii="Times New Roman" w:eastAsia="Times New Roman"/>
          </w:rPr>
          <w:t>www.jsbchina.cn </w:t>
        </w:r>
      </w:hyperlink>
      <w:r>
        <w:rPr/>
        <w:t>客户服务电话：</w:t>
      </w:r>
      <w:r>
        <w:rPr>
          <w:rFonts w:ascii="Times New Roman" w:eastAsia="Times New Roman"/>
        </w:rPr>
        <w:t>95319</w:t>
      </w:r>
    </w:p>
    <w:p>
      <w:pPr>
        <w:pStyle w:val="ListParagraph"/>
        <w:numPr>
          <w:ilvl w:val="0"/>
          <w:numId w:val="31"/>
        </w:numPr>
        <w:tabs>
          <w:tab w:pos="1275" w:val="left" w:leader="none"/>
        </w:tabs>
        <w:spacing w:line="240" w:lineRule="auto" w:before="0" w:after="0"/>
        <w:ind w:left="1275" w:right="0" w:hanging="635"/>
        <w:jc w:val="left"/>
        <w:rPr>
          <w:sz w:val="21"/>
        </w:rPr>
      </w:pPr>
      <w:r>
        <w:rPr>
          <w:spacing w:val="-3"/>
          <w:sz w:val="21"/>
        </w:rPr>
        <w:t>渤海银行股份有限公司</w:t>
      </w:r>
    </w:p>
    <w:p>
      <w:pPr>
        <w:pStyle w:val="BodyText"/>
        <w:spacing w:before="6"/>
        <w:ind w:left="0"/>
        <w:rPr>
          <w:sz w:val="15"/>
        </w:rPr>
      </w:pPr>
    </w:p>
    <w:p>
      <w:pPr>
        <w:pStyle w:val="BodyText"/>
      </w:pPr>
      <w:r>
        <w:rPr/>
        <w:t>住所：天津市河东区海河东路</w:t>
      </w:r>
      <w:r>
        <w:rPr>
          <w:rFonts w:ascii="Times New Roman" w:eastAsia="Times New Roman"/>
        </w:rPr>
        <w:t>218</w:t>
      </w:r>
      <w:r>
        <w:rPr/>
        <w:t>号</w:t>
      </w:r>
    </w:p>
    <w:p>
      <w:pPr>
        <w:spacing w:after="0"/>
        <w:sectPr>
          <w:pgSz w:w="11910" w:h="16840"/>
          <w:pgMar w:header="705" w:footer="683" w:top="1420" w:bottom="880" w:left="1580" w:right="920"/>
        </w:sectPr>
      </w:pPr>
    </w:p>
    <w:p>
      <w:pPr>
        <w:pStyle w:val="BodyText"/>
        <w:spacing w:line="417" w:lineRule="auto" w:before="110"/>
        <w:ind w:right="5084"/>
      </w:pPr>
      <w:r>
        <w:rPr>
          <w:spacing w:val="-3"/>
        </w:rPr>
        <w:t>办公地址：天津市河东区海河东路</w:t>
      </w:r>
      <w:r>
        <w:rPr>
          <w:rFonts w:ascii="Times New Roman" w:eastAsia="Times New Roman"/>
        </w:rPr>
        <w:t>218</w:t>
      </w:r>
      <w:r>
        <w:rPr>
          <w:spacing w:val="-12"/>
        </w:rPr>
        <w:t>号</w:t>
      </w:r>
      <w:r>
        <w:rPr>
          <w:spacing w:val="-3"/>
        </w:rPr>
        <w:t>法定代表人：李伏安</w:t>
      </w:r>
    </w:p>
    <w:p>
      <w:pPr>
        <w:pStyle w:val="BodyText"/>
        <w:spacing w:line="269" w:lineRule="exact"/>
        <w:rPr>
          <w:rFonts w:ascii="Times New Roman" w:eastAsia="Times New Roman"/>
        </w:rPr>
      </w:pPr>
      <w:r>
        <w:rPr>
          <w:spacing w:val="-1"/>
        </w:rPr>
        <w:t>电话：</w:t>
      </w:r>
      <w:r>
        <w:rPr>
          <w:rFonts w:ascii="Times New Roman" w:eastAsia="Times New Roman"/>
          <w:spacing w:val="-1"/>
        </w:rPr>
        <w:t>022-58316666</w:t>
      </w:r>
    </w:p>
    <w:p>
      <w:pPr>
        <w:pStyle w:val="BodyText"/>
        <w:spacing w:before="3"/>
        <w:ind w:left="0"/>
        <w:rPr>
          <w:rFonts w:ascii="Times New Roman"/>
          <w:sz w:val="17"/>
        </w:rPr>
      </w:pPr>
    </w:p>
    <w:p>
      <w:pPr>
        <w:pStyle w:val="BodyText"/>
        <w:rPr>
          <w:rFonts w:ascii="Times New Roman" w:eastAsia="Times New Roman"/>
        </w:rPr>
      </w:pPr>
      <w:r>
        <w:rPr/>
        <w:t>传真：</w:t>
      </w:r>
      <w:r>
        <w:rPr>
          <w:rFonts w:ascii="Times New Roman" w:eastAsia="Times New Roman"/>
        </w:rPr>
        <w:t>-</w:t>
      </w:r>
    </w:p>
    <w:p>
      <w:pPr>
        <w:pStyle w:val="BodyText"/>
        <w:spacing w:before="3"/>
        <w:ind w:left="0"/>
        <w:rPr>
          <w:rFonts w:ascii="Times New Roman"/>
          <w:sz w:val="17"/>
        </w:rPr>
      </w:pPr>
    </w:p>
    <w:p>
      <w:pPr>
        <w:pStyle w:val="BodyText"/>
        <w:spacing w:before="1"/>
      </w:pPr>
      <w:r>
        <w:rPr/>
        <w:t>联系人：潘鹏程</w:t>
      </w:r>
    </w:p>
    <w:p>
      <w:pPr>
        <w:pStyle w:val="BodyText"/>
        <w:spacing w:before="6"/>
        <w:ind w:left="0"/>
        <w:rPr>
          <w:sz w:val="15"/>
        </w:rPr>
      </w:pPr>
    </w:p>
    <w:p>
      <w:pPr>
        <w:pStyle w:val="BodyText"/>
        <w:spacing w:line="417" w:lineRule="auto"/>
        <w:ind w:right="6522"/>
        <w:rPr>
          <w:rFonts w:ascii="Times New Roman" w:eastAsia="Times New Roman"/>
        </w:rPr>
      </w:pPr>
      <w:r>
        <w:rPr/>
        <w:t>网址：</w:t>
      </w:r>
      <w:hyperlink r:id="rId63">
        <w:r>
          <w:rPr>
            <w:rFonts w:ascii="Times New Roman" w:eastAsia="Times New Roman"/>
          </w:rPr>
          <w:t>www.cbhb.com.cn </w:t>
        </w:r>
      </w:hyperlink>
      <w:r>
        <w:rPr/>
        <w:t>客户服务电话：</w:t>
      </w:r>
      <w:r>
        <w:rPr>
          <w:rFonts w:ascii="Times New Roman" w:eastAsia="Times New Roman"/>
        </w:rPr>
        <w:t>95541</w:t>
      </w:r>
    </w:p>
    <w:p>
      <w:pPr>
        <w:pStyle w:val="ListParagraph"/>
        <w:numPr>
          <w:ilvl w:val="0"/>
          <w:numId w:val="31"/>
        </w:numPr>
        <w:tabs>
          <w:tab w:pos="1275" w:val="left" w:leader="none"/>
        </w:tabs>
        <w:spacing w:line="240" w:lineRule="auto" w:before="1" w:after="0"/>
        <w:ind w:left="1275" w:right="0" w:hanging="635"/>
        <w:jc w:val="left"/>
        <w:rPr>
          <w:sz w:val="21"/>
        </w:rPr>
      </w:pPr>
      <w:r>
        <w:rPr>
          <w:spacing w:val="-3"/>
          <w:sz w:val="21"/>
        </w:rPr>
        <w:t>洛阳银行股份有限公司</w:t>
      </w:r>
    </w:p>
    <w:p>
      <w:pPr>
        <w:pStyle w:val="BodyText"/>
        <w:spacing w:before="6"/>
        <w:ind w:left="0"/>
        <w:rPr>
          <w:sz w:val="15"/>
        </w:rPr>
      </w:pPr>
    </w:p>
    <w:p>
      <w:pPr>
        <w:pStyle w:val="BodyText"/>
      </w:pPr>
      <w:r>
        <w:rPr/>
        <w:t>住所：洛阳市洛阳新区开元大道与通济街交叉口</w:t>
      </w:r>
    </w:p>
    <w:p>
      <w:pPr>
        <w:pStyle w:val="BodyText"/>
        <w:spacing w:before="7"/>
        <w:ind w:left="0"/>
        <w:rPr>
          <w:sz w:val="15"/>
        </w:rPr>
      </w:pPr>
    </w:p>
    <w:p>
      <w:pPr>
        <w:pStyle w:val="BodyText"/>
        <w:spacing w:line="417" w:lineRule="auto"/>
        <w:ind w:right="3300"/>
      </w:pPr>
      <w:r>
        <w:rPr/>
        <w:t>办公地址：洛阳市洛龙区开元大道</w:t>
      </w:r>
      <w:r>
        <w:rPr>
          <w:rFonts w:ascii="Times New Roman" w:eastAsia="Times New Roman"/>
        </w:rPr>
        <w:t>256</w:t>
      </w:r>
      <w:r>
        <w:rPr/>
        <w:t>号洛阳银行三楼</w:t>
      </w:r>
      <w:r>
        <w:rPr>
          <w:rFonts w:ascii="Times New Roman" w:eastAsia="Times New Roman"/>
        </w:rPr>
        <w:t>306</w:t>
      </w:r>
      <w:r>
        <w:rPr/>
        <w:t>室法定代表人：王建甫</w:t>
      </w:r>
    </w:p>
    <w:p>
      <w:pPr>
        <w:pStyle w:val="BodyText"/>
        <w:spacing w:line="417" w:lineRule="auto"/>
        <w:ind w:right="6800"/>
        <w:rPr>
          <w:rFonts w:ascii="Times New Roman" w:eastAsia="Times New Roman"/>
        </w:rPr>
      </w:pPr>
      <w:r>
        <w:rPr/>
        <w:t>电话：</w:t>
      </w:r>
      <w:r>
        <w:rPr>
          <w:rFonts w:ascii="Times New Roman" w:eastAsia="Times New Roman"/>
        </w:rPr>
        <w:t>0379-65921977 </w:t>
      </w:r>
      <w:r>
        <w:rPr/>
        <w:t>传真：</w:t>
      </w:r>
      <w:r>
        <w:rPr>
          <w:rFonts w:ascii="Times New Roman" w:eastAsia="Times New Roman"/>
        </w:rPr>
        <w:t>0379-65921869</w:t>
      </w:r>
    </w:p>
    <w:p>
      <w:pPr>
        <w:pStyle w:val="BodyText"/>
        <w:spacing w:line="269" w:lineRule="exact"/>
      </w:pPr>
      <w:r>
        <w:rPr/>
        <w:t>联系人：董鹏程</w:t>
      </w:r>
    </w:p>
    <w:p>
      <w:pPr>
        <w:pStyle w:val="BodyText"/>
        <w:spacing w:before="7"/>
        <w:ind w:left="0"/>
        <w:rPr>
          <w:sz w:val="15"/>
        </w:rPr>
      </w:pPr>
    </w:p>
    <w:p>
      <w:pPr>
        <w:pStyle w:val="BodyText"/>
        <w:spacing w:line="417" w:lineRule="auto"/>
        <w:ind w:right="5671"/>
        <w:rPr>
          <w:rFonts w:ascii="Times New Roman" w:eastAsia="Times New Roman"/>
        </w:rPr>
      </w:pPr>
      <w:r>
        <w:rPr/>
        <w:t>网址：</w:t>
      </w:r>
      <w:hyperlink r:id="rId64">
        <w:r>
          <w:rPr>
            <w:rFonts w:ascii="Times New Roman" w:eastAsia="Times New Roman"/>
          </w:rPr>
          <w:t>www.bankofluoyang.com.cn </w:t>
        </w:r>
      </w:hyperlink>
      <w:r>
        <w:rPr/>
        <w:t>客户服务电话：</w:t>
      </w:r>
      <w:r>
        <w:rPr>
          <w:rFonts w:ascii="Times New Roman" w:eastAsia="Times New Roman"/>
        </w:rPr>
        <w:t>0379-96699</w:t>
      </w:r>
    </w:p>
    <w:p>
      <w:pPr>
        <w:pStyle w:val="ListParagraph"/>
        <w:numPr>
          <w:ilvl w:val="0"/>
          <w:numId w:val="31"/>
        </w:numPr>
        <w:tabs>
          <w:tab w:pos="1275" w:val="left" w:leader="none"/>
        </w:tabs>
        <w:spacing w:line="417" w:lineRule="auto" w:before="0" w:after="0"/>
        <w:ind w:left="640" w:right="4978" w:firstLine="0"/>
        <w:jc w:val="left"/>
        <w:rPr>
          <w:sz w:val="21"/>
        </w:rPr>
      </w:pPr>
      <w:r>
        <w:rPr>
          <w:spacing w:val="-4"/>
          <w:sz w:val="21"/>
        </w:rPr>
        <w:t>乌鲁木齐市商业银行股份有限公司</w:t>
      </w:r>
      <w:r>
        <w:rPr>
          <w:spacing w:val="-3"/>
          <w:sz w:val="21"/>
        </w:rPr>
        <w:t>住所：乌鲁木齐市新华北路</w:t>
      </w:r>
      <w:r>
        <w:rPr>
          <w:rFonts w:ascii="Times New Roman" w:eastAsia="Times New Roman"/>
          <w:sz w:val="21"/>
        </w:rPr>
        <w:t>8</w:t>
      </w:r>
      <w:r>
        <w:rPr>
          <w:sz w:val="21"/>
        </w:rPr>
        <w:t>号</w:t>
      </w:r>
    </w:p>
    <w:p>
      <w:pPr>
        <w:pStyle w:val="BodyText"/>
        <w:spacing w:line="417" w:lineRule="auto"/>
        <w:ind w:right="5504"/>
      </w:pPr>
      <w:r>
        <w:rPr/>
        <w:t>办公地址：乌鲁木齐市新华北路</w:t>
      </w:r>
      <w:r>
        <w:rPr>
          <w:rFonts w:ascii="Times New Roman" w:eastAsia="Times New Roman"/>
        </w:rPr>
        <w:t>8</w:t>
      </w:r>
      <w:r>
        <w:rPr/>
        <w:t>号法定代表人：农惠臣</w:t>
      </w:r>
    </w:p>
    <w:p>
      <w:pPr>
        <w:pStyle w:val="BodyText"/>
        <w:spacing w:line="417" w:lineRule="auto"/>
        <w:ind w:right="6906"/>
        <w:rPr>
          <w:rFonts w:ascii="Times New Roman" w:eastAsia="Times New Roman"/>
        </w:rPr>
      </w:pPr>
      <w:r>
        <w:rPr/>
        <w:t>电话：</w:t>
      </w:r>
      <w:r>
        <w:rPr>
          <w:rFonts w:ascii="Times New Roman" w:eastAsia="Times New Roman"/>
        </w:rPr>
        <w:t>0991-8824667 </w:t>
      </w:r>
      <w:r>
        <w:rPr/>
        <w:t>传真：</w:t>
      </w:r>
      <w:r>
        <w:rPr>
          <w:rFonts w:ascii="Times New Roman" w:eastAsia="Times New Roman"/>
        </w:rPr>
        <w:t>0991-8824667</w:t>
      </w:r>
    </w:p>
    <w:p>
      <w:pPr>
        <w:pStyle w:val="BodyText"/>
      </w:pPr>
      <w:r>
        <w:rPr/>
        <w:t>联系人：何佳</w:t>
      </w:r>
    </w:p>
    <w:p>
      <w:pPr>
        <w:pStyle w:val="BodyText"/>
        <w:spacing w:before="6"/>
        <w:ind w:left="0"/>
        <w:rPr>
          <w:sz w:val="15"/>
        </w:rPr>
      </w:pPr>
    </w:p>
    <w:p>
      <w:pPr>
        <w:pStyle w:val="BodyText"/>
        <w:rPr>
          <w:rFonts w:ascii="Times New Roman" w:eastAsia="Times New Roman"/>
        </w:rPr>
      </w:pPr>
      <w:r>
        <w:rPr/>
        <w:t>网址：</w:t>
      </w:r>
      <w:hyperlink r:id="rId65">
        <w:r>
          <w:rPr>
            <w:rFonts w:ascii="Times New Roman" w:eastAsia="Times New Roman"/>
          </w:rPr>
          <w:t>www.uccb.com.cn</w:t>
        </w:r>
      </w:hyperlink>
    </w:p>
    <w:p>
      <w:pPr>
        <w:pStyle w:val="BodyText"/>
        <w:spacing w:before="3"/>
        <w:ind w:left="0"/>
        <w:rPr>
          <w:rFonts w:ascii="Times New Roman"/>
          <w:sz w:val="17"/>
        </w:rPr>
      </w:pPr>
    </w:p>
    <w:p>
      <w:pPr>
        <w:pStyle w:val="BodyText"/>
        <w:rPr>
          <w:rFonts w:ascii="Times New Roman" w:eastAsia="Times New Roman"/>
        </w:rPr>
      </w:pPr>
      <w:r>
        <w:rPr/>
        <w:t>客户服务电话：</w:t>
      </w:r>
      <w:r>
        <w:rPr>
          <w:rFonts w:ascii="Times New Roman" w:eastAsia="Times New Roman"/>
        </w:rPr>
        <w:t>0991-96518</w:t>
      </w:r>
    </w:p>
    <w:p>
      <w:pPr>
        <w:pStyle w:val="BodyText"/>
        <w:spacing w:before="4"/>
        <w:ind w:left="0"/>
        <w:rPr>
          <w:rFonts w:ascii="Times New Roman"/>
          <w:sz w:val="17"/>
        </w:rPr>
      </w:pPr>
    </w:p>
    <w:p>
      <w:pPr>
        <w:pStyle w:val="ListParagraph"/>
        <w:numPr>
          <w:ilvl w:val="0"/>
          <w:numId w:val="31"/>
        </w:numPr>
        <w:tabs>
          <w:tab w:pos="1275" w:val="left" w:leader="none"/>
        </w:tabs>
        <w:spacing w:line="240" w:lineRule="auto" w:before="0" w:after="0"/>
        <w:ind w:left="1275" w:right="0" w:hanging="635"/>
        <w:jc w:val="left"/>
        <w:rPr>
          <w:sz w:val="21"/>
        </w:rPr>
      </w:pPr>
      <w:r>
        <w:rPr>
          <w:spacing w:val="-3"/>
          <w:sz w:val="21"/>
        </w:rPr>
        <w:t>烟台银行股份有限公司</w:t>
      </w:r>
    </w:p>
    <w:p>
      <w:pPr>
        <w:pStyle w:val="BodyText"/>
        <w:spacing w:before="6"/>
        <w:ind w:left="0"/>
        <w:rPr>
          <w:sz w:val="15"/>
        </w:rPr>
      </w:pPr>
    </w:p>
    <w:p>
      <w:pPr>
        <w:pStyle w:val="BodyText"/>
        <w:spacing w:before="1"/>
      </w:pPr>
      <w:r>
        <w:rPr/>
        <w:t>住所：山东省烟台市芝罘区海港路</w:t>
      </w:r>
      <w:r>
        <w:rPr>
          <w:rFonts w:ascii="Times New Roman" w:eastAsia="Times New Roman"/>
        </w:rPr>
        <w:t>25</w:t>
      </w:r>
      <w:r>
        <w:rPr/>
        <w:t>号</w:t>
      </w:r>
    </w:p>
    <w:p>
      <w:pPr>
        <w:pStyle w:val="BodyText"/>
        <w:spacing w:before="6"/>
        <w:ind w:left="0"/>
        <w:rPr>
          <w:sz w:val="15"/>
        </w:rPr>
      </w:pPr>
    </w:p>
    <w:p>
      <w:pPr>
        <w:pStyle w:val="BodyText"/>
        <w:spacing w:line="417" w:lineRule="auto"/>
        <w:ind w:right="4769"/>
      </w:pPr>
      <w:r>
        <w:rPr>
          <w:spacing w:val="-3"/>
        </w:rPr>
        <w:t>办公地址：山东省烟台市芝罘区海港路</w:t>
      </w:r>
      <w:r>
        <w:rPr>
          <w:rFonts w:ascii="Times New Roman" w:eastAsia="Times New Roman"/>
        </w:rPr>
        <w:t>25</w:t>
      </w:r>
      <w:r>
        <w:rPr>
          <w:spacing w:val="-12"/>
        </w:rPr>
        <w:t>号</w:t>
      </w:r>
      <w:r>
        <w:rPr>
          <w:spacing w:val="-3"/>
        </w:rPr>
        <w:t>法定代表人：叶文君</w:t>
      </w:r>
    </w:p>
    <w:p>
      <w:pPr>
        <w:pStyle w:val="BodyText"/>
        <w:rPr>
          <w:rFonts w:ascii="Times New Roman" w:eastAsia="Times New Roman"/>
        </w:rPr>
      </w:pPr>
      <w:r>
        <w:rPr>
          <w:spacing w:val="-1"/>
        </w:rPr>
        <w:t>电话：</w:t>
      </w:r>
      <w:r>
        <w:rPr>
          <w:rFonts w:ascii="Times New Roman" w:eastAsia="Times New Roman"/>
          <w:spacing w:val="-1"/>
        </w:rPr>
        <w:t>0535-6699660</w:t>
      </w:r>
    </w:p>
    <w:p>
      <w:pPr>
        <w:spacing w:after="0"/>
        <w:rPr>
          <w:rFonts w:ascii="Times New Roman" w:eastAsia="Times New Roman"/>
        </w:rPr>
        <w:sectPr>
          <w:pgSz w:w="11910" w:h="16840"/>
          <w:pgMar w:header="705" w:footer="683" w:top="1420" w:bottom="880" w:left="1580" w:right="920"/>
        </w:sectPr>
      </w:pPr>
    </w:p>
    <w:p>
      <w:pPr>
        <w:pStyle w:val="BodyText"/>
        <w:spacing w:before="110"/>
        <w:rPr>
          <w:rFonts w:ascii="Times New Roman" w:eastAsia="Times New Roman"/>
        </w:rPr>
      </w:pPr>
      <w:r>
        <w:rPr/>
        <w:t>传真：</w:t>
      </w:r>
      <w:r>
        <w:rPr>
          <w:rFonts w:ascii="Times New Roman" w:eastAsia="Times New Roman"/>
        </w:rPr>
        <w:t>0535-6699884</w:t>
      </w:r>
    </w:p>
    <w:p>
      <w:pPr>
        <w:pStyle w:val="BodyText"/>
        <w:spacing w:before="3"/>
        <w:ind w:left="0"/>
        <w:rPr>
          <w:rFonts w:ascii="Times New Roman"/>
          <w:sz w:val="17"/>
        </w:rPr>
      </w:pPr>
    </w:p>
    <w:p>
      <w:pPr>
        <w:pStyle w:val="BodyText"/>
      </w:pPr>
      <w:r>
        <w:rPr/>
        <w:t>联系人：王淑华</w:t>
      </w:r>
    </w:p>
    <w:p>
      <w:pPr>
        <w:pStyle w:val="BodyText"/>
        <w:spacing w:before="7"/>
        <w:ind w:left="0"/>
        <w:rPr>
          <w:sz w:val="15"/>
        </w:rPr>
      </w:pPr>
    </w:p>
    <w:p>
      <w:pPr>
        <w:pStyle w:val="BodyText"/>
        <w:rPr>
          <w:rFonts w:ascii="Times New Roman" w:eastAsia="Times New Roman"/>
        </w:rPr>
      </w:pPr>
      <w:r>
        <w:rPr/>
        <w:t>网址：</w:t>
      </w:r>
      <w:hyperlink r:id="rId66">
        <w:r>
          <w:rPr>
            <w:rFonts w:ascii="Times New Roman" w:eastAsia="Times New Roman"/>
          </w:rPr>
          <w:t>www.yantaibank.net</w:t>
        </w:r>
      </w:hyperlink>
    </w:p>
    <w:p>
      <w:pPr>
        <w:pStyle w:val="BodyText"/>
        <w:spacing w:before="3"/>
        <w:ind w:left="0"/>
        <w:rPr>
          <w:rFonts w:ascii="Times New Roman"/>
          <w:sz w:val="17"/>
        </w:rPr>
      </w:pPr>
    </w:p>
    <w:p>
      <w:pPr>
        <w:pStyle w:val="BodyText"/>
        <w:rPr>
          <w:rFonts w:ascii="Times New Roman" w:eastAsia="Times New Roman"/>
        </w:rPr>
      </w:pPr>
      <w:r>
        <w:rPr/>
        <w:t>客户服务电话：</w:t>
      </w:r>
      <w:r>
        <w:rPr>
          <w:rFonts w:ascii="Times New Roman" w:eastAsia="Times New Roman"/>
        </w:rPr>
        <w:t>400-831-1777</w:t>
      </w:r>
    </w:p>
    <w:p>
      <w:pPr>
        <w:pStyle w:val="BodyText"/>
        <w:spacing w:before="4"/>
        <w:ind w:left="0"/>
        <w:rPr>
          <w:rFonts w:ascii="Times New Roman"/>
          <w:sz w:val="17"/>
        </w:rPr>
      </w:pPr>
    </w:p>
    <w:p>
      <w:pPr>
        <w:pStyle w:val="ListParagraph"/>
        <w:numPr>
          <w:ilvl w:val="0"/>
          <w:numId w:val="31"/>
        </w:numPr>
        <w:tabs>
          <w:tab w:pos="1275" w:val="left" w:leader="none"/>
        </w:tabs>
        <w:spacing w:line="240" w:lineRule="auto" w:before="0" w:after="0"/>
        <w:ind w:left="1275" w:right="0" w:hanging="635"/>
        <w:jc w:val="left"/>
        <w:rPr>
          <w:sz w:val="21"/>
        </w:rPr>
      </w:pPr>
      <w:r>
        <w:rPr>
          <w:spacing w:val="-3"/>
          <w:sz w:val="21"/>
        </w:rPr>
        <w:t>大连银行股份有限公司</w:t>
      </w:r>
    </w:p>
    <w:p>
      <w:pPr>
        <w:pStyle w:val="BodyText"/>
        <w:spacing w:before="6"/>
        <w:ind w:left="0"/>
        <w:rPr>
          <w:sz w:val="15"/>
        </w:rPr>
      </w:pPr>
    </w:p>
    <w:p>
      <w:pPr>
        <w:pStyle w:val="BodyText"/>
        <w:spacing w:before="1"/>
      </w:pPr>
      <w:r>
        <w:rPr/>
        <w:t>住所：辽宁省大连市中山区中山路</w:t>
      </w:r>
      <w:r>
        <w:rPr>
          <w:rFonts w:ascii="Times New Roman" w:eastAsia="Times New Roman"/>
        </w:rPr>
        <w:t>88</w:t>
      </w:r>
      <w:r>
        <w:rPr/>
        <w:t>号</w:t>
      </w:r>
    </w:p>
    <w:p>
      <w:pPr>
        <w:pStyle w:val="BodyText"/>
        <w:spacing w:before="6"/>
        <w:ind w:left="0"/>
        <w:rPr>
          <w:sz w:val="15"/>
        </w:rPr>
      </w:pPr>
    </w:p>
    <w:p>
      <w:pPr>
        <w:pStyle w:val="BodyText"/>
        <w:spacing w:line="417" w:lineRule="auto"/>
        <w:ind w:right="4769"/>
      </w:pPr>
      <w:r>
        <w:rPr/>
        <w:t>办公地址：辽宁省大连市中山区中山路</w:t>
      </w:r>
      <w:r>
        <w:rPr>
          <w:rFonts w:ascii="Times New Roman" w:eastAsia="Times New Roman"/>
        </w:rPr>
        <w:t>88</w:t>
      </w:r>
      <w:r>
        <w:rPr/>
        <w:t>号法定代表人：陈占维</w:t>
      </w:r>
    </w:p>
    <w:p>
      <w:pPr>
        <w:pStyle w:val="BodyText"/>
        <w:spacing w:line="417" w:lineRule="auto" w:before="1"/>
        <w:ind w:right="6810"/>
        <w:rPr>
          <w:rFonts w:ascii="Times New Roman" w:eastAsia="Times New Roman"/>
        </w:rPr>
      </w:pPr>
      <w:r>
        <w:rPr/>
        <w:t>电话：</w:t>
      </w:r>
      <w:r>
        <w:rPr>
          <w:rFonts w:ascii="Times New Roman" w:eastAsia="Times New Roman"/>
        </w:rPr>
        <w:t>0411-82356627 </w:t>
      </w:r>
      <w:r>
        <w:rPr/>
        <w:t>传真：</w:t>
      </w:r>
      <w:r>
        <w:rPr>
          <w:rFonts w:ascii="Times New Roman" w:eastAsia="Times New Roman"/>
        </w:rPr>
        <w:t>0411-82356590</w:t>
      </w:r>
    </w:p>
    <w:p>
      <w:pPr>
        <w:pStyle w:val="BodyText"/>
        <w:spacing w:line="269" w:lineRule="exact"/>
      </w:pPr>
      <w:r>
        <w:rPr/>
        <w:t>联系人：李格格</w:t>
      </w:r>
    </w:p>
    <w:p>
      <w:pPr>
        <w:pStyle w:val="BodyText"/>
        <w:spacing w:before="6"/>
        <w:ind w:left="0"/>
        <w:rPr>
          <w:sz w:val="15"/>
        </w:rPr>
      </w:pPr>
    </w:p>
    <w:p>
      <w:pPr>
        <w:pStyle w:val="BodyText"/>
        <w:rPr>
          <w:rFonts w:ascii="Times New Roman" w:eastAsia="Times New Roman"/>
        </w:rPr>
      </w:pPr>
      <w:r>
        <w:rPr/>
        <w:t>网址：</w:t>
      </w:r>
      <w:hyperlink r:id="rId67">
        <w:r>
          <w:rPr>
            <w:rFonts w:ascii="Times New Roman" w:eastAsia="Times New Roman"/>
          </w:rPr>
          <w:t>www.bankofdl.com</w:t>
        </w:r>
      </w:hyperlink>
    </w:p>
    <w:p>
      <w:pPr>
        <w:pStyle w:val="BodyText"/>
        <w:spacing w:before="4"/>
        <w:ind w:left="0"/>
        <w:rPr>
          <w:rFonts w:ascii="Times New Roman"/>
          <w:sz w:val="17"/>
        </w:rPr>
      </w:pPr>
    </w:p>
    <w:p>
      <w:pPr>
        <w:pStyle w:val="BodyText"/>
        <w:rPr>
          <w:rFonts w:ascii="Times New Roman" w:eastAsia="Times New Roman"/>
        </w:rPr>
      </w:pPr>
      <w:r>
        <w:rPr/>
        <w:t>客户服务电话：</w:t>
      </w:r>
      <w:r>
        <w:rPr>
          <w:rFonts w:ascii="Times New Roman" w:eastAsia="Times New Roman"/>
        </w:rPr>
        <w:t>400-664-0099</w:t>
      </w:r>
    </w:p>
    <w:p>
      <w:pPr>
        <w:pStyle w:val="BodyText"/>
        <w:spacing w:before="3"/>
        <w:ind w:left="0"/>
        <w:rPr>
          <w:rFonts w:ascii="Times New Roman"/>
          <w:sz w:val="17"/>
        </w:rPr>
      </w:pPr>
    </w:p>
    <w:p>
      <w:pPr>
        <w:pStyle w:val="ListParagraph"/>
        <w:numPr>
          <w:ilvl w:val="0"/>
          <w:numId w:val="31"/>
        </w:numPr>
        <w:tabs>
          <w:tab w:pos="1275" w:val="left" w:leader="none"/>
        </w:tabs>
        <w:spacing w:line="417" w:lineRule="auto" w:before="0" w:after="0"/>
        <w:ind w:left="640" w:right="5084" w:firstLine="0"/>
        <w:jc w:val="left"/>
        <w:rPr>
          <w:sz w:val="21"/>
        </w:rPr>
      </w:pPr>
      <w:r>
        <w:rPr>
          <w:spacing w:val="-3"/>
          <w:sz w:val="21"/>
        </w:rPr>
        <w:t>东莞农村商业银行股份有限公司住所：广东省东莞市东城区鸿福东路</w:t>
      </w:r>
      <w:r>
        <w:rPr>
          <w:rFonts w:ascii="Times New Roman" w:eastAsia="Times New Roman"/>
          <w:sz w:val="21"/>
        </w:rPr>
        <w:t>2</w:t>
      </w:r>
      <w:r>
        <w:rPr>
          <w:spacing w:val="-13"/>
          <w:sz w:val="21"/>
        </w:rPr>
        <w:t>号</w:t>
      </w:r>
    </w:p>
    <w:p>
      <w:pPr>
        <w:pStyle w:val="BodyText"/>
        <w:spacing w:line="417" w:lineRule="auto"/>
        <w:ind w:right="4664"/>
      </w:pPr>
      <w:r>
        <w:rPr/>
        <w:t>办公地址：广东省东莞市东城区鸿福东路</w:t>
      </w:r>
      <w:r>
        <w:rPr>
          <w:rFonts w:ascii="Times New Roman" w:eastAsia="Times New Roman"/>
        </w:rPr>
        <w:t>2</w:t>
      </w:r>
      <w:r>
        <w:rPr/>
        <w:t>号法定代表人：王耀球</w:t>
      </w:r>
    </w:p>
    <w:p>
      <w:pPr>
        <w:pStyle w:val="BodyText"/>
        <w:spacing w:line="417" w:lineRule="auto"/>
        <w:ind w:right="5434"/>
        <w:rPr>
          <w:rFonts w:ascii="Times New Roman" w:eastAsia="Times New Roman"/>
        </w:rPr>
      </w:pPr>
      <w:r>
        <w:rPr/>
        <w:t>电话：</w:t>
      </w:r>
      <w:r>
        <w:rPr>
          <w:rFonts w:ascii="Times New Roman" w:eastAsia="Times New Roman"/>
        </w:rPr>
        <w:t>0769-22866254</w:t>
      </w:r>
      <w:r>
        <w:rPr/>
        <w:t>、</w:t>
      </w:r>
      <w:r>
        <w:rPr>
          <w:rFonts w:ascii="Times New Roman" w:eastAsia="Times New Roman"/>
        </w:rPr>
        <w:t>15625596450 </w:t>
      </w:r>
      <w:r>
        <w:rPr/>
        <w:t>传真：</w:t>
      </w:r>
      <w:r>
        <w:rPr>
          <w:rFonts w:ascii="Times New Roman" w:eastAsia="Times New Roman"/>
        </w:rPr>
        <w:t>0769-22866282</w:t>
      </w:r>
    </w:p>
    <w:p>
      <w:pPr>
        <w:pStyle w:val="BodyText"/>
        <w:spacing w:line="269" w:lineRule="exact"/>
      </w:pPr>
      <w:r>
        <w:rPr/>
        <w:t>联系人：刘托福</w:t>
      </w:r>
    </w:p>
    <w:p>
      <w:pPr>
        <w:pStyle w:val="BodyText"/>
        <w:spacing w:before="7"/>
        <w:ind w:left="0"/>
        <w:rPr>
          <w:sz w:val="15"/>
        </w:rPr>
      </w:pPr>
    </w:p>
    <w:p>
      <w:pPr>
        <w:pStyle w:val="BodyText"/>
        <w:rPr>
          <w:rFonts w:ascii="Times New Roman" w:eastAsia="Times New Roman"/>
        </w:rPr>
      </w:pPr>
      <w:r>
        <w:rPr/>
        <w:t>网址：</w:t>
      </w:r>
      <w:hyperlink r:id="rId68">
        <w:r>
          <w:rPr>
            <w:rFonts w:ascii="Times New Roman" w:eastAsia="Times New Roman"/>
          </w:rPr>
          <w:t>www.drcbank.com</w:t>
        </w:r>
      </w:hyperlink>
    </w:p>
    <w:p>
      <w:pPr>
        <w:pStyle w:val="BodyText"/>
        <w:spacing w:before="4"/>
        <w:ind w:left="0"/>
        <w:rPr>
          <w:rFonts w:ascii="Times New Roman"/>
          <w:sz w:val="17"/>
        </w:rPr>
      </w:pPr>
    </w:p>
    <w:p>
      <w:pPr>
        <w:pStyle w:val="BodyText"/>
        <w:rPr>
          <w:rFonts w:ascii="Times New Roman" w:eastAsia="Times New Roman"/>
        </w:rPr>
      </w:pPr>
      <w:r>
        <w:rPr/>
        <w:t>客户服务电话：</w:t>
      </w:r>
      <w:r>
        <w:rPr>
          <w:rFonts w:ascii="Times New Roman" w:eastAsia="Times New Roman"/>
        </w:rPr>
        <w:t>0769-961122</w:t>
      </w:r>
    </w:p>
    <w:p>
      <w:pPr>
        <w:pStyle w:val="BodyText"/>
        <w:spacing w:before="3"/>
        <w:ind w:left="0"/>
        <w:rPr>
          <w:rFonts w:ascii="Times New Roman"/>
          <w:sz w:val="17"/>
        </w:rPr>
      </w:pPr>
    </w:p>
    <w:p>
      <w:pPr>
        <w:pStyle w:val="ListParagraph"/>
        <w:numPr>
          <w:ilvl w:val="0"/>
          <w:numId w:val="31"/>
        </w:numPr>
        <w:tabs>
          <w:tab w:pos="1275" w:val="left" w:leader="none"/>
        </w:tabs>
        <w:spacing w:line="240" w:lineRule="auto" w:before="0" w:after="0"/>
        <w:ind w:left="1275" w:right="0" w:hanging="635"/>
        <w:jc w:val="left"/>
        <w:rPr>
          <w:sz w:val="21"/>
        </w:rPr>
      </w:pPr>
      <w:r>
        <w:rPr>
          <w:spacing w:val="-3"/>
          <w:sz w:val="21"/>
        </w:rPr>
        <w:t>河北银行股份有限公司</w:t>
      </w:r>
    </w:p>
    <w:p>
      <w:pPr>
        <w:pStyle w:val="BodyText"/>
        <w:spacing w:before="7"/>
        <w:ind w:left="0"/>
        <w:rPr>
          <w:sz w:val="15"/>
        </w:rPr>
      </w:pPr>
    </w:p>
    <w:p>
      <w:pPr>
        <w:pStyle w:val="BodyText"/>
      </w:pPr>
      <w:r>
        <w:rPr/>
        <w:t>住所：河北省石家庄市平安北大街</w:t>
      </w:r>
      <w:r>
        <w:rPr>
          <w:rFonts w:ascii="Times New Roman" w:eastAsia="Times New Roman"/>
        </w:rPr>
        <w:t>28</w:t>
      </w:r>
      <w:r>
        <w:rPr/>
        <w:t>号</w:t>
      </w:r>
    </w:p>
    <w:p>
      <w:pPr>
        <w:pStyle w:val="BodyText"/>
        <w:spacing w:before="7"/>
        <w:ind w:left="0"/>
        <w:rPr>
          <w:sz w:val="15"/>
        </w:rPr>
      </w:pPr>
    </w:p>
    <w:p>
      <w:pPr>
        <w:pStyle w:val="BodyText"/>
        <w:spacing w:line="417" w:lineRule="auto"/>
        <w:ind w:right="4769"/>
      </w:pPr>
      <w:r>
        <w:rPr/>
        <w:t>办公地址：河北省石家庄市平安北大街</w:t>
      </w:r>
      <w:r>
        <w:rPr>
          <w:rFonts w:ascii="Times New Roman" w:eastAsia="Times New Roman"/>
        </w:rPr>
        <w:t>28</w:t>
      </w:r>
      <w:r>
        <w:rPr/>
        <w:t>号法定代表人：乔志强</w:t>
      </w:r>
    </w:p>
    <w:p>
      <w:pPr>
        <w:pStyle w:val="BodyText"/>
        <w:spacing w:line="417" w:lineRule="auto"/>
        <w:ind w:right="6810"/>
        <w:rPr>
          <w:rFonts w:ascii="Times New Roman" w:eastAsia="Times New Roman"/>
        </w:rPr>
      </w:pPr>
      <w:r>
        <w:rPr/>
        <w:t>电话：</w:t>
      </w:r>
      <w:r>
        <w:rPr>
          <w:rFonts w:ascii="Times New Roman" w:eastAsia="Times New Roman"/>
        </w:rPr>
        <w:t>0311-88627522 </w:t>
      </w:r>
      <w:r>
        <w:rPr/>
        <w:t>传真：</w:t>
      </w:r>
      <w:r>
        <w:rPr>
          <w:rFonts w:ascii="Times New Roman" w:eastAsia="Times New Roman"/>
        </w:rPr>
        <w:t>0311-88627027</w:t>
      </w:r>
    </w:p>
    <w:p>
      <w:pPr>
        <w:pStyle w:val="BodyText"/>
      </w:pPr>
      <w:r>
        <w:rPr/>
        <w:t>联系人：王栋</w:t>
      </w:r>
    </w:p>
    <w:p>
      <w:pPr>
        <w:pStyle w:val="BodyText"/>
        <w:spacing w:before="6"/>
        <w:ind w:left="0"/>
        <w:rPr>
          <w:sz w:val="15"/>
        </w:rPr>
      </w:pPr>
    </w:p>
    <w:p>
      <w:pPr>
        <w:pStyle w:val="BodyText"/>
        <w:rPr>
          <w:rFonts w:ascii="Times New Roman" w:eastAsia="Times New Roman"/>
        </w:rPr>
      </w:pPr>
      <w:r>
        <w:rPr/>
        <w:t>网址：</w:t>
      </w:r>
      <w:hyperlink r:id="rId69">
        <w:r>
          <w:rPr>
            <w:rFonts w:ascii="Times New Roman" w:eastAsia="Times New Roman"/>
          </w:rPr>
          <w:t>www.hebbank.com</w:t>
        </w:r>
      </w:hyperlink>
    </w:p>
    <w:p>
      <w:pPr>
        <w:spacing w:after="0"/>
        <w:rPr>
          <w:rFonts w:ascii="Times New Roman" w:eastAsia="Times New Roman"/>
        </w:rPr>
        <w:sectPr>
          <w:pgSz w:w="11910" w:h="16840"/>
          <w:pgMar w:header="705" w:footer="683" w:top="1420" w:bottom="880" w:left="1580" w:right="920"/>
        </w:sectPr>
      </w:pPr>
    </w:p>
    <w:p>
      <w:pPr>
        <w:pStyle w:val="BodyText"/>
        <w:spacing w:before="110"/>
        <w:rPr>
          <w:rFonts w:ascii="Times New Roman" w:eastAsia="Times New Roman"/>
        </w:rPr>
      </w:pPr>
      <w:r>
        <w:rPr/>
        <w:t>客户服务电话：</w:t>
      </w:r>
      <w:r>
        <w:rPr>
          <w:rFonts w:ascii="Times New Roman" w:eastAsia="Times New Roman"/>
        </w:rPr>
        <w:t>400-612-9999</w:t>
      </w:r>
    </w:p>
    <w:p>
      <w:pPr>
        <w:pStyle w:val="BodyText"/>
        <w:spacing w:before="3"/>
        <w:ind w:left="0"/>
        <w:rPr>
          <w:rFonts w:ascii="Times New Roman"/>
          <w:sz w:val="17"/>
        </w:rPr>
      </w:pPr>
    </w:p>
    <w:p>
      <w:pPr>
        <w:pStyle w:val="ListParagraph"/>
        <w:numPr>
          <w:ilvl w:val="0"/>
          <w:numId w:val="31"/>
        </w:numPr>
        <w:tabs>
          <w:tab w:pos="1275" w:val="left" w:leader="none"/>
        </w:tabs>
        <w:spacing w:line="417" w:lineRule="auto" w:before="0" w:after="0"/>
        <w:ind w:left="640" w:right="4769" w:firstLine="0"/>
        <w:jc w:val="left"/>
        <w:rPr>
          <w:sz w:val="21"/>
        </w:rPr>
      </w:pPr>
      <w:r>
        <w:rPr>
          <w:spacing w:val="-4"/>
          <w:sz w:val="21"/>
        </w:rPr>
        <w:t>江苏苏州农村商业银行股份有限公司</w:t>
      </w:r>
      <w:r>
        <w:rPr>
          <w:spacing w:val="-3"/>
          <w:sz w:val="21"/>
        </w:rPr>
        <w:t>住所：江苏省苏州市吴江区中山南路</w:t>
      </w:r>
      <w:r>
        <w:rPr>
          <w:rFonts w:ascii="Times New Roman" w:eastAsia="Times New Roman"/>
          <w:sz w:val="21"/>
        </w:rPr>
        <w:t>1777</w:t>
      </w:r>
      <w:r>
        <w:rPr>
          <w:spacing w:val="-12"/>
          <w:sz w:val="21"/>
        </w:rPr>
        <w:t>号</w:t>
      </w:r>
    </w:p>
    <w:p>
      <w:pPr>
        <w:pStyle w:val="BodyText"/>
        <w:spacing w:line="417" w:lineRule="auto"/>
        <w:ind w:right="4349"/>
      </w:pPr>
      <w:r>
        <w:rPr/>
        <w:t>办公地址：江苏省苏州市吴江区中山南路</w:t>
      </w:r>
      <w:r>
        <w:rPr>
          <w:rFonts w:ascii="Times New Roman" w:eastAsia="Times New Roman"/>
        </w:rPr>
        <w:t>1777</w:t>
      </w:r>
      <w:r>
        <w:rPr/>
        <w:t>号法定代表人：魏礼亚</w:t>
      </w:r>
    </w:p>
    <w:p>
      <w:pPr>
        <w:pStyle w:val="BodyText"/>
        <w:spacing w:line="417" w:lineRule="auto"/>
        <w:ind w:right="6800"/>
        <w:rPr>
          <w:rFonts w:ascii="Times New Roman" w:eastAsia="Times New Roman"/>
        </w:rPr>
      </w:pPr>
      <w:r>
        <w:rPr/>
        <w:t>电话：</w:t>
      </w:r>
      <w:r>
        <w:rPr>
          <w:rFonts w:ascii="Times New Roman" w:eastAsia="Times New Roman"/>
        </w:rPr>
        <w:t>0512-63969209 </w:t>
      </w:r>
      <w:r>
        <w:rPr/>
        <w:t>传真：</w:t>
      </w:r>
      <w:r>
        <w:rPr>
          <w:rFonts w:ascii="Times New Roman" w:eastAsia="Times New Roman"/>
        </w:rPr>
        <w:t>0512-63969209</w:t>
      </w:r>
    </w:p>
    <w:p>
      <w:pPr>
        <w:pStyle w:val="BodyText"/>
      </w:pPr>
      <w:r>
        <w:rPr/>
        <w:t>联系人：葛晓亮</w:t>
      </w:r>
    </w:p>
    <w:p>
      <w:pPr>
        <w:pStyle w:val="BodyText"/>
        <w:spacing w:before="6"/>
        <w:ind w:left="0"/>
        <w:rPr>
          <w:sz w:val="15"/>
        </w:rPr>
      </w:pPr>
    </w:p>
    <w:p>
      <w:pPr>
        <w:pStyle w:val="BodyText"/>
        <w:rPr>
          <w:rFonts w:ascii="Times New Roman" w:eastAsia="Times New Roman"/>
        </w:rPr>
      </w:pPr>
      <w:r>
        <w:rPr/>
        <w:t>网址：</w:t>
      </w:r>
      <w:hyperlink r:id="rId70">
        <w:r>
          <w:rPr>
            <w:rFonts w:ascii="Times New Roman" w:eastAsia="Times New Roman"/>
          </w:rPr>
          <w:t>http://www.szrcb.com</w:t>
        </w:r>
      </w:hyperlink>
    </w:p>
    <w:p>
      <w:pPr>
        <w:pStyle w:val="BodyText"/>
        <w:spacing w:before="4"/>
        <w:ind w:left="0"/>
        <w:rPr>
          <w:rFonts w:ascii="Times New Roman"/>
          <w:sz w:val="17"/>
        </w:rPr>
      </w:pPr>
    </w:p>
    <w:p>
      <w:pPr>
        <w:pStyle w:val="BodyText"/>
      </w:pPr>
      <w:r>
        <w:rPr>
          <w:spacing w:val="-2"/>
        </w:rPr>
        <w:t>客户服务电话：</w:t>
      </w:r>
      <w:r>
        <w:rPr>
          <w:rFonts w:ascii="Times New Roman" w:eastAsia="Times New Roman"/>
        </w:rPr>
        <w:t>96068</w:t>
      </w:r>
      <w:r>
        <w:rPr/>
        <w:t>（</w:t>
      </w:r>
      <w:r>
        <w:rPr>
          <w:spacing w:val="-3"/>
        </w:rPr>
        <w:t>江苏省内</w:t>
      </w:r>
      <w:r>
        <w:rPr>
          <w:spacing w:val="-106"/>
        </w:rPr>
        <w:t>）</w:t>
      </w:r>
      <w:r>
        <w:rPr/>
        <w:t>、</w:t>
      </w:r>
      <w:r>
        <w:rPr>
          <w:rFonts w:ascii="Times New Roman" w:eastAsia="Times New Roman"/>
        </w:rPr>
        <w:t>4008696068</w:t>
      </w:r>
      <w:r>
        <w:rPr/>
        <w:t>（</w:t>
      </w:r>
      <w:r>
        <w:rPr>
          <w:spacing w:val="-3"/>
        </w:rPr>
        <w:t>江苏省外</w:t>
      </w:r>
      <w:r>
        <w:rPr/>
        <w:t>）</w:t>
      </w:r>
    </w:p>
    <w:p>
      <w:pPr>
        <w:pStyle w:val="BodyText"/>
        <w:spacing w:before="7"/>
        <w:ind w:left="0"/>
        <w:rPr>
          <w:sz w:val="15"/>
        </w:rPr>
      </w:pPr>
    </w:p>
    <w:p>
      <w:pPr>
        <w:pStyle w:val="ListParagraph"/>
        <w:numPr>
          <w:ilvl w:val="0"/>
          <w:numId w:val="31"/>
        </w:numPr>
        <w:tabs>
          <w:tab w:pos="1275" w:val="left" w:leader="none"/>
        </w:tabs>
        <w:spacing w:line="417" w:lineRule="auto" w:before="0" w:after="0"/>
        <w:ind w:left="640" w:right="5818" w:firstLine="0"/>
        <w:jc w:val="left"/>
        <w:rPr>
          <w:sz w:val="21"/>
        </w:rPr>
      </w:pPr>
      <w:r>
        <w:rPr>
          <w:spacing w:val="-3"/>
          <w:sz w:val="21"/>
        </w:rPr>
        <w:t>西安银行股份有限公司 住所：陕西省西安市高新路</w:t>
      </w:r>
      <w:r>
        <w:rPr>
          <w:rFonts w:ascii="Times New Roman" w:eastAsia="Times New Roman"/>
          <w:sz w:val="21"/>
        </w:rPr>
        <w:t>60</w:t>
      </w:r>
      <w:r>
        <w:rPr>
          <w:spacing w:val="-14"/>
          <w:sz w:val="21"/>
        </w:rPr>
        <w:t>号</w:t>
      </w:r>
    </w:p>
    <w:p>
      <w:pPr>
        <w:pStyle w:val="BodyText"/>
        <w:spacing w:line="417" w:lineRule="auto"/>
        <w:ind w:right="5398"/>
      </w:pPr>
      <w:r>
        <w:rPr/>
        <w:t>办公地址：陕西省西安市高新路</w:t>
      </w:r>
      <w:r>
        <w:rPr>
          <w:rFonts w:ascii="Times New Roman" w:eastAsia="Times New Roman"/>
        </w:rPr>
        <w:t>60</w:t>
      </w:r>
      <w:r>
        <w:rPr/>
        <w:t>号法定代表人：郭军</w:t>
      </w:r>
    </w:p>
    <w:p>
      <w:pPr>
        <w:pStyle w:val="BodyText"/>
        <w:spacing w:line="417" w:lineRule="auto"/>
        <w:ind w:right="6906"/>
        <w:rPr>
          <w:rFonts w:ascii="Times New Roman" w:eastAsia="Times New Roman"/>
        </w:rPr>
      </w:pPr>
      <w:r>
        <w:rPr/>
        <w:t>电话：</w:t>
      </w:r>
      <w:r>
        <w:rPr>
          <w:rFonts w:ascii="Times New Roman" w:eastAsia="Times New Roman"/>
        </w:rPr>
        <w:t>029-88992881 </w:t>
      </w:r>
      <w:r>
        <w:rPr/>
        <w:t>传真：</w:t>
      </w:r>
      <w:r>
        <w:rPr>
          <w:rFonts w:ascii="Times New Roman" w:eastAsia="Times New Roman"/>
        </w:rPr>
        <w:t>029-88992475</w:t>
      </w:r>
    </w:p>
    <w:p>
      <w:pPr>
        <w:pStyle w:val="BodyText"/>
        <w:spacing w:line="269" w:lineRule="exact"/>
      </w:pPr>
      <w:r>
        <w:rPr/>
        <w:t>联系人：白智</w:t>
      </w:r>
    </w:p>
    <w:p>
      <w:pPr>
        <w:pStyle w:val="BodyText"/>
        <w:spacing w:before="6"/>
        <w:ind w:left="0"/>
        <w:rPr>
          <w:sz w:val="15"/>
        </w:rPr>
      </w:pPr>
    </w:p>
    <w:p>
      <w:pPr>
        <w:pStyle w:val="BodyText"/>
        <w:rPr>
          <w:rFonts w:ascii="Times New Roman" w:eastAsia="Times New Roman"/>
        </w:rPr>
      </w:pPr>
      <w:r>
        <w:rPr/>
        <w:t>网址：</w:t>
      </w:r>
      <w:hyperlink r:id="rId71">
        <w:r>
          <w:rPr>
            <w:rFonts w:ascii="Times New Roman" w:eastAsia="Times New Roman"/>
          </w:rPr>
          <w:t>www.xacbank.com</w:t>
        </w:r>
      </w:hyperlink>
    </w:p>
    <w:p>
      <w:pPr>
        <w:pStyle w:val="BodyText"/>
        <w:spacing w:before="3"/>
        <w:ind w:left="0"/>
        <w:rPr>
          <w:rFonts w:ascii="Times New Roman"/>
          <w:sz w:val="17"/>
        </w:rPr>
      </w:pPr>
    </w:p>
    <w:p>
      <w:pPr>
        <w:pStyle w:val="BodyText"/>
        <w:spacing w:before="1"/>
        <w:rPr>
          <w:rFonts w:ascii="Times New Roman" w:eastAsia="Times New Roman"/>
        </w:rPr>
      </w:pPr>
      <w:r>
        <w:rPr/>
        <w:t>客户服务电话：</w:t>
      </w:r>
      <w:r>
        <w:rPr>
          <w:rFonts w:ascii="Times New Roman" w:eastAsia="Times New Roman"/>
        </w:rPr>
        <w:t>400-869-6779</w:t>
      </w:r>
    </w:p>
    <w:p>
      <w:pPr>
        <w:pStyle w:val="BodyText"/>
        <w:spacing w:before="3"/>
        <w:ind w:left="0"/>
        <w:rPr>
          <w:rFonts w:ascii="Times New Roman"/>
          <w:sz w:val="17"/>
        </w:rPr>
      </w:pPr>
    </w:p>
    <w:p>
      <w:pPr>
        <w:pStyle w:val="ListParagraph"/>
        <w:numPr>
          <w:ilvl w:val="0"/>
          <w:numId w:val="31"/>
        </w:numPr>
        <w:tabs>
          <w:tab w:pos="1275" w:val="left" w:leader="none"/>
        </w:tabs>
        <w:spacing w:line="417" w:lineRule="auto" w:before="0" w:after="0"/>
        <w:ind w:left="640" w:right="4769" w:firstLine="0"/>
        <w:jc w:val="left"/>
        <w:rPr>
          <w:sz w:val="21"/>
        </w:rPr>
      </w:pPr>
      <w:r>
        <w:rPr>
          <w:spacing w:val="-4"/>
          <w:sz w:val="21"/>
        </w:rPr>
        <w:t>江苏江南农村商业银行股份有限公司</w:t>
      </w:r>
      <w:r>
        <w:rPr>
          <w:spacing w:val="-3"/>
          <w:sz w:val="21"/>
        </w:rPr>
        <w:t>住所：江苏省常州市和平中路</w:t>
      </w:r>
      <w:r>
        <w:rPr>
          <w:rFonts w:ascii="Times New Roman" w:eastAsia="Times New Roman"/>
          <w:sz w:val="21"/>
        </w:rPr>
        <w:t>413</w:t>
      </w:r>
      <w:r>
        <w:rPr>
          <w:sz w:val="21"/>
        </w:rPr>
        <w:t>号</w:t>
      </w:r>
    </w:p>
    <w:p>
      <w:pPr>
        <w:pStyle w:val="BodyText"/>
        <w:spacing w:line="417" w:lineRule="auto"/>
        <w:ind w:right="5084"/>
      </w:pPr>
      <w:r>
        <w:rPr/>
        <w:t>办公地址：江苏省常州市和平中路</w:t>
      </w:r>
      <w:r>
        <w:rPr>
          <w:rFonts w:ascii="Times New Roman" w:eastAsia="Times New Roman"/>
        </w:rPr>
        <w:t>413</w:t>
      </w:r>
      <w:r>
        <w:rPr/>
        <w:t>号法定代表人：陆向阳</w:t>
      </w:r>
    </w:p>
    <w:p>
      <w:pPr>
        <w:pStyle w:val="BodyText"/>
        <w:spacing w:line="417" w:lineRule="auto"/>
        <w:ind w:right="6800"/>
        <w:rPr>
          <w:rFonts w:ascii="Times New Roman" w:eastAsia="Times New Roman"/>
        </w:rPr>
      </w:pPr>
      <w:r>
        <w:rPr/>
        <w:t>电话：</w:t>
      </w:r>
      <w:r>
        <w:rPr>
          <w:rFonts w:ascii="Times New Roman" w:eastAsia="Times New Roman"/>
        </w:rPr>
        <w:t>0519-80585939 </w:t>
      </w:r>
      <w:r>
        <w:rPr/>
        <w:t>传真：</w:t>
      </w:r>
      <w:r>
        <w:rPr>
          <w:rFonts w:ascii="Times New Roman" w:eastAsia="Times New Roman"/>
        </w:rPr>
        <w:t>0519-89995170</w:t>
      </w:r>
    </w:p>
    <w:p>
      <w:pPr>
        <w:pStyle w:val="BodyText"/>
        <w:spacing w:line="269" w:lineRule="exact"/>
      </w:pPr>
      <w:r>
        <w:rPr/>
        <w:t>联系人：蒋娇</w:t>
      </w:r>
    </w:p>
    <w:p>
      <w:pPr>
        <w:pStyle w:val="BodyText"/>
        <w:spacing w:before="7"/>
        <w:ind w:left="0"/>
        <w:rPr>
          <w:sz w:val="15"/>
        </w:rPr>
      </w:pPr>
    </w:p>
    <w:p>
      <w:pPr>
        <w:pStyle w:val="BodyText"/>
        <w:spacing w:line="417" w:lineRule="auto"/>
        <w:ind w:right="6276"/>
        <w:rPr>
          <w:rFonts w:ascii="Times New Roman" w:eastAsia="Times New Roman"/>
        </w:rPr>
      </w:pPr>
      <w:r>
        <w:rPr/>
        <w:t>网址：</w:t>
      </w:r>
      <w:hyperlink r:id="rId72">
        <w:r>
          <w:rPr>
            <w:rFonts w:ascii="Times New Roman" w:eastAsia="Times New Roman"/>
          </w:rPr>
          <w:t>www.jnbank.com.cn </w:t>
        </w:r>
      </w:hyperlink>
      <w:r>
        <w:rPr/>
        <w:t>客户服务电话：</w:t>
      </w:r>
      <w:r>
        <w:rPr>
          <w:rFonts w:ascii="Times New Roman" w:eastAsia="Times New Roman"/>
        </w:rPr>
        <w:t>0519-96005</w:t>
      </w:r>
    </w:p>
    <w:p>
      <w:pPr>
        <w:pStyle w:val="ListParagraph"/>
        <w:numPr>
          <w:ilvl w:val="0"/>
          <w:numId w:val="31"/>
        </w:numPr>
        <w:tabs>
          <w:tab w:pos="1275" w:val="left" w:leader="none"/>
        </w:tabs>
        <w:spacing w:line="240" w:lineRule="auto" w:before="0" w:after="0"/>
        <w:ind w:left="1275" w:right="0" w:hanging="635"/>
        <w:jc w:val="left"/>
        <w:rPr>
          <w:sz w:val="21"/>
        </w:rPr>
      </w:pPr>
      <w:r>
        <w:rPr>
          <w:spacing w:val="-3"/>
          <w:sz w:val="21"/>
        </w:rPr>
        <w:t>包商银行股份有限公司</w:t>
      </w:r>
    </w:p>
    <w:p>
      <w:pPr>
        <w:pStyle w:val="BodyText"/>
        <w:spacing w:before="6"/>
        <w:ind w:left="0"/>
        <w:rPr>
          <w:sz w:val="15"/>
        </w:rPr>
      </w:pPr>
    </w:p>
    <w:p>
      <w:pPr>
        <w:pStyle w:val="BodyText"/>
        <w:spacing w:before="1"/>
      </w:pPr>
      <w:r>
        <w:rPr/>
        <w:t>住所：内蒙古包头市青山区钢铁大街</w:t>
      </w:r>
      <w:r>
        <w:rPr>
          <w:rFonts w:ascii="Times New Roman" w:eastAsia="Times New Roman"/>
        </w:rPr>
        <w:t>6</w:t>
      </w:r>
      <w:r>
        <w:rPr/>
        <w:t>号</w:t>
      </w:r>
    </w:p>
    <w:p>
      <w:pPr>
        <w:spacing w:after="0"/>
        <w:sectPr>
          <w:pgSz w:w="11910" w:h="16840"/>
          <w:pgMar w:header="705" w:footer="683" w:top="1420" w:bottom="880" w:left="1580" w:right="920"/>
        </w:sectPr>
      </w:pPr>
    </w:p>
    <w:p>
      <w:pPr>
        <w:pStyle w:val="BodyText"/>
        <w:spacing w:line="417" w:lineRule="auto" w:before="110"/>
        <w:ind w:right="4664"/>
      </w:pPr>
      <w:r>
        <w:rPr/>
        <w:t>办公地址：内蒙古包头市青山区钢铁大街</w:t>
      </w:r>
      <w:r>
        <w:rPr>
          <w:rFonts w:ascii="Times New Roman" w:eastAsia="Times New Roman"/>
        </w:rPr>
        <w:t>6</w:t>
      </w:r>
      <w:r>
        <w:rPr/>
        <w:t>号法定代表人：李镇西</w:t>
      </w:r>
    </w:p>
    <w:p>
      <w:pPr>
        <w:pStyle w:val="BodyText"/>
        <w:spacing w:line="417" w:lineRule="auto"/>
        <w:ind w:right="6906"/>
        <w:rPr>
          <w:rFonts w:ascii="Times New Roman" w:eastAsia="Times New Roman"/>
        </w:rPr>
      </w:pPr>
      <w:r>
        <w:rPr/>
        <w:t>电话：</w:t>
      </w:r>
      <w:r>
        <w:rPr>
          <w:rFonts w:ascii="Times New Roman" w:eastAsia="Times New Roman"/>
        </w:rPr>
        <w:t>0472-5189051 </w:t>
      </w:r>
      <w:r>
        <w:rPr/>
        <w:t>传真：</w:t>
      </w:r>
      <w:r>
        <w:rPr>
          <w:rFonts w:ascii="Times New Roman" w:eastAsia="Times New Roman"/>
        </w:rPr>
        <w:t>0472-5189057</w:t>
      </w:r>
    </w:p>
    <w:p>
      <w:pPr>
        <w:pStyle w:val="BodyText"/>
        <w:spacing w:line="269" w:lineRule="exact"/>
      </w:pPr>
      <w:r>
        <w:rPr/>
        <w:t>联系人：刘芳</w:t>
      </w:r>
    </w:p>
    <w:p>
      <w:pPr>
        <w:pStyle w:val="BodyText"/>
        <w:spacing w:before="6"/>
        <w:ind w:left="0"/>
        <w:rPr>
          <w:sz w:val="15"/>
        </w:rPr>
      </w:pPr>
    </w:p>
    <w:p>
      <w:pPr>
        <w:pStyle w:val="BodyText"/>
        <w:rPr>
          <w:rFonts w:ascii="Times New Roman" w:eastAsia="Times New Roman"/>
        </w:rPr>
      </w:pPr>
      <w:r>
        <w:rPr/>
        <w:t>网址：</w:t>
      </w:r>
      <w:hyperlink r:id="rId73">
        <w:r>
          <w:rPr>
            <w:rFonts w:ascii="Times New Roman" w:eastAsia="Times New Roman"/>
          </w:rPr>
          <w:t>www.bsb.com.cn</w:t>
        </w:r>
      </w:hyperlink>
    </w:p>
    <w:p>
      <w:pPr>
        <w:pStyle w:val="BodyText"/>
        <w:spacing w:before="3"/>
        <w:ind w:left="0"/>
        <w:rPr>
          <w:rFonts w:ascii="Times New Roman"/>
          <w:sz w:val="17"/>
        </w:rPr>
      </w:pPr>
    </w:p>
    <w:p>
      <w:pPr>
        <w:pStyle w:val="BodyText"/>
        <w:spacing w:before="1"/>
      </w:pPr>
      <w:r>
        <w:rPr>
          <w:spacing w:val="-3"/>
        </w:rPr>
        <w:t>客户服务电话：</w:t>
      </w:r>
      <w:r>
        <w:rPr>
          <w:rFonts w:ascii="Times New Roman" w:eastAsia="Times New Roman"/>
          <w:spacing w:val="-8"/>
        </w:rPr>
        <w:t>96016</w:t>
      </w:r>
      <w:r>
        <w:rPr>
          <w:spacing w:val="-8"/>
        </w:rPr>
        <w:t>（</w:t>
      </w:r>
      <w:r>
        <w:rPr>
          <w:spacing w:val="-6"/>
        </w:rPr>
        <w:t>内蒙古、北京</w:t>
      </w:r>
      <w:r>
        <w:rPr>
          <w:spacing w:val="-106"/>
        </w:rPr>
        <w:t>）</w:t>
      </w:r>
      <w:r>
        <w:rPr>
          <w:spacing w:val="-25"/>
        </w:rPr>
        <w:t>、</w:t>
      </w:r>
      <w:r>
        <w:rPr>
          <w:rFonts w:ascii="Times New Roman" w:eastAsia="Times New Roman"/>
          <w:spacing w:val="-4"/>
        </w:rPr>
        <w:t>967210</w:t>
      </w:r>
      <w:r>
        <w:rPr>
          <w:spacing w:val="-4"/>
        </w:rPr>
        <w:t>（</w:t>
      </w:r>
      <w:r>
        <w:rPr>
          <w:spacing w:val="-7"/>
        </w:rPr>
        <w:t>宁波、深圳</w:t>
      </w:r>
      <w:r>
        <w:rPr>
          <w:spacing w:val="-106"/>
        </w:rPr>
        <w:t>）</w:t>
      </w:r>
      <w:r>
        <w:rPr>
          <w:spacing w:val="-22"/>
        </w:rPr>
        <w:t>、</w:t>
      </w:r>
      <w:r>
        <w:rPr>
          <w:rFonts w:ascii="Times New Roman" w:eastAsia="Times New Roman"/>
          <w:spacing w:val="-3"/>
        </w:rPr>
        <w:t>028-65558555</w:t>
      </w:r>
      <w:r>
        <w:rPr>
          <w:spacing w:val="-3"/>
        </w:rPr>
        <w:t>（</w:t>
      </w:r>
      <w:r>
        <w:rPr>
          <w:spacing w:val="-2"/>
        </w:rPr>
        <w:t>成都</w:t>
      </w:r>
      <w:r>
        <w:rPr/>
        <w:t>）</w:t>
      </w:r>
    </w:p>
    <w:p>
      <w:pPr>
        <w:pStyle w:val="BodyText"/>
        <w:spacing w:before="7"/>
        <w:ind w:left="0"/>
        <w:rPr>
          <w:sz w:val="15"/>
        </w:rPr>
      </w:pPr>
    </w:p>
    <w:p>
      <w:pPr>
        <w:pStyle w:val="ListParagraph"/>
        <w:numPr>
          <w:ilvl w:val="0"/>
          <w:numId w:val="31"/>
        </w:numPr>
        <w:tabs>
          <w:tab w:pos="1275" w:val="left" w:leader="none"/>
        </w:tabs>
        <w:spacing w:line="240" w:lineRule="auto" w:before="0" w:after="0"/>
        <w:ind w:left="1275" w:right="0" w:hanging="635"/>
        <w:jc w:val="left"/>
        <w:rPr>
          <w:sz w:val="21"/>
        </w:rPr>
      </w:pPr>
      <w:r>
        <w:rPr>
          <w:spacing w:val="-3"/>
          <w:sz w:val="21"/>
        </w:rPr>
        <w:t>厦门银行股份有限公司</w:t>
      </w:r>
    </w:p>
    <w:p>
      <w:pPr>
        <w:pStyle w:val="BodyText"/>
        <w:spacing w:before="6"/>
        <w:ind w:left="0"/>
        <w:rPr>
          <w:sz w:val="15"/>
        </w:rPr>
      </w:pPr>
    </w:p>
    <w:p>
      <w:pPr>
        <w:pStyle w:val="BodyText"/>
        <w:spacing w:before="1"/>
      </w:pPr>
      <w:r>
        <w:rPr/>
        <w:t>住所：厦门市湖滨北路</w:t>
      </w:r>
      <w:r>
        <w:rPr>
          <w:rFonts w:ascii="Times New Roman" w:eastAsia="Times New Roman"/>
        </w:rPr>
        <w:t>101</w:t>
      </w:r>
      <w:r>
        <w:rPr/>
        <w:t>号商业银行大厦</w:t>
      </w:r>
    </w:p>
    <w:p>
      <w:pPr>
        <w:pStyle w:val="BodyText"/>
        <w:spacing w:before="6"/>
        <w:ind w:left="0"/>
        <w:rPr>
          <w:sz w:val="15"/>
        </w:rPr>
      </w:pPr>
    </w:p>
    <w:p>
      <w:pPr>
        <w:pStyle w:val="BodyText"/>
        <w:spacing w:line="417" w:lineRule="auto"/>
        <w:ind w:right="4455"/>
      </w:pPr>
      <w:r>
        <w:rPr/>
        <w:t>办公地址：厦门市湖滨北路</w:t>
      </w:r>
      <w:r>
        <w:rPr>
          <w:rFonts w:ascii="Times New Roman" w:eastAsia="Times New Roman"/>
        </w:rPr>
        <w:t>101</w:t>
      </w:r>
      <w:r>
        <w:rPr/>
        <w:t>号商业银行大厦法定代表人：吴世群</w:t>
      </w:r>
    </w:p>
    <w:p>
      <w:pPr>
        <w:pStyle w:val="BodyText"/>
        <w:spacing w:line="417" w:lineRule="auto"/>
        <w:ind w:right="6906"/>
        <w:rPr>
          <w:rFonts w:ascii="Times New Roman" w:eastAsia="Times New Roman"/>
        </w:rPr>
      </w:pPr>
      <w:r>
        <w:rPr/>
        <w:t>电话：</w:t>
      </w:r>
      <w:r>
        <w:rPr>
          <w:rFonts w:ascii="Times New Roman" w:eastAsia="Times New Roman"/>
        </w:rPr>
        <w:t>0592-5310251 </w:t>
      </w:r>
      <w:r>
        <w:rPr/>
        <w:t>传真：</w:t>
      </w:r>
      <w:r>
        <w:rPr>
          <w:rFonts w:ascii="Times New Roman" w:eastAsia="Times New Roman"/>
        </w:rPr>
        <w:t>0592-5373973</w:t>
      </w:r>
    </w:p>
    <w:p>
      <w:pPr>
        <w:pStyle w:val="BodyText"/>
        <w:spacing w:line="269" w:lineRule="exact"/>
      </w:pPr>
      <w:r>
        <w:rPr/>
        <w:t>联系人：孙瑜</w:t>
      </w:r>
    </w:p>
    <w:p>
      <w:pPr>
        <w:pStyle w:val="BodyText"/>
        <w:spacing w:before="7"/>
        <w:ind w:left="0"/>
        <w:rPr>
          <w:sz w:val="15"/>
        </w:rPr>
      </w:pPr>
    </w:p>
    <w:p>
      <w:pPr>
        <w:pStyle w:val="BodyText"/>
        <w:rPr>
          <w:rFonts w:ascii="Times New Roman" w:eastAsia="Times New Roman"/>
        </w:rPr>
      </w:pPr>
      <w:r>
        <w:rPr/>
        <w:t>网址：</w:t>
      </w:r>
      <w:hyperlink r:id="rId74">
        <w:r>
          <w:rPr>
            <w:rFonts w:ascii="Times New Roman" w:eastAsia="Times New Roman"/>
          </w:rPr>
          <w:t>www.xmccb.com</w:t>
        </w:r>
      </w:hyperlink>
    </w:p>
    <w:p>
      <w:pPr>
        <w:pStyle w:val="BodyText"/>
        <w:spacing w:before="3"/>
        <w:ind w:left="0"/>
        <w:rPr>
          <w:rFonts w:ascii="Times New Roman"/>
          <w:sz w:val="17"/>
        </w:rPr>
      </w:pPr>
    </w:p>
    <w:p>
      <w:pPr>
        <w:pStyle w:val="BodyText"/>
        <w:spacing w:before="1"/>
        <w:rPr>
          <w:rFonts w:ascii="Times New Roman" w:eastAsia="Times New Roman"/>
        </w:rPr>
      </w:pPr>
      <w:r>
        <w:rPr/>
        <w:t>客户服务电话：</w:t>
      </w:r>
      <w:r>
        <w:rPr>
          <w:rFonts w:ascii="Times New Roman" w:eastAsia="Times New Roman"/>
        </w:rPr>
        <w:t>400-858-8888</w:t>
      </w:r>
    </w:p>
    <w:p>
      <w:pPr>
        <w:pStyle w:val="BodyText"/>
        <w:spacing w:before="3"/>
        <w:ind w:left="0"/>
        <w:rPr>
          <w:rFonts w:ascii="Times New Roman"/>
          <w:sz w:val="17"/>
        </w:rPr>
      </w:pPr>
    </w:p>
    <w:p>
      <w:pPr>
        <w:pStyle w:val="ListParagraph"/>
        <w:numPr>
          <w:ilvl w:val="0"/>
          <w:numId w:val="31"/>
        </w:numPr>
        <w:tabs>
          <w:tab w:pos="1275" w:val="left" w:leader="none"/>
        </w:tabs>
        <w:spacing w:line="240" w:lineRule="auto" w:before="0" w:after="0"/>
        <w:ind w:left="1275" w:right="0" w:hanging="635"/>
        <w:jc w:val="left"/>
        <w:rPr>
          <w:sz w:val="21"/>
        </w:rPr>
      </w:pPr>
      <w:r>
        <w:rPr>
          <w:spacing w:val="-3"/>
          <w:sz w:val="21"/>
        </w:rPr>
        <w:t>吉林银行股份有限公司</w:t>
      </w:r>
    </w:p>
    <w:p>
      <w:pPr>
        <w:pStyle w:val="BodyText"/>
        <w:spacing w:before="7"/>
        <w:ind w:left="0"/>
        <w:rPr>
          <w:sz w:val="15"/>
        </w:rPr>
      </w:pPr>
    </w:p>
    <w:p>
      <w:pPr>
        <w:pStyle w:val="BodyText"/>
      </w:pPr>
      <w:r>
        <w:rPr/>
        <w:t>住所：吉林省长春市经济开发区</w:t>
      </w:r>
      <w:r>
        <w:rPr>
          <w:rFonts w:ascii="Times New Roman" w:eastAsia="Times New Roman"/>
        </w:rPr>
        <w:t>1817</w:t>
      </w:r>
      <w:r>
        <w:rPr/>
        <w:t>号</w:t>
      </w:r>
    </w:p>
    <w:p>
      <w:pPr>
        <w:pStyle w:val="BodyText"/>
        <w:spacing w:before="6"/>
        <w:ind w:left="0"/>
        <w:rPr>
          <w:sz w:val="15"/>
        </w:rPr>
      </w:pPr>
    </w:p>
    <w:p>
      <w:pPr>
        <w:pStyle w:val="BodyText"/>
        <w:spacing w:line="417" w:lineRule="auto" w:before="1"/>
        <w:ind w:right="4769"/>
      </w:pPr>
      <w:r>
        <w:rPr/>
        <w:t>办公地址：吉林省长春市经济开发区</w:t>
      </w:r>
      <w:r>
        <w:rPr>
          <w:rFonts w:ascii="Times New Roman" w:eastAsia="Times New Roman"/>
        </w:rPr>
        <w:t>1817</w:t>
      </w:r>
      <w:r>
        <w:rPr/>
        <w:t>号法定代表人：唐国兴</w:t>
      </w:r>
    </w:p>
    <w:p>
      <w:pPr>
        <w:pStyle w:val="BodyText"/>
        <w:spacing w:line="417" w:lineRule="auto"/>
        <w:ind w:right="6800"/>
        <w:rPr>
          <w:rFonts w:ascii="Times New Roman" w:eastAsia="Times New Roman"/>
        </w:rPr>
      </w:pPr>
      <w:r>
        <w:rPr/>
        <w:t>电话：</w:t>
      </w:r>
      <w:r>
        <w:rPr>
          <w:rFonts w:ascii="Times New Roman" w:eastAsia="Times New Roman"/>
        </w:rPr>
        <w:t>0431-84999627 </w:t>
      </w:r>
      <w:r>
        <w:rPr/>
        <w:t>传真：</w:t>
      </w:r>
      <w:r>
        <w:rPr>
          <w:rFonts w:ascii="Times New Roman" w:eastAsia="Times New Roman"/>
        </w:rPr>
        <w:t>0431-84992649</w:t>
      </w:r>
    </w:p>
    <w:p>
      <w:pPr>
        <w:pStyle w:val="BodyText"/>
      </w:pPr>
      <w:r>
        <w:rPr/>
        <w:t>联系人：孙琦</w:t>
      </w:r>
    </w:p>
    <w:p>
      <w:pPr>
        <w:pStyle w:val="BodyText"/>
        <w:spacing w:before="6"/>
        <w:ind w:left="0"/>
        <w:rPr>
          <w:sz w:val="15"/>
        </w:rPr>
      </w:pPr>
    </w:p>
    <w:p>
      <w:pPr>
        <w:pStyle w:val="BodyText"/>
        <w:rPr>
          <w:rFonts w:ascii="Times New Roman" w:eastAsia="Times New Roman"/>
        </w:rPr>
      </w:pPr>
      <w:r>
        <w:rPr/>
        <w:t>网址：</w:t>
      </w:r>
      <w:hyperlink r:id="rId75">
        <w:r>
          <w:rPr>
            <w:rFonts w:ascii="Times New Roman" w:eastAsia="Times New Roman"/>
          </w:rPr>
          <w:t>www.jlbank.com.cn</w:t>
        </w:r>
      </w:hyperlink>
    </w:p>
    <w:p>
      <w:pPr>
        <w:pStyle w:val="BodyText"/>
        <w:spacing w:before="4"/>
        <w:ind w:left="0"/>
        <w:rPr>
          <w:rFonts w:ascii="Times New Roman"/>
          <w:sz w:val="17"/>
        </w:rPr>
      </w:pPr>
    </w:p>
    <w:p>
      <w:pPr>
        <w:pStyle w:val="BodyText"/>
        <w:rPr>
          <w:rFonts w:ascii="Times New Roman" w:eastAsia="Times New Roman"/>
        </w:rPr>
      </w:pPr>
      <w:r>
        <w:rPr/>
        <w:t>客户服务电话：</w:t>
      </w:r>
      <w:r>
        <w:rPr>
          <w:rFonts w:ascii="Times New Roman" w:eastAsia="Times New Roman"/>
        </w:rPr>
        <w:t>400-889-6666</w:t>
      </w:r>
    </w:p>
    <w:p>
      <w:pPr>
        <w:pStyle w:val="BodyText"/>
        <w:spacing w:before="3"/>
        <w:ind w:left="0"/>
        <w:rPr>
          <w:rFonts w:ascii="Times New Roman"/>
          <w:sz w:val="17"/>
        </w:rPr>
      </w:pPr>
    </w:p>
    <w:p>
      <w:pPr>
        <w:pStyle w:val="ListParagraph"/>
        <w:numPr>
          <w:ilvl w:val="0"/>
          <w:numId w:val="31"/>
        </w:numPr>
        <w:tabs>
          <w:tab w:pos="1275" w:val="left" w:leader="none"/>
        </w:tabs>
        <w:spacing w:line="240" w:lineRule="auto" w:before="0" w:after="0"/>
        <w:ind w:left="1275" w:right="0" w:hanging="635"/>
        <w:jc w:val="left"/>
        <w:rPr>
          <w:sz w:val="21"/>
        </w:rPr>
      </w:pPr>
      <w:r>
        <w:rPr>
          <w:spacing w:val="-3"/>
          <w:sz w:val="21"/>
        </w:rPr>
        <w:t>苏州银行股份有限公司</w:t>
      </w:r>
    </w:p>
    <w:p>
      <w:pPr>
        <w:pStyle w:val="BodyText"/>
        <w:spacing w:before="7"/>
        <w:ind w:left="0"/>
        <w:rPr>
          <w:sz w:val="15"/>
        </w:rPr>
      </w:pPr>
    </w:p>
    <w:p>
      <w:pPr>
        <w:pStyle w:val="BodyText"/>
      </w:pPr>
      <w:r>
        <w:rPr/>
        <w:t>住所：江苏省苏州市工业园区钟园路</w:t>
      </w:r>
      <w:r>
        <w:rPr>
          <w:rFonts w:ascii="Times New Roman" w:eastAsia="Times New Roman"/>
        </w:rPr>
        <w:t>728</w:t>
      </w:r>
      <w:r>
        <w:rPr/>
        <w:t>号</w:t>
      </w:r>
    </w:p>
    <w:p>
      <w:pPr>
        <w:pStyle w:val="BodyText"/>
        <w:spacing w:before="7"/>
        <w:ind w:left="0"/>
        <w:rPr>
          <w:sz w:val="15"/>
        </w:rPr>
      </w:pPr>
    </w:p>
    <w:p>
      <w:pPr>
        <w:pStyle w:val="BodyText"/>
        <w:spacing w:line="417" w:lineRule="auto"/>
        <w:ind w:right="4455"/>
      </w:pPr>
      <w:r>
        <w:rPr/>
        <w:t>办公地址：江苏省苏州市工业园区钟园路</w:t>
      </w:r>
      <w:r>
        <w:rPr>
          <w:rFonts w:ascii="Times New Roman" w:eastAsia="Times New Roman"/>
        </w:rPr>
        <w:t>728</w:t>
      </w:r>
      <w:r>
        <w:rPr/>
        <w:t>号法定代表人：王兰凤</w:t>
      </w:r>
    </w:p>
    <w:p>
      <w:pPr>
        <w:pStyle w:val="BodyText"/>
        <w:rPr>
          <w:rFonts w:ascii="Times New Roman" w:eastAsia="Times New Roman"/>
        </w:rPr>
      </w:pPr>
      <w:r>
        <w:rPr/>
        <w:t>电话：</w:t>
      </w:r>
      <w:r>
        <w:rPr>
          <w:rFonts w:ascii="Times New Roman" w:eastAsia="Times New Roman"/>
        </w:rPr>
        <w:t>0512-69868373</w:t>
      </w:r>
    </w:p>
    <w:p>
      <w:pPr>
        <w:spacing w:after="0"/>
        <w:rPr>
          <w:rFonts w:ascii="Times New Roman" w:eastAsia="Times New Roman"/>
        </w:rPr>
        <w:sectPr>
          <w:pgSz w:w="11910" w:h="16840"/>
          <w:pgMar w:header="705" w:footer="683" w:top="1420" w:bottom="880" w:left="1580" w:right="920"/>
        </w:sectPr>
      </w:pPr>
    </w:p>
    <w:p>
      <w:pPr>
        <w:pStyle w:val="BodyText"/>
        <w:spacing w:before="110"/>
      </w:pPr>
      <w:r>
        <w:rPr/>
        <w:t>联系人：吴骏</w:t>
      </w:r>
    </w:p>
    <w:p>
      <w:pPr>
        <w:pStyle w:val="BodyText"/>
        <w:spacing w:before="6"/>
        <w:ind w:left="0"/>
        <w:rPr>
          <w:sz w:val="15"/>
        </w:rPr>
      </w:pPr>
    </w:p>
    <w:p>
      <w:pPr>
        <w:pStyle w:val="BodyText"/>
        <w:spacing w:line="417" w:lineRule="auto"/>
        <w:ind w:right="6178"/>
        <w:rPr>
          <w:rFonts w:ascii="Times New Roman" w:eastAsia="Times New Roman"/>
        </w:rPr>
      </w:pPr>
      <w:r>
        <w:rPr/>
        <w:t>网址：</w:t>
      </w:r>
      <w:hyperlink r:id="rId76">
        <w:r>
          <w:rPr>
            <w:rFonts w:ascii="Times New Roman" w:eastAsia="Times New Roman"/>
          </w:rPr>
          <w:t>www.suzhoubank.com </w:t>
        </w:r>
      </w:hyperlink>
      <w:r>
        <w:rPr/>
        <w:t>客户服务电话：</w:t>
      </w:r>
      <w:r>
        <w:rPr>
          <w:rFonts w:ascii="Times New Roman" w:eastAsia="Times New Roman"/>
        </w:rPr>
        <w:t>96067</w:t>
      </w:r>
    </w:p>
    <w:p>
      <w:pPr>
        <w:pStyle w:val="ListParagraph"/>
        <w:numPr>
          <w:ilvl w:val="0"/>
          <w:numId w:val="31"/>
        </w:numPr>
        <w:tabs>
          <w:tab w:pos="1275" w:val="left" w:leader="none"/>
        </w:tabs>
        <w:spacing w:line="417" w:lineRule="auto" w:before="0" w:after="0"/>
        <w:ind w:left="640" w:right="5924" w:firstLine="0"/>
        <w:jc w:val="left"/>
        <w:rPr>
          <w:sz w:val="21"/>
        </w:rPr>
      </w:pPr>
      <w:r>
        <w:rPr>
          <w:spacing w:val="-3"/>
          <w:sz w:val="21"/>
        </w:rPr>
        <w:t>泉州银行股份有限公司住所：泉州市丰泽区云鹿路</w:t>
      </w:r>
      <w:r>
        <w:rPr>
          <w:rFonts w:ascii="Times New Roman" w:eastAsia="Times New Roman"/>
          <w:sz w:val="21"/>
        </w:rPr>
        <w:t>3</w:t>
      </w:r>
      <w:r>
        <w:rPr>
          <w:spacing w:val="-14"/>
          <w:sz w:val="21"/>
        </w:rPr>
        <w:t>号</w:t>
      </w:r>
    </w:p>
    <w:p>
      <w:pPr>
        <w:pStyle w:val="BodyText"/>
        <w:spacing w:line="417" w:lineRule="auto"/>
        <w:ind w:right="5504"/>
      </w:pPr>
      <w:r>
        <w:rPr/>
        <w:t>办公地址：泉州市丰泽区云鹿路</w:t>
      </w:r>
      <w:r>
        <w:rPr>
          <w:rFonts w:ascii="Times New Roman" w:eastAsia="Times New Roman"/>
        </w:rPr>
        <w:t>3</w:t>
      </w:r>
      <w:r>
        <w:rPr/>
        <w:t>号法定代表人：傅子能</w:t>
      </w:r>
    </w:p>
    <w:p>
      <w:pPr>
        <w:pStyle w:val="BodyText"/>
        <w:spacing w:line="417" w:lineRule="auto"/>
        <w:ind w:right="6800"/>
        <w:rPr>
          <w:rFonts w:ascii="Times New Roman" w:eastAsia="Times New Roman"/>
        </w:rPr>
      </w:pPr>
      <w:r>
        <w:rPr/>
        <w:t>电话：</w:t>
      </w:r>
      <w:r>
        <w:rPr>
          <w:rFonts w:ascii="Times New Roman" w:eastAsia="Times New Roman"/>
        </w:rPr>
        <w:t>0595-22551071 </w:t>
      </w:r>
      <w:r>
        <w:rPr/>
        <w:t>传真：</w:t>
      </w:r>
      <w:r>
        <w:rPr>
          <w:rFonts w:ascii="Times New Roman" w:eastAsia="Times New Roman"/>
        </w:rPr>
        <w:t>0595-22578871</w:t>
      </w:r>
    </w:p>
    <w:p>
      <w:pPr>
        <w:pStyle w:val="BodyText"/>
        <w:spacing w:line="269" w:lineRule="exact"/>
      </w:pPr>
      <w:r>
        <w:rPr/>
        <w:t>联系人：董培姗</w:t>
      </w:r>
    </w:p>
    <w:p>
      <w:pPr>
        <w:pStyle w:val="BodyText"/>
        <w:spacing w:before="7"/>
        <w:ind w:left="0"/>
        <w:rPr>
          <w:sz w:val="15"/>
        </w:rPr>
      </w:pPr>
    </w:p>
    <w:p>
      <w:pPr>
        <w:pStyle w:val="BodyText"/>
        <w:rPr>
          <w:rFonts w:ascii="Times New Roman" w:eastAsia="Times New Roman"/>
        </w:rPr>
      </w:pPr>
      <w:r>
        <w:rPr/>
        <w:t>网址：</w:t>
      </w:r>
      <w:hyperlink r:id="rId77">
        <w:r>
          <w:rPr>
            <w:rFonts w:ascii="Times New Roman" w:eastAsia="Times New Roman"/>
          </w:rPr>
          <w:t>www. </w:t>
        </w:r>
      </w:hyperlink>
      <w:r>
        <w:rPr>
          <w:rFonts w:ascii="Times New Roman" w:eastAsia="Times New Roman"/>
        </w:rPr>
        <w:t>qzccbank.com</w:t>
      </w:r>
    </w:p>
    <w:p>
      <w:pPr>
        <w:pStyle w:val="BodyText"/>
        <w:spacing w:before="3"/>
        <w:ind w:left="0"/>
        <w:rPr>
          <w:rFonts w:ascii="Times New Roman"/>
          <w:sz w:val="17"/>
        </w:rPr>
      </w:pPr>
    </w:p>
    <w:p>
      <w:pPr>
        <w:pStyle w:val="BodyText"/>
        <w:rPr>
          <w:rFonts w:ascii="Times New Roman" w:eastAsia="Times New Roman"/>
        </w:rPr>
      </w:pPr>
      <w:r>
        <w:rPr/>
        <w:t>客户服务电话：</w:t>
      </w:r>
      <w:r>
        <w:rPr>
          <w:rFonts w:ascii="Times New Roman" w:eastAsia="Times New Roman"/>
        </w:rPr>
        <w:t>400-889-6312</w:t>
      </w:r>
    </w:p>
    <w:p>
      <w:pPr>
        <w:pStyle w:val="BodyText"/>
        <w:spacing w:before="4"/>
        <w:ind w:left="0"/>
        <w:rPr>
          <w:rFonts w:ascii="Times New Roman"/>
          <w:sz w:val="17"/>
        </w:rPr>
      </w:pPr>
    </w:p>
    <w:p>
      <w:pPr>
        <w:pStyle w:val="ListParagraph"/>
        <w:numPr>
          <w:ilvl w:val="0"/>
          <w:numId w:val="31"/>
        </w:numPr>
        <w:tabs>
          <w:tab w:pos="1275" w:val="left" w:leader="none"/>
        </w:tabs>
        <w:spacing w:line="240" w:lineRule="auto" w:before="0" w:after="0"/>
        <w:ind w:left="1275" w:right="0" w:hanging="635"/>
        <w:jc w:val="left"/>
        <w:rPr>
          <w:sz w:val="21"/>
        </w:rPr>
      </w:pPr>
      <w:r>
        <w:rPr>
          <w:spacing w:val="-3"/>
          <w:sz w:val="21"/>
        </w:rPr>
        <w:t>华融湘江银行股份有限公司</w:t>
      </w:r>
    </w:p>
    <w:p>
      <w:pPr>
        <w:pStyle w:val="BodyText"/>
        <w:spacing w:before="6"/>
        <w:ind w:left="0"/>
        <w:rPr>
          <w:sz w:val="15"/>
        </w:rPr>
      </w:pPr>
    </w:p>
    <w:p>
      <w:pPr>
        <w:pStyle w:val="BodyText"/>
      </w:pPr>
      <w:r>
        <w:rPr/>
        <w:t>住所：湖南省长沙市天心区芙蓉南路二段</w:t>
      </w:r>
      <w:r>
        <w:rPr>
          <w:rFonts w:ascii="Times New Roman" w:eastAsia="Times New Roman"/>
        </w:rPr>
        <w:t>828</w:t>
      </w:r>
      <w:r>
        <w:rPr/>
        <w:t>号鑫远杰座</w:t>
      </w:r>
    </w:p>
    <w:p>
      <w:pPr>
        <w:pStyle w:val="BodyText"/>
        <w:spacing w:before="7"/>
        <w:ind w:left="0"/>
        <w:rPr>
          <w:sz w:val="15"/>
        </w:rPr>
      </w:pPr>
    </w:p>
    <w:p>
      <w:pPr>
        <w:pStyle w:val="BodyText"/>
        <w:spacing w:line="417" w:lineRule="auto" w:before="1"/>
        <w:ind w:right="2354"/>
      </w:pPr>
      <w:r>
        <w:rPr/>
        <w:t>办公地址：湖南省长沙市雨花区湘府东路二段</w:t>
      </w:r>
      <w:r>
        <w:rPr>
          <w:rFonts w:ascii="Times New Roman" w:eastAsia="Times New Roman"/>
        </w:rPr>
        <w:t>208</w:t>
      </w:r>
      <w:r>
        <w:rPr/>
        <w:t>号万境财智中心南栋法定代表人：张永宏</w:t>
      </w:r>
    </w:p>
    <w:p>
      <w:pPr>
        <w:pStyle w:val="BodyText"/>
        <w:spacing w:line="417" w:lineRule="auto"/>
        <w:ind w:right="6800"/>
        <w:rPr>
          <w:rFonts w:ascii="Times New Roman" w:eastAsia="Times New Roman"/>
        </w:rPr>
      </w:pPr>
      <w:r>
        <w:rPr/>
        <w:t>电话：</w:t>
      </w:r>
      <w:r>
        <w:rPr>
          <w:rFonts w:ascii="Times New Roman" w:eastAsia="Times New Roman"/>
        </w:rPr>
        <w:t>0731-89828592 </w:t>
      </w:r>
      <w:r>
        <w:rPr/>
        <w:t>传真：</w:t>
      </w:r>
      <w:r>
        <w:rPr>
          <w:rFonts w:ascii="Times New Roman" w:eastAsia="Times New Roman"/>
        </w:rPr>
        <w:t>0731-89828806</w:t>
      </w:r>
    </w:p>
    <w:p>
      <w:pPr>
        <w:pStyle w:val="BodyText"/>
        <w:spacing w:line="269" w:lineRule="exact"/>
      </w:pPr>
      <w:r>
        <w:rPr/>
        <w:t>联系人：曾玉姣</w:t>
      </w:r>
    </w:p>
    <w:p>
      <w:pPr>
        <w:pStyle w:val="BodyText"/>
        <w:spacing w:before="6"/>
        <w:ind w:left="0"/>
        <w:rPr>
          <w:sz w:val="15"/>
        </w:rPr>
      </w:pPr>
    </w:p>
    <w:p>
      <w:pPr>
        <w:pStyle w:val="BodyText"/>
        <w:spacing w:line="417" w:lineRule="auto"/>
        <w:ind w:right="6183"/>
        <w:rPr>
          <w:rFonts w:ascii="Times New Roman" w:eastAsia="Times New Roman"/>
        </w:rPr>
      </w:pPr>
      <w:r>
        <w:rPr/>
        <w:t>网址：</w:t>
      </w:r>
      <w:hyperlink r:id="rId78">
        <w:r>
          <w:rPr>
            <w:rFonts w:ascii="Times New Roman" w:eastAsia="Times New Roman"/>
          </w:rPr>
          <w:t>www.hrxjbank.com.cn </w:t>
        </w:r>
      </w:hyperlink>
      <w:r>
        <w:rPr/>
        <w:t>客户服务电话：</w:t>
      </w:r>
      <w:r>
        <w:rPr>
          <w:rFonts w:ascii="Times New Roman" w:eastAsia="Times New Roman"/>
        </w:rPr>
        <w:t>0731-96599</w:t>
      </w:r>
    </w:p>
    <w:p>
      <w:pPr>
        <w:pStyle w:val="ListParagraph"/>
        <w:numPr>
          <w:ilvl w:val="0"/>
          <w:numId w:val="31"/>
        </w:numPr>
        <w:tabs>
          <w:tab w:pos="1275" w:val="left" w:leader="none"/>
        </w:tabs>
        <w:spacing w:line="417" w:lineRule="auto" w:before="0" w:after="0"/>
        <w:ind w:left="640" w:right="4875" w:firstLine="0"/>
        <w:jc w:val="left"/>
        <w:rPr>
          <w:sz w:val="21"/>
        </w:rPr>
      </w:pPr>
      <w:r>
        <w:rPr>
          <w:spacing w:val="-3"/>
          <w:sz w:val="21"/>
        </w:rPr>
        <w:t>青岛农村商业银行股份有限公司  住所：山东省青岛市崂山区香港东路</w:t>
      </w:r>
      <w:r>
        <w:rPr>
          <w:rFonts w:ascii="Times New Roman" w:eastAsia="Times New Roman"/>
          <w:sz w:val="21"/>
        </w:rPr>
        <w:t>109</w:t>
      </w:r>
      <w:r>
        <w:rPr>
          <w:spacing w:val="-12"/>
          <w:sz w:val="21"/>
        </w:rPr>
        <w:t>号</w:t>
      </w:r>
    </w:p>
    <w:p>
      <w:pPr>
        <w:pStyle w:val="BodyText"/>
        <w:spacing w:line="417" w:lineRule="auto"/>
        <w:ind w:right="4455"/>
      </w:pPr>
      <w:r>
        <w:rPr/>
        <w:t>办公地址：山东省青岛市崂山区香港东路</w:t>
      </w:r>
      <w:r>
        <w:rPr>
          <w:rFonts w:ascii="Times New Roman" w:eastAsia="Times New Roman"/>
        </w:rPr>
        <w:t>109</w:t>
      </w:r>
      <w:r>
        <w:rPr/>
        <w:t>号法定代表人：刘仲生</w:t>
      </w:r>
    </w:p>
    <w:p>
      <w:pPr>
        <w:pStyle w:val="BodyText"/>
        <w:spacing w:line="417" w:lineRule="auto"/>
        <w:ind w:right="6800"/>
        <w:rPr>
          <w:rFonts w:ascii="Times New Roman" w:eastAsia="Times New Roman"/>
        </w:rPr>
      </w:pPr>
      <w:r>
        <w:rPr/>
        <w:t>电话：</w:t>
      </w:r>
      <w:r>
        <w:rPr>
          <w:rFonts w:ascii="Times New Roman" w:eastAsia="Times New Roman"/>
        </w:rPr>
        <w:t>0532-66957228 </w:t>
      </w:r>
      <w:r>
        <w:rPr/>
        <w:t>传真：</w:t>
      </w:r>
      <w:r>
        <w:rPr>
          <w:rFonts w:ascii="Times New Roman" w:eastAsia="Times New Roman"/>
        </w:rPr>
        <w:t>0532-85933730</w:t>
      </w:r>
    </w:p>
    <w:p>
      <w:pPr>
        <w:pStyle w:val="BodyText"/>
        <w:spacing w:line="269" w:lineRule="exact"/>
      </w:pPr>
      <w:r>
        <w:rPr/>
        <w:t>联系人：李洪姣</w:t>
      </w:r>
    </w:p>
    <w:p>
      <w:pPr>
        <w:pStyle w:val="BodyText"/>
        <w:spacing w:before="7"/>
        <w:ind w:left="0"/>
        <w:rPr>
          <w:sz w:val="15"/>
        </w:rPr>
      </w:pPr>
    </w:p>
    <w:p>
      <w:pPr>
        <w:pStyle w:val="BodyText"/>
        <w:rPr>
          <w:rFonts w:ascii="Times New Roman" w:eastAsia="Times New Roman"/>
        </w:rPr>
      </w:pPr>
      <w:r>
        <w:rPr/>
        <w:t>网址：</w:t>
      </w:r>
      <w:hyperlink r:id="rId79">
        <w:r>
          <w:rPr>
            <w:rFonts w:ascii="Times New Roman" w:eastAsia="Times New Roman"/>
          </w:rPr>
          <w:t>www.qrcb.com.cn</w:t>
        </w:r>
      </w:hyperlink>
    </w:p>
    <w:p>
      <w:pPr>
        <w:pStyle w:val="BodyText"/>
        <w:spacing w:before="3"/>
        <w:ind w:left="0"/>
        <w:rPr>
          <w:rFonts w:ascii="Times New Roman"/>
          <w:sz w:val="17"/>
        </w:rPr>
      </w:pPr>
    </w:p>
    <w:p>
      <w:pPr>
        <w:pStyle w:val="BodyText"/>
      </w:pPr>
      <w:r>
        <w:rPr>
          <w:spacing w:val="-2"/>
        </w:rPr>
        <w:t>客户服务电话：</w:t>
      </w:r>
      <w:r>
        <w:rPr>
          <w:rFonts w:ascii="Times New Roman" w:eastAsia="Times New Roman"/>
        </w:rPr>
        <w:t>400-11-96668</w:t>
      </w:r>
      <w:r>
        <w:rPr/>
        <w:t>（</w:t>
      </w:r>
      <w:r>
        <w:rPr>
          <w:spacing w:val="-2"/>
        </w:rPr>
        <w:t>全国</w:t>
      </w:r>
      <w:r>
        <w:rPr>
          <w:spacing w:val="-108"/>
        </w:rPr>
        <w:t>）</w:t>
      </w:r>
      <w:r>
        <w:rPr/>
        <w:t>、</w:t>
      </w:r>
      <w:r>
        <w:rPr>
          <w:rFonts w:ascii="Times New Roman" w:eastAsia="Times New Roman"/>
        </w:rPr>
        <w:t>96668</w:t>
      </w:r>
      <w:r>
        <w:rPr/>
        <w:t>（</w:t>
      </w:r>
      <w:r>
        <w:rPr>
          <w:spacing w:val="-2"/>
        </w:rPr>
        <w:t>青岛</w:t>
      </w:r>
      <w:r>
        <w:rPr/>
        <w:t>）</w:t>
      </w:r>
    </w:p>
    <w:p>
      <w:pPr>
        <w:spacing w:after="0"/>
        <w:sectPr>
          <w:pgSz w:w="11910" w:h="16840"/>
          <w:pgMar w:header="705" w:footer="683" w:top="1420" w:bottom="880" w:left="1580" w:right="920"/>
        </w:sectPr>
      </w:pPr>
    </w:p>
    <w:p>
      <w:pPr>
        <w:pStyle w:val="ListParagraph"/>
        <w:numPr>
          <w:ilvl w:val="0"/>
          <w:numId w:val="31"/>
        </w:numPr>
        <w:tabs>
          <w:tab w:pos="1275" w:val="left" w:leader="none"/>
        </w:tabs>
        <w:spacing w:line="240" w:lineRule="auto" w:before="110" w:after="0"/>
        <w:ind w:left="1275" w:right="0" w:hanging="635"/>
        <w:jc w:val="left"/>
        <w:rPr>
          <w:sz w:val="21"/>
        </w:rPr>
      </w:pPr>
      <w:r>
        <w:rPr>
          <w:spacing w:val="-3"/>
          <w:sz w:val="21"/>
        </w:rPr>
        <w:t>中原银行股份有限公司</w:t>
      </w:r>
    </w:p>
    <w:p>
      <w:pPr>
        <w:pStyle w:val="BodyText"/>
        <w:spacing w:before="6"/>
        <w:ind w:left="0"/>
        <w:rPr>
          <w:sz w:val="15"/>
        </w:rPr>
      </w:pPr>
    </w:p>
    <w:p>
      <w:pPr>
        <w:pStyle w:val="BodyText"/>
      </w:pPr>
      <w:r>
        <w:rPr/>
        <w:t>住所：河南省郑州市郑东新区</w:t>
      </w:r>
      <w:r>
        <w:rPr>
          <w:rFonts w:ascii="Times New Roman" w:eastAsia="Times New Roman"/>
        </w:rPr>
        <w:t>CBD</w:t>
      </w:r>
      <w:r>
        <w:rPr/>
        <w:t>商务外环路</w:t>
      </w:r>
      <w:r>
        <w:rPr>
          <w:rFonts w:ascii="Times New Roman" w:eastAsia="Times New Roman"/>
        </w:rPr>
        <w:t>23</w:t>
      </w:r>
      <w:r>
        <w:rPr/>
        <w:t>号中科金座</w:t>
      </w:r>
    </w:p>
    <w:p>
      <w:pPr>
        <w:pStyle w:val="BodyText"/>
        <w:spacing w:before="7"/>
        <w:ind w:left="0"/>
        <w:rPr>
          <w:sz w:val="15"/>
        </w:rPr>
      </w:pPr>
    </w:p>
    <w:p>
      <w:pPr>
        <w:pStyle w:val="BodyText"/>
        <w:spacing w:line="417" w:lineRule="auto"/>
        <w:ind w:right="2868"/>
      </w:pPr>
      <w:r>
        <w:rPr/>
        <w:t>办公地址：河南省郑州市郑东新区</w:t>
      </w:r>
      <w:r>
        <w:rPr>
          <w:rFonts w:ascii="Times New Roman" w:eastAsia="Times New Roman"/>
        </w:rPr>
        <w:t>CBD</w:t>
      </w:r>
      <w:r>
        <w:rPr/>
        <w:t>商务外环路</w:t>
      </w:r>
      <w:r>
        <w:rPr>
          <w:rFonts w:ascii="Times New Roman" w:eastAsia="Times New Roman"/>
        </w:rPr>
        <w:t>23</w:t>
      </w:r>
      <w:r>
        <w:rPr/>
        <w:t>号中科金座法定代表人：窦荣兴</w:t>
      </w:r>
    </w:p>
    <w:p>
      <w:pPr>
        <w:pStyle w:val="BodyText"/>
        <w:spacing w:line="417" w:lineRule="auto"/>
        <w:ind w:right="6800"/>
        <w:rPr>
          <w:rFonts w:ascii="Times New Roman" w:eastAsia="Times New Roman"/>
        </w:rPr>
      </w:pPr>
      <w:r>
        <w:rPr/>
        <w:t>电话：</w:t>
      </w:r>
      <w:r>
        <w:rPr>
          <w:rFonts w:ascii="Times New Roman" w:eastAsia="Times New Roman"/>
        </w:rPr>
        <w:t>0371-85517710 </w:t>
      </w:r>
      <w:r>
        <w:rPr/>
        <w:t>传真：</w:t>
      </w:r>
      <w:r>
        <w:rPr>
          <w:rFonts w:ascii="Times New Roman" w:eastAsia="Times New Roman"/>
        </w:rPr>
        <w:t>0371-85519869</w:t>
      </w:r>
    </w:p>
    <w:p>
      <w:pPr>
        <w:pStyle w:val="BodyText"/>
        <w:spacing w:line="269" w:lineRule="exact"/>
      </w:pPr>
      <w:r>
        <w:rPr/>
        <w:t>联系人：牛映雪</w:t>
      </w:r>
    </w:p>
    <w:p>
      <w:pPr>
        <w:pStyle w:val="BodyText"/>
        <w:spacing w:before="7"/>
        <w:ind w:left="0"/>
        <w:rPr>
          <w:sz w:val="15"/>
        </w:rPr>
      </w:pPr>
    </w:p>
    <w:p>
      <w:pPr>
        <w:pStyle w:val="BodyText"/>
        <w:spacing w:line="417" w:lineRule="auto"/>
        <w:ind w:right="6324"/>
        <w:rPr>
          <w:rFonts w:ascii="Times New Roman" w:eastAsia="Times New Roman"/>
        </w:rPr>
      </w:pPr>
      <w:r>
        <w:rPr/>
        <w:t>网址：</w:t>
      </w:r>
      <w:hyperlink r:id="rId80">
        <w:r>
          <w:rPr>
            <w:rFonts w:ascii="Times New Roman" w:eastAsia="Times New Roman"/>
          </w:rPr>
          <w:t>www.zybank.com.cn </w:t>
        </w:r>
      </w:hyperlink>
      <w:r>
        <w:rPr/>
        <w:t>客户服务电话：</w:t>
      </w:r>
      <w:r>
        <w:rPr>
          <w:rFonts w:ascii="Times New Roman" w:eastAsia="Times New Roman"/>
        </w:rPr>
        <w:t>95186</w:t>
      </w:r>
    </w:p>
    <w:p>
      <w:pPr>
        <w:pStyle w:val="ListParagraph"/>
        <w:numPr>
          <w:ilvl w:val="0"/>
          <w:numId w:val="31"/>
        </w:numPr>
        <w:tabs>
          <w:tab w:pos="1275" w:val="left" w:leader="none"/>
        </w:tabs>
        <w:spacing w:line="269" w:lineRule="exact" w:before="0" w:after="0"/>
        <w:ind w:left="1275" w:right="0" w:hanging="635"/>
        <w:jc w:val="left"/>
        <w:rPr>
          <w:sz w:val="21"/>
        </w:rPr>
      </w:pPr>
      <w:r>
        <w:rPr>
          <w:spacing w:val="-3"/>
          <w:sz w:val="21"/>
        </w:rPr>
        <w:t>天相投资顾问有限公司</w:t>
      </w:r>
    </w:p>
    <w:p>
      <w:pPr>
        <w:pStyle w:val="BodyText"/>
        <w:spacing w:before="7"/>
        <w:ind w:left="0"/>
        <w:rPr>
          <w:sz w:val="15"/>
        </w:rPr>
      </w:pPr>
    </w:p>
    <w:p>
      <w:pPr>
        <w:pStyle w:val="BodyText"/>
        <w:spacing w:line="417" w:lineRule="auto"/>
        <w:ind w:right="4043"/>
      </w:pPr>
      <w:r>
        <w:rPr/>
        <w:t>住所：北京市西城区金融街</w:t>
      </w:r>
      <w:r>
        <w:rPr>
          <w:rFonts w:ascii="Times New Roman" w:eastAsia="Times New Roman"/>
        </w:rPr>
        <w:t>19</w:t>
      </w:r>
      <w:r>
        <w:rPr/>
        <w:t>号富凯大厦</w:t>
      </w:r>
      <w:r>
        <w:rPr>
          <w:rFonts w:ascii="Times New Roman" w:eastAsia="Times New Roman"/>
        </w:rPr>
        <w:t>B</w:t>
      </w:r>
      <w:r>
        <w:rPr/>
        <w:t>座</w:t>
      </w:r>
      <w:r>
        <w:rPr>
          <w:rFonts w:ascii="Times New Roman" w:eastAsia="Times New Roman"/>
        </w:rPr>
        <w:t>701 </w:t>
      </w:r>
      <w:r>
        <w:rPr/>
        <w:t>办公地址：北京市西城区新街口外大街</w:t>
      </w:r>
      <w:r>
        <w:rPr>
          <w:rFonts w:ascii="Times New Roman" w:eastAsia="Times New Roman"/>
        </w:rPr>
        <w:t>28</w:t>
      </w:r>
      <w:r>
        <w:rPr/>
        <w:t>号</w:t>
      </w:r>
      <w:r>
        <w:rPr>
          <w:rFonts w:ascii="Times New Roman" w:eastAsia="Times New Roman"/>
        </w:rPr>
        <w:t>C</w:t>
      </w:r>
      <w:r>
        <w:rPr/>
        <w:t>座</w:t>
      </w:r>
      <w:r>
        <w:rPr>
          <w:rFonts w:ascii="Times New Roman" w:eastAsia="Times New Roman"/>
        </w:rPr>
        <w:t>5</w:t>
      </w:r>
      <w:r>
        <w:rPr/>
        <w:t>层法定代表人：林义相</w:t>
      </w:r>
    </w:p>
    <w:p>
      <w:pPr>
        <w:pStyle w:val="BodyText"/>
        <w:spacing w:line="417" w:lineRule="auto"/>
        <w:ind w:right="6906"/>
        <w:rPr>
          <w:rFonts w:ascii="Times New Roman" w:eastAsia="Times New Roman"/>
        </w:rPr>
      </w:pPr>
      <w:r>
        <w:rPr/>
        <w:t>电话：</w:t>
      </w:r>
      <w:r>
        <w:rPr>
          <w:rFonts w:ascii="Times New Roman" w:eastAsia="Times New Roman"/>
        </w:rPr>
        <w:t>010-66045529 </w:t>
      </w:r>
      <w:r>
        <w:rPr/>
        <w:t>传真：</w:t>
      </w:r>
      <w:r>
        <w:rPr>
          <w:rFonts w:ascii="Times New Roman" w:eastAsia="Times New Roman"/>
        </w:rPr>
        <w:t>010-66045518</w:t>
      </w:r>
    </w:p>
    <w:p>
      <w:pPr>
        <w:pStyle w:val="BodyText"/>
      </w:pPr>
      <w:r>
        <w:rPr/>
        <w:t>联系人：尹伶</w:t>
      </w:r>
    </w:p>
    <w:p>
      <w:pPr>
        <w:pStyle w:val="BodyText"/>
        <w:spacing w:before="6"/>
        <w:ind w:left="0"/>
        <w:rPr>
          <w:sz w:val="15"/>
        </w:rPr>
      </w:pPr>
    </w:p>
    <w:p>
      <w:pPr>
        <w:pStyle w:val="BodyText"/>
        <w:rPr>
          <w:rFonts w:ascii="Times New Roman" w:eastAsia="Times New Roman"/>
        </w:rPr>
      </w:pPr>
      <w:r>
        <w:rPr/>
        <w:t>网址：</w:t>
      </w:r>
      <w:hyperlink r:id="rId81">
        <w:r>
          <w:rPr>
            <w:rFonts w:ascii="Times New Roman" w:eastAsia="Times New Roman"/>
          </w:rPr>
          <w:t>www.txsec.com</w:t>
        </w:r>
      </w:hyperlink>
    </w:p>
    <w:p>
      <w:pPr>
        <w:pStyle w:val="BodyText"/>
        <w:spacing w:before="4"/>
        <w:ind w:left="0"/>
        <w:rPr>
          <w:rFonts w:ascii="Times New Roman"/>
          <w:sz w:val="17"/>
        </w:rPr>
      </w:pPr>
    </w:p>
    <w:p>
      <w:pPr>
        <w:pStyle w:val="BodyText"/>
        <w:rPr>
          <w:rFonts w:ascii="Times New Roman" w:eastAsia="Times New Roman"/>
        </w:rPr>
      </w:pPr>
      <w:r>
        <w:rPr/>
        <w:t>客户服务电话：</w:t>
      </w:r>
      <w:r>
        <w:rPr>
          <w:rFonts w:ascii="Times New Roman" w:eastAsia="Times New Roman"/>
        </w:rPr>
        <w:t>010-66045678</w:t>
      </w:r>
    </w:p>
    <w:p>
      <w:pPr>
        <w:pStyle w:val="BodyText"/>
        <w:spacing w:before="3"/>
        <w:ind w:left="0"/>
        <w:rPr>
          <w:rFonts w:ascii="Times New Roman"/>
          <w:sz w:val="17"/>
        </w:rPr>
      </w:pPr>
    </w:p>
    <w:p>
      <w:pPr>
        <w:pStyle w:val="ListParagraph"/>
        <w:numPr>
          <w:ilvl w:val="0"/>
          <w:numId w:val="31"/>
        </w:numPr>
        <w:tabs>
          <w:tab w:pos="1275" w:val="left" w:leader="none"/>
        </w:tabs>
        <w:spacing w:line="240" w:lineRule="auto" w:before="0" w:after="0"/>
        <w:ind w:left="1275" w:right="0" w:hanging="635"/>
        <w:jc w:val="left"/>
        <w:rPr>
          <w:sz w:val="21"/>
        </w:rPr>
      </w:pPr>
      <w:r>
        <w:rPr>
          <w:spacing w:val="-3"/>
          <w:sz w:val="21"/>
        </w:rPr>
        <w:t>鼎信汇金</w:t>
      </w:r>
      <w:r>
        <w:rPr>
          <w:sz w:val="21"/>
        </w:rPr>
        <w:t>（</w:t>
      </w:r>
      <w:r>
        <w:rPr>
          <w:spacing w:val="-2"/>
          <w:sz w:val="21"/>
        </w:rPr>
        <w:t>北京</w:t>
      </w:r>
      <w:r>
        <w:rPr>
          <w:spacing w:val="-3"/>
          <w:sz w:val="21"/>
        </w:rPr>
        <w:t>）投资管理有限公司</w:t>
      </w:r>
    </w:p>
    <w:p>
      <w:pPr>
        <w:pStyle w:val="BodyText"/>
        <w:spacing w:before="7"/>
        <w:ind w:left="0"/>
        <w:rPr>
          <w:sz w:val="15"/>
        </w:rPr>
      </w:pPr>
    </w:p>
    <w:p>
      <w:pPr>
        <w:pStyle w:val="BodyText"/>
      </w:pPr>
      <w:r>
        <w:rPr/>
        <w:t>住所：北京市朝阳区霄云路</w:t>
      </w:r>
      <w:r>
        <w:rPr>
          <w:rFonts w:ascii="Times New Roman" w:eastAsia="Times New Roman"/>
        </w:rPr>
        <w:t>40</w:t>
      </w:r>
      <w:r>
        <w:rPr/>
        <w:t>号院</w:t>
      </w:r>
      <w:r>
        <w:rPr>
          <w:rFonts w:ascii="Times New Roman" w:eastAsia="Times New Roman"/>
        </w:rPr>
        <w:t>1</w:t>
      </w:r>
      <w:r>
        <w:rPr/>
        <w:t>号楼</w:t>
      </w:r>
      <w:r>
        <w:rPr>
          <w:rFonts w:ascii="Times New Roman" w:eastAsia="Times New Roman"/>
        </w:rPr>
        <w:t>3</w:t>
      </w:r>
      <w:r>
        <w:rPr/>
        <w:t>层</w:t>
      </w:r>
      <w:r>
        <w:rPr>
          <w:rFonts w:ascii="Times New Roman" w:eastAsia="Times New Roman"/>
        </w:rPr>
        <w:t>306</w:t>
      </w:r>
      <w:r>
        <w:rPr/>
        <w:t>室</w:t>
      </w:r>
    </w:p>
    <w:p>
      <w:pPr>
        <w:pStyle w:val="BodyText"/>
        <w:spacing w:before="6"/>
        <w:ind w:left="0"/>
        <w:rPr>
          <w:sz w:val="15"/>
        </w:rPr>
      </w:pPr>
    </w:p>
    <w:p>
      <w:pPr>
        <w:pStyle w:val="BodyText"/>
        <w:spacing w:line="417" w:lineRule="auto" w:before="1"/>
        <w:ind w:right="3826"/>
      </w:pPr>
      <w:r>
        <w:rPr/>
        <w:t>办公地址：北京市朝阳区霄云路</w:t>
      </w:r>
      <w:r>
        <w:rPr>
          <w:rFonts w:ascii="Times New Roman" w:eastAsia="Times New Roman"/>
        </w:rPr>
        <w:t>40</w:t>
      </w:r>
      <w:r>
        <w:rPr/>
        <w:t>号院</w:t>
      </w:r>
      <w:r>
        <w:rPr>
          <w:rFonts w:ascii="Times New Roman" w:eastAsia="Times New Roman"/>
        </w:rPr>
        <w:t>1</w:t>
      </w:r>
      <w:r>
        <w:rPr/>
        <w:t>号楼</w:t>
      </w:r>
      <w:r>
        <w:rPr>
          <w:rFonts w:ascii="Times New Roman" w:eastAsia="Times New Roman"/>
        </w:rPr>
        <w:t>3</w:t>
      </w:r>
      <w:r>
        <w:rPr/>
        <w:t>层</w:t>
      </w:r>
      <w:r>
        <w:rPr>
          <w:rFonts w:ascii="Times New Roman" w:eastAsia="Times New Roman"/>
        </w:rPr>
        <w:t>306</w:t>
      </w:r>
      <w:r>
        <w:rPr/>
        <w:t>室法定代表人：齐凌峰</w:t>
      </w:r>
    </w:p>
    <w:p>
      <w:pPr>
        <w:pStyle w:val="BodyText"/>
        <w:spacing w:line="417" w:lineRule="auto"/>
        <w:ind w:right="6906"/>
        <w:rPr>
          <w:rFonts w:ascii="Times New Roman" w:eastAsia="Times New Roman"/>
        </w:rPr>
      </w:pPr>
      <w:r>
        <w:rPr/>
        <w:t>电话：</w:t>
      </w:r>
      <w:r>
        <w:rPr>
          <w:rFonts w:ascii="Times New Roman" w:eastAsia="Times New Roman"/>
        </w:rPr>
        <w:t>010-82050520 </w:t>
      </w:r>
      <w:r>
        <w:rPr/>
        <w:t>传真：</w:t>
      </w:r>
      <w:r>
        <w:rPr>
          <w:rFonts w:ascii="Times New Roman" w:eastAsia="Times New Roman"/>
        </w:rPr>
        <w:t>010-82086110</w:t>
      </w:r>
    </w:p>
    <w:p>
      <w:pPr>
        <w:pStyle w:val="BodyText"/>
        <w:spacing w:line="269" w:lineRule="exact"/>
      </w:pPr>
      <w:r>
        <w:rPr/>
        <w:t>联系人：阮志凌</w:t>
      </w:r>
    </w:p>
    <w:p>
      <w:pPr>
        <w:pStyle w:val="BodyText"/>
        <w:spacing w:before="6"/>
        <w:ind w:left="0"/>
        <w:rPr>
          <w:sz w:val="15"/>
        </w:rPr>
      </w:pPr>
    </w:p>
    <w:p>
      <w:pPr>
        <w:pStyle w:val="BodyText"/>
        <w:spacing w:before="1"/>
        <w:rPr>
          <w:rFonts w:ascii="Times New Roman" w:eastAsia="Times New Roman"/>
        </w:rPr>
      </w:pPr>
      <w:r>
        <w:rPr/>
        <w:t>网址：</w:t>
      </w:r>
      <w:hyperlink r:id="rId82">
        <w:r>
          <w:rPr>
            <w:rFonts w:ascii="Times New Roman" w:eastAsia="Times New Roman"/>
          </w:rPr>
          <w:t>www.9ifund.com</w:t>
        </w:r>
      </w:hyperlink>
    </w:p>
    <w:p>
      <w:pPr>
        <w:pStyle w:val="BodyText"/>
        <w:spacing w:before="3"/>
        <w:ind w:left="0"/>
        <w:rPr>
          <w:rFonts w:ascii="Times New Roman"/>
          <w:sz w:val="17"/>
        </w:rPr>
      </w:pPr>
    </w:p>
    <w:p>
      <w:pPr>
        <w:pStyle w:val="BodyText"/>
        <w:rPr>
          <w:rFonts w:ascii="Times New Roman" w:eastAsia="Times New Roman"/>
        </w:rPr>
      </w:pPr>
      <w:r>
        <w:rPr/>
        <w:t>客户服务电话：</w:t>
      </w:r>
      <w:r>
        <w:rPr>
          <w:rFonts w:ascii="Times New Roman" w:eastAsia="Times New Roman"/>
        </w:rPr>
        <w:t>400-158-5050</w:t>
      </w:r>
    </w:p>
    <w:p>
      <w:pPr>
        <w:pStyle w:val="BodyText"/>
        <w:spacing w:before="3"/>
        <w:ind w:left="0"/>
        <w:rPr>
          <w:rFonts w:ascii="Times New Roman"/>
          <w:sz w:val="17"/>
        </w:rPr>
      </w:pPr>
    </w:p>
    <w:p>
      <w:pPr>
        <w:pStyle w:val="ListParagraph"/>
        <w:numPr>
          <w:ilvl w:val="0"/>
          <w:numId w:val="31"/>
        </w:numPr>
        <w:tabs>
          <w:tab w:pos="1275" w:val="left" w:leader="none"/>
        </w:tabs>
        <w:spacing w:line="240" w:lineRule="auto" w:before="1" w:after="0"/>
        <w:ind w:left="1275" w:right="0" w:hanging="635"/>
        <w:jc w:val="left"/>
        <w:rPr>
          <w:sz w:val="21"/>
        </w:rPr>
      </w:pPr>
      <w:r>
        <w:rPr>
          <w:spacing w:val="-3"/>
          <w:sz w:val="21"/>
        </w:rPr>
        <w:t>深圳市新兰德证券投资咨询有限公司</w:t>
      </w:r>
    </w:p>
    <w:p>
      <w:pPr>
        <w:pStyle w:val="BodyText"/>
        <w:spacing w:before="7"/>
        <w:ind w:left="0"/>
        <w:rPr>
          <w:sz w:val="15"/>
        </w:rPr>
      </w:pPr>
    </w:p>
    <w:p>
      <w:pPr>
        <w:pStyle w:val="BodyText"/>
        <w:spacing w:line="417" w:lineRule="auto"/>
        <w:ind w:right="3194"/>
      </w:pPr>
      <w:r>
        <w:rPr>
          <w:spacing w:val="-3"/>
        </w:rPr>
        <w:t>住所：深圳市福田区福田街道民田路</w:t>
      </w:r>
      <w:r>
        <w:rPr>
          <w:rFonts w:ascii="Times New Roman" w:eastAsia="Times New Roman"/>
        </w:rPr>
        <w:t>178</w:t>
      </w:r>
      <w:r>
        <w:rPr>
          <w:spacing w:val="-3"/>
        </w:rPr>
        <w:t>号华融大厦</w:t>
      </w:r>
      <w:r>
        <w:rPr>
          <w:rFonts w:ascii="Times New Roman" w:eastAsia="Times New Roman"/>
        </w:rPr>
        <w:t>27</w:t>
      </w:r>
      <w:r>
        <w:rPr/>
        <w:t>层</w:t>
      </w:r>
      <w:r>
        <w:rPr>
          <w:rFonts w:ascii="Times New Roman" w:eastAsia="Times New Roman"/>
        </w:rPr>
        <w:t>2704 </w:t>
      </w:r>
      <w:r>
        <w:rPr>
          <w:spacing w:val="-3"/>
        </w:rPr>
        <w:t>办公地址：北京市西城区宣武门外大街</w:t>
      </w:r>
      <w:r>
        <w:rPr>
          <w:rFonts w:ascii="Times New Roman" w:eastAsia="Times New Roman"/>
        </w:rPr>
        <w:t>28</w:t>
      </w:r>
      <w:r>
        <w:rPr>
          <w:spacing w:val="-3"/>
        </w:rPr>
        <w:t>号富卓大厦</w:t>
      </w:r>
      <w:r>
        <w:rPr>
          <w:rFonts w:ascii="Times New Roman" w:eastAsia="Times New Roman"/>
        </w:rPr>
        <w:t>16</w:t>
      </w:r>
      <w:r>
        <w:rPr/>
        <w:t>层</w:t>
      </w:r>
    </w:p>
    <w:p>
      <w:pPr>
        <w:spacing w:after="0" w:line="417" w:lineRule="auto"/>
        <w:sectPr>
          <w:pgSz w:w="11910" w:h="16840"/>
          <w:pgMar w:header="705" w:footer="683" w:top="1420" w:bottom="880" w:left="1580" w:right="920"/>
        </w:sectPr>
      </w:pPr>
    </w:p>
    <w:p>
      <w:pPr>
        <w:pStyle w:val="BodyText"/>
        <w:spacing w:line="417" w:lineRule="auto" w:before="110"/>
        <w:ind w:right="6844"/>
        <w:rPr>
          <w:rFonts w:ascii="Times New Roman" w:eastAsia="Times New Roman"/>
        </w:rPr>
      </w:pPr>
      <w:r>
        <w:rPr/>
        <w:t>法定代表人：洪弘电话：</w:t>
      </w:r>
      <w:r>
        <w:rPr>
          <w:rFonts w:ascii="Times New Roman" w:eastAsia="Times New Roman"/>
        </w:rPr>
        <w:t>010-83363101 </w:t>
      </w:r>
      <w:r>
        <w:rPr/>
        <w:t>传真：</w:t>
      </w:r>
      <w:r>
        <w:rPr>
          <w:rFonts w:ascii="Times New Roman" w:eastAsia="Times New Roman"/>
        </w:rPr>
        <w:t>010-83363072</w:t>
      </w:r>
    </w:p>
    <w:p>
      <w:pPr>
        <w:pStyle w:val="BodyText"/>
        <w:spacing w:line="269" w:lineRule="exact"/>
      </w:pPr>
      <w:r>
        <w:rPr/>
        <w:t>联系人：文雯</w:t>
      </w:r>
    </w:p>
    <w:p>
      <w:pPr>
        <w:pStyle w:val="BodyText"/>
        <w:spacing w:before="6"/>
        <w:ind w:left="0"/>
        <w:rPr>
          <w:sz w:val="15"/>
        </w:rPr>
      </w:pPr>
    </w:p>
    <w:p>
      <w:pPr>
        <w:pStyle w:val="BodyText"/>
        <w:rPr>
          <w:rFonts w:ascii="Times New Roman" w:eastAsia="Times New Roman"/>
        </w:rPr>
      </w:pPr>
      <w:r>
        <w:rPr/>
        <w:t>网址：</w:t>
      </w:r>
      <w:hyperlink r:id="rId83">
        <w:r>
          <w:rPr>
            <w:rFonts w:ascii="Times New Roman" w:eastAsia="Times New Roman"/>
          </w:rPr>
          <w:t>http://8.jrj.com.cn/</w:t>
        </w:r>
      </w:hyperlink>
    </w:p>
    <w:p>
      <w:pPr>
        <w:pStyle w:val="BodyText"/>
        <w:spacing w:before="4"/>
        <w:ind w:left="0"/>
        <w:rPr>
          <w:rFonts w:ascii="Times New Roman"/>
          <w:sz w:val="17"/>
        </w:rPr>
      </w:pPr>
    </w:p>
    <w:p>
      <w:pPr>
        <w:pStyle w:val="BodyText"/>
        <w:rPr>
          <w:rFonts w:ascii="Times New Roman" w:eastAsia="Times New Roman"/>
        </w:rPr>
      </w:pPr>
      <w:r>
        <w:rPr/>
        <w:t>客户服务电话：</w:t>
      </w:r>
      <w:r>
        <w:rPr>
          <w:rFonts w:ascii="Times New Roman" w:eastAsia="Times New Roman"/>
        </w:rPr>
        <w:t>400-166-1188</w:t>
      </w:r>
    </w:p>
    <w:p>
      <w:pPr>
        <w:pStyle w:val="BodyText"/>
        <w:spacing w:before="3"/>
        <w:ind w:left="0"/>
        <w:rPr>
          <w:rFonts w:ascii="Times New Roman"/>
          <w:sz w:val="17"/>
        </w:rPr>
      </w:pPr>
    </w:p>
    <w:p>
      <w:pPr>
        <w:pStyle w:val="ListParagraph"/>
        <w:numPr>
          <w:ilvl w:val="0"/>
          <w:numId w:val="31"/>
        </w:numPr>
        <w:tabs>
          <w:tab w:pos="1275" w:val="left" w:leader="none"/>
        </w:tabs>
        <w:spacing w:line="240" w:lineRule="auto" w:before="0" w:after="0"/>
        <w:ind w:left="1275" w:right="0" w:hanging="635"/>
        <w:jc w:val="left"/>
        <w:rPr>
          <w:sz w:val="21"/>
        </w:rPr>
      </w:pPr>
      <w:r>
        <w:rPr>
          <w:spacing w:val="-3"/>
          <w:sz w:val="21"/>
        </w:rPr>
        <w:t>和讯信息科技有限公司</w:t>
      </w:r>
    </w:p>
    <w:p>
      <w:pPr>
        <w:pStyle w:val="BodyText"/>
        <w:spacing w:before="8"/>
        <w:ind w:left="0"/>
        <w:rPr>
          <w:sz w:val="15"/>
        </w:rPr>
      </w:pPr>
    </w:p>
    <w:p>
      <w:pPr>
        <w:pStyle w:val="BodyText"/>
      </w:pPr>
      <w:r>
        <w:rPr/>
        <w:t>住所：北京市朝外大街</w:t>
      </w:r>
      <w:r>
        <w:rPr>
          <w:rFonts w:ascii="Times New Roman" w:eastAsia="Times New Roman"/>
        </w:rPr>
        <w:t>22</w:t>
      </w:r>
      <w:r>
        <w:rPr/>
        <w:t>号泛利大厦</w:t>
      </w:r>
      <w:r>
        <w:rPr>
          <w:rFonts w:ascii="Times New Roman" w:eastAsia="Times New Roman"/>
        </w:rPr>
        <w:t>10</w:t>
      </w:r>
      <w:r>
        <w:rPr/>
        <w:t>层</w:t>
      </w:r>
    </w:p>
    <w:p>
      <w:pPr>
        <w:pStyle w:val="BodyText"/>
        <w:spacing w:before="6"/>
        <w:ind w:left="0"/>
        <w:rPr>
          <w:sz w:val="15"/>
        </w:rPr>
      </w:pPr>
    </w:p>
    <w:p>
      <w:pPr>
        <w:pStyle w:val="BodyText"/>
        <w:spacing w:line="417" w:lineRule="auto"/>
        <w:ind w:right="4558"/>
      </w:pPr>
      <w:r>
        <w:rPr/>
        <w:t>办公地址：北京市朝外大街</w:t>
      </w:r>
      <w:r>
        <w:rPr>
          <w:rFonts w:ascii="Times New Roman" w:eastAsia="Times New Roman"/>
        </w:rPr>
        <w:t>22</w:t>
      </w:r>
      <w:r>
        <w:rPr/>
        <w:t>号泛利大厦</w:t>
      </w:r>
      <w:r>
        <w:rPr>
          <w:rFonts w:ascii="Times New Roman" w:eastAsia="Times New Roman"/>
        </w:rPr>
        <w:t>10</w:t>
      </w:r>
      <w:r>
        <w:rPr/>
        <w:t>层法定代表人：王莉</w:t>
      </w:r>
    </w:p>
    <w:p>
      <w:pPr>
        <w:pStyle w:val="BodyText"/>
        <w:spacing w:line="417" w:lineRule="auto"/>
        <w:ind w:right="6906"/>
        <w:rPr>
          <w:rFonts w:ascii="Times New Roman" w:eastAsia="Times New Roman"/>
        </w:rPr>
      </w:pPr>
      <w:r>
        <w:rPr/>
        <w:t>电话：</w:t>
      </w:r>
      <w:r>
        <w:rPr>
          <w:rFonts w:ascii="Times New Roman" w:eastAsia="Times New Roman"/>
        </w:rPr>
        <w:t>021-20835787 </w:t>
      </w:r>
      <w:r>
        <w:rPr/>
        <w:t>传真：</w:t>
      </w:r>
      <w:r>
        <w:rPr>
          <w:rFonts w:ascii="Times New Roman" w:eastAsia="Times New Roman"/>
        </w:rPr>
        <w:t>010-85657357</w:t>
      </w:r>
    </w:p>
    <w:p>
      <w:pPr>
        <w:pStyle w:val="BodyText"/>
        <w:spacing w:line="269" w:lineRule="exact"/>
      </w:pPr>
      <w:r>
        <w:rPr/>
        <w:t>联系人：吴卫东</w:t>
      </w:r>
    </w:p>
    <w:p>
      <w:pPr>
        <w:pStyle w:val="BodyText"/>
        <w:spacing w:before="7"/>
        <w:ind w:left="0"/>
        <w:rPr>
          <w:sz w:val="15"/>
        </w:rPr>
      </w:pPr>
    </w:p>
    <w:p>
      <w:pPr>
        <w:pStyle w:val="BodyText"/>
        <w:rPr>
          <w:rFonts w:ascii="Times New Roman" w:eastAsia="Times New Roman"/>
        </w:rPr>
      </w:pPr>
      <w:r>
        <w:rPr/>
        <w:t>网址：</w:t>
      </w:r>
      <w:r>
        <w:rPr>
          <w:rFonts w:ascii="Times New Roman" w:eastAsia="Times New Roman"/>
        </w:rPr>
        <w:t>licaike.hexun.com</w:t>
      </w:r>
    </w:p>
    <w:p>
      <w:pPr>
        <w:pStyle w:val="BodyText"/>
        <w:spacing w:before="4"/>
        <w:ind w:left="0"/>
        <w:rPr>
          <w:rFonts w:ascii="Times New Roman"/>
          <w:sz w:val="17"/>
        </w:rPr>
      </w:pPr>
    </w:p>
    <w:p>
      <w:pPr>
        <w:pStyle w:val="BodyText"/>
        <w:rPr>
          <w:rFonts w:ascii="Times New Roman" w:eastAsia="Times New Roman"/>
        </w:rPr>
      </w:pPr>
      <w:r>
        <w:rPr/>
        <w:t>客户服务电话：</w:t>
      </w:r>
      <w:r>
        <w:rPr>
          <w:rFonts w:ascii="Times New Roman" w:eastAsia="Times New Roman"/>
        </w:rPr>
        <w:t>400-920-0022</w:t>
      </w:r>
      <w:r>
        <w:rPr/>
        <w:t>、</w:t>
      </w:r>
      <w:r>
        <w:rPr>
          <w:rFonts w:ascii="Times New Roman" w:eastAsia="Times New Roman"/>
        </w:rPr>
        <w:t>021-20835588</w:t>
      </w:r>
    </w:p>
    <w:p>
      <w:pPr>
        <w:pStyle w:val="BodyText"/>
        <w:spacing w:before="3"/>
        <w:ind w:left="0"/>
        <w:rPr>
          <w:rFonts w:ascii="Times New Roman"/>
          <w:sz w:val="17"/>
        </w:rPr>
      </w:pPr>
    </w:p>
    <w:p>
      <w:pPr>
        <w:pStyle w:val="ListParagraph"/>
        <w:numPr>
          <w:ilvl w:val="0"/>
          <w:numId w:val="31"/>
        </w:numPr>
        <w:tabs>
          <w:tab w:pos="1275" w:val="left" w:leader="none"/>
        </w:tabs>
        <w:spacing w:line="240" w:lineRule="auto" w:before="0" w:after="0"/>
        <w:ind w:left="1275" w:right="0" w:hanging="635"/>
        <w:jc w:val="left"/>
        <w:rPr>
          <w:sz w:val="21"/>
        </w:rPr>
      </w:pPr>
      <w:r>
        <w:rPr>
          <w:spacing w:val="-3"/>
          <w:sz w:val="21"/>
        </w:rPr>
        <w:t>江苏汇林保大基金销售有限公司</w:t>
      </w:r>
    </w:p>
    <w:p>
      <w:pPr>
        <w:pStyle w:val="BodyText"/>
        <w:spacing w:before="7"/>
        <w:ind w:left="0"/>
        <w:rPr>
          <w:sz w:val="15"/>
        </w:rPr>
      </w:pPr>
    </w:p>
    <w:p>
      <w:pPr>
        <w:pStyle w:val="BodyText"/>
      </w:pPr>
      <w:r>
        <w:rPr/>
        <w:t>住所：南京市高淳区经济开发区古檀大道</w:t>
      </w:r>
      <w:r>
        <w:rPr>
          <w:rFonts w:ascii="Times New Roman" w:eastAsia="Times New Roman"/>
        </w:rPr>
        <w:t>47</w:t>
      </w:r>
      <w:r>
        <w:rPr/>
        <w:t>号</w:t>
      </w:r>
    </w:p>
    <w:p>
      <w:pPr>
        <w:pStyle w:val="BodyText"/>
        <w:spacing w:before="6"/>
        <w:ind w:left="0"/>
        <w:rPr>
          <w:sz w:val="15"/>
        </w:rPr>
      </w:pPr>
    </w:p>
    <w:p>
      <w:pPr>
        <w:pStyle w:val="BodyText"/>
        <w:spacing w:line="417" w:lineRule="auto" w:before="1"/>
        <w:ind w:right="3403"/>
      </w:pPr>
      <w:r>
        <w:rPr/>
        <w:t>办公地址：南京市鼓楼区中山北路</w:t>
      </w:r>
      <w:r>
        <w:rPr>
          <w:rFonts w:ascii="Times New Roman" w:eastAsia="Times New Roman"/>
        </w:rPr>
        <w:t>2</w:t>
      </w:r>
      <w:r>
        <w:rPr/>
        <w:t>号绿地紫峰大厦</w:t>
      </w:r>
      <w:r>
        <w:rPr>
          <w:rFonts w:ascii="Times New Roman" w:eastAsia="Times New Roman"/>
        </w:rPr>
        <w:t>2005</w:t>
      </w:r>
      <w:r>
        <w:rPr/>
        <w:t>室法定代表人：吴言林</w:t>
      </w:r>
    </w:p>
    <w:p>
      <w:pPr>
        <w:pStyle w:val="BodyText"/>
        <w:spacing w:line="269" w:lineRule="exact"/>
        <w:rPr>
          <w:rFonts w:ascii="Times New Roman" w:eastAsia="Times New Roman"/>
        </w:rPr>
      </w:pPr>
      <w:r>
        <w:rPr/>
        <w:t>电话：</w:t>
      </w:r>
      <w:r>
        <w:rPr>
          <w:rFonts w:ascii="Times New Roman" w:eastAsia="Times New Roman"/>
        </w:rPr>
        <w:t>025-66046166</w:t>
      </w:r>
      <w:r>
        <w:rPr/>
        <w:t>转</w:t>
      </w:r>
      <w:r>
        <w:rPr>
          <w:rFonts w:ascii="Times New Roman" w:eastAsia="Times New Roman"/>
        </w:rPr>
        <w:t>837</w:t>
      </w:r>
    </w:p>
    <w:p>
      <w:pPr>
        <w:pStyle w:val="BodyText"/>
        <w:spacing w:before="3"/>
        <w:ind w:left="0"/>
        <w:rPr>
          <w:rFonts w:ascii="Times New Roman"/>
          <w:sz w:val="17"/>
        </w:rPr>
      </w:pPr>
    </w:p>
    <w:p>
      <w:pPr>
        <w:pStyle w:val="BodyText"/>
      </w:pPr>
      <w:r>
        <w:rPr/>
        <w:t>联系人：孙平</w:t>
      </w:r>
    </w:p>
    <w:p>
      <w:pPr>
        <w:pStyle w:val="BodyText"/>
        <w:spacing w:before="7"/>
        <w:ind w:left="0"/>
        <w:rPr>
          <w:sz w:val="15"/>
        </w:rPr>
      </w:pPr>
    </w:p>
    <w:p>
      <w:pPr>
        <w:pStyle w:val="BodyText"/>
        <w:rPr>
          <w:rFonts w:ascii="Times New Roman" w:eastAsia="Times New Roman"/>
        </w:rPr>
      </w:pPr>
      <w:r>
        <w:rPr/>
        <w:t>网址：</w:t>
      </w:r>
      <w:hyperlink r:id="rId84">
        <w:r>
          <w:rPr>
            <w:rFonts w:ascii="Times New Roman" w:eastAsia="Times New Roman"/>
          </w:rPr>
          <w:t>www.huilinbd.com</w:t>
        </w:r>
      </w:hyperlink>
    </w:p>
    <w:p>
      <w:pPr>
        <w:pStyle w:val="BodyText"/>
        <w:spacing w:before="4"/>
        <w:ind w:left="0"/>
        <w:rPr>
          <w:rFonts w:ascii="Times New Roman"/>
          <w:sz w:val="17"/>
        </w:rPr>
      </w:pPr>
    </w:p>
    <w:p>
      <w:pPr>
        <w:pStyle w:val="BodyText"/>
        <w:rPr>
          <w:rFonts w:ascii="Times New Roman" w:eastAsia="Times New Roman"/>
        </w:rPr>
      </w:pPr>
      <w:r>
        <w:rPr/>
        <w:t>客户服务电话：</w:t>
      </w:r>
      <w:r>
        <w:rPr>
          <w:rFonts w:ascii="Times New Roman" w:eastAsia="Times New Roman"/>
        </w:rPr>
        <w:t>025-66046166</w:t>
      </w:r>
    </w:p>
    <w:p>
      <w:pPr>
        <w:pStyle w:val="BodyText"/>
        <w:spacing w:before="3"/>
        <w:ind w:left="0"/>
        <w:rPr>
          <w:rFonts w:ascii="Times New Roman"/>
          <w:sz w:val="17"/>
        </w:rPr>
      </w:pPr>
    </w:p>
    <w:p>
      <w:pPr>
        <w:pStyle w:val="ListParagraph"/>
        <w:numPr>
          <w:ilvl w:val="0"/>
          <w:numId w:val="31"/>
        </w:numPr>
        <w:tabs>
          <w:tab w:pos="1275" w:val="left" w:leader="none"/>
        </w:tabs>
        <w:spacing w:line="240" w:lineRule="auto" w:before="0" w:after="0"/>
        <w:ind w:left="1275" w:right="0" w:hanging="635"/>
        <w:jc w:val="left"/>
        <w:rPr>
          <w:sz w:val="21"/>
        </w:rPr>
      </w:pPr>
      <w:r>
        <w:rPr>
          <w:spacing w:val="-3"/>
          <w:sz w:val="21"/>
        </w:rPr>
        <w:t>上海挖财基金销售有限公司</w:t>
      </w:r>
    </w:p>
    <w:p>
      <w:pPr>
        <w:pStyle w:val="BodyText"/>
        <w:spacing w:before="7"/>
        <w:ind w:left="0"/>
        <w:rPr>
          <w:sz w:val="15"/>
        </w:rPr>
      </w:pPr>
    </w:p>
    <w:p>
      <w:pPr>
        <w:pStyle w:val="BodyText"/>
      </w:pPr>
      <w:r>
        <w:rPr/>
        <w:t>住所：中国（上海）自由贸易试验区杨高南路</w:t>
      </w:r>
      <w:r>
        <w:rPr>
          <w:rFonts w:ascii="Times New Roman" w:eastAsia="Times New Roman"/>
        </w:rPr>
        <w:t>799</w:t>
      </w:r>
      <w:r>
        <w:rPr/>
        <w:t>号</w:t>
      </w:r>
      <w:r>
        <w:rPr>
          <w:rFonts w:ascii="Times New Roman" w:eastAsia="Times New Roman"/>
        </w:rPr>
        <w:t>5</w:t>
      </w:r>
      <w:r>
        <w:rPr/>
        <w:t>层</w:t>
      </w:r>
      <w:r>
        <w:rPr>
          <w:rFonts w:ascii="Times New Roman" w:eastAsia="Times New Roman"/>
        </w:rPr>
        <w:t>01</w:t>
      </w:r>
      <w:r>
        <w:rPr/>
        <w:t>、</w:t>
      </w:r>
      <w:r>
        <w:rPr>
          <w:rFonts w:ascii="Times New Roman" w:eastAsia="Times New Roman"/>
        </w:rPr>
        <w:t>02</w:t>
      </w:r>
      <w:r>
        <w:rPr/>
        <w:t>、</w:t>
      </w:r>
      <w:r>
        <w:rPr>
          <w:rFonts w:ascii="Times New Roman" w:eastAsia="Times New Roman"/>
        </w:rPr>
        <w:t>03</w:t>
      </w:r>
      <w:r>
        <w:rPr/>
        <w:t>室</w:t>
      </w:r>
    </w:p>
    <w:p>
      <w:pPr>
        <w:pStyle w:val="BodyText"/>
        <w:spacing w:before="7"/>
        <w:ind w:left="0"/>
        <w:rPr>
          <w:sz w:val="15"/>
        </w:rPr>
      </w:pPr>
    </w:p>
    <w:p>
      <w:pPr>
        <w:pStyle w:val="BodyText"/>
        <w:spacing w:line="417" w:lineRule="auto"/>
        <w:ind w:right="2040"/>
      </w:pPr>
      <w:r>
        <w:rPr/>
        <w:t>办公地址：中国（上海）自由贸易试验区杨高南路</w:t>
      </w:r>
      <w:r>
        <w:rPr>
          <w:rFonts w:ascii="Times New Roman" w:eastAsia="Times New Roman"/>
        </w:rPr>
        <w:t>799</w:t>
      </w:r>
      <w:r>
        <w:rPr/>
        <w:t>号</w:t>
      </w:r>
      <w:r>
        <w:rPr>
          <w:rFonts w:ascii="Times New Roman" w:eastAsia="Times New Roman"/>
        </w:rPr>
        <w:t>5</w:t>
      </w:r>
      <w:r>
        <w:rPr/>
        <w:t>层</w:t>
      </w:r>
      <w:r>
        <w:rPr>
          <w:rFonts w:ascii="Times New Roman" w:eastAsia="Times New Roman"/>
        </w:rPr>
        <w:t>01</w:t>
      </w:r>
      <w:r>
        <w:rPr/>
        <w:t>、</w:t>
      </w:r>
      <w:r>
        <w:rPr>
          <w:rFonts w:ascii="Times New Roman" w:eastAsia="Times New Roman"/>
        </w:rPr>
        <w:t>02</w:t>
      </w:r>
      <w:r>
        <w:rPr/>
        <w:t>、</w:t>
      </w:r>
      <w:r>
        <w:rPr>
          <w:rFonts w:ascii="Times New Roman" w:eastAsia="Times New Roman"/>
        </w:rPr>
        <w:t>03</w:t>
      </w:r>
      <w:r>
        <w:rPr/>
        <w:t>室法定代表人：胡燕亮</w:t>
      </w:r>
    </w:p>
    <w:p>
      <w:pPr>
        <w:pStyle w:val="BodyText"/>
        <w:spacing w:line="417" w:lineRule="auto"/>
        <w:ind w:right="6906"/>
        <w:rPr>
          <w:rFonts w:ascii="Times New Roman" w:eastAsia="Times New Roman"/>
        </w:rPr>
      </w:pPr>
      <w:r>
        <w:rPr/>
        <w:t>电话：</w:t>
      </w:r>
      <w:r>
        <w:rPr>
          <w:rFonts w:ascii="Times New Roman" w:eastAsia="Times New Roman"/>
        </w:rPr>
        <w:t>021-50810687 </w:t>
      </w:r>
      <w:r>
        <w:rPr/>
        <w:t>传真：</w:t>
      </w:r>
      <w:r>
        <w:rPr>
          <w:rFonts w:ascii="Times New Roman" w:eastAsia="Times New Roman"/>
        </w:rPr>
        <w:t>021-58300279</w:t>
      </w:r>
    </w:p>
    <w:p>
      <w:pPr>
        <w:pStyle w:val="BodyText"/>
      </w:pPr>
      <w:r>
        <w:rPr/>
        <w:t>联系人：李娟</w:t>
      </w:r>
    </w:p>
    <w:p>
      <w:pPr>
        <w:spacing w:after="0"/>
        <w:sectPr>
          <w:pgSz w:w="11910" w:h="16840"/>
          <w:pgMar w:header="705" w:footer="683" w:top="1420" w:bottom="880" w:left="1580" w:right="920"/>
        </w:sectPr>
      </w:pPr>
    </w:p>
    <w:p>
      <w:pPr>
        <w:pStyle w:val="BodyText"/>
        <w:spacing w:before="110"/>
        <w:rPr>
          <w:rFonts w:ascii="Times New Roman" w:eastAsia="Times New Roman"/>
        </w:rPr>
      </w:pPr>
      <w:r>
        <w:rPr/>
        <w:t>网址：</w:t>
      </w:r>
      <w:hyperlink r:id="rId85">
        <w:r>
          <w:rPr>
            <w:rFonts w:ascii="Times New Roman" w:eastAsia="Times New Roman"/>
          </w:rPr>
          <w:t>www.wacaijijin.com</w:t>
        </w:r>
      </w:hyperlink>
    </w:p>
    <w:p>
      <w:pPr>
        <w:pStyle w:val="BodyText"/>
        <w:spacing w:before="3"/>
        <w:ind w:left="0"/>
        <w:rPr>
          <w:rFonts w:ascii="Times New Roman"/>
          <w:sz w:val="17"/>
        </w:rPr>
      </w:pPr>
    </w:p>
    <w:p>
      <w:pPr>
        <w:pStyle w:val="BodyText"/>
        <w:rPr>
          <w:rFonts w:ascii="Times New Roman" w:eastAsia="Times New Roman"/>
        </w:rPr>
      </w:pPr>
      <w:r>
        <w:rPr/>
        <w:t>客户服务电话：</w:t>
      </w:r>
      <w:r>
        <w:rPr>
          <w:rFonts w:ascii="Times New Roman" w:eastAsia="Times New Roman"/>
        </w:rPr>
        <w:t>021-50810673</w:t>
      </w:r>
    </w:p>
    <w:p>
      <w:pPr>
        <w:pStyle w:val="BodyText"/>
        <w:spacing w:before="3"/>
        <w:ind w:left="0"/>
        <w:rPr>
          <w:rFonts w:ascii="Times New Roman"/>
          <w:sz w:val="17"/>
        </w:rPr>
      </w:pPr>
    </w:p>
    <w:p>
      <w:pPr>
        <w:pStyle w:val="ListParagraph"/>
        <w:numPr>
          <w:ilvl w:val="0"/>
          <w:numId w:val="31"/>
        </w:numPr>
        <w:tabs>
          <w:tab w:pos="1275" w:val="left" w:leader="none"/>
        </w:tabs>
        <w:spacing w:line="240" w:lineRule="auto" w:before="1" w:after="0"/>
        <w:ind w:left="1275" w:right="0" w:hanging="635"/>
        <w:jc w:val="left"/>
        <w:rPr>
          <w:sz w:val="21"/>
        </w:rPr>
      </w:pPr>
      <w:r>
        <w:rPr>
          <w:spacing w:val="-3"/>
          <w:sz w:val="21"/>
        </w:rPr>
        <w:t>喜鹊财富基金销售有限公司</w:t>
      </w:r>
    </w:p>
    <w:p>
      <w:pPr>
        <w:pStyle w:val="BodyText"/>
        <w:spacing w:before="6"/>
        <w:ind w:left="0"/>
        <w:rPr>
          <w:sz w:val="15"/>
        </w:rPr>
      </w:pPr>
    </w:p>
    <w:p>
      <w:pPr>
        <w:pStyle w:val="BodyText"/>
      </w:pPr>
      <w:r>
        <w:rPr/>
        <w:t>住所：西藏拉萨市柳梧新区柳梧大厦</w:t>
      </w:r>
      <w:r>
        <w:rPr>
          <w:rFonts w:ascii="Times New Roman" w:eastAsia="Times New Roman"/>
        </w:rPr>
        <w:t>1513</w:t>
      </w:r>
      <w:r>
        <w:rPr/>
        <w:t>室</w:t>
      </w:r>
    </w:p>
    <w:p>
      <w:pPr>
        <w:pStyle w:val="BodyText"/>
        <w:spacing w:before="7"/>
        <w:ind w:left="0"/>
        <w:rPr>
          <w:sz w:val="15"/>
        </w:rPr>
      </w:pPr>
    </w:p>
    <w:p>
      <w:pPr>
        <w:pStyle w:val="BodyText"/>
        <w:spacing w:line="417" w:lineRule="auto"/>
        <w:ind w:right="4349"/>
      </w:pPr>
      <w:r>
        <w:rPr/>
        <w:t>办公地址：西藏拉萨市柳梧新区柳梧大厦</w:t>
      </w:r>
      <w:r>
        <w:rPr>
          <w:rFonts w:ascii="Times New Roman" w:eastAsia="Times New Roman"/>
        </w:rPr>
        <w:t>1513</w:t>
      </w:r>
      <w:r>
        <w:rPr/>
        <w:t>室法定代表人：陈皓</w:t>
      </w:r>
    </w:p>
    <w:p>
      <w:pPr>
        <w:pStyle w:val="BodyText"/>
        <w:spacing w:line="417" w:lineRule="auto"/>
        <w:ind w:right="5691"/>
        <w:rPr>
          <w:rFonts w:ascii="Times New Roman" w:eastAsia="Times New Roman"/>
        </w:rPr>
      </w:pPr>
      <w:r>
        <w:rPr/>
        <w:t>电话：</w:t>
      </w:r>
      <w:r>
        <w:rPr>
          <w:rFonts w:ascii="Times New Roman" w:eastAsia="Times New Roman"/>
        </w:rPr>
        <w:t>010-58349088/18600730680 </w:t>
      </w:r>
      <w:r>
        <w:rPr/>
        <w:t>传真：</w:t>
      </w:r>
      <w:r>
        <w:rPr>
          <w:rFonts w:ascii="Times New Roman" w:eastAsia="Times New Roman"/>
        </w:rPr>
        <w:t>010-88371180</w:t>
      </w:r>
    </w:p>
    <w:p>
      <w:pPr>
        <w:pStyle w:val="BodyText"/>
      </w:pPr>
      <w:r>
        <w:rPr/>
        <w:t>联系人：张萌</w:t>
      </w:r>
    </w:p>
    <w:p>
      <w:pPr>
        <w:pStyle w:val="BodyText"/>
        <w:spacing w:before="7"/>
        <w:ind w:left="0"/>
        <w:rPr>
          <w:sz w:val="15"/>
        </w:rPr>
      </w:pPr>
    </w:p>
    <w:p>
      <w:pPr>
        <w:pStyle w:val="BodyText"/>
        <w:rPr>
          <w:rFonts w:ascii="Times New Roman" w:eastAsia="Times New Roman"/>
        </w:rPr>
      </w:pPr>
      <w:r>
        <w:rPr/>
        <w:t>网址：</w:t>
      </w:r>
      <w:hyperlink r:id="rId86">
        <w:r>
          <w:rPr>
            <w:rFonts w:ascii="Times New Roman" w:eastAsia="Times New Roman"/>
          </w:rPr>
          <w:t>www.xiquefund.com</w:t>
        </w:r>
      </w:hyperlink>
    </w:p>
    <w:p>
      <w:pPr>
        <w:pStyle w:val="BodyText"/>
        <w:spacing w:before="3"/>
        <w:ind w:left="0"/>
        <w:rPr>
          <w:rFonts w:ascii="Times New Roman"/>
          <w:sz w:val="17"/>
        </w:rPr>
      </w:pPr>
    </w:p>
    <w:p>
      <w:pPr>
        <w:pStyle w:val="BodyText"/>
        <w:rPr>
          <w:rFonts w:ascii="Times New Roman" w:eastAsia="Times New Roman"/>
        </w:rPr>
      </w:pPr>
      <w:r>
        <w:rPr/>
        <w:t>客户服务电话：</w:t>
      </w:r>
      <w:r>
        <w:rPr>
          <w:rFonts w:ascii="Times New Roman" w:eastAsia="Times New Roman"/>
        </w:rPr>
        <w:t>400-699-7719</w:t>
      </w:r>
    </w:p>
    <w:p>
      <w:pPr>
        <w:pStyle w:val="BodyText"/>
        <w:spacing w:before="4"/>
        <w:ind w:left="0"/>
        <w:rPr>
          <w:rFonts w:ascii="Times New Roman"/>
          <w:sz w:val="17"/>
        </w:rPr>
      </w:pPr>
    </w:p>
    <w:p>
      <w:pPr>
        <w:pStyle w:val="ListParagraph"/>
        <w:numPr>
          <w:ilvl w:val="0"/>
          <w:numId w:val="31"/>
        </w:numPr>
        <w:tabs>
          <w:tab w:pos="1275" w:val="left" w:leader="none"/>
        </w:tabs>
        <w:spacing w:line="240" w:lineRule="auto" w:before="0" w:after="0"/>
        <w:ind w:left="1275" w:right="0" w:hanging="635"/>
        <w:jc w:val="left"/>
        <w:rPr>
          <w:sz w:val="21"/>
        </w:rPr>
      </w:pPr>
      <w:r>
        <w:rPr>
          <w:spacing w:val="-3"/>
          <w:sz w:val="21"/>
        </w:rPr>
        <w:t>北京度小满基金销售有限公司</w:t>
      </w:r>
    </w:p>
    <w:p>
      <w:pPr>
        <w:pStyle w:val="BodyText"/>
        <w:spacing w:before="6"/>
        <w:ind w:left="0"/>
        <w:rPr>
          <w:sz w:val="15"/>
        </w:rPr>
      </w:pPr>
    </w:p>
    <w:p>
      <w:pPr>
        <w:pStyle w:val="BodyText"/>
        <w:spacing w:line="417" w:lineRule="auto"/>
        <w:ind w:right="3403"/>
      </w:pPr>
      <w:r>
        <w:rPr/>
        <w:t>住所：北京市海淀区西北旺东路</w:t>
      </w:r>
      <w:r>
        <w:rPr>
          <w:rFonts w:ascii="Times New Roman" w:eastAsia="Times New Roman"/>
        </w:rPr>
        <w:t>10</w:t>
      </w:r>
      <w:r>
        <w:rPr/>
        <w:t>号院西区</w:t>
      </w:r>
      <w:r>
        <w:rPr>
          <w:rFonts w:ascii="Times New Roman" w:eastAsia="Times New Roman"/>
        </w:rPr>
        <w:t>4</w:t>
      </w:r>
      <w:r>
        <w:rPr/>
        <w:t>号楼</w:t>
      </w:r>
      <w:r>
        <w:rPr>
          <w:rFonts w:ascii="Times New Roman" w:eastAsia="Times New Roman"/>
        </w:rPr>
        <w:t>1</w:t>
      </w:r>
      <w:r>
        <w:rPr/>
        <w:t>层</w:t>
      </w:r>
      <w:r>
        <w:rPr>
          <w:rFonts w:ascii="Times New Roman" w:eastAsia="Times New Roman"/>
        </w:rPr>
        <w:t>103</w:t>
      </w:r>
      <w:r>
        <w:rPr/>
        <w:t>室办公地址：北京市海淀区西北旺东路</w:t>
      </w:r>
      <w:r>
        <w:rPr>
          <w:rFonts w:ascii="Times New Roman" w:eastAsia="Times New Roman"/>
        </w:rPr>
        <w:t>10</w:t>
      </w:r>
      <w:r>
        <w:rPr/>
        <w:t>号院西区</w:t>
      </w:r>
      <w:r>
        <w:rPr>
          <w:rFonts w:ascii="Times New Roman" w:eastAsia="Times New Roman"/>
        </w:rPr>
        <w:t>4</w:t>
      </w:r>
      <w:r>
        <w:rPr/>
        <w:t>号楼</w:t>
      </w:r>
    </w:p>
    <w:p>
      <w:pPr>
        <w:pStyle w:val="BodyText"/>
        <w:spacing w:line="417" w:lineRule="auto" w:before="1"/>
        <w:ind w:right="6844"/>
        <w:rPr>
          <w:rFonts w:ascii="Times New Roman" w:eastAsia="Times New Roman"/>
        </w:rPr>
      </w:pPr>
      <w:r>
        <w:rPr/>
        <w:t>法定代表人：葛新电话：</w:t>
      </w:r>
      <w:r>
        <w:rPr>
          <w:rFonts w:ascii="Times New Roman" w:eastAsia="Times New Roman"/>
        </w:rPr>
        <w:t>010-59403028 </w:t>
      </w:r>
      <w:r>
        <w:rPr/>
        <w:t>传真：</w:t>
      </w:r>
      <w:r>
        <w:rPr>
          <w:rFonts w:ascii="Times New Roman" w:eastAsia="Times New Roman"/>
        </w:rPr>
        <w:t>010-59403027</w:t>
      </w:r>
    </w:p>
    <w:p>
      <w:pPr>
        <w:pStyle w:val="BodyText"/>
        <w:spacing w:line="269" w:lineRule="exact"/>
      </w:pPr>
      <w:r>
        <w:rPr/>
        <w:t>联系人：孙博超</w:t>
      </w:r>
    </w:p>
    <w:p>
      <w:pPr>
        <w:pStyle w:val="BodyText"/>
        <w:spacing w:before="6"/>
        <w:ind w:left="0"/>
        <w:rPr>
          <w:sz w:val="15"/>
        </w:rPr>
      </w:pPr>
    </w:p>
    <w:p>
      <w:pPr>
        <w:pStyle w:val="BodyText"/>
        <w:spacing w:line="417" w:lineRule="auto"/>
        <w:ind w:right="6166"/>
        <w:rPr>
          <w:rFonts w:ascii="Times New Roman" w:eastAsia="Times New Roman"/>
        </w:rPr>
      </w:pPr>
      <w:r>
        <w:rPr/>
        <w:t>网址：</w:t>
      </w:r>
      <w:hyperlink r:id="rId87">
        <w:r>
          <w:rPr>
            <w:rFonts w:ascii="Times New Roman" w:eastAsia="Times New Roman"/>
          </w:rPr>
          <w:t>www.baiyingfund.com </w:t>
        </w:r>
      </w:hyperlink>
      <w:r>
        <w:rPr/>
        <w:t>客户服务电话：</w:t>
      </w:r>
      <w:r>
        <w:rPr>
          <w:rFonts w:ascii="Times New Roman" w:eastAsia="Times New Roman"/>
        </w:rPr>
        <w:t>95055-4</w:t>
      </w:r>
    </w:p>
    <w:p>
      <w:pPr>
        <w:pStyle w:val="ListParagraph"/>
        <w:numPr>
          <w:ilvl w:val="0"/>
          <w:numId w:val="31"/>
        </w:numPr>
        <w:tabs>
          <w:tab w:pos="1275" w:val="left" w:leader="none"/>
        </w:tabs>
        <w:spacing w:line="269" w:lineRule="exact" w:before="0" w:after="0"/>
        <w:ind w:left="1275" w:right="0" w:hanging="635"/>
        <w:jc w:val="left"/>
        <w:rPr>
          <w:sz w:val="21"/>
        </w:rPr>
      </w:pPr>
      <w:r>
        <w:rPr>
          <w:spacing w:val="-3"/>
          <w:sz w:val="21"/>
        </w:rPr>
        <w:t>诺亚正行基金销售有限公司</w:t>
      </w:r>
    </w:p>
    <w:p>
      <w:pPr>
        <w:pStyle w:val="BodyText"/>
        <w:spacing w:before="7"/>
        <w:ind w:left="0"/>
        <w:rPr>
          <w:sz w:val="15"/>
        </w:rPr>
      </w:pPr>
    </w:p>
    <w:p>
      <w:pPr>
        <w:pStyle w:val="BodyText"/>
        <w:spacing w:before="1"/>
      </w:pPr>
      <w:r>
        <w:rPr/>
        <w:t>住所：上海市虹口区飞虹路</w:t>
      </w:r>
      <w:r>
        <w:rPr>
          <w:rFonts w:ascii="Times New Roman" w:eastAsia="Times New Roman"/>
        </w:rPr>
        <w:t>360</w:t>
      </w:r>
      <w:r>
        <w:rPr/>
        <w:t>弄</w:t>
      </w:r>
      <w:r>
        <w:rPr>
          <w:rFonts w:ascii="Times New Roman" w:eastAsia="Times New Roman"/>
        </w:rPr>
        <w:t>9</w:t>
      </w:r>
      <w:r>
        <w:rPr/>
        <w:t>号</w:t>
      </w:r>
      <w:r>
        <w:rPr>
          <w:rFonts w:ascii="Times New Roman" w:eastAsia="Times New Roman"/>
        </w:rPr>
        <w:t>3724</w:t>
      </w:r>
      <w:r>
        <w:rPr/>
        <w:t>室</w:t>
      </w:r>
    </w:p>
    <w:p>
      <w:pPr>
        <w:pStyle w:val="BodyText"/>
        <w:spacing w:before="6"/>
        <w:ind w:left="0"/>
        <w:rPr>
          <w:sz w:val="15"/>
        </w:rPr>
      </w:pPr>
    </w:p>
    <w:p>
      <w:pPr>
        <w:pStyle w:val="BodyText"/>
        <w:spacing w:line="417" w:lineRule="auto"/>
        <w:ind w:right="3684"/>
      </w:pPr>
      <w:r>
        <w:rPr/>
        <w:t>办公地址：上海市杨浦区昆明路</w:t>
      </w:r>
      <w:r>
        <w:rPr>
          <w:rFonts w:ascii="Times New Roman" w:eastAsia="Times New Roman"/>
        </w:rPr>
        <w:t>508</w:t>
      </w:r>
      <w:r>
        <w:rPr/>
        <w:t>号北美广场</w:t>
      </w:r>
      <w:r>
        <w:rPr>
          <w:rFonts w:ascii="Times New Roman" w:eastAsia="Times New Roman"/>
        </w:rPr>
        <w:t>B</w:t>
      </w:r>
      <w:r>
        <w:rPr/>
        <w:t>座</w:t>
      </w:r>
      <w:r>
        <w:rPr>
          <w:rFonts w:ascii="Times New Roman" w:eastAsia="Times New Roman"/>
        </w:rPr>
        <w:t>12</w:t>
      </w:r>
      <w:r>
        <w:rPr/>
        <w:t>楼法定代表人：汪静波</w:t>
      </w:r>
    </w:p>
    <w:p>
      <w:pPr>
        <w:pStyle w:val="BodyText"/>
        <w:spacing w:line="417" w:lineRule="auto"/>
        <w:ind w:right="6906"/>
        <w:rPr>
          <w:rFonts w:ascii="Times New Roman" w:eastAsia="Times New Roman"/>
        </w:rPr>
      </w:pPr>
      <w:r>
        <w:rPr/>
        <w:t>电话：</w:t>
      </w:r>
      <w:r>
        <w:rPr>
          <w:rFonts w:ascii="Times New Roman" w:eastAsia="Times New Roman"/>
        </w:rPr>
        <w:t>021-38509680 </w:t>
      </w:r>
      <w:r>
        <w:rPr/>
        <w:t>传真：</w:t>
      </w:r>
      <w:r>
        <w:rPr>
          <w:rFonts w:ascii="Times New Roman" w:eastAsia="Times New Roman"/>
        </w:rPr>
        <w:t>021-38509777</w:t>
      </w:r>
    </w:p>
    <w:p>
      <w:pPr>
        <w:pStyle w:val="BodyText"/>
        <w:spacing w:line="269" w:lineRule="exact"/>
      </w:pPr>
      <w:r>
        <w:rPr/>
        <w:t>联系人：张裕</w:t>
      </w:r>
    </w:p>
    <w:p>
      <w:pPr>
        <w:pStyle w:val="BodyText"/>
        <w:spacing w:before="7"/>
        <w:ind w:left="0"/>
        <w:rPr>
          <w:sz w:val="15"/>
        </w:rPr>
      </w:pPr>
    </w:p>
    <w:p>
      <w:pPr>
        <w:pStyle w:val="BodyText"/>
        <w:spacing w:line="417" w:lineRule="auto"/>
        <w:ind w:right="6101"/>
        <w:rPr>
          <w:rFonts w:ascii="Times New Roman" w:eastAsia="Times New Roman"/>
        </w:rPr>
      </w:pPr>
      <w:r>
        <w:rPr/>
        <w:t>网址：</w:t>
      </w:r>
      <w:hyperlink r:id="rId88">
        <w:r>
          <w:rPr>
            <w:rFonts w:ascii="Times New Roman" w:eastAsia="Times New Roman"/>
          </w:rPr>
          <w:t>www.noah-fund.com</w:t>
        </w:r>
      </w:hyperlink>
      <w:r>
        <w:rPr>
          <w:rFonts w:ascii="Times New Roman" w:eastAsia="Times New Roman"/>
        </w:rPr>
        <w:t> </w:t>
      </w:r>
      <w:r>
        <w:rPr>
          <w:spacing w:val="-3"/>
        </w:rPr>
        <w:t>客户服务电话：</w:t>
      </w:r>
      <w:r>
        <w:rPr>
          <w:rFonts w:ascii="Times New Roman" w:eastAsia="Times New Roman"/>
          <w:spacing w:val="-1"/>
        </w:rPr>
        <w:t>400-821-5399</w:t>
      </w:r>
    </w:p>
    <w:p>
      <w:pPr>
        <w:pStyle w:val="ListParagraph"/>
        <w:numPr>
          <w:ilvl w:val="0"/>
          <w:numId w:val="31"/>
        </w:numPr>
        <w:tabs>
          <w:tab w:pos="1275" w:val="left" w:leader="none"/>
        </w:tabs>
        <w:spacing w:line="240" w:lineRule="auto" w:before="0" w:after="0"/>
        <w:ind w:left="1275" w:right="0" w:hanging="635"/>
        <w:jc w:val="left"/>
        <w:rPr>
          <w:sz w:val="21"/>
        </w:rPr>
      </w:pPr>
      <w:r>
        <w:rPr>
          <w:spacing w:val="-3"/>
          <w:sz w:val="21"/>
        </w:rPr>
        <w:t>深圳众禄基金销售股份有限公司</w:t>
      </w:r>
    </w:p>
    <w:p>
      <w:pPr>
        <w:spacing w:after="0" w:line="240" w:lineRule="auto"/>
        <w:jc w:val="left"/>
        <w:rPr>
          <w:sz w:val="21"/>
        </w:rPr>
        <w:sectPr>
          <w:pgSz w:w="11910" w:h="16840"/>
          <w:pgMar w:header="705" w:footer="683" w:top="1420" w:bottom="880" w:left="1580" w:right="920"/>
        </w:sectPr>
      </w:pPr>
    </w:p>
    <w:p>
      <w:pPr>
        <w:pStyle w:val="BodyText"/>
        <w:spacing w:before="110"/>
        <w:rPr>
          <w:rFonts w:ascii="Times New Roman" w:eastAsia="Times New Roman"/>
        </w:rPr>
      </w:pPr>
      <w:r>
        <w:rPr/>
        <w:t>住所：深圳市罗湖区梨园路物资控股置地大厦</w:t>
      </w:r>
      <w:r>
        <w:rPr>
          <w:rFonts w:ascii="Times New Roman" w:eastAsia="Times New Roman"/>
        </w:rPr>
        <w:t>8</w:t>
      </w:r>
      <w:r>
        <w:rPr/>
        <w:t>楼</w:t>
      </w:r>
      <w:r>
        <w:rPr>
          <w:rFonts w:ascii="Times New Roman" w:eastAsia="Times New Roman"/>
        </w:rPr>
        <w:t>801</w:t>
      </w:r>
    </w:p>
    <w:p>
      <w:pPr>
        <w:pStyle w:val="BodyText"/>
        <w:spacing w:before="3"/>
        <w:ind w:left="0"/>
        <w:rPr>
          <w:rFonts w:ascii="Times New Roman"/>
          <w:sz w:val="17"/>
        </w:rPr>
      </w:pPr>
    </w:p>
    <w:p>
      <w:pPr>
        <w:pStyle w:val="BodyText"/>
        <w:spacing w:line="417" w:lineRule="auto"/>
        <w:ind w:right="3509"/>
      </w:pPr>
      <w:r>
        <w:rPr/>
        <w:t>办公地址：深圳市罗湖区梨园路物资控股置地大厦</w:t>
      </w:r>
      <w:r>
        <w:rPr>
          <w:rFonts w:ascii="Times New Roman" w:eastAsia="Times New Roman"/>
        </w:rPr>
        <w:t>8</w:t>
      </w:r>
      <w:r>
        <w:rPr/>
        <w:t>楼</w:t>
      </w:r>
      <w:r>
        <w:rPr>
          <w:rFonts w:ascii="Times New Roman" w:eastAsia="Times New Roman"/>
        </w:rPr>
        <w:t>801 </w:t>
      </w:r>
      <w:r>
        <w:rPr/>
        <w:t>法定代表人：薛峰</w:t>
      </w:r>
    </w:p>
    <w:p>
      <w:pPr>
        <w:pStyle w:val="BodyText"/>
        <w:spacing w:line="417" w:lineRule="auto"/>
        <w:ind w:right="6800"/>
        <w:rPr>
          <w:rFonts w:ascii="Times New Roman" w:eastAsia="Times New Roman"/>
        </w:rPr>
      </w:pPr>
      <w:r>
        <w:rPr/>
        <w:t>电话：</w:t>
      </w:r>
      <w:r>
        <w:rPr>
          <w:rFonts w:ascii="Times New Roman" w:eastAsia="Times New Roman"/>
        </w:rPr>
        <w:t>0755-33227950 </w:t>
      </w:r>
      <w:r>
        <w:rPr/>
        <w:t>传真：</w:t>
      </w:r>
      <w:r>
        <w:rPr>
          <w:rFonts w:ascii="Times New Roman" w:eastAsia="Times New Roman"/>
        </w:rPr>
        <w:t>0755-33227951</w:t>
      </w:r>
    </w:p>
    <w:p>
      <w:pPr>
        <w:pStyle w:val="BodyText"/>
        <w:spacing w:line="269" w:lineRule="exact"/>
      </w:pPr>
      <w:r>
        <w:rPr/>
        <w:t>联系人：童彩平</w:t>
      </w:r>
    </w:p>
    <w:p>
      <w:pPr>
        <w:pStyle w:val="BodyText"/>
        <w:spacing w:before="6"/>
        <w:ind w:left="0"/>
        <w:rPr>
          <w:sz w:val="15"/>
        </w:rPr>
      </w:pPr>
    </w:p>
    <w:p>
      <w:pPr>
        <w:pStyle w:val="BodyText"/>
        <w:spacing w:before="1"/>
        <w:rPr>
          <w:rFonts w:ascii="Times New Roman" w:eastAsia="Times New Roman"/>
        </w:rPr>
      </w:pPr>
      <w:r>
        <w:rPr/>
        <w:t>网址：</w:t>
      </w:r>
      <w:hyperlink r:id="rId89">
        <w:r>
          <w:rPr>
            <w:rFonts w:ascii="Times New Roman" w:eastAsia="Times New Roman"/>
          </w:rPr>
          <w:t>www.zlfund.cn</w:t>
        </w:r>
      </w:hyperlink>
    </w:p>
    <w:p>
      <w:pPr>
        <w:pStyle w:val="BodyText"/>
        <w:spacing w:before="3"/>
        <w:ind w:left="0"/>
        <w:rPr>
          <w:rFonts w:ascii="Times New Roman"/>
          <w:sz w:val="17"/>
        </w:rPr>
      </w:pPr>
    </w:p>
    <w:p>
      <w:pPr>
        <w:pStyle w:val="BodyText"/>
        <w:spacing w:before="1"/>
        <w:rPr>
          <w:rFonts w:ascii="Times New Roman" w:eastAsia="Times New Roman"/>
        </w:rPr>
      </w:pPr>
      <w:r>
        <w:rPr/>
        <w:t>客户服务电话：</w:t>
      </w:r>
      <w:r>
        <w:rPr>
          <w:rFonts w:ascii="Times New Roman" w:eastAsia="Times New Roman"/>
        </w:rPr>
        <w:t>4006-788-887</w:t>
      </w:r>
    </w:p>
    <w:p>
      <w:pPr>
        <w:pStyle w:val="BodyText"/>
        <w:spacing w:before="3"/>
        <w:ind w:left="0"/>
        <w:rPr>
          <w:rFonts w:ascii="Times New Roman"/>
          <w:sz w:val="17"/>
        </w:rPr>
      </w:pPr>
    </w:p>
    <w:p>
      <w:pPr>
        <w:pStyle w:val="ListParagraph"/>
        <w:numPr>
          <w:ilvl w:val="0"/>
          <w:numId w:val="31"/>
        </w:numPr>
        <w:tabs>
          <w:tab w:pos="1275" w:val="left" w:leader="none"/>
        </w:tabs>
        <w:spacing w:line="240" w:lineRule="auto" w:before="0" w:after="0"/>
        <w:ind w:left="1275" w:right="0" w:hanging="635"/>
        <w:jc w:val="left"/>
        <w:rPr>
          <w:sz w:val="21"/>
        </w:rPr>
      </w:pPr>
      <w:r>
        <w:rPr>
          <w:spacing w:val="-3"/>
          <w:sz w:val="21"/>
        </w:rPr>
        <w:t>上海天天基金销售有限公司</w:t>
      </w:r>
    </w:p>
    <w:p>
      <w:pPr>
        <w:pStyle w:val="BodyText"/>
        <w:spacing w:before="7"/>
        <w:ind w:left="0"/>
        <w:rPr>
          <w:sz w:val="15"/>
        </w:rPr>
      </w:pPr>
    </w:p>
    <w:p>
      <w:pPr>
        <w:pStyle w:val="BodyText"/>
      </w:pPr>
      <w:r>
        <w:rPr/>
        <w:t>住所：上海市徐汇区龙田路</w:t>
      </w:r>
      <w:r>
        <w:rPr>
          <w:rFonts w:ascii="Times New Roman" w:eastAsia="Times New Roman"/>
        </w:rPr>
        <w:t>190</w:t>
      </w:r>
      <w:r>
        <w:rPr/>
        <w:t>号</w:t>
      </w:r>
      <w:r>
        <w:rPr>
          <w:rFonts w:ascii="Times New Roman" w:eastAsia="Times New Roman"/>
        </w:rPr>
        <w:t>2</w:t>
      </w:r>
      <w:r>
        <w:rPr/>
        <w:t>号楼</w:t>
      </w:r>
    </w:p>
    <w:p>
      <w:pPr>
        <w:pStyle w:val="BodyText"/>
        <w:spacing w:before="6"/>
        <w:ind w:left="0"/>
        <w:rPr>
          <w:sz w:val="15"/>
        </w:rPr>
      </w:pPr>
    </w:p>
    <w:p>
      <w:pPr>
        <w:pStyle w:val="BodyText"/>
        <w:spacing w:line="417" w:lineRule="auto" w:before="1"/>
        <w:ind w:right="3507"/>
      </w:pPr>
      <w:r>
        <w:rPr/>
        <w:t>办公地址：上海市徐汇区宛平南路</w:t>
      </w:r>
      <w:r>
        <w:rPr>
          <w:rFonts w:ascii="Times New Roman" w:eastAsia="Times New Roman"/>
        </w:rPr>
        <w:t>88</w:t>
      </w:r>
      <w:r>
        <w:rPr/>
        <w:t>号金座东方财富大厦法定代表人：其实</w:t>
      </w:r>
    </w:p>
    <w:p>
      <w:pPr>
        <w:pStyle w:val="BodyText"/>
        <w:spacing w:line="269" w:lineRule="exact"/>
        <w:rPr>
          <w:rFonts w:ascii="Times New Roman" w:eastAsia="Times New Roman"/>
        </w:rPr>
      </w:pPr>
      <w:r>
        <w:rPr/>
        <w:t>电话：</w:t>
      </w:r>
      <w:r>
        <w:rPr>
          <w:rFonts w:ascii="Times New Roman" w:eastAsia="Times New Roman"/>
        </w:rPr>
        <w:t>95021</w:t>
      </w:r>
    </w:p>
    <w:p>
      <w:pPr>
        <w:pStyle w:val="BodyText"/>
        <w:spacing w:before="3"/>
        <w:ind w:left="0"/>
        <w:rPr>
          <w:rFonts w:ascii="Times New Roman"/>
          <w:sz w:val="17"/>
        </w:rPr>
      </w:pPr>
    </w:p>
    <w:p>
      <w:pPr>
        <w:pStyle w:val="BodyText"/>
        <w:rPr>
          <w:rFonts w:ascii="Times New Roman" w:eastAsia="Times New Roman"/>
        </w:rPr>
      </w:pPr>
      <w:r>
        <w:rPr/>
        <w:t>传真：</w:t>
      </w:r>
      <w:r>
        <w:rPr>
          <w:rFonts w:ascii="Times New Roman" w:eastAsia="Times New Roman"/>
        </w:rPr>
        <w:t>021-64385308</w:t>
      </w:r>
    </w:p>
    <w:p>
      <w:pPr>
        <w:pStyle w:val="BodyText"/>
        <w:spacing w:before="4"/>
        <w:ind w:left="0"/>
        <w:rPr>
          <w:rFonts w:ascii="Times New Roman"/>
          <w:sz w:val="17"/>
        </w:rPr>
      </w:pPr>
    </w:p>
    <w:p>
      <w:pPr>
        <w:pStyle w:val="BodyText"/>
      </w:pPr>
      <w:r>
        <w:rPr/>
        <w:t>联系人：屠彦洋</w:t>
      </w:r>
    </w:p>
    <w:p>
      <w:pPr>
        <w:pStyle w:val="BodyText"/>
        <w:spacing w:before="6"/>
        <w:ind w:left="0"/>
        <w:rPr>
          <w:sz w:val="15"/>
        </w:rPr>
      </w:pPr>
    </w:p>
    <w:p>
      <w:pPr>
        <w:pStyle w:val="BodyText"/>
        <w:spacing w:line="417" w:lineRule="auto" w:before="1"/>
        <w:ind w:right="6101"/>
        <w:rPr>
          <w:rFonts w:ascii="Times New Roman" w:eastAsia="Times New Roman"/>
        </w:rPr>
      </w:pPr>
      <w:r>
        <w:rPr/>
        <w:t>网址：</w:t>
      </w:r>
      <w:hyperlink r:id="rId90">
        <w:r>
          <w:rPr>
            <w:rFonts w:ascii="Times New Roman" w:eastAsia="Times New Roman"/>
          </w:rPr>
          <w:t>www.1234567.com.cn </w:t>
        </w:r>
      </w:hyperlink>
      <w:r>
        <w:rPr/>
        <w:t>客户服务电话：</w:t>
      </w:r>
      <w:r>
        <w:rPr>
          <w:rFonts w:ascii="Times New Roman" w:eastAsia="Times New Roman"/>
        </w:rPr>
        <w:t>400-181-8188</w:t>
      </w:r>
    </w:p>
    <w:p>
      <w:pPr>
        <w:pStyle w:val="ListParagraph"/>
        <w:numPr>
          <w:ilvl w:val="0"/>
          <w:numId w:val="31"/>
        </w:numPr>
        <w:tabs>
          <w:tab w:pos="1275" w:val="left" w:leader="none"/>
        </w:tabs>
        <w:spacing w:line="269" w:lineRule="exact" w:before="0" w:after="0"/>
        <w:ind w:left="1275" w:right="0" w:hanging="635"/>
        <w:jc w:val="left"/>
        <w:rPr>
          <w:sz w:val="21"/>
        </w:rPr>
      </w:pPr>
      <w:r>
        <w:rPr>
          <w:spacing w:val="-3"/>
          <w:sz w:val="21"/>
        </w:rPr>
        <w:t>上海好买基金销售有限公司</w:t>
      </w:r>
    </w:p>
    <w:p>
      <w:pPr>
        <w:pStyle w:val="BodyText"/>
        <w:spacing w:before="6"/>
        <w:ind w:left="0"/>
        <w:rPr>
          <w:sz w:val="15"/>
        </w:rPr>
      </w:pPr>
    </w:p>
    <w:p>
      <w:pPr>
        <w:pStyle w:val="BodyText"/>
      </w:pPr>
      <w:r>
        <w:rPr/>
        <w:t>住所：上海市虹口区场中路</w:t>
      </w:r>
      <w:r>
        <w:rPr>
          <w:rFonts w:ascii="Times New Roman" w:eastAsia="Times New Roman"/>
        </w:rPr>
        <w:t>685</w:t>
      </w:r>
      <w:r>
        <w:rPr/>
        <w:t>弄</w:t>
      </w:r>
      <w:r>
        <w:rPr>
          <w:rFonts w:ascii="Times New Roman" w:eastAsia="Times New Roman"/>
        </w:rPr>
        <w:t>37</w:t>
      </w:r>
      <w:r>
        <w:rPr/>
        <w:t>号</w:t>
      </w:r>
      <w:r>
        <w:rPr>
          <w:rFonts w:ascii="Times New Roman" w:eastAsia="Times New Roman"/>
        </w:rPr>
        <w:t>4</w:t>
      </w:r>
      <w:r>
        <w:rPr/>
        <w:t>号楼</w:t>
      </w:r>
      <w:r>
        <w:rPr>
          <w:rFonts w:ascii="Times New Roman" w:eastAsia="Times New Roman"/>
        </w:rPr>
        <w:t>449</w:t>
      </w:r>
      <w:r>
        <w:rPr/>
        <w:t>室</w:t>
      </w:r>
    </w:p>
    <w:p>
      <w:pPr>
        <w:pStyle w:val="BodyText"/>
        <w:spacing w:before="7"/>
        <w:ind w:left="0"/>
        <w:rPr>
          <w:sz w:val="15"/>
        </w:rPr>
      </w:pPr>
    </w:p>
    <w:p>
      <w:pPr>
        <w:pStyle w:val="BodyText"/>
        <w:spacing w:line="417" w:lineRule="auto"/>
        <w:ind w:right="2108"/>
      </w:pPr>
      <w:r>
        <w:rPr/>
        <w:t>办公地址：上海市浦东新区浦东南路</w:t>
      </w:r>
      <w:r>
        <w:rPr>
          <w:rFonts w:ascii="Times New Roman" w:eastAsia="Times New Roman"/>
        </w:rPr>
        <w:t>1118</w:t>
      </w:r>
      <w:r>
        <w:rPr/>
        <w:t>号鄂尔多斯国际大厦</w:t>
      </w:r>
      <w:r>
        <w:rPr>
          <w:rFonts w:ascii="Times New Roman" w:eastAsia="Times New Roman"/>
        </w:rPr>
        <w:t>903~906</w:t>
      </w:r>
      <w:r>
        <w:rPr/>
        <w:t>室法定代表人：杨文斌</w:t>
      </w:r>
    </w:p>
    <w:p>
      <w:pPr>
        <w:pStyle w:val="BodyText"/>
        <w:spacing w:line="417" w:lineRule="auto"/>
        <w:ind w:right="6906"/>
        <w:rPr>
          <w:rFonts w:ascii="Times New Roman" w:eastAsia="Times New Roman"/>
        </w:rPr>
      </w:pPr>
      <w:r>
        <w:rPr/>
        <w:t>电话：</w:t>
      </w:r>
      <w:r>
        <w:rPr>
          <w:rFonts w:ascii="Times New Roman" w:eastAsia="Times New Roman"/>
        </w:rPr>
        <w:t>021-20613635 </w:t>
      </w:r>
      <w:r>
        <w:rPr/>
        <w:t>传真：</w:t>
      </w:r>
      <w:r>
        <w:rPr>
          <w:rFonts w:ascii="Times New Roman" w:eastAsia="Times New Roman"/>
        </w:rPr>
        <w:t>021-68596916</w:t>
      </w:r>
    </w:p>
    <w:p>
      <w:pPr>
        <w:pStyle w:val="BodyText"/>
        <w:spacing w:line="269" w:lineRule="exact"/>
      </w:pPr>
      <w:r>
        <w:rPr/>
        <w:t>联系人：周天雪</w:t>
      </w:r>
    </w:p>
    <w:p>
      <w:pPr>
        <w:pStyle w:val="BodyText"/>
        <w:spacing w:before="7"/>
        <w:ind w:left="0"/>
        <w:rPr>
          <w:sz w:val="15"/>
        </w:rPr>
      </w:pPr>
    </w:p>
    <w:p>
      <w:pPr>
        <w:pStyle w:val="BodyText"/>
        <w:rPr>
          <w:rFonts w:ascii="Times New Roman" w:eastAsia="Times New Roman"/>
        </w:rPr>
      </w:pPr>
      <w:r>
        <w:rPr/>
        <w:t>网址：</w:t>
      </w:r>
      <w:hyperlink r:id="rId91">
        <w:r>
          <w:rPr>
            <w:rFonts w:ascii="Times New Roman" w:eastAsia="Times New Roman"/>
          </w:rPr>
          <w:t>www.ehowbuy.com</w:t>
        </w:r>
      </w:hyperlink>
    </w:p>
    <w:p>
      <w:pPr>
        <w:pStyle w:val="BodyText"/>
        <w:spacing w:before="3"/>
        <w:ind w:left="0"/>
        <w:rPr>
          <w:rFonts w:ascii="Times New Roman"/>
          <w:sz w:val="17"/>
        </w:rPr>
      </w:pPr>
    </w:p>
    <w:p>
      <w:pPr>
        <w:pStyle w:val="BodyText"/>
        <w:spacing w:before="1"/>
        <w:rPr>
          <w:rFonts w:ascii="Times New Roman" w:eastAsia="Times New Roman"/>
        </w:rPr>
      </w:pPr>
      <w:r>
        <w:rPr/>
        <w:t>客户服务电话：</w:t>
      </w:r>
      <w:r>
        <w:rPr>
          <w:rFonts w:ascii="Times New Roman" w:eastAsia="Times New Roman"/>
        </w:rPr>
        <w:t>400-700-9665</w:t>
      </w:r>
    </w:p>
    <w:p>
      <w:pPr>
        <w:pStyle w:val="BodyText"/>
        <w:spacing w:before="3"/>
        <w:ind w:left="0"/>
        <w:rPr>
          <w:rFonts w:ascii="Times New Roman"/>
          <w:sz w:val="17"/>
        </w:rPr>
      </w:pPr>
    </w:p>
    <w:p>
      <w:pPr>
        <w:pStyle w:val="ListParagraph"/>
        <w:numPr>
          <w:ilvl w:val="0"/>
          <w:numId w:val="31"/>
        </w:numPr>
        <w:tabs>
          <w:tab w:pos="1275" w:val="left" w:leader="none"/>
        </w:tabs>
        <w:spacing w:line="240" w:lineRule="auto" w:before="0" w:after="0"/>
        <w:ind w:left="1275" w:right="0" w:hanging="635"/>
        <w:jc w:val="left"/>
        <w:rPr>
          <w:sz w:val="21"/>
        </w:rPr>
      </w:pPr>
      <w:r>
        <w:rPr>
          <w:spacing w:val="-2"/>
          <w:sz w:val="21"/>
        </w:rPr>
        <w:t>蚂蚁</w:t>
      </w:r>
      <w:r>
        <w:rPr>
          <w:sz w:val="21"/>
        </w:rPr>
        <w:t>（</w:t>
      </w:r>
      <w:r>
        <w:rPr>
          <w:spacing w:val="-2"/>
          <w:sz w:val="21"/>
        </w:rPr>
        <w:t>杭州</w:t>
      </w:r>
      <w:r>
        <w:rPr>
          <w:spacing w:val="-3"/>
          <w:sz w:val="21"/>
        </w:rPr>
        <w:t>）基金销售有限公司</w:t>
      </w:r>
    </w:p>
    <w:p>
      <w:pPr>
        <w:pStyle w:val="BodyText"/>
        <w:spacing w:before="7"/>
        <w:ind w:left="0"/>
        <w:rPr>
          <w:sz w:val="15"/>
        </w:rPr>
      </w:pPr>
    </w:p>
    <w:p>
      <w:pPr>
        <w:pStyle w:val="BodyText"/>
        <w:spacing w:line="417" w:lineRule="auto"/>
        <w:ind w:right="2880"/>
        <w:jc w:val="both"/>
      </w:pPr>
      <w:r>
        <w:rPr/>
        <w:t>住所：浙江省杭州市余杭区五常街道文一西路</w:t>
      </w:r>
      <w:r>
        <w:rPr>
          <w:rFonts w:ascii="Times New Roman" w:eastAsia="Times New Roman"/>
        </w:rPr>
        <w:t>969</w:t>
      </w:r>
      <w:r>
        <w:rPr/>
        <w:t>号</w:t>
      </w:r>
      <w:r>
        <w:rPr>
          <w:rFonts w:ascii="Times New Roman" w:eastAsia="Times New Roman"/>
        </w:rPr>
        <w:t>3</w:t>
      </w:r>
      <w:r>
        <w:rPr/>
        <w:t>幢</w:t>
      </w:r>
      <w:r>
        <w:rPr>
          <w:rFonts w:ascii="Times New Roman" w:eastAsia="Times New Roman"/>
        </w:rPr>
        <w:t>5</w:t>
      </w:r>
      <w:r>
        <w:rPr/>
        <w:t>层</w:t>
      </w:r>
      <w:r>
        <w:rPr>
          <w:rFonts w:ascii="Times New Roman" w:eastAsia="Times New Roman"/>
        </w:rPr>
        <w:t>599</w:t>
      </w:r>
      <w:r>
        <w:rPr/>
        <w:t>室办公地址：浙江省杭州市西湖区万塘路</w:t>
      </w:r>
      <w:r>
        <w:rPr>
          <w:rFonts w:ascii="Times New Roman" w:eastAsia="Times New Roman"/>
        </w:rPr>
        <w:t>18</w:t>
      </w:r>
      <w:r>
        <w:rPr/>
        <w:t>号黄龙时代广场</w:t>
      </w:r>
      <w:r>
        <w:rPr>
          <w:rFonts w:ascii="Times New Roman" w:eastAsia="Times New Roman"/>
        </w:rPr>
        <w:t>B</w:t>
      </w:r>
      <w:r>
        <w:rPr/>
        <w:t>座</w:t>
      </w:r>
      <w:r>
        <w:rPr>
          <w:rFonts w:ascii="Times New Roman" w:eastAsia="Times New Roman"/>
        </w:rPr>
        <w:t>6F </w:t>
      </w:r>
      <w:r>
        <w:rPr/>
        <w:t>法定代表人：祖国明</w:t>
      </w:r>
    </w:p>
    <w:p>
      <w:pPr>
        <w:spacing w:after="0" w:line="417" w:lineRule="auto"/>
        <w:jc w:val="both"/>
        <w:sectPr>
          <w:pgSz w:w="11910" w:h="16840"/>
          <w:pgMar w:header="705" w:footer="683" w:top="1420" w:bottom="880" w:left="1580" w:right="920"/>
        </w:sectPr>
      </w:pPr>
    </w:p>
    <w:p>
      <w:pPr>
        <w:pStyle w:val="BodyText"/>
        <w:spacing w:before="110"/>
        <w:rPr>
          <w:rFonts w:ascii="Times New Roman" w:eastAsia="Times New Roman"/>
        </w:rPr>
      </w:pPr>
      <w:r>
        <w:rPr/>
        <w:t>电话：</w:t>
      </w:r>
      <w:r>
        <w:rPr>
          <w:rFonts w:ascii="Times New Roman" w:eastAsia="Times New Roman"/>
        </w:rPr>
        <w:t>18205712248</w:t>
      </w:r>
    </w:p>
    <w:p>
      <w:pPr>
        <w:pStyle w:val="BodyText"/>
        <w:spacing w:before="3"/>
        <w:ind w:left="0"/>
        <w:rPr>
          <w:rFonts w:ascii="Times New Roman"/>
          <w:sz w:val="17"/>
        </w:rPr>
      </w:pPr>
    </w:p>
    <w:p>
      <w:pPr>
        <w:pStyle w:val="BodyText"/>
      </w:pPr>
      <w:r>
        <w:rPr/>
        <w:t>联系人：韩爱斌</w:t>
      </w:r>
    </w:p>
    <w:p>
      <w:pPr>
        <w:pStyle w:val="BodyText"/>
        <w:spacing w:before="7"/>
        <w:ind w:left="0"/>
        <w:rPr>
          <w:sz w:val="15"/>
        </w:rPr>
      </w:pPr>
    </w:p>
    <w:p>
      <w:pPr>
        <w:pStyle w:val="BodyText"/>
        <w:rPr>
          <w:rFonts w:ascii="Times New Roman" w:eastAsia="Times New Roman"/>
        </w:rPr>
      </w:pPr>
      <w:r>
        <w:rPr/>
        <w:t>网址：</w:t>
      </w:r>
      <w:hyperlink r:id="rId92">
        <w:r>
          <w:rPr>
            <w:rFonts w:ascii="Times New Roman" w:eastAsia="Times New Roman"/>
          </w:rPr>
          <w:t>www.fund123.cn</w:t>
        </w:r>
      </w:hyperlink>
    </w:p>
    <w:p>
      <w:pPr>
        <w:pStyle w:val="BodyText"/>
        <w:spacing w:before="3"/>
        <w:ind w:left="0"/>
        <w:rPr>
          <w:rFonts w:ascii="Times New Roman"/>
          <w:sz w:val="17"/>
        </w:rPr>
      </w:pPr>
    </w:p>
    <w:p>
      <w:pPr>
        <w:pStyle w:val="BodyText"/>
        <w:rPr>
          <w:rFonts w:ascii="Times New Roman" w:eastAsia="Times New Roman"/>
        </w:rPr>
      </w:pPr>
      <w:r>
        <w:rPr/>
        <w:t>客户服务电话：</w:t>
      </w:r>
      <w:r>
        <w:rPr>
          <w:rFonts w:ascii="Times New Roman" w:eastAsia="Times New Roman"/>
        </w:rPr>
        <w:t>4000-766-123</w:t>
      </w:r>
    </w:p>
    <w:p>
      <w:pPr>
        <w:pStyle w:val="BodyText"/>
        <w:spacing w:before="4"/>
        <w:ind w:left="0"/>
        <w:rPr>
          <w:rFonts w:ascii="Times New Roman"/>
          <w:sz w:val="17"/>
        </w:rPr>
      </w:pPr>
    </w:p>
    <w:p>
      <w:pPr>
        <w:pStyle w:val="ListParagraph"/>
        <w:numPr>
          <w:ilvl w:val="0"/>
          <w:numId w:val="31"/>
        </w:numPr>
        <w:tabs>
          <w:tab w:pos="1275" w:val="left" w:leader="none"/>
        </w:tabs>
        <w:spacing w:line="240" w:lineRule="auto" w:before="0" w:after="0"/>
        <w:ind w:left="1275" w:right="0" w:hanging="635"/>
        <w:jc w:val="left"/>
        <w:rPr>
          <w:sz w:val="21"/>
        </w:rPr>
      </w:pPr>
      <w:r>
        <w:rPr>
          <w:spacing w:val="-3"/>
          <w:sz w:val="21"/>
        </w:rPr>
        <w:t>上海长量基金销售有限公司</w:t>
      </w:r>
    </w:p>
    <w:p>
      <w:pPr>
        <w:pStyle w:val="BodyText"/>
        <w:spacing w:before="6"/>
        <w:ind w:left="0"/>
        <w:rPr>
          <w:sz w:val="15"/>
        </w:rPr>
      </w:pPr>
    </w:p>
    <w:p>
      <w:pPr>
        <w:pStyle w:val="BodyText"/>
        <w:spacing w:before="1"/>
      </w:pPr>
      <w:r>
        <w:rPr/>
        <w:t>住所：上海市浦东新区高翔路</w:t>
      </w:r>
      <w:r>
        <w:rPr>
          <w:rFonts w:ascii="Times New Roman" w:eastAsia="Times New Roman"/>
        </w:rPr>
        <w:t>526</w:t>
      </w:r>
      <w:r>
        <w:rPr/>
        <w:t>号</w:t>
      </w:r>
      <w:r>
        <w:rPr>
          <w:rFonts w:ascii="Times New Roman" w:eastAsia="Times New Roman"/>
        </w:rPr>
        <w:t>2</w:t>
      </w:r>
      <w:r>
        <w:rPr/>
        <w:t>幢</w:t>
      </w:r>
      <w:r>
        <w:rPr>
          <w:rFonts w:ascii="Times New Roman" w:eastAsia="Times New Roman"/>
        </w:rPr>
        <w:t>220</w:t>
      </w:r>
      <w:r>
        <w:rPr/>
        <w:t>室</w:t>
      </w:r>
    </w:p>
    <w:p>
      <w:pPr>
        <w:pStyle w:val="BodyText"/>
        <w:spacing w:before="6"/>
        <w:ind w:left="0"/>
        <w:rPr>
          <w:sz w:val="15"/>
        </w:rPr>
      </w:pPr>
    </w:p>
    <w:p>
      <w:pPr>
        <w:pStyle w:val="BodyText"/>
        <w:spacing w:line="417" w:lineRule="auto"/>
        <w:ind w:right="3264"/>
      </w:pPr>
      <w:r>
        <w:rPr/>
        <w:t>办公地址：上海市浦东新区浦东大道</w:t>
      </w:r>
      <w:r>
        <w:rPr>
          <w:rFonts w:ascii="Times New Roman" w:eastAsia="Times New Roman"/>
        </w:rPr>
        <w:t>555</w:t>
      </w:r>
      <w:r>
        <w:rPr/>
        <w:t>号裕景国际</w:t>
      </w:r>
      <w:r>
        <w:rPr>
          <w:rFonts w:ascii="Times New Roman" w:eastAsia="Times New Roman"/>
        </w:rPr>
        <w:t>B</w:t>
      </w:r>
      <w:r>
        <w:rPr/>
        <w:t>座</w:t>
      </w:r>
      <w:r>
        <w:rPr>
          <w:rFonts w:ascii="Times New Roman" w:eastAsia="Times New Roman"/>
        </w:rPr>
        <w:t>16</w:t>
      </w:r>
      <w:r>
        <w:rPr/>
        <w:t>层法定代表人：张跃伟</w:t>
      </w:r>
    </w:p>
    <w:p>
      <w:pPr>
        <w:pStyle w:val="BodyText"/>
        <w:spacing w:line="417" w:lineRule="auto" w:before="1"/>
        <w:ind w:right="6906"/>
        <w:rPr>
          <w:rFonts w:ascii="Times New Roman" w:eastAsia="Times New Roman"/>
        </w:rPr>
      </w:pPr>
      <w:r>
        <w:rPr/>
        <w:t>电话：</w:t>
      </w:r>
      <w:r>
        <w:rPr>
          <w:rFonts w:ascii="Times New Roman" w:eastAsia="Times New Roman"/>
        </w:rPr>
        <w:t>021-20691832 </w:t>
      </w:r>
      <w:r>
        <w:rPr/>
        <w:t>传真：</w:t>
      </w:r>
      <w:r>
        <w:rPr>
          <w:rFonts w:ascii="Times New Roman" w:eastAsia="Times New Roman"/>
        </w:rPr>
        <w:t>021-20691861</w:t>
      </w:r>
    </w:p>
    <w:p>
      <w:pPr>
        <w:pStyle w:val="BodyText"/>
        <w:spacing w:line="269" w:lineRule="exact"/>
      </w:pPr>
      <w:r>
        <w:rPr/>
        <w:t>联系人：黄辉</w:t>
      </w:r>
    </w:p>
    <w:p>
      <w:pPr>
        <w:pStyle w:val="BodyText"/>
        <w:spacing w:before="6"/>
        <w:ind w:left="0"/>
        <w:rPr>
          <w:sz w:val="15"/>
        </w:rPr>
      </w:pPr>
    </w:p>
    <w:p>
      <w:pPr>
        <w:pStyle w:val="BodyText"/>
        <w:rPr>
          <w:rFonts w:ascii="Times New Roman" w:eastAsia="Times New Roman"/>
        </w:rPr>
      </w:pPr>
      <w:r>
        <w:rPr/>
        <w:t>网址：</w:t>
      </w:r>
      <w:hyperlink r:id="rId93">
        <w:r>
          <w:rPr>
            <w:rFonts w:ascii="Times New Roman" w:eastAsia="Times New Roman"/>
          </w:rPr>
          <w:t>www.erichfund.com</w:t>
        </w:r>
      </w:hyperlink>
    </w:p>
    <w:p>
      <w:pPr>
        <w:pStyle w:val="BodyText"/>
        <w:spacing w:before="4"/>
        <w:ind w:left="0"/>
        <w:rPr>
          <w:rFonts w:ascii="Times New Roman"/>
          <w:sz w:val="17"/>
        </w:rPr>
      </w:pPr>
    </w:p>
    <w:p>
      <w:pPr>
        <w:pStyle w:val="BodyText"/>
        <w:rPr>
          <w:rFonts w:ascii="Times New Roman" w:eastAsia="Times New Roman"/>
        </w:rPr>
      </w:pPr>
      <w:r>
        <w:rPr/>
        <w:t>客户服务电话：</w:t>
      </w:r>
      <w:r>
        <w:rPr>
          <w:rFonts w:ascii="Times New Roman" w:eastAsia="Times New Roman"/>
        </w:rPr>
        <w:t>400-820-2899</w:t>
      </w:r>
    </w:p>
    <w:p>
      <w:pPr>
        <w:pStyle w:val="BodyText"/>
        <w:spacing w:before="3"/>
        <w:ind w:left="0"/>
        <w:rPr>
          <w:rFonts w:ascii="Times New Roman"/>
          <w:sz w:val="17"/>
        </w:rPr>
      </w:pPr>
    </w:p>
    <w:p>
      <w:pPr>
        <w:pStyle w:val="ListParagraph"/>
        <w:numPr>
          <w:ilvl w:val="0"/>
          <w:numId w:val="31"/>
        </w:numPr>
        <w:tabs>
          <w:tab w:pos="1275" w:val="left" w:leader="none"/>
        </w:tabs>
        <w:spacing w:line="240" w:lineRule="auto" w:before="0" w:after="0"/>
        <w:ind w:left="1275" w:right="0" w:hanging="635"/>
        <w:jc w:val="left"/>
        <w:rPr>
          <w:sz w:val="21"/>
        </w:rPr>
      </w:pPr>
      <w:r>
        <w:rPr>
          <w:spacing w:val="-3"/>
          <w:sz w:val="21"/>
        </w:rPr>
        <w:t>浙江同花顺基金销售有限公司</w:t>
      </w:r>
    </w:p>
    <w:p>
      <w:pPr>
        <w:pStyle w:val="BodyText"/>
        <w:spacing w:before="7"/>
        <w:ind w:left="0"/>
        <w:rPr>
          <w:sz w:val="15"/>
        </w:rPr>
      </w:pPr>
    </w:p>
    <w:p>
      <w:pPr>
        <w:pStyle w:val="BodyText"/>
      </w:pPr>
      <w:r>
        <w:rPr/>
        <w:t>住所：浙江省杭州市文二西路一号元茂大厦</w:t>
      </w:r>
      <w:r>
        <w:rPr>
          <w:rFonts w:ascii="Times New Roman" w:eastAsia="Times New Roman"/>
        </w:rPr>
        <w:t>903</w:t>
      </w:r>
      <w:r>
        <w:rPr/>
        <w:t>室</w:t>
      </w:r>
    </w:p>
    <w:p>
      <w:pPr>
        <w:pStyle w:val="BodyText"/>
        <w:spacing w:before="7"/>
        <w:ind w:left="0"/>
        <w:rPr>
          <w:sz w:val="15"/>
        </w:rPr>
      </w:pPr>
    </w:p>
    <w:p>
      <w:pPr>
        <w:pStyle w:val="BodyText"/>
        <w:spacing w:line="417" w:lineRule="auto"/>
        <w:ind w:right="2563"/>
      </w:pPr>
      <w:r>
        <w:rPr/>
        <w:t>办公地址：浙江省杭州市余杭区五常街道同顺街</w:t>
      </w:r>
      <w:r>
        <w:rPr>
          <w:rFonts w:ascii="Times New Roman" w:eastAsia="Times New Roman"/>
        </w:rPr>
        <w:t>18</w:t>
      </w:r>
      <w:r>
        <w:rPr/>
        <w:t>号同花顺大楼</w:t>
      </w:r>
      <w:r>
        <w:rPr>
          <w:rFonts w:ascii="Times New Roman" w:eastAsia="Times New Roman"/>
        </w:rPr>
        <w:t>4</w:t>
      </w:r>
      <w:r>
        <w:rPr/>
        <w:t>层法定代表人：凌顺平</w:t>
      </w:r>
    </w:p>
    <w:p>
      <w:pPr>
        <w:pStyle w:val="BodyText"/>
        <w:spacing w:line="417" w:lineRule="auto"/>
        <w:ind w:right="6320"/>
        <w:rPr>
          <w:rFonts w:ascii="Times New Roman" w:eastAsia="Times New Roman"/>
        </w:rPr>
      </w:pPr>
      <w:r>
        <w:rPr/>
        <w:t>电话：</w:t>
      </w:r>
      <w:r>
        <w:rPr>
          <w:rFonts w:ascii="Times New Roman" w:eastAsia="Times New Roman"/>
        </w:rPr>
        <w:t>0571-88911818-8653 </w:t>
      </w:r>
      <w:r>
        <w:rPr/>
        <w:t>传真：</w:t>
      </w:r>
      <w:r>
        <w:rPr>
          <w:rFonts w:ascii="Times New Roman" w:eastAsia="Times New Roman"/>
        </w:rPr>
        <w:t>0571-86800423</w:t>
      </w:r>
    </w:p>
    <w:p>
      <w:pPr>
        <w:pStyle w:val="BodyText"/>
        <w:spacing w:line="269" w:lineRule="exact"/>
      </w:pPr>
      <w:r>
        <w:rPr/>
        <w:t>联系人：吴强</w:t>
      </w:r>
    </w:p>
    <w:p>
      <w:pPr>
        <w:pStyle w:val="BodyText"/>
        <w:spacing w:before="6"/>
        <w:ind w:left="0"/>
        <w:rPr>
          <w:sz w:val="15"/>
        </w:rPr>
      </w:pPr>
    </w:p>
    <w:p>
      <w:pPr>
        <w:pStyle w:val="BodyText"/>
        <w:spacing w:before="1"/>
        <w:rPr>
          <w:rFonts w:ascii="Times New Roman" w:eastAsia="Times New Roman"/>
        </w:rPr>
      </w:pPr>
      <w:r>
        <w:rPr/>
        <w:t>网址：</w:t>
      </w:r>
      <w:hyperlink r:id="rId94">
        <w:r>
          <w:rPr>
            <w:rFonts w:ascii="Times New Roman" w:eastAsia="Times New Roman"/>
          </w:rPr>
          <w:t>www.5ifund.com</w:t>
        </w:r>
      </w:hyperlink>
    </w:p>
    <w:p>
      <w:pPr>
        <w:pStyle w:val="BodyText"/>
        <w:spacing w:before="3"/>
        <w:ind w:left="0"/>
        <w:rPr>
          <w:rFonts w:ascii="Times New Roman"/>
          <w:sz w:val="17"/>
        </w:rPr>
      </w:pPr>
    </w:p>
    <w:p>
      <w:pPr>
        <w:pStyle w:val="BodyText"/>
        <w:spacing w:before="1"/>
        <w:rPr>
          <w:rFonts w:ascii="Times New Roman" w:eastAsia="Times New Roman"/>
        </w:rPr>
      </w:pPr>
      <w:r>
        <w:rPr/>
        <w:t>客户服务电话：</w:t>
      </w:r>
      <w:r>
        <w:rPr>
          <w:rFonts w:ascii="Times New Roman" w:eastAsia="Times New Roman"/>
        </w:rPr>
        <w:t>400-877-3772</w:t>
      </w:r>
    </w:p>
    <w:p>
      <w:pPr>
        <w:pStyle w:val="BodyText"/>
        <w:spacing w:before="3"/>
        <w:ind w:left="0"/>
        <w:rPr>
          <w:rFonts w:ascii="Times New Roman"/>
          <w:sz w:val="17"/>
        </w:rPr>
      </w:pPr>
    </w:p>
    <w:p>
      <w:pPr>
        <w:pStyle w:val="ListParagraph"/>
        <w:numPr>
          <w:ilvl w:val="0"/>
          <w:numId w:val="31"/>
        </w:numPr>
        <w:tabs>
          <w:tab w:pos="1275" w:val="left" w:leader="none"/>
        </w:tabs>
        <w:spacing w:line="240" w:lineRule="auto" w:before="0" w:after="0"/>
        <w:ind w:left="1275" w:right="0" w:hanging="635"/>
        <w:jc w:val="left"/>
        <w:rPr>
          <w:sz w:val="21"/>
        </w:rPr>
      </w:pPr>
      <w:r>
        <w:rPr>
          <w:spacing w:val="-3"/>
          <w:sz w:val="21"/>
        </w:rPr>
        <w:t>北京展恒基金销售有限公司</w:t>
      </w:r>
    </w:p>
    <w:p>
      <w:pPr>
        <w:pStyle w:val="BodyText"/>
        <w:spacing w:before="7"/>
        <w:ind w:left="0"/>
        <w:rPr>
          <w:sz w:val="15"/>
        </w:rPr>
      </w:pPr>
    </w:p>
    <w:p>
      <w:pPr>
        <w:pStyle w:val="BodyText"/>
      </w:pPr>
      <w:r>
        <w:rPr/>
        <w:t>住所：北京市顺义区后沙峪镇安富街</w:t>
      </w:r>
      <w:r>
        <w:rPr>
          <w:rFonts w:ascii="Times New Roman" w:eastAsia="Times New Roman"/>
        </w:rPr>
        <w:t>6</w:t>
      </w:r>
      <w:r>
        <w:rPr/>
        <w:t>号</w:t>
      </w:r>
    </w:p>
    <w:p>
      <w:pPr>
        <w:pStyle w:val="BodyText"/>
        <w:spacing w:before="6"/>
        <w:ind w:left="0"/>
        <w:rPr>
          <w:sz w:val="15"/>
        </w:rPr>
      </w:pPr>
    </w:p>
    <w:p>
      <w:pPr>
        <w:pStyle w:val="BodyText"/>
        <w:spacing w:line="417" w:lineRule="auto" w:before="1"/>
        <w:ind w:right="4138"/>
      </w:pPr>
      <w:r>
        <w:rPr>
          <w:spacing w:val="-3"/>
        </w:rPr>
        <w:t>办公地址：北京市朝阳区华严北里</w:t>
      </w:r>
      <w:r>
        <w:rPr>
          <w:rFonts w:ascii="Times New Roman" w:eastAsia="Times New Roman"/>
          <w:spacing w:val="-3"/>
        </w:rPr>
        <w:t>2</w:t>
      </w:r>
      <w:r>
        <w:rPr>
          <w:spacing w:val="-3"/>
        </w:rPr>
        <w:t>号民建大厦</w:t>
      </w:r>
      <w:r>
        <w:rPr>
          <w:rFonts w:ascii="Times New Roman" w:eastAsia="Times New Roman"/>
        </w:rPr>
        <w:t>6</w:t>
      </w:r>
      <w:r>
        <w:rPr>
          <w:spacing w:val="-11"/>
        </w:rPr>
        <w:t>层</w:t>
      </w:r>
      <w:r>
        <w:rPr>
          <w:spacing w:val="-3"/>
        </w:rPr>
        <w:t>法定代表人：闫振杰</w:t>
      </w:r>
    </w:p>
    <w:p>
      <w:pPr>
        <w:pStyle w:val="BodyText"/>
        <w:spacing w:line="417" w:lineRule="auto"/>
        <w:ind w:right="6416"/>
        <w:rPr>
          <w:rFonts w:ascii="Times New Roman" w:eastAsia="Times New Roman"/>
        </w:rPr>
      </w:pPr>
      <w:r>
        <w:rPr>
          <w:spacing w:val="-1"/>
        </w:rPr>
        <w:t>电话：</w:t>
      </w:r>
      <w:r>
        <w:rPr>
          <w:rFonts w:ascii="Times New Roman" w:eastAsia="Times New Roman"/>
          <w:spacing w:val="-1"/>
        </w:rPr>
        <w:t>010-62020088-6006 </w:t>
      </w:r>
      <w:r>
        <w:rPr/>
        <w:t>传真：</w:t>
      </w:r>
      <w:r>
        <w:rPr>
          <w:rFonts w:ascii="Times New Roman" w:eastAsia="Times New Roman"/>
        </w:rPr>
        <w:t>010-62020355</w:t>
      </w:r>
    </w:p>
    <w:p>
      <w:pPr>
        <w:pStyle w:val="BodyText"/>
      </w:pPr>
      <w:r>
        <w:rPr/>
        <w:t>联系人：翟飞飞</w:t>
      </w:r>
    </w:p>
    <w:p>
      <w:pPr>
        <w:pStyle w:val="BodyText"/>
        <w:spacing w:before="6"/>
        <w:ind w:left="0"/>
        <w:rPr>
          <w:sz w:val="15"/>
        </w:rPr>
      </w:pPr>
    </w:p>
    <w:p>
      <w:pPr>
        <w:pStyle w:val="BodyText"/>
        <w:rPr>
          <w:rFonts w:ascii="Times New Roman" w:eastAsia="Times New Roman"/>
        </w:rPr>
      </w:pPr>
      <w:r>
        <w:rPr/>
        <w:t>网址：</w:t>
      </w:r>
      <w:hyperlink r:id="rId95">
        <w:r>
          <w:rPr>
            <w:rFonts w:ascii="Times New Roman" w:eastAsia="Times New Roman"/>
          </w:rPr>
          <w:t>www.myfund.com</w:t>
        </w:r>
      </w:hyperlink>
    </w:p>
    <w:p>
      <w:pPr>
        <w:spacing w:after="0"/>
        <w:rPr>
          <w:rFonts w:ascii="Times New Roman" w:eastAsia="Times New Roman"/>
        </w:rPr>
        <w:sectPr>
          <w:pgSz w:w="11910" w:h="16840"/>
          <w:pgMar w:header="705" w:footer="683" w:top="1420" w:bottom="880" w:left="1580" w:right="920"/>
        </w:sectPr>
      </w:pPr>
    </w:p>
    <w:p>
      <w:pPr>
        <w:pStyle w:val="BodyText"/>
        <w:spacing w:before="110"/>
        <w:rPr>
          <w:rFonts w:ascii="Times New Roman" w:eastAsia="Times New Roman"/>
        </w:rPr>
      </w:pPr>
      <w:r>
        <w:rPr/>
        <w:t>客户服务电话：</w:t>
      </w:r>
      <w:r>
        <w:rPr>
          <w:rFonts w:ascii="Times New Roman" w:eastAsia="Times New Roman"/>
        </w:rPr>
        <w:t>400-888-6661</w:t>
      </w:r>
    </w:p>
    <w:p>
      <w:pPr>
        <w:pStyle w:val="BodyText"/>
        <w:spacing w:before="3"/>
        <w:ind w:left="0"/>
        <w:rPr>
          <w:rFonts w:ascii="Times New Roman"/>
          <w:sz w:val="17"/>
        </w:rPr>
      </w:pPr>
    </w:p>
    <w:p>
      <w:pPr>
        <w:pStyle w:val="ListParagraph"/>
        <w:numPr>
          <w:ilvl w:val="0"/>
          <w:numId w:val="31"/>
        </w:numPr>
        <w:tabs>
          <w:tab w:pos="1275" w:val="left" w:leader="none"/>
        </w:tabs>
        <w:spacing w:line="240" w:lineRule="auto" w:before="0" w:after="0"/>
        <w:ind w:left="1275" w:right="0" w:hanging="635"/>
        <w:jc w:val="left"/>
        <w:rPr>
          <w:sz w:val="21"/>
        </w:rPr>
      </w:pPr>
      <w:r>
        <w:rPr>
          <w:spacing w:val="-3"/>
          <w:sz w:val="21"/>
        </w:rPr>
        <w:t>上海利得基金销售有限公司</w:t>
      </w:r>
    </w:p>
    <w:p>
      <w:pPr>
        <w:pStyle w:val="BodyText"/>
        <w:spacing w:before="7"/>
        <w:ind w:left="0"/>
        <w:rPr>
          <w:sz w:val="15"/>
        </w:rPr>
      </w:pPr>
    </w:p>
    <w:p>
      <w:pPr>
        <w:pStyle w:val="BodyText"/>
      </w:pPr>
      <w:r>
        <w:rPr/>
        <w:t>住所：上海市宝山区蕴川路</w:t>
      </w:r>
      <w:r>
        <w:rPr>
          <w:rFonts w:ascii="Times New Roman" w:eastAsia="Times New Roman"/>
        </w:rPr>
        <w:t>5475</w:t>
      </w:r>
      <w:r>
        <w:rPr/>
        <w:t>号</w:t>
      </w:r>
      <w:r>
        <w:rPr>
          <w:rFonts w:ascii="Times New Roman" w:eastAsia="Times New Roman"/>
        </w:rPr>
        <w:t>1033</w:t>
      </w:r>
      <w:r>
        <w:rPr/>
        <w:t>室</w:t>
      </w:r>
    </w:p>
    <w:p>
      <w:pPr>
        <w:pStyle w:val="BodyText"/>
        <w:spacing w:before="6"/>
        <w:ind w:left="0"/>
        <w:rPr>
          <w:sz w:val="15"/>
        </w:rPr>
      </w:pPr>
    </w:p>
    <w:p>
      <w:pPr>
        <w:pStyle w:val="BodyText"/>
        <w:spacing w:line="417" w:lineRule="auto" w:before="1"/>
        <w:ind w:right="4558"/>
      </w:pPr>
      <w:r>
        <w:rPr/>
        <w:t>办公地址：上海市虹口区东大名路</w:t>
      </w:r>
      <w:r>
        <w:rPr>
          <w:rFonts w:ascii="Times New Roman" w:eastAsia="Times New Roman"/>
        </w:rPr>
        <w:t>1098</w:t>
      </w:r>
      <w:r>
        <w:rPr/>
        <w:t>号</w:t>
      </w:r>
      <w:r>
        <w:rPr>
          <w:rFonts w:ascii="Times New Roman" w:eastAsia="Times New Roman"/>
        </w:rPr>
        <w:t>53</w:t>
      </w:r>
      <w:r>
        <w:rPr/>
        <w:t>楼法定代表人：沈继伟</w:t>
      </w:r>
    </w:p>
    <w:p>
      <w:pPr>
        <w:pStyle w:val="BodyText"/>
        <w:spacing w:line="417" w:lineRule="auto"/>
        <w:ind w:right="6906"/>
        <w:rPr>
          <w:rFonts w:ascii="Times New Roman" w:eastAsia="Times New Roman"/>
        </w:rPr>
      </w:pPr>
      <w:r>
        <w:rPr/>
        <w:t>电话：</w:t>
      </w:r>
      <w:r>
        <w:rPr>
          <w:rFonts w:ascii="Times New Roman" w:eastAsia="Times New Roman"/>
        </w:rPr>
        <w:t>021-50583533 </w:t>
      </w:r>
      <w:r>
        <w:rPr/>
        <w:t>传真：</w:t>
      </w:r>
      <w:r>
        <w:rPr>
          <w:rFonts w:ascii="Times New Roman" w:eastAsia="Times New Roman"/>
        </w:rPr>
        <w:t>021-61101630</w:t>
      </w:r>
    </w:p>
    <w:p>
      <w:pPr>
        <w:pStyle w:val="BodyText"/>
      </w:pPr>
      <w:r>
        <w:rPr/>
        <w:t>联系人：曹怡晨</w:t>
      </w:r>
    </w:p>
    <w:p>
      <w:pPr>
        <w:pStyle w:val="BodyText"/>
        <w:spacing w:before="6"/>
        <w:ind w:left="0"/>
        <w:rPr>
          <w:sz w:val="15"/>
        </w:rPr>
      </w:pPr>
    </w:p>
    <w:p>
      <w:pPr>
        <w:pStyle w:val="BodyText"/>
        <w:spacing w:line="417" w:lineRule="auto"/>
        <w:ind w:right="5637"/>
        <w:rPr>
          <w:rFonts w:ascii="Times New Roman" w:eastAsia="Times New Roman"/>
        </w:rPr>
      </w:pPr>
      <w:r>
        <w:rPr/>
        <w:t>网址：</w:t>
      </w:r>
      <w:hyperlink r:id="rId96">
        <w:r>
          <w:rPr>
            <w:rFonts w:ascii="Times New Roman" w:eastAsia="Times New Roman"/>
          </w:rPr>
          <w:t>http://www.leadfund.com.cn/ </w:t>
        </w:r>
      </w:hyperlink>
      <w:r>
        <w:rPr/>
        <w:t>客户服务电话：</w:t>
      </w:r>
      <w:r>
        <w:rPr>
          <w:rFonts w:ascii="Times New Roman" w:eastAsia="Times New Roman"/>
        </w:rPr>
        <w:t>95733</w:t>
      </w:r>
    </w:p>
    <w:p>
      <w:pPr>
        <w:pStyle w:val="ListParagraph"/>
        <w:numPr>
          <w:ilvl w:val="0"/>
          <w:numId w:val="31"/>
        </w:numPr>
        <w:tabs>
          <w:tab w:pos="1275" w:val="left" w:leader="none"/>
        </w:tabs>
        <w:spacing w:line="269" w:lineRule="exact" w:before="0" w:after="0"/>
        <w:ind w:left="1275" w:right="0" w:hanging="635"/>
        <w:jc w:val="left"/>
        <w:rPr>
          <w:sz w:val="21"/>
        </w:rPr>
      </w:pPr>
      <w:r>
        <w:rPr>
          <w:spacing w:val="-3"/>
          <w:sz w:val="21"/>
        </w:rPr>
        <w:t>浙江金观诚基金销售有限公司</w:t>
      </w:r>
    </w:p>
    <w:p>
      <w:pPr>
        <w:pStyle w:val="BodyText"/>
        <w:spacing w:before="7"/>
        <w:ind w:left="0"/>
        <w:rPr>
          <w:sz w:val="15"/>
        </w:rPr>
      </w:pPr>
    </w:p>
    <w:p>
      <w:pPr>
        <w:pStyle w:val="BodyText"/>
        <w:spacing w:line="417" w:lineRule="auto"/>
        <w:ind w:right="3087"/>
      </w:pPr>
      <w:r>
        <w:rPr/>
        <w:t>住所：杭州市拱墅区登云路</w:t>
      </w:r>
      <w:r>
        <w:rPr>
          <w:rFonts w:ascii="Times New Roman" w:eastAsia="Times New Roman"/>
        </w:rPr>
        <w:t>45</w:t>
      </w:r>
      <w:r>
        <w:rPr/>
        <w:t>号（锦昌大厦）</w:t>
      </w:r>
      <w:r>
        <w:rPr>
          <w:rFonts w:ascii="Times New Roman" w:eastAsia="Times New Roman"/>
        </w:rPr>
        <w:t>1</w:t>
      </w:r>
      <w:r>
        <w:rPr/>
        <w:t>幢</w:t>
      </w:r>
      <w:r>
        <w:rPr>
          <w:rFonts w:ascii="Times New Roman" w:eastAsia="Times New Roman"/>
        </w:rPr>
        <w:t>10</w:t>
      </w:r>
      <w:r>
        <w:rPr/>
        <w:t>楼</w:t>
      </w:r>
      <w:r>
        <w:rPr>
          <w:rFonts w:ascii="Times New Roman" w:eastAsia="Times New Roman"/>
        </w:rPr>
        <w:t>1001</w:t>
      </w:r>
      <w:r>
        <w:rPr/>
        <w:t>室办公地址：杭州市拱墅区登云路</w:t>
      </w:r>
      <w:r>
        <w:rPr>
          <w:rFonts w:ascii="Times New Roman" w:eastAsia="Times New Roman"/>
        </w:rPr>
        <w:t>45</w:t>
      </w:r>
      <w:r>
        <w:rPr/>
        <w:t>号锦昌大厦一楼金观诚财富法定代表人：徐黎云</w:t>
      </w:r>
    </w:p>
    <w:p>
      <w:pPr>
        <w:pStyle w:val="BodyText"/>
        <w:spacing w:line="417" w:lineRule="auto"/>
        <w:ind w:right="6800"/>
        <w:rPr>
          <w:rFonts w:ascii="Times New Roman" w:eastAsia="Times New Roman"/>
        </w:rPr>
      </w:pPr>
      <w:r>
        <w:rPr/>
        <w:t>电话：</w:t>
      </w:r>
      <w:r>
        <w:rPr>
          <w:rFonts w:ascii="Times New Roman" w:eastAsia="Times New Roman"/>
        </w:rPr>
        <w:t>0571-88337717 </w:t>
      </w:r>
      <w:r>
        <w:rPr/>
        <w:t>传真：</w:t>
      </w:r>
      <w:r>
        <w:rPr>
          <w:rFonts w:ascii="Times New Roman" w:eastAsia="Times New Roman"/>
        </w:rPr>
        <w:t>0571-88337666</w:t>
      </w:r>
    </w:p>
    <w:p>
      <w:pPr>
        <w:pStyle w:val="BodyText"/>
        <w:spacing w:line="269" w:lineRule="exact"/>
      </w:pPr>
      <w:r>
        <w:rPr/>
        <w:t>联系人：孙成岩</w:t>
      </w:r>
    </w:p>
    <w:p>
      <w:pPr>
        <w:pStyle w:val="BodyText"/>
        <w:spacing w:before="7"/>
        <w:ind w:left="0"/>
        <w:rPr>
          <w:sz w:val="15"/>
        </w:rPr>
      </w:pPr>
    </w:p>
    <w:p>
      <w:pPr>
        <w:pStyle w:val="BodyText"/>
        <w:spacing w:line="417" w:lineRule="auto"/>
        <w:ind w:right="6002"/>
        <w:rPr>
          <w:rFonts w:ascii="Times New Roman" w:eastAsia="Times New Roman"/>
        </w:rPr>
      </w:pPr>
      <w:r>
        <w:rPr/>
        <w:t>网址：</w:t>
      </w:r>
      <w:hyperlink r:id="rId97">
        <w:r>
          <w:rPr>
            <w:rFonts w:ascii="Times New Roman" w:eastAsia="Times New Roman"/>
          </w:rPr>
          <w:t>www.jincheng-fund.com </w:t>
        </w:r>
      </w:hyperlink>
      <w:r>
        <w:rPr/>
        <w:t>客户服务电话：</w:t>
      </w:r>
      <w:r>
        <w:rPr>
          <w:rFonts w:ascii="Times New Roman" w:eastAsia="Times New Roman"/>
        </w:rPr>
        <w:t>400-068-0058</w:t>
      </w:r>
    </w:p>
    <w:p>
      <w:pPr>
        <w:pStyle w:val="ListParagraph"/>
        <w:numPr>
          <w:ilvl w:val="0"/>
          <w:numId w:val="31"/>
        </w:numPr>
        <w:tabs>
          <w:tab w:pos="1275" w:val="left" w:leader="none"/>
        </w:tabs>
        <w:spacing w:line="269" w:lineRule="exact" w:before="0" w:after="0"/>
        <w:ind w:left="1275" w:right="0" w:hanging="635"/>
        <w:jc w:val="left"/>
        <w:rPr>
          <w:sz w:val="21"/>
        </w:rPr>
      </w:pPr>
      <w:r>
        <w:rPr>
          <w:spacing w:val="-3"/>
          <w:sz w:val="21"/>
        </w:rPr>
        <w:t>嘉实财富管理有限公司</w:t>
      </w:r>
    </w:p>
    <w:p>
      <w:pPr>
        <w:pStyle w:val="BodyText"/>
        <w:spacing w:before="6"/>
        <w:ind w:left="0"/>
        <w:rPr>
          <w:sz w:val="15"/>
        </w:rPr>
      </w:pPr>
    </w:p>
    <w:p>
      <w:pPr>
        <w:pStyle w:val="BodyText"/>
        <w:spacing w:line="417" w:lineRule="auto"/>
        <w:ind w:right="1653"/>
      </w:pPr>
      <w:r>
        <w:rPr/>
        <w:t>住所：上海市浦东新区世纪大道</w:t>
      </w:r>
      <w:r>
        <w:rPr>
          <w:rFonts w:ascii="Times New Roman" w:eastAsia="Times New Roman"/>
        </w:rPr>
        <w:t>8</w:t>
      </w:r>
      <w:r>
        <w:rPr/>
        <w:t>号上海国金中心办公楼二期</w:t>
      </w:r>
      <w:r>
        <w:rPr>
          <w:rFonts w:ascii="Times New Roman" w:eastAsia="Times New Roman"/>
        </w:rPr>
        <w:t>53</w:t>
      </w:r>
      <w:r>
        <w:rPr/>
        <w:t>层</w:t>
      </w:r>
      <w:r>
        <w:rPr>
          <w:rFonts w:ascii="Times New Roman" w:eastAsia="Times New Roman"/>
        </w:rPr>
        <w:t>5312-15</w:t>
      </w:r>
      <w:r>
        <w:rPr/>
        <w:t>单元办公地址：北京市朝阳区建国路</w:t>
      </w:r>
      <w:r>
        <w:rPr>
          <w:rFonts w:ascii="Times New Roman" w:eastAsia="Times New Roman"/>
        </w:rPr>
        <w:t>91</w:t>
      </w:r>
      <w:r>
        <w:rPr/>
        <w:t>号金地中心</w:t>
      </w:r>
      <w:r>
        <w:rPr>
          <w:rFonts w:ascii="Times New Roman" w:eastAsia="Times New Roman"/>
        </w:rPr>
        <w:t>A</w:t>
      </w:r>
      <w:r>
        <w:rPr/>
        <w:t>座</w:t>
      </w:r>
      <w:r>
        <w:rPr>
          <w:rFonts w:ascii="Times New Roman" w:eastAsia="Times New Roman"/>
        </w:rPr>
        <w:t>6</w:t>
      </w:r>
      <w:r>
        <w:rPr/>
        <w:t>层</w:t>
      </w:r>
    </w:p>
    <w:p>
      <w:pPr>
        <w:pStyle w:val="BodyText"/>
        <w:spacing w:line="417" w:lineRule="auto" w:before="1"/>
        <w:ind w:right="6870"/>
        <w:jc w:val="both"/>
        <w:rPr>
          <w:rFonts w:ascii="Times New Roman" w:eastAsia="Times New Roman"/>
        </w:rPr>
      </w:pPr>
      <w:r>
        <w:rPr/>
        <w:t>法定代表人：赵学军电话：</w:t>
      </w:r>
      <w:r>
        <w:rPr>
          <w:rFonts w:ascii="Times New Roman" w:eastAsia="Times New Roman"/>
        </w:rPr>
        <w:t>010-85097570 </w:t>
      </w:r>
      <w:r>
        <w:rPr/>
        <w:t>传真：</w:t>
      </w:r>
      <w:r>
        <w:rPr>
          <w:rFonts w:ascii="Times New Roman" w:eastAsia="Times New Roman"/>
        </w:rPr>
        <w:t>010-85097308</w:t>
      </w:r>
    </w:p>
    <w:p>
      <w:pPr>
        <w:pStyle w:val="BodyText"/>
        <w:spacing w:line="269" w:lineRule="exact"/>
      </w:pPr>
      <w:r>
        <w:rPr/>
        <w:t>联系人：余永键</w:t>
      </w:r>
    </w:p>
    <w:p>
      <w:pPr>
        <w:pStyle w:val="BodyText"/>
        <w:spacing w:before="6"/>
        <w:ind w:left="0"/>
        <w:rPr>
          <w:sz w:val="15"/>
        </w:rPr>
      </w:pPr>
    </w:p>
    <w:p>
      <w:pPr>
        <w:pStyle w:val="BodyText"/>
        <w:rPr>
          <w:rFonts w:ascii="Times New Roman" w:eastAsia="Times New Roman"/>
        </w:rPr>
      </w:pPr>
      <w:r>
        <w:rPr/>
        <w:t>网址：</w:t>
      </w:r>
      <w:hyperlink r:id="rId98">
        <w:r>
          <w:rPr>
            <w:rFonts w:ascii="Times New Roman" w:eastAsia="Times New Roman"/>
          </w:rPr>
          <w:t>www.harvestwm.cn</w:t>
        </w:r>
      </w:hyperlink>
    </w:p>
    <w:p>
      <w:pPr>
        <w:pStyle w:val="BodyText"/>
        <w:spacing w:before="4"/>
        <w:ind w:left="0"/>
        <w:rPr>
          <w:rFonts w:ascii="Times New Roman"/>
          <w:sz w:val="17"/>
        </w:rPr>
      </w:pPr>
    </w:p>
    <w:p>
      <w:pPr>
        <w:pStyle w:val="BodyText"/>
        <w:rPr>
          <w:rFonts w:ascii="Times New Roman" w:eastAsia="Times New Roman"/>
        </w:rPr>
      </w:pPr>
      <w:r>
        <w:rPr/>
        <w:t>客户服务电话：</w:t>
      </w:r>
      <w:r>
        <w:rPr>
          <w:rFonts w:ascii="Times New Roman" w:eastAsia="Times New Roman"/>
        </w:rPr>
        <w:t>400-021-8850</w:t>
      </w:r>
    </w:p>
    <w:p>
      <w:pPr>
        <w:pStyle w:val="BodyText"/>
        <w:spacing w:before="4"/>
        <w:ind w:left="0"/>
        <w:rPr>
          <w:rFonts w:ascii="Times New Roman"/>
          <w:sz w:val="17"/>
        </w:rPr>
      </w:pPr>
    </w:p>
    <w:p>
      <w:pPr>
        <w:pStyle w:val="ListParagraph"/>
        <w:numPr>
          <w:ilvl w:val="0"/>
          <w:numId w:val="31"/>
        </w:numPr>
        <w:tabs>
          <w:tab w:pos="1275" w:val="left" w:leader="none"/>
        </w:tabs>
        <w:spacing w:line="240" w:lineRule="auto" w:before="0" w:after="0"/>
        <w:ind w:left="1275" w:right="0" w:hanging="635"/>
        <w:jc w:val="left"/>
        <w:rPr>
          <w:sz w:val="21"/>
        </w:rPr>
      </w:pPr>
      <w:r>
        <w:rPr>
          <w:spacing w:val="-3"/>
          <w:sz w:val="21"/>
        </w:rPr>
        <w:t>乾道盈泰基金销售</w:t>
      </w:r>
      <w:r>
        <w:rPr>
          <w:sz w:val="21"/>
        </w:rPr>
        <w:t>（</w:t>
      </w:r>
      <w:r>
        <w:rPr>
          <w:spacing w:val="-2"/>
          <w:sz w:val="21"/>
        </w:rPr>
        <w:t>北京</w:t>
      </w:r>
      <w:r>
        <w:rPr>
          <w:sz w:val="21"/>
        </w:rPr>
        <w:t>）</w:t>
      </w:r>
      <w:r>
        <w:rPr>
          <w:spacing w:val="-3"/>
          <w:sz w:val="21"/>
        </w:rPr>
        <w:t>有限公司</w:t>
      </w:r>
    </w:p>
    <w:p>
      <w:pPr>
        <w:pStyle w:val="BodyText"/>
        <w:spacing w:before="6"/>
        <w:ind w:left="0"/>
        <w:rPr>
          <w:sz w:val="15"/>
        </w:rPr>
      </w:pPr>
    </w:p>
    <w:p>
      <w:pPr>
        <w:pStyle w:val="BodyText"/>
        <w:spacing w:before="1"/>
      </w:pPr>
      <w:r>
        <w:rPr/>
        <w:t>住所：北京市海淀区东北旺村南</w:t>
      </w:r>
      <w:r>
        <w:rPr>
          <w:rFonts w:ascii="Times New Roman" w:eastAsia="Times New Roman"/>
        </w:rPr>
        <w:t>1</w:t>
      </w:r>
      <w:r>
        <w:rPr/>
        <w:t>号楼</w:t>
      </w:r>
      <w:r>
        <w:rPr>
          <w:rFonts w:ascii="Times New Roman" w:eastAsia="Times New Roman"/>
        </w:rPr>
        <w:t>7</w:t>
      </w:r>
      <w:r>
        <w:rPr/>
        <w:t>层</w:t>
      </w:r>
      <w:r>
        <w:rPr>
          <w:rFonts w:ascii="Times New Roman" w:eastAsia="Times New Roman"/>
        </w:rPr>
        <w:t>7117</w:t>
      </w:r>
      <w:r>
        <w:rPr/>
        <w:t>室</w:t>
      </w:r>
    </w:p>
    <w:p>
      <w:pPr>
        <w:spacing w:after="0"/>
        <w:sectPr>
          <w:pgSz w:w="11910" w:h="16840"/>
          <w:pgMar w:header="705" w:footer="683" w:top="1420" w:bottom="880" w:left="1580" w:right="920"/>
        </w:sectPr>
      </w:pPr>
    </w:p>
    <w:p>
      <w:pPr>
        <w:pStyle w:val="BodyText"/>
        <w:spacing w:line="417" w:lineRule="auto" w:before="110"/>
        <w:ind w:right="3720"/>
      </w:pPr>
      <w:r>
        <w:rPr/>
        <w:t>办公地址：北京市西城区德外大街合生财富广场</w:t>
      </w:r>
      <w:r>
        <w:rPr>
          <w:rFonts w:ascii="Times New Roman" w:eastAsia="Times New Roman"/>
        </w:rPr>
        <w:t>1302</w:t>
      </w:r>
      <w:r>
        <w:rPr/>
        <w:t>室法定代表人：王兴吉</w:t>
      </w:r>
    </w:p>
    <w:p>
      <w:pPr>
        <w:pStyle w:val="BodyText"/>
        <w:spacing w:line="417" w:lineRule="auto"/>
        <w:ind w:right="6906"/>
        <w:rPr>
          <w:rFonts w:ascii="Times New Roman" w:eastAsia="Times New Roman"/>
        </w:rPr>
      </w:pPr>
      <w:r>
        <w:rPr/>
        <w:t>电话：</w:t>
      </w:r>
      <w:r>
        <w:rPr>
          <w:rFonts w:ascii="Times New Roman" w:eastAsia="Times New Roman"/>
        </w:rPr>
        <w:t>010-62062880 </w:t>
      </w:r>
      <w:r>
        <w:rPr/>
        <w:t>传真：</w:t>
      </w:r>
      <w:r>
        <w:rPr>
          <w:rFonts w:ascii="Times New Roman" w:eastAsia="Times New Roman"/>
        </w:rPr>
        <w:t>010-82057741</w:t>
      </w:r>
    </w:p>
    <w:p>
      <w:pPr>
        <w:pStyle w:val="BodyText"/>
        <w:spacing w:line="269" w:lineRule="exact"/>
      </w:pPr>
      <w:r>
        <w:rPr/>
        <w:t>联系人：高雪超</w:t>
      </w:r>
    </w:p>
    <w:p>
      <w:pPr>
        <w:pStyle w:val="BodyText"/>
        <w:spacing w:before="6"/>
        <w:ind w:left="0"/>
        <w:rPr>
          <w:sz w:val="15"/>
        </w:rPr>
      </w:pPr>
    </w:p>
    <w:p>
      <w:pPr>
        <w:pStyle w:val="BodyText"/>
        <w:spacing w:line="417" w:lineRule="auto"/>
        <w:ind w:right="6189"/>
        <w:rPr>
          <w:rFonts w:ascii="Times New Roman" w:eastAsia="Times New Roman"/>
        </w:rPr>
      </w:pPr>
      <w:r>
        <w:rPr/>
        <w:t>网 址 ：</w:t>
      </w:r>
      <w:hyperlink r:id="rId99">
        <w:r>
          <w:rPr>
            <w:rFonts w:ascii="Times New Roman" w:eastAsia="Times New Roman"/>
          </w:rPr>
          <w:t>www.qiandaojr.com</w:t>
        </w:r>
      </w:hyperlink>
      <w:r>
        <w:rPr>
          <w:rFonts w:ascii="Times New Roman" w:eastAsia="Times New Roman"/>
        </w:rPr>
        <w:t> </w:t>
      </w:r>
      <w:r>
        <w:rPr/>
        <w:t>客户服务电话：</w:t>
      </w:r>
      <w:r>
        <w:rPr>
          <w:rFonts w:ascii="Times New Roman" w:eastAsia="Times New Roman"/>
        </w:rPr>
        <w:t>4000888080</w:t>
      </w:r>
    </w:p>
    <w:p>
      <w:pPr>
        <w:pStyle w:val="ListParagraph"/>
        <w:numPr>
          <w:ilvl w:val="0"/>
          <w:numId w:val="31"/>
        </w:numPr>
        <w:tabs>
          <w:tab w:pos="1275" w:val="left" w:leader="none"/>
        </w:tabs>
        <w:spacing w:line="240" w:lineRule="auto" w:before="0" w:after="0"/>
        <w:ind w:left="1275" w:right="0" w:hanging="635"/>
        <w:jc w:val="left"/>
        <w:rPr>
          <w:sz w:val="21"/>
        </w:rPr>
      </w:pPr>
      <w:r>
        <w:rPr>
          <w:spacing w:val="-3"/>
          <w:sz w:val="21"/>
        </w:rPr>
        <w:t>北京创金启富基金销售有限公司</w:t>
      </w:r>
    </w:p>
    <w:p>
      <w:pPr>
        <w:pStyle w:val="BodyText"/>
        <w:spacing w:before="7"/>
        <w:ind w:left="0"/>
        <w:rPr>
          <w:sz w:val="15"/>
        </w:rPr>
      </w:pPr>
    </w:p>
    <w:p>
      <w:pPr>
        <w:pStyle w:val="BodyText"/>
      </w:pPr>
      <w:r>
        <w:rPr/>
        <w:t>住所：北京市西城区白纸坊东街</w:t>
      </w:r>
      <w:r>
        <w:rPr>
          <w:rFonts w:ascii="Times New Roman" w:eastAsia="Times New Roman"/>
        </w:rPr>
        <w:t>2</w:t>
      </w:r>
      <w:r>
        <w:rPr/>
        <w:t>号院</w:t>
      </w:r>
      <w:r>
        <w:rPr>
          <w:rFonts w:ascii="Times New Roman" w:eastAsia="Times New Roman"/>
        </w:rPr>
        <w:t>6</w:t>
      </w:r>
      <w:r>
        <w:rPr/>
        <w:t>号楼</w:t>
      </w:r>
      <w:r>
        <w:rPr>
          <w:rFonts w:ascii="Times New Roman" w:eastAsia="Times New Roman"/>
        </w:rPr>
        <w:t>712</w:t>
      </w:r>
      <w:r>
        <w:rPr/>
        <w:t>室</w:t>
      </w:r>
    </w:p>
    <w:p>
      <w:pPr>
        <w:pStyle w:val="BodyText"/>
        <w:spacing w:before="7"/>
        <w:ind w:left="0"/>
        <w:rPr>
          <w:sz w:val="15"/>
        </w:rPr>
      </w:pPr>
    </w:p>
    <w:p>
      <w:pPr>
        <w:pStyle w:val="BodyText"/>
        <w:spacing w:line="417" w:lineRule="auto"/>
        <w:ind w:right="3826"/>
      </w:pPr>
      <w:r>
        <w:rPr/>
        <w:t>办公地址：北京市西城区白纸坊东街</w:t>
      </w:r>
      <w:r>
        <w:rPr>
          <w:rFonts w:ascii="Times New Roman" w:eastAsia="Times New Roman"/>
        </w:rPr>
        <w:t>2</w:t>
      </w:r>
      <w:r>
        <w:rPr/>
        <w:t>号院</w:t>
      </w:r>
      <w:r>
        <w:rPr>
          <w:rFonts w:ascii="Times New Roman" w:eastAsia="Times New Roman"/>
        </w:rPr>
        <w:t>6</w:t>
      </w:r>
      <w:r>
        <w:rPr/>
        <w:t>号楼</w:t>
      </w:r>
      <w:r>
        <w:rPr>
          <w:rFonts w:ascii="Times New Roman" w:eastAsia="Times New Roman"/>
        </w:rPr>
        <w:t>712</w:t>
      </w:r>
      <w:r>
        <w:rPr/>
        <w:t>室法定代表人：梁蓉</w:t>
      </w:r>
    </w:p>
    <w:p>
      <w:pPr>
        <w:pStyle w:val="BodyText"/>
        <w:spacing w:line="417" w:lineRule="auto"/>
        <w:ind w:right="6521"/>
        <w:rPr>
          <w:rFonts w:ascii="Times New Roman" w:eastAsia="Times New Roman"/>
        </w:rPr>
      </w:pPr>
      <w:r>
        <w:rPr/>
        <w:t>电话：</w:t>
      </w:r>
      <w:r>
        <w:rPr>
          <w:rFonts w:ascii="Times New Roman" w:eastAsia="Times New Roman"/>
        </w:rPr>
        <w:t>010-66154828-809 </w:t>
      </w:r>
      <w:r>
        <w:rPr/>
        <w:t>传真：</w:t>
      </w:r>
      <w:r>
        <w:rPr>
          <w:rFonts w:ascii="Times New Roman" w:eastAsia="Times New Roman"/>
        </w:rPr>
        <w:t>010-88067526</w:t>
      </w:r>
    </w:p>
    <w:p>
      <w:pPr>
        <w:pStyle w:val="BodyText"/>
        <w:spacing w:line="269" w:lineRule="exact"/>
      </w:pPr>
      <w:r>
        <w:rPr/>
        <w:t>联系人：马浩</w:t>
      </w:r>
    </w:p>
    <w:p>
      <w:pPr>
        <w:pStyle w:val="BodyText"/>
        <w:spacing w:before="6"/>
        <w:ind w:left="0"/>
        <w:rPr>
          <w:sz w:val="15"/>
        </w:rPr>
      </w:pPr>
    </w:p>
    <w:p>
      <w:pPr>
        <w:pStyle w:val="BodyText"/>
        <w:spacing w:before="1"/>
        <w:rPr>
          <w:rFonts w:ascii="Times New Roman" w:eastAsia="Times New Roman"/>
        </w:rPr>
      </w:pPr>
      <w:r>
        <w:rPr/>
        <w:t>网址：</w:t>
      </w:r>
      <w:hyperlink r:id="rId100">
        <w:r>
          <w:rPr>
            <w:rFonts w:ascii="Times New Roman" w:eastAsia="Times New Roman"/>
          </w:rPr>
          <w:t>www.5irich.com</w:t>
        </w:r>
      </w:hyperlink>
    </w:p>
    <w:p>
      <w:pPr>
        <w:pStyle w:val="BodyText"/>
        <w:spacing w:before="3"/>
        <w:ind w:left="0"/>
        <w:rPr>
          <w:rFonts w:ascii="Times New Roman"/>
          <w:sz w:val="17"/>
        </w:rPr>
      </w:pPr>
    </w:p>
    <w:p>
      <w:pPr>
        <w:pStyle w:val="BodyText"/>
        <w:rPr>
          <w:rFonts w:ascii="Times New Roman" w:eastAsia="Times New Roman"/>
        </w:rPr>
      </w:pPr>
      <w:r>
        <w:rPr/>
        <w:t>客户服务电话：</w:t>
      </w:r>
      <w:r>
        <w:rPr>
          <w:rFonts w:ascii="Times New Roman" w:eastAsia="Times New Roman"/>
        </w:rPr>
        <w:t>400-6262-818</w:t>
      </w:r>
    </w:p>
    <w:p>
      <w:pPr>
        <w:pStyle w:val="BodyText"/>
        <w:spacing w:before="3"/>
        <w:ind w:left="0"/>
        <w:rPr>
          <w:rFonts w:ascii="Times New Roman"/>
          <w:sz w:val="17"/>
        </w:rPr>
      </w:pPr>
    </w:p>
    <w:p>
      <w:pPr>
        <w:pStyle w:val="ListParagraph"/>
        <w:numPr>
          <w:ilvl w:val="0"/>
          <w:numId w:val="31"/>
        </w:numPr>
        <w:tabs>
          <w:tab w:pos="1275" w:val="left" w:leader="none"/>
        </w:tabs>
        <w:spacing w:line="240" w:lineRule="auto" w:before="1" w:after="0"/>
        <w:ind w:left="1275" w:right="0" w:hanging="635"/>
        <w:jc w:val="left"/>
        <w:rPr>
          <w:sz w:val="21"/>
        </w:rPr>
      </w:pPr>
      <w:r>
        <w:rPr>
          <w:spacing w:val="-3"/>
          <w:sz w:val="21"/>
        </w:rPr>
        <w:t>泛华普益基金销售有限公司</w:t>
      </w:r>
    </w:p>
    <w:p>
      <w:pPr>
        <w:pStyle w:val="BodyText"/>
        <w:spacing w:before="6"/>
        <w:ind w:left="0"/>
        <w:rPr>
          <w:sz w:val="15"/>
        </w:rPr>
      </w:pPr>
    </w:p>
    <w:p>
      <w:pPr>
        <w:pStyle w:val="BodyText"/>
      </w:pPr>
      <w:r>
        <w:rPr/>
        <w:t>住所：成都市成华区建设路</w:t>
      </w:r>
      <w:r>
        <w:rPr>
          <w:rFonts w:ascii="Times New Roman" w:eastAsia="Times New Roman"/>
        </w:rPr>
        <w:t>9</w:t>
      </w:r>
      <w:r>
        <w:rPr/>
        <w:t>号高地中心</w:t>
      </w:r>
      <w:r>
        <w:rPr>
          <w:rFonts w:ascii="Times New Roman" w:eastAsia="Times New Roman"/>
        </w:rPr>
        <w:t>1101</w:t>
      </w:r>
      <w:r>
        <w:rPr/>
        <w:t>室</w:t>
      </w:r>
    </w:p>
    <w:p>
      <w:pPr>
        <w:pStyle w:val="BodyText"/>
        <w:spacing w:before="7"/>
        <w:ind w:left="0"/>
        <w:rPr>
          <w:sz w:val="15"/>
        </w:rPr>
      </w:pPr>
    </w:p>
    <w:p>
      <w:pPr>
        <w:pStyle w:val="BodyText"/>
        <w:spacing w:line="417" w:lineRule="auto"/>
        <w:ind w:right="1584"/>
      </w:pPr>
      <w:r>
        <w:rPr/>
        <w:t>办公地址：成都市金牛区花照壁西顺街</w:t>
      </w:r>
      <w:r>
        <w:rPr>
          <w:rFonts w:ascii="Times New Roman" w:eastAsia="Times New Roman"/>
        </w:rPr>
        <w:t>399</w:t>
      </w:r>
      <w:r>
        <w:rPr/>
        <w:t>号</w:t>
      </w:r>
      <w:r>
        <w:rPr>
          <w:rFonts w:ascii="Times New Roman" w:eastAsia="Times New Roman"/>
        </w:rPr>
        <w:t>1</w:t>
      </w:r>
      <w:r>
        <w:rPr/>
        <w:t>栋</w:t>
      </w:r>
      <w:r>
        <w:rPr>
          <w:rFonts w:ascii="Times New Roman" w:eastAsia="Times New Roman"/>
        </w:rPr>
        <w:t>1</w:t>
      </w:r>
      <w:r>
        <w:rPr/>
        <w:t>单元龙湖西宸天街</w:t>
      </w:r>
      <w:r>
        <w:rPr>
          <w:rFonts w:ascii="Times New Roman" w:eastAsia="Times New Roman"/>
        </w:rPr>
        <w:t>B</w:t>
      </w:r>
      <w:r>
        <w:rPr/>
        <w:t>座</w:t>
      </w:r>
      <w:r>
        <w:rPr>
          <w:rFonts w:ascii="Times New Roman" w:eastAsia="Times New Roman"/>
        </w:rPr>
        <w:t>1201</w:t>
      </w:r>
      <w:r>
        <w:rPr/>
        <w:t>号法定代表人：于海锋</w:t>
      </w:r>
    </w:p>
    <w:p>
      <w:pPr>
        <w:pStyle w:val="BodyText"/>
        <w:spacing w:line="269" w:lineRule="exact"/>
        <w:rPr>
          <w:rFonts w:ascii="Times New Roman" w:eastAsia="Times New Roman"/>
        </w:rPr>
      </w:pPr>
      <w:r>
        <w:rPr/>
        <w:t>电话：</w:t>
      </w:r>
      <w:r>
        <w:rPr>
          <w:rFonts w:ascii="Times New Roman" w:eastAsia="Times New Roman"/>
        </w:rPr>
        <w:t>13910181936</w:t>
      </w:r>
    </w:p>
    <w:p>
      <w:pPr>
        <w:pStyle w:val="BodyText"/>
        <w:spacing w:before="4"/>
        <w:ind w:left="0"/>
        <w:rPr>
          <w:rFonts w:ascii="Times New Roman"/>
          <w:sz w:val="17"/>
        </w:rPr>
      </w:pPr>
    </w:p>
    <w:p>
      <w:pPr>
        <w:pStyle w:val="BodyText"/>
        <w:rPr>
          <w:rFonts w:ascii="Times New Roman" w:eastAsia="Times New Roman"/>
        </w:rPr>
      </w:pPr>
      <w:r>
        <w:rPr/>
        <w:t>传真：</w:t>
      </w:r>
      <w:r>
        <w:rPr>
          <w:rFonts w:ascii="Times New Roman" w:eastAsia="Times New Roman"/>
        </w:rPr>
        <w:t>-</w:t>
      </w:r>
    </w:p>
    <w:p>
      <w:pPr>
        <w:pStyle w:val="BodyText"/>
        <w:spacing w:before="3"/>
        <w:ind w:left="0"/>
        <w:rPr>
          <w:rFonts w:ascii="Times New Roman"/>
          <w:sz w:val="17"/>
        </w:rPr>
      </w:pPr>
    </w:p>
    <w:p>
      <w:pPr>
        <w:pStyle w:val="BodyText"/>
        <w:spacing w:before="1"/>
      </w:pPr>
      <w:r>
        <w:rPr/>
        <w:t>联系人：隋亚方</w:t>
      </w:r>
    </w:p>
    <w:p>
      <w:pPr>
        <w:pStyle w:val="BodyText"/>
        <w:spacing w:before="6"/>
        <w:ind w:left="0"/>
        <w:rPr>
          <w:sz w:val="15"/>
        </w:rPr>
      </w:pPr>
    </w:p>
    <w:p>
      <w:pPr>
        <w:pStyle w:val="BodyText"/>
        <w:spacing w:line="417" w:lineRule="auto"/>
        <w:ind w:right="5781"/>
        <w:rPr>
          <w:rFonts w:ascii="Times New Roman" w:eastAsia="Times New Roman"/>
        </w:rPr>
      </w:pPr>
      <w:r>
        <w:rPr/>
        <w:t>网址：</w:t>
      </w:r>
      <w:r>
        <w:rPr>
          <w:rFonts w:ascii="Times New Roman" w:eastAsia="Times New Roman"/>
        </w:rPr>
        <w:t>https://</w:t>
      </w:r>
      <w:hyperlink r:id="rId101">
        <w:r>
          <w:rPr>
            <w:rFonts w:ascii="Times New Roman" w:eastAsia="Times New Roman"/>
          </w:rPr>
          <w:t>www.puyifund.com/ </w:t>
        </w:r>
      </w:hyperlink>
      <w:r>
        <w:rPr/>
        <w:t>客户服务电话：</w:t>
      </w:r>
      <w:r>
        <w:rPr>
          <w:rFonts w:ascii="Times New Roman" w:eastAsia="Times New Roman"/>
        </w:rPr>
        <w:t>400-080-3388</w:t>
      </w:r>
    </w:p>
    <w:p>
      <w:pPr>
        <w:pStyle w:val="ListParagraph"/>
        <w:numPr>
          <w:ilvl w:val="0"/>
          <w:numId w:val="31"/>
        </w:numPr>
        <w:tabs>
          <w:tab w:pos="1275" w:val="left" w:leader="none"/>
        </w:tabs>
        <w:spacing w:line="417" w:lineRule="auto" w:before="0" w:after="0"/>
        <w:ind w:left="640" w:right="4455" w:firstLine="0"/>
        <w:jc w:val="left"/>
        <w:rPr>
          <w:rFonts w:ascii="Times New Roman" w:eastAsia="Times New Roman"/>
          <w:sz w:val="21"/>
        </w:rPr>
      </w:pPr>
      <w:r>
        <w:rPr>
          <w:spacing w:val="-3"/>
          <w:sz w:val="21"/>
        </w:rPr>
        <w:t>宜信普泽</w:t>
      </w:r>
      <w:r>
        <w:rPr>
          <w:sz w:val="21"/>
        </w:rPr>
        <w:t>（</w:t>
      </w:r>
      <w:r>
        <w:rPr>
          <w:spacing w:val="-2"/>
          <w:sz w:val="21"/>
        </w:rPr>
        <w:t>北京</w:t>
      </w:r>
      <w:r>
        <w:rPr>
          <w:spacing w:val="-3"/>
          <w:sz w:val="21"/>
        </w:rPr>
        <w:t>）基金销售有限公司  住所：北京市朝阳区建国路</w:t>
      </w:r>
      <w:r>
        <w:rPr>
          <w:rFonts w:ascii="Times New Roman" w:eastAsia="Times New Roman"/>
          <w:sz w:val="21"/>
        </w:rPr>
        <w:t>88</w:t>
      </w:r>
      <w:r>
        <w:rPr>
          <w:spacing w:val="-3"/>
          <w:sz w:val="21"/>
        </w:rPr>
        <w:t>号</w:t>
      </w:r>
      <w:r>
        <w:rPr>
          <w:rFonts w:ascii="Times New Roman" w:eastAsia="Times New Roman"/>
          <w:sz w:val="21"/>
        </w:rPr>
        <w:t>9</w:t>
      </w:r>
      <w:r>
        <w:rPr>
          <w:spacing w:val="-2"/>
          <w:sz w:val="21"/>
        </w:rPr>
        <w:t>号楼</w:t>
      </w:r>
      <w:r>
        <w:rPr>
          <w:rFonts w:ascii="Times New Roman" w:eastAsia="Times New Roman"/>
          <w:sz w:val="21"/>
        </w:rPr>
        <w:t>15</w:t>
      </w:r>
      <w:r>
        <w:rPr>
          <w:sz w:val="21"/>
        </w:rPr>
        <w:t>层</w:t>
      </w:r>
      <w:r>
        <w:rPr>
          <w:rFonts w:ascii="Times New Roman" w:eastAsia="Times New Roman"/>
          <w:spacing w:val="-4"/>
          <w:sz w:val="21"/>
        </w:rPr>
        <w:t>1809</w:t>
      </w:r>
    </w:p>
    <w:p>
      <w:pPr>
        <w:pStyle w:val="BodyText"/>
        <w:spacing w:line="417" w:lineRule="auto"/>
        <w:ind w:right="3005"/>
      </w:pPr>
      <w:r>
        <w:rPr>
          <w:spacing w:val="-3"/>
        </w:rPr>
        <w:t>办公地址：北京市朝阳区建国路</w:t>
      </w:r>
      <w:r>
        <w:rPr>
          <w:rFonts w:ascii="Times New Roman" w:eastAsia="Times New Roman"/>
        </w:rPr>
        <w:t>88</w:t>
      </w:r>
      <w:r>
        <w:rPr>
          <w:spacing w:val="-3"/>
        </w:rPr>
        <w:t>号</w:t>
      </w:r>
      <w:r>
        <w:rPr>
          <w:rFonts w:ascii="Times New Roman" w:eastAsia="Times New Roman"/>
        </w:rPr>
        <w:t>SOHO</w:t>
      </w:r>
      <w:r>
        <w:rPr>
          <w:spacing w:val="-2"/>
        </w:rPr>
        <w:t>现代城</w:t>
      </w:r>
      <w:r>
        <w:rPr>
          <w:rFonts w:ascii="Times New Roman" w:eastAsia="Times New Roman"/>
        </w:rPr>
        <w:t>C</w:t>
      </w:r>
      <w:r>
        <w:rPr/>
        <w:t>座</w:t>
      </w:r>
      <w:r>
        <w:rPr>
          <w:rFonts w:ascii="Times New Roman" w:eastAsia="Times New Roman"/>
        </w:rPr>
        <w:t>18</w:t>
      </w:r>
      <w:r>
        <w:rPr>
          <w:spacing w:val="-3"/>
        </w:rPr>
        <w:t>层</w:t>
      </w:r>
      <w:r>
        <w:rPr>
          <w:rFonts w:ascii="Times New Roman" w:eastAsia="Times New Roman"/>
        </w:rPr>
        <w:t>1809 </w:t>
      </w:r>
      <w:r>
        <w:rPr>
          <w:spacing w:val="-3"/>
        </w:rPr>
        <w:t>法定代表人：沈伟桦</w:t>
      </w:r>
    </w:p>
    <w:p>
      <w:pPr>
        <w:pStyle w:val="BodyText"/>
        <w:rPr>
          <w:rFonts w:ascii="Times New Roman" w:eastAsia="Times New Roman"/>
        </w:rPr>
      </w:pPr>
      <w:r>
        <w:rPr>
          <w:spacing w:val="-1"/>
        </w:rPr>
        <w:t>电话：</w:t>
      </w:r>
      <w:r>
        <w:rPr>
          <w:rFonts w:ascii="Times New Roman" w:eastAsia="Times New Roman"/>
          <w:spacing w:val="-1"/>
        </w:rPr>
        <w:t>010-52855713</w:t>
      </w:r>
    </w:p>
    <w:p>
      <w:pPr>
        <w:spacing w:after="0"/>
        <w:rPr>
          <w:rFonts w:ascii="Times New Roman" w:eastAsia="Times New Roman"/>
        </w:rPr>
        <w:sectPr>
          <w:pgSz w:w="11910" w:h="16840"/>
          <w:pgMar w:header="705" w:footer="683" w:top="1420" w:bottom="880" w:left="1580" w:right="920"/>
        </w:sectPr>
      </w:pPr>
    </w:p>
    <w:p>
      <w:pPr>
        <w:pStyle w:val="BodyText"/>
        <w:spacing w:before="110"/>
        <w:rPr>
          <w:rFonts w:ascii="Times New Roman" w:eastAsia="Times New Roman"/>
        </w:rPr>
      </w:pPr>
      <w:r>
        <w:rPr/>
        <w:t>传真：</w:t>
      </w:r>
      <w:r>
        <w:rPr>
          <w:rFonts w:ascii="Times New Roman" w:eastAsia="Times New Roman"/>
        </w:rPr>
        <w:t>010-85894285</w:t>
      </w:r>
    </w:p>
    <w:p>
      <w:pPr>
        <w:pStyle w:val="BodyText"/>
        <w:spacing w:before="3"/>
        <w:ind w:left="0"/>
        <w:rPr>
          <w:rFonts w:ascii="Times New Roman"/>
          <w:sz w:val="17"/>
        </w:rPr>
      </w:pPr>
    </w:p>
    <w:p>
      <w:pPr>
        <w:pStyle w:val="BodyText"/>
      </w:pPr>
      <w:r>
        <w:rPr/>
        <w:t>联系人：程刚</w:t>
      </w:r>
    </w:p>
    <w:p>
      <w:pPr>
        <w:pStyle w:val="BodyText"/>
        <w:spacing w:before="7"/>
        <w:ind w:left="0"/>
        <w:rPr>
          <w:sz w:val="15"/>
        </w:rPr>
      </w:pPr>
    </w:p>
    <w:p>
      <w:pPr>
        <w:pStyle w:val="BodyText"/>
        <w:rPr>
          <w:rFonts w:ascii="Times New Roman" w:eastAsia="Times New Roman"/>
        </w:rPr>
      </w:pPr>
      <w:r>
        <w:rPr/>
        <w:t>网址：</w:t>
      </w:r>
      <w:hyperlink r:id="rId102">
        <w:r>
          <w:rPr>
            <w:rFonts w:ascii="Times New Roman" w:eastAsia="Times New Roman"/>
          </w:rPr>
          <w:t>www.yixinfund.com</w:t>
        </w:r>
      </w:hyperlink>
    </w:p>
    <w:p>
      <w:pPr>
        <w:pStyle w:val="BodyText"/>
        <w:spacing w:before="3"/>
        <w:ind w:left="0"/>
        <w:rPr>
          <w:rFonts w:ascii="Times New Roman"/>
          <w:sz w:val="17"/>
        </w:rPr>
      </w:pPr>
    </w:p>
    <w:p>
      <w:pPr>
        <w:pStyle w:val="BodyText"/>
        <w:rPr>
          <w:rFonts w:ascii="Times New Roman" w:eastAsia="Times New Roman"/>
        </w:rPr>
      </w:pPr>
      <w:r>
        <w:rPr/>
        <w:t>客户服务电话：</w:t>
      </w:r>
      <w:r>
        <w:rPr>
          <w:rFonts w:ascii="Times New Roman" w:eastAsia="Times New Roman"/>
        </w:rPr>
        <w:t>400-609-9200</w:t>
      </w:r>
    </w:p>
    <w:p>
      <w:pPr>
        <w:pStyle w:val="BodyText"/>
        <w:spacing w:before="4"/>
        <w:ind w:left="0"/>
        <w:rPr>
          <w:rFonts w:ascii="Times New Roman"/>
          <w:sz w:val="17"/>
        </w:rPr>
      </w:pPr>
    </w:p>
    <w:p>
      <w:pPr>
        <w:pStyle w:val="ListParagraph"/>
        <w:numPr>
          <w:ilvl w:val="0"/>
          <w:numId w:val="31"/>
        </w:numPr>
        <w:tabs>
          <w:tab w:pos="1275" w:val="left" w:leader="none"/>
        </w:tabs>
        <w:spacing w:line="417" w:lineRule="auto" w:before="0" w:after="0"/>
        <w:ind w:left="640" w:right="5540" w:firstLine="0"/>
        <w:jc w:val="left"/>
        <w:rPr>
          <w:sz w:val="21"/>
        </w:rPr>
      </w:pPr>
      <w:r>
        <w:rPr>
          <w:spacing w:val="-3"/>
          <w:sz w:val="21"/>
        </w:rPr>
        <w:t>南京苏宁基金销售有限公司住所：南京市玄武区苏宁大道</w:t>
      </w:r>
      <w:r>
        <w:rPr>
          <w:rFonts w:ascii="Times New Roman" w:eastAsia="Times New Roman"/>
          <w:sz w:val="21"/>
        </w:rPr>
        <w:t>1-5</w:t>
      </w:r>
      <w:r>
        <w:rPr>
          <w:spacing w:val="-13"/>
          <w:sz w:val="21"/>
        </w:rPr>
        <w:t>号</w:t>
      </w:r>
    </w:p>
    <w:p>
      <w:pPr>
        <w:pStyle w:val="BodyText"/>
        <w:spacing w:line="417" w:lineRule="auto"/>
        <w:ind w:right="4769"/>
      </w:pPr>
      <w:r>
        <w:rPr/>
        <w:t>办公地址：南京市玄武区苏宁大道苏宁总部法定代表人：刘汉青</w:t>
      </w:r>
    </w:p>
    <w:p>
      <w:pPr>
        <w:pStyle w:val="BodyText"/>
        <w:spacing w:line="417" w:lineRule="auto"/>
        <w:ind w:right="6207"/>
        <w:rPr>
          <w:rFonts w:ascii="Times New Roman" w:eastAsia="Times New Roman"/>
        </w:rPr>
      </w:pPr>
      <w:r>
        <w:rPr/>
        <w:t>电话：</w:t>
      </w:r>
      <w:r>
        <w:rPr>
          <w:rFonts w:ascii="Times New Roman" w:eastAsia="Times New Roman"/>
        </w:rPr>
        <w:t>025-66996699-887226 </w:t>
      </w:r>
      <w:r>
        <w:rPr/>
        <w:t>传真：</w:t>
      </w:r>
      <w:r>
        <w:rPr>
          <w:rFonts w:ascii="Times New Roman" w:eastAsia="Times New Roman"/>
        </w:rPr>
        <w:t>025-66008800-887226</w:t>
      </w:r>
    </w:p>
    <w:p>
      <w:pPr>
        <w:pStyle w:val="BodyText"/>
        <w:spacing w:line="269" w:lineRule="exact"/>
      </w:pPr>
      <w:r>
        <w:rPr/>
        <w:t>联系人：王峰</w:t>
      </w:r>
    </w:p>
    <w:p>
      <w:pPr>
        <w:pStyle w:val="BodyText"/>
        <w:spacing w:before="6"/>
        <w:ind w:left="0"/>
        <w:rPr>
          <w:sz w:val="15"/>
        </w:rPr>
      </w:pPr>
    </w:p>
    <w:p>
      <w:pPr>
        <w:pStyle w:val="BodyText"/>
        <w:spacing w:line="417" w:lineRule="auto"/>
        <w:ind w:right="6655"/>
        <w:rPr>
          <w:rFonts w:ascii="Times New Roman" w:eastAsia="Times New Roman"/>
        </w:rPr>
      </w:pPr>
      <w:r>
        <w:rPr/>
        <w:t>网址：</w:t>
      </w:r>
      <w:hyperlink r:id="rId103">
        <w:r>
          <w:rPr>
            <w:rFonts w:ascii="Times New Roman" w:eastAsia="Times New Roman"/>
          </w:rPr>
          <w:t>www.snjijin.com </w:t>
        </w:r>
      </w:hyperlink>
      <w:r>
        <w:rPr/>
        <w:t>客户服务电话：</w:t>
      </w:r>
      <w:r>
        <w:rPr>
          <w:rFonts w:ascii="Times New Roman" w:eastAsia="Times New Roman"/>
        </w:rPr>
        <w:t>95177</w:t>
      </w:r>
    </w:p>
    <w:p>
      <w:pPr>
        <w:pStyle w:val="ListParagraph"/>
        <w:numPr>
          <w:ilvl w:val="0"/>
          <w:numId w:val="31"/>
        </w:numPr>
        <w:tabs>
          <w:tab w:pos="1275" w:val="left" w:leader="none"/>
        </w:tabs>
        <w:spacing w:line="269" w:lineRule="exact" w:before="0" w:after="0"/>
        <w:ind w:left="1275" w:right="0" w:hanging="635"/>
        <w:jc w:val="left"/>
        <w:rPr>
          <w:sz w:val="21"/>
        </w:rPr>
      </w:pPr>
      <w:r>
        <w:rPr>
          <w:spacing w:val="-3"/>
          <w:sz w:val="21"/>
        </w:rPr>
        <w:t>浦领基金销售有限公司</w:t>
      </w:r>
    </w:p>
    <w:p>
      <w:pPr>
        <w:pStyle w:val="BodyText"/>
        <w:spacing w:before="7"/>
        <w:ind w:left="0"/>
        <w:rPr>
          <w:sz w:val="15"/>
        </w:rPr>
      </w:pPr>
    </w:p>
    <w:p>
      <w:pPr>
        <w:pStyle w:val="BodyText"/>
        <w:spacing w:line="417" w:lineRule="auto" w:before="1"/>
        <w:ind w:right="3615"/>
      </w:pPr>
      <w:r>
        <w:rPr/>
        <w:t>住所：北京市朝阳区望京东园四区</w:t>
      </w:r>
      <w:r>
        <w:rPr>
          <w:rFonts w:ascii="Times New Roman" w:eastAsia="Times New Roman"/>
        </w:rPr>
        <w:t>2</w:t>
      </w:r>
      <w:r>
        <w:rPr/>
        <w:t>号楼</w:t>
      </w:r>
      <w:r>
        <w:rPr>
          <w:rFonts w:ascii="Times New Roman" w:eastAsia="Times New Roman"/>
        </w:rPr>
        <w:t>10</w:t>
      </w:r>
      <w:r>
        <w:rPr/>
        <w:t>层</w:t>
      </w:r>
      <w:r>
        <w:rPr>
          <w:rFonts w:ascii="Times New Roman" w:eastAsia="Times New Roman"/>
        </w:rPr>
        <w:t>1001</w:t>
      </w:r>
      <w:r>
        <w:rPr/>
        <w:t>号</w:t>
      </w:r>
      <w:r>
        <w:rPr>
          <w:rFonts w:ascii="Times New Roman" w:eastAsia="Times New Roman"/>
        </w:rPr>
        <w:t>04</w:t>
      </w:r>
      <w:r>
        <w:rPr/>
        <w:t>室办公地址：北京市朝阳区望京中航资本大厦</w:t>
      </w:r>
      <w:r>
        <w:rPr>
          <w:rFonts w:ascii="Times New Roman" w:eastAsia="Times New Roman"/>
        </w:rPr>
        <w:t>10</w:t>
      </w:r>
      <w:r>
        <w:rPr/>
        <w:t>层</w:t>
      </w:r>
    </w:p>
    <w:p>
      <w:pPr>
        <w:pStyle w:val="BodyText"/>
        <w:spacing w:line="417" w:lineRule="auto"/>
        <w:ind w:right="6870"/>
        <w:jc w:val="both"/>
        <w:rPr>
          <w:rFonts w:ascii="Times New Roman" w:eastAsia="Times New Roman"/>
        </w:rPr>
      </w:pPr>
      <w:r>
        <w:rPr/>
        <w:t>法定代表人：聂婉君电话：</w:t>
      </w:r>
      <w:r>
        <w:rPr>
          <w:rFonts w:ascii="Times New Roman" w:eastAsia="Times New Roman"/>
        </w:rPr>
        <w:t>010-59497361 </w:t>
      </w:r>
      <w:r>
        <w:rPr/>
        <w:t>传真：</w:t>
      </w:r>
      <w:r>
        <w:rPr>
          <w:rFonts w:ascii="Times New Roman" w:eastAsia="Times New Roman"/>
        </w:rPr>
        <w:t>010-64788016</w:t>
      </w:r>
    </w:p>
    <w:p>
      <w:pPr>
        <w:pStyle w:val="BodyText"/>
        <w:spacing w:line="269" w:lineRule="exact"/>
      </w:pPr>
      <w:r>
        <w:rPr/>
        <w:t>联系人：李艳</w:t>
      </w:r>
    </w:p>
    <w:p>
      <w:pPr>
        <w:pStyle w:val="BodyText"/>
        <w:spacing w:before="6"/>
        <w:ind w:left="0"/>
        <w:rPr>
          <w:sz w:val="15"/>
        </w:rPr>
      </w:pPr>
    </w:p>
    <w:p>
      <w:pPr>
        <w:pStyle w:val="BodyText"/>
        <w:rPr>
          <w:rFonts w:ascii="Times New Roman" w:eastAsia="Times New Roman"/>
        </w:rPr>
      </w:pPr>
      <w:r>
        <w:rPr/>
        <w:t>网址：</w:t>
      </w:r>
      <w:hyperlink r:id="rId104">
        <w:r>
          <w:rPr>
            <w:rFonts w:ascii="Times New Roman" w:eastAsia="Times New Roman"/>
          </w:rPr>
          <w:t>www.zscffund.com</w:t>
        </w:r>
      </w:hyperlink>
    </w:p>
    <w:p>
      <w:pPr>
        <w:pStyle w:val="BodyText"/>
        <w:spacing w:before="4"/>
        <w:ind w:left="0"/>
        <w:rPr>
          <w:rFonts w:ascii="Times New Roman"/>
          <w:sz w:val="17"/>
        </w:rPr>
      </w:pPr>
    </w:p>
    <w:p>
      <w:pPr>
        <w:pStyle w:val="BodyText"/>
        <w:rPr>
          <w:rFonts w:ascii="Times New Roman" w:eastAsia="Times New Roman"/>
        </w:rPr>
      </w:pPr>
      <w:r>
        <w:rPr/>
        <w:t>客户服务电话：</w:t>
      </w:r>
      <w:r>
        <w:rPr>
          <w:rFonts w:ascii="Times New Roman" w:eastAsia="Times New Roman"/>
        </w:rPr>
        <w:t>400-012-5899</w:t>
      </w:r>
    </w:p>
    <w:p>
      <w:pPr>
        <w:pStyle w:val="BodyText"/>
        <w:spacing w:before="3"/>
        <w:ind w:left="0"/>
        <w:rPr>
          <w:rFonts w:ascii="Times New Roman"/>
          <w:sz w:val="17"/>
        </w:rPr>
      </w:pPr>
    </w:p>
    <w:p>
      <w:pPr>
        <w:pStyle w:val="ListParagraph"/>
        <w:numPr>
          <w:ilvl w:val="0"/>
          <w:numId w:val="31"/>
        </w:numPr>
        <w:tabs>
          <w:tab w:pos="1275" w:val="left" w:leader="none"/>
        </w:tabs>
        <w:spacing w:line="240" w:lineRule="auto" w:before="1" w:after="0"/>
        <w:ind w:left="1275" w:right="0" w:hanging="635"/>
        <w:jc w:val="left"/>
        <w:rPr>
          <w:sz w:val="21"/>
        </w:rPr>
      </w:pPr>
      <w:r>
        <w:rPr>
          <w:spacing w:val="-3"/>
          <w:sz w:val="21"/>
        </w:rPr>
        <w:t>深圳腾元基金销售有限公司</w:t>
      </w:r>
    </w:p>
    <w:p>
      <w:pPr>
        <w:pStyle w:val="BodyText"/>
        <w:spacing w:before="6"/>
        <w:ind w:left="0"/>
        <w:rPr>
          <w:sz w:val="15"/>
        </w:rPr>
      </w:pPr>
    </w:p>
    <w:p>
      <w:pPr>
        <w:pStyle w:val="BodyText"/>
      </w:pPr>
      <w:r>
        <w:rPr/>
        <w:t>住所：深圳市福田区金田路</w:t>
      </w:r>
      <w:r>
        <w:rPr>
          <w:rFonts w:ascii="Times New Roman" w:eastAsia="Times New Roman"/>
        </w:rPr>
        <w:t>2028</w:t>
      </w:r>
      <w:r>
        <w:rPr/>
        <w:t>号卓越世纪中心</w:t>
      </w:r>
      <w:r>
        <w:rPr>
          <w:rFonts w:ascii="Times New Roman" w:eastAsia="Times New Roman"/>
        </w:rPr>
        <w:t>1</w:t>
      </w:r>
      <w:r>
        <w:rPr/>
        <w:t>号楼</w:t>
      </w:r>
      <w:r>
        <w:rPr>
          <w:rFonts w:ascii="Times New Roman" w:eastAsia="Times New Roman"/>
        </w:rPr>
        <w:t>1806-1808</w:t>
      </w:r>
      <w:r>
        <w:rPr/>
        <w:t>单元</w:t>
      </w:r>
    </w:p>
    <w:p>
      <w:pPr>
        <w:pStyle w:val="BodyText"/>
        <w:spacing w:before="7"/>
        <w:ind w:left="0"/>
        <w:rPr>
          <w:sz w:val="15"/>
        </w:rPr>
      </w:pPr>
    </w:p>
    <w:p>
      <w:pPr>
        <w:pStyle w:val="BodyText"/>
        <w:spacing w:line="417" w:lineRule="auto"/>
        <w:ind w:right="2076"/>
      </w:pPr>
      <w:r>
        <w:rPr/>
        <w:t>办公地址：深圳市福田区金田路</w:t>
      </w:r>
      <w:r>
        <w:rPr>
          <w:rFonts w:ascii="Times New Roman" w:eastAsia="Times New Roman"/>
        </w:rPr>
        <w:t>2028</w:t>
      </w:r>
      <w:r>
        <w:rPr/>
        <w:t>号卓越世纪中心</w:t>
      </w:r>
      <w:r>
        <w:rPr>
          <w:rFonts w:ascii="Times New Roman" w:eastAsia="Times New Roman"/>
        </w:rPr>
        <w:t>1</w:t>
      </w:r>
      <w:r>
        <w:rPr/>
        <w:t>号楼</w:t>
      </w:r>
      <w:r>
        <w:rPr>
          <w:rFonts w:ascii="Times New Roman" w:eastAsia="Times New Roman"/>
        </w:rPr>
        <w:t>1806-1808</w:t>
      </w:r>
      <w:r>
        <w:rPr/>
        <w:t>单元法定代表人：曾革</w:t>
      </w:r>
    </w:p>
    <w:p>
      <w:pPr>
        <w:pStyle w:val="BodyText"/>
        <w:spacing w:line="417" w:lineRule="auto"/>
        <w:ind w:right="6800"/>
        <w:rPr>
          <w:rFonts w:ascii="Times New Roman" w:eastAsia="Times New Roman"/>
        </w:rPr>
      </w:pPr>
      <w:r>
        <w:rPr/>
        <w:t>电话：</w:t>
      </w:r>
      <w:r>
        <w:rPr>
          <w:rFonts w:ascii="Times New Roman" w:eastAsia="Times New Roman"/>
        </w:rPr>
        <w:t>0755-33376853 </w:t>
      </w:r>
      <w:r>
        <w:rPr/>
        <w:t>传真：</w:t>
      </w:r>
      <w:r>
        <w:rPr>
          <w:rFonts w:ascii="Times New Roman" w:eastAsia="Times New Roman"/>
        </w:rPr>
        <w:t>0755-33065516</w:t>
      </w:r>
    </w:p>
    <w:p>
      <w:pPr>
        <w:pStyle w:val="BodyText"/>
      </w:pPr>
      <w:r>
        <w:rPr/>
        <w:t>联系人：鄢萌莎</w:t>
      </w:r>
    </w:p>
    <w:p>
      <w:pPr>
        <w:pStyle w:val="BodyText"/>
        <w:spacing w:before="6"/>
        <w:ind w:left="0"/>
        <w:rPr>
          <w:sz w:val="15"/>
        </w:rPr>
      </w:pPr>
    </w:p>
    <w:p>
      <w:pPr>
        <w:pStyle w:val="BodyText"/>
        <w:spacing w:before="1"/>
        <w:rPr>
          <w:rFonts w:ascii="Times New Roman" w:eastAsia="Times New Roman"/>
        </w:rPr>
      </w:pPr>
      <w:r>
        <w:rPr/>
        <w:t>网址：</w:t>
      </w:r>
      <w:hyperlink r:id="rId105">
        <w:r>
          <w:rPr>
            <w:rFonts w:ascii="Times New Roman" w:eastAsia="Times New Roman"/>
          </w:rPr>
          <w:t>www.tenyuanfund.com</w:t>
        </w:r>
      </w:hyperlink>
    </w:p>
    <w:p>
      <w:pPr>
        <w:spacing w:after="0"/>
        <w:rPr>
          <w:rFonts w:ascii="Times New Roman" w:eastAsia="Times New Roman"/>
        </w:rPr>
        <w:sectPr>
          <w:pgSz w:w="11910" w:h="16840"/>
          <w:pgMar w:header="705" w:footer="683" w:top="1420" w:bottom="880" w:left="1580" w:right="920"/>
        </w:sectPr>
      </w:pPr>
    </w:p>
    <w:p>
      <w:pPr>
        <w:pStyle w:val="BodyText"/>
        <w:spacing w:before="110"/>
        <w:rPr>
          <w:rFonts w:ascii="Times New Roman" w:eastAsia="Times New Roman"/>
        </w:rPr>
      </w:pPr>
      <w:r>
        <w:rPr/>
        <w:t>客户服务电话：</w:t>
      </w:r>
      <w:r>
        <w:rPr>
          <w:rFonts w:ascii="Times New Roman" w:eastAsia="Times New Roman"/>
        </w:rPr>
        <w:t>400-687-7899</w:t>
      </w:r>
    </w:p>
    <w:p>
      <w:pPr>
        <w:pStyle w:val="BodyText"/>
        <w:spacing w:before="3"/>
        <w:ind w:left="0"/>
        <w:rPr>
          <w:rFonts w:ascii="Times New Roman"/>
          <w:sz w:val="17"/>
        </w:rPr>
      </w:pPr>
    </w:p>
    <w:p>
      <w:pPr>
        <w:pStyle w:val="ListParagraph"/>
        <w:numPr>
          <w:ilvl w:val="0"/>
          <w:numId w:val="31"/>
        </w:numPr>
        <w:tabs>
          <w:tab w:pos="1275" w:val="left" w:leader="none"/>
        </w:tabs>
        <w:spacing w:line="417" w:lineRule="auto" w:before="0" w:after="0"/>
        <w:ind w:left="640" w:right="4664" w:firstLine="0"/>
        <w:jc w:val="left"/>
        <w:rPr>
          <w:sz w:val="21"/>
        </w:rPr>
      </w:pPr>
      <w:r>
        <w:rPr>
          <w:spacing w:val="-3"/>
          <w:sz w:val="21"/>
        </w:rPr>
        <w:t>通华财富</w:t>
      </w:r>
      <w:r>
        <w:rPr>
          <w:sz w:val="21"/>
        </w:rPr>
        <w:t>（</w:t>
      </w:r>
      <w:r>
        <w:rPr>
          <w:spacing w:val="-2"/>
          <w:sz w:val="21"/>
        </w:rPr>
        <w:t>上海</w:t>
      </w:r>
      <w:r>
        <w:rPr>
          <w:spacing w:val="-3"/>
          <w:sz w:val="21"/>
        </w:rPr>
        <w:t>）基金销售有限公司住所：上海市虹口区同丰路</w:t>
      </w:r>
      <w:r>
        <w:rPr>
          <w:rFonts w:ascii="Times New Roman" w:eastAsia="Times New Roman"/>
          <w:sz w:val="21"/>
        </w:rPr>
        <w:t>667</w:t>
      </w:r>
      <w:r>
        <w:rPr>
          <w:sz w:val="21"/>
        </w:rPr>
        <w:t>弄</w:t>
      </w:r>
      <w:r>
        <w:rPr>
          <w:rFonts w:ascii="Times New Roman" w:eastAsia="Times New Roman"/>
          <w:sz w:val="21"/>
        </w:rPr>
        <w:t>107</w:t>
      </w:r>
      <w:r>
        <w:rPr>
          <w:sz w:val="21"/>
        </w:rPr>
        <w:t>号</w:t>
      </w:r>
      <w:r>
        <w:rPr>
          <w:rFonts w:ascii="Times New Roman" w:eastAsia="Times New Roman"/>
          <w:sz w:val="21"/>
        </w:rPr>
        <w:t>201</w:t>
      </w:r>
      <w:r>
        <w:rPr>
          <w:spacing w:val="-11"/>
          <w:sz w:val="21"/>
        </w:rPr>
        <w:t>室</w:t>
      </w:r>
    </w:p>
    <w:p>
      <w:pPr>
        <w:pStyle w:val="BodyText"/>
        <w:spacing w:line="417" w:lineRule="auto"/>
        <w:ind w:right="3612"/>
      </w:pPr>
      <w:r>
        <w:rPr/>
        <w:t>办公地址：上海市浦东新区金沪路</w:t>
      </w:r>
      <w:r>
        <w:rPr>
          <w:rFonts w:ascii="Times New Roman" w:eastAsia="Times New Roman"/>
        </w:rPr>
        <w:t>55</w:t>
      </w:r>
      <w:r>
        <w:rPr/>
        <w:t>号通华科技大厦</w:t>
      </w:r>
      <w:r>
        <w:rPr>
          <w:rFonts w:ascii="Times New Roman" w:eastAsia="Times New Roman"/>
        </w:rPr>
        <w:t>2</w:t>
      </w:r>
      <w:r>
        <w:rPr/>
        <w:t>层法定代表人：沈丹义</w:t>
      </w:r>
    </w:p>
    <w:p>
      <w:pPr>
        <w:pStyle w:val="BodyText"/>
        <w:spacing w:line="417" w:lineRule="auto"/>
        <w:ind w:right="6906"/>
        <w:rPr>
          <w:rFonts w:ascii="Times New Roman" w:eastAsia="Times New Roman"/>
        </w:rPr>
      </w:pPr>
      <w:r>
        <w:rPr/>
        <w:t>电话：</w:t>
      </w:r>
      <w:r>
        <w:rPr>
          <w:rFonts w:ascii="Times New Roman" w:eastAsia="Times New Roman"/>
        </w:rPr>
        <w:t>021-60818757 </w:t>
      </w:r>
      <w:r>
        <w:rPr/>
        <w:t>传真：</w:t>
      </w:r>
      <w:r>
        <w:rPr>
          <w:rFonts w:ascii="Times New Roman" w:eastAsia="Times New Roman"/>
        </w:rPr>
        <w:t>021-60810695</w:t>
      </w:r>
    </w:p>
    <w:p>
      <w:pPr>
        <w:pStyle w:val="BodyText"/>
      </w:pPr>
      <w:r>
        <w:rPr/>
        <w:t>联系人：周晶</w:t>
      </w:r>
    </w:p>
    <w:p>
      <w:pPr>
        <w:pStyle w:val="BodyText"/>
        <w:spacing w:before="6"/>
        <w:ind w:left="0"/>
        <w:rPr>
          <w:sz w:val="15"/>
        </w:rPr>
      </w:pPr>
    </w:p>
    <w:p>
      <w:pPr>
        <w:pStyle w:val="BodyText"/>
        <w:spacing w:line="417" w:lineRule="auto"/>
        <w:ind w:right="6101"/>
        <w:rPr>
          <w:rFonts w:ascii="Times New Roman" w:eastAsia="Times New Roman"/>
        </w:rPr>
      </w:pPr>
      <w:r>
        <w:rPr/>
        <w:t>网址：</w:t>
      </w:r>
      <w:hyperlink r:id="rId106">
        <w:r>
          <w:rPr>
            <w:rFonts w:ascii="Times New Roman" w:eastAsia="Times New Roman"/>
          </w:rPr>
          <w:t>www.tonghuafund.com </w:t>
        </w:r>
      </w:hyperlink>
      <w:r>
        <w:rPr/>
        <w:t>客户服务电话：</w:t>
      </w:r>
      <w:r>
        <w:rPr>
          <w:rFonts w:ascii="Times New Roman" w:eastAsia="Times New Roman"/>
        </w:rPr>
        <w:t>400-101-9301</w:t>
      </w:r>
    </w:p>
    <w:p>
      <w:pPr>
        <w:pStyle w:val="ListParagraph"/>
        <w:numPr>
          <w:ilvl w:val="0"/>
          <w:numId w:val="31"/>
        </w:numPr>
        <w:tabs>
          <w:tab w:pos="1275" w:val="left" w:leader="none"/>
        </w:tabs>
        <w:spacing w:line="269" w:lineRule="exact" w:before="0" w:after="0"/>
        <w:ind w:left="1275" w:right="0" w:hanging="635"/>
        <w:jc w:val="left"/>
        <w:rPr>
          <w:sz w:val="21"/>
        </w:rPr>
      </w:pPr>
      <w:r>
        <w:rPr>
          <w:spacing w:val="-3"/>
          <w:sz w:val="21"/>
        </w:rPr>
        <w:t>北京恒天明泽基金销售有限公司</w:t>
      </w:r>
    </w:p>
    <w:p>
      <w:pPr>
        <w:pStyle w:val="BodyText"/>
        <w:spacing w:before="7"/>
        <w:ind w:left="0"/>
        <w:rPr>
          <w:sz w:val="15"/>
        </w:rPr>
      </w:pPr>
    </w:p>
    <w:p>
      <w:pPr>
        <w:pStyle w:val="BodyText"/>
      </w:pPr>
      <w:r>
        <w:rPr/>
        <w:t>住所：北京市经济技术开发区宏达北路</w:t>
      </w:r>
      <w:r>
        <w:rPr>
          <w:rFonts w:ascii="Times New Roman" w:eastAsia="Times New Roman"/>
        </w:rPr>
        <w:t>10</w:t>
      </w:r>
      <w:r>
        <w:rPr/>
        <w:t>号五层</w:t>
      </w:r>
      <w:r>
        <w:rPr>
          <w:rFonts w:ascii="Times New Roman" w:eastAsia="Times New Roman"/>
        </w:rPr>
        <w:t>5122</w:t>
      </w:r>
      <w:r>
        <w:rPr/>
        <w:t>室</w:t>
      </w:r>
    </w:p>
    <w:p>
      <w:pPr>
        <w:pStyle w:val="BodyText"/>
        <w:spacing w:before="7"/>
        <w:ind w:left="0"/>
        <w:rPr>
          <w:sz w:val="15"/>
        </w:rPr>
      </w:pPr>
    </w:p>
    <w:p>
      <w:pPr>
        <w:pStyle w:val="BodyText"/>
        <w:spacing w:line="417" w:lineRule="auto"/>
        <w:ind w:right="3355"/>
      </w:pPr>
      <w:r>
        <w:rPr/>
        <w:t>办公地址：北京市朝阳区东三环中路</w:t>
      </w:r>
      <w:r>
        <w:rPr>
          <w:rFonts w:ascii="Times New Roman" w:eastAsia="Times New Roman"/>
        </w:rPr>
        <w:t>20</w:t>
      </w:r>
      <w:r>
        <w:rPr/>
        <w:t>号乐成中心</w:t>
      </w:r>
      <w:r>
        <w:rPr>
          <w:rFonts w:ascii="Times New Roman" w:eastAsia="Times New Roman"/>
        </w:rPr>
        <w:t>A</w:t>
      </w:r>
      <w:r>
        <w:rPr/>
        <w:t>座</w:t>
      </w:r>
      <w:r>
        <w:rPr>
          <w:rFonts w:ascii="Times New Roman" w:eastAsia="Times New Roman"/>
        </w:rPr>
        <w:t>23</w:t>
      </w:r>
      <w:r>
        <w:rPr/>
        <w:t>层法定代表人：梁越</w:t>
      </w:r>
    </w:p>
    <w:p>
      <w:pPr>
        <w:pStyle w:val="BodyText"/>
        <w:spacing w:line="417" w:lineRule="auto"/>
        <w:ind w:right="6906"/>
        <w:rPr>
          <w:rFonts w:ascii="Times New Roman" w:eastAsia="Times New Roman"/>
        </w:rPr>
      </w:pPr>
      <w:r>
        <w:rPr/>
        <w:t>电话：</w:t>
      </w:r>
      <w:r>
        <w:rPr>
          <w:rFonts w:ascii="Times New Roman" w:eastAsia="Times New Roman"/>
        </w:rPr>
        <w:t>13501068175 </w:t>
      </w:r>
      <w:r>
        <w:rPr/>
        <w:t>传真：</w:t>
      </w:r>
      <w:r>
        <w:rPr>
          <w:rFonts w:ascii="Times New Roman" w:eastAsia="Times New Roman"/>
        </w:rPr>
        <w:t>010-56810630</w:t>
      </w:r>
    </w:p>
    <w:p>
      <w:pPr>
        <w:pStyle w:val="BodyText"/>
        <w:spacing w:line="269" w:lineRule="exact"/>
      </w:pPr>
      <w:r>
        <w:rPr/>
        <w:t>联系人：马鹏程</w:t>
      </w:r>
    </w:p>
    <w:p>
      <w:pPr>
        <w:pStyle w:val="BodyText"/>
        <w:spacing w:before="7"/>
        <w:ind w:left="0"/>
        <w:rPr>
          <w:sz w:val="15"/>
        </w:rPr>
      </w:pPr>
    </w:p>
    <w:p>
      <w:pPr>
        <w:pStyle w:val="BodyText"/>
        <w:rPr>
          <w:rFonts w:ascii="Times New Roman" w:eastAsia="Times New Roman"/>
        </w:rPr>
      </w:pPr>
      <w:r>
        <w:rPr/>
        <w:t>网址：</w:t>
      </w:r>
      <w:hyperlink r:id="rId107">
        <w:r>
          <w:rPr>
            <w:rFonts w:ascii="Times New Roman" w:eastAsia="Times New Roman"/>
          </w:rPr>
          <w:t>www.chtwm.com</w:t>
        </w:r>
      </w:hyperlink>
    </w:p>
    <w:p>
      <w:pPr>
        <w:pStyle w:val="BodyText"/>
        <w:spacing w:before="3"/>
        <w:ind w:left="0"/>
        <w:rPr>
          <w:rFonts w:ascii="Times New Roman"/>
          <w:sz w:val="17"/>
        </w:rPr>
      </w:pPr>
    </w:p>
    <w:p>
      <w:pPr>
        <w:pStyle w:val="BodyText"/>
        <w:rPr>
          <w:rFonts w:ascii="Times New Roman" w:eastAsia="Times New Roman"/>
        </w:rPr>
      </w:pPr>
      <w:r>
        <w:rPr/>
        <w:t>客户服务电话：</w:t>
      </w:r>
      <w:r>
        <w:rPr>
          <w:rFonts w:ascii="Times New Roman" w:eastAsia="Times New Roman"/>
        </w:rPr>
        <w:t>400-898-0618</w:t>
      </w:r>
    </w:p>
    <w:p>
      <w:pPr>
        <w:pStyle w:val="BodyText"/>
        <w:spacing w:before="4"/>
        <w:ind w:left="0"/>
        <w:rPr>
          <w:rFonts w:ascii="Times New Roman"/>
          <w:sz w:val="17"/>
        </w:rPr>
      </w:pPr>
    </w:p>
    <w:p>
      <w:pPr>
        <w:pStyle w:val="ListParagraph"/>
        <w:numPr>
          <w:ilvl w:val="0"/>
          <w:numId w:val="31"/>
        </w:numPr>
        <w:tabs>
          <w:tab w:pos="1275" w:val="left" w:leader="none"/>
        </w:tabs>
        <w:spacing w:line="240" w:lineRule="auto" w:before="0" w:after="0"/>
        <w:ind w:left="1275" w:right="0" w:hanging="635"/>
        <w:jc w:val="left"/>
        <w:rPr>
          <w:sz w:val="21"/>
        </w:rPr>
      </w:pPr>
      <w:r>
        <w:rPr>
          <w:spacing w:val="-3"/>
          <w:sz w:val="21"/>
        </w:rPr>
        <w:t>深圳宜投基金销售有限公司</w:t>
      </w:r>
    </w:p>
    <w:p>
      <w:pPr>
        <w:pStyle w:val="BodyText"/>
        <w:spacing w:before="6"/>
        <w:ind w:left="0"/>
        <w:rPr>
          <w:sz w:val="15"/>
        </w:rPr>
      </w:pPr>
    </w:p>
    <w:p>
      <w:pPr>
        <w:pStyle w:val="BodyText"/>
      </w:pPr>
      <w:r>
        <w:rPr/>
        <w:t>住所：深圳市前海深港合作区前湾一路鲤鱼门街</w:t>
      </w:r>
      <w:r>
        <w:rPr>
          <w:rFonts w:ascii="Times New Roman" w:eastAsia="Times New Roman"/>
        </w:rPr>
        <w:t>1</w:t>
      </w:r>
      <w:r>
        <w:rPr/>
        <w:t>号前海深港合作区管理局综合办公楼</w:t>
      </w:r>
    </w:p>
    <w:p>
      <w:pPr>
        <w:pStyle w:val="BodyText"/>
        <w:spacing w:before="8"/>
        <w:ind w:left="0"/>
        <w:rPr>
          <w:sz w:val="15"/>
        </w:rPr>
      </w:pPr>
    </w:p>
    <w:p>
      <w:pPr>
        <w:pStyle w:val="BodyText"/>
        <w:ind w:left="220"/>
      </w:pPr>
      <w:r>
        <w:rPr>
          <w:rFonts w:ascii="Times New Roman" w:eastAsia="Times New Roman"/>
        </w:rPr>
        <w:t>A</w:t>
      </w:r>
      <w:r>
        <w:rPr/>
        <w:t>栋</w:t>
      </w:r>
      <w:r>
        <w:rPr>
          <w:rFonts w:ascii="Times New Roman" w:eastAsia="Times New Roman"/>
        </w:rPr>
        <w:t>201</w:t>
      </w:r>
      <w:r>
        <w:rPr/>
        <w:t>室（入驻深圳市前海商务秘书有限公司）</w:t>
      </w:r>
    </w:p>
    <w:p>
      <w:pPr>
        <w:pStyle w:val="BodyText"/>
        <w:spacing w:before="6"/>
        <w:ind w:left="0"/>
        <w:rPr>
          <w:sz w:val="15"/>
        </w:rPr>
      </w:pPr>
    </w:p>
    <w:p>
      <w:pPr>
        <w:pStyle w:val="BodyText"/>
        <w:spacing w:line="417" w:lineRule="auto" w:before="1"/>
        <w:ind w:right="3507"/>
      </w:pPr>
      <w:r>
        <w:rPr/>
        <w:t>办公地址：深圳市福田区金田路</w:t>
      </w:r>
      <w:r>
        <w:rPr>
          <w:rFonts w:ascii="Times New Roman" w:eastAsia="Times New Roman"/>
        </w:rPr>
        <w:t>2028</w:t>
      </w:r>
      <w:r>
        <w:rPr/>
        <w:t>号皇岗商务中心</w:t>
      </w:r>
      <w:r>
        <w:rPr>
          <w:rFonts w:ascii="Times New Roman" w:eastAsia="Times New Roman"/>
        </w:rPr>
        <w:t>2405 </w:t>
      </w:r>
      <w:r>
        <w:rPr/>
        <w:t>法定代表人：华建强</w:t>
      </w:r>
    </w:p>
    <w:p>
      <w:pPr>
        <w:pStyle w:val="BodyText"/>
        <w:spacing w:line="417" w:lineRule="auto"/>
        <w:ind w:right="6800"/>
        <w:rPr>
          <w:rFonts w:ascii="Times New Roman" w:eastAsia="Times New Roman"/>
        </w:rPr>
      </w:pPr>
      <w:r>
        <w:rPr/>
        <w:t>电话：</w:t>
      </w:r>
      <w:r>
        <w:rPr>
          <w:rFonts w:ascii="Times New Roman" w:eastAsia="Times New Roman"/>
        </w:rPr>
        <w:t>0755-23919681 </w:t>
      </w:r>
      <w:r>
        <w:rPr/>
        <w:t>传真：</w:t>
      </w:r>
      <w:r>
        <w:rPr>
          <w:rFonts w:ascii="Times New Roman" w:eastAsia="Times New Roman"/>
        </w:rPr>
        <w:t>0755-88603185</w:t>
      </w:r>
    </w:p>
    <w:p>
      <w:pPr>
        <w:pStyle w:val="BodyText"/>
        <w:spacing w:line="269" w:lineRule="exact"/>
      </w:pPr>
      <w:r>
        <w:rPr/>
        <w:t>联系人：马文静</w:t>
      </w:r>
    </w:p>
    <w:p>
      <w:pPr>
        <w:pStyle w:val="BodyText"/>
        <w:spacing w:before="6"/>
        <w:ind w:left="0"/>
        <w:rPr>
          <w:sz w:val="15"/>
        </w:rPr>
      </w:pPr>
    </w:p>
    <w:p>
      <w:pPr>
        <w:pStyle w:val="BodyText"/>
        <w:rPr>
          <w:rFonts w:ascii="Times New Roman" w:eastAsia="Times New Roman"/>
        </w:rPr>
      </w:pPr>
      <w:r>
        <w:rPr/>
        <w:t>网址：</w:t>
      </w:r>
      <w:hyperlink r:id="rId108">
        <w:r>
          <w:rPr>
            <w:rFonts w:ascii="Times New Roman" w:eastAsia="Times New Roman"/>
          </w:rPr>
          <w:t>www.yitfund.com</w:t>
        </w:r>
      </w:hyperlink>
    </w:p>
    <w:p>
      <w:pPr>
        <w:pStyle w:val="BodyText"/>
        <w:spacing w:before="4"/>
        <w:ind w:left="0"/>
        <w:rPr>
          <w:rFonts w:ascii="Times New Roman"/>
          <w:sz w:val="17"/>
        </w:rPr>
      </w:pPr>
    </w:p>
    <w:p>
      <w:pPr>
        <w:pStyle w:val="BodyText"/>
        <w:rPr>
          <w:rFonts w:ascii="Times New Roman" w:eastAsia="Times New Roman"/>
        </w:rPr>
      </w:pPr>
      <w:r>
        <w:rPr/>
        <w:t>客户服务电话：</w:t>
      </w:r>
      <w:r>
        <w:rPr>
          <w:rFonts w:ascii="Times New Roman" w:eastAsia="Times New Roman"/>
        </w:rPr>
        <w:t>400-895-5811</w:t>
      </w:r>
    </w:p>
    <w:p>
      <w:pPr>
        <w:pStyle w:val="BodyText"/>
        <w:spacing w:before="3"/>
        <w:ind w:left="0"/>
        <w:rPr>
          <w:rFonts w:ascii="Times New Roman"/>
          <w:sz w:val="17"/>
        </w:rPr>
      </w:pPr>
    </w:p>
    <w:p>
      <w:pPr>
        <w:pStyle w:val="ListParagraph"/>
        <w:numPr>
          <w:ilvl w:val="0"/>
          <w:numId w:val="31"/>
        </w:numPr>
        <w:tabs>
          <w:tab w:pos="1275" w:val="left" w:leader="none"/>
        </w:tabs>
        <w:spacing w:line="240" w:lineRule="auto" w:before="0" w:after="0"/>
        <w:ind w:left="1275" w:right="0" w:hanging="635"/>
        <w:jc w:val="left"/>
        <w:rPr>
          <w:sz w:val="21"/>
        </w:rPr>
      </w:pPr>
      <w:r>
        <w:rPr>
          <w:spacing w:val="-3"/>
          <w:sz w:val="21"/>
        </w:rPr>
        <w:t>北京汇成基金销售有限公司</w:t>
      </w:r>
    </w:p>
    <w:p>
      <w:pPr>
        <w:spacing w:after="0" w:line="240" w:lineRule="auto"/>
        <w:jc w:val="left"/>
        <w:rPr>
          <w:sz w:val="21"/>
        </w:rPr>
        <w:sectPr>
          <w:pgSz w:w="11910" w:h="16840"/>
          <w:pgMar w:header="705" w:footer="683" w:top="1420" w:bottom="880" w:left="1580" w:right="920"/>
        </w:sectPr>
      </w:pPr>
    </w:p>
    <w:p>
      <w:pPr>
        <w:pStyle w:val="BodyText"/>
        <w:spacing w:before="110"/>
        <w:rPr>
          <w:rFonts w:ascii="Times New Roman" w:eastAsia="Times New Roman"/>
        </w:rPr>
      </w:pPr>
      <w:r>
        <w:rPr/>
        <w:t>住所：北京市海淀区中关村大街</w:t>
      </w:r>
      <w:r>
        <w:rPr>
          <w:rFonts w:ascii="Times New Roman" w:eastAsia="Times New Roman"/>
        </w:rPr>
        <w:t>11</w:t>
      </w:r>
      <w:r>
        <w:rPr/>
        <w:t>号</w:t>
      </w:r>
      <w:r>
        <w:rPr>
          <w:rFonts w:ascii="Times New Roman" w:eastAsia="Times New Roman"/>
        </w:rPr>
        <w:t>11</w:t>
      </w:r>
      <w:r>
        <w:rPr/>
        <w:t>层</w:t>
      </w:r>
      <w:r>
        <w:rPr>
          <w:rFonts w:ascii="Times New Roman" w:eastAsia="Times New Roman"/>
        </w:rPr>
        <w:t>1108</w:t>
      </w:r>
    </w:p>
    <w:p>
      <w:pPr>
        <w:pStyle w:val="BodyText"/>
        <w:spacing w:before="3"/>
        <w:ind w:left="0"/>
        <w:rPr>
          <w:rFonts w:ascii="Times New Roman"/>
          <w:sz w:val="17"/>
        </w:rPr>
      </w:pPr>
    </w:p>
    <w:p>
      <w:pPr>
        <w:pStyle w:val="BodyText"/>
        <w:spacing w:line="417" w:lineRule="auto"/>
        <w:ind w:right="4116"/>
      </w:pPr>
      <w:r>
        <w:rPr/>
        <w:t>办公地址：北京市海淀区中关村大街</w:t>
      </w:r>
      <w:r>
        <w:rPr>
          <w:rFonts w:ascii="Times New Roman" w:eastAsia="Times New Roman"/>
        </w:rPr>
        <w:t>11</w:t>
      </w:r>
      <w:r>
        <w:rPr/>
        <w:t>号</w:t>
      </w:r>
      <w:r>
        <w:rPr>
          <w:rFonts w:ascii="Times New Roman" w:eastAsia="Times New Roman"/>
        </w:rPr>
        <w:t>11</w:t>
      </w:r>
      <w:r>
        <w:rPr/>
        <w:t>层</w:t>
      </w:r>
      <w:r>
        <w:rPr>
          <w:rFonts w:ascii="Times New Roman" w:eastAsia="Times New Roman"/>
        </w:rPr>
        <w:t>1108 </w:t>
      </w:r>
      <w:r>
        <w:rPr/>
        <w:t>法定代表人：王伟刚</w:t>
      </w:r>
    </w:p>
    <w:p>
      <w:pPr>
        <w:pStyle w:val="BodyText"/>
        <w:spacing w:line="417" w:lineRule="auto"/>
        <w:ind w:right="6906"/>
        <w:rPr>
          <w:rFonts w:ascii="Times New Roman" w:eastAsia="Times New Roman"/>
        </w:rPr>
      </w:pPr>
      <w:r>
        <w:rPr/>
        <w:t>电话：</w:t>
      </w:r>
      <w:r>
        <w:rPr>
          <w:rFonts w:ascii="Times New Roman" w:eastAsia="Times New Roman"/>
        </w:rPr>
        <w:t>010-56282140 </w:t>
      </w:r>
      <w:r>
        <w:rPr/>
        <w:t>传真：</w:t>
      </w:r>
      <w:r>
        <w:rPr>
          <w:rFonts w:ascii="Times New Roman" w:eastAsia="Times New Roman"/>
        </w:rPr>
        <w:t>010-62680827</w:t>
      </w:r>
    </w:p>
    <w:p>
      <w:pPr>
        <w:pStyle w:val="BodyText"/>
        <w:spacing w:line="269" w:lineRule="exact"/>
      </w:pPr>
      <w:r>
        <w:rPr/>
        <w:t>联系人：丁向坤</w:t>
      </w:r>
    </w:p>
    <w:p>
      <w:pPr>
        <w:pStyle w:val="BodyText"/>
        <w:spacing w:before="6"/>
        <w:ind w:left="0"/>
        <w:rPr>
          <w:sz w:val="15"/>
        </w:rPr>
      </w:pPr>
    </w:p>
    <w:p>
      <w:pPr>
        <w:pStyle w:val="BodyText"/>
        <w:spacing w:before="1"/>
        <w:rPr>
          <w:rFonts w:ascii="Times New Roman" w:eastAsia="Times New Roman"/>
        </w:rPr>
      </w:pPr>
      <w:r>
        <w:rPr/>
        <w:t>网址： </w:t>
      </w:r>
      <w:hyperlink r:id="rId109">
        <w:r>
          <w:rPr>
            <w:rFonts w:ascii="Times New Roman" w:eastAsia="Times New Roman"/>
          </w:rPr>
          <w:t>www.hcjijin.com</w:t>
        </w:r>
      </w:hyperlink>
    </w:p>
    <w:p>
      <w:pPr>
        <w:pStyle w:val="BodyText"/>
        <w:spacing w:before="3"/>
        <w:ind w:left="0"/>
        <w:rPr>
          <w:rFonts w:ascii="Times New Roman"/>
          <w:sz w:val="17"/>
        </w:rPr>
      </w:pPr>
    </w:p>
    <w:p>
      <w:pPr>
        <w:pStyle w:val="BodyText"/>
        <w:spacing w:before="1"/>
        <w:rPr>
          <w:rFonts w:ascii="Times New Roman" w:eastAsia="Times New Roman"/>
        </w:rPr>
      </w:pPr>
      <w:r>
        <w:rPr/>
        <w:t>客户服务电话：</w:t>
      </w:r>
      <w:r>
        <w:rPr>
          <w:rFonts w:ascii="Times New Roman" w:eastAsia="Times New Roman"/>
        </w:rPr>
        <w:t>400-619-9059</w:t>
      </w:r>
    </w:p>
    <w:p>
      <w:pPr>
        <w:pStyle w:val="BodyText"/>
        <w:spacing w:before="3"/>
        <w:ind w:left="0"/>
        <w:rPr>
          <w:rFonts w:ascii="Times New Roman"/>
          <w:sz w:val="17"/>
        </w:rPr>
      </w:pPr>
    </w:p>
    <w:p>
      <w:pPr>
        <w:pStyle w:val="ListParagraph"/>
        <w:numPr>
          <w:ilvl w:val="0"/>
          <w:numId w:val="31"/>
        </w:numPr>
        <w:tabs>
          <w:tab w:pos="1275" w:val="left" w:leader="none"/>
        </w:tabs>
        <w:spacing w:line="240" w:lineRule="auto" w:before="0" w:after="0"/>
        <w:ind w:left="1275" w:right="0" w:hanging="635"/>
        <w:jc w:val="left"/>
        <w:rPr>
          <w:sz w:val="21"/>
        </w:rPr>
      </w:pPr>
      <w:r>
        <w:rPr>
          <w:spacing w:val="-3"/>
          <w:sz w:val="21"/>
        </w:rPr>
        <w:t>北京晟视天下投资管理有限公司</w:t>
      </w:r>
    </w:p>
    <w:p>
      <w:pPr>
        <w:pStyle w:val="BodyText"/>
        <w:spacing w:before="7"/>
        <w:ind w:left="0"/>
        <w:rPr>
          <w:sz w:val="15"/>
        </w:rPr>
      </w:pPr>
    </w:p>
    <w:p>
      <w:pPr>
        <w:pStyle w:val="BodyText"/>
      </w:pPr>
      <w:r>
        <w:rPr/>
        <w:t>住所：北京市怀柔区九渡河镇黄坎村</w:t>
      </w:r>
      <w:r>
        <w:rPr>
          <w:rFonts w:ascii="Times New Roman" w:eastAsia="Times New Roman"/>
        </w:rPr>
        <w:t>735</w:t>
      </w:r>
      <w:r>
        <w:rPr/>
        <w:t>号</w:t>
      </w:r>
      <w:r>
        <w:rPr>
          <w:rFonts w:ascii="Times New Roman" w:eastAsia="Times New Roman"/>
        </w:rPr>
        <w:t>03</w:t>
      </w:r>
      <w:r>
        <w:rPr/>
        <w:t>室</w:t>
      </w:r>
    </w:p>
    <w:p>
      <w:pPr>
        <w:pStyle w:val="BodyText"/>
        <w:spacing w:before="6"/>
        <w:ind w:left="0"/>
        <w:rPr>
          <w:sz w:val="15"/>
        </w:rPr>
      </w:pPr>
    </w:p>
    <w:p>
      <w:pPr>
        <w:pStyle w:val="BodyText"/>
        <w:spacing w:line="417" w:lineRule="auto" w:before="1"/>
        <w:ind w:right="3461"/>
      </w:pPr>
      <w:r>
        <w:rPr/>
        <w:t>办公地址：北京市朝阳区朝外大街甲</w:t>
      </w:r>
      <w:r>
        <w:rPr>
          <w:rFonts w:ascii="Times New Roman" w:eastAsia="Times New Roman"/>
        </w:rPr>
        <w:t>6</w:t>
      </w:r>
      <w:r>
        <w:rPr/>
        <w:t>号万通中心</w:t>
      </w:r>
      <w:r>
        <w:rPr>
          <w:rFonts w:ascii="Times New Roman" w:eastAsia="Times New Roman"/>
        </w:rPr>
        <w:t>D</w:t>
      </w:r>
      <w:r>
        <w:rPr/>
        <w:t>座</w:t>
      </w:r>
      <w:r>
        <w:rPr>
          <w:rFonts w:ascii="Times New Roman" w:eastAsia="Times New Roman"/>
        </w:rPr>
        <w:t>21</w:t>
      </w:r>
      <w:r>
        <w:rPr/>
        <w:t>层法定代表人：蒋煜</w:t>
      </w:r>
    </w:p>
    <w:p>
      <w:pPr>
        <w:pStyle w:val="BodyText"/>
        <w:spacing w:line="417" w:lineRule="auto"/>
        <w:ind w:right="6906"/>
        <w:rPr>
          <w:rFonts w:ascii="Times New Roman" w:eastAsia="Times New Roman"/>
        </w:rPr>
      </w:pPr>
      <w:r>
        <w:rPr/>
        <w:t>电话：</w:t>
      </w:r>
      <w:r>
        <w:rPr>
          <w:rFonts w:ascii="Times New Roman" w:eastAsia="Times New Roman"/>
        </w:rPr>
        <w:t>010-58170806 </w:t>
      </w:r>
      <w:r>
        <w:rPr/>
        <w:t>传真：</w:t>
      </w:r>
      <w:r>
        <w:rPr>
          <w:rFonts w:ascii="Times New Roman" w:eastAsia="Times New Roman"/>
        </w:rPr>
        <w:t>010-58170910</w:t>
      </w:r>
    </w:p>
    <w:p>
      <w:pPr>
        <w:pStyle w:val="BodyText"/>
      </w:pPr>
      <w:r>
        <w:rPr/>
        <w:t>联系人：蒋煜</w:t>
      </w:r>
    </w:p>
    <w:p>
      <w:pPr>
        <w:pStyle w:val="BodyText"/>
        <w:spacing w:before="6"/>
        <w:ind w:left="0"/>
        <w:rPr>
          <w:sz w:val="15"/>
        </w:rPr>
      </w:pPr>
    </w:p>
    <w:p>
      <w:pPr>
        <w:pStyle w:val="BodyText"/>
        <w:spacing w:line="417" w:lineRule="auto"/>
        <w:ind w:right="5794"/>
        <w:rPr>
          <w:rFonts w:ascii="Times New Roman" w:eastAsia="Times New Roman"/>
        </w:rPr>
      </w:pPr>
      <w:r>
        <w:rPr/>
        <w:t>网址：</w:t>
      </w:r>
      <w:hyperlink r:id="rId110">
        <w:r>
          <w:rPr>
            <w:rFonts w:ascii="Times New Roman" w:eastAsia="Times New Roman"/>
          </w:rPr>
          <w:t>www.shengshiview.com.cn </w:t>
        </w:r>
      </w:hyperlink>
      <w:r>
        <w:rPr/>
        <w:t>客户服务电话：</w:t>
      </w:r>
      <w:r>
        <w:rPr>
          <w:rFonts w:ascii="Times New Roman" w:eastAsia="Times New Roman"/>
        </w:rPr>
        <w:t>010-58170761</w:t>
      </w:r>
    </w:p>
    <w:p>
      <w:pPr>
        <w:pStyle w:val="ListParagraph"/>
        <w:numPr>
          <w:ilvl w:val="0"/>
          <w:numId w:val="31"/>
        </w:numPr>
        <w:tabs>
          <w:tab w:pos="1275" w:val="left" w:leader="none"/>
        </w:tabs>
        <w:spacing w:line="269" w:lineRule="exact" w:before="0" w:after="0"/>
        <w:ind w:left="1275" w:right="0" w:hanging="635"/>
        <w:jc w:val="left"/>
        <w:rPr>
          <w:sz w:val="21"/>
        </w:rPr>
      </w:pPr>
      <w:r>
        <w:rPr>
          <w:spacing w:val="-3"/>
          <w:sz w:val="21"/>
        </w:rPr>
        <w:t>北京钱景基金销售有限公司</w:t>
      </w:r>
    </w:p>
    <w:p>
      <w:pPr>
        <w:pStyle w:val="BodyText"/>
        <w:spacing w:before="7"/>
        <w:ind w:left="0"/>
        <w:rPr>
          <w:sz w:val="15"/>
        </w:rPr>
      </w:pPr>
    </w:p>
    <w:p>
      <w:pPr>
        <w:pStyle w:val="BodyText"/>
        <w:rPr>
          <w:rFonts w:ascii="Times New Roman" w:eastAsia="Times New Roman"/>
        </w:rPr>
      </w:pPr>
      <w:r>
        <w:rPr/>
        <w:t>住所：北京市海淀区丹棱街</w:t>
      </w:r>
      <w:r>
        <w:rPr>
          <w:rFonts w:ascii="Times New Roman" w:eastAsia="Times New Roman"/>
        </w:rPr>
        <w:t>6</w:t>
      </w:r>
      <w:r>
        <w:rPr/>
        <w:t>号</w:t>
      </w:r>
      <w:r>
        <w:rPr>
          <w:rFonts w:ascii="Times New Roman" w:eastAsia="Times New Roman"/>
        </w:rPr>
        <w:t>1</w:t>
      </w:r>
      <w:r>
        <w:rPr/>
        <w:t>幢</w:t>
      </w:r>
      <w:r>
        <w:rPr>
          <w:rFonts w:ascii="Times New Roman" w:eastAsia="Times New Roman"/>
        </w:rPr>
        <w:t>9</w:t>
      </w:r>
      <w:r>
        <w:rPr/>
        <w:t>层</w:t>
      </w:r>
      <w:r>
        <w:rPr>
          <w:rFonts w:ascii="Times New Roman" w:eastAsia="Times New Roman"/>
        </w:rPr>
        <w:t>1008-1012</w:t>
      </w:r>
    </w:p>
    <w:p>
      <w:pPr>
        <w:pStyle w:val="BodyText"/>
        <w:spacing w:before="3"/>
        <w:ind w:left="0"/>
        <w:rPr>
          <w:rFonts w:ascii="Times New Roman"/>
          <w:sz w:val="17"/>
        </w:rPr>
      </w:pPr>
    </w:p>
    <w:p>
      <w:pPr>
        <w:pStyle w:val="BodyText"/>
        <w:spacing w:line="417" w:lineRule="auto"/>
        <w:ind w:right="3965"/>
      </w:pPr>
      <w:r>
        <w:rPr/>
        <w:t>办公地址：北京市海淀区丹棱街</w:t>
      </w:r>
      <w:r>
        <w:rPr>
          <w:rFonts w:ascii="Times New Roman" w:eastAsia="Times New Roman"/>
        </w:rPr>
        <w:t>6</w:t>
      </w:r>
      <w:r>
        <w:rPr/>
        <w:t>号</w:t>
      </w:r>
      <w:r>
        <w:rPr>
          <w:rFonts w:ascii="Times New Roman" w:eastAsia="Times New Roman"/>
        </w:rPr>
        <w:t>1</w:t>
      </w:r>
      <w:r>
        <w:rPr/>
        <w:t>幢</w:t>
      </w:r>
      <w:r>
        <w:rPr>
          <w:rFonts w:ascii="Times New Roman" w:eastAsia="Times New Roman"/>
        </w:rPr>
        <w:t>9</w:t>
      </w:r>
      <w:r>
        <w:rPr/>
        <w:t>层</w:t>
      </w:r>
      <w:r>
        <w:rPr>
          <w:rFonts w:ascii="Times New Roman" w:eastAsia="Times New Roman"/>
        </w:rPr>
        <w:t>1008-1012 </w:t>
      </w:r>
      <w:r>
        <w:rPr/>
        <w:t>法定代表人：赵荣春</w:t>
      </w:r>
    </w:p>
    <w:p>
      <w:pPr>
        <w:pStyle w:val="BodyText"/>
        <w:spacing w:line="417" w:lineRule="auto" w:before="1"/>
        <w:ind w:right="6906"/>
        <w:rPr>
          <w:rFonts w:ascii="Times New Roman" w:eastAsia="Times New Roman"/>
        </w:rPr>
      </w:pPr>
      <w:r>
        <w:rPr/>
        <w:t>电话：</w:t>
      </w:r>
      <w:r>
        <w:rPr>
          <w:rFonts w:ascii="Times New Roman" w:eastAsia="Times New Roman"/>
        </w:rPr>
        <w:t>010-57418829 </w:t>
      </w:r>
      <w:r>
        <w:rPr/>
        <w:t>传真：</w:t>
      </w:r>
      <w:r>
        <w:rPr>
          <w:rFonts w:ascii="Times New Roman" w:eastAsia="Times New Roman"/>
        </w:rPr>
        <w:t>010-57569671</w:t>
      </w:r>
    </w:p>
    <w:p>
      <w:pPr>
        <w:pStyle w:val="BodyText"/>
        <w:spacing w:line="269" w:lineRule="exact"/>
      </w:pPr>
      <w:r>
        <w:rPr/>
        <w:t>联系人：魏争</w:t>
      </w:r>
    </w:p>
    <w:p>
      <w:pPr>
        <w:pStyle w:val="BodyText"/>
        <w:spacing w:before="6"/>
        <w:ind w:left="0"/>
        <w:rPr>
          <w:sz w:val="15"/>
        </w:rPr>
      </w:pPr>
    </w:p>
    <w:p>
      <w:pPr>
        <w:pStyle w:val="BodyText"/>
        <w:rPr>
          <w:rFonts w:ascii="Times New Roman" w:eastAsia="Times New Roman"/>
        </w:rPr>
      </w:pPr>
      <w:r>
        <w:rPr/>
        <w:t>网址：</w:t>
      </w:r>
      <w:hyperlink r:id="rId111">
        <w:r>
          <w:rPr>
            <w:rFonts w:ascii="Times New Roman" w:eastAsia="Times New Roman"/>
          </w:rPr>
          <w:t>www.niuji.net</w:t>
        </w:r>
      </w:hyperlink>
    </w:p>
    <w:p>
      <w:pPr>
        <w:pStyle w:val="BodyText"/>
        <w:spacing w:before="4"/>
        <w:ind w:left="0"/>
        <w:rPr>
          <w:rFonts w:ascii="Times New Roman"/>
          <w:sz w:val="17"/>
        </w:rPr>
      </w:pPr>
    </w:p>
    <w:p>
      <w:pPr>
        <w:pStyle w:val="BodyText"/>
        <w:rPr>
          <w:rFonts w:ascii="Times New Roman" w:eastAsia="Times New Roman"/>
        </w:rPr>
      </w:pPr>
      <w:r>
        <w:rPr/>
        <w:t>客户服务电话：</w:t>
      </w:r>
      <w:r>
        <w:rPr>
          <w:rFonts w:ascii="Times New Roman" w:eastAsia="Times New Roman"/>
        </w:rPr>
        <w:t>400-893-6885</w:t>
      </w:r>
    </w:p>
    <w:p>
      <w:pPr>
        <w:pStyle w:val="BodyText"/>
        <w:spacing w:before="3"/>
        <w:ind w:left="0"/>
        <w:rPr>
          <w:rFonts w:ascii="Times New Roman"/>
          <w:sz w:val="17"/>
        </w:rPr>
      </w:pPr>
    </w:p>
    <w:p>
      <w:pPr>
        <w:pStyle w:val="ListParagraph"/>
        <w:numPr>
          <w:ilvl w:val="0"/>
          <w:numId w:val="31"/>
        </w:numPr>
        <w:tabs>
          <w:tab w:pos="1275" w:val="left" w:leader="none"/>
        </w:tabs>
        <w:spacing w:line="240" w:lineRule="auto" w:before="0" w:after="0"/>
        <w:ind w:left="1275" w:right="0" w:hanging="635"/>
        <w:jc w:val="left"/>
        <w:rPr>
          <w:sz w:val="21"/>
        </w:rPr>
      </w:pPr>
      <w:r>
        <w:rPr>
          <w:spacing w:val="-3"/>
          <w:sz w:val="21"/>
        </w:rPr>
        <w:t>北京植信基金销售有限公司</w:t>
      </w:r>
    </w:p>
    <w:p>
      <w:pPr>
        <w:pStyle w:val="BodyText"/>
        <w:spacing w:before="7"/>
        <w:ind w:left="0"/>
        <w:rPr>
          <w:sz w:val="15"/>
        </w:rPr>
      </w:pPr>
    </w:p>
    <w:p>
      <w:pPr>
        <w:pStyle w:val="BodyText"/>
        <w:spacing w:line="417" w:lineRule="auto"/>
        <w:ind w:right="4352"/>
        <w:jc w:val="both"/>
      </w:pPr>
      <w:r>
        <w:rPr/>
        <w:t>住所：北京市密云县兴盛南路</w:t>
      </w:r>
      <w:r>
        <w:rPr>
          <w:rFonts w:ascii="Times New Roman" w:eastAsia="Times New Roman"/>
        </w:rPr>
        <w:t>8</w:t>
      </w:r>
      <w:r>
        <w:rPr/>
        <w:t>号院</w:t>
      </w:r>
      <w:r>
        <w:rPr>
          <w:rFonts w:ascii="Times New Roman" w:eastAsia="Times New Roman"/>
        </w:rPr>
        <w:t>2</w:t>
      </w:r>
      <w:r>
        <w:rPr/>
        <w:t>号楼</w:t>
      </w:r>
      <w:r>
        <w:rPr>
          <w:rFonts w:ascii="Times New Roman" w:eastAsia="Times New Roman"/>
        </w:rPr>
        <w:t>106-67 </w:t>
      </w:r>
      <w:r>
        <w:rPr/>
        <w:t>办公地址：北京市朝阳区盛世龙源国食苑</w:t>
      </w:r>
      <w:r>
        <w:rPr>
          <w:rFonts w:ascii="Times New Roman" w:eastAsia="Times New Roman"/>
        </w:rPr>
        <w:t>10</w:t>
      </w:r>
      <w:r>
        <w:rPr/>
        <w:t>号楼法定代表人：王军辉</w:t>
      </w:r>
    </w:p>
    <w:p>
      <w:pPr>
        <w:spacing w:after="0" w:line="417" w:lineRule="auto"/>
        <w:jc w:val="both"/>
        <w:sectPr>
          <w:pgSz w:w="11910" w:h="16840"/>
          <w:pgMar w:header="705" w:footer="683" w:top="1420" w:bottom="880" w:left="1580" w:right="920"/>
        </w:sectPr>
      </w:pPr>
    </w:p>
    <w:p>
      <w:pPr>
        <w:pStyle w:val="BodyText"/>
        <w:spacing w:line="417" w:lineRule="auto" w:before="110"/>
        <w:ind w:right="6101"/>
      </w:pPr>
      <w:r>
        <w:rPr/>
        <w:t>客户服务电话：</w:t>
      </w:r>
      <w:r>
        <w:rPr>
          <w:rFonts w:ascii="Times New Roman" w:eastAsia="Times New Roman"/>
        </w:rPr>
        <w:t>400-680-2123 </w:t>
      </w:r>
      <w:r>
        <w:rPr/>
        <w:t>联系人：吴鹏</w:t>
      </w:r>
    </w:p>
    <w:p>
      <w:pPr>
        <w:pStyle w:val="BodyText"/>
        <w:spacing w:line="269" w:lineRule="exact"/>
        <w:rPr>
          <w:rFonts w:ascii="Times New Roman" w:eastAsia="Times New Roman"/>
        </w:rPr>
      </w:pPr>
      <w:r>
        <w:rPr/>
        <w:t>网址：</w:t>
      </w:r>
      <w:hyperlink r:id="rId112">
        <w:r>
          <w:rPr>
            <w:rFonts w:ascii="Times New Roman" w:eastAsia="Times New Roman"/>
          </w:rPr>
          <w:t>www.zhixin-inv.com</w:t>
        </w:r>
      </w:hyperlink>
    </w:p>
    <w:p>
      <w:pPr>
        <w:pStyle w:val="BodyText"/>
        <w:spacing w:before="3"/>
        <w:ind w:left="0"/>
        <w:rPr>
          <w:rFonts w:ascii="Times New Roman"/>
          <w:sz w:val="17"/>
        </w:rPr>
      </w:pPr>
    </w:p>
    <w:p>
      <w:pPr>
        <w:pStyle w:val="ListParagraph"/>
        <w:numPr>
          <w:ilvl w:val="0"/>
          <w:numId w:val="31"/>
        </w:numPr>
        <w:tabs>
          <w:tab w:pos="1275" w:val="left" w:leader="none"/>
        </w:tabs>
        <w:spacing w:line="240" w:lineRule="auto" w:before="0" w:after="0"/>
        <w:ind w:left="1275" w:right="0" w:hanging="635"/>
        <w:jc w:val="left"/>
        <w:rPr>
          <w:sz w:val="21"/>
        </w:rPr>
      </w:pPr>
      <w:r>
        <w:rPr>
          <w:spacing w:val="-3"/>
          <w:sz w:val="21"/>
        </w:rPr>
        <w:t>海银基金销售有限公司</w:t>
      </w:r>
    </w:p>
    <w:p>
      <w:pPr>
        <w:pStyle w:val="BodyText"/>
        <w:spacing w:before="7"/>
        <w:ind w:left="0"/>
        <w:rPr>
          <w:sz w:val="15"/>
        </w:rPr>
      </w:pPr>
    </w:p>
    <w:p>
      <w:pPr>
        <w:pStyle w:val="BodyText"/>
      </w:pPr>
      <w:r>
        <w:rPr/>
        <w:t>住所：上海市自由贸易试验区银城中路</w:t>
      </w:r>
      <w:r>
        <w:rPr>
          <w:rFonts w:ascii="Times New Roman" w:eastAsia="Times New Roman"/>
        </w:rPr>
        <w:t>8</w:t>
      </w:r>
      <w:r>
        <w:rPr/>
        <w:t>号</w:t>
      </w:r>
      <w:r>
        <w:rPr>
          <w:rFonts w:ascii="Times New Roman" w:eastAsia="Times New Roman"/>
        </w:rPr>
        <w:t>4</w:t>
      </w:r>
      <w:r>
        <w:rPr/>
        <w:t>楼</w:t>
      </w:r>
    </w:p>
    <w:p>
      <w:pPr>
        <w:pStyle w:val="BodyText"/>
        <w:spacing w:before="6"/>
        <w:ind w:left="0"/>
        <w:rPr>
          <w:sz w:val="15"/>
        </w:rPr>
      </w:pPr>
    </w:p>
    <w:p>
      <w:pPr>
        <w:pStyle w:val="BodyText"/>
        <w:spacing w:line="417" w:lineRule="auto" w:before="1"/>
        <w:ind w:right="4138"/>
      </w:pPr>
      <w:r>
        <w:rPr/>
        <w:t>办公地址：上海市自由贸易试验区银城中路</w:t>
      </w:r>
      <w:r>
        <w:rPr>
          <w:rFonts w:ascii="Times New Roman" w:eastAsia="Times New Roman"/>
        </w:rPr>
        <w:t>8</w:t>
      </w:r>
      <w:r>
        <w:rPr/>
        <w:t>号</w:t>
      </w:r>
      <w:r>
        <w:rPr>
          <w:rFonts w:ascii="Times New Roman" w:eastAsia="Times New Roman"/>
        </w:rPr>
        <w:t>4</w:t>
      </w:r>
      <w:r>
        <w:rPr/>
        <w:t>楼法定代表人：惠晓川</w:t>
      </w:r>
    </w:p>
    <w:p>
      <w:pPr>
        <w:pStyle w:val="BodyText"/>
        <w:spacing w:line="417" w:lineRule="auto"/>
        <w:ind w:right="6906"/>
        <w:rPr>
          <w:rFonts w:ascii="Times New Roman" w:eastAsia="Times New Roman"/>
        </w:rPr>
      </w:pPr>
      <w:r>
        <w:rPr/>
        <w:t>电话：</w:t>
      </w:r>
      <w:r>
        <w:rPr>
          <w:rFonts w:ascii="Times New Roman" w:eastAsia="Times New Roman"/>
        </w:rPr>
        <w:t>021-80134149 </w:t>
      </w:r>
      <w:r>
        <w:rPr/>
        <w:t>传真：</w:t>
      </w:r>
      <w:r>
        <w:rPr>
          <w:rFonts w:ascii="Times New Roman" w:eastAsia="Times New Roman"/>
        </w:rPr>
        <w:t>021-80133413</w:t>
      </w:r>
    </w:p>
    <w:p>
      <w:pPr>
        <w:pStyle w:val="BodyText"/>
        <w:spacing w:line="269" w:lineRule="exact"/>
      </w:pPr>
      <w:r>
        <w:rPr/>
        <w:t>联系人：秦琼</w:t>
      </w:r>
    </w:p>
    <w:p>
      <w:pPr>
        <w:pStyle w:val="BodyText"/>
        <w:spacing w:before="6"/>
        <w:ind w:left="0"/>
        <w:rPr>
          <w:sz w:val="15"/>
        </w:rPr>
      </w:pPr>
    </w:p>
    <w:p>
      <w:pPr>
        <w:pStyle w:val="BodyText"/>
        <w:spacing w:line="417" w:lineRule="auto" w:before="1"/>
        <w:ind w:right="6101"/>
        <w:rPr>
          <w:rFonts w:ascii="Times New Roman" w:eastAsia="Times New Roman"/>
        </w:rPr>
      </w:pPr>
      <w:r>
        <w:rPr/>
        <w:t>网址：</w:t>
      </w:r>
      <w:hyperlink r:id="rId113">
        <w:r>
          <w:rPr>
            <w:rFonts w:ascii="Times New Roman" w:eastAsia="Times New Roman"/>
          </w:rPr>
          <w:t>www.fundhaiyin.com</w:t>
        </w:r>
      </w:hyperlink>
      <w:r>
        <w:rPr>
          <w:rFonts w:ascii="Times New Roman" w:eastAsia="Times New Roman"/>
        </w:rPr>
        <w:t> </w:t>
      </w:r>
      <w:r>
        <w:rPr>
          <w:spacing w:val="-3"/>
        </w:rPr>
        <w:t>客户服务电话：</w:t>
      </w:r>
      <w:r>
        <w:rPr>
          <w:rFonts w:ascii="Times New Roman" w:eastAsia="Times New Roman"/>
          <w:spacing w:val="-1"/>
        </w:rPr>
        <w:t>400-808-1016</w:t>
      </w:r>
    </w:p>
    <w:p>
      <w:pPr>
        <w:pStyle w:val="ListParagraph"/>
        <w:numPr>
          <w:ilvl w:val="0"/>
          <w:numId w:val="31"/>
        </w:numPr>
        <w:tabs>
          <w:tab w:pos="1275" w:val="left" w:leader="none"/>
        </w:tabs>
        <w:spacing w:line="269" w:lineRule="exact" w:before="0" w:after="0"/>
        <w:ind w:left="1275" w:right="0" w:hanging="635"/>
        <w:jc w:val="left"/>
        <w:rPr>
          <w:sz w:val="21"/>
        </w:rPr>
      </w:pPr>
      <w:r>
        <w:rPr>
          <w:spacing w:val="-3"/>
          <w:sz w:val="21"/>
        </w:rPr>
        <w:t>上海久富财富管理有限公司</w:t>
      </w:r>
    </w:p>
    <w:p>
      <w:pPr>
        <w:pStyle w:val="BodyText"/>
        <w:spacing w:before="6"/>
        <w:ind w:left="0"/>
        <w:rPr>
          <w:sz w:val="15"/>
        </w:rPr>
      </w:pPr>
    </w:p>
    <w:p>
      <w:pPr>
        <w:pStyle w:val="BodyText"/>
      </w:pPr>
      <w:r>
        <w:rPr/>
        <w:t>住所：上海市浦东新区莱阳路</w:t>
      </w:r>
      <w:r>
        <w:rPr>
          <w:rFonts w:ascii="Times New Roman" w:eastAsia="Times New Roman"/>
        </w:rPr>
        <w:t>2819</w:t>
      </w:r>
      <w:r>
        <w:rPr/>
        <w:t>号</w:t>
      </w:r>
      <w:r>
        <w:rPr>
          <w:rFonts w:ascii="Times New Roman" w:eastAsia="Times New Roman"/>
        </w:rPr>
        <w:t>1</w:t>
      </w:r>
      <w:r>
        <w:rPr/>
        <w:t>幢</w:t>
      </w:r>
      <w:r>
        <w:rPr>
          <w:rFonts w:ascii="Times New Roman" w:eastAsia="Times New Roman"/>
        </w:rPr>
        <w:t>109</w:t>
      </w:r>
      <w:r>
        <w:rPr/>
        <w:t>室</w:t>
      </w:r>
    </w:p>
    <w:p>
      <w:pPr>
        <w:pStyle w:val="BodyText"/>
        <w:spacing w:before="7"/>
        <w:ind w:left="0"/>
        <w:rPr>
          <w:sz w:val="15"/>
        </w:rPr>
      </w:pPr>
    </w:p>
    <w:p>
      <w:pPr>
        <w:pStyle w:val="BodyText"/>
        <w:spacing w:line="417" w:lineRule="auto" w:before="1"/>
        <w:ind w:right="3509"/>
      </w:pPr>
      <w:r>
        <w:rPr>
          <w:spacing w:val="-3"/>
        </w:rPr>
        <w:t>办公地址：上海市浦东新区民生路</w:t>
      </w:r>
      <w:r>
        <w:rPr>
          <w:rFonts w:ascii="Times New Roman" w:eastAsia="Times New Roman"/>
        </w:rPr>
        <w:t>1403</w:t>
      </w:r>
      <w:r>
        <w:rPr>
          <w:spacing w:val="-3"/>
        </w:rPr>
        <w:t>号信息大厦</w:t>
      </w:r>
      <w:r>
        <w:rPr>
          <w:rFonts w:ascii="Times New Roman" w:eastAsia="Times New Roman"/>
        </w:rPr>
        <w:t>1215</w:t>
      </w:r>
      <w:r>
        <w:rPr/>
        <w:t>室</w:t>
      </w:r>
      <w:r>
        <w:rPr>
          <w:spacing w:val="-3"/>
        </w:rPr>
        <w:t>法定代表人：赵惠蓉</w:t>
      </w:r>
    </w:p>
    <w:p>
      <w:pPr>
        <w:pStyle w:val="BodyText"/>
        <w:spacing w:line="417" w:lineRule="auto"/>
        <w:ind w:right="6380"/>
        <w:rPr>
          <w:rFonts w:ascii="Times New Roman" w:eastAsia="Times New Roman"/>
        </w:rPr>
      </w:pPr>
      <w:r>
        <w:rPr/>
        <w:t>电话：</w:t>
      </w:r>
      <w:r>
        <w:rPr>
          <w:rFonts w:ascii="Times New Roman" w:eastAsia="Times New Roman"/>
        </w:rPr>
        <w:t>021-68682279</w:t>
      </w:r>
      <w:r>
        <w:rPr/>
        <w:t>转</w:t>
      </w:r>
      <w:r>
        <w:rPr>
          <w:rFonts w:ascii="Times New Roman" w:eastAsia="Times New Roman"/>
          <w:spacing w:val="-6"/>
        </w:rPr>
        <w:t>604 </w:t>
      </w:r>
      <w:r>
        <w:rPr/>
        <w:t>传真：</w:t>
      </w:r>
      <w:r>
        <w:rPr>
          <w:rFonts w:ascii="Times New Roman" w:eastAsia="Times New Roman"/>
        </w:rPr>
        <w:t>021-68682297</w:t>
      </w:r>
    </w:p>
    <w:p>
      <w:pPr>
        <w:pStyle w:val="BodyText"/>
        <w:spacing w:line="269" w:lineRule="exact"/>
      </w:pPr>
      <w:r>
        <w:rPr/>
        <w:t>联系人：潘静洁</w:t>
      </w:r>
    </w:p>
    <w:p>
      <w:pPr>
        <w:pStyle w:val="BodyText"/>
        <w:spacing w:before="6"/>
        <w:ind w:left="0"/>
        <w:rPr>
          <w:sz w:val="15"/>
        </w:rPr>
      </w:pPr>
    </w:p>
    <w:p>
      <w:pPr>
        <w:pStyle w:val="BodyText"/>
        <w:rPr>
          <w:rFonts w:ascii="Times New Roman" w:eastAsia="Times New Roman"/>
        </w:rPr>
      </w:pPr>
      <w:r>
        <w:rPr/>
        <w:t>网址：</w:t>
      </w:r>
      <w:hyperlink r:id="rId114">
        <w:r>
          <w:rPr>
            <w:rFonts w:ascii="Times New Roman" w:eastAsia="Times New Roman"/>
          </w:rPr>
          <w:t>www.jfcta.com</w:t>
        </w:r>
      </w:hyperlink>
    </w:p>
    <w:p>
      <w:pPr>
        <w:pStyle w:val="BodyText"/>
        <w:spacing w:before="3"/>
        <w:ind w:left="0"/>
        <w:rPr>
          <w:rFonts w:ascii="Times New Roman"/>
          <w:sz w:val="17"/>
        </w:rPr>
      </w:pPr>
    </w:p>
    <w:p>
      <w:pPr>
        <w:pStyle w:val="BodyText"/>
        <w:rPr>
          <w:rFonts w:ascii="Times New Roman" w:eastAsia="Times New Roman"/>
        </w:rPr>
      </w:pPr>
      <w:r>
        <w:rPr/>
        <w:t>客户服务电话：</w:t>
      </w:r>
      <w:r>
        <w:rPr>
          <w:rFonts w:ascii="Times New Roman" w:eastAsia="Times New Roman"/>
        </w:rPr>
        <w:t>400-021-9898</w:t>
      </w:r>
    </w:p>
    <w:p>
      <w:pPr>
        <w:pStyle w:val="BodyText"/>
        <w:spacing w:before="4"/>
        <w:ind w:left="0"/>
        <w:rPr>
          <w:rFonts w:ascii="Times New Roman"/>
          <w:sz w:val="17"/>
        </w:rPr>
      </w:pPr>
    </w:p>
    <w:p>
      <w:pPr>
        <w:pStyle w:val="ListParagraph"/>
        <w:numPr>
          <w:ilvl w:val="0"/>
          <w:numId w:val="31"/>
        </w:numPr>
        <w:tabs>
          <w:tab w:pos="1275" w:val="left" w:leader="none"/>
        </w:tabs>
        <w:spacing w:line="240" w:lineRule="auto" w:before="0" w:after="0"/>
        <w:ind w:left="1275" w:right="0" w:hanging="635"/>
        <w:jc w:val="left"/>
        <w:rPr>
          <w:sz w:val="21"/>
        </w:rPr>
      </w:pPr>
      <w:r>
        <w:rPr>
          <w:spacing w:val="-3"/>
          <w:sz w:val="21"/>
        </w:rPr>
        <w:t>天津国美基金销售有限公司</w:t>
      </w:r>
    </w:p>
    <w:p>
      <w:pPr>
        <w:pStyle w:val="BodyText"/>
        <w:spacing w:before="7"/>
        <w:ind w:left="0"/>
        <w:rPr>
          <w:sz w:val="15"/>
        </w:rPr>
      </w:pPr>
    </w:p>
    <w:p>
      <w:pPr>
        <w:pStyle w:val="BodyText"/>
        <w:spacing w:line="417" w:lineRule="auto"/>
        <w:ind w:right="1816"/>
      </w:pPr>
      <w:r>
        <w:rPr/>
        <w:t>住所：天津经济技术开发区南港工业区综合服务区办公楼</w:t>
      </w:r>
      <w:r>
        <w:rPr>
          <w:rFonts w:ascii="Times New Roman" w:eastAsia="Times New Roman"/>
        </w:rPr>
        <w:t>D</w:t>
      </w:r>
      <w:r>
        <w:rPr/>
        <w:t>座二层</w:t>
      </w:r>
      <w:r>
        <w:rPr>
          <w:rFonts w:ascii="Times New Roman" w:eastAsia="Times New Roman"/>
        </w:rPr>
        <w:t>202-124</w:t>
      </w:r>
      <w:r>
        <w:rPr/>
        <w:t>室办公地址：北京市朝阳区霄云路</w:t>
      </w:r>
      <w:r>
        <w:rPr>
          <w:rFonts w:ascii="Times New Roman" w:eastAsia="Times New Roman"/>
        </w:rPr>
        <w:t>26</w:t>
      </w:r>
      <w:r>
        <w:rPr/>
        <w:t>号鹏润大厦</w:t>
      </w:r>
      <w:r>
        <w:rPr>
          <w:rFonts w:ascii="Times New Roman" w:eastAsia="Times New Roman"/>
        </w:rPr>
        <w:t>B</w:t>
      </w:r>
      <w:r>
        <w:rPr/>
        <w:t>座</w:t>
      </w:r>
      <w:r>
        <w:rPr>
          <w:rFonts w:ascii="Times New Roman" w:eastAsia="Times New Roman"/>
        </w:rPr>
        <w:t>9</w:t>
      </w:r>
      <w:r>
        <w:rPr/>
        <w:t>层</w:t>
      </w:r>
    </w:p>
    <w:p>
      <w:pPr>
        <w:pStyle w:val="BodyText"/>
        <w:spacing w:line="417" w:lineRule="auto"/>
        <w:ind w:right="6870"/>
        <w:jc w:val="both"/>
        <w:rPr>
          <w:rFonts w:ascii="Times New Roman" w:eastAsia="Times New Roman"/>
        </w:rPr>
      </w:pPr>
      <w:r>
        <w:rPr/>
        <w:t>法定代表人：丁东华电话：</w:t>
      </w:r>
      <w:r>
        <w:rPr>
          <w:rFonts w:ascii="Times New Roman" w:eastAsia="Times New Roman"/>
        </w:rPr>
        <w:t>010-59287984 </w:t>
      </w:r>
      <w:r>
        <w:rPr/>
        <w:t>传真：</w:t>
      </w:r>
      <w:r>
        <w:rPr>
          <w:rFonts w:ascii="Times New Roman" w:eastAsia="Times New Roman"/>
        </w:rPr>
        <w:t>010-59287825</w:t>
      </w:r>
    </w:p>
    <w:p>
      <w:pPr>
        <w:pStyle w:val="BodyText"/>
        <w:spacing w:line="269" w:lineRule="exact"/>
      </w:pPr>
      <w:r>
        <w:rPr/>
        <w:t>联系人：郭宝亮</w:t>
      </w:r>
    </w:p>
    <w:p>
      <w:pPr>
        <w:pStyle w:val="BodyText"/>
        <w:spacing w:before="7"/>
        <w:ind w:left="0"/>
        <w:rPr>
          <w:sz w:val="15"/>
        </w:rPr>
      </w:pPr>
    </w:p>
    <w:p>
      <w:pPr>
        <w:pStyle w:val="BodyText"/>
        <w:spacing w:line="417" w:lineRule="auto"/>
        <w:ind w:right="6074"/>
        <w:rPr>
          <w:rFonts w:ascii="Times New Roman" w:eastAsia="Times New Roman"/>
        </w:rPr>
      </w:pPr>
      <w:r>
        <w:rPr/>
        <w:t>网 址 ：</w:t>
      </w:r>
      <w:hyperlink r:id="rId115">
        <w:r>
          <w:rPr>
            <w:rFonts w:ascii="Times New Roman" w:eastAsia="Times New Roman"/>
          </w:rPr>
          <w:t>www.gomefund.com</w:t>
        </w:r>
      </w:hyperlink>
      <w:r>
        <w:rPr>
          <w:rFonts w:ascii="Times New Roman" w:eastAsia="Times New Roman"/>
        </w:rPr>
        <w:t> </w:t>
      </w:r>
      <w:r>
        <w:rPr/>
        <w:t>客户服务电话：</w:t>
      </w:r>
      <w:r>
        <w:rPr>
          <w:rFonts w:ascii="Times New Roman" w:eastAsia="Times New Roman"/>
        </w:rPr>
        <w:t>400-111-0889</w:t>
      </w:r>
    </w:p>
    <w:p>
      <w:pPr>
        <w:spacing w:after="0" w:line="417" w:lineRule="auto"/>
        <w:rPr>
          <w:rFonts w:ascii="Times New Roman" w:eastAsia="Times New Roman"/>
        </w:rPr>
        <w:sectPr>
          <w:pgSz w:w="11910" w:h="16840"/>
          <w:pgMar w:header="705" w:footer="683" w:top="1420" w:bottom="880" w:left="1580" w:right="920"/>
        </w:sectPr>
      </w:pPr>
    </w:p>
    <w:p>
      <w:pPr>
        <w:pStyle w:val="ListParagraph"/>
        <w:numPr>
          <w:ilvl w:val="0"/>
          <w:numId w:val="31"/>
        </w:numPr>
        <w:tabs>
          <w:tab w:pos="1275" w:val="left" w:leader="none"/>
        </w:tabs>
        <w:spacing w:line="240" w:lineRule="auto" w:before="110" w:after="0"/>
        <w:ind w:left="1275" w:right="0" w:hanging="635"/>
        <w:jc w:val="left"/>
        <w:rPr>
          <w:sz w:val="21"/>
        </w:rPr>
      </w:pPr>
      <w:r>
        <w:rPr>
          <w:spacing w:val="-3"/>
          <w:sz w:val="21"/>
        </w:rPr>
        <w:t>上海大智慧基金销售有限公司</w:t>
      </w:r>
    </w:p>
    <w:p>
      <w:pPr>
        <w:pStyle w:val="BodyText"/>
        <w:spacing w:before="6"/>
        <w:ind w:left="0"/>
        <w:rPr>
          <w:sz w:val="15"/>
        </w:rPr>
      </w:pPr>
    </w:p>
    <w:p>
      <w:pPr>
        <w:pStyle w:val="BodyText"/>
      </w:pPr>
      <w:r>
        <w:rPr/>
        <w:t>住所：中国（上海）自由贸易试验区杨高南路</w:t>
      </w:r>
      <w:r>
        <w:rPr>
          <w:rFonts w:ascii="Times New Roman" w:eastAsia="Times New Roman"/>
        </w:rPr>
        <w:t>428</w:t>
      </w:r>
      <w:r>
        <w:rPr/>
        <w:t>号</w:t>
      </w:r>
      <w:r>
        <w:rPr>
          <w:rFonts w:ascii="Times New Roman" w:eastAsia="Times New Roman"/>
        </w:rPr>
        <w:t>1</w:t>
      </w:r>
      <w:r>
        <w:rPr/>
        <w:t>号楼</w:t>
      </w:r>
      <w:r>
        <w:rPr>
          <w:rFonts w:ascii="Times New Roman" w:eastAsia="Times New Roman"/>
        </w:rPr>
        <w:t>1102</w:t>
      </w:r>
      <w:r>
        <w:rPr/>
        <w:t>单元</w:t>
      </w:r>
    </w:p>
    <w:p>
      <w:pPr>
        <w:pStyle w:val="BodyText"/>
        <w:spacing w:before="7"/>
        <w:ind w:left="0"/>
        <w:rPr>
          <w:sz w:val="15"/>
        </w:rPr>
      </w:pPr>
    </w:p>
    <w:p>
      <w:pPr>
        <w:pStyle w:val="BodyText"/>
        <w:spacing w:line="417" w:lineRule="auto"/>
        <w:ind w:right="2256"/>
      </w:pPr>
      <w:r>
        <w:rPr/>
        <w:t>办公地址：中国（上海）自由贸易试验区杨高南路</w:t>
      </w:r>
      <w:r>
        <w:rPr>
          <w:rFonts w:ascii="Times New Roman" w:eastAsia="Times New Roman"/>
        </w:rPr>
        <w:t>428</w:t>
      </w:r>
      <w:r>
        <w:rPr/>
        <w:t>号</w:t>
      </w:r>
      <w:r>
        <w:rPr>
          <w:rFonts w:ascii="Times New Roman" w:eastAsia="Times New Roman"/>
        </w:rPr>
        <w:t>1</w:t>
      </w:r>
      <w:r>
        <w:rPr/>
        <w:t>号楼</w:t>
      </w:r>
      <w:r>
        <w:rPr>
          <w:rFonts w:ascii="Times New Roman" w:eastAsia="Times New Roman"/>
        </w:rPr>
        <w:t>1102</w:t>
      </w:r>
      <w:r>
        <w:rPr/>
        <w:t>单元法定代表人：申健</w:t>
      </w:r>
    </w:p>
    <w:p>
      <w:pPr>
        <w:pStyle w:val="BodyText"/>
        <w:spacing w:line="417" w:lineRule="auto"/>
        <w:ind w:right="6906"/>
        <w:rPr>
          <w:rFonts w:ascii="Times New Roman" w:eastAsia="Times New Roman"/>
        </w:rPr>
      </w:pPr>
      <w:r>
        <w:rPr/>
        <w:t>电话：</w:t>
      </w:r>
      <w:r>
        <w:rPr>
          <w:rFonts w:ascii="Times New Roman" w:eastAsia="Times New Roman"/>
        </w:rPr>
        <w:t>18017373527 </w:t>
      </w:r>
      <w:r>
        <w:rPr/>
        <w:t>传真：</w:t>
      </w:r>
      <w:r>
        <w:rPr>
          <w:rFonts w:ascii="Times New Roman" w:eastAsia="Times New Roman"/>
        </w:rPr>
        <w:t>021-20219923</w:t>
      </w:r>
    </w:p>
    <w:p>
      <w:pPr>
        <w:pStyle w:val="BodyText"/>
        <w:spacing w:line="269" w:lineRule="exact"/>
      </w:pPr>
      <w:r>
        <w:rPr/>
        <w:t>联系人：张蜓</w:t>
      </w:r>
    </w:p>
    <w:p>
      <w:pPr>
        <w:pStyle w:val="BodyText"/>
        <w:spacing w:before="7"/>
        <w:ind w:left="0"/>
        <w:rPr>
          <w:sz w:val="15"/>
        </w:rPr>
      </w:pPr>
    </w:p>
    <w:p>
      <w:pPr>
        <w:pStyle w:val="BodyText"/>
        <w:spacing w:line="417" w:lineRule="auto"/>
        <w:ind w:right="6065"/>
        <w:rPr>
          <w:rFonts w:ascii="Times New Roman" w:eastAsia="Times New Roman"/>
        </w:rPr>
      </w:pPr>
      <w:r>
        <w:rPr/>
        <w:t>网址：</w:t>
      </w:r>
      <w:r>
        <w:rPr>
          <w:rFonts w:ascii="Times New Roman" w:eastAsia="Times New Roman"/>
        </w:rPr>
        <w:t>https://</w:t>
      </w:r>
      <w:hyperlink r:id="rId116">
        <w:r>
          <w:rPr>
            <w:rFonts w:ascii="Times New Roman" w:eastAsia="Times New Roman"/>
          </w:rPr>
          <w:t>www.wg.com.cn/ </w:t>
        </w:r>
      </w:hyperlink>
      <w:r>
        <w:rPr/>
        <w:t>客户服务电话：</w:t>
      </w:r>
      <w:r>
        <w:rPr>
          <w:rFonts w:ascii="Times New Roman" w:eastAsia="Times New Roman"/>
        </w:rPr>
        <w:t>021-20292031</w:t>
      </w:r>
    </w:p>
    <w:p>
      <w:pPr>
        <w:pStyle w:val="ListParagraph"/>
        <w:numPr>
          <w:ilvl w:val="0"/>
          <w:numId w:val="31"/>
        </w:numPr>
        <w:tabs>
          <w:tab w:pos="1275" w:val="left" w:leader="none"/>
        </w:tabs>
        <w:spacing w:line="269" w:lineRule="exact" w:before="0" w:after="0"/>
        <w:ind w:left="1275" w:right="0" w:hanging="635"/>
        <w:jc w:val="left"/>
        <w:rPr>
          <w:sz w:val="21"/>
        </w:rPr>
      </w:pPr>
      <w:r>
        <w:rPr>
          <w:spacing w:val="-3"/>
          <w:sz w:val="21"/>
        </w:rPr>
        <w:t>北京新浪仓石基金销售有限公司</w:t>
      </w:r>
    </w:p>
    <w:p>
      <w:pPr>
        <w:pStyle w:val="BodyText"/>
        <w:spacing w:before="7"/>
        <w:ind w:left="0"/>
        <w:rPr>
          <w:sz w:val="15"/>
        </w:rPr>
      </w:pPr>
    </w:p>
    <w:p>
      <w:pPr>
        <w:pStyle w:val="BodyText"/>
        <w:spacing w:line="417" w:lineRule="auto"/>
        <w:ind w:left="220" w:right="875" w:firstLine="419"/>
      </w:pPr>
      <w:r>
        <w:rPr/>
        <w:t>住所：北京市海淀区东北旺西路中关村软件园二期（西扩）</w:t>
      </w:r>
      <w:r>
        <w:rPr>
          <w:rFonts w:ascii="Times New Roman" w:eastAsia="Times New Roman"/>
        </w:rPr>
        <w:t>N-1</w:t>
      </w:r>
      <w:r>
        <w:rPr/>
        <w:t>、</w:t>
      </w:r>
      <w:r>
        <w:rPr>
          <w:rFonts w:ascii="Times New Roman" w:eastAsia="Times New Roman"/>
        </w:rPr>
        <w:t>N-2</w:t>
      </w:r>
      <w:r>
        <w:rPr/>
        <w:t>地块新浪总部科研楼</w:t>
      </w:r>
      <w:r>
        <w:rPr>
          <w:rFonts w:ascii="Times New Roman" w:eastAsia="Times New Roman"/>
        </w:rPr>
        <w:t>5</w:t>
      </w:r>
      <w:r>
        <w:rPr/>
        <w:t>层</w:t>
      </w:r>
      <w:r>
        <w:rPr>
          <w:rFonts w:ascii="Times New Roman" w:eastAsia="Times New Roman"/>
        </w:rPr>
        <w:t>518</w:t>
      </w:r>
      <w:r>
        <w:rPr/>
        <w:t>室</w:t>
      </w:r>
    </w:p>
    <w:p>
      <w:pPr>
        <w:pStyle w:val="BodyText"/>
        <w:spacing w:line="417" w:lineRule="auto"/>
        <w:ind w:right="2635"/>
      </w:pPr>
      <w:r>
        <w:rPr/>
        <w:t>办公地址：北京市海淀区西北旺东路</w:t>
      </w:r>
      <w:r>
        <w:rPr>
          <w:rFonts w:ascii="Times New Roman" w:eastAsia="Times New Roman"/>
        </w:rPr>
        <w:t>10</w:t>
      </w:r>
      <w:r>
        <w:rPr/>
        <w:t>号院东区</w:t>
      </w:r>
      <w:r>
        <w:rPr>
          <w:rFonts w:ascii="Times New Roman" w:eastAsia="Times New Roman"/>
        </w:rPr>
        <w:t>3</w:t>
      </w:r>
      <w:r>
        <w:rPr/>
        <w:t>号楼为明大厦</w:t>
      </w:r>
      <w:r>
        <w:rPr>
          <w:rFonts w:ascii="Times New Roman" w:eastAsia="Times New Roman"/>
        </w:rPr>
        <w:t>C</w:t>
      </w:r>
      <w:r>
        <w:rPr/>
        <w:t>座法定代表人：赵芯蕊</w:t>
      </w:r>
    </w:p>
    <w:p>
      <w:pPr>
        <w:pStyle w:val="BodyText"/>
        <w:spacing w:line="417" w:lineRule="auto"/>
        <w:ind w:right="6906"/>
        <w:rPr>
          <w:rFonts w:ascii="Times New Roman" w:eastAsia="Times New Roman"/>
        </w:rPr>
      </w:pPr>
      <w:r>
        <w:rPr/>
        <w:t>电话：</w:t>
      </w:r>
      <w:r>
        <w:rPr>
          <w:rFonts w:ascii="Times New Roman" w:eastAsia="Times New Roman"/>
        </w:rPr>
        <w:t>010-62625768 </w:t>
      </w:r>
      <w:r>
        <w:rPr/>
        <w:t>传真：</w:t>
      </w:r>
      <w:r>
        <w:rPr>
          <w:rFonts w:ascii="Times New Roman" w:eastAsia="Times New Roman"/>
        </w:rPr>
        <w:t>010-62676582</w:t>
      </w:r>
    </w:p>
    <w:p>
      <w:pPr>
        <w:pStyle w:val="BodyText"/>
        <w:spacing w:line="269" w:lineRule="exact"/>
      </w:pPr>
      <w:r>
        <w:rPr/>
        <w:t>联系人：赵芯蕊</w:t>
      </w:r>
    </w:p>
    <w:p>
      <w:pPr>
        <w:pStyle w:val="BodyText"/>
        <w:spacing w:before="6"/>
        <w:ind w:left="0"/>
        <w:rPr>
          <w:sz w:val="15"/>
        </w:rPr>
      </w:pPr>
    </w:p>
    <w:p>
      <w:pPr>
        <w:pStyle w:val="BodyText"/>
        <w:rPr>
          <w:rFonts w:ascii="Times New Roman" w:eastAsia="Times New Roman"/>
        </w:rPr>
      </w:pPr>
      <w:r>
        <w:rPr/>
        <w:t>网址：</w:t>
      </w:r>
      <w:hyperlink r:id="rId117">
        <w:r>
          <w:rPr>
            <w:rFonts w:ascii="Times New Roman" w:eastAsia="Times New Roman"/>
          </w:rPr>
          <w:t>www.xincai.com</w:t>
        </w:r>
      </w:hyperlink>
    </w:p>
    <w:p>
      <w:pPr>
        <w:pStyle w:val="BodyText"/>
        <w:spacing w:before="4"/>
        <w:ind w:left="0"/>
        <w:rPr>
          <w:rFonts w:ascii="Times New Roman"/>
          <w:sz w:val="17"/>
        </w:rPr>
      </w:pPr>
    </w:p>
    <w:p>
      <w:pPr>
        <w:pStyle w:val="BodyText"/>
        <w:rPr>
          <w:rFonts w:ascii="Times New Roman" w:eastAsia="Times New Roman"/>
        </w:rPr>
      </w:pPr>
      <w:r>
        <w:rPr/>
        <w:t>客户服务电话：</w:t>
      </w:r>
      <w:r>
        <w:rPr>
          <w:rFonts w:ascii="Times New Roman" w:eastAsia="Times New Roman"/>
        </w:rPr>
        <w:t>010-62675369</w:t>
      </w:r>
    </w:p>
    <w:p>
      <w:pPr>
        <w:pStyle w:val="BodyText"/>
        <w:spacing w:before="3"/>
        <w:ind w:left="0"/>
        <w:rPr>
          <w:rFonts w:ascii="Times New Roman"/>
          <w:sz w:val="17"/>
        </w:rPr>
      </w:pPr>
    </w:p>
    <w:p>
      <w:pPr>
        <w:pStyle w:val="ListParagraph"/>
        <w:numPr>
          <w:ilvl w:val="0"/>
          <w:numId w:val="31"/>
        </w:numPr>
        <w:tabs>
          <w:tab w:pos="1275" w:val="left" w:leader="none"/>
        </w:tabs>
        <w:spacing w:line="240" w:lineRule="auto" w:before="0" w:after="0"/>
        <w:ind w:left="1275" w:right="0" w:hanging="635"/>
        <w:jc w:val="left"/>
        <w:rPr>
          <w:sz w:val="21"/>
        </w:rPr>
      </w:pPr>
      <w:r>
        <w:rPr>
          <w:spacing w:val="-3"/>
          <w:sz w:val="21"/>
        </w:rPr>
        <w:t>北京辉腾汇富基金销售有限公司</w:t>
      </w:r>
    </w:p>
    <w:p>
      <w:pPr>
        <w:pStyle w:val="BodyText"/>
        <w:spacing w:before="7"/>
        <w:ind w:left="0"/>
        <w:rPr>
          <w:sz w:val="15"/>
        </w:rPr>
      </w:pPr>
    </w:p>
    <w:p>
      <w:pPr>
        <w:pStyle w:val="BodyText"/>
        <w:rPr>
          <w:rFonts w:ascii="Times New Roman" w:eastAsia="Times New Roman"/>
        </w:rPr>
      </w:pPr>
      <w:r>
        <w:rPr/>
        <w:t>住所：北京市东城区朝阳门北大街</w:t>
      </w:r>
      <w:r>
        <w:rPr>
          <w:rFonts w:ascii="Times New Roman" w:eastAsia="Times New Roman"/>
        </w:rPr>
        <w:t>8</w:t>
      </w:r>
      <w:r>
        <w:rPr/>
        <w:t>号</w:t>
      </w:r>
      <w:r>
        <w:rPr>
          <w:rFonts w:ascii="Times New Roman" w:eastAsia="Times New Roman"/>
        </w:rPr>
        <w:t>2-2-1</w:t>
      </w:r>
    </w:p>
    <w:p>
      <w:pPr>
        <w:pStyle w:val="BodyText"/>
        <w:spacing w:before="4"/>
        <w:ind w:left="0"/>
        <w:rPr>
          <w:rFonts w:ascii="Times New Roman"/>
          <w:sz w:val="17"/>
        </w:rPr>
      </w:pPr>
    </w:p>
    <w:p>
      <w:pPr>
        <w:pStyle w:val="BodyText"/>
        <w:spacing w:line="417" w:lineRule="auto"/>
        <w:ind w:right="3150"/>
      </w:pPr>
      <w:r>
        <w:rPr/>
        <w:t>办公地址：北京市东城区朝阳门北大街</w:t>
      </w:r>
      <w:r>
        <w:rPr>
          <w:rFonts w:ascii="Times New Roman" w:eastAsia="Times New Roman"/>
        </w:rPr>
        <w:t>8</w:t>
      </w:r>
      <w:r>
        <w:rPr/>
        <w:t>号富华大厦</w:t>
      </w:r>
      <w:r>
        <w:rPr>
          <w:rFonts w:ascii="Times New Roman" w:eastAsia="Times New Roman"/>
        </w:rPr>
        <w:t>F</w:t>
      </w:r>
      <w:r>
        <w:rPr/>
        <w:t>座</w:t>
      </w:r>
      <w:r>
        <w:rPr>
          <w:rFonts w:ascii="Times New Roman" w:eastAsia="Times New Roman"/>
        </w:rPr>
        <w:t>12</w:t>
      </w:r>
      <w:r>
        <w:rPr/>
        <w:t>层</w:t>
      </w:r>
      <w:r>
        <w:rPr>
          <w:rFonts w:ascii="Times New Roman" w:eastAsia="Times New Roman"/>
        </w:rPr>
        <w:t>B </w:t>
      </w:r>
      <w:r>
        <w:rPr/>
        <w:t>法定代表人：许宁</w:t>
      </w:r>
    </w:p>
    <w:p>
      <w:pPr>
        <w:pStyle w:val="BodyText"/>
        <w:spacing w:line="417" w:lineRule="auto"/>
        <w:ind w:right="6906"/>
        <w:rPr>
          <w:rFonts w:ascii="Times New Roman" w:eastAsia="Times New Roman"/>
        </w:rPr>
      </w:pPr>
      <w:r>
        <w:rPr/>
        <w:t>电话：</w:t>
      </w:r>
      <w:r>
        <w:rPr>
          <w:rFonts w:ascii="Times New Roman" w:eastAsia="Times New Roman"/>
        </w:rPr>
        <w:t>010-85610733 </w:t>
      </w:r>
      <w:r>
        <w:rPr/>
        <w:t>传真：</w:t>
      </w:r>
      <w:r>
        <w:rPr>
          <w:rFonts w:ascii="Times New Roman" w:eastAsia="Times New Roman"/>
        </w:rPr>
        <w:t>010-85622351</w:t>
      </w:r>
    </w:p>
    <w:p>
      <w:pPr>
        <w:pStyle w:val="BodyText"/>
        <w:spacing w:line="269" w:lineRule="exact"/>
      </w:pPr>
      <w:r>
        <w:rPr/>
        <w:t>联系人：彭雪琳</w:t>
      </w:r>
    </w:p>
    <w:p>
      <w:pPr>
        <w:pStyle w:val="BodyText"/>
        <w:spacing w:before="6"/>
        <w:ind w:left="0"/>
        <w:rPr>
          <w:sz w:val="15"/>
        </w:rPr>
      </w:pPr>
    </w:p>
    <w:p>
      <w:pPr>
        <w:pStyle w:val="BodyText"/>
        <w:spacing w:line="417" w:lineRule="auto" w:before="1"/>
        <w:ind w:right="5992"/>
        <w:rPr>
          <w:rFonts w:ascii="Times New Roman" w:eastAsia="Times New Roman"/>
        </w:rPr>
      </w:pPr>
      <w:r>
        <w:rPr/>
        <w:t>网址：</w:t>
      </w:r>
      <w:r>
        <w:rPr>
          <w:rFonts w:ascii="Times New Roman" w:eastAsia="Times New Roman"/>
        </w:rPr>
        <w:t>https://</w:t>
      </w:r>
      <w:hyperlink r:id="rId118">
        <w:r>
          <w:rPr>
            <w:rFonts w:ascii="Times New Roman" w:eastAsia="Times New Roman"/>
          </w:rPr>
          <w:t>www.htfund.com/ </w:t>
        </w:r>
      </w:hyperlink>
      <w:r>
        <w:rPr/>
        <w:t>客户服务电话：</w:t>
      </w:r>
      <w:r>
        <w:rPr>
          <w:rFonts w:ascii="Times New Roman" w:eastAsia="Times New Roman"/>
        </w:rPr>
        <w:t>400-829-1218</w:t>
      </w:r>
    </w:p>
    <w:p>
      <w:pPr>
        <w:pStyle w:val="ListParagraph"/>
        <w:numPr>
          <w:ilvl w:val="0"/>
          <w:numId w:val="31"/>
        </w:numPr>
        <w:tabs>
          <w:tab w:pos="1275" w:val="left" w:leader="none"/>
        </w:tabs>
        <w:spacing w:line="240" w:lineRule="auto" w:before="0" w:after="0"/>
        <w:ind w:left="1275" w:right="0" w:hanging="635"/>
        <w:jc w:val="left"/>
        <w:rPr>
          <w:sz w:val="21"/>
        </w:rPr>
      </w:pPr>
      <w:r>
        <w:rPr>
          <w:spacing w:val="-3"/>
          <w:sz w:val="21"/>
        </w:rPr>
        <w:t>济安财富</w:t>
      </w:r>
      <w:r>
        <w:rPr>
          <w:sz w:val="21"/>
        </w:rPr>
        <w:t>（</w:t>
      </w:r>
      <w:r>
        <w:rPr>
          <w:spacing w:val="-2"/>
          <w:sz w:val="21"/>
        </w:rPr>
        <w:t>北京</w:t>
      </w:r>
      <w:r>
        <w:rPr>
          <w:spacing w:val="-3"/>
          <w:sz w:val="21"/>
        </w:rPr>
        <w:t>）基金销售有限公司</w:t>
      </w:r>
    </w:p>
    <w:p>
      <w:pPr>
        <w:pStyle w:val="BodyText"/>
        <w:spacing w:before="6"/>
        <w:ind w:left="0"/>
        <w:rPr>
          <w:sz w:val="15"/>
        </w:rPr>
      </w:pPr>
    </w:p>
    <w:p>
      <w:pPr>
        <w:pStyle w:val="BodyText"/>
        <w:rPr>
          <w:rFonts w:ascii="Times New Roman" w:eastAsia="Times New Roman"/>
        </w:rPr>
      </w:pPr>
      <w:r>
        <w:rPr/>
        <w:t>住所：北京市朝阳区太阳宫中路</w:t>
      </w:r>
      <w:r>
        <w:rPr>
          <w:rFonts w:ascii="Times New Roman" w:eastAsia="Times New Roman"/>
        </w:rPr>
        <w:t>16</w:t>
      </w:r>
      <w:r>
        <w:rPr/>
        <w:t>号院</w:t>
      </w:r>
      <w:r>
        <w:rPr>
          <w:rFonts w:ascii="Times New Roman" w:eastAsia="Times New Roman"/>
        </w:rPr>
        <w:t>1</w:t>
      </w:r>
      <w:r>
        <w:rPr/>
        <w:t>号楼</w:t>
      </w:r>
      <w:r>
        <w:rPr>
          <w:rFonts w:ascii="Times New Roman" w:eastAsia="Times New Roman"/>
        </w:rPr>
        <w:t>3</w:t>
      </w:r>
      <w:r>
        <w:rPr/>
        <w:t>层</w:t>
      </w:r>
      <w:r>
        <w:rPr>
          <w:rFonts w:ascii="Times New Roman" w:eastAsia="Times New Roman"/>
        </w:rPr>
        <w:t>307</w:t>
      </w:r>
    </w:p>
    <w:p>
      <w:pPr>
        <w:spacing w:after="0"/>
        <w:rPr>
          <w:rFonts w:ascii="Times New Roman" w:eastAsia="Times New Roman"/>
        </w:rPr>
        <w:sectPr>
          <w:pgSz w:w="11910" w:h="16840"/>
          <w:pgMar w:header="705" w:footer="683" w:top="1420" w:bottom="880" w:left="1580" w:right="920"/>
        </w:sectPr>
      </w:pPr>
    </w:p>
    <w:p>
      <w:pPr>
        <w:pStyle w:val="BodyText"/>
        <w:spacing w:line="417" w:lineRule="auto" w:before="110"/>
        <w:ind w:right="3612"/>
      </w:pPr>
      <w:r>
        <w:rPr/>
        <w:t>办公地址：北京市朝阳区太阳宫中路</w:t>
      </w:r>
      <w:r>
        <w:rPr>
          <w:rFonts w:ascii="Times New Roman" w:eastAsia="Times New Roman"/>
        </w:rPr>
        <w:t>16</w:t>
      </w:r>
      <w:r>
        <w:rPr/>
        <w:t>号院</w:t>
      </w:r>
      <w:r>
        <w:rPr>
          <w:rFonts w:ascii="Times New Roman" w:eastAsia="Times New Roman"/>
        </w:rPr>
        <w:t>1</w:t>
      </w:r>
      <w:r>
        <w:rPr/>
        <w:t>号楼</w:t>
      </w:r>
      <w:r>
        <w:rPr>
          <w:rFonts w:ascii="Times New Roman" w:eastAsia="Times New Roman"/>
        </w:rPr>
        <w:t>3</w:t>
      </w:r>
      <w:r>
        <w:rPr/>
        <w:t>层</w:t>
      </w:r>
      <w:r>
        <w:rPr>
          <w:rFonts w:ascii="Times New Roman" w:eastAsia="Times New Roman"/>
        </w:rPr>
        <w:t>307 </w:t>
      </w:r>
      <w:r>
        <w:rPr/>
        <w:t>法定代表人：杨健</w:t>
      </w:r>
    </w:p>
    <w:p>
      <w:pPr>
        <w:pStyle w:val="BodyText"/>
        <w:spacing w:line="417" w:lineRule="auto"/>
        <w:ind w:right="6906"/>
        <w:rPr>
          <w:rFonts w:ascii="Times New Roman" w:eastAsia="Times New Roman"/>
        </w:rPr>
      </w:pPr>
      <w:r>
        <w:rPr/>
        <w:t>电话：</w:t>
      </w:r>
      <w:r>
        <w:rPr>
          <w:rFonts w:ascii="Times New Roman" w:eastAsia="Times New Roman"/>
        </w:rPr>
        <w:t>010-65309516 </w:t>
      </w:r>
      <w:r>
        <w:rPr/>
        <w:t>传真：</w:t>
      </w:r>
      <w:r>
        <w:rPr>
          <w:rFonts w:ascii="Times New Roman" w:eastAsia="Times New Roman"/>
        </w:rPr>
        <w:t>010-65330699</w:t>
      </w:r>
    </w:p>
    <w:p>
      <w:pPr>
        <w:pStyle w:val="BodyText"/>
        <w:spacing w:line="269" w:lineRule="exact"/>
      </w:pPr>
      <w:r>
        <w:rPr/>
        <w:t>联系人：李海燕</w:t>
      </w:r>
    </w:p>
    <w:p>
      <w:pPr>
        <w:pStyle w:val="BodyText"/>
        <w:spacing w:before="6"/>
        <w:ind w:left="0"/>
        <w:rPr>
          <w:sz w:val="15"/>
        </w:rPr>
      </w:pPr>
    </w:p>
    <w:p>
      <w:pPr>
        <w:pStyle w:val="BodyText"/>
        <w:spacing w:line="417" w:lineRule="auto"/>
        <w:ind w:right="6101"/>
        <w:rPr>
          <w:rFonts w:ascii="Times New Roman" w:eastAsia="Times New Roman"/>
        </w:rPr>
      </w:pPr>
      <w:r>
        <w:rPr/>
        <w:t>网址：</w:t>
      </w:r>
      <w:hyperlink r:id="rId119">
        <w:r>
          <w:rPr>
            <w:rFonts w:ascii="Times New Roman" w:eastAsia="Times New Roman"/>
          </w:rPr>
          <w:t>www.jianfortune.com</w:t>
        </w:r>
      </w:hyperlink>
      <w:r>
        <w:rPr>
          <w:rFonts w:ascii="Times New Roman" w:eastAsia="Times New Roman"/>
        </w:rPr>
        <w:t> </w:t>
      </w:r>
      <w:r>
        <w:rPr/>
        <w:t>客户服务电话：</w:t>
      </w:r>
      <w:r>
        <w:rPr>
          <w:rFonts w:ascii="Times New Roman" w:eastAsia="Times New Roman"/>
        </w:rPr>
        <w:t>400-673-7010</w:t>
      </w:r>
    </w:p>
    <w:p>
      <w:pPr>
        <w:pStyle w:val="ListParagraph"/>
        <w:numPr>
          <w:ilvl w:val="0"/>
          <w:numId w:val="31"/>
        </w:numPr>
        <w:tabs>
          <w:tab w:pos="1275" w:val="left" w:leader="none"/>
        </w:tabs>
        <w:spacing w:line="240" w:lineRule="auto" w:before="0" w:after="0"/>
        <w:ind w:left="1275" w:right="0" w:hanging="635"/>
        <w:jc w:val="left"/>
        <w:rPr>
          <w:sz w:val="21"/>
        </w:rPr>
      </w:pPr>
      <w:r>
        <w:rPr>
          <w:spacing w:val="-3"/>
          <w:sz w:val="21"/>
        </w:rPr>
        <w:t>上海万得基金销售有限公司</w:t>
      </w:r>
    </w:p>
    <w:p>
      <w:pPr>
        <w:pStyle w:val="BodyText"/>
        <w:spacing w:before="7"/>
        <w:ind w:left="0"/>
        <w:rPr>
          <w:sz w:val="15"/>
        </w:rPr>
      </w:pPr>
    </w:p>
    <w:p>
      <w:pPr>
        <w:pStyle w:val="BodyText"/>
        <w:spacing w:line="417" w:lineRule="auto"/>
        <w:ind w:right="3514"/>
      </w:pPr>
      <w:r>
        <w:rPr/>
        <w:t>住所：中国（上海）自由贸易试验区福山路</w:t>
      </w:r>
      <w:r>
        <w:rPr>
          <w:rFonts w:ascii="Times New Roman" w:eastAsia="Times New Roman"/>
        </w:rPr>
        <w:t>33</w:t>
      </w:r>
      <w:r>
        <w:rPr/>
        <w:t>号</w:t>
      </w:r>
      <w:r>
        <w:rPr>
          <w:rFonts w:ascii="Times New Roman" w:eastAsia="Times New Roman"/>
        </w:rPr>
        <w:t>11</w:t>
      </w:r>
      <w:r>
        <w:rPr/>
        <w:t>楼</w:t>
      </w:r>
      <w:r>
        <w:rPr>
          <w:rFonts w:ascii="Times New Roman" w:eastAsia="Times New Roman"/>
        </w:rPr>
        <w:t>B</w:t>
      </w:r>
      <w:r>
        <w:rPr/>
        <w:t>座办公地址：上海市浦东新区浦明路</w:t>
      </w:r>
      <w:r>
        <w:rPr>
          <w:rFonts w:ascii="Times New Roman" w:eastAsia="Times New Roman"/>
        </w:rPr>
        <w:t>1500</w:t>
      </w:r>
      <w:r>
        <w:rPr/>
        <w:t>号万得大厦</w:t>
      </w:r>
      <w:r>
        <w:rPr>
          <w:rFonts w:ascii="Times New Roman" w:eastAsia="Times New Roman"/>
        </w:rPr>
        <w:t>11</w:t>
      </w:r>
      <w:r>
        <w:rPr/>
        <w:t>楼法定代表人：黄祎</w:t>
      </w:r>
    </w:p>
    <w:p>
      <w:pPr>
        <w:pStyle w:val="BodyText"/>
        <w:spacing w:line="417" w:lineRule="auto"/>
        <w:ind w:right="6906"/>
        <w:rPr>
          <w:rFonts w:ascii="Times New Roman" w:eastAsia="Times New Roman"/>
        </w:rPr>
      </w:pPr>
      <w:r>
        <w:rPr/>
        <w:t>电话：</w:t>
      </w:r>
      <w:r>
        <w:rPr>
          <w:rFonts w:ascii="Times New Roman" w:eastAsia="Times New Roman"/>
        </w:rPr>
        <w:t>021-50712782 </w:t>
      </w:r>
      <w:r>
        <w:rPr/>
        <w:t>传真：</w:t>
      </w:r>
      <w:r>
        <w:rPr>
          <w:rFonts w:ascii="Times New Roman" w:eastAsia="Times New Roman"/>
        </w:rPr>
        <w:t>021-50710161</w:t>
      </w:r>
    </w:p>
    <w:p>
      <w:pPr>
        <w:pStyle w:val="BodyText"/>
        <w:spacing w:line="269" w:lineRule="exact"/>
      </w:pPr>
      <w:r>
        <w:rPr/>
        <w:t>联系人：徐亚丹</w:t>
      </w:r>
    </w:p>
    <w:p>
      <w:pPr>
        <w:pStyle w:val="BodyText"/>
        <w:spacing w:before="7"/>
        <w:ind w:left="0"/>
        <w:rPr>
          <w:sz w:val="15"/>
        </w:rPr>
      </w:pPr>
    </w:p>
    <w:p>
      <w:pPr>
        <w:pStyle w:val="BodyText"/>
        <w:spacing w:line="417" w:lineRule="auto"/>
        <w:ind w:right="6101"/>
        <w:rPr>
          <w:rFonts w:ascii="Times New Roman" w:eastAsia="Times New Roman"/>
        </w:rPr>
      </w:pPr>
      <w:r>
        <w:rPr/>
        <w:t>网址：</w:t>
      </w:r>
      <w:hyperlink r:id="rId120">
        <w:r>
          <w:rPr>
            <w:rFonts w:ascii="Times New Roman" w:eastAsia="Times New Roman"/>
          </w:rPr>
          <w:t>www.520fund.com.cn </w:t>
        </w:r>
      </w:hyperlink>
      <w:r>
        <w:rPr/>
        <w:t>客户服务电话：</w:t>
      </w:r>
      <w:r>
        <w:rPr>
          <w:rFonts w:ascii="Times New Roman" w:eastAsia="Times New Roman"/>
        </w:rPr>
        <w:t>400-799-1888</w:t>
      </w:r>
    </w:p>
    <w:p>
      <w:pPr>
        <w:pStyle w:val="ListParagraph"/>
        <w:numPr>
          <w:ilvl w:val="0"/>
          <w:numId w:val="31"/>
        </w:numPr>
        <w:tabs>
          <w:tab w:pos="1275" w:val="left" w:leader="none"/>
        </w:tabs>
        <w:spacing w:line="269" w:lineRule="exact" w:before="0" w:after="0"/>
        <w:ind w:left="1275" w:right="0" w:hanging="635"/>
        <w:jc w:val="left"/>
        <w:rPr>
          <w:sz w:val="21"/>
        </w:rPr>
      </w:pPr>
      <w:r>
        <w:rPr>
          <w:spacing w:val="-3"/>
          <w:sz w:val="21"/>
        </w:rPr>
        <w:t>凤凰金信</w:t>
      </w:r>
      <w:r>
        <w:rPr>
          <w:sz w:val="21"/>
        </w:rPr>
        <w:t>（</w:t>
      </w:r>
      <w:r>
        <w:rPr>
          <w:spacing w:val="-2"/>
          <w:sz w:val="21"/>
        </w:rPr>
        <w:t>银川</w:t>
      </w:r>
      <w:r>
        <w:rPr>
          <w:spacing w:val="-3"/>
          <w:sz w:val="21"/>
        </w:rPr>
        <w:t>）基金销售有限公司</w:t>
      </w:r>
    </w:p>
    <w:p>
      <w:pPr>
        <w:pStyle w:val="BodyText"/>
        <w:spacing w:before="6"/>
        <w:ind w:left="0"/>
        <w:rPr>
          <w:sz w:val="15"/>
        </w:rPr>
      </w:pPr>
    </w:p>
    <w:p>
      <w:pPr>
        <w:pStyle w:val="BodyText"/>
        <w:spacing w:line="417" w:lineRule="auto" w:before="1"/>
        <w:ind w:right="873"/>
      </w:pPr>
      <w:r>
        <w:rPr>
          <w:spacing w:val="-12"/>
          <w:w w:val="100"/>
        </w:rPr>
        <w:t>住所：宁夏回族自治区银川市金凤区阅海湾中央商务区万寿路</w:t>
      </w:r>
      <w:r>
        <w:rPr>
          <w:rFonts w:ascii="Times New Roman" w:eastAsia="Times New Roman"/>
          <w:w w:val="100"/>
        </w:rPr>
        <w:t>1</w:t>
      </w:r>
      <w:r>
        <w:rPr>
          <w:rFonts w:ascii="Times New Roman" w:eastAsia="Times New Roman"/>
          <w:spacing w:val="-3"/>
          <w:w w:val="100"/>
        </w:rPr>
        <w:t>4</w:t>
      </w:r>
      <w:r>
        <w:rPr>
          <w:rFonts w:ascii="Times New Roman" w:eastAsia="Times New Roman"/>
          <w:spacing w:val="-1"/>
          <w:w w:val="100"/>
        </w:rPr>
        <w:t>2</w:t>
      </w:r>
      <w:r>
        <w:rPr>
          <w:w w:val="100"/>
        </w:rPr>
        <w:t>号</w:t>
      </w:r>
      <w:r>
        <w:rPr>
          <w:rFonts w:ascii="Times New Roman" w:eastAsia="Times New Roman"/>
          <w:spacing w:val="-3"/>
          <w:w w:val="100"/>
        </w:rPr>
        <w:t>1</w:t>
      </w:r>
      <w:r>
        <w:rPr>
          <w:rFonts w:ascii="Times New Roman" w:eastAsia="Times New Roman"/>
          <w:w w:val="100"/>
        </w:rPr>
        <w:t>4</w:t>
      </w:r>
      <w:r>
        <w:rPr>
          <w:w w:val="100"/>
        </w:rPr>
        <w:t>层</w:t>
      </w:r>
      <w:r>
        <w:rPr>
          <w:rFonts w:ascii="Times New Roman" w:eastAsia="Times New Roman"/>
          <w:spacing w:val="-3"/>
          <w:w w:val="100"/>
        </w:rPr>
        <w:t>1</w:t>
      </w:r>
      <w:r>
        <w:rPr>
          <w:rFonts w:ascii="Times New Roman" w:eastAsia="Times New Roman"/>
          <w:w w:val="100"/>
        </w:rPr>
        <w:t>40</w:t>
      </w:r>
      <w:r>
        <w:rPr>
          <w:rFonts w:ascii="Times New Roman" w:eastAsia="Times New Roman"/>
          <w:spacing w:val="-101"/>
          <w:w w:val="100"/>
        </w:rPr>
        <w:t>2</w:t>
      </w:r>
      <w:r>
        <w:rPr>
          <w:w w:val="100"/>
        </w:rPr>
        <w:t>（</w:t>
      </w:r>
      <w:r>
        <w:rPr>
          <w:rFonts w:ascii="Times New Roman" w:eastAsia="Times New Roman"/>
          <w:spacing w:val="-3"/>
          <w:w w:val="100"/>
        </w:rPr>
        <w:t>7</w:t>
      </w:r>
      <w:r>
        <w:rPr>
          <w:rFonts w:ascii="Times New Roman" w:eastAsia="Times New Roman"/>
          <w:w w:val="100"/>
        </w:rPr>
        <w:t>500</w:t>
      </w:r>
      <w:r>
        <w:rPr>
          <w:rFonts w:ascii="Times New Roman" w:eastAsia="Times New Roman"/>
          <w:spacing w:val="-3"/>
          <w:w w:val="100"/>
        </w:rPr>
        <w:t>00</w:t>
      </w:r>
      <w:r>
        <w:rPr>
          <w:w w:val="100"/>
        </w:rPr>
        <w:t>）</w:t>
      </w:r>
      <w:r>
        <w:rPr>
          <w:spacing w:val="-3"/>
        </w:rPr>
        <w:t>办公地址：北京市朝阳区紫月路</w:t>
      </w:r>
      <w:r>
        <w:rPr>
          <w:rFonts w:ascii="Times New Roman" w:eastAsia="Times New Roman"/>
        </w:rPr>
        <w:t>18</w:t>
      </w:r>
      <w:r>
        <w:rPr>
          <w:spacing w:val="-3"/>
        </w:rPr>
        <w:t>号院朝来高科技产业园</w:t>
      </w:r>
      <w:r>
        <w:rPr>
          <w:rFonts w:ascii="Times New Roman" w:eastAsia="Times New Roman"/>
        </w:rPr>
        <w:t>18</w:t>
      </w:r>
      <w:r>
        <w:rPr>
          <w:spacing w:val="-2"/>
        </w:rPr>
        <w:t>号楼</w:t>
      </w:r>
      <w:r>
        <w:rPr/>
        <w:t>（</w:t>
      </w:r>
      <w:r>
        <w:rPr>
          <w:rFonts w:ascii="Times New Roman" w:eastAsia="Times New Roman"/>
        </w:rPr>
        <w:t>100000</w:t>
      </w:r>
      <w:r>
        <w:rPr/>
        <w:t>）</w:t>
      </w:r>
    </w:p>
    <w:p>
      <w:pPr>
        <w:pStyle w:val="BodyText"/>
        <w:spacing w:line="417" w:lineRule="auto"/>
        <w:ind w:right="6844"/>
        <w:rPr>
          <w:rFonts w:ascii="Times New Roman" w:eastAsia="Times New Roman"/>
        </w:rPr>
      </w:pPr>
      <w:r>
        <w:rPr/>
        <w:t>法定代表人：程刚电话：</w:t>
      </w:r>
      <w:r>
        <w:rPr>
          <w:rFonts w:ascii="Times New Roman" w:eastAsia="Times New Roman"/>
        </w:rPr>
        <w:t>010-58160168 </w:t>
      </w:r>
      <w:r>
        <w:rPr/>
        <w:t>传真：</w:t>
      </w:r>
      <w:r>
        <w:rPr>
          <w:rFonts w:ascii="Times New Roman" w:eastAsia="Times New Roman"/>
        </w:rPr>
        <w:t>010-58160173</w:t>
      </w:r>
    </w:p>
    <w:p>
      <w:pPr>
        <w:pStyle w:val="BodyText"/>
      </w:pPr>
      <w:r>
        <w:rPr/>
        <w:t>联系人：张旭</w:t>
      </w:r>
    </w:p>
    <w:p>
      <w:pPr>
        <w:pStyle w:val="BodyText"/>
        <w:spacing w:before="6"/>
        <w:ind w:left="0"/>
        <w:rPr>
          <w:sz w:val="15"/>
        </w:rPr>
      </w:pPr>
    </w:p>
    <w:p>
      <w:pPr>
        <w:pStyle w:val="BodyText"/>
        <w:rPr>
          <w:rFonts w:ascii="Times New Roman" w:eastAsia="Times New Roman"/>
        </w:rPr>
      </w:pPr>
      <w:r>
        <w:rPr/>
        <w:t>网址：</w:t>
      </w:r>
      <w:hyperlink r:id="rId121">
        <w:r>
          <w:rPr>
            <w:rFonts w:ascii="Times New Roman" w:eastAsia="Times New Roman"/>
          </w:rPr>
          <w:t>www.fengfd.com</w:t>
        </w:r>
      </w:hyperlink>
    </w:p>
    <w:p>
      <w:pPr>
        <w:pStyle w:val="BodyText"/>
        <w:spacing w:before="3"/>
        <w:ind w:left="0"/>
        <w:rPr>
          <w:rFonts w:ascii="Times New Roman"/>
          <w:sz w:val="17"/>
        </w:rPr>
      </w:pPr>
    </w:p>
    <w:p>
      <w:pPr>
        <w:pStyle w:val="BodyText"/>
        <w:rPr>
          <w:rFonts w:ascii="Times New Roman" w:eastAsia="Times New Roman"/>
        </w:rPr>
      </w:pPr>
      <w:r>
        <w:rPr/>
        <w:t>客户服务电话：</w:t>
      </w:r>
      <w:r>
        <w:rPr>
          <w:rFonts w:ascii="Times New Roman" w:eastAsia="Times New Roman"/>
        </w:rPr>
        <w:t>400-810-5919</w:t>
      </w:r>
    </w:p>
    <w:p>
      <w:pPr>
        <w:pStyle w:val="BodyText"/>
        <w:spacing w:before="4"/>
        <w:ind w:left="0"/>
        <w:rPr>
          <w:rFonts w:ascii="Times New Roman"/>
          <w:sz w:val="17"/>
        </w:rPr>
      </w:pPr>
    </w:p>
    <w:p>
      <w:pPr>
        <w:pStyle w:val="ListParagraph"/>
        <w:numPr>
          <w:ilvl w:val="0"/>
          <w:numId w:val="31"/>
        </w:numPr>
        <w:tabs>
          <w:tab w:pos="1275" w:val="left" w:leader="none"/>
        </w:tabs>
        <w:spacing w:line="240" w:lineRule="auto" w:before="0" w:after="0"/>
        <w:ind w:left="1275" w:right="0" w:hanging="635"/>
        <w:jc w:val="left"/>
        <w:rPr>
          <w:sz w:val="21"/>
        </w:rPr>
      </w:pPr>
      <w:r>
        <w:rPr>
          <w:spacing w:val="-3"/>
          <w:sz w:val="21"/>
        </w:rPr>
        <w:t>上海联泰基金销售有限公司</w:t>
      </w:r>
    </w:p>
    <w:p>
      <w:pPr>
        <w:pStyle w:val="BodyText"/>
        <w:spacing w:before="6"/>
        <w:ind w:left="0"/>
        <w:rPr>
          <w:sz w:val="15"/>
        </w:rPr>
      </w:pPr>
    </w:p>
    <w:p>
      <w:pPr>
        <w:pStyle w:val="BodyText"/>
        <w:spacing w:line="417" w:lineRule="auto" w:before="1"/>
        <w:ind w:right="3195"/>
      </w:pPr>
      <w:r>
        <w:rPr/>
        <w:t>住所：中国（上海）自由贸易试验区富特北路</w:t>
      </w:r>
      <w:r>
        <w:rPr>
          <w:rFonts w:ascii="Times New Roman" w:eastAsia="Times New Roman"/>
        </w:rPr>
        <w:t>277</w:t>
      </w:r>
      <w:r>
        <w:rPr/>
        <w:t>号</w:t>
      </w:r>
      <w:r>
        <w:rPr>
          <w:rFonts w:ascii="Times New Roman" w:eastAsia="Times New Roman"/>
        </w:rPr>
        <w:t>3</w:t>
      </w:r>
      <w:r>
        <w:rPr/>
        <w:t>层</w:t>
      </w:r>
      <w:r>
        <w:rPr>
          <w:rFonts w:ascii="Times New Roman" w:eastAsia="Times New Roman"/>
        </w:rPr>
        <w:t>310</w:t>
      </w:r>
      <w:r>
        <w:rPr/>
        <w:t>室办公地址：中国（上海）长宁区福泉北路</w:t>
      </w:r>
      <w:r>
        <w:rPr>
          <w:rFonts w:ascii="Times New Roman" w:eastAsia="Times New Roman"/>
        </w:rPr>
        <w:t>518</w:t>
      </w:r>
      <w:r>
        <w:rPr/>
        <w:t>号</w:t>
      </w:r>
      <w:r>
        <w:rPr>
          <w:rFonts w:ascii="Times New Roman" w:eastAsia="Times New Roman"/>
        </w:rPr>
        <w:t>8</w:t>
      </w:r>
      <w:r>
        <w:rPr/>
        <w:t>座</w:t>
      </w:r>
      <w:r>
        <w:rPr>
          <w:rFonts w:ascii="Times New Roman" w:eastAsia="Times New Roman"/>
        </w:rPr>
        <w:t>3</w:t>
      </w:r>
      <w:r>
        <w:rPr/>
        <w:t>层</w:t>
      </w:r>
    </w:p>
    <w:p>
      <w:pPr>
        <w:pStyle w:val="BodyText"/>
        <w:spacing w:line="417" w:lineRule="auto"/>
        <w:ind w:right="6870"/>
        <w:rPr>
          <w:rFonts w:ascii="Times New Roman" w:eastAsia="Times New Roman"/>
        </w:rPr>
      </w:pPr>
      <w:r>
        <w:rPr/>
        <w:t>法定代表人：尹彬彬电话：</w:t>
      </w:r>
      <w:r>
        <w:rPr>
          <w:rFonts w:ascii="Times New Roman" w:eastAsia="Times New Roman"/>
        </w:rPr>
        <w:t>15201924977</w:t>
      </w:r>
    </w:p>
    <w:p>
      <w:pPr>
        <w:spacing w:after="0" w:line="417" w:lineRule="auto"/>
        <w:rPr>
          <w:rFonts w:ascii="Times New Roman" w:eastAsia="Times New Roman"/>
        </w:rPr>
        <w:sectPr>
          <w:pgSz w:w="11910" w:h="16840"/>
          <w:pgMar w:header="705" w:footer="683" w:top="1420" w:bottom="880" w:left="1580" w:right="920"/>
        </w:sectPr>
      </w:pPr>
    </w:p>
    <w:p>
      <w:pPr>
        <w:pStyle w:val="BodyText"/>
        <w:spacing w:before="110"/>
        <w:rPr>
          <w:rFonts w:ascii="Times New Roman" w:eastAsia="Times New Roman"/>
        </w:rPr>
      </w:pPr>
      <w:r>
        <w:rPr/>
        <w:t>传真：</w:t>
      </w:r>
      <w:r>
        <w:rPr>
          <w:rFonts w:ascii="Times New Roman" w:eastAsia="Times New Roman"/>
        </w:rPr>
        <w:t>021-52975270</w:t>
      </w:r>
    </w:p>
    <w:p>
      <w:pPr>
        <w:pStyle w:val="BodyText"/>
        <w:spacing w:before="3"/>
        <w:ind w:left="0"/>
        <w:rPr>
          <w:rFonts w:ascii="Times New Roman"/>
          <w:sz w:val="17"/>
        </w:rPr>
      </w:pPr>
    </w:p>
    <w:p>
      <w:pPr>
        <w:pStyle w:val="BodyText"/>
      </w:pPr>
      <w:r>
        <w:rPr/>
        <w:t>联系人：兰敏</w:t>
      </w:r>
    </w:p>
    <w:p>
      <w:pPr>
        <w:pStyle w:val="BodyText"/>
        <w:spacing w:before="7"/>
        <w:ind w:left="0"/>
        <w:rPr>
          <w:sz w:val="15"/>
        </w:rPr>
      </w:pPr>
    </w:p>
    <w:p>
      <w:pPr>
        <w:pStyle w:val="BodyText"/>
        <w:rPr>
          <w:rFonts w:ascii="Times New Roman" w:eastAsia="Times New Roman"/>
        </w:rPr>
      </w:pPr>
      <w:r>
        <w:rPr/>
        <w:t>网址：</w:t>
      </w:r>
      <w:hyperlink r:id="rId122">
        <w:r>
          <w:rPr>
            <w:rFonts w:ascii="Times New Roman" w:eastAsia="Times New Roman"/>
          </w:rPr>
          <w:t>www.66liantai.com</w:t>
        </w:r>
      </w:hyperlink>
    </w:p>
    <w:p>
      <w:pPr>
        <w:pStyle w:val="BodyText"/>
        <w:spacing w:before="3"/>
        <w:ind w:left="0"/>
        <w:rPr>
          <w:rFonts w:ascii="Times New Roman"/>
          <w:sz w:val="17"/>
        </w:rPr>
      </w:pPr>
    </w:p>
    <w:p>
      <w:pPr>
        <w:pStyle w:val="BodyText"/>
        <w:rPr>
          <w:rFonts w:ascii="Times New Roman" w:eastAsia="Times New Roman"/>
        </w:rPr>
      </w:pPr>
      <w:r>
        <w:rPr/>
        <w:t>客户服务电话：</w:t>
      </w:r>
      <w:r>
        <w:rPr>
          <w:rFonts w:ascii="Times New Roman" w:eastAsia="Times New Roman"/>
        </w:rPr>
        <w:t>400-118-1188</w:t>
      </w:r>
    </w:p>
    <w:p>
      <w:pPr>
        <w:pStyle w:val="BodyText"/>
        <w:spacing w:before="4"/>
        <w:ind w:left="0"/>
        <w:rPr>
          <w:rFonts w:ascii="Times New Roman"/>
          <w:sz w:val="17"/>
        </w:rPr>
      </w:pPr>
    </w:p>
    <w:p>
      <w:pPr>
        <w:pStyle w:val="ListParagraph"/>
        <w:numPr>
          <w:ilvl w:val="0"/>
          <w:numId w:val="31"/>
        </w:numPr>
        <w:tabs>
          <w:tab w:pos="1275" w:val="left" w:leader="none"/>
        </w:tabs>
        <w:spacing w:line="240" w:lineRule="auto" w:before="0" w:after="0"/>
        <w:ind w:left="1275" w:right="0" w:hanging="635"/>
        <w:jc w:val="left"/>
        <w:rPr>
          <w:sz w:val="21"/>
        </w:rPr>
      </w:pPr>
      <w:r>
        <w:rPr>
          <w:spacing w:val="-3"/>
          <w:sz w:val="21"/>
        </w:rPr>
        <w:t>深圳市金海九州基金销售有限公司</w:t>
      </w:r>
    </w:p>
    <w:p>
      <w:pPr>
        <w:pStyle w:val="BodyText"/>
        <w:spacing w:before="6"/>
        <w:ind w:left="0"/>
        <w:rPr>
          <w:sz w:val="15"/>
        </w:rPr>
      </w:pPr>
    </w:p>
    <w:p>
      <w:pPr>
        <w:pStyle w:val="BodyText"/>
        <w:spacing w:line="417" w:lineRule="auto" w:before="1"/>
        <w:ind w:left="220" w:right="822" w:firstLine="419"/>
      </w:pPr>
      <w:r>
        <w:rPr/>
        <w:t>住所：深圳市前海深港合作区前湾一路</w:t>
      </w:r>
      <w:r>
        <w:rPr>
          <w:rFonts w:ascii="Times New Roman" w:eastAsia="Times New Roman"/>
        </w:rPr>
        <w:t>1</w:t>
      </w:r>
      <w:r>
        <w:rPr/>
        <w:t>号</w:t>
      </w:r>
      <w:r>
        <w:rPr>
          <w:rFonts w:ascii="Times New Roman" w:eastAsia="Times New Roman"/>
        </w:rPr>
        <w:t>A</w:t>
      </w:r>
      <w:r>
        <w:rPr/>
        <w:t>栋</w:t>
      </w:r>
      <w:r>
        <w:rPr>
          <w:rFonts w:ascii="Times New Roman" w:eastAsia="Times New Roman"/>
        </w:rPr>
        <w:t>201</w:t>
      </w:r>
      <w:r>
        <w:rPr/>
        <w:t>室（入驻深圳市前海商务秘书有限公司）</w:t>
      </w:r>
    </w:p>
    <w:p>
      <w:pPr>
        <w:pStyle w:val="BodyText"/>
        <w:spacing w:line="417" w:lineRule="auto"/>
        <w:ind w:right="4147"/>
      </w:pPr>
      <w:r>
        <w:rPr/>
        <w:t>办公地址：深圳市福田区富德生命保险大厦</w:t>
      </w:r>
      <w:r>
        <w:rPr>
          <w:rFonts w:ascii="Times New Roman" w:eastAsia="Times New Roman"/>
        </w:rPr>
        <w:t>1106</w:t>
      </w:r>
      <w:r>
        <w:rPr/>
        <w:t>室法定代表人：彭维熙</w:t>
      </w:r>
    </w:p>
    <w:p>
      <w:pPr>
        <w:pStyle w:val="BodyText"/>
        <w:spacing w:line="417" w:lineRule="auto"/>
        <w:ind w:right="6800"/>
        <w:rPr>
          <w:rFonts w:ascii="Times New Roman" w:eastAsia="Times New Roman"/>
        </w:rPr>
      </w:pPr>
      <w:r>
        <w:rPr/>
        <w:t>电话：</w:t>
      </w:r>
      <w:r>
        <w:rPr>
          <w:rFonts w:ascii="Times New Roman" w:eastAsia="Times New Roman"/>
        </w:rPr>
        <w:t>0755-81994266 </w:t>
      </w:r>
      <w:r>
        <w:rPr/>
        <w:t>传真：</w:t>
      </w:r>
      <w:r>
        <w:rPr>
          <w:rFonts w:ascii="Times New Roman" w:eastAsia="Times New Roman"/>
        </w:rPr>
        <w:t>0755-84333886</w:t>
      </w:r>
    </w:p>
    <w:p>
      <w:pPr>
        <w:pStyle w:val="BodyText"/>
        <w:spacing w:line="269" w:lineRule="exact"/>
      </w:pPr>
      <w:r>
        <w:rPr/>
        <w:t>联系人：彭维熙</w:t>
      </w:r>
    </w:p>
    <w:p>
      <w:pPr>
        <w:pStyle w:val="BodyText"/>
        <w:spacing w:before="6"/>
        <w:ind w:left="0"/>
        <w:rPr>
          <w:sz w:val="15"/>
        </w:rPr>
      </w:pPr>
    </w:p>
    <w:p>
      <w:pPr>
        <w:pStyle w:val="BodyText"/>
        <w:rPr>
          <w:rFonts w:ascii="Times New Roman" w:eastAsia="Times New Roman"/>
        </w:rPr>
      </w:pPr>
      <w:r>
        <w:rPr/>
        <w:t>网址：</w:t>
      </w:r>
      <w:hyperlink r:id="rId123">
        <w:r>
          <w:rPr>
            <w:rFonts w:ascii="Times New Roman" w:eastAsia="Times New Roman"/>
          </w:rPr>
          <w:t>www.jhjzfund.com</w:t>
        </w:r>
      </w:hyperlink>
    </w:p>
    <w:p>
      <w:pPr>
        <w:pStyle w:val="BodyText"/>
        <w:spacing w:before="4"/>
        <w:ind w:left="0"/>
        <w:rPr>
          <w:rFonts w:ascii="Times New Roman"/>
          <w:sz w:val="17"/>
        </w:rPr>
      </w:pPr>
    </w:p>
    <w:p>
      <w:pPr>
        <w:pStyle w:val="BodyText"/>
        <w:rPr>
          <w:rFonts w:ascii="Times New Roman" w:eastAsia="Times New Roman"/>
        </w:rPr>
      </w:pPr>
      <w:r>
        <w:rPr/>
        <w:t>客户服务电话：</w:t>
      </w:r>
      <w:r>
        <w:rPr>
          <w:rFonts w:ascii="Times New Roman" w:eastAsia="Times New Roman"/>
        </w:rPr>
        <w:t>400-099-3333</w:t>
      </w:r>
    </w:p>
    <w:p>
      <w:pPr>
        <w:pStyle w:val="BodyText"/>
        <w:spacing w:before="3"/>
        <w:ind w:left="0"/>
        <w:rPr>
          <w:rFonts w:ascii="Times New Roman"/>
          <w:sz w:val="17"/>
        </w:rPr>
      </w:pPr>
    </w:p>
    <w:p>
      <w:pPr>
        <w:pStyle w:val="ListParagraph"/>
        <w:numPr>
          <w:ilvl w:val="0"/>
          <w:numId w:val="31"/>
        </w:numPr>
        <w:tabs>
          <w:tab w:pos="1275" w:val="left" w:leader="none"/>
        </w:tabs>
        <w:spacing w:line="417" w:lineRule="auto" w:before="1" w:after="0"/>
        <w:ind w:left="640" w:right="4664" w:firstLine="0"/>
        <w:jc w:val="left"/>
        <w:rPr>
          <w:sz w:val="21"/>
        </w:rPr>
      </w:pPr>
      <w:r>
        <w:rPr>
          <w:spacing w:val="-3"/>
          <w:sz w:val="21"/>
        </w:rPr>
        <w:t>泰诚财富基金销售</w:t>
      </w:r>
      <w:r>
        <w:rPr>
          <w:sz w:val="21"/>
        </w:rPr>
        <w:t>（</w:t>
      </w:r>
      <w:r>
        <w:rPr>
          <w:spacing w:val="-2"/>
          <w:sz w:val="21"/>
        </w:rPr>
        <w:t>大连</w:t>
      </w:r>
      <w:r>
        <w:rPr>
          <w:sz w:val="21"/>
        </w:rPr>
        <w:t>）</w:t>
      </w:r>
      <w:r>
        <w:rPr>
          <w:spacing w:val="-3"/>
          <w:sz w:val="21"/>
        </w:rPr>
        <w:t>有限公司住所：辽宁省大连市沙河口区星海中龙园</w:t>
      </w:r>
      <w:r>
        <w:rPr>
          <w:rFonts w:ascii="Times New Roman" w:eastAsia="Times New Roman"/>
          <w:sz w:val="21"/>
        </w:rPr>
        <w:t>3</w:t>
      </w:r>
      <w:r>
        <w:rPr>
          <w:spacing w:val="-12"/>
          <w:sz w:val="21"/>
        </w:rPr>
        <w:t>号</w:t>
      </w:r>
    </w:p>
    <w:p>
      <w:pPr>
        <w:pStyle w:val="BodyText"/>
        <w:spacing w:line="417" w:lineRule="auto"/>
        <w:ind w:right="4243"/>
      </w:pPr>
      <w:r>
        <w:rPr/>
        <w:t>办公地址：辽宁省大连市沙河口区星海中龙园</w:t>
      </w:r>
      <w:r>
        <w:rPr>
          <w:rFonts w:ascii="Times New Roman" w:eastAsia="Times New Roman"/>
        </w:rPr>
        <w:t>3</w:t>
      </w:r>
      <w:r>
        <w:rPr/>
        <w:t>号法定代表人：李春光</w:t>
      </w:r>
    </w:p>
    <w:p>
      <w:pPr>
        <w:pStyle w:val="BodyText"/>
        <w:spacing w:line="417" w:lineRule="auto"/>
        <w:ind w:right="6425"/>
        <w:rPr>
          <w:rFonts w:ascii="Times New Roman" w:eastAsia="Times New Roman"/>
        </w:rPr>
      </w:pPr>
      <w:r>
        <w:rPr/>
        <w:t>电话：</w:t>
      </w:r>
      <w:r>
        <w:rPr>
          <w:rFonts w:ascii="Times New Roman" w:eastAsia="Times New Roman"/>
        </w:rPr>
        <w:t>0411-88891212-317 </w:t>
      </w:r>
      <w:r>
        <w:rPr/>
        <w:t>传真：</w:t>
      </w:r>
      <w:r>
        <w:rPr>
          <w:rFonts w:ascii="Times New Roman" w:eastAsia="Times New Roman"/>
        </w:rPr>
        <w:t>0411-84396536</w:t>
      </w:r>
    </w:p>
    <w:p>
      <w:pPr>
        <w:pStyle w:val="BodyText"/>
        <w:spacing w:line="269" w:lineRule="exact"/>
      </w:pPr>
      <w:r>
        <w:rPr/>
        <w:t>联系人：张晓辉</w:t>
      </w:r>
    </w:p>
    <w:p>
      <w:pPr>
        <w:pStyle w:val="BodyText"/>
        <w:spacing w:before="6"/>
        <w:ind w:left="0"/>
        <w:rPr>
          <w:sz w:val="15"/>
        </w:rPr>
      </w:pPr>
    </w:p>
    <w:p>
      <w:pPr>
        <w:pStyle w:val="BodyText"/>
        <w:spacing w:line="417" w:lineRule="auto"/>
        <w:ind w:right="6109"/>
        <w:rPr>
          <w:rFonts w:ascii="Times New Roman" w:eastAsia="Times New Roman"/>
        </w:rPr>
      </w:pPr>
      <w:r>
        <w:rPr/>
        <w:t>网址：</w:t>
      </w:r>
      <w:hyperlink r:id="rId124">
        <w:r>
          <w:rPr>
            <w:rFonts w:ascii="Times New Roman" w:eastAsia="Times New Roman"/>
          </w:rPr>
          <w:t>www.haojiyoujijin.com </w:t>
        </w:r>
      </w:hyperlink>
      <w:r>
        <w:rPr/>
        <w:t>客户服务电话：</w:t>
      </w:r>
      <w:r>
        <w:rPr>
          <w:rFonts w:ascii="Times New Roman" w:eastAsia="Times New Roman"/>
        </w:rPr>
        <w:t>400-0411-001</w:t>
      </w:r>
    </w:p>
    <w:p>
      <w:pPr>
        <w:pStyle w:val="ListParagraph"/>
        <w:numPr>
          <w:ilvl w:val="0"/>
          <w:numId w:val="31"/>
        </w:numPr>
        <w:tabs>
          <w:tab w:pos="1275" w:val="left" w:leader="none"/>
        </w:tabs>
        <w:spacing w:line="269" w:lineRule="exact" w:before="0" w:after="0"/>
        <w:ind w:left="1275" w:right="0" w:hanging="635"/>
        <w:jc w:val="left"/>
        <w:rPr>
          <w:sz w:val="21"/>
        </w:rPr>
      </w:pPr>
      <w:r>
        <w:rPr>
          <w:spacing w:val="-3"/>
          <w:sz w:val="21"/>
        </w:rPr>
        <w:t>上海汇付基金销售有限公司</w:t>
      </w:r>
    </w:p>
    <w:p>
      <w:pPr>
        <w:pStyle w:val="BodyText"/>
        <w:spacing w:before="7"/>
        <w:ind w:left="0"/>
        <w:rPr>
          <w:sz w:val="15"/>
        </w:rPr>
      </w:pPr>
    </w:p>
    <w:p>
      <w:pPr>
        <w:pStyle w:val="BodyText"/>
      </w:pPr>
      <w:r>
        <w:rPr/>
        <w:t>住所：上海市黄浦区黄河路</w:t>
      </w:r>
      <w:r>
        <w:rPr>
          <w:rFonts w:ascii="Times New Roman" w:eastAsia="Times New Roman"/>
        </w:rPr>
        <w:t>333</w:t>
      </w:r>
      <w:r>
        <w:rPr/>
        <w:t>号</w:t>
      </w:r>
      <w:r>
        <w:rPr>
          <w:rFonts w:ascii="Times New Roman" w:eastAsia="Times New Roman"/>
        </w:rPr>
        <w:t>201</w:t>
      </w:r>
      <w:r>
        <w:rPr/>
        <w:t>室</w:t>
      </w:r>
      <w:r>
        <w:rPr>
          <w:rFonts w:ascii="Times New Roman" w:eastAsia="Times New Roman"/>
        </w:rPr>
        <w:t>A</w:t>
      </w:r>
      <w:r>
        <w:rPr/>
        <w:t>区</w:t>
      </w:r>
      <w:r>
        <w:rPr>
          <w:rFonts w:ascii="Times New Roman" w:eastAsia="Times New Roman"/>
        </w:rPr>
        <w:t>056</w:t>
      </w:r>
      <w:r>
        <w:rPr/>
        <w:t>单元</w:t>
      </w:r>
    </w:p>
    <w:p>
      <w:pPr>
        <w:pStyle w:val="BodyText"/>
        <w:spacing w:before="7"/>
        <w:ind w:left="0"/>
        <w:rPr>
          <w:sz w:val="15"/>
        </w:rPr>
      </w:pPr>
    </w:p>
    <w:p>
      <w:pPr>
        <w:pStyle w:val="BodyText"/>
        <w:spacing w:line="417" w:lineRule="auto"/>
        <w:ind w:right="3055"/>
      </w:pPr>
      <w:r>
        <w:rPr/>
        <w:t>办公地址：上海市徐汇区宜山路</w:t>
      </w:r>
      <w:r>
        <w:rPr>
          <w:rFonts w:ascii="Times New Roman" w:eastAsia="Times New Roman"/>
        </w:rPr>
        <w:t>700</w:t>
      </w:r>
      <w:r>
        <w:rPr/>
        <w:t>号普天信息产业园</w:t>
      </w:r>
      <w:r>
        <w:rPr>
          <w:rFonts w:ascii="Times New Roman" w:eastAsia="Times New Roman"/>
        </w:rPr>
        <w:t>2</w:t>
      </w:r>
      <w:r>
        <w:rPr/>
        <w:t>期</w:t>
      </w:r>
      <w:r>
        <w:rPr>
          <w:rFonts w:ascii="Times New Roman" w:eastAsia="Times New Roman"/>
        </w:rPr>
        <w:t>C5</w:t>
      </w:r>
      <w:r>
        <w:rPr/>
        <w:t>栋法定代表人：金佶</w:t>
      </w:r>
    </w:p>
    <w:p>
      <w:pPr>
        <w:pStyle w:val="BodyText"/>
        <w:spacing w:line="417" w:lineRule="auto"/>
        <w:ind w:right="6906"/>
        <w:rPr>
          <w:rFonts w:ascii="Times New Roman" w:eastAsia="Times New Roman"/>
        </w:rPr>
      </w:pPr>
      <w:r>
        <w:rPr/>
        <w:t>电话：</w:t>
      </w:r>
      <w:r>
        <w:rPr>
          <w:rFonts w:ascii="Times New Roman" w:eastAsia="Times New Roman"/>
        </w:rPr>
        <w:t>021-33323999 </w:t>
      </w:r>
      <w:r>
        <w:rPr/>
        <w:t>传真：</w:t>
      </w:r>
      <w:r>
        <w:rPr>
          <w:rFonts w:ascii="Times New Roman" w:eastAsia="Times New Roman"/>
        </w:rPr>
        <w:t>021-33323837</w:t>
      </w:r>
    </w:p>
    <w:p>
      <w:pPr>
        <w:pStyle w:val="BodyText"/>
      </w:pPr>
      <w:r>
        <w:rPr/>
        <w:t>联系人：甄宝林</w:t>
      </w:r>
    </w:p>
    <w:p>
      <w:pPr>
        <w:spacing w:after="0"/>
        <w:sectPr>
          <w:pgSz w:w="11910" w:h="16840"/>
          <w:pgMar w:header="705" w:footer="683" w:top="1420" w:bottom="880" w:left="1580" w:right="920"/>
        </w:sectPr>
      </w:pPr>
    </w:p>
    <w:p>
      <w:pPr>
        <w:pStyle w:val="BodyText"/>
        <w:spacing w:before="110"/>
        <w:rPr>
          <w:rFonts w:ascii="Times New Roman" w:eastAsia="Times New Roman"/>
        </w:rPr>
      </w:pPr>
      <w:r>
        <w:rPr/>
        <w:t>网址：</w:t>
      </w:r>
      <w:hyperlink r:id="rId125">
        <w:r>
          <w:rPr>
            <w:rFonts w:ascii="Times New Roman" w:eastAsia="Times New Roman"/>
          </w:rPr>
          <w:t>www.hotjijin.com</w:t>
        </w:r>
      </w:hyperlink>
    </w:p>
    <w:p>
      <w:pPr>
        <w:pStyle w:val="BodyText"/>
        <w:spacing w:before="3"/>
        <w:ind w:left="0"/>
        <w:rPr>
          <w:rFonts w:ascii="Times New Roman"/>
          <w:sz w:val="17"/>
        </w:rPr>
      </w:pPr>
    </w:p>
    <w:p>
      <w:pPr>
        <w:pStyle w:val="BodyText"/>
        <w:rPr>
          <w:rFonts w:ascii="Times New Roman" w:eastAsia="Times New Roman"/>
        </w:rPr>
      </w:pPr>
      <w:r>
        <w:rPr/>
        <w:t>客户服务电话：</w:t>
      </w:r>
      <w:r>
        <w:rPr>
          <w:rFonts w:ascii="Times New Roman" w:eastAsia="Times New Roman"/>
        </w:rPr>
        <w:t>021-34013999</w:t>
      </w:r>
    </w:p>
    <w:p>
      <w:pPr>
        <w:pStyle w:val="BodyText"/>
        <w:spacing w:before="3"/>
        <w:ind w:left="0"/>
        <w:rPr>
          <w:rFonts w:ascii="Times New Roman"/>
          <w:sz w:val="17"/>
        </w:rPr>
      </w:pPr>
    </w:p>
    <w:p>
      <w:pPr>
        <w:pStyle w:val="ListParagraph"/>
        <w:numPr>
          <w:ilvl w:val="0"/>
          <w:numId w:val="31"/>
        </w:numPr>
        <w:tabs>
          <w:tab w:pos="1275" w:val="left" w:leader="none"/>
        </w:tabs>
        <w:spacing w:line="240" w:lineRule="auto" w:before="1" w:after="0"/>
        <w:ind w:left="1275" w:right="0" w:hanging="635"/>
        <w:jc w:val="left"/>
        <w:rPr>
          <w:sz w:val="21"/>
        </w:rPr>
      </w:pPr>
      <w:r>
        <w:rPr>
          <w:spacing w:val="-3"/>
          <w:sz w:val="21"/>
        </w:rPr>
        <w:t>上海基煜基金销售有限公司</w:t>
      </w:r>
    </w:p>
    <w:p>
      <w:pPr>
        <w:pStyle w:val="BodyText"/>
        <w:spacing w:before="6"/>
        <w:ind w:left="0"/>
        <w:rPr>
          <w:sz w:val="15"/>
        </w:rPr>
      </w:pPr>
    </w:p>
    <w:p>
      <w:pPr>
        <w:pStyle w:val="BodyText"/>
        <w:spacing w:line="417" w:lineRule="auto"/>
        <w:ind w:right="1092"/>
      </w:pPr>
      <w:r>
        <w:rPr/>
        <w:t>住所：上海市崇明县长兴镇路潘园公路</w:t>
      </w:r>
      <w:r>
        <w:rPr>
          <w:rFonts w:ascii="Times New Roman" w:eastAsia="Times New Roman"/>
        </w:rPr>
        <w:t>1800</w:t>
      </w:r>
      <w:r>
        <w:rPr/>
        <w:t>号</w:t>
      </w:r>
      <w:r>
        <w:rPr>
          <w:rFonts w:ascii="Times New Roman" w:eastAsia="Times New Roman"/>
        </w:rPr>
        <w:t>2</w:t>
      </w:r>
      <w:r>
        <w:rPr/>
        <w:t>号楼</w:t>
      </w:r>
      <w:r>
        <w:rPr>
          <w:rFonts w:ascii="Times New Roman" w:eastAsia="Times New Roman"/>
        </w:rPr>
        <w:t>6153</w:t>
      </w:r>
      <w:r>
        <w:rPr/>
        <w:t>室（上海泰和经济发展区） 办公地址：上海市浦东新区银城中路</w:t>
      </w:r>
      <w:r>
        <w:rPr>
          <w:rFonts w:ascii="Times New Roman" w:eastAsia="Times New Roman"/>
        </w:rPr>
        <w:t>488</w:t>
      </w:r>
      <w:r>
        <w:rPr/>
        <w:t>号太平金融大厦</w:t>
      </w:r>
      <w:r>
        <w:rPr>
          <w:rFonts w:ascii="Times New Roman" w:eastAsia="Times New Roman"/>
        </w:rPr>
        <w:t>1503</w:t>
      </w:r>
      <w:r>
        <w:rPr/>
        <w:t>室</w:t>
      </w:r>
    </w:p>
    <w:p>
      <w:pPr>
        <w:pStyle w:val="BodyText"/>
        <w:spacing w:line="269" w:lineRule="exact"/>
      </w:pPr>
      <w:r>
        <w:rPr/>
        <w:t>法定代表人：王翔</w:t>
      </w:r>
    </w:p>
    <w:p>
      <w:pPr>
        <w:pStyle w:val="BodyText"/>
        <w:spacing w:before="7"/>
        <w:ind w:left="0"/>
        <w:rPr>
          <w:sz w:val="15"/>
        </w:rPr>
      </w:pPr>
    </w:p>
    <w:p>
      <w:pPr>
        <w:pStyle w:val="BodyText"/>
        <w:spacing w:line="417" w:lineRule="auto"/>
        <w:ind w:right="6488"/>
        <w:rPr>
          <w:rFonts w:ascii="Times New Roman" w:eastAsia="Times New Roman"/>
        </w:rPr>
      </w:pPr>
      <w:r>
        <w:rPr/>
        <w:t>电话：</w:t>
      </w:r>
      <w:r>
        <w:rPr>
          <w:rFonts w:ascii="Times New Roman" w:eastAsia="Times New Roman"/>
        </w:rPr>
        <w:t>021-35385521*210 </w:t>
      </w:r>
      <w:r>
        <w:rPr/>
        <w:t>传真：</w:t>
      </w:r>
      <w:r>
        <w:rPr>
          <w:rFonts w:ascii="Times New Roman" w:eastAsia="Times New Roman"/>
        </w:rPr>
        <w:t>021-55085991</w:t>
      </w:r>
    </w:p>
    <w:p>
      <w:pPr>
        <w:pStyle w:val="BodyText"/>
      </w:pPr>
      <w:r>
        <w:rPr/>
        <w:t>联系人：蓝杰</w:t>
      </w:r>
    </w:p>
    <w:p>
      <w:pPr>
        <w:pStyle w:val="BodyText"/>
        <w:spacing w:before="7"/>
        <w:ind w:left="0"/>
        <w:rPr>
          <w:sz w:val="15"/>
        </w:rPr>
      </w:pPr>
    </w:p>
    <w:p>
      <w:pPr>
        <w:pStyle w:val="BodyText"/>
        <w:spacing w:line="417" w:lineRule="auto"/>
        <w:ind w:right="6101"/>
        <w:rPr>
          <w:rFonts w:ascii="Times New Roman" w:eastAsia="Times New Roman"/>
        </w:rPr>
      </w:pPr>
      <w:r>
        <w:rPr/>
        <w:t>网址：</w:t>
      </w:r>
      <w:hyperlink r:id="rId126">
        <w:r>
          <w:rPr>
            <w:rFonts w:ascii="Times New Roman" w:eastAsia="Times New Roman"/>
          </w:rPr>
          <w:t>www.jiyufund.com.cn </w:t>
        </w:r>
      </w:hyperlink>
      <w:r>
        <w:rPr/>
        <w:t>客户服务电话：</w:t>
      </w:r>
      <w:r>
        <w:rPr>
          <w:rFonts w:ascii="Times New Roman" w:eastAsia="Times New Roman"/>
        </w:rPr>
        <w:t>400-820-5369</w:t>
      </w:r>
    </w:p>
    <w:p>
      <w:pPr>
        <w:pStyle w:val="ListParagraph"/>
        <w:numPr>
          <w:ilvl w:val="0"/>
          <w:numId w:val="31"/>
        </w:numPr>
        <w:tabs>
          <w:tab w:pos="1275" w:val="left" w:leader="none"/>
        </w:tabs>
        <w:spacing w:line="417" w:lineRule="auto" w:before="0" w:after="0"/>
        <w:ind w:left="640" w:right="4875" w:firstLine="0"/>
        <w:jc w:val="left"/>
        <w:rPr>
          <w:sz w:val="21"/>
        </w:rPr>
      </w:pPr>
      <w:r>
        <w:rPr>
          <w:spacing w:val="-3"/>
          <w:sz w:val="21"/>
        </w:rPr>
        <w:t>上海中正达广基金销售有限公司  住所：上海市徐汇区龙腾大道</w:t>
      </w:r>
      <w:r>
        <w:rPr>
          <w:rFonts w:ascii="Times New Roman" w:eastAsia="Times New Roman"/>
          <w:sz w:val="21"/>
        </w:rPr>
        <w:t>2815</w:t>
      </w:r>
      <w:r>
        <w:rPr>
          <w:spacing w:val="-3"/>
          <w:sz w:val="21"/>
        </w:rPr>
        <w:t>号</w:t>
      </w:r>
      <w:r>
        <w:rPr>
          <w:rFonts w:ascii="Times New Roman" w:eastAsia="Times New Roman"/>
          <w:sz w:val="21"/>
        </w:rPr>
        <w:t>302</w:t>
      </w:r>
      <w:r>
        <w:rPr>
          <w:spacing w:val="-11"/>
          <w:sz w:val="21"/>
        </w:rPr>
        <w:t>室</w:t>
      </w:r>
    </w:p>
    <w:p>
      <w:pPr>
        <w:pStyle w:val="BodyText"/>
        <w:spacing w:line="417" w:lineRule="auto"/>
        <w:ind w:right="4455"/>
      </w:pPr>
      <w:r>
        <w:rPr/>
        <w:t>办公地址：上海市徐汇区龙腾大道</w:t>
      </w:r>
      <w:r>
        <w:rPr>
          <w:rFonts w:ascii="Times New Roman" w:eastAsia="Times New Roman"/>
        </w:rPr>
        <w:t>2815</w:t>
      </w:r>
      <w:r>
        <w:rPr/>
        <w:t>号</w:t>
      </w:r>
      <w:r>
        <w:rPr>
          <w:rFonts w:ascii="Times New Roman" w:eastAsia="Times New Roman"/>
        </w:rPr>
        <w:t>302</w:t>
      </w:r>
      <w:r>
        <w:rPr/>
        <w:t>室法定代表人：黄欣</w:t>
      </w:r>
    </w:p>
    <w:p>
      <w:pPr>
        <w:pStyle w:val="BodyText"/>
        <w:spacing w:line="417" w:lineRule="auto"/>
        <w:ind w:right="6521"/>
        <w:rPr>
          <w:rFonts w:ascii="Times New Roman" w:eastAsia="Times New Roman"/>
        </w:rPr>
      </w:pPr>
      <w:r>
        <w:rPr/>
        <w:t>电话：</w:t>
      </w:r>
      <w:r>
        <w:rPr>
          <w:rFonts w:ascii="Times New Roman" w:eastAsia="Times New Roman"/>
        </w:rPr>
        <w:t>021-33768132-801 </w:t>
      </w:r>
      <w:r>
        <w:rPr/>
        <w:t>传真：</w:t>
      </w:r>
      <w:r>
        <w:rPr>
          <w:rFonts w:ascii="Times New Roman" w:eastAsia="Times New Roman"/>
        </w:rPr>
        <w:t>021-33768132-802</w:t>
      </w:r>
    </w:p>
    <w:p>
      <w:pPr>
        <w:pStyle w:val="BodyText"/>
        <w:spacing w:line="269" w:lineRule="exact"/>
      </w:pPr>
      <w:r>
        <w:rPr/>
        <w:t>联系人：戴珉微</w:t>
      </w:r>
    </w:p>
    <w:p>
      <w:pPr>
        <w:pStyle w:val="BodyText"/>
        <w:spacing w:before="6"/>
        <w:ind w:left="0"/>
        <w:rPr>
          <w:sz w:val="15"/>
        </w:rPr>
      </w:pPr>
    </w:p>
    <w:p>
      <w:pPr>
        <w:pStyle w:val="BodyText"/>
        <w:spacing w:line="417" w:lineRule="auto"/>
        <w:ind w:right="5780"/>
        <w:rPr>
          <w:rFonts w:ascii="Times New Roman" w:eastAsia="Times New Roman"/>
        </w:rPr>
      </w:pPr>
      <w:r>
        <w:rPr/>
        <w:t>网址：</w:t>
      </w:r>
      <w:hyperlink r:id="rId127">
        <w:r>
          <w:rPr>
            <w:rFonts w:ascii="Times New Roman" w:eastAsia="Times New Roman"/>
          </w:rPr>
          <w:t>www.zhongzhengfund.com </w:t>
        </w:r>
      </w:hyperlink>
      <w:r>
        <w:rPr/>
        <w:t>客户服务电话：</w:t>
      </w:r>
      <w:r>
        <w:rPr>
          <w:rFonts w:ascii="Times New Roman" w:eastAsia="Times New Roman"/>
        </w:rPr>
        <w:t>400-6767-523</w:t>
      </w:r>
    </w:p>
    <w:p>
      <w:pPr>
        <w:pStyle w:val="ListParagraph"/>
        <w:numPr>
          <w:ilvl w:val="0"/>
          <w:numId w:val="31"/>
        </w:numPr>
        <w:tabs>
          <w:tab w:pos="1275" w:val="left" w:leader="none"/>
        </w:tabs>
        <w:spacing w:line="269" w:lineRule="exact" w:before="0" w:after="0"/>
        <w:ind w:left="1275" w:right="0" w:hanging="635"/>
        <w:jc w:val="left"/>
        <w:rPr>
          <w:sz w:val="21"/>
        </w:rPr>
      </w:pPr>
      <w:r>
        <w:rPr>
          <w:spacing w:val="-3"/>
          <w:sz w:val="21"/>
        </w:rPr>
        <w:t>北京虹点基金销售有限公司</w:t>
      </w:r>
    </w:p>
    <w:p>
      <w:pPr>
        <w:pStyle w:val="BodyText"/>
        <w:spacing w:before="7"/>
        <w:ind w:left="0"/>
        <w:rPr>
          <w:sz w:val="15"/>
        </w:rPr>
      </w:pPr>
    </w:p>
    <w:p>
      <w:pPr>
        <w:pStyle w:val="BodyText"/>
        <w:spacing w:before="1"/>
      </w:pPr>
      <w:r>
        <w:rPr/>
        <w:t>住所：北京市朝阳区工人体育场北路甲</w:t>
      </w:r>
      <w:r>
        <w:rPr>
          <w:rFonts w:ascii="Times New Roman" w:eastAsia="Times New Roman"/>
        </w:rPr>
        <w:t>2</w:t>
      </w:r>
      <w:r>
        <w:rPr/>
        <w:t>号裙房</w:t>
      </w:r>
      <w:r>
        <w:rPr>
          <w:rFonts w:ascii="Times New Roman" w:eastAsia="Times New Roman"/>
        </w:rPr>
        <w:t>2</w:t>
      </w:r>
      <w:r>
        <w:rPr/>
        <w:t>层</w:t>
      </w:r>
      <w:r>
        <w:rPr>
          <w:rFonts w:ascii="Times New Roman" w:eastAsia="Times New Roman"/>
        </w:rPr>
        <w:t>222</w:t>
      </w:r>
      <w:r>
        <w:rPr/>
        <w:t>单元</w:t>
      </w:r>
    </w:p>
    <w:p>
      <w:pPr>
        <w:pStyle w:val="BodyText"/>
        <w:spacing w:before="6"/>
        <w:ind w:left="0"/>
        <w:rPr>
          <w:sz w:val="15"/>
        </w:rPr>
      </w:pPr>
    </w:p>
    <w:p>
      <w:pPr>
        <w:pStyle w:val="BodyText"/>
        <w:spacing w:line="417" w:lineRule="auto"/>
        <w:ind w:right="2983"/>
      </w:pPr>
      <w:r>
        <w:rPr/>
        <w:t>办公地址：北京市朝阳区工人体育场北路甲</w:t>
      </w:r>
      <w:r>
        <w:rPr>
          <w:rFonts w:ascii="Times New Roman" w:eastAsia="Times New Roman"/>
        </w:rPr>
        <w:t>2</w:t>
      </w:r>
      <w:r>
        <w:rPr/>
        <w:t>号裙房</w:t>
      </w:r>
      <w:r>
        <w:rPr>
          <w:rFonts w:ascii="Times New Roman" w:eastAsia="Times New Roman"/>
        </w:rPr>
        <w:t>2</w:t>
      </w:r>
      <w:r>
        <w:rPr/>
        <w:t>层</w:t>
      </w:r>
      <w:r>
        <w:rPr>
          <w:rFonts w:ascii="Times New Roman" w:eastAsia="Times New Roman"/>
        </w:rPr>
        <w:t>222</w:t>
      </w:r>
      <w:r>
        <w:rPr/>
        <w:t>单元法定代表人：郑毓栋</w:t>
      </w:r>
    </w:p>
    <w:p>
      <w:pPr>
        <w:pStyle w:val="BodyText"/>
        <w:spacing w:line="417" w:lineRule="auto"/>
        <w:ind w:right="6906"/>
        <w:rPr>
          <w:rFonts w:ascii="Times New Roman" w:eastAsia="Times New Roman"/>
        </w:rPr>
      </w:pPr>
      <w:r>
        <w:rPr/>
        <w:t>电话：</w:t>
      </w:r>
      <w:r>
        <w:rPr>
          <w:rFonts w:ascii="Times New Roman" w:eastAsia="Times New Roman"/>
        </w:rPr>
        <w:t>010-65951887 </w:t>
      </w:r>
      <w:r>
        <w:rPr/>
        <w:t>传真：</w:t>
      </w:r>
      <w:r>
        <w:rPr>
          <w:rFonts w:ascii="Times New Roman" w:eastAsia="Times New Roman"/>
        </w:rPr>
        <w:t>010-65951887</w:t>
      </w:r>
    </w:p>
    <w:p>
      <w:pPr>
        <w:pStyle w:val="BodyText"/>
        <w:spacing w:line="269" w:lineRule="exact"/>
      </w:pPr>
      <w:r>
        <w:rPr/>
        <w:t>联系人：姜颖</w:t>
      </w:r>
    </w:p>
    <w:p>
      <w:pPr>
        <w:pStyle w:val="BodyText"/>
        <w:spacing w:before="7"/>
        <w:ind w:left="0"/>
        <w:rPr>
          <w:sz w:val="15"/>
        </w:rPr>
      </w:pPr>
    </w:p>
    <w:p>
      <w:pPr>
        <w:pStyle w:val="BodyText"/>
        <w:spacing w:line="417" w:lineRule="auto"/>
        <w:ind w:right="6014"/>
        <w:rPr>
          <w:rFonts w:ascii="Times New Roman" w:eastAsia="Times New Roman"/>
        </w:rPr>
      </w:pPr>
      <w:r>
        <w:rPr/>
        <w:t>网址：</w:t>
      </w:r>
      <w:hyperlink r:id="rId128">
        <w:r>
          <w:rPr>
            <w:rFonts w:ascii="Times New Roman" w:eastAsia="Times New Roman"/>
          </w:rPr>
          <w:t>www.hongdianfund.com </w:t>
        </w:r>
      </w:hyperlink>
      <w:r>
        <w:rPr/>
        <w:t>客户服务电话：</w:t>
      </w:r>
      <w:r>
        <w:rPr>
          <w:rFonts w:ascii="Times New Roman" w:eastAsia="Times New Roman"/>
        </w:rPr>
        <w:t>400-618-0707</w:t>
      </w:r>
    </w:p>
    <w:p>
      <w:pPr>
        <w:pStyle w:val="ListParagraph"/>
        <w:numPr>
          <w:ilvl w:val="0"/>
          <w:numId w:val="31"/>
        </w:numPr>
        <w:tabs>
          <w:tab w:pos="1275" w:val="left" w:leader="none"/>
        </w:tabs>
        <w:spacing w:line="240" w:lineRule="auto" w:before="0" w:after="0"/>
        <w:ind w:left="1275" w:right="0" w:hanging="635"/>
        <w:jc w:val="left"/>
        <w:rPr>
          <w:sz w:val="21"/>
        </w:rPr>
      </w:pPr>
      <w:r>
        <w:rPr>
          <w:spacing w:val="-3"/>
          <w:sz w:val="21"/>
        </w:rPr>
        <w:t>深圳富济基金销售有限公司</w:t>
      </w:r>
    </w:p>
    <w:p>
      <w:pPr>
        <w:spacing w:after="0" w:line="240" w:lineRule="auto"/>
        <w:jc w:val="left"/>
        <w:rPr>
          <w:sz w:val="21"/>
        </w:rPr>
        <w:sectPr>
          <w:pgSz w:w="11910" w:h="16840"/>
          <w:pgMar w:header="705" w:footer="683" w:top="1420" w:bottom="880" w:left="1580" w:right="920"/>
        </w:sectPr>
      </w:pPr>
    </w:p>
    <w:p>
      <w:pPr>
        <w:pStyle w:val="BodyText"/>
        <w:spacing w:before="110"/>
      </w:pPr>
      <w:r>
        <w:rPr/>
        <w:t>住所：深圳市福田区福田街道岗厦社区金田路</w:t>
      </w:r>
      <w:r>
        <w:rPr>
          <w:rFonts w:ascii="Times New Roman" w:eastAsia="Times New Roman"/>
        </w:rPr>
        <w:t>3088</w:t>
      </w:r>
      <w:r>
        <w:rPr/>
        <w:t>号中洲大厦</w:t>
      </w:r>
      <w:r>
        <w:rPr>
          <w:rFonts w:ascii="Times New Roman" w:eastAsia="Times New Roman"/>
        </w:rPr>
        <w:t>3203A</w:t>
      </w:r>
      <w:r>
        <w:rPr/>
        <w:t>单元</w:t>
      </w:r>
    </w:p>
    <w:p>
      <w:pPr>
        <w:pStyle w:val="BodyText"/>
        <w:spacing w:before="6"/>
        <w:ind w:left="0"/>
        <w:rPr>
          <w:sz w:val="15"/>
        </w:rPr>
      </w:pPr>
    </w:p>
    <w:p>
      <w:pPr>
        <w:pStyle w:val="BodyText"/>
        <w:spacing w:line="417" w:lineRule="auto"/>
        <w:ind w:right="1680"/>
      </w:pPr>
      <w:r>
        <w:rPr/>
        <w:t>办公地址：深圳市福田区福田街道岗厦社区金田路</w:t>
      </w:r>
      <w:r>
        <w:rPr>
          <w:rFonts w:ascii="Times New Roman" w:eastAsia="Times New Roman"/>
        </w:rPr>
        <w:t>3088</w:t>
      </w:r>
      <w:r>
        <w:rPr/>
        <w:t>号中洲大厦</w:t>
      </w:r>
      <w:r>
        <w:rPr>
          <w:rFonts w:ascii="Times New Roman" w:eastAsia="Times New Roman"/>
        </w:rPr>
        <w:t>3203A</w:t>
      </w:r>
      <w:r>
        <w:rPr/>
        <w:t>单元法定代表人：祝中村</w:t>
      </w:r>
    </w:p>
    <w:p>
      <w:pPr>
        <w:pStyle w:val="BodyText"/>
        <w:spacing w:line="417" w:lineRule="auto"/>
        <w:ind w:right="6800"/>
        <w:rPr>
          <w:rFonts w:ascii="Times New Roman" w:eastAsia="Times New Roman"/>
        </w:rPr>
      </w:pPr>
      <w:r>
        <w:rPr/>
        <w:t>电话：</w:t>
      </w:r>
      <w:r>
        <w:rPr>
          <w:rFonts w:ascii="Times New Roman" w:eastAsia="Times New Roman"/>
        </w:rPr>
        <w:t>0755-83999907 </w:t>
      </w:r>
      <w:r>
        <w:rPr/>
        <w:t>传真：</w:t>
      </w:r>
      <w:r>
        <w:rPr>
          <w:rFonts w:ascii="Times New Roman" w:eastAsia="Times New Roman"/>
        </w:rPr>
        <w:t>0755-83999926</w:t>
      </w:r>
    </w:p>
    <w:p>
      <w:pPr>
        <w:pStyle w:val="BodyText"/>
        <w:spacing w:line="269" w:lineRule="exact"/>
      </w:pPr>
      <w:r>
        <w:rPr/>
        <w:t>联系人：曾瑶敏</w:t>
      </w:r>
    </w:p>
    <w:p>
      <w:pPr>
        <w:pStyle w:val="BodyText"/>
        <w:spacing w:before="7"/>
        <w:ind w:left="0"/>
        <w:rPr>
          <w:sz w:val="15"/>
        </w:rPr>
      </w:pPr>
    </w:p>
    <w:p>
      <w:pPr>
        <w:pStyle w:val="BodyText"/>
        <w:rPr>
          <w:rFonts w:ascii="Times New Roman" w:eastAsia="Times New Roman"/>
        </w:rPr>
      </w:pPr>
      <w:r>
        <w:rPr/>
        <w:t>网址：</w:t>
      </w:r>
      <w:hyperlink r:id="rId129">
        <w:r>
          <w:rPr>
            <w:rFonts w:ascii="Times New Roman" w:eastAsia="Times New Roman"/>
          </w:rPr>
          <w:t>www.fujifund.cn</w:t>
        </w:r>
      </w:hyperlink>
    </w:p>
    <w:p>
      <w:pPr>
        <w:pStyle w:val="BodyText"/>
        <w:spacing w:before="4"/>
        <w:ind w:left="0"/>
        <w:rPr>
          <w:rFonts w:ascii="Times New Roman"/>
          <w:sz w:val="17"/>
        </w:rPr>
      </w:pPr>
    </w:p>
    <w:p>
      <w:pPr>
        <w:pStyle w:val="BodyText"/>
        <w:rPr>
          <w:rFonts w:ascii="Times New Roman" w:eastAsia="Times New Roman"/>
        </w:rPr>
      </w:pPr>
      <w:r>
        <w:rPr/>
        <w:t>客户服务电话：</w:t>
      </w:r>
      <w:r>
        <w:rPr>
          <w:rFonts w:ascii="Times New Roman" w:eastAsia="Times New Roman"/>
        </w:rPr>
        <w:t>0755-83999907</w:t>
      </w:r>
    </w:p>
    <w:p>
      <w:pPr>
        <w:pStyle w:val="BodyText"/>
        <w:spacing w:before="3"/>
        <w:ind w:left="0"/>
        <w:rPr>
          <w:rFonts w:ascii="Times New Roman"/>
          <w:sz w:val="17"/>
        </w:rPr>
      </w:pPr>
    </w:p>
    <w:p>
      <w:pPr>
        <w:pStyle w:val="ListParagraph"/>
        <w:numPr>
          <w:ilvl w:val="0"/>
          <w:numId w:val="31"/>
        </w:numPr>
        <w:tabs>
          <w:tab w:pos="1275" w:val="left" w:leader="none"/>
        </w:tabs>
        <w:spacing w:line="240" w:lineRule="auto" w:before="0" w:after="0"/>
        <w:ind w:left="1275" w:right="0" w:hanging="635"/>
        <w:jc w:val="left"/>
        <w:rPr>
          <w:sz w:val="21"/>
        </w:rPr>
      </w:pPr>
      <w:r>
        <w:rPr>
          <w:spacing w:val="-3"/>
          <w:sz w:val="21"/>
        </w:rPr>
        <w:t>上海陆金所基金销售有限公司</w:t>
      </w:r>
    </w:p>
    <w:p>
      <w:pPr>
        <w:pStyle w:val="BodyText"/>
        <w:spacing w:before="7"/>
        <w:ind w:left="0"/>
        <w:rPr>
          <w:sz w:val="15"/>
        </w:rPr>
      </w:pPr>
    </w:p>
    <w:p>
      <w:pPr>
        <w:pStyle w:val="BodyText"/>
        <w:spacing w:line="417" w:lineRule="auto"/>
        <w:ind w:right="3931"/>
      </w:pPr>
      <w:r>
        <w:rPr/>
        <w:t>住所：上海市浦东新区陆家嘴环路</w:t>
      </w:r>
      <w:r>
        <w:rPr>
          <w:rFonts w:ascii="Times New Roman" w:eastAsia="Times New Roman"/>
        </w:rPr>
        <w:t>1333</w:t>
      </w:r>
      <w:r>
        <w:rPr/>
        <w:t>号</w:t>
      </w:r>
      <w:r>
        <w:rPr>
          <w:rFonts w:ascii="Times New Roman" w:eastAsia="Times New Roman"/>
        </w:rPr>
        <w:t>14</w:t>
      </w:r>
      <w:r>
        <w:rPr/>
        <w:t>楼</w:t>
      </w:r>
      <w:r>
        <w:rPr>
          <w:rFonts w:ascii="Times New Roman" w:eastAsia="Times New Roman"/>
        </w:rPr>
        <w:t>09</w:t>
      </w:r>
      <w:r>
        <w:rPr/>
        <w:t>单元办公地址：上海市浦东新区陆家嘴环路</w:t>
      </w:r>
      <w:r>
        <w:rPr>
          <w:rFonts w:ascii="Times New Roman" w:eastAsia="Times New Roman"/>
        </w:rPr>
        <w:t>1333</w:t>
      </w:r>
      <w:r>
        <w:rPr/>
        <w:t>号</w:t>
      </w:r>
    </w:p>
    <w:p>
      <w:pPr>
        <w:pStyle w:val="BodyText"/>
        <w:spacing w:line="417" w:lineRule="auto"/>
        <w:ind w:right="6870"/>
        <w:jc w:val="both"/>
        <w:rPr>
          <w:rFonts w:ascii="Times New Roman" w:eastAsia="Times New Roman"/>
        </w:rPr>
      </w:pPr>
      <w:r>
        <w:rPr/>
        <w:t>法定代表人：王之光电话：</w:t>
      </w:r>
      <w:r>
        <w:rPr>
          <w:rFonts w:ascii="Times New Roman" w:eastAsia="Times New Roman"/>
        </w:rPr>
        <w:t>021-20665952 </w:t>
      </w:r>
      <w:r>
        <w:rPr/>
        <w:t>传真：</w:t>
      </w:r>
      <w:r>
        <w:rPr>
          <w:rFonts w:ascii="Times New Roman" w:eastAsia="Times New Roman"/>
        </w:rPr>
        <w:t>021-22066653</w:t>
      </w:r>
    </w:p>
    <w:p>
      <w:pPr>
        <w:pStyle w:val="BodyText"/>
      </w:pPr>
      <w:r>
        <w:rPr/>
        <w:t>联系人：宁博宇</w:t>
      </w:r>
    </w:p>
    <w:p>
      <w:pPr>
        <w:pStyle w:val="BodyText"/>
        <w:spacing w:before="6"/>
        <w:ind w:left="0"/>
        <w:rPr>
          <w:sz w:val="15"/>
        </w:rPr>
      </w:pPr>
    </w:p>
    <w:p>
      <w:pPr>
        <w:pStyle w:val="BodyText"/>
        <w:rPr>
          <w:rFonts w:ascii="Times New Roman" w:eastAsia="Times New Roman"/>
        </w:rPr>
      </w:pPr>
      <w:r>
        <w:rPr/>
        <w:t>网址：</w:t>
      </w:r>
      <w:hyperlink r:id="rId130">
        <w:r>
          <w:rPr>
            <w:rFonts w:ascii="Times New Roman" w:eastAsia="Times New Roman"/>
          </w:rPr>
          <w:t>www.lufunds.com</w:t>
        </w:r>
      </w:hyperlink>
    </w:p>
    <w:p>
      <w:pPr>
        <w:pStyle w:val="BodyText"/>
        <w:spacing w:before="4"/>
        <w:ind w:left="0"/>
        <w:rPr>
          <w:rFonts w:ascii="Times New Roman"/>
          <w:sz w:val="17"/>
        </w:rPr>
      </w:pPr>
    </w:p>
    <w:p>
      <w:pPr>
        <w:pStyle w:val="BodyText"/>
        <w:rPr>
          <w:rFonts w:ascii="Times New Roman" w:eastAsia="Times New Roman"/>
        </w:rPr>
      </w:pPr>
      <w:r>
        <w:rPr/>
        <w:t>客户服务电话：</w:t>
      </w:r>
      <w:r>
        <w:rPr>
          <w:rFonts w:ascii="Times New Roman" w:eastAsia="Times New Roman"/>
        </w:rPr>
        <w:t>400-821-9031</w:t>
      </w:r>
    </w:p>
    <w:p>
      <w:pPr>
        <w:pStyle w:val="BodyText"/>
        <w:spacing w:before="3"/>
        <w:ind w:left="0"/>
        <w:rPr>
          <w:rFonts w:ascii="Times New Roman"/>
          <w:sz w:val="17"/>
        </w:rPr>
      </w:pPr>
    </w:p>
    <w:p>
      <w:pPr>
        <w:pStyle w:val="ListParagraph"/>
        <w:numPr>
          <w:ilvl w:val="0"/>
          <w:numId w:val="31"/>
        </w:numPr>
        <w:tabs>
          <w:tab w:pos="1275" w:val="left" w:leader="none"/>
        </w:tabs>
        <w:spacing w:line="240" w:lineRule="auto" w:before="0" w:after="0"/>
        <w:ind w:left="1275" w:right="0" w:hanging="635"/>
        <w:jc w:val="left"/>
        <w:rPr>
          <w:sz w:val="21"/>
        </w:rPr>
      </w:pPr>
      <w:r>
        <w:rPr>
          <w:spacing w:val="-3"/>
          <w:sz w:val="21"/>
        </w:rPr>
        <w:t>大泰金石基金销售有限公司</w:t>
      </w:r>
    </w:p>
    <w:p>
      <w:pPr>
        <w:pStyle w:val="BodyText"/>
        <w:spacing w:before="7"/>
        <w:ind w:left="0"/>
        <w:rPr>
          <w:sz w:val="15"/>
        </w:rPr>
      </w:pPr>
    </w:p>
    <w:p>
      <w:pPr>
        <w:pStyle w:val="BodyText"/>
        <w:spacing w:line="417" w:lineRule="auto"/>
        <w:ind w:right="2563"/>
      </w:pPr>
      <w:r>
        <w:rPr/>
        <w:t>住所：南京市建邺区江东中路</w:t>
      </w:r>
      <w:r>
        <w:rPr>
          <w:rFonts w:ascii="Times New Roman" w:eastAsia="Times New Roman"/>
        </w:rPr>
        <w:t>222</w:t>
      </w:r>
      <w:r>
        <w:rPr/>
        <w:t>号南京奥体中心现代五项馆</w:t>
      </w:r>
      <w:r>
        <w:rPr>
          <w:rFonts w:ascii="Times New Roman" w:eastAsia="Times New Roman"/>
        </w:rPr>
        <w:t>2105</w:t>
      </w:r>
      <w:r>
        <w:rPr/>
        <w:t>室办公地址：上海市浦东新区峨山路</w:t>
      </w:r>
      <w:r>
        <w:rPr>
          <w:rFonts w:ascii="Times New Roman" w:eastAsia="Times New Roman"/>
        </w:rPr>
        <w:t>505</w:t>
      </w:r>
      <w:r>
        <w:rPr/>
        <w:t>号东方纯一大厦</w:t>
      </w:r>
      <w:r>
        <w:rPr>
          <w:rFonts w:ascii="Times New Roman" w:eastAsia="Times New Roman"/>
        </w:rPr>
        <w:t>15</w:t>
      </w:r>
      <w:r>
        <w:rPr/>
        <w:t>楼</w:t>
      </w:r>
    </w:p>
    <w:p>
      <w:pPr>
        <w:pStyle w:val="BodyText"/>
        <w:spacing w:line="417" w:lineRule="auto"/>
        <w:ind w:right="6870"/>
        <w:rPr>
          <w:rFonts w:ascii="Times New Roman" w:eastAsia="Times New Roman"/>
        </w:rPr>
      </w:pPr>
      <w:r>
        <w:rPr/>
        <w:t>法定代表人：袁顾明电话：</w:t>
      </w:r>
      <w:r>
        <w:rPr>
          <w:rFonts w:ascii="Times New Roman" w:eastAsia="Times New Roman"/>
        </w:rPr>
        <w:t>13671788303 </w:t>
      </w:r>
      <w:r>
        <w:rPr/>
        <w:t>传真：</w:t>
      </w:r>
      <w:r>
        <w:rPr>
          <w:rFonts w:ascii="Times New Roman" w:eastAsia="Times New Roman"/>
        </w:rPr>
        <w:t>021-20324199</w:t>
      </w:r>
    </w:p>
    <w:p>
      <w:pPr>
        <w:pStyle w:val="BodyText"/>
      </w:pPr>
      <w:r>
        <w:rPr/>
        <w:t>联系人：刘璐</w:t>
      </w:r>
    </w:p>
    <w:p>
      <w:pPr>
        <w:pStyle w:val="BodyText"/>
        <w:spacing w:before="6"/>
        <w:ind w:left="0"/>
        <w:rPr>
          <w:sz w:val="15"/>
        </w:rPr>
      </w:pPr>
    </w:p>
    <w:p>
      <w:pPr>
        <w:pStyle w:val="BodyText"/>
        <w:spacing w:before="1"/>
        <w:rPr>
          <w:rFonts w:ascii="Times New Roman" w:eastAsia="Times New Roman"/>
        </w:rPr>
      </w:pPr>
      <w:r>
        <w:rPr/>
        <w:t>网址：</w:t>
      </w:r>
      <w:hyperlink r:id="rId131">
        <w:r>
          <w:rPr>
            <w:rFonts w:ascii="Times New Roman" w:eastAsia="Times New Roman"/>
          </w:rPr>
          <w:t>www.dtfunds.com</w:t>
        </w:r>
      </w:hyperlink>
    </w:p>
    <w:p>
      <w:pPr>
        <w:pStyle w:val="BodyText"/>
        <w:spacing w:before="3"/>
        <w:ind w:left="0"/>
        <w:rPr>
          <w:rFonts w:ascii="Times New Roman"/>
          <w:sz w:val="17"/>
        </w:rPr>
      </w:pPr>
    </w:p>
    <w:p>
      <w:pPr>
        <w:pStyle w:val="BodyText"/>
        <w:rPr>
          <w:rFonts w:ascii="Times New Roman" w:eastAsia="Times New Roman"/>
        </w:rPr>
      </w:pPr>
      <w:r>
        <w:rPr/>
        <w:t>客户服务电话：</w:t>
      </w:r>
      <w:r>
        <w:rPr>
          <w:rFonts w:ascii="Times New Roman" w:eastAsia="Times New Roman"/>
        </w:rPr>
        <w:t>400-928-2266</w:t>
      </w:r>
    </w:p>
    <w:p>
      <w:pPr>
        <w:pStyle w:val="BodyText"/>
        <w:spacing w:before="3"/>
        <w:ind w:left="0"/>
        <w:rPr>
          <w:rFonts w:ascii="Times New Roman"/>
          <w:sz w:val="17"/>
        </w:rPr>
      </w:pPr>
    </w:p>
    <w:p>
      <w:pPr>
        <w:pStyle w:val="ListParagraph"/>
        <w:numPr>
          <w:ilvl w:val="0"/>
          <w:numId w:val="31"/>
        </w:numPr>
        <w:tabs>
          <w:tab w:pos="1275" w:val="left" w:leader="none"/>
        </w:tabs>
        <w:spacing w:line="240" w:lineRule="auto" w:before="0" w:after="0"/>
        <w:ind w:left="1275" w:right="0" w:hanging="635"/>
        <w:jc w:val="left"/>
        <w:rPr>
          <w:sz w:val="21"/>
        </w:rPr>
      </w:pPr>
      <w:r>
        <w:rPr>
          <w:spacing w:val="-3"/>
          <w:sz w:val="21"/>
        </w:rPr>
        <w:t>珠海盈米基金销售有限公司</w:t>
      </w:r>
    </w:p>
    <w:p>
      <w:pPr>
        <w:pStyle w:val="BodyText"/>
        <w:spacing w:before="7"/>
        <w:ind w:left="0"/>
        <w:rPr>
          <w:sz w:val="15"/>
        </w:rPr>
      </w:pPr>
    </w:p>
    <w:p>
      <w:pPr>
        <w:pStyle w:val="BodyText"/>
        <w:rPr>
          <w:rFonts w:ascii="Times New Roman" w:eastAsia="Times New Roman"/>
        </w:rPr>
      </w:pPr>
      <w:r>
        <w:rPr/>
        <w:t>住所：珠海市横琴新区宝华路</w:t>
      </w:r>
      <w:r>
        <w:rPr>
          <w:rFonts w:ascii="Times New Roman" w:eastAsia="Times New Roman"/>
        </w:rPr>
        <w:t>6</w:t>
      </w:r>
      <w:r>
        <w:rPr/>
        <w:t>号</w:t>
      </w:r>
      <w:r>
        <w:rPr>
          <w:rFonts w:ascii="Times New Roman" w:eastAsia="Times New Roman"/>
        </w:rPr>
        <w:t>105</w:t>
      </w:r>
      <w:r>
        <w:rPr/>
        <w:t>室</w:t>
      </w:r>
      <w:r>
        <w:rPr>
          <w:rFonts w:ascii="Times New Roman" w:eastAsia="Times New Roman"/>
        </w:rPr>
        <w:t>-3491</w:t>
      </w:r>
    </w:p>
    <w:p>
      <w:pPr>
        <w:pStyle w:val="BodyText"/>
        <w:spacing w:before="4"/>
        <w:ind w:left="0"/>
        <w:rPr>
          <w:rFonts w:ascii="Times New Roman"/>
          <w:sz w:val="17"/>
        </w:rPr>
      </w:pPr>
    </w:p>
    <w:p>
      <w:pPr>
        <w:pStyle w:val="BodyText"/>
        <w:spacing w:line="417" w:lineRule="auto"/>
        <w:ind w:right="1726"/>
      </w:pPr>
      <w:r>
        <w:rPr/>
        <w:t>办公地址：广东省广州市海珠区琶洲大道东</w:t>
      </w:r>
      <w:r>
        <w:rPr>
          <w:rFonts w:ascii="Times New Roman" w:eastAsia="Times New Roman"/>
        </w:rPr>
        <w:t>1</w:t>
      </w:r>
      <w:r>
        <w:rPr/>
        <w:t>号保利国际广场南塔</w:t>
      </w:r>
      <w:r>
        <w:rPr>
          <w:rFonts w:ascii="Times New Roman" w:eastAsia="Times New Roman"/>
        </w:rPr>
        <w:t>B1201-1203 </w:t>
      </w:r>
      <w:r>
        <w:rPr/>
        <w:t>法定代表人：肖雯</w:t>
      </w:r>
    </w:p>
    <w:p>
      <w:pPr>
        <w:spacing w:after="0" w:line="417" w:lineRule="auto"/>
        <w:sectPr>
          <w:pgSz w:w="11910" w:h="16840"/>
          <w:pgMar w:header="705" w:footer="683" w:top="1420" w:bottom="880" w:left="1580" w:right="920"/>
        </w:sectPr>
      </w:pPr>
    </w:p>
    <w:p>
      <w:pPr>
        <w:pStyle w:val="BodyText"/>
        <w:spacing w:line="417" w:lineRule="auto" w:before="110"/>
        <w:ind w:right="6906"/>
        <w:rPr>
          <w:rFonts w:ascii="Times New Roman" w:eastAsia="Times New Roman"/>
        </w:rPr>
      </w:pPr>
      <w:r>
        <w:rPr/>
        <w:t>电话：</w:t>
      </w:r>
      <w:r>
        <w:rPr>
          <w:rFonts w:ascii="Times New Roman" w:eastAsia="Times New Roman"/>
        </w:rPr>
        <w:t>020-89629021 </w:t>
      </w:r>
      <w:r>
        <w:rPr/>
        <w:t>传真：</w:t>
      </w:r>
      <w:r>
        <w:rPr>
          <w:rFonts w:ascii="Times New Roman" w:eastAsia="Times New Roman"/>
        </w:rPr>
        <w:t>020-89629011</w:t>
      </w:r>
    </w:p>
    <w:p>
      <w:pPr>
        <w:pStyle w:val="BodyText"/>
        <w:spacing w:line="269" w:lineRule="exact"/>
      </w:pPr>
      <w:r>
        <w:rPr/>
        <w:t>联系人：吴煜浩</w:t>
      </w:r>
    </w:p>
    <w:p>
      <w:pPr>
        <w:pStyle w:val="BodyText"/>
        <w:spacing w:before="6"/>
        <w:ind w:left="0"/>
        <w:rPr>
          <w:sz w:val="15"/>
        </w:rPr>
      </w:pPr>
    </w:p>
    <w:p>
      <w:pPr>
        <w:pStyle w:val="BodyText"/>
        <w:rPr>
          <w:rFonts w:ascii="Times New Roman" w:eastAsia="Times New Roman"/>
        </w:rPr>
      </w:pPr>
      <w:r>
        <w:rPr/>
        <w:t>网址：</w:t>
      </w:r>
      <w:hyperlink r:id="rId132">
        <w:r>
          <w:rPr>
            <w:rFonts w:ascii="Times New Roman" w:eastAsia="Times New Roman"/>
          </w:rPr>
          <w:t>www.yingmi.cn</w:t>
        </w:r>
      </w:hyperlink>
    </w:p>
    <w:p>
      <w:pPr>
        <w:pStyle w:val="BodyText"/>
        <w:spacing w:before="4"/>
        <w:ind w:left="0"/>
        <w:rPr>
          <w:rFonts w:ascii="Times New Roman"/>
          <w:sz w:val="17"/>
        </w:rPr>
      </w:pPr>
    </w:p>
    <w:p>
      <w:pPr>
        <w:pStyle w:val="BodyText"/>
        <w:rPr>
          <w:rFonts w:ascii="Times New Roman" w:eastAsia="Times New Roman"/>
        </w:rPr>
      </w:pPr>
      <w:r>
        <w:rPr/>
        <w:t>客户服务电话：</w:t>
      </w:r>
      <w:r>
        <w:rPr>
          <w:rFonts w:ascii="Times New Roman" w:eastAsia="Times New Roman"/>
        </w:rPr>
        <w:t>020-89629066</w:t>
      </w:r>
    </w:p>
    <w:p>
      <w:pPr>
        <w:pStyle w:val="BodyText"/>
        <w:spacing w:before="3"/>
        <w:ind w:left="0"/>
        <w:rPr>
          <w:rFonts w:ascii="Times New Roman"/>
          <w:sz w:val="17"/>
        </w:rPr>
      </w:pPr>
    </w:p>
    <w:p>
      <w:pPr>
        <w:pStyle w:val="ListParagraph"/>
        <w:numPr>
          <w:ilvl w:val="0"/>
          <w:numId w:val="31"/>
        </w:numPr>
        <w:tabs>
          <w:tab w:pos="1275" w:val="left" w:leader="none"/>
        </w:tabs>
        <w:spacing w:line="240" w:lineRule="auto" w:before="0" w:after="0"/>
        <w:ind w:left="1275" w:right="0" w:hanging="635"/>
        <w:jc w:val="left"/>
        <w:rPr>
          <w:sz w:val="21"/>
        </w:rPr>
      </w:pPr>
      <w:r>
        <w:rPr>
          <w:spacing w:val="-3"/>
          <w:sz w:val="21"/>
        </w:rPr>
        <w:t>和耕传承基金销售有限公司</w:t>
      </w:r>
    </w:p>
    <w:p>
      <w:pPr>
        <w:pStyle w:val="BodyText"/>
        <w:spacing w:before="7"/>
        <w:ind w:left="0"/>
        <w:rPr>
          <w:sz w:val="15"/>
        </w:rPr>
      </w:pPr>
    </w:p>
    <w:p>
      <w:pPr>
        <w:pStyle w:val="BodyText"/>
        <w:spacing w:line="417" w:lineRule="auto"/>
        <w:ind w:right="873"/>
      </w:pPr>
      <w:r>
        <w:rPr>
          <w:spacing w:val="-7"/>
        </w:rPr>
        <w:t>住所：河南自贸试验区郑州片区</w:t>
      </w:r>
      <w:r>
        <w:rPr/>
        <w:t>（</w:t>
      </w:r>
      <w:r>
        <w:rPr>
          <w:spacing w:val="-2"/>
        </w:rPr>
        <w:t>郑东</w:t>
      </w:r>
      <w:r>
        <w:rPr>
          <w:spacing w:val="-22"/>
        </w:rPr>
        <w:t>）</w:t>
      </w:r>
      <w:r>
        <w:rPr>
          <w:spacing w:val="-6"/>
        </w:rPr>
        <w:t>东风东路东、康宁街北</w:t>
      </w:r>
      <w:r>
        <w:rPr>
          <w:rFonts w:ascii="Times New Roman" w:eastAsia="Times New Roman"/>
          <w:spacing w:val="-3"/>
        </w:rPr>
        <w:t>6</w:t>
      </w:r>
      <w:r>
        <w:rPr/>
        <w:t>号楼</w:t>
      </w:r>
      <w:r>
        <w:rPr>
          <w:rFonts w:ascii="Times New Roman" w:eastAsia="Times New Roman"/>
          <w:spacing w:val="-3"/>
        </w:rPr>
        <w:t>6</w:t>
      </w:r>
      <w:r>
        <w:rPr/>
        <w:t>楼</w:t>
      </w:r>
      <w:r>
        <w:rPr>
          <w:rFonts w:ascii="Times New Roman" w:eastAsia="Times New Roman"/>
        </w:rPr>
        <w:t>602</w:t>
      </w:r>
      <w:r>
        <w:rPr>
          <w:spacing w:val="-20"/>
        </w:rPr>
        <w:t>、</w:t>
      </w:r>
      <w:r>
        <w:rPr>
          <w:rFonts w:ascii="Times New Roman" w:eastAsia="Times New Roman"/>
        </w:rPr>
        <w:t>603</w:t>
      </w:r>
      <w:r>
        <w:rPr/>
        <w:t>房间</w:t>
      </w:r>
      <w:r>
        <w:rPr>
          <w:spacing w:val="-3"/>
        </w:rPr>
        <w:t>办公地址：北京市朝阳区酒仙桥路</w:t>
      </w:r>
      <w:r>
        <w:rPr>
          <w:rFonts w:ascii="Times New Roman" w:eastAsia="Times New Roman"/>
          <w:spacing w:val="-3"/>
        </w:rPr>
        <w:t>6</w:t>
      </w:r>
      <w:r>
        <w:rPr>
          <w:spacing w:val="-3"/>
        </w:rPr>
        <w:t>号院国际电子城</w:t>
      </w:r>
      <w:r>
        <w:rPr>
          <w:rFonts w:ascii="Times New Roman" w:eastAsia="Times New Roman"/>
        </w:rPr>
        <w:t>b</w:t>
      </w:r>
      <w:r>
        <w:rPr/>
        <w:t>座</w:t>
      </w:r>
    </w:p>
    <w:p>
      <w:pPr>
        <w:pStyle w:val="BodyText"/>
        <w:spacing w:line="417" w:lineRule="auto"/>
        <w:ind w:right="6738"/>
        <w:rPr>
          <w:rFonts w:ascii="Times New Roman" w:eastAsia="Times New Roman"/>
        </w:rPr>
      </w:pPr>
      <w:r>
        <w:rPr/>
        <w:t>法定代表人：王旋 电话：</w:t>
      </w:r>
      <w:r>
        <w:rPr>
          <w:rFonts w:ascii="Times New Roman" w:eastAsia="Times New Roman"/>
        </w:rPr>
        <w:t>0371-85518396 </w:t>
      </w:r>
      <w:r>
        <w:rPr/>
        <w:t>传真：</w:t>
      </w:r>
      <w:r>
        <w:rPr>
          <w:rFonts w:ascii="Times New Roman" w:eastAsia="Times New Roman"/>
        </w:rPr>
        <w:t>0371-85518397</w:t>
      </w:r>
    </w:p>
    <w:p>
      <w:pPr>
        <w:pStyle w:val="BodyText"/>
        <w:spacing w:line="269" w:lineRule="exact"/>
      </w:pPr>
      <w:r>
        <w:rPr/>
        <w:t>联系人：胡静华</w:t>
      </w:r>
    </w:p>
    <w:p>
      <w:pPr>
        <w:pStyle w:val="BodyText"/>
        <w:spacing w:before="7"/>
        <w:ind w:left="0"/>
        <w:rPr>
          <w:sz w:val="15"/>
        </w:rPr>
      </w:pPr>
    </w:p>
    <w:p>
      <w:pPr>
        <w:pStyle w:val="BodyText"/>
        <w:rPr>
          <w:rFonts w:ascii="Times New Roman" w:eastAsia="Times New Roman"/>
        </w:rPr>
      </w:pPr>
      <w:r>
        <w:rPr/>
        <w:t>网址：</w:t>
      </w:r>
      <w:hyperlink r:id="rId133">
        <w:r>
          <w:rPr>
            <w:rFonts w:ascii="Times New Roman" w:eastAsia="Times New Roman"/>
          </w:rPr>
          <w:t>www.hgccpb.com</w:t>
        </w:r>
      </w:hyperlink>
    </w:p>
    <w:p>
      <w:pPr>
        <w:pStyle w:val="BodyText"/>
        <w:spacing w:before="3"/>
        <w:ind w:left="0"/>
        <w:rPr>
          <w:rFonts w:ascii="Times New Roman"/>
          <w:sz w:val="17"/>
        </w:rPr>
      </w:pPr>
    </w:p>
    <w:p>
      <w:pPr>
        <w:pStyle w:val="BodyText"/>
        <w:spacing w:before="1"/>
        <w:rPr>
          <w:rFonts w:ascii="Times New Roman" w:eastAsia="Times New Roman"/>
        </w:rPr>
      </w:pPr>
      <w:r>
        <w:rPr/>
        <w:t>客户服务电话：</w:t>
      </w:r>
      <w:r>
        <w:rPr>
          <w:rFonts w:ascii="Times New Roman" w:eastAsia="Times New Roman"/>
        </w:rPr>
        <w:t>4000-555-671</w:t>
      </w:r>
    </w:p>
    <w:p>
      <w:pPr>
        <w:pStyle w:val="BodyText"/>
        <w:spacing w:before="3"/>
        <w:ind w:left="0"/>
        <w:rPr>
          <w:rFonts w:ascii="Times New Roman"/>
          <w:sz w:val="17"/>
        </w:rPr>
      </w:pPr>
    </w:p>
    <w:p>
      <w:pPr>
        <w:pStyle w:val="ListParagraph"/>
        <w:numPr>
          <w:ilvl w:val="0"/>
          <w:numId w:val="31"/>
        </w:numPr>
        <w:tabs>
          <w:tab w:pos="1275" w:val="left" w:leader="none"/>
        </w:tabs>
        <w:spacing w:line="240" w:lineRule="auto" w:before="0" w:after="0"/>
        <w:ind w:left="1275" w:right="0" w:hanging="635"/>
        <w:jc w:val="left"/>
        <w:rPr>
          <w:sz w:val="21"/>
        </w:rPr>
      </w:pPr>
      <w:r>
        <w:rPr>
          <w:spacing w:val="-3"/>
          <w:sz w:val="21"/>
        </w:rPr>
        <w:t>奕丰基金销售有限公司</w:t>
      </w:r>
    </w:p>
    <w:p>
      <w:pPr>
        <w:pStyle w:val="BodyText"/>
        <w:spacing w:before="7"/>
        <w:ind w:left="0"/>
        <w:rPr>
          <w:sz w:val="15"/>
        </w:rPr>
      </w:pPr>
    </w:p>
    <w:p>
      <w:pPr>
        <w:pStyle w:val="BodyText"/>
      </w:pPr>
      <w:r>
        <w:rPr/>
        <w:t>住所：深圳市前海深港合作区前湾一路</w:t>
      </w:r>
      <w:r>
        <w:rPr>
          <w:rFonts w:ascii="Times New Roman" w:eastAsia="Times New Roman"/>
        </w:rPr>
        <w:t>1</w:t>
      </w:r>
      <w:r>
        <w:rPr/>
        <w:t>号</w:t>
      </w:r>
      <w:r>
        <w:rPr>
          <w:rFonts w:ascii="Times New Roman" w:eastAsia="Times New Roman"/>
        </w:rPr>
        <w:t>A</w:t>
      </w:r>
      <w:r>
        <w:rPr/>
        <w:t>栋</w:t>
      </w:r>
      <w:r>
        <w:rPr>
          <w:rFonts w:ascii="Times New Roman" w:eastAsia="Times New Roman"/>
        </w:rPr>
        <w:t>201</w:t>
      </w:r>
      <w:r>
        <w:rPr/>
        <w:t>室</w:t>
      </w:r>
    </w:p>
    <w:p>
      <w:pPr>
        <w:pStyle w:val="BodyText"/>
        <w:spacing w:before="7"/>
        <w:ind w:left="0"/>
        <w:rPr>
          <w:sz w:val="15"/>
        </w:rPr>
      </w:pPr>
    </w:p>
    <w:p>
      <w:pPr>
        <w:pStyle w:val="BodyText"/>
        <w:spacing w:line="417" w:lineRule="auto"/>
        <w:ind w:right="2938"/>
        <w:rPr>
          <w:rFonts w:ascii="Times New Roman" w:eastAsia="Times New Roman"/>
        </w:rPr>
      </w:pPr>
      <w:r>
        <w:rPr/>
        <w:t>办公地址：深圳市南山区海德三道航天科技广场</w:t>
      </w:r>
      <w:r>
        <w:rPr>
          <w:rFonts w:ascii="Times New Roman" w:eastAsia="Times New Roman"/>
        </w:rPr>
        <w:t>A</w:t>
      </w:r>
      <w:r>
        <w:rPr/>
        <w:t>座</w:t>
      </w:r>
      <w:r>
        <w:rPr>
          <w:rFonts w:ascii="Times New Roman" w:eastAsia="Times New Roman"/>
        </w:rPr>
        <w:t>17</w:t>
      </w:r>
      <w:r>
        <w:rPr/>
        <w:t>楼</w:t>
      </w:r>
      <w:r>
        <w:rPr>
          <w:rFonts w:ascii="Times New Roman" w:eastAsia="Times New Roman"/>
        </w:rPr>
        <w:t>1704</w:t>
      </w:r>
      <w:r>
        <w:rPr/>
        <w:t>室法定代表人：</w:t>
      </w:r>
      <w:r>
        <w:rPr>
          <w:rFonts w:ascii="Times New Roman" w:eastAsia="Times New Roman"/>
        </w:rPr>
        <w:t>TEO WEE HOWE</w:t>
      </w:r>
    </w:p>
    <w:p>
      <w:pPr>
        <w:pStyle w:val="BodyText"/>
        <w:spacing w:line="417" w:lineRule="auto"/>
        <w:ind w:right="6800"/>
        <w:rPr>
          <w:rFonts w:ascii="Times New Roman" w:eastAsia="Times New Roman"/>
        </w:rPr>
      </w:pPr>
      <w:r>
        <w:rPr/>
        <w:t>电话：</w:t>
      </w:r>
      <w:r>
        <w:rPr>
          <w:rFonts w:ascii="Times New Roman" w:eastAsia="Times New Roman"/>
        </w:rPr>
        <w:t>0755-89460507 </w:t>
      </w:r>
      <w:r>
        <w:rPr/>
        <w:t>传真：</w:t>
      </w:r>
      <w:r>
        <w:rPr>
          <w:rFonts w:ascii="Times New Roman" w:eastAsia="Times New Roman"/>
        </w:rPr>
        <w:t>0755-21674453</w:t>
      </w:r>
    </w:p>
    <w:p>
      <w:pPr>
        <w:pStyle w:val="BodyText"/>
        <w:spacing w:line="269" w:lineRule="exact"/>
      </w:pPr>
      <w:r>
        <w:rPr/>
        <w:t>联系人：叶健</w:t>
      </w:r>
    </w:p>
    <w:p>
      <w:pPr>
        <w:pStyle w:val="BodyText"/>
        <w:spacing w:before="7"/>
        <w:ind w:left="0"/>
        <w:rPr>
          <w:sz w:val="15"/>
        </w:rPr>
      </w:pPr>
    </w:p>
    <w:p>
      <w:pPr>
        <w:pStyle w:val="BodyText"/>
        <w:rPr>
          <w:rFonts w:ascii="Times New Roman" w:eastAsia="Times New Roman"/>
        </w:rPr>
      </w:pPr>
      <w:r>
        <w:rPr/>
        <w:t>网址：</w:t>
      </w:r>
      <w:hyperlink r:id="rId134">
        <w:r>
          <w:rPr>
            <w:rFonts w:ascii="Times New Roman" w:eastAsia="Times New Roman"/>
          </w:rPr>
          <w:t>www.ifastps.com.cn</w:t>
        </w:r>
      </w:hyperlink>
    </w:p>
    <w:p>
      <w:pPr>
        <w:pStyle w:val="BodyText"/>
        <w:spacing w:before="3"/>
        <w:ind w:left="0"/>
        <w:rPr>
          <w:rFonts w:ascii="Times New Roman"/>
          <w:sz w:val="17"/>
        </w:rPr>
      </w:pPr>
    </w:p>
    <w:p>
      <w:pPr>
        <w:pStyle w:val="BodyText"/>
        <w:rPr>
          <w:rFonts w:ascii="Times New Roman" w:eastAsia="Times New Roman"/>
        </w:rPr>
      </w:pPr>
      <w:r>
        <w:rPr/>
        <w:t>客户服务电话：</w:t>
      </w:r>
      <w:r>
        <w:rPr>
          <w:rFonts w:ascii="Times New Roman" w:eastAsia="Times New Roman"/>
        </w:rPr>
        <w:t>400-684-0500</w:t>
      </w:r>
    </w:p>
    <w:p>
      <w:pPr>
        <w:pStyle w:val="BodyText"/>
        <w:spacing w:before="4"/>
        <w:ind w:left="0"/>
        <w:rPr>
          <w:rFonts w:ascii="Times New Roman"/>
          <w:sz w:val="17"/>
        </w:rPr>
      </w:pPr>
    </w:p>
    <w:p>
      <w:pPr>
        <w:pStyle w:val="ListParagraph"/>
        <w:numPr>
          <w:ilvl w:val="0"/>
          <w:numId w:val="31"/>
        </w:numPr>
        <w:tabs>
          <w:tab w:pos="1275" w:val="left" w:leader="none"/>
        </w:tabs>
        <w:spacing w:line="417" w:lineRule="auto" w:before="0" w:after="0"/>
        <w:ind w:left="640" w:right="4769" w:firstLine="0"/>
        <w:jc w:val="left"/>
        <w:rPr>
          <w:sz w:val="21"/>
        </w:rPr>
      </w:pPr>
      <w:r>
        <w:rPr>
          <w:spacing w:val="-3"/>
          <w:sz w:val="21"/>
        </w:rPr>
        <w:t>中证金牛</w:t>
      </w:r>
      <w:r>
        <w:rPr>
          <w:sz w:val="21"/>
        </w:rPr>
        <w:t>（</w:t>
      </w:r>
      <w:r>
        <w:rPr>
          <w:spacing w:val="-2"/>
          <w:sz w:val="21"/>
        </w:rPr>
        <w:t>北京</w:t>
      </w:r>
      <w:r>
        <w:rPr>
          <w:spacing w:val="-3"/>
          <w:sz w:val="21"/>
        </w:rPr>
        <w:t>）</w:t>
      </w:r>
      <w:r>
        <w:rPr>
          <w:spacing w:val="-5"/>
          <w:sz w:val="21"/>
        </w:rPr>
        <w:t>投资咨询有限公司</w:t>
      </w:r>
      <w:r>
        <w:rPr>
          <w:spacing w:val="-3"/>
          <w:sz w:val="21"/>
        </w:rPr>
        <w:t>住所：北京市丰台区东管头</w:t>
      </w:r>
      <w:r>
        <w:rPr>
          <w:rFonts w:ascii="Times New Roman" w:eastAsia="Times New Roman"/>
          <w:sz w:val="21"/>
        </w:rPr>
        <w:t>1</w:t>
      </w:r>
      <w:r>
        <w:rPr>
          <w:sz w:val="21"/>
        </w:rPr>
        <w:t>号</w:t>
      </w:r>
      <w:r>
        <w:rPr>
          <w:rFonts w:ascii="Times New Roman" w:eastAsia="Times New Roman"/>
          <w:spacing w:val="-3"/>
          <w:sz w:val="21"/>
        </w:rPr>
        <w:t>2</w:t>
      </w:r>
      <w:r>
        <w:rPr>
          <w:spacing w:val="-2"/>
          <w:sz w:val="21"/>
        </w:rPr>
        <w:t>号楼</w:t>
      </w:r>
      <w:r>
        <w:rPr>
          <w:rFonts w:ascii="Times New Roman" w:eastAsia="Times New Roman"/>
          <w:sz w:val="21"/>
        </w:rPr>
        <w:t>2-45</w:t>
      </w:r>
      <w:r>
        <w:rPr>
          <w:sz w:val="21"/>
        </w:rPr>
        <w:t>室</w:t>
      </w:r>
    </w:p>
    <w:p>
      <w:pPr>
        <w:pStyle w:val="BodyText"/>
        <w:spacing w:line="417" w:lineRule="auto"/>
        <w:ind w:right="2832"/>
      </w:pPr>
      <w:r>
        <w:rPr/>
        <w:t>办公地址：北京市宣武门外大街甲一号新华社第三工作区</w:t>
      </w:r>
      <w:r>
        <w:rPr>
          <w:rFonts w:ascii="Times New Roman" w:eastAsia="Times New Roman"/>
        </w:rPr>
        <w:t>A</w:t>
      </w:r>
      <w:r>
        <w:rPr/>
        <w:t>座</w:t>
      </w:r>
      <w:r>
        <w:rPr>
          <w:rFonts w:ascii="Times New Roman" w:eastAsia="Times New Roman"/>
        </w:rPr>
        <w:t>5</w:t>
      </w:r>
      <w:r>
        <w:rPr/>
        <w:t>层法定代表人：钱昊旻</w:t>
      </w:r>
    </w:p>
    <w:p>
      <w:pPr>
        <w:pStyle w:val="BodyText"/>
        <w:spacing w:line="417" w:lineRule="auto"/>
        <w:ind w:right="6906"/>
        <w:rPr>
          <w:rFonts w:ascii="Times New Roman" w:eastAsia="Times New Roman"/>
        </w:rPr>
      </w:pPr>
      <w:r>
        <w:rPr/>
        <w:t>电话：</w:t>
      </w:r>
      <w:r>
        <w:rPr>
          <w:rFonts w:ascii="Times New Roman" w:eastAsia="Times New Roman"/>
        </w:rPr>
        <w:t>010-59336519 </w:t>
      </w:r>
      <w:r>
        <w:rPr/>
        <w:t>传真：</w:t>
      </w:r>
      <w:r>
        <w:rPr>
          <w:rFonts w:ascii="Times New Roman" w:eastAsia="Times New Roman"/>
        </w:rPr>
        <w:t>010-59336500</w:t>
      </w:r>
    </w:p>
    <w:p>
      <w:pPr>
        <w:pStyle w:val="BodyText"/>
      </w:pPr>
      <w:r>
        <w:rPr/>
        <w:t>联系人：孙雯</w:t>
      </w:r>
    </w:p>
    <w:p>
      <w:pPr>
        <w:spacing w:after="0"/>
        <w:sectPr>
          <w:pgSz w:w="11910" w:h="16840"/>
          <w:pgMar w:header="705" w:footer="683" w:top="1420" w:bottom="880" w:left="1580" w:right="920"/>
        </w:sectPr>
      </w:pPr>
    </w:p>
    <w:p>
      <w:pPr>
        <w:pStyle w:val="BodyText"/>
        <w:spacing w:before="110"/>
        <w:rPr>
          <w:rFonts w:ascii="Times New Roman" w:eastAsia="Times New Roman"/>
        </w:rPr>
      </w:pPr>
      <w:r>
        <w:rPr/>
        <w:t>网址：</w:t>
      </w:r>
      <w:hyperlink r:id="rId135">
        <w:r>
          <w:rPr>
            <w:rFonts w:ascii="Times New Roman" w:eastAsia="Times New Roman"/>
          </w:rPr>
          <w:t>www.jnlc.com</w:t>
        </w:r>
      </w:hyperlink>
    </w:p>
    <w:p>
      <w:pPr>
        <w:pStyle w:val="BodyText"/>
        <w:spacing w:before="3"/>
        <w:ind w:left="0"/>
        <w:rPr>
          <w:rFonts w:ascii="Times New Roman"/>
          <w:sz w:val="17"/>
        </w:rPr>
      </w:pPr>
    </w:p>
    <w:p>
      <w:pPr>
        <w:pStyle w:val="BodyText"/>
        <w:rPr>
          <w:rFonts w:ascii="Times New Roman" w:eastAsia="Times New Roman"/>
        </w:rPr>
      </w:pPr>
      <w:r>
        <w:rPr/>
        <w:t>客户服务电话：</w:t>
      </w:r>
      <w:r>
        <w:rPr>
          <w:rFonts w:ascii="Times New Roman" w:eastAsia="Times New Roman"/>
        </w:rPr>
        <w:t>4008-909-998</w:t>
      </w:r>
    </w:p>
    <w:p>
      <w:pPr>
        <w:pStyle w:val="BodyText"/>
        <w:spacing w:before="3"/>
        <w:ind w:left="0"/>
        <w:rPr>
          <w:rFonts w:ascii="Times New Roman"/>
          <w:sz w:val="17"/>
        </w:rPr>
      </w:pPr>
    </w:p>
    <w:p>
      <w:pPr>
        <w:pStyle w:val="ListParagraph"/>
        <w:numPr>
          <w:ilvl w:val="0"/>
          <w:numId w:val="31"/>
        </w:numPr>
        <w:tabs>
          <w:tab w:pos="1275" w:val="left" w:leader="none"/>
        </w:tabs>
        <w:spacing w:line="240" w:lineRule="auto" w:before="1" w:after="0"/>
        <w:ind w:left="1275" w:right="0" w:hanging="635"/>
        <w:jc w:val="left"/>
        <w:rPr>
          <w:sz w:val="21"/>
        </w:rPr>
      </w:pPr>
      <w:r>
        <w:rPr>
          <w:spacing w:val="-3"/>
          <w:sz w:val="21"/>
        </w:rPr>
        <w:t>京东肯特瑞基金销售有限公司</w:t>
      </w:r>
    </w:p>
    <w:p>
      <w:pPr>
        <w:pStyle w:val="BodyText"/>
        <w:spacing w:before="6"/>
        <w:ind w:left="0"/>
        <w:rPr>
          <w:sz w:val="15"/>
        </w:rPr>
      </w:pPr>
    </w:p>
    <w:p>
      <w:pPr>
        <w:pStyle w:val="BodyText"/>
        <w:rPr>
          <w:rFonts w:ascii="Times New Roman" w:eastAsia="Times New Roman"/>
        </w:rPr>
      </w:pPr>
      <w:r>
        <w:rPr/>
        <w:t>住所：北京市海淀区显龙山路</w:t>
      </w:r>
      <w:r>
        <w:rPr>
          <w:rFonts w:ascii="Times New Roman" w:eastAsia="Times New Roman"/>
        </w:rPr>
        <w:t>19</w:t>
      </w:r>
      <w:r>
        <w:rPr/>
        <w:t>号</w:t>
      </w:r>
      <w:r>
        <w:rPr>
          <w:rFonts w:ascii="Times New Roman" w:eastAsia="Times New Roman"/>
        </w:rPr>
        <w:t>1</w:t>
      </w:r>
      <w:r>
        <w:rPr/>
        <w:t>幢</w:t>
      </w:r>
      <w:r>
        <w:rPr>
          <w:rFonts w:ascii="Times New Roman" w:eastAsia="Times New Roman"/>
        </w:rPr>
        <w:t>4</w:t>
      </w:r>
      <w:r>
        <w:rPr/>
        <w:t>层</w:t>
      </w:r>
      <w:r>
        <w:rPr>
          <w:rFonts w:ascii="Times New Roman" w:eastAsia="Times New Roman"/>
        </w:rPr>
        <w:t>1</w:t>
      </w:r>
      <w:r>
        <w:rPr/>
        <w:t>座</w:t>
      </w:r>
      <w:r>
        <w:rPr>
          <w:rFonts w:ascii="Times New Roman" w:eastAsia="Times New Roman"/>
        </w:rPr>
        <w:t>401</w:t>
      </w:r>
    </w:p>
    <w:p>
      <w:pPr>
        <w:pStyle w:val="BodyText"/>
        <w:spacing w:before="4"/>
        <w:ind w:left="0"/>
        <w:rPr>
          <w:rFonts w:ascii="Times New Roman"/>
          <w:sz w:val="17"/>
        </w:rPr>
      </w:pPr>
    </w:p>
    <w:p>
      <w:pPr>
        <w:pStyle w:val="BodyText"/>
        <w:spacing w:line="417" w:lineRule="auto"/>
        <w:ind w:right="1826"/>
      </w:pPr>
      <w:r>
        <w:rPr/>
        <w:t>办公地址：北京市大兴区亦庄经济开发区科创十一街十八号院京东集团总部法定代表人：江卉</w:t>
      </w:r>
    </w:p>
    <w:p>
      <w:pPr>
        <w:pStyle w:val="BodyText"/>
        <w:spacing w:line="417" w:lineRule="auto"/>
        <w:ind w:right="6906"/>
        <w:rPr>
          <w:rFonts w:ascii="Times New Roman" w:eastAsia="Times New Roman"/>
        </w:rPr>
      </w:pPr>
      <w:r>
        <w:rPr/>
        <w:t>电话：</w:t>
      </w:r>
      <w:r>
        <w:rPr>
          <w:rFonts w:ascii="Times New Roman" w:eastAsia="Times New Roman"/>
        </w:rPr>
        <w:t>010-89188692 </w:t>
      </w:r>
      <w:r>
        <w:rPr/>
        <w:t>传真：</w:t>
      </w:r>
      <w:r>
        <w:rPr>
          <w:rFonts w:ascii="Times New Roman" w:eastAsia="Times New Roman"/>
        </w:rPr>
        <w:t>010-89180000</w:t>
      </w:r>
    </w:p>
    <w:p>
      <w:pPr>
        <w:pStyle w:val="BodyText"/>
      </w:pPr>
      <w:r>
        <w:rPr/>
        <w:t>联系人：黄立影</w:t>
      </w:r>
    </w:p>
    <w:p>
      <w:pPr>
        <w:pStyle w:val="BodyText"/>
        <w:spacing w:before="6"/>
        <w:ind w:left="0"/>
        <w:rPr>
          <w:sz w:val="15"/>
        </w:rPr>
      </w:pPr>
    </w:p>
    <w:p>
      <w:pPr>
        <w:pStyle w:val="BodyText"/>
        <w:rPr>
          <w:rFonts w:ascii="Times New Roman" w:eastAsia="Times New Roman"/>
        </w:rPr>
      </w:pPr>
      <w:r>
        <w:rPr/>
        <w:t>网址：</w:t>
      </w:r>
      <w:hyperlink r:id="rId136">
        <w:r>
          <w:rPr>
            <w:rFonts w:ascii="Times New Roman" w:eastAsia="Times New Roman"/>
          </w:rPr>
          <w:t>http://fund.jd.com/</w:t>
        </w:r>
      </w:hyperlink>
    </w:p>
    <w:p>
      <w:pPr>
        <w:pStyle w:val="BodyText"/>
        <w:spacing w:before="4"/>
        <w:ind w:left="0"/>
        <w:rPr>
          <w:rFonts w:ascii="Times New Roman"/>
          <w:sz w:val="17"/>
        </w:rPr>
      </w:pPr>
    </w:p>
    <w:p>
      <w:pPr>
        <w:pStyle w:val="BodyText"/>
        <w:rPr>
          <w:rFonts w:ascii="Times New Roman" w:eastAsia="Times New Roman"/>
        </w:rPr>
      </w:pPr>
      <w:r>
        <w:rPr/>
        <w:t>客户服务电话：</w:t>
      </w:r>
      <w:r>
        <w:rPr>
          <w:rFonts w:ascii="Times New Roman" w:eastAsia="Times New Roman"/>
        </w:rPr>
        <w:t>95118</w:t>
      </w:r>
      <w:r>
        <w:rPr/>
        <w:t>、</w:t>
      </w:r>
      <w:r>
        <w:rPr>
          <w:rFonts w:ascii="Times New Roman" w:eastAsia="Times New Roman"/>
        </w:rPr>
        <w:t>400-098-8511</w:t>
      </w:r>
    </w:p>
    <w:p>
      <w:pPr>
        <w:pStyle w:val="BodyText"/>
        <w:spacing w:before="3"/>
        <w:ind w:left="0"/>
        <w:rPr>
          <w:rFonts w:ascii="Times New Roman"/>
          <w:sz w:val="17"/>
        </w:rPr>
      </w:pPr>
    </w:p>
    <w:p>
      <w:pPr>
        <w:pStyle w:val="ListParagraph"/>
        <w:numPr>
          <w:ilvl w:val="0"/>
          <w:numId w:val="31"/>
        </w:numPr>
        <w:tabs>
          <w:tab w:pos="1275" w:val="left" w:leader="none"/>
        </w:tabs>
        <w:spacing w:line="240" w:lineRule="auto" w:before="0" w:after="0"/>
        <w:ind w:left="1275" w:right="0" w:hanging="635"/>
        <w:jc w:val="left"/>
        <w:rPr>
          <w:sz w:val="21"/>
        </w:rPr>
      </w:pPr>
      <w:r>
        <w:rPr>
          <w:spacing w:val="-3"/>
          <w:sz w:val="21"/>
        </w:rPr>
        <w:t>大连网金基金销售有限公司</w:t>
      </w:r>
    </w:p>
    <w:p>
      <w:pPr>
        <w:pStyle w:val="BodyText"/>
        <w:spacing w:before="7"/>
        <w:ind w:left="0"/>
        <w:rPr>
          <w:sz w:val="15"/>
        </w:rPr>
      </w:pPr>
    </w:p>
    <w:p>
      <w:pPr>
        <w:pStyle w:val="BodyText"/>
        <w:rPr>
          <w:rFonts w:ascii="Times New Roman" w:eastAsia="Times New Roman"/>
        </w:rPr>
      </w:pPr>
      <w:r>
        <w:rPr/>
        <w:t>住所：中国大连市沙河口区体坛路</w:t>
      </w:r>
      <w:r>
        <w:rPr>
          <w:rFonts w:ascii="Times New Roman" w:eastAsia="Times New Roman"/>
        </w:rPr>
        <w:t>22</w:t>
      </w:r>
      <w:r>
        <w:rPr/>
        <w:t>号诺德大厦</w:t>
      </w:r>
      <w:r>
        <w:rPr>
          <w:rFonts w:ascii="Times New Roman" w:eastAsia="Times New Roman"/>
        </w:rPr>
        <w:t>202</w:t>
      </w:r>
    </w:p>
    <w:p>
      <w:pPr>
        <w:pStyle w:val="BodyText"/>
        <w:spacing w:before="3"/>
        <w:ind w:left="0"/>
        <w:rPr>
          <w:rFonts w:ascii="Times New Roman"/>
          <w:sz w:val="17"/>
        </w:rPr>
      </w:pPr>
    </w:p>
    <w:p>
      <w:pPr>
        <w:pStyle w:val="BodyText"/>
        <w:spacing w:line="417" w:lineRule="auto" w:before="1"/>
        <w:ind w:right="3612"/>
      </w:pPr>
      <w:r>
        <w:rPr/>
        <w:t>办公地址：中国大连市沙河口区体坛路</w:t>
      </w:r>
      <w:r>
        <w:rPr>
          <w:rFonts w:ascii="Times New Roman" w:eastAsia="Times New Roman"/>
        </w:rPr>
        <w:t>22</w:t>
      </w:r>
      <w:r>
        <w:rPr/>
        <w:t>号诺德大厦</w:t>
      </w:r>
      <w:r>
        <w:rPr>
          <w:rFonts w:ascii="Times New Roman" w:eastAsia="Times New Roman"/>
        </w:rPr>
        <w:t>202 </w:t>
      </w:r>
      <w:r>
        <w:rPr/>
        <w:t>法定代表人：樊怀东</w:t>
      </w:r>
    </w:p>
    <w:p>
      <w:pPr>
        <w:pStyle w:val="BodyText"/>
        <w:spacing w:line="417" w:lineRule="auto"/>
        <w:ind w:right="6810"/>
        <w:rPr>
          <w:rFonts w:ascii="Times New Roman" w:eastAsia="Times New Roman"/>
        </w:rPr>
      </w:pPr>
      <w:r>
        <w:rPr/>
        <w:t>电话：</w:t>
      </w:r>
      <w:r>
        <w:rPr>
          <w:rFonts w:ascii="Times New Roman" w:eastAsia="Times New Roman"/>
        </w:rPr>
        <w:t>13522300698 </w:t>
      </w:r>
      <w:r>
        <w:rPr/>
        <w:t>传真：</w:t>
      </w:r>
      <w:r>
        <w:rPr>
          <w:rFonts w:ascii="Times New Roman" w:eastAsia="Times New Roman"/>
        </w:rPr>
        <w:t>0411-39027835</w:t>
      </w:r>
    </w:p>
    <w:p>
      <w:pPr>
        <w:pStyle w:val="BodyText"/>
        <w:spacing w:line="269" w:lineRule="exact"/>
      </w:pPr>
      <w:r>
        <w:rPr/>
        <w:t>联系人：王清臣</w:t>
      </w:r>
    </w:p>
    <w:p>
      <w:pPr>
        <w:pStyle w:val="BodyText"/>
        <w:spacing w:before="6"/>
        <w:ind w:left="0"/>
        <w:rPr>
          <w:sz w:val="15"/>
        </w:rPr>
      </w:pPr>
    </w:p>
    <w:p>
      <w:pPr>
        <w:pStyle w:val="BodyText"/>
        <w:spacing w:line="417" w:lineRule="auto"/>
        <w:ind w:right="5981"/>
        <w:rPr>
          <w:rFonts w:ascii="Times New Roman" w:eastAsia="Times New Roman"/>
        </w:rPr>
      </w:pPr>
      <w:r>
        <w:rPr/>
        <w:t>网址：</w:t>
      </w:r>
      <w:hyperlink r:id="rId137">
        <w:r>
          <w:rPr>
            <w:rFonts w:ascii="Times New Roman" w:eastAsia="Times New Roman"/>
          </w:rPr>
          <w:t>http://www.yibaijin.com/ </w:t>
        </w:r>
      </w:hyperlink>
      <w:r>
        <w:rPr/>
        <w:t>客户服务电话：</w:t>
      </w:r>
      <w:r>
        <w:rPr>
          <w:rFonts w:ascii="Times New Roman" w:eastAsia="Times New Roman"/>
        </w:rPr>
        <w:t>4000-899-100</w:t>
      </w:r>
    </w:p>
    <w:p>
      <w:pPr>
        <w:pStyle w:val="ListParagraph"/>
        <w:numPr>
          <w:ilvl w:val="0"/>
          <w:numId w:val="31"/>
        </w:numPr>
        <w:tabs>
          <w:tab w:pos="1275" w:val="left" w:leader="none"/>
        </w:tabs>
        <w:spacing w:line="417" w:lineRule="auto" w:before="0" w:after="0"/>
        <w:ind w:left="640" w:right="4558" w:firstLine="0"/>
        <w:jc w:val="left"/>
        <w:rPr>
          <w:sz w:val="21"/>
        </w:rPr>
      </w:pPr>
      <w:r>
        <w:rPr>
          <w:spacing w:val="-3"/>
          <w:sz w:val="21"/>
        </w:rPr>
        <w:t>中民财富基金销售</w:t>
      </w:r>
      <w:r>
        <w:rPr>
          <w:sz w:val="21"/>
        </w:rPr>
        <w:t>（</w:t>
      </w:r>
      <w:r>
        <w:rPr>
          <w:spacing w:val="-2"/>
          <w:sz w:val="21"/>
        </w:rPr>
        <w:t>上海</w:t>
      </w:r>
      <w:r>
        <w:rPr>
          <w:sz w:val="21"/>
        </w:rPr>
        <w:t>）</w:t>
      </w:r>
      <w:r>
        <w:rPr>
          <w:spacing w:val="-3"/>
          <w:sz w:val="21"/>
        </w:rPr>
        <w:t>有限公司 住所：上海市黄浦区中山南路</w:t>
      </w:r>
      <w:r>
        <w:rPr>
          <w:rFonts w:ascii="Times New Roman" w:eastAsia="Times New Roman"/>
          <w:sz w:val="21"/>
        </w:rPr>
        <w:t>100</w:t>
      </w:r>
      <w:r>
        <w:rPr>
          <w:sz w:val="21"/>
        </w:rPr>
        <w:t>号</w:t>
      </w:r>
      <w:r>
        <w:rPr>
          <w:rFonts w:ascii="Times New Roman" w:eastAsia="Times New Roman"/>
          <w:spacing w:val="-3"/>
          <w:sz w:val="21"/>
        </w:rPr>
        <w:t>7</w:t>
      </w:r>
      <w:r>
        <w:rPr>
          <w:sz w:val="21"/>
        </w:rPr>
        <w:t>层</w:t>
      </w:r>
      <w:r>
        <w:rPr>
          <w:rFonts w:ascii="Times New Roman" w:eastAsia="Times New Roman"/>
          <w:sz w:val="21"/>
        </w:rPr>
        <w:t>05</w:t>
      </w:r>
      <w:r>
        <w:rPr>
          <w:spacing w:val="-6"/>
          <w:sz w:val="21"/>
        </w:rPr>
        <w:t>单元</w:t>
      </w:r>
    </w:p>
    <w:p>
      <w:pPr>
        <w:pStyle w:val="BodyText"/>
        <w:spacing w:line="417" w:lineRule="auto"/>
        <w:ind w:right="2573"/>
      </w:pPr>
      <w:r>
        <w:rPr/>
        <w:t>办公地址：上海市浦东新区民生路</w:t>
      </w:r>
      <w:r>
        <w:rPr>
          <w:rFonts w:ascii="Times New Roman" w:eastAsia="Times New Roman"/>
        </w:rPr>
        <w:t>1199</w:t>
      </w:r>
      <w:r>
        <w:rPr/>
        <w:t>弄证大五道口广场</w:t>
      </w:r>
      <w:r>
        <w:rPr>
          <w:rFonts w:ascii="Times New Roman" w:eastAsia="Times New Roman"/>
        </w:rPr>
        <w:t>1</w:t>
      </w:r>
      <w:r>
        <w:rPr/>
        <w:t>号楼</w:t>
      </w:r>
      <w:r>
        <w:rPr>
          <w:rFonts w:ascii="Times New Roman" w:eastAsia="Times New Roman"/>
        </w:rPr>
        <w:t>27</w:t>
      </w:r>
      <w:r>
        <w:rPr/>
        <w:t>层法定代表人：弭洪军</w:t>
      </w:r>
    </w:p>
    <w:p>
      <w:pPr>
        <w:pStyle w:val="BodyText"/>
        <w:spacing w:line="417" w:lineRule="auto"/>
        <w:ind w:right="6906"/>
        <w:rPr>
          <w:rFonts w:ascii="Times New Roman" w:eastAsia="Times New Roman"/>
        </w:rPr>
      </w:pPr>
      <w:r>
        <w:rPr/>
        <w:t>电话：</w:t>
      </w:r>
      <w:r>
        <w:rPr>
          <w:rFonts w:ascii="Times New Roman" w:eastAsia="Times New Roman"/>
        </w:rPr>
        <w:t>021-33357030 </w:t>
      </w:r>
      <w:r>
        <w:rPr/>
        <w:t>传真：</w:t>
      </w:r>
      <w:r>
        <w:rPr>
          <w:rFonts w:ascii="Times New Roman" w:eastAsia="Times New Roman"/>
        </w:rPr>
        <w:t>021-63353736</w:t>
      </w:r>
    </w:p>
    <w:p>
      <w:pPr>
        <w:pStyle w:val="BodyText"/>
        <w:spacing w:line="269" w:lineRule="exact"/>
      </w:pPr>
      <w:r>
        <w:rPr/>
        <w:t>联系人：李娜</w:t>
      </w:r>
    </w:p>
    <w:p>
      <w:pPr>
        <w:pStyle w:val="BodyText"/>
        <w:spacing w:before="7"/>
        <w:ind w:left="0"/>
        <w:rPr>
          <w:sz w:val="15"/>
        </w:rPr>
      </w:pPr>
    </w:p>
    <w:p>
      <w:pPr>
        <w:pStyle w:val="BodyText"/>
        <w:rPr>
          <w:rFonts w:ascii="Times New Roman" w:eastAsia="Times New Roman"/>
        </w:rPr>
      </w:pPr>
      <w:r>
        <w:rPr/>
        <w:t>网址：</w:t>
      </w:r>
      <w:hyperlink r:id="rId138">
        <w:r>
          <w:rPr>
            <w:rFonts w:ascii="Times New Roman" w:eastAsia="Times New Roman"/>
          </w:rPr>
          <w:t>www.cmiwm.com</w:t>
        </w:r>
      </w:hyperlink>
    </w:p>
    <w:p>
      <w:pPr>
        <w:pStyle w:val="BodyText"/>
        <w:spacing w:before="3"/>
        <w:ind w:left="0"/>
        <w:rPr>
          <w:rFonts w:ascii="Times New Roman"/>
          <w:sz w:val="17"/>
        </w:rPr>
      </w:pPr>
    </w:p>
    <w:p>
      <w:pPr>
        <w:pStyle w:val="BodyText"/>
        <w:spacing w:before="1"/>
        <w:rPr>
          <w:rFonts w:ascii="Times New Roman" w:eastAsia="Times New Roman"/>
        </w:rPr>
      </w:pPr>
      <w:r>
        <w:rPr/>
        <w:t>客户服务电话：</w:t>
      </w:r>
      <w:r>
        <w:rPr>
          <w:rFonts w:ascii="Times New Roman" w:eastAsia="Times New Roman"/>
        </w:rPr>
        <w:t>400-876-5716</w:t>
      </w:r>
    </w:p>
    <w:p>
      <w:pPr>
        <w:pStyle w:val="BodyText"/>
        <w:spacing w:before="3"/>
        <w:ind w:left="0"/>
        <w:rPr>
          <w:rFonts w:ascii="Times New Roman"/>
          <w:sz w:val="17"/>
        </w:rPr>
      </w:pPr>
    </w:p>
    <w:p>
      <w:pPr>
        <w:pStyle w:val="ListParagraph"/>
        <w:numPr>
          <w:ilvl w:val="0"/>
          <w:numId w:val="31"/>
        </w:numPr>
        <w:tabs>
          <w:tab w:pos="1275" w:val="left" w:leader="none"/>
        </w:tabs>
        <w:spacing w:line="240" w:lineRule="auto" w:before="0" w:after="0"/>
        <w:ind w:left="1275" w:right="0" w:hanging="635"/>
        <w:jc w:val="left"/>
        <w:rPr>
          <w:sz w:val="21"/>
        </w:rPr>
      </w:pPr>
      <w:r>
        <w:rPr>
          <w:spacing w:val="-3"/>
          <w:sz w:val="21"/>
        </w:rPr>
        <w:t>深圳市金斧子基金销售有限公司</w:t>
      </w:r>
    </w:p>
    <w:p>
      <w:pPr>
        <w:spacing w:after="0" w:line="240" w:lineRule="auto"/>
        <w:jc w:val="left"/>
        <w:rPr>
          <w:sz w:val="21"/>
        </w:rPr>
        <w:sectPr>
          <w:pgSz w:w="11910" w:h="16840"/>
          <w:pgMar w:header="705" w:footer="683" w:top="1420" w:bottom="880" w:left="1580" w:right="920"/>
        </w:sectPr>
      </w:pPr>
    </w:p>
    <w:p>
      <w:pPr>
        <w:pStyle w:val="BodyText"/>
        <w:spacing w:before="110"/>
        <w:rPr>
          <w:rFonts w:ascii="Times New Roman" w:eastAsia="Times New Roman"/>
        </w:rPr>
      </w:pPr>
      <w:r>
        <w:rPr/>
        <w:t>住所：深圳市南山区粤海街道科技园中区科苑路</w:t>
      </w:r>
      <w:r>
        <w:rPr>
          <w:rFonts w:ascii="Times New Roman" w:eastAsia="Times New Roman"/>
        </w:rPr>
        <w:t>15</w:t>
      </w:r>
      <w:r>
        <w:rPr/>
        <w:t>号科兴科学园</w:t>
      </w:r>
      <w:r>
        <w:rPr>
          <w:rFonts w:ascii="Times New Roman" w:eastAsia="Times New Roman"/>
        </w:rPr>
        <w:t>B</w:t>
      </w:r>
      <w:r>
        <w:rPr/>
        <w:t>栋</w:t>
      </w:r>
      <w:r>
        <w:rPr>
          <w:rFonts w:ascii="Times New Roman" w:eastAsia="Times New Roman"/>
        </w:rPr>
        <w:t>3</w:t>
      </w:r>
      <w:r>
        <w:rPr/>
        <w:t>单元</w:t>
      </w:r>
      <w:r>
        <w:rPr>
          <w:rFonts w:ascii="Times New Roman" w:eastAsia="Times New Roman"/>
        </w:rPr>
        <w:t>11</w:t>
      </w:r>
      <w:r>
        <w:rPr/>
        <w:t>层</w:t>
      </w:r>
      <w:r>
        <w:rPr>
          <w:rFonts w:ascii="Times New Roman" w:eastAsia="Times New Roman"/>
        </w:rPr>
        <w:t>1108</w:t>
      </w:r>
    </w:p>
    <w:p>
      <w:pPr>
        <w:pStyle w:val="BodyText"/>
        <w:spacing w:before="5"/>
        <w:ind w:left="0"/>
        <w:rPr>
          <w:rFonts w:ascii="Times New Roman"/>
          <w:sz w:val="10"/>
        </w:rPr>
      </w:pPr>
    </w:p>
    <w:p>
      <w:pPr>
        <w:pStyle w:val="BodyText"/>
        <w:spacing w:before="79"/>
      </w:pPr>
      <w:r>
        <w:rPr/>
        <w:t>办公地址：深圳市南山区粤海街道科技园中区科苑路</w:t>
      </w:r>
      <w:r>
        <w:rPr>
          <w:rFonts w:ascii="Times New Roman" w:eastAsia="Times New Roman"/>
        </w:rPr>
        <w:t>15</w:t>
      </w:r>
      <w:r>
        <w:rPr/>
        <w:t>号科兴科学园</w:t>
      </w:r>
      <w:r>
        <w:rPr>
          <w:rFonts w:ascii="Times New Roman" w:eastAsia="Times New Roman"/>
        </w:rPr>
        <w:t>B</w:t>
      </w:r>
      <w:r>
        <w:rPr/>
        <w:t>栋</w:t>
      </w:r>
      <w:r>
        <w:rPr>
          <w:rFonts w:ascii="Times New Roman" w:eastAsia="Times New Roman"/>
        </w:rPr>
        <w:t>3</w:t>
      </w:r>
      <w:r>
        <w:rPr/>
        <w:t>单元</w:t>
      </w:r>
      <w:r>
        <w:rPr>
          <w:rFonts w:ascii="Times New Roman" w:eastAsia="Times New Roman"/>
        </w:rPr>
        <w:t>11</w:t>
      </w:r>
      <w:r>
        <w:rPr/>
        <w:t>层</w:t>
      </w:r>
    </w:p>
    <w:p>
      <w:pPr>
        <w:pStyle w:val="BodyText"/>
        <w:spacing w:before="5"/>
        <w:ind w:left="0"/>
        <w:rPr>
          <w:sz w:val="16"/>
        </w:rPr>
      </w:pPr>
    </w:p>
    <w:p>
      <w:pPr>
        <w:pStyle w:val="BodyText"/>
        <w:ind w:left="220"/>
        <w:rPr>
          <w:rFonts w:ascii="Times New Roman"/>
        </w:rPr>
      </w:pPr>
      <w:r>
        <w:rPr>
          <w:rFonts w:ascii="Times New Roman"/>
        </w:rPr>
        <w:t>1108</w:t>
      </w:r>
    </w:p>
    <w:p>
      <w:pPr>
        <w:pStyle w:val="BodyText"/>
        <w:spacing w:before="5"/>
        <w:ind w:left="0"/>
        <w:rPr>
          <w:rFonts w:ascii="Times New Roman"/>
          <w:sz w:val="12"/>
        </w:rPr>
      </w:pPr>
    </w:p>
    <w:p>
      <w:pPr>
        <w:pStyle w:val="BodyText"/>
        <w:spacing w:line="417" w:lineRule="auto" w:before="72"/>
        <w:ind w:right="6800"/>
        <w:rPr>
          <w:rFonts w:ascii="Times New Roman" w:eastAsia="Times New Roman"/>
        </w:rPr>
      </w:pPr>
      <w:r>
        <w:rPr/>
        <w:t>法定代表人：赖任军电话：</w:t>
      </w:r>
      <w:r>
        <w:rPr>
          <w:rFonts w:ascii="Times New Roman" w:eastAsia="Times New Roman"/>
        </w:rPr>
        <w:t>0755-84355914 </w:t>
      </w:r>
      <w:r>
        <w:rPr/>
        <w:t>传真：</w:t>
      </w:r>
      <w:r>
        <w:rPr>
          <w:rFonts w:ascii="Times New Roman" w:eastAsia="Times New Roman"/>
        </w:rPr>
        <w:t>0755-26920530</w:t>
      </w:r>
    </w:p>
    <w:p>
      <w:pPr>
        <w:pStyle w:val="BodyText"/>
        <w:spacing w:line="269" w:lineRule="exact"/>
      </w:pPr>
      <w:r>
        <w:rPr/>
        <w:t>联系人：陈丽霞</w:t>
      </w:r>
    </w:p>
    <w:p>
      <w:pPr>
        <w:pStyle w:val="BodyText"/>
        <w:spacing w:before="7"/>
        <w:ind w:left="0"/>
        <w:rPr>
          <w:sz w:val="15"/>
        </w:rPr>
      </w:pPr>
    </w:p>
    <w:p>
      <w:pPr>
        <w:pStyle w:val="BodyText"/>
        <w:rPr>
          <w:rFonts w:ascii="Times New Roman" w:eastAsia="Times New Roman"/>
        </w:rPr>
      </w:pPr>
      <w:r>
        <w:rPr/>
        <w:t>网址：</w:t>
      </w:r>
      <w:hyperlink r:id="rId139">
        <w:r>
          <w:rPr>
            <w:rFonts w:ascii="Times New Roman" w:eastAsia="Times New Roman"/>
          </w:rPr>
          <w:t>www.jfzinv.com</w:t>
        </w:r>
      </w:hyperlink>
    </w:p>
    <w:p>
      <w:pPr>
        <w:pStyle w:val="BodyText"/>
        <w:spacing w:before="4"/>
        <w:ind w:left="0"/>
        <w:rPr>
          <w:rFonts w:ascii="Times New Roman"/>
          <w:sz w:val="17"/>
        </w:rPr>
      </w:pPr>
    </w:p>
    <w:p>
      <w:pPr>
        <w:pStyle w:val="BodyText"/>
        <w:rPr>
          <w:rFonts w:ascii="Times New Roman" w:eastAsia="Times New Roman"/>
        </w:rPr>
      </w:pPr>
      <w:r>
        <w:rPr/>
        <w:t>客户服务电话：</w:t>
      </w:r>
      <w:r>
        <w:rPr>
          <w:rFonts w:ascii="Times New Roman" w:eastAsia="Times New Roman"/>
        </w:rPr>
        <w:t>400-9302-888</w:t>
      </w:r>
    </w:p>
    <w:p>
      <w:pPr>
        <w:pStyle w:val="BodyText"/>
        <w:spacing w:before="3"/>
        <w:ind w:left="0"/>
        <w:rPr>
          <w:rFonts w:ascii="Times New Roman"/>
          <w:sz w:val="17"/>
        </w:rPr>
      </w:pPr>
    </w:p>
    <w:p>
      <w:pPr>
        <w:pStyle w:val="ListParagraph"/>
        <w:numPr>
          <w:ilvl w:val="0"/>
          <w:numId w:val="31"/>
        </w:numPr>
        <w:tabs>
          <w:tab w:pos="1275" w:val="left" w:leader="none"/>
        </w:tabs>
        <w:spacing w:line="240" w:lineRule="auto" w:before="0" w:after="0"/>
        <w:ind w:left="1275" w:right="0" w:hanging="635"/>
        <w:jc w:val="left"/>
        <w:rPr>
          <w:sz w:val="21"/>
        </w:rPr>
      </w:pPr>
      <w:r>
        <w:rPr>
          <w:spacing w:val="-3"/>
          <w:sz w:val="21"/>
        </w:rPr>
        <w:t>北京蛋卷基金销售有限公司</w:t>
      </w:r>
    </w:p>
    <w:p>
      <w:pPr>
        <w:pStyle w:val="BodyText"/>
        <w:spacing w:before="7"/>
        <w:ind w:left="0"/>
        <w:rPr>
          <w:sz w:val="15"/>
        </w:rPr>
      </w:pPr>
    </w:p>
    <w:p>
      <w:pPr>
        <w:pStyle w:val="BodyText"/>
        <w:rPr>
          <w:rFonts w:ascii="Times New Roman" w:eastAsia="Times New Roman"/>
        </w:rPr>
      </w:pPr>
      <w:r>
        <w:rPr/>
        <w:t>住所：北京市朝阳区阜通东大街</w:t>
      </w:r>
      <w:r>
        <w:rPr>
          <w:rFonts w:ascii="Times New Roman" w:eastAsia="Times New Roman"/>
        </w:rPr>
        <w:t>1</w:t>
      </w:r>
      <w:r>
        <w:rPr/>
        <w:t>号院</w:t>
      </w:r>
      <w:r>
        <w:rPr>
          <w:rFonts w:ascii="Times New Roman" w:eastAsia="Times New Roman"/>
        </w:rPr>
        <w:t>6</w:t>
      </w:r>
      <w:r>
        <w:rPr/>
        <w:t>号楼</w:t>
      </w:r>
      <w:r>
        <w:rPr>
          <w:rFonts w:ascii="Times New Roman" w:eastAsia="Times New Roman"/>
        </w:rPr>
        <w:t>2</w:t>
      </w:r>
      <w:r>
        <w:rPr/>
        <w:t>单元</w:t>
      </w:r>
      <w:r>
        <w:rPr>
          <w:rFonts w:ascii="Times New Roman" w:eastAsia="Times New Roman"/>
        </w:rPr>
        <w:t>21</w:t>
      </w:r>
      <w:r>
        <w:rPr/>
        <w:t>层</w:t>
      </w:r>
      <w:r>
        <w:rPr>
          <w:rFonts w:ascii="Times New Roman" w:eastAsia="Times New Roman"/>
        </w:rPr>
        <w:t>222507</w:t>
      </w:r>
    </w:p>
    <w:p>
      <w:pPr>
        <w:pStyle w:val="BodyText"/>
        <w:spacing w:before="3"/>
        <w:ind w:left="0"/>
        <w:rPr>
          <w:rFonts w:ascii="Times New Roman"/>
          <w:sz w:val="17"/>
        </w:rPr>
      </w:pPr>
    </w:p>
    <w:p>
      <w:pPr>
        <w:pStyle w:val="BodyText"/>
        <w:spacing w:line="417" w:lineRule="auto" w:before="1"/>
        <w:ind w:right="2774"/>
      </w:pPr>
      <w:r>
        <w:rPr/>
        <w:t>办公地址：北京市朝阳区阜通东大街</w:t>
      </w:r>
      <w:r>
        <w:rPr>
          <w:rFonts w:ascii="Times New Roman" w:eastAsia="Times New Roman"/>
        </w:rPr>
        <w:t>1</w:t>
      </w:r>
      <w:r>
        <w:rPr/>
        <w:t>号院</w:t>
      </w:r>
      <w:r>
        <w:rPr>
          <w:rFonts w:ascii="Times New Roman" w:eastAsia="Times New Roman"/>
        </w:rPr>
        <w:t>6</w:t>
      </w:r>
      <w:r>
        <w:rPr/>
        <w:t>号楼</w:t>
      </w:r>
      <w:r>
        <w:rPr>
          <w:rFonts w:ascii="Times New Roman" w:eastAsia="Times New Roman"/>
        </w:rPr>
        <w:t>2</w:t>
      </w:r>
      <w:r>
        <w:rPr/>
        <w:t>单元</w:t>
      </w:r>
      <w:r>
        <w:rPr>
          <w:rFonts w:ascii="Times New Roman" w:eastAsia="Times New Roman"/>
        </w:rPr>
        <w:t>21</w:t>
      </w:r>
      <w:r>
        <w:rPr/>
        <w:t>层</w:t>
      </w:r>
      <w:r>
        <w:rPr>
          <w:rFonts w:ascii="Times New Roman" w:eastAsia="Times New Roman"/>
        </w:rPr>
        <w:t>222507 </w:t>
      </w:r>
      <w:r>
        <w:rPr/>
        <w:t>法定代表人：钟斐斐</w:t>
      </w:r>
    </w:p>
    <w:p>
      <w:pPr>
        <w:pStyle w:val="BodyText"/>
        <w:spacing w:line="417" w:lineRule="auto"/>
        <w:ind w:right="6906"/>
        <w:rPr>
          <w:rFonts w:ascii="Times New Roman" w:eastAsia="Times New Roman"/>
        </w:rPr>
      </w:pPr>
      <w:r>
        <w:rPr/>
        <w:t>电话：</w:t>
      </w:r>
      <w:r>
        <w:rPr>
          <w:rFonts w:ascii="Times New Roman" w:eastAsia="Times New Roman"/>
        </w:rPr>
        <w:t>010-61840688 </w:t>
      </w:r>
      <w:r>
        <w:rPr/>
        <w:t>传真：</w:t>
      </w:r>
      <w:r>
        <w:rPr>
          <w:rFonts w:ascii="Times New Roman" w:eastAsia="Times New Roman"/>
        </w:rPr>
        <w:t>010-61840699</w:t>
      </w:r>
    </w:p>
    <w:p>
      <w:pPr>
        <w:pStyle w:val="BodyText"/>
      </w:pPr>
      <w:r>
        <w:rPr/>
        <w:t>联系人：袁永姣</w:t>
      </w:r>
    </w:p>
    <w:p>
      <w:pPr>
        <w:pStyle w:val="BodyText"/>
        <w:spacing w:before="6"/>
        <w:ind w:left="0"/>
        <w:rPr>
          <w:sz w:val="15"/>
        </w:rPr>
      </w:pPr>
    </w:p>
    <w:p>
      <w:pPr>
        <w:pStyle w:val="BodyText"/>
        <w:spacing w:line="417" w:lineRule="auto"/>
        <w:ind w:right="6101"/>
        <w:rPr>
          <w:rFonts w:ascii="Times New Roman" w:eastAsia="Times New Roman"/>
        </w:rPr>
      </w:pPr>
      <w:r>
        <w:rPr/>
        <w:t>网址：</w:t>
      </w:r>
      <w:r>
        <w:rPr>
          <w:rFonts w:ascii="Times New Roman" w:eastAsia="Times New Roman"/>
        </w:rPr>
        <w:t>https://danjuanapp.com </w:t>
      </w:r>
      <w:r>
        <w:rPr/>
        <w:t>客户服务电话：</w:t>
      </w:r>
      <w:r>
        <w:rPr>
          <w:rFonts w:ascii="Times New Roman" w:eastAsia="Times New Roman"/>
        </w:rPr>
        <w:t>400-159-9288</w:t>
      </w:r>
    </w:p>
    <w:p>
      <w:pPr>
        <w:pStyle w:val="ListParagraph"/>
        <w:numPr>
          <w:ilvl w:val="0"/>
          <w:numId w:val="31"/>
        </w:numPr>
        <w:tabs>
          <w:tab w:pos="1275" w:val="left" w:leader="none"/>
        </w:tabs>
        <w:spacing w:line="269" w:lineRule="exact" w:before="0" w:after="0"/>
        <w:ind w:left="1275" w:right="0" w:hanging="635"/>
        <w:jc w:val="left"/>
        <w:rPr>
          <w:sz w:val="21"/>
        </w:rPr>
      </w:pPr>
      <w:r>
        <w:rPr>
          <w:spacing w:val="-3"/>
          <w:sz w:val="21"/>
        </w:rPr>
        <w:t>上海中欧财富基金销售有限公司</w:t>
      </w:r>
    </w:p>
    <w:p>
      <w:pPr>
        <w:pStyle w:val="BodyText"/>
        <w:spacing w:before="7"/>
        <w:ind w:left="0"/>
        <w:rPr>
          <w:sz w:val="15"/>
        </w:rPr>
      </w:pPr>
    </w:p>
    <w:p>
      <w:pPr>
        <w:pStyle w:val="BodyText"/>
        <w:spacing w:line="417" w:lineRule="auto"/>
        <w:ind w:right="3183"/>
      </w:pPr>
      <w:r>
        <w:rPr>
          <w:spacing w:val="-2"/>
        </w:rPr>
        <w:t>住所：中国</w:t>
      </w:r>
      <w:r>
        <w:rPr/>
        <w:t>（</w:t>
      </w:r>
      <w:r>
        <w:rPr>
          <w:spacing w:val="-2"/>
        </w:rPr>
        <w:t>上海</w:t>
      </w:r>
      <w:r>
        <w:rPr>
          <w:spacing w:val="-3"/>
        </w:rPr>
        <w:t>）自由贸易试验区陆家嘴环路</w:t>
      </w:r>
      <w:r>
        <w:rPr>
          <w:rFonts w:ascii="Times New Roman" w:eastAsia="Times New Roman"/>
        </w:rPr>
        <w:t>333</w:t>
      </w:r>
      <w:r>
        <w:rPr/>
        <w:t>号</w:t>
      </w:r>
      <w:r>
        <w:rPr>
          <w:rFonts w:ascii="Times New Roman" w:eastAsia="Times New Roman"/>
        </w:rPr>
        <w:t>729S</w:t>
      </w:r>
      <w:r>
        <w:rPr/>
        <w:t>室</w:t>
      </w:r>
      <w:r>
        <w:rPr>
          <w:spacing w:val="-3"/>
        </w:rPr>
        <w:t>办公地址：上海市虹口区公平路</w:t>
      </w:r>
      <w:r>
        <w:rPr>
          <w:rFonts w:ascii="Times New Roman" w:eastAsia="Times New Roman"/>
        </w:rPr>
        <w:t>18</w:t>
      </w:r>
      <w:r>
        <w:rPr>
          <w:spacing w:val="-3"/>
        </w:rPr>
        <w:t>号</w:t>
      </w:r>
      <w:r>
        <w:rPr>
          <w:rFonts w:ascii="Times New Roman" w:eastAsia="Times New Roman"/>
        </w:rPr>
        <w:t>8</w:t>
      </w:r>
      <w:r>
        <w:rPr>
          <w:spacing w:val="-3"/>
        </w:rPr>
        <w:t>栋嘉昱大厦</w:t>
      </w:r>
      <w:r>
        <w:rPr>
          <w:rFonts w:ascii="Times New Roman" w:eastAsia="Times New Roman"/>
          <w:spacing w:val="-3"/>
        </w:rPr>
        <w:t>6</w:t>
      </w:r>
      <w:r>
        <w:rPr/>
        <w:t>层</w:t>
      </w:r>
    </w:p>
    <w:p>
      <w:pPr>
        <w:pStyle w:val="BodyText"/>
      </w:pPr>
      <w:r>
        <w:rPr/>
        <w:t>法定代表人：许欣</w:t>
      </w:r>
    </w:p>
    <w:p>
      <w:pPr>
        <w:pStyle w:val="BodyText"/>
        <w:spacing w:before="7"/>
        <w:ind w:left="0"/>
        <w:rPr>
          <w:sz w:val="15"/>
        </w:rPr>
      </w:pPr>
    </w:p>
    <w:p>
      <w:pPr>
        <w:pStyle w:val="BodyText"/>
        <w:spacing w:line="417" w:lineRule="auto"/>
        <w:ind w:right="6416"/>
        <w:rPr>
          <w:rFonts w:ascii="Times New Roman" w:eastAsia="Times New Roman"/>
        </w:rPr>
      </w:pPr>
      <w:r>
        <w:rPr/>
        <w:t>电话：</w:t>
      </w:r>
      <w:r>
        <w:rPr>
          <w:rFonts w:ascii="Times New Roman" w:eastAsia="Times New Roman"/>
        </w:rPr>
        <w:t>021-68609600-5952 </w:t>
      </w:r>
      <w:r>
        <w:rPr/>
        <w:t>传真：</w:t>
      </w:r>
      <w:r>
        <w:rPr>
          <w:rFonts w:ascii="Times New Roman" w:eastAsia="Times New Roman"/>
        </w:rPr>
        <w:t>021-33830351</w:t>
      </w:r>
    </w:p>
    <w:p>
      <w:pPr>
        <w:pStyle w:val="BodyText"/>
        <w:spacing w:line="269" w:lineRule="exact"/>
      </w:pPr>
      <w:r>
        <w:rPr/>
        <w:t>联系人：黎静</w:t>
      </w:r>
    </w:p>
    <w:p>
      <w:pPr>
        <w:pStyle w:val="BodyText"/>
        <w:spacing w:before="6"/>
        <w:ind w:left="0"/>
        <w:rPr>
          <w:sz w:val="15"/>
        </w:rPr>
      </w:pPr>
    </w:p>
    <w:p>
      <w:pPr>
        <w:pStyle w:val="BodyText"/>
        <w:spacing w:line="417" w:lineRule="auto" w:before="1"/>
        <w:ind w:right="6101"/>
        <w:rPr>
          <w:rFonts w:ascii="Times New Roman" w:eastAsia="Times New Roman"/>
        </w:rPr>
      </w:pPr>
      <w:r>
        <w:rPr/>
        <w:t>网址：</w:t>
      </w:r>
      <w:hyperlink r:id="rId140">
        <w:r>
          <w:rPr>
            <w:rFonts w:ascii="Times New Roman" w:eastAsia="Times New Roman"/>
          </w:rPr>
          <w:t>www.qiangungun.com </w:t>
        </w:r>
      </w:hyperlink>
      <w:r>
        <w:rPr/>
        <w:t>客户服务电话：</w:t>
      </w:r>
      <w:r>
        <w:rPr>
          <w:rFonts w:ascii="Times New Roman" w:eastAsia="Times New Roman"/>
        </w:rPr>
        <w:t>400-700-9700</w:t>
      </w:r>
    </w:p>
    <w:p>
      <w:pPr>
        <w:pStyle w:val="ListParagraph"/>
        <w:numPr>
          <w:ilvl w:val="0"/>
          <w:numId w:val="31"/>
        </w:numPr>
        <w:tabs>
          <w:tab w:pos="1379" w:val="left" w:leader="none"/>
        </w:tabs>
        <w:spacing w:line="269" w:lineRule="exact" w:before="0" w:after="0"/>
        <w:ind w:left="1378" w:right="0" w:hanging="739"/>
        <w:jc w:val="left"/>
        <w:rPr>
          <w:sz w:val="21"/>
        </w:rPr>
      </w:pPr>
      <w:r>
        <w:rPr>
          <w:spacing w:val="-3"/>
          <w:sz w:val="21"/>
        </w:rPr>
        <w:t>天津万家财富资产管理有限公司</w:t>
      </w:r>
    </w:p>
    <w:p>
      <w:pPr>
        <w:pStyle w:val="BodyText"/>
        <w:spacing w:before="7"/>
        <w:ind w:left="0"/>
        <w:rPr>
          <w:sz w:val="15"/>
        </w:rPr>
      </w:pPr>
    </w:p>
    <w:p>
      <w:pPr>
        <w:pStyle w:val="BodyText"/>
        <w:spacing w:line="417" w:lineRule="auto"/>
        <w:ind w:right="1653"/>
      </w:pPr>
      <w:r>
        <w:rPr/>
        <w:t>住所：天津自贸区（中心商务区）迎宾大道</w:t>
      </w:r>
      <w:r>
        <w:rPr>
          <w:rFonts w:ascii="Times New Roman" w:eastAsia="Times New Roman"/>
        </w:rPr>
        <w:t>1988</w:t>
      </w:r>
      <w:r>
        <w:rPr/>
        <w:t>号滨海浙商大厦公寓</w:t>
      </w:r>
      <w:r>
        <w:rPr>
          <w:rFonts w:ascii="Times New Roman" w:eastAsia="Times New Roman"/>
        </w:rPr>
        <w:t>2-2413</w:t>
      </w:r>
      <w:r>
        <w:rPr/>
        <w:t>室办公地址：北京市西城区丰盛胡同</w:t>
      </w:r>
      <w:r>
        <w:rPr>
          <w:rFonts w:ascii="Times New Roman" w:eastAsia="Times New Roman"/>
        </w:rPr>
        <w:t>28</w:t>
      </w:r>
      <w:r>
        <w:rPr/>
        <w:t>号太平洋保险大厦</w:t>
      </w:r>
      <w:r>
        <w:rPr>
          <w:rFonts w:ascii="Times New Roman" w:eastAsia="Times New Roman"/>
        </w:rPr>
        <w:t>5</w:t>
      </w:r>
      <w:r>
        <w:rPr/>
        <w:t>层</w:t>
      </w:r>
    </w:p>
    <w:p>
      <w:pPr>
        <w:spacing w:after="0" w:line="417" w:lineRule="auto"/>
        <w:sectPr>
          <w:pgSz w:w="11910" w:h="16840"/>
          <w:pgMar w:header="705" w:footer="683" w:top="1420" w:bottom="880" w:left="1580" w:right="920"/>
        </w:sectPr>
      </w:pPr>
    </w:p>
    <w:p>
      <w:pPr>
        <w:pStyle w:val="BodyText"/>
        <w:spacing w:line="417" w:lineRule="auto" w:before="110"/>
        <w:ind w:right="6870"/>
        <w:rPr>
          <w:rFonts w:ascii="Times New Roman" w:eastAsia="Times New Roman"/>
        </w:rPr>
      </w:pPr>
      <w:r>
        <w:rPr/>
        <w:t>法定代表人：李修辞电话：</w:t>
      </w:r>
      <w:r>
        <w:rPr>
          <w:rFonts w:ascii="Times New Roman" w:eastAsia="Times New Roman"/>
        </w:rPr>
        <w:t>18511290872 </w:t>
      </w:r>
      <w:r>
        <w:rPr/>
        <w:t>传真：</w:t>
      </w:r>
      <w:r>
        <w:rPr>
          <w:rFonts w:ascii="Times New Roman" w:eastAsia="Times New Roman"/>
        </w:rPr>
        <w:t>010-59013828</w:t>
      </w:r>
    </w:p>
    <w:p>
      <w:pPr>
        <w:pStyle w:val="BodyText"/>
        <w:spacing w:line="269" w:lineRule="exact"/>
      </w:pPr>
      <w:r>
        <w:rPr/>
        <w:t>联系人：邵玉磊</w:t>
      </w:r>
    </w:p>
    <w:p>
      <w:pPr>
        <w:pStyle w:val="BodyText"/>
        <w:spacing w:before="6"/>
        <w:ind w:left="0"/>
        <w:rPr>
          <w:sz w:val="15"/>
        </w:rPr>
      </w:pPr>
    </w:p>
    <w:p>
      <w:pPr>
        <w:pStyle w:val="BodyText"/>
        <w:spacing w:line="417" w:lineRule="auto"/>
        <w:ind w:right="6065"/>
        <w:rPr>
          <w:rFonts w:ascii="Times New Roman" w:eastAsia="Times New Roman"/>
        </w:rPr>
      </w:pPr>
      <w:r>
        <w:rPr/>
        <w:t>网址：</w:t>
      </w:r>
      <w:hyperlink r:id="rId141">
        <w:r>
          <w:rPr>
            <w:rFonts w:ascii="Times New Roman" w:eastAsia="Times New Roman"/>
          </w:rPr>
          <w:t>www.wanjiawealth.com </w:t>
        </w:r>
      </w:hyperlink>
      <w:r>
        <w:rPr/>
        <w:t>客户服务电话：</w:t>
      </w:r>
      <w:r>
        <w:rPr>
          <w:rFonts w:ascii="Times New Roman" w:eastAsia="Times New Roman"/>
        </w:rPr>
        <w:t>010-59013842</w:t>
      </w:r>
    </w:p>
    <w:p>
      <w:pPr>
        <w:pStyle w:val="ListParagraph"/>
        <w:numPr>
          <w:ilvl w:val="0"/>
          <w:numId w:val="31"/>
        </w:numPr>
        <w:tabs>
          <w:tab w:pos="1379" w:val="left" w:leader="none"/>
        </w:tabs>
        <w:spacing w:line="269" w:lineRule="exact" w:before="0" w:after="0"/>
        <w:ind w:left="1378" w:right="0" w:hanging="739"/>
        <w:jc w:val="left"/>
        <w:rPr>
          <w:sz w:val="21"/>
        </w:rPr>
      </w:pPr>
      <w:r>
        <w:rPr>
          <w:spacing w:val="-3"/>
          <w:sz w:val="21"/>
        </w:rPr>
        <w:t>上海华夏财富投资管理有限公司</w:t>
      </w:r>
    </w:p>
    <w:p>
      <w:pPr>
        <w:pStyle w:val="BodyText"/>
        <w:spacing w:before="8"/>
        <w:ind w:left="0"/>
        <w:rPr>
          <w:sz w:val="15"/>
        </w:rPr>
      </w:pPr>
    </w:p>
    <w:p>
      <w:pPr>
        <w:pStyle w:val="BodyText"/>
      </w:pPr>
      <w:r>
        <w:rPr/>
        <w:t>住所：上海市虹口区东大名路</w:t>
      </w:r>
      <w:r>
        <w:rPr>
          <w:rFonts w:ascii="Times New Roman" w:eastAsia="Times New Roman"/>
        </w:rPr>
        <w:t>687</w:t>
      </w:r>
      <w:r>
        <w:rPr/>
        <w:t>号一幢二楼</w:t>
      </w:r>
      <w:r>
        <w:rPr>
          <w:rFonts w:ascii="Times New Roman" w:eastAsia="Times New Roman"/>
        </w:rPr>
        <w:t>268</w:t>
      </w:r>
      <w:r>
        <w:rPr/>
        <w:t>室</w:t>
      </w:r>
    </w:p>
    <w:p>
      <w:pPr>
        <w:pStyle w:val="BodyText"/>
        <w:spacing w:before="6"/>
        <w:ind w:left="0"/>
        <w:rPr>
          <w:sz w:val="15"/>
        </w:rPr>
      </w:pPr>
    </w:p>
    <w:p>
      <w:pPr>
        <w:pStyle w:val="BodyText"/>
        <w:spacing w:line="417" w:lineRule="auto" w:before="1"/>
        <w:ind w:right="3684"/>
      </w:pPr>
      <w:r>
        <w:rPr/>
        <w:t>办公地址：北京市西城区金融大街</w:t>
      </w:r>
      <w:r>
        <w:rPr>
          <w:rFonts w:ascii="Times New Roman" w:eastAsia="Times New Roman"/>
        </w:rPr>
        <w:t>33</w:t>
      </w:r>
      <w:r>
        <w:rPr/>
        <w:t>号通泰大厦</w:t>
      </w:r>
      <w:r>
        <w:rPr>
          <w:rFonts w:ascii="Times New Roman" w:eastAsia="Times New Roman"/>
        </w:rPr>
        <w:t>B</w:t>
      </w:r>
      <w:r>
        <w:rPr/>
        <w:t>座</w:t>
      </w:r>
      <w:r>
        <w:rPr>
          <w:rFonts w:ascii="Times New Roman" w:eastAsia="Times New Roman"/>
        </w:rPr>
        <w:t>8</w:t>
      </w:r>
      <w:r>
        <w:rPr/>
        <w:t>层法定代表人：毛淮平</w:t>
      </w:r>
    </w:p>
    <w:p>
      <w:pPr>
        <w:pStyle w:val="BodyText"/>
        <w:spacing w:line="417" w:lineRule="auto"/>
        <w:ind w:right="6906"/>
        <w:rPr>
          <w:rFonts w:ascii="Times New Roman" w:eastAsia="Times New Roman"/>
        </w:rPr>
      </w:pPr>
      <w:r>
        <w:rPr/>
        <w:t>电话：</w:t>
      </w:r>
      <w:r>
        <w:rPr>
          <w:rFonts w:ascii="Times New Roman" w:eastAsia="Times New Roman"/>
        </w:rPr>
        <w:t>010-88066326 </w:t>
      </w:r>
      <w:r>
        <w:rPr/>
        <w:t>传真：</w:t>
      </w:r>
      <w:r>
        <w:rPr>
          <w:rFonts w:ascii="Times New Roman" w:eastAsia="Times New Roman"/>
        </w:rPr>
        <w:t>010-63136184</w:t>
      </w:r>
    </w:p>
    <w:p>
      <w:pPr>
        <w:pStyle w:val="BodyText"/>
        <w:spacing w:line="269" w:lineRule="exact"/>
      </w:pPr>
      <w:r>
        <w:rPr/>
        <w:t>联系人：张静怡</w:t>
      </w:r>
    </w:p>
    <w:p>
      <w:pPr>
        <w:pStyle w:val="BodyText"/>
        <w:spacing w:before="6"/>
        <w:ind w:left="0"/>
        <w:rPr>
          <w:sz w:val="15"/>
        </w:rPr>
      </w:pPr>
    </w:p>
    <w:p>
      <w:pPr>
        <w:pStyle w:val="BodyText"/>
        <w:spacing w:line="417" w:lineRule="auto"/>
        <w:ind w:right="6101"/>
        <w:rPr>
          <w:rFonts w:ascii="Times New Roman" w:eastAsia="Times New Roman"/>
        </w:rPr>
      </w:pPr>
      <w:r>
        <w:rPr/>
        <w:t>网址：</w:t>
      </w:r>
      <w:hyperlink r:id="rId142">
        <w:r>
          <w:rPr>
            <w:rFonts w:ascii="Times New Roman" w:eastAsia="Times New Roman"/>
          </w:rPr>
          <w:t>www.amcfortune.com </w:t>
        </w:r>
      </w:hyperlink>
      <w:r>
        <w:rPr/>
        <w:t>客户服务电话：</w:t>
      </w:r>
      <w:r>
        <w:rPr>
          <w:rFonts w:ascii="Times New Roman" w:eastAsia="Times New Roman"/>
        </w:rPr>
        <w:t>400-817-5666</w:t>
      </w:r>
    </w:p>
    <w:p>
      <w:pPr>
        <w:pStyle w:val="ListParagraph"/>
        <w:numPr>
          <w:ilvl w:val="0"/>
          <w:numId w:val="31"/>
        </w:numPr>
        <w:tabs>
          <w:tab w:pos="1379" w:val="left" w:leader="none"/>
        </w:tabs>
        <w:spacing w:line="240" w:lineRule="auto" w:before="0" w:after="0"/>
        <w:ind w:left="1378" w:right="0" w:hanging="739"/>
        <w:jc w:val="left"/>
        <w:rPr>
          <w:sz w:val="21"/>
        </w:rPr>
      </w:pPr>
      <w:r>
        <w:rPr>
          <w:spacing w:val="-3"/>
          <w:sz w:val="21"/>
        </w:rPr>
        <w:t>中信期货有限公司</w:t>
      </w:r>
    </w:p>
    <w:p>
      <w:pPr>
        <w:pStyle w:val="BodyText"/>
        <w:spacing w:before="7"/>
        <w:ind w:left="0"/>
        <w:rPr>
          <w:sz w:val="15"/>
        </w:rPr>
      </w:pPr>
    </w:p>
    <w:p>
      <w:pPr>
        <w:pStyle w:val="BodyText"/>
      </w:pPr>
      <w:r>
        <w:rPr/>
        <w:t>住所：深圳市福田区中心三路</w:t>
      </w:r>
      <w:r>
        <w:rPr>
          <w:rFonts w:ascii="Times New Roman" w:eastAsia="Times New Roman"/>
        </w:rPr>
        <w:t>8</w:t>
      </w:r>
      <w:r>
        <w:rPr/>
        <w:t>号卓越时代广场（二期）北座</w:t>
      </w:r>
      <w:r>
        <w:rPr>
          <w:rFonts w:ascii="Times New Roman" w:eastAsia="Times New Roman"/>
        </w:rPr>
        <w:t>13</w:t>
      </w:r>
      <w:r>
        <w:rPr/>
        <w:t>层</w:t>
      </w:r>
      <w:r>
        <w:rPr>
          <w:rFonts w:ascii="Times New Roman" w:eastAsia="Times New Roman"/>
        </w:rPr>
        <w:t>1301-1305</w:t>
      </w:r>
      <w:r>
        <w:rPr/>
        <w:t>、</w:t>
      </w:r>
      <w:r>
        <w:rPr>
          <w:rFonts w:ascii="Times New Roman" w:eastAsia="Times New Roman"/>
        </w:rPr>
        <w:t>14</w:t>
      </w:r>
      <w:r>
        <w:rPr/>
        <w:t>层</w:t>
      </w:r>
    </w:p>
    <w:p>
      <w:pPr>
        <w:pStyle w:val="BodyText"/>
        <w:spacing w:before="6"/>
        <w:ind w:left="0"/>
        <w:rPr>
          <w:sz w:val="15"/>
        </w:rPr>
      </w:pPr>
    </w:p>
    <w:p>
      <w:pPr>
        <w:pStyle w:val="BodyText"/>
        <w:spacing w:before="1"/>
        <w:rPr>
          <w:rFonts w:ascii="Times New Roman" w:eastAsia="Times New Roman"/>
        </w:rPr>
      </w:pPr>
      <w:r>
        <w:rPr/>
        <w:t>办公地址：深圳市福田区中心三路</w:t>
      </w:r>
      <w:r>
        <w:rPr>
          <w:rFonts w:ascii="Times New Roman" w:eastAsia="Times New Roman"/>
        </w:rPr>
        <w:t>8</w:t>
      </w:r>
      <w:r>
        <w:rPr/>
        <w:t>号卓越时代广场（二期）北座</w:t>
      </w:r>
      <w:r>
        <w:rPr>
          <w:rFonts w:ascii="Times New Roman" w:eastAsia="Times New Roman"/>
        </w:rPr>
        <w:t>13</w:t>
      </w:r>
      <w:r>
        <w:rPr/>
        <w:t>层</w:t>
      </w:r>
      <w:r>
        <w:rPr>
          <w:rFonts w:ascii="Times New Roman" w:eastAsia="Times New Roman"/>
        </w:rPr>
        <w:t>1301-1305</w:t>
      </w:r>
      <w:r>
        <w:rPr/>
        <w:t>、</w:t>
      </w:r>
      <w:r>
        <w:rPr>
          <w:rFonts w:ascii="Times New Roman" w:eastAsia="Times New Roman"/>
        </w:rPr>
        <w:t>14</w:t>
      </w:r>
    </w:p>
    <w:p>
      <w:pPr>
        <w:pStyle w:val="BodyText"/>
        <w:ind w:left="0"/>
        <w:rPr>
          <w:rFonts w:ascii="Times New Roman"/>
          <w:sz w:val="11"/>
        </w:rPr>
      </w:pPr>
    </w:p>
    <w:p>
      <w:pPr>
        <w:pStyle w:val="BodyText"/>
        <w:spacing w:before="72"/>
        <w:ind w:left="220"/>
      </w:pPr>
      <w:r>
        <w:rPr>
          <w:w w:val="100"/>
        </w:rPr>
        <w:t>层</w:t>
      </w:r>
    </w:p>
    <w:p>
      <w:pPr>
        <w:pStyle w:val="BodyText"/>
        <w:spacing w:before="12"/>
        <w:ind w:left="0"/>
        <w:rPr>
          <w:sz w:val="9"/>
        </w:rPr>
      </w:pPr>
    </w:p>
    <w:p>
      <w:pPr>
        <w:pStyle w:val="BodyText"/>
        <w:spacing w:line="417" w:lineRule="auto" w:before="72"/>
        <w:ind w:right="6747"/>
        <w:rPr>
          <w:rFonts w:ascii="Times New Roman" w:eastAsia="Times New Roman"/>
        </w:rPr>
      </w:pPr>
      <w:r>
        <w:rPr/>
        <w:t>法定代表人：张皓 电话：</w:t>
      </w:r>
      <w:r>
        <w:rPr>
          <w:rFonts w:ascii="Times New Roman" w:eastAsia="Times New Roman"/>
        </w:rPr>
        <w:t>010-60833754 </w:t>
      </w:r>
      <w:r>
        <w:rPr/>
        <w:t>传真：</w:t>
      </w:r>
      <w:r>
        <w:rPr>
          <w:rFonts w:ascii="Times New Roman" w:eastAsia="Times New Roman"/>
        </w:rPr>
        <w:t>0755-83217421</w:t>
      </w:r>
    </w:p>
    <w:p>
      <w:pPr>
        <w:pStyle w:val="BodyText"/>
      </w:pPr>
      <w:r>
        <w:rPr/>
        <w:t>联系人：刘宏莹</w:t>
      </w:r>
    </w:p>
    <w:p>
      <w:pPr>
        <w:pStyle w:val="BodyText"/>
        <w:spacing w:before="6"/>
        <w:ind w:left="0"/>
        <w:rPr>
          <w:sz w:val="15"/>
        </w:rPr>
      </w:pPr>
    </w:p>
    <w:p>
      <w:pPr>
        <w:pStyle w:val="BodyText"/>
        <w:rPr>
          <w:rFonts w:ascii="Times New Roman" w:eastAsia="Times New Roman"/>
        </w:rPr>
      </w:pPr>
      <w:r>
        <w:rPr/>
        <w:t>网址：</w:t>
      </w:r>
      <w:hyperlink r:id="rId143">
        <w:r>
          <w:rPr>
            <w:rFonts w:ascii="Times New Roman" w:eastAsia="Times New Roman"/>
          </w:rPr>
          <w:t>www.citicsf.com</w:t>
        </w:r>
      </w:hyperlink>
    </w:p>
    <w:p>
      <w:pPr>
        <w:pStyle w:val="BodyText"/>
        <w:spacing w:before="4"/>
        <w:ind w:left="0"/>
        <w:rPr>
          <w:rFonts w:ascii="Times New Roman"/>
          <w:sz w:val="17"/>
        </w:rPr>
      </w:pPr>
    </w:p>
    <w:p>
      <w:pPr>
        <w:pStyle w:val="BodyText"/>
        <w:rPr>
          <w:rFonts w:ascii="Times New Roman" w:eastAsia="Times New Roman"/>
        </w:rPr>
      </w:pPr>
      <w:r>
        <w:rPr/>
        <w:t>客户服务电话：</w:t>
      </w:r>
      <w:r>
        <w:rPr>
          <w:rFonts w:ascii="Times New Roman" w:eastAsia="Times New Roman"/>
        </w:rPr>
        <w:t>400-990-8826</w:t>
      </w:r>
    </w:p>
    <w:p>
      <w:pPr>
        <w:pStyle w:val="BodyText"/>
        <w:spacing w:before="3"/>
        <w:ind w:left="0"/>
        <w:rPr>
          <w:rFonts w:ascii="Times New Roman"/>
          <w:sz w:val="17"/>
        </w:rPr>
      </w:pPr>
    </w:p>
    <w:p>
      <w:pPr>
        <w:pStyle w:val="ListParagraph"/>
        <w:numPr>
          <w:ilvl w:val="0"/>
          <w:numId w:val="31"/>
        </w:numPr>
        <w:tabs>
          <w:tab w:pos="1379" w:val="left" w:leader="none"/>
        </w:tabs>
        <w:spacing w:line="417" w:lineRule="auto" w:before="0" w:after="0"/>
        <w:ind w:left="640" w:right="5926" w:firstLine="0"/>
        <w:jc w:val="left"/>
        <w:rPr>
          <w:sz w:val="21"/>
        </w:rPr>
      </w:pPr>
      <w:r>
        <w:rPr>
          <w:spacing w:val="-4"/>
          <w:sz w:val="21"/>
        </w:rPr>
        <w:t>弘业期货股份有限公司</w:t>
      </w:r>
      <w:r>
        <w:rPr>
          <w:spacing w:val="-3"/>
          <w:sz w:val="21"/>
        </w:rPr>
        <w:t>住所：南京市中华路</w:t>
      </w:r>
      <w:r>
        <w:rPr>
          <w:rFonts w:ascii="Times New Roman" w:eastAsia="Times New Roman"/>
          <w:sz w:val="21"/>
        </w:rPr>
        <w:t>50</w:t>
      </w:r>
      <w:r>
        <w:rPr>
          <w:sz w:val="21"/>
        </w:rPr>
        <w:t>号</w:t>
      </w:r>
    </w:p>
    <w:p>
      <w:pPr>
        <w:pStyle w:val="BodyText"/>
        <w:spacing w:line="417" w:lineRule="auto"/>
        <w:ind w:right="5192"/>
      </w:pPr>
      <w:r>
        <w:rPr>
          <w:spacing w:val="-3"/>
        </w:rPr>
        <w:t>办公地址：南京市中华路</w:t>
      </w:r>
      <w:r>
        <w:rPr>
          <w:rFonts w:ascii="Times New Roman" w:eastAsia="Times New Roman"/>
        </w:rPr>
        <w:t>50</w:t>
      </w:r>
      <w:r>
        <w:rPr>
          <w:spacing w:val="-5"/>
        </w:rPr>
        <w:t>号弘业大厦</w:t>
      </w:r>
      <w:r>
        <w:rPr>
          <w:spacing w:val="-3"/>
        </w:rPr>
        <w:t>法定代表人：周剑秋</w:t>
      </w:r>
    </w:p>
    <w:p>
      <w:pPr>
        <w:pStyle w:val="BodyText"/>
        <w:rPr>
          <w:rFonts w:ascii="Times New Roman" w:eastAsia="Times New Roman"/>
        </w:rPr>
      </w:pPr>
      <w:r>
        <w:rPr>
          <w:spacing w:val="-1"/>
        </w:rPr>
        <w:t>电话：</w:t>
      </w:r>
      <w:r>
        <w:rPr>
          <w:rFonts w:ascii="Times New Roman" w:eastAsia="Times New Roman"/>
          <w:spacing w:val="-1"/>
        </w:rPr>
        <w:t>025-52278981</w:t>
      </w:r>
    </w:p>
    <w:p>
      <w:pPr>
        <w:spacing w:after="0"/>
        <w:rPr>
          <w:rFonts w:ascii="Times New Roman" w:eastAsia="Times New Roman"/>
        </w:rPr>
        <w:sectPr>
          <w:pgSz w:w="11910" w:h="16840"/>
          <w:pgMar w:header="705" w:footer="683" w:top="1420" w:bottom="880" w:left="1580" w:right="920"/>
        </w:sectPr>
      </w:pPr>
    </w:p>
    <w:p>
      <w:pPr>
        <w:pStyle w:val="BodyText"/>
        <w:spacing w:before="110"/>
        <w:rPr>
          <w:rFonts w:ascii="Times New Roman" w:eastAsia="Times New Roman"/>
        </w:rPr>
      </w:pPr>
      <w:r>
        <w:rPr/>
        <w:t>传真：</w:t>
      </w:r>
      <w:r>
        <w:rPr>
          <w:rFonts w:ascii="Times New Roman" w:eastAsia="Times New Roman"/>
        </w:rPr>
        <w:t>025-52278733</w:t>
      </w:r>
    </w:p>
    <w:p>
      <w:pPr>
        <w:pStyle w:val="BodyText"/>
        <w:spacing w:before="3"/>
        <w:ind w:left="0"/>
        <w:rPr>
          <w:rFonts w:ascii="Times New Roman"/>
          <w:sz w:val="17"/>
        </w:rPr>
      </w:pPr>
    </w:p>
    <w:p>
      <w:pPr>
        <w:pStyle w:val="BodyText"/>
      </w:pPr>
      <w:r>
        <w:rPr/>
        <w:t>联系人：张苏怡</w:t>
      </w:r>
    </w:p>
    <w:p>
      <w:pPr>
        <w:pStyle w:val="BodyText"/>
        <w:spacing w:before="7"/>
        <w:ind w:left="0"/>
        <w:rPr>
          <w:sz w:val="15"/>
        </w:rPr>
      </w:pPr>
    </w:p>
    <w:p>
      <w:pPr>
        <w:pStyle w:val="BodyText"/>
        <w:rPr>
          <w:rFonts w:ascii="Times New Roman" w:eastAsia="Times New Roman"/>
        </w:rPr>
      </w:pPr>
      <w:r>
        <w:rPr/>
        <w:t>网址：</w:t>
      </w:r>
      <w:hyperlink r:id="rId144">
        <w:r>
          <w:rPr>
            <w:rFonts w:ascii="Times New Roman" w:eastAsia="Times New Roman"/>
          </w:rPr>
          <w:t>www.ftol.com.cn</w:t>
        </w:r>
      </w:hyperlink>
    </w:p>
    <w:p>
      <w:pPr>
        <w:pStyle w:val="BodyText"/>
        <w:spacing w:before="3"/>
        <w:ind w:left="0"/>
        <w:rPr>
          <w:rFonts w:ascii="Times New Roman"/>
          <w:sz w:val="17"/>
        </w:rPr>
      </w:pPr>
    </w:p>
    <w:p>
      <w:pPr>
        <w:pStyle w:val="BodyText"/>
        <w:rPr>
          <w:rFonts w:ascii="Times New Roman" w:eastAsia="Times New Roman"/>
        </w:rPr>
      </w:pPr>
      <w:r>
        <w:rPr/>
        <w:t>客户服务电话：</w:t>
      </w:r>
      <w:r>
        <w:rPr>
          <w:rFonts w:ascii="Times New Roman" w:eastAsia="Times New Roman"/>
        </w:rPr>
        <w:t>400-828-8288</w:t>
      </w:r>
    </w:p>
    <w:p>
      <w:pPr>
        <w:pStyle w:val="BodyText"/>
        <w:spacing w:before="4"/>
        <w:ind w:left="0"/>
        <w:rPr>
          <w:rFonts w:ascii="Times New Roman"/>
          <w:sz w:val="17"/>
        </w:rPr>
      </w:pPr>
    </w:p>
    <w:p>
      <w:pPr>
        <w:pStyle w:val="ListParagraph"/>
        <w:numPr>
          <w:ilvl w:val="0"/>
          <w:numId w:val="31"/>
        </w:numPr>
        <w:tabs>
          <w:tab w:pos="1379" w:val="left" w:leader="none"/>
        </w:tabs>
        <w:spacing w:line="240" w:lineRule="auto" w:before="0" w:after="0"/>
        <w:ind w:left="1378" w:right="0" w:hanging="739"/>
        <w:jc w:val="left"/>
        <w:rPr>
          <w:sz w:val="21"/>
        </w:rPr>
      </w:pPr>
      <w:r>
        <w:rPr>
          <w:spacing w:val="-3"/>
          <w:sz w:val="21"/>
        </w:rPr>
        <w:t>国泰君安证券股份有限公司</w:t>
      </w:r>
    </w:p>
    <w:p>
      <w:pPr>
        <w:pStyle w:val="BodyText"/>
        <w:spacing w:before="6"/>
        <w:ind w:left="0"/>
        <w:rPr>
          <w:sz w:val="15"/>
        </w:rPr>
      </w:pPr>
    </w:p>
    <w:p>
      <w:pPr>
        <w:pStyle w:val="BodyText"/>
        <w:spacing w:before="1"/>
      </w:pPr>
      <w:r>
        <w:rPr/>
        <w:t>住所：中国（上海）自由贸易试验区商城路</w:t>
      </w:r>
      <w:r>
        <w:rPr>
          <w:rFonts w:ascii="Times New Roman" w:eastAsia="Times New Roman"/>
        </w:rPr>
        <w:t>618</w:t>
      </w:r>
      <w:r>
        <w:rPr/>
        <w:t>号</w:t>
      </w:r>
    </w:p>
    <w:p>
      <w:pPr>
        <w:pStyle w:val="BodyText"/>
        <w:spacing w:before="6"/>
        <w:ind w:left="0"/>
        <w:rPr>
          <w:sz w:val="15"/>
        </w:rPr>
      </w:pPr>
    </w:p>
    <w:p>
      <w:pPr>
        <w:pStyle w:val="BodyText"/>
        <w:spacing w:line="417" w:lineRule="auto"/>
        <w:ind w:right="3826"/>
      </w:pPr>
      <w:r>
        <w:rPr/>
        <w:t>办公地址：上海市静安区南京西路</w:t>
      </w:r>
      <w:r>
        <w:rPr>
          <w:rFonts w:ascii="Times New Roman" w:eastAsia="Times New Roman"/>
        </w:rPr>
        <w:t>768</w:t>
      </w:r>
      <w:r>
        <w:rPr/>
        <w:t>号国泰君安大厦法定代表人：贺青</w:t>
      </w:r>
    </w:p>
    <w:p>
      <w:pPr>
        <w:pStyle w:val="BodyText"/>
        <w:spacing w:line="417" w:lineRule="auto" w:before="1"/>
        <w:ind w:right="6906"/>
        <w:rPr>
          <w:rFonts w:ascii="Times New Roman" w:eastAsia="Times New Roman"/>
        </w:rPr>
      </w:pPr>
      <w:r>
        <w:rPr/>
        <w:t>电话：</w:t>
      </w:r>
      <w:r>
        <w:rPr>
          <w:rFonts w:ascii="Times New Roman" w:eastAsia="Times New Roman"/>
        </w:rPr>
        <w:t>021-38676666 </w:t>
      </w:r>
      <w:r>
        <w:rPr/>
        <w:t>传真：</w:t>
      </w:r>
      <w:r>
        <w:rPr>
          <w:rFonts w:ascii="Times New Roman" w:eastAsia="Times New Roman"/>
        </w:rPr>
        <w:t>021-38670666</w:t>
      </w:r>
    </w:p>
    <w:p>
      <w:pPr>
        <w:pStyle w:val="BodyText"/>
        <w:spacing w:line="269" w:lineRule="exact"/>
      </w:pPr>
      <w:r>
        <w:rPr/>
        <w:t>联系人：黄博铭</w:t>
      </w:r>
    </w:p>
    <w:p>
      <w:pPr>
        <w:pStyle w:val="BodyText"/>
        <w:spacing w:before="6"/>
        <w:ind w:left="0"/>
        <w:rPr>
          <w:sz w:val="15"/>
        </w:rPr>
      </w:pPr>
    </w:p>
    <w:p>
      <w:pPr>
        <w:pStyle w:val="BodyText"/>
        <w:spacing w:line="417" w:lineRule="auto"/>
        <w:ind w:right="6767"/>
        <w:rPr>
          <w:rFonts w:ascii="Times New Roman" w:eastAsia="Times New Roman"/>
        </w:rPr>
      </w:pPr>
      <w:r>
        <w:rPr/>
        <w:t>网址：</w:t>
      </w:r>
      <w:hyperlink r:id="rId145">
        <w:r>
          <w:rPr>
            <w:rFonts w:ascii="Times New Roman" w:eastAsia="Times New Roman"/>
          </w:rPr>
          <w:t>www.gtja.com </w:t>
        </w:r>
      </w:hyperlink>
      <w:r>
        <w:rPr/>
        <w:t>客户服务电话：</w:t>
      </w:r>
      <w:r>
        <w:rPr>
          <w:rFonts w:ascii="Times New Roman" w:eastAsia="Times New Roman"/>
        </w:rPr>
        <w:t>95521</w:t>
      </w:r>
    </w:p>
    <w:p>
      <w:pPr>
        <w:pStyle w:val="ListParagraph"/>
        <w:numPr>
          <w:ilvl w:val="0"/>
          <w:numId w:val="31"/>
        </w:numPr>
        <w:tabs>
          <w:tab w:pos="1379" w:val="left" w:leader="none"/>
        </w:tabs>
        <w:spacing w:line="417" w:lineRule="auto" w:before="0" w:after="0"/>
        <w:ind w:left="640" w:right="5295" w:firstLine="0"/>
        <w:jc w:val="left"/>
        <w:rPr>
          <w:sz w:val="21"/>
        </w:rPr>
      </w:pPr>
      <w:r>
        <w:rPr>
          <w:spacing w:val="-3"/>
          <w:sz w:val="21"/>
        </w:rPr>
        <w:t>中信建投证券股份有限公司 住所：北京市朝阳区安立路</w:t>
      </w:r>
      <w:r>
        <w:rPr>
          <w:rFonts w:ascii="Times New Roman" w:eastAsia="Times New Roman"/>
          <w:sz w:val="21"/>
        </w:rPr>
        <w:t>66</w:t>
      </w:r>
      <w:r>
        <w:rPr>
          <w:spacing w:val="-3"/>
          <w:sz w:val="21"/>
        </w:rPr>
        <w:t>号</w:t>
      </w:r>
      <w:r>
        <w:rPr>
          <w:rFonts w:ascii="Times New Roman" w:eastAsia="Times New Roman"/>
          <w:sz w:val="21"/>
        </w:rPr>
        <w:t>4</w:t>
      </w:r>
      <w:r>
        <w:rPr>
          <w:spacing w:val="-3"/>
          <w:sz w:val="21"/>
        </w:rPr>
        <w:t>号楼办公地址：北京市朝阳门内大街</w:t>
      </w:r>
      <w:r>
        <w:rPr>
          <w:rFonts w:ascii="Times New Roman" w:eastAsia="Times New Roman"/>
          <w:sz w:val="21"/>
        </w:rPr>
        <w:t>188</w:t>
      </w:r>
      <w:r>
        <w:rPr>
          <w:spacing w:val="-13"/>
          <w:sz w:val="21"/>
        </w:rPr>
        <w:t>号</w:t>
      </w:r>
      <w:r>
        <w:rPr>
          <w:spacing w:val="-3"/>
          <w:sz w:val="21"/>
        </w:rPr>
        <w:t>法定代表人：王常青</w:t>
      </w:r>
    </w:p>
    <w:p>
      <w:pPr>
        <w:pStyle w:val="BodyText"/>
        <w:spacing w:line="417" w:lineRule="auto"/>
        <w:ind w:right="6767"/>
        <w:rPr>
          <w:rFonts w:ascii="Times New Roman" w:eastAsia="Times New Roman"/>
        </w:rPr>
      </w:pPr>
      <w:r>
        <w:rPr/>
        <w:t>客户服务电话：</w:t>
      </w:r>
      <w:r>
        <w:rPr>
          <w:rFonts w:ascii="Times New Roman" w:eastAsia="Times New Roman"/>
        </w:rPr>
        <w:t>95587 </w:t>
      </w:r>
      <w:r>
        <w:rPr/>
        <w:t>传真：</w:t>
      </w:r>
      <w:r>
        <w:rPr>
          <w:rFonts w:ascii="Times New Roman" w:eastAsia="Times New Roman"/>
        </w:rPr>
        <w:t>010-65182261</w:t>
      </w:r>
    </w:p>
    <w:p>
      <w:pPr>
        <w:pStyle w:val="BodyText"/>
        <w:spacing w:line="269" w:lineRule="exact"/>
      </w:pPr>
      <w:r>
        <w:rPr/>
        <w:t>联系人：权唐</w:t>
      </w:r>
    </w:p>
    <w:p>
      <w:pPr>
        <w:pStyle w:val="BodyText"/>
        <w:spacing w:before="6"/>
        <w:ind w:left="0"/>
        <w:rPr>
          <w:sz w:val="15"/>
        </w:rPr>
      </w:pPr>
    </w:p>
    <w:p>
      <w:pPr>
        <w:pStyle w:val="BodyText"/>
        <w:rPr>
          <w:rFonts w:ascii="Times New Roman" w:eastAsia="Times New Roman"/>
        </w:rPr>
      </w:pPr>
      <w:r>
        <w:rPr/>
        <w:t>网址：</w:t>
      </w:r>
      <w:hyperlink r:id="rId146">
        <w:r>
          <w:rPr>
            <w:rFonts w:ascii="Times New Roman" w:eastAsia="Times New Roman"/>
          </w:rPr>
          <w:t>www.csc108.com</w:t>
        </w:r>
      </w:hyperlink>
    </w:p>
    <w:p>
      <w:pPr>
        <w:pStyle w:val="BodyText"/>
        <w:spacing w:before="4"/>
        <w:ind w:left="0"/>
        <w:rPr>
          <w:rFonts w:ascii="Times New Roman"/>
          <w:sz w:val="17"/>
        </w:rPr>
      </w:pPr>
    </w:p>
    <w:p>
      <w:pPr>
        <w:pStyle w:val="ListParagraph"/>
        <w:numPr>
          <w:ilvl w:val="0"/>
          <w:numId w:val="31"/>
        </w:numPr>
        <w:tabs>
          <w:tab w:pos="1379" w:val="left" w:leader="none"/>
        </w:tabs>
        <w:spacing w:line="240" w:lineRule="auto" w:before="1" w:after="0"/>
        <w:ind w:left="1378" w:right="0" w:hanging="739"/>
        <w:jc w:val="left"/>
        <w:rPr>
          <w:sz w:val="21"/>
        </w:rPr>
      </w:pPr>
      <w:r>
        <w:rPr>
          <w:spacing w:val="-3"/>
          <w:sz w:val="21"/>
        </w:rPr>
        <w:t>国信证券股份有限公司</w:t>
      </w:r>
    </w:p>
    <w:p>
      <w:pPr>
        <w:pStyle w:val="BodyText"/>
        <w:spacing w:before="6"/>
        <w:ind w:left="0"/>
        <w:rPr>
          <w:sz w:val="15"/>
        </w:rPr>
      </w:pPr>
    </w:p>
    <w:p>
      <w:pPr>
        <w:pStyle w:val="BodyText"/>
      </w:pPr>
      <w:r>
        <w:rPr/>
        <w:t>住所：深圳市罗湖区红岭中路</w:t>
      </w:r>
      <w:r>
        <w:rPr>
          <w:rFonts w:ascii="Times New Roman" w:eastAsia="Times New Roman"/>
        </w:rPr>
        <w:t>1012</w:t>
      </w:r>
      <w:r>
        <w:rPr/>
        <w:t>号国信证券大厦十六层至二十六层</w:t>
      </w:r>
    </w:p>
    <w:p>
      <w:pPr>
        <w:pStyle w:val="BodyText"/>
        <w:spacing w:before="7"/>
        <w:ind w:left="0"/>
        <w:rPr>
          <w:sz w:val="15"/>
        </w:rPr>
      </w:pPr>
    </w:p>
    <w:p>
      <w:pPr>
        <w:pStyle w:val="BodyText"/>
        <w:spacing w:line="417" w:lineRule="auto"/>
        <w:ind w:right="2038"/>
      </w:pPr>
      <w:r>
        <w:rPr/>
        <w:t>办公地址：深圳市罗湖区红岭中路</w:t>
      </w:r>
      <w:r>
        <w:rPr>
          <w:rFonts w:ascii="Times New Roman" w:eastAsia="Times New Roman"/>
        </w:rPr>
        <w:t>1012</w:t>
      </w:r>
      <w:r>
        <w:rPr/>
        <w:t>号国信证券大厦十六层至二十六层法定代表人：何如</w:t>
      </w:r>
    </w:p>
    <w:p>
      <w:pPr>
        <w:pStyle w:val="BodyText"/>
        <w:spacing w:line="417" w:lineRule="auto"/>
        <w:ind w:right="6800"/>
        <w:rPr>
          <w:rFonts w:ascii="Times New Roman" w:eastAsia="Times New Roman"/>
        </w:rPr>
      </w:pPr>
      <w:r>
        <w:rPr/>
        <w:t>电话：</w:t>
      </w:r>
      <w:r>
        <w:rPr>
          <w:rFonts w:ascii="Times New Roman" w:eastAsia="Times New Roman"/>
        </w:rPr>
        <w:t>0755-82130833 </w:t>
      </w:r>
      <w:r>
        <w:rPr/>
        <w:t>传真：</w:t>
      </w:r>
      <w:r>
        <w:rPr>
          <w:rFonts w:ascii="Times New Roman" w:eastAsia="Times New Roman"/>
        </w:rPr>
        <w:t>0755-82133952</w:t>
      </w:r>
    </w:p>
    <w:p>
      <w:pPr>
        <w:pStyle w:val="BodyText"/>
        <w:spacing w:line="269" w:lineRule="exact"/>
      </w:pPr>
      <w:r>
        <w:rPr/>
        <w:t>联系人：李颖</w:t>
      </w:r>
    </w:p>
    <w:p>
      <w:pPr>
        <w:pStyle w:val="BodyText"/>
        <w:spacing w:before="7"/>
        <w:ind w:left="0"/>
        <w:rPr>
          <w:sz w:val="15"/>
        </w:rPr>
      </w:pPr>
    </w:p>
    <w:p>
      <w:pPr>
        <w:pStyle w:val="BodyText"/>
        <w:spacing w:line="417" w:lineRule="auto"/>
        <w:ind w:right="6335"/>
        <w:rPr>
          <w:rFonts w:ascii="Times New Roman" w:eastAsia="Times New Roman"/>
        </w:rPr>
      </w:pPr>
      <w:r>
        <w:rPr/>
        <w:t>网址：</w:t>
      </w:r>
      <w:hyperlink r:id="rId147">
        <w:r>
          <w:rPr>
            <w:rFonts w:ascii="Times New Roman" w:eastAsia="Times New Roman"/>
          </w:rPr>
          <w:t>www.guosen.com.cn </w:t>
        </w:r>
      </w:hyperlink>
      <w:r>
        <w:rPr/>
        <w:t>客户服务电话：</w:t>
      </w:r>
      <w:r>
        <w:rPr>
          <w:rFonts w:ascii="Times New Roman" w:eastAsia="Times New Roman"/>
        </w:rPr>
        <w:t>95536</w:t>
      </w:r>
    </w:p>
    <w:p>
      <w:pPr>
        <w:spacing w:after="0" w:line="417" w:lineRule="auto"/>
        <w:rPr>
          <w:rFonts w:ascii="Times New Roman" w:eastAsia="Times New Roman"/>
        </w:rPr>
        <w:sectPr>
          <w:pgSz w:w="11910" w:h="16840"/>
          <w:pgMar w:header="705" w:footer="683" w:top="1420" w:bottom="880" w:left="1580" w:right="920"/>
        </w:sectPr>
      </w:pPr>
    </w:p>
    <w:p>
      <w:pPr>
        <w:pStyle w:val="ListParagraph"/>
        <w:numPr>
          <w:ilvl w:val="0"/>
          <w:numId w:val="31"/>
        </w:numPr>
        <w:tabs>
          <w:tab w:pos="1379" w:val="left" w:leader="none"/>
        </w:tabs>
        <w:spacing w:line="240" w:lineRule="auto" w:before="110" w:after="0"/>
        <w:ind w:left="1378" w:right="0" w:hanging="739"/>
        <w:jc w:val="left"/>
        <w:rPr>
          <w:sz w:val="21"/>
        </w:rPr>
      </w:pPr>
      <w:r>
        <w:rPr>
          <w:spacing w:val="-3"/>
          <w:sz w:val="21"/>
        </w:rPr>
        <w:t>招商证券股份有限公司</w:t>
      </w:r>
    </w:p>
    <w:p>
      <w:pPr>
        <w:pStyle w:val="BodyText"/>
        <w:spacing w:before="6"/>
        <w:ind w:left="0"/>
        <w:rPr>
          <w:sz w:val="15"/>
        </w:rPr>
      </w:pPr>
    </w:p>
    <w:p>
      <w:pPr>
        <w:pStyle w:val="BodyText"/>
      </w:pPr>
      <w:r>
        <w:rPr/>
        <w:t>住所：深圳市福田区福田街道福华一路</w:t>
      </w:r>
      <w:r>
        <w:rPr>
          <w:rFonts w:ascii="Times New Roman" w:eastAsia="Times New Roman"/>
        </w:rPr>
        <w:t>111</w:t>
      </w:r>
      <w:r>
        <w:rPr/>
        <w:t>号</w:t>
      </w:r>
    </w:p>
    <w:p>
      <w:pPr>
        <w:pStyle w:val="BodyText"/>
        <w:spacing w:before="7"/>
        <w:ind w:left="0"/>
        <w:rPr>
          <w:sz w:val="15"/>
        </w:rPr>
      </w:pPr>
    </w:p>
    <w:p>
      <w:pPr>
        <w:pStyle w:val="BodyText"/>
        <w:spacing w:line="417" w:lineRule="auto"/>
        <w:ind w:right="4217"/>
      </w:pPr>
      <w:r>
        <w:rPr/>
        <w:t>办公地址：深圳市福田区福田街道福华一路</w:t>
      </w:r>
      <w:r>
        <w:rPr>
          <w:rFonts w:ascii="Times New Roman" w:eastAsia="Times New Roman"/>
        </w:rPr>
        <w:t>111</w:t>
      </w:r>
      <w:r>
        <w:rPr/>
        <w:t>号法定代表人：霍达</w:t>
      </w:r>
    </w:p>
    <w:p>
      <w:pPr>
        <w:pStyle w:val="BodyText"/>
        <w:spacing w:line="417" w:lineRule="auto"/>
        <w:ind w:right="6800"/>
        <w:rPr>
          <w:rFonts w:ascii="Times New Roman" w:eastAsia="Times New Roman"/>
        </w:rPr>
      </w:pPr>
      <w:r>
        <w:rPr/>
        <w:t>电话：</w:t>
      </w:r>
      <w:r>
        <w:rPr>
          <w:rFonts w:ascii="Times New Roman" w:eastAsia="Times New Roman"/>
        </w:rPr>
        <w:t>0755-82943666 </w:t>
      </w:r>
      <w:r>
        <w:rPr/>
        <w:t>传真：</w:t>
      </w:r>
      <w:r>
        <w:rPr>
          <w:rFonts w:ascii="Times New Roman" w:eastAsia="Times New Roman"/>
        </w:rPr>
        <w:t>0755-82943636</w:t>
      </w:r>
    </w:p>
    <w:p>
      <w:pPr>
        <w:pStyle w:val="BodyText"/>
        <w:spacing w:line="269" w:lineRule="exact"/>
      </w:pPr>
      <w:r>
        <w:rPr/>
        <w:t>联系人：黄健</w:t>
      </w:r>
    </w:p>
    <w:p>
      <w:pPr>
        <w:pStyle w:val="BodyText"/>
        <w:spacing w:before="7"/>
        <w:ind w:left="0"/>
        <w:rPr>
          <w:sz w:val="15"/>
        </w:rPr>
      </w:pPr>
    </w:p>
    <w:p>
      <w:pPr>
        <w:pStyle w:val="BodyText"/>
        <w:spacing w:line="417" w:lineRule="auto"/>
        <w:ind w:right="6277"/>
        <w:rPr>
          <w:rFonts w:ascii="Times New Roman" w:eastAsia="Times New Roman"/>
        </w:rPr>
      </w:pPr>
      <w:r>
        <w:rPr/>
        <w:t>网址：</w:t>
      </w:r>
      <w:hyperlink r:id="rId148">
        <w:r>
          <w:rPr>
            <w:rFonts w:ascii="Times New Roman" w:eastAsia="Times New Roman"/>
          </w:rPr>
          <w:t>www.newone.com.cn </w:t>
        </w:r>
      </w:hyperlink>
      <w:r>
        <w:rPr/>
        <w:t>客户服务电话：</w:t>
      </w:r>
      <w:r>
        <w:rPr>
          <w:rFonts w:ascii="Times New Roman" w:eastAsia="Times New Roman"/>
        </w:rPr>
        <w:t>95565</w:t>
      </w:r>
    </w:p>
    <w:p>
      <w:pPr>
        <w:pStyle w:val="ListParagraph"/>
        <w:numPr>
          <w:ilvl w:val="0"/>
          <w:numId w:val="31"/>
        </w:numPr>
        <w:tabs>
          <w:tab w:pos="1379" w:val="left" w:leader="none"/>
        </w:tabs>
        <w:spacing w:line="269" w:lineRule="exact" w:before="0" w:after="0"/>
        <w:ind w:left="1378" w:right="0" w:hanging="739"/>
        <w:jc w:val="left"/>
        <w:rPr>
          <w:sz w:val="21"/>
        </w:rPr>
      </w:pPr>
      <w:r>
        <w:rPr>
          <w:spacing w:val="-3"/>
          <w:sz w:val="21"/>
        </w:rPr>
        <w:t>广发证券股份有限公司</w:t>
      </w:r>
    </w:p>
    <w:p>
      <w:pPr>
        <w:pStyle w:val="BodyText"/>
        <w:spacing w:before="7"/>
        <w:ind w:left="0"/>
        <w:rPr>
          <w:sz w:val="15"/>
        </w:rPr>
      </w:pPr>
    </w:p>
    <w:p>
      <w:pPr>
        <w:pStyle w:val="BodyText"/>
        <w:spacing w:line="417" w:lineRule="auto"/>
        <w:ind w:right="3087"/>
      </w:pPr>
      <w:r>
        <w:rPr/>
        <w:t>住所：广东省广州市黄埔区中新广州知识城腾飞一街</w:t>
      </w:r>
      <w:r>
        <w:rPr>
          <w:rFonts w:ascii="Times New Roman" w:eastAsia="Times New Roman"/>
        </w:rPr>
        <w:t>2</w:t>
      </w:r>
      <w:r>
        <w:rPr/>
        <w:t>号</w:t>
      </w:r>
      <w:r>
        <w:rPr>
          <w:rFonts w:ascii="Times New Roman" w:eastAsia="Times New Roman"/>
        </w:rPr>
        <w:t>618</w:t>
      </w:r>
      <w:r>
        <w:rPr/>
        <w:t>室办公地址：广州市天河区马场路</w:t>
      </w:r>
      <w:r>
        <w:rPr>
          <w:rFonts w:ascii="Times New Roman" w:eastAsia="Times New Roman"/>
        </w:rPr>
        <w:t>26</w:t>
      </w:r>
      <w:r>
        <w:rPr/>
        <w:t>号广发证券大厦</w:t>
      </w:r>
      <w:r>
        <w:rPr>
          <w:rFonts w:ascii="Times New Roman" w:eastAsia="Times New Roman"/>
        </w:rPr>
        <w:t>36</w:t>
      </w:r>
      <w:r>
        <w:rPr/>
        <w:t>楼</w:t>
      </w:r>
    </w:p>
    <w:p>
      <w:pPr>
        <w:pStyle w:val="BodyText"/>
        <w:spacing w:line="417" w:lineRule="auto"/>
        <w:ind w:right="6870"/>
        <w:jc w:val="both"/>
        <w:rPr>
          <w:rFonts w:ascii="Times New Roman" w:eastAsia="Times New Roman"/>
        </w:rPr>
      </w:pPr>
      <w:r>
        <w:rPr/>
        <w:t>法定代表人：孙树明电话：</w:t>
      </w:r>
      <w:r>
        <w:rPr>
          <w:rFonts w:ascii="Times New Roman" w:eastAsia="Times New Roman"/>
        </w:rPr>
        <w:t>020-66336146 </w:t>
      </w:r>
      <w:r>
        <w:rPr/>
        <w:t>传真：</w:t>
      </w:r>
      <w:r>
        <w:rPr>
          <w:rFonts w:ascii="Times New Roman" w:eastAsia="Times New Roman"/>
        </w:rPr>
        <w:t>020-87555417</w:t>
      </w:r>
    </w:p>
    <w:p>
      <w:pPr>
        <w:pStyle w:val="BodyText"/>
      </w:pPr>
      <w:r>
        <w:rPr/>
        <w:t>联系人：陈姗姗</w:t>
      </w:r>
    </w:p>
    <w:p>
      <w:pPr>
        <w:pStyle w:val="BodyText"/>
        <w:spacing w:before="6"/>
        <w:ind w:left="0"/>
        <w:rPr>
          <w:sz w:val="15"/>
        </w:rPr>
      </w:pPr>
    </w:p>
    <w:p>
      <w:pPr>
        <w:pStyle w:val="BodyText"/>
        <w:rPr>
          <w:rFonts w:ascii="Times New Roman" w:eastAsia="Times New Roman"/>
        </w:rPr>
      </w:pPr>
      <w:r>
        <w:rPr/>
        <w:t>网址：</w:t>
      </w:r>
      <w:hyperlink r:id="rId149">
        <w:r>
          <w:rPr>
            <w:rFonts w:ascii="Times New Roman" w:eastAsia="Times New Roman"/>
          </w:rPr>
          <w:t>www.gf.com.cn</w:t>
        </w:r>
      </w:hyperlink>
    </w:p>
    <w:p>
      <w:pPr>
        <w:pStyle w:val="BodyText"/>
        <w:spacing w:before="4"/>
        <w:ind w:left="0"/>
        <w:rPr>
          <w:rFonts w:ascii="Times New Roman"/>
          <w:sz w:val="17"/>
        </w:rPr>
      </w:pPr>
    </w:p>
    <w:p>
      <w:pPr>
        <w:pStyle w:val="BodyText"/>
      </w:pPr>
      <w:r>
        <w:rPr/>
        <w:t>客户服务电话：</w:t>
      </w:r>
      <w:r>
        <w:rPr>
          <w:rFonts w:ascii="Times New Roman" w:eastAsia="Times New Roman"/>
        </w:rPr>
        <w:t>95575</w:t>
      </w:r>
      <w:r>
        <w:rPr/>
        <w:t>或致电各地营业网点</w:t>
      </w:r>
    </w:p>
    <w:p>
      <w:pPr>
        <w:pStyle w:val="BodyText"/>
        <w:spacing w:before="6"/>
        <w:ind w:left="0"/>
        <w:rPr>
          <w:sz w:val="15"/>
        </w:rPr>
      </w:pPr>
    </w:p>
    <w:p>
      <w:pPr>
        <w:pStyle w:val="ListParagraph"/>
        <w:numPr>
          <w:ilvl w:val="0"/>
          <w:numId w:val="31"/>
        </w:numPr>
        <w:tabs>
          <w:tab w:pos="1379" w:val="left" w:leader="none"/>
        </w:tabs>
        <w:spacing w:line="240" w:lineRule="auto" w:before="0" w:after="0"/>
        <w:ind w:left="1378" w:right="0" w:hanging="739"/>
        <w:jc w:val="left"/>
        <w:rPr>
          <w:sz w:val="21"/>
        </w:rPr>
      </w:pPr>
      <w:r>
        <w:rPr>
          <w:spacing w:val="-3"/>
          <w:sz w:val="21"/>
        </w:rPr>
        <w:t>中信证券股份有限公司</w:t>
      </w:r>
    </w:p>
    <w:p>
      <w:pPr>
        <w:pStyle w:val="BodyText"/>
        <w:spacing w:before="7"/>
        <w:ind w:left="0"/>
        <w:rPr>
          <w:sz w:val="15"/>
        </w:rPr>
      </w:pPr>
    </w:p>
    <w:p>
      <w:pPr>
        <w:pStyle w:val="BodyText"/>
        <w:spacing w:line="417" w:lineRule="auto"/>
        <w:ind w:right="2563"/>
      </w:pPr>
      <w:r>
        <w:rPr/>
        <w:t>住所：广东省深圳市福田区中心三路</w:t>
      </w:r>
      <w:r>
        <w:rPr>
          <w:rFonts w:ascii="Times New Roman" w:eastAsia="Times New Roman"/>
        </w:rPr>
        <w:t>8</w:t>
      </w:r>
      <w:r>
        <w:rPr/>
        <w:t>号卓越时代广场（二期）北座办公地址：北京市朝阳区亮马桥路</w:t>
      </w:r>
      <w:r>
        <w:rPr>
          <w:rFonts w:ascii="Times New Roman" w:eastAsia="Times New Roman"/>
        </w:rPr>
        <w:t>48</w:t>
      </w:r>
      <w:r>
        <w:rPr/>
        <w:t>号中信证券大厦</w:t>
      </w:r>
    </w:p>
    <w:p>
      <w:pPr>
        <w:pStyle w:val="BodyText"/>
        <w:spacing w:line="417" w:lineRule="auto"/>
        <w:ind w:right="6870"/>
        <w:jc w:val="both"/>
        <w:rPr>
          <w:rFonts w:ascii="Times New Roman" w:eastAsia="Times New Roman"/>
        </w:rPr>
      </w:pPr>
      <w:r>
        <w:rPr/>
        <w:t>法定代表人：张佑君电话：</w:t>
      </w:r>
      <w:r>
        <w:rPr>
          <w:rFonts w:ascii="Times New Roman" w:eastAsia="Times New Roman"/>
        </w:rPr>
        <w:t>010-60838888 </w:t>
      </w:r>
      <w:r>
        <w:rPr/>
        <w:t>传真：</w:t>
      </w:r>
      <w:r>
        <w:rPr>
          <w:rFonts w:ascii="Times New Roman" w:eastAsia="Times New Roman"/>
        </w:rPr>
        <w:t>010-60836029</w:t>
      </w:r>
    </w:p>
    <w:p>
      <w:pPr>
        <w:pStyle w:val="BodyText"/>
        <w:spacing w:line="269" w:lineRule="exact"/>
      </w:pPr>
      <w:r>
        <w:rPr/>
        <w:t>联系人：郑慧</w:t>
      </w:r>
    </w:p>
    <w:p>
      <w:pPr>
        <w:pStyle w:val="BodyText"/>
        <w:spacing w:before="7"/>
        <w:ind w:left="0"/>
        <w:rPr>
          <w:sz w:val="15"/>
        </w:rPr>
      </w:pPr>
    </w:p>
    <w:p>
      <w:pPr>
        <w:pStyle w:val="BodyText"/>
        <w:spacing w:line="417" w:lineRule="auto"/>
        <w:ind w:right="6498"/>
        <w:rPr>
          <w:rFonts w:ascii="Times New Roman" w:eastAsia="Times New Roman"/>
        </w:rPr>
      </w:pPr>
      <w:r>
        <w:rPr/>
        <w:t>网址：</w:t>
      </w:r>
      <w:hyperlink r:id="rId150">
        <w:r>
          <w:rPr>
            <w:rFonts w:ascii="Times New Roman" w:eastAsia="Times New Roman"/>
          </w:rPr>
          <w:t>www.cs.ecitic.com </w:t>
        </w:r>
      </w:hyperlink>
      <w:r>
        <w:rPr/>
        <w:t>客户服务电话：</w:t>
      </w:r>
      <w:r>
        <w:rPr>
          <w:rFonts w:ascii="Times New Roman" w:eastAsia="Times New Roman"/>
        </w:rPr>
        <w:t>95548</w:t>
      </w:r>
    </w:p>
    <w:p>
      <w:pPr>
        <w:pStyle w:val="ListParagraph"/>
        <w:numPr>
          <w:ilvl w:val="0"/>
          <w:numId w:val="31"/>
        </w:numPr>
        <w:tabs>
          <w:tab w:pos="1371" w:val="left" w:leader="none"/>
        </w:tabs>
        <w:spacing w:line="269" w:lineRule="exact" w:before="0" w:after="0"/>
        <w:ind w:left="1371" w:right="0" w:hanging="731"/>
        <w:jc w:val="left"/>
        <w:rPr>
          <w:sz w:val="21"/>
        </w:rPr>
      </w:pPr>
      <w:r>
        <w:rPr>
          <w:spacing w:val="-3"/>
          <w:sz w:val="21"/>
        </w:rPr>
        <w:t>中国银河证券股份有限公司</w:t>
      </w:r>
    </w:p>
    <w:p>
      <w:pPr>
        <w:pStyle w:val="BodyText"/>
        <w:spacing w:before="7"/>
        <w:ind w:left="0"/>
        <w:rPr>
          <w:sz w:val="15"/>
        </w:rPr>
      </w:pPr>
    </w:p>
    <w:p>
      <w:pPr>
        <w:pStyle w:val="BodyText"/>
      </w:pPr>
      <w:r>
        <w:rPr/>
        <w:t>住所：北京市西城区金融大街</w:t>
      </w:r>
      <w:r>
        <w:rPr>
          <w:rFonts w:ascii="Times New Roman" w:eastAsia="Times New Roman"/>
        </w:rPr>
        <w:t>35</w:t>
      </w:r>
      <w:r>
        <w:rPr/>
        <w:t>号</w:t>
      </w:r>
      <w:r>
        <w:rPr>
          <w:rFonts w:ascii="Times New Roman" w:eastAsia="Times New Roman"/>
        </w:rPr>
        <w:t>2-6</w:t>
      </w:r>
      <w:r>
        <w:rPr/>
        <w:t>层</w:t>
      </w:r>
    </w:p>
    <w:p>
      <w:pPr>
        <w:pStyle w:val="BodyText"/>
        <w:spacing w:before="7"/>
        <w:ind w:left="0"/>
        <w:rPr>
          <w:sz w:val="15"/>
        </w:rPr>
      </w:pPr>
    </w:p>
    <w:p>
      <w:pPr>
        <w:pStyle w:val="BodyText"/>
      </w:pPr>
      <w:r>
        <w:rPr/>
        <w:t>办公地址：北京市西城区金融大街</w:t>
      </w:r>
      <w:r>
        <w:rPr>
          <w:rFonts w:ascii="Times New Roman" w:eastAsia="Times New Roman"/>
        </w:rPr>
        <w:t>35</w:t>
      </w:r>
      <w:r>
        <w:rPr/>
        <w:t>号国际企业大厦</w:t>
      </w:r>
      <w:r>
        <w:rPr>
          <w:rFonts w:ascii="Times New Roman" w:eastAsia="Times New Roman"/>
        </w:rPr>
        <w:t>C</w:t>
      </w:r>
      <w:r>
        <w:rPr/>
        <w:t>座</w:t>
      </w:r>
    </w:p>
    <w:p>
      <w:pPr>
        <w:spacing w:after="0"/>
        <w:sectPr>
          <w:pgSz w:w="11910" w:h="16840"/>
          <w:pgMar w:header="705" w:footer="683" w:top="1420" w:bottom="880" w:left="1580" w:right="920"/>
        </w:sectPr>
      </w:pPr>
    </w:p>
    <w:p>
      <w:pPr>
        <w:pStyle w:val="BodyText"/>
        <w:spacing w:line="417" w:lineRule="auto" w:before="110"/>
        <w:ind w:right="6870"/>
        <w:jc w:val="both"/>
        <w:rPr>
          <w:rFonts w:ascii="Times New Roman" w:eastAsia="Times New Roman"/>
        </w:rPr>
      </w:pPr>
      <w:r>
        <w:rPr/>
        <w:t>法定代表人：陈共炎电话：</w:t>
      </w:r>
      <w:r>
        <w:rPr>
          <w:rFonts w:ascii="Times New Roman" w:eastAsia="Times New Roman"/>
        </w:rPr>
        <w:t>010-83574507 </w:t>
      </w:r>
      <w:r>
        <w:rPr/>
        <w:t>传真：</w:t>
      </w:r>
      <w:r>
        <w:rPr>
          <w:rFonts w:ascii="Times New Roman" w:eastAsia="Times New Roman"/>
        </w:rPr>
        <w:t>010-66568990</w:t>
      </w:r>
    </w:p>
    <w:p>
      <w:pPr>
        <w:pStyle w:val="BodyText"/>
        <w:spacing w:line="269" w:lineRule="exact"/>
      </w:pPr>
      <w:r>
        <w:rPr/>
        <w:t>联系人：辛国政</w:t>
      </w:r>
    </w:p>
    <w:p>
      <w:pPr>
        <w:pStyle w:val="BodyText"/>
        <w:spacing w:before="6"/>
        <w:ind w:left="0"/>
        <w:rPr>
          <w:sz w:val="15"/>
        </w:rPr>
      </w:pPr>
    </w:p>
    <w:p>
      <w:pPr>
        <w:pStyle w:val="BodyText"/>
        <w:rPr>
          <w:rFonts w:ascii="Times New Roman" w:eastAsia="Times New Roman"/>
        </w:rPr>
      </w:pPr>
      <w:r>
        <w:rPr/>
        <w:t>网址：</w:t>
      </w:r>
      <w:hyperlink r:id="rId151">
        <w:r>
          <w:rPr>
            <w:rFonts w:ascii="Times New Roman" w:eastAsia="Times New Roman"/>
          </w:rPr>
          <w:t>www.chinastock.com.cn</w:t>
        </w:r>
      </w:hyperlink>
    </w:p>
    <w:p>
      <w:pPr>
        <w:pStyle w:val="BodyText"/>
        <w:spacing w:before="4"/>
        <w:ind w:left="0"/>
        <w:rPr>
          <w:rFonts w:ascii="Times New Roman"/>
          <w:sz w:val="17"/>
        </w:rPr>
      </w:pPr>
    </w:p>
    <w:p>
      <w:pPr>
        <w:pStyle w:val="BodyText"/>
        <w:rPr>
          <w:rFonts w:ascii="Times New Roman" w:eastAsia="Times New Roman"/>
        </w:rPr>
      </w:pPr>
      <w:r>
        <w:rPr/>
        <w:t>客户服务电话：</w:t>
      </w:r>
      <w:r>
        <w:rPr>
          <w:rFonts w:ascii="Times New Roman" w:eastAsia="Times New Roman"/>
        </w:rPr>
        <w:t>4008-888-888</w:t>
      </w:r>
      <w:r>
        <w:rPr/>
        <w:t>或</w:t>
      </w:r>
      <w:r>
        <w:rPr>
          <w:rFonts w:ascii="Times New Roman" w:eastAsia="Times New Roman"/>
        </w:rPr>
        <w:t>95551</w:t>
      </w:r>
    </w:p>
    <w:p>
      <w:pPr>
        <w:pStyle w:val="BodyText"/>
        <w:spacing w:before="3"/>
        <w:ind w:left="0"/>
        <w:rPr>
          <w:rFonts w:ascii="Times New Roman"/>
          <w:sz w:val="17"/>
        </w:rPr>
      </w:pPr>
    </w:p>
    <w:p>
      <w:pPr>
        <w:pStyle w:val="ListParagraph"/>
        <w:numPr>
          <w:ilvl w:val="0"/>
          <w:numId w:val="31"/>
        </w:numPr>
        <w:tabs>
          <w:tab w:pos="1364" w:val="left" w:leader="none"/>
        </w:tabs>
        <w:spacing w:line="417" w:lineRule="auto" w:before="0" w:after="0"/>
        <w:ind w:left="640" w:right="5715" w:firstLine="0"/>
        <w:jc w:val="left"/>
        <w:rPr>
          <w:sz w:val="21"/>
        </w:rPr>
      </w:pPr>
      <w:r>
        <w:rPr>
          <w:spacing w:val="-3"/>
          <w:sz w:val="21"/>
        </w:rPr>
        <w:t>海通证券股份有限公司 住所：上海市黄浦区广东路</w:t>
      </w:r>
      <w:r>
        <w:rPr>
          <w:rFonts w:ascii="Times New Roman" w:eastAsia="Times New Roman"/>
          <w:sz w:val="21"/>
        </w:rPr>
        <w:t>689</w:t>
      </w:r>
      <w:r>
        <w:rPr>
          <w:spacing w:val="-13"/>
          <w:sz w:val="21"/>
        </w:rPr>
        <w:t>号</w:t>
      </w:r>
    </w:p>
    <w:p>
      <w:pPr>
        <w:pStyle w:val="BodyText"/>
        <w:spacing w:line="417" w:lineRule="auto" w:before="1"/>
        <w:ind w:right="5295"/>
      </w:pPr>
      <w:r>
        <w:rPr/>
        <w:t>办公地址：上海市黄浦区广东路</w:t>
      </w:r>
      <w:r>
        <w:rPr>
          <w:rFonts w:ascii="Times New Roman" w:eastAsia="Times New Roman"/>
        </w:rPr>
        <w:t>689</w:t>
      </w:r>
      <w:r>
        <w:rPr/>
        <w:t>号法定代表人：周杰</w:t>
      </w:r>
    </w:p>
    <w:p>
      <w:pPr>
        <w:pStyle w:val="BodyText"/>
        <w:spacing w:line="417" w:lineRule="auto"/>
        <w:ind w:right="6906"/>
        <w:rPr>
          <w:rFonts w:ascii="Times New Roman" w:eastAsia="Times New Roman"/>
        </w:rPr>
      </w:pPr>
      <w:r>
        <w:rPr/>
        <w:t>电话：</w:t>
      </w:r>
      <w:r>
        <w:rPr>
          <w:rFonts w:ascii="Times New Roman" w:eastAsia="Times New Roman"/>
        </w:rPr>
        <w:t>021-23219000 </w:t>
      </w:r>
      <w:r>
        <w:rPr/>
        <w:t>传真：</w:t>
      </w:r>
      <w:r>
        <w:rPr>
          <w:rFonts w:ascii="Times New Roman" w:eastAsia="Times New Roman"/>
        </w:rPr>
        <w:t>021-63410456</w:t>
      </w:r>
    </w:p>
    <w:p>
      <w:pPr>
        <w:pStyle w:val="BodyText"/>
        <w:spacing w:line="417" w:lineRule="auto"/>
        <w:ind w:right="6661"/>
        <w:rPr>
          <w:rFonts w:ascii="Times New Roman" w:eastAsia="Times New Roman"/>
        </w:rPr>
      </w:pPr>
      <w:r>
        <w:rPr/>
        <w:t>联系人：金芸、李笑鸣网址：</w:t>
      </w:r>
      <w:hyperlink r:id="rId152">
        <w:r>
          <w:rPr>
            <w:rFonts w:ascii="Times New Roman" w:eastAsia="Times New Roman"/>
          </w:rPr>
          <w:t>www.htsec.com</w:t>
        </w:r>
      </w:hyperlink>
    </w:p>
    <w:p>
      <w:pPr>
        <w:pStyle w:val="BodyText"/>
        <w:rPr>
          <w:rFonts w:ascii="Times New Roman" w:eastAsia="Times New Roman"/>
        </w:rPr>
      </w:pPr>
      <w:r>
        <w:rPr/>
        <w:t>客户服务电话：</w:t>
      </w:r>
      <w:r>
        <w:rPr>
          <w:rFonts w:ascii="Times New Roman" w:eastAsia="Times New Roman"/>
        </w:rPr>
        <w:t>95553</w:t>
      </w:r>
      <w:r>
        <w:rPr/>
        <w:t>、</w:t>
      </w:r>
      <w:r>
        <w:rPr>
          <w:rFonts w:ascii="Times New Roman" w:eastAsia="Times New Roman"/>
        </w:rPr>
        <w:t>400-888-8001</w:t>
      </w:r>
    </w:p>
    <w:p>
      <w:pPr>
        <w:pStyle w:val="BodyText"/>
        <w:spacing w:before="2"/>
        <w:ind w:left="0"/>
        <w:rPr>
          <w:rFonts w:ascii="Times New Roman"/>
          <w:sz w:val="17"/>
        </w:rPr>
      </w:pPr>
    </w:p>
    <w:p>
      <w:pPr>
        <w:pStyle w:val="ListParagraph"/>
        <w:numPr>
          <w:ilvl w:val="0"/>
          <w:numId w:val="31"/>
        </w:numPr>
        <w:tabs>
          <w:tab w:pos="1371" w:val="left" w:leader="none"/>
        </w:tabs>
        <w:spacing w:line="240" w:lineRule="auto" w:before="0" w:after="0"/>
        <w:ind w:left="1371" w:right="0" w:hanging="731"/>
        <w:jc w:val="left"/>
        <w:rPr>
          <w:sz w:val="21"/>
        </w:rPr>
      </w:pPr>
      <w:r>
        <w:rPr>
          <w:spacing w:val="-3"/>
          <w:sz w:val="21"/>
        </w:rPr>
        <w:t>申万宏源证券有限公司</w:t>
      </w:r>
    </w:p>
    <w:p>
      <w:pPr>
        <w:pStyle w:val="BodyText"/>
        <w:spacing w:before="7"/>
        <w:ind w:left="0"/>
        <w:rPr>
          <w:sz w:val="15"/>
        </w:rPr>
      </w:pPr>
    </w:p>
    <w:p>
      <w:pPr>
        <w:pStyle w:val="BodyText"/>
      </w:pPr>
      <w:r>
        <w:rPr/>
        <w:t>住所：上海市徐汇区长乐路</w:t>
      </w:r>
      <w:r>
        <w:rPr>
          <w:rFonts w:ascii="Times New Roman" w:eastAsia="Times New Roman"/>
        </w:rPr>
        <w:t>989</w:t>
      </w:r>
      <w:r>
        <w:rPr/>
        <w:t>号</w:t>
      </w:r>
      <w:r>
        <w:rPr>
          <w:rFonts w:ascii="Times New Roman" w:eastAsia="Times New Roman"/>
        </w:rPr>
        <w:t>45</w:t>
      </w:r>
      <w:r>
        <w:rPr/>
        <w:t>层</w:t>
      </w:r>
    </w:p>
    <w:p>
      <w:pPr>
        <w:pStyle w:val="BodyText"/>
        <w:spacing w:before="7"/>
        <w:ind w:left="0"/>
        <w:rPr>
          <w:sz w:val="15"/>
        </w:rPr>
      </w:pPr>
    </w:p>
    <w:p>
      <w:pPr>
        <w:pStyle w:val="BodyText"/>
        <w:spacing w:line="417" w:lineRule="auto"/>
        <w:ind w:right="3826"/>
      </w:pPr>
      <w:r>
        <w:rPr/>
        <w:t>办公地址：上海市徐汇区长乐路</w:t>
      </w:r>
      <w:r>
        <w:rPr>
          <w:rFonts w:ascii="Times New Roman" w:eastAsia="Times New Roman"/>
        </w:rPr>
        <w:t>989</w:t>
      </w:r>
      <w:r>
        <w:rPr/>
        <w:t>号</w:t>
      </w:r>
      <w:r>
        <w:rPr>
          <w:rFonts w:ascii="Times New Roman" w:eastAsia="Times New Roman"/>
        </w:rPr>
        <w:t>45</w:t>
      </w:r>
      <w:r>
        <w:rPr/>
        <w:t>层（</w:t>
      </w:r>
      <w:r>
        <w:rPr>
          <w:rFonts w:ascii="Times New Roman" w:eastAsia="Times New Roman"/>
        </w:rPr>
        <w:t>200031</w:t>
      </w:r>
      <w:r>
        <w:rPr/>
        <w:t>） 法定代表人：李梅</w:t>
      </w:r>
    </w:p>
    <w:p>
      <w:pPr>
        <w:pStyle w:val="BodyText"/>
        <w:spacing w:line="417" w:lineRule="auto"/>
        <w:ind w:right="6906"/>
        <w:rPr>
          <w:rFonts w:ascii="Times New Roman" w:eastAsia="Times New Roman"/>
        </w:rPr>
      </w:pPr>
      <w:r>
        <w:rPr/>
        <w:t>电话：</w:t>
      </w:r>
      <w:r>
        <w:rPr>
          <w:rFonts w:ascii="Times New Roman" w:eastAsia="Times New Roman"/>
        </w:rPr>
        <w:t>021-33389888 </w:t>
      </w:r>
      <w:r>
        <w:rPr/>
        <w:t>传真：</w:t>
      </w:r>
      <w:r>
        <w:rPr>
          <w:rFonts w:ascii="Times New Roman" w:eastAsia="Times New Roman"/>
        </w:rPr>
        <w:t>021-33388224</w:t>
      </w:r>
    </w:p>
    <w:p>
      <w:pPr>
        <w:pStyle w:val="BodyText"/>
      </w:pPr>
      <w:r>
        <w:rPr/>
        <w:t>联系人：陈宇</w:t>
      </w:r>
    </w:p>
    <w:p>
      <w:pPr>
        <w:pStyle w:val="BodyText"/>
        <w:spacing w:before="6"/>
        <w:ind w:left="0"/>
        <w:rPr>
          <w:sz w:val="15"/>
        </w:rPr>
      </w:pPr>
    </w:p>
    <w:p>
      <w:pPr>
        <w:pStyle w:val="BodyText"/>
        <w:spacing w:before="1"/>
        <w:rPr>
          <w:rFonts w:ascii="Times New Roman" w:eastAsia="Times New Roman"/>
        </w:rPr>
      </w:pPr>
      <w:r>
        <w:rPr/>
        <w:t>网址：</w:t>
      </w:r>
      <w:hyperlink r:id="rId153">
        <w:r>
          <w:rPr>
            <w:rFonts w:ascii="Times New Roman" w:eastAsia="Times New Roman"/>
          </w:rPr>
          <w:t>www.swhysc.com</w:t>
        </w:r>
      </w:hyperlink>
    </w:p>
    <w:p>
      <w:pPr>
        <w:pStyle w:val="BodyText"/>
        <w:spacing w:before="3"/>
        <w:ind w:left="0"/>
        <w:rPr>
          <w:rFonts w:ascii="Times New Roman"/>
          <w:sz w:val="17"/>
        </w:rPr>
      </w:pPr>
    </w:p>
    <w:p>
      <w:pPr>
        <w:pStyle w:val="BodyText"/>
        <w:rPr>
          <w:rFonts w:ascii="Times New Roman" w:eastAsia="Times New Roman"/>
        </w:rPr>
      </w:pPr>
      <w:r>
        <w:rPr/>
        <w:t>客户服务电话：</w:t>
      </w:r>
      <w:r>
        <w:rPr>
          <w:rFonts w:ascii="Times New Roman" w:eastAsia="Times New Roman"/>
        </w:rPr>
        <w:t>95523</w:t>
      </w:r>
      <w:r>
        <w:rPr/>
        <w:t>、</w:t>
      </w:r>
      <w:r>
        <w:rPr>
          <w:rFonts w:ascii="Times New Roman" w:eastAsia="Times New Roman"/>
        </w:rPr>
        <w:t>400-889-5523</w:t>
      </w:r>
    </w:p>
    <w:p>
      <w:pPr>
        <w:pStyle w:val="BodyText"/>
        <w:spacing w:before="3"/>
        <w:ind w:left="0"/>
        <w:rPr>
          <w:rFonts w:ascii="Times New Roman"/>
          <w:sz w:val="17"/>
        </w:rPr>
      </w:pPr>
    </w:p>
    <w:p>
      <w:pPr>
        <w:pStyle w:val="ListParagraph"/>
        <w:numPr>
          <w:ilvl w:val="0"/>
          <w:numId w:val="31"/>
        </w:numPr>
        <w:tabs>
          <w:tab w:pos="1371" w:val="left" w:leader="none"/>
        </w:tabs>
        <w:spacing w:line="417" w:lineRule="auto" w:before="1" w:after="0"/>
        <w:ind w:left="640" w:right="5934" w:firstLine="0"/>
        <w:jc w:val="left"/>
        <w:rPr>
          <w:sz w:val="21"/>
        </w:rPr>
      </w:pPr>
      <w:r>
        <w:rPr>
          <w:spacing w:val="-4"/>
          <w:sz w:val="21"/>
        </w:rPr>
        <w:t>兴业证券股份有限公司</w:t>
      </w:r>
      <w:r>
        <w:rPr>
          <w:spacing w:val="-3"/>
          <w:sz w:val="21"/>
        </w:rPr>
        <w:t>住所：福州市湖东路</w:t>
      </w:r>
      <w:r>
        <w:rPr>
          <w:rFonts w:ascii="Times New Roman" w:eastAsia="Times New Roman"/>
          <w:sz w:val="21"/>
        </w:rPr>
        <w:t>268</w:t>
      </w:r>
      <w:r>
        <w:rPr>
          <w:sz w:val="21"/>
        </w:rPr>
        <w:t>号</w:t>
      </w:r>
    </w:p>
    <w:p>
      <w:pPr>
        <w:pStyle w:val="BodyText"/>
        <w:spacing w:line="417" w:lineRule="auto"/>
        <w:ind w:right="5189"/>
      </w:pPr>
      <w:r>
        <w:rPr/>
        <w:t>办公地址：上海市浦东新区长柳路</w:t>
      </w:r>
      <w:r>
        <w:rPr>
          <w:rFonts w:ascii="Times New Roman" w:eastAsia="Times New Roman"/>
        </w:rPr>
        <w:t>36</w:t>
      </w:r>
      <w:r>
        <w:rPr/>
        <w:t>号法定代表人：杨华辉</w:t>
      </w:r>
    </w:p>
    <w:p>
      <w:pPr>
        <w:pStyle w:val="BodyText"/>
        <w:spacing w:line="417" w:lineRule="auto"/>
        <w:ind w:right="6906"/>
        <w:rPr>
          <w:rFonts w:ascii="Times New Roman" w:eastAsia="Times New Roman"/>
        </w:rPr>
      </w:pPr>
      <w:r>
        <w:rPr/>
        <w:t>电话：</w:t>
      </w:r>
      <w:r>
        <w:rPr>
          <w:rFonts w:ascii="Times New Roman" w:eastAsia="Times New Roman"/>
        </w:rPr>
        <w:t>021-38565547 </w:t>
      </w:r>
      <w:r>
        <w:rPr/>
        <w:t>传真：</w:t>
      </w:r>
      <w:r>
        <w:rPr>
          <w:rFonts w:ascii="Times New Roman" w:eastAsia="Times New Roman"/>
        </w:rPr>
        <w:t>021-38565955</w:t>
      </w:r>
    </w:p>
    <w:p>
      <w:pPr>
        <w:spacing w:after="0" w:line="417" w:lineRule="auto"/>
        <w:rPr>
          <w:rFonts w:ascii="Times New Roman" w:eastAsia="Times New Roman"/>
        </w:rPr>
        <w:sectPr>
          <w:pgSz w:w="11910" w:h="16840"/>
          <w:pgMar w:header="705" w:footer="683" w:top="1420" w:bottom="880" w:left="1580" w:right="920"/>
        </w:sectPr>
      </w:pPr>
    </w:p>
    <w:p>
      <w:pPr>
        <w:pStyle w:val="BodyText"/>
        <w:spacing w:before="110"/>
      </w:pPr>
      <w:r>
        <w:rPr/>
        <w:t>联系人：乔琳雪</w:t>
      </w:r>
    </w:p>
    <w:p>
      <w:pPr>
        <w:pStyle w:val="BodyText"/>
        <w:spacing w:before="6"/>
        <w:ind w:left="0"/>
        <w:rPr>
          <w:sz w:val="15"/>
        </w:rPr>
      </w:pPr>
    </w:p>
    <w:p>
      <w:pPr>
        <w:pStyle w:val="BodyText"/>
        <w:spacing w:line="417" w:lineRule="auto"/>
        <w:ind w:right="6523"/>
        <w:rPr>
          <w:rFonts w:ascii="Times New Roman" w:eastAsia="Times New Roman"/>
        </w:rPr>
      </w:pPr>
      <w:r>
        <w:rPr/>
        <w:t>网址：</w:t>
      </w:r>
      <w:hyperlink r:id="rId154">
        <w:r>
          <w:rPr>
            <w:rFonts w:ascii="Times New Roman" w:eastAsia="Times New Roman"/>
          </w:rPr>
          <w:t>www.xyzq.com.cn </w:t>
        </w:r>
      </w:hyperlink>
      <w:r>
        <w:rPr/>
        <w:t>客户服务电话：</w:t>
      </w:r>
      <w:r>
        <w:rPr>
          <w:rFonts w:ascii="Times New Roman" w:eastAsia="Times New Roman"/>
        </w:rPr>
        <w:t>95562</w:t>
      </w:r>
    </w:p>
    <w:p>
      <w:pPr>
        <w:pStyle w:val="ListParagraph"/>
        <w:numPr>
          <w:ilvl w:val="0"/>
          <w:numId w:val="31"/>
        </w:numPr>
        <w:tabs>
          <w:tab w:pos="1371" w:val="left" w:leader="none"/>
        </w:tabs>
        <w:spacing w:line="269" w:lineRule="exact" w:before="0" w:after="0"/>
        <w:ind w:left="1371" w:right="0" w:hanging="731"/>
        <w:jc w:val="left"/>
        <w:rPr>
          <w:sz w:val="21"/>
        </w:rPr>
      </w:pPr>
      <w:r>
        <w:rPr>
          <w:spacing w:val="-3"/>
          <w:sz w:val="21"/>
        </w:rPr>
        <w:t>长江证券股份有限公司</w:t>
      </w:r>
    </w:p>
    <w:p>
      <w:pPr>
        <w:pStyle w:val="BodyText"/>
        <w:spacing w:before="7"/>
        <w:ind w:left="0"/>
        <w:rPr>
          <w:sz w:val="15"/>
        </w:rPr>
      </w:pPr>
    </w:p>
    <w:p>
      <w:pPr>
        <w:pStyle w:val="BodyText"/>
      </w:pPr>
      <w:r>
        <w:rPr/>
        <w:t>住所：武汉市新华路特</w:t>
      </w:r>
      <w:r>
        <w:rPr>
          <w:rFonts w:ascii="Times New Roman" w:eastAsia="Times New Roman"/>
        </w:rPr>
        <w:t>8</w:t>
      </w:r>
      <w:r>
        <w:rPr/>
        <w:t>号长江证券大厦</w:t>
      </w:r>
    </w:p>
    <w:p>
      <w:pPr>
        <w:pStyle w:val="BodyText"/>
        <w:spacing w:before="7"/>
        <w:ind w:left="0"/>
        <w:rPr>
          <w:sz w:val="15"/>
        </w:rPr>
      </w:pPr>
    </w:p>
    <w:p>
      <w:pPr>
        <w:pStyle w:val="BodyText"/>
        <w:spacing w:line="417" w:lineRule="auto"/>
        <w:ind w:right="4663"/>
      </w:pPr>
      <w:r>
        <w:rPr/>
        <w:t>办公地址：武汉市新华路特</w:t>
      </w:r>
      <w:r>
        <w:rPr>
          <w:rFonts w:ascii="Times New Roman" w:eastAsia="Times New Roman"/>
        </w:rPr>
        <w:t>8</w:t>
      </w:r>
      <w:r>
        <w:rPr/>
        <w:t>号长江证券大厦法定代表人：杨泽柱</w:t>
      </w:r>
    </w:p>
    <w:p>
      <w:pPr>
        <w:pStyle w:val="BodyText"/>
        <w:spacing w:line="417" w:lineRule="auto"/>
        <w:ind w:right="6906"/>
        <w:rPr>
          <w:rFonts w:ascii="Times New Roman" w:eastAsia="Times New Roman"/>
        </w:rPr>
      </w:pPr>
      <w:r>
        <w:rPr/>
        <w:t>电话：</w:t>
      </w:r>
      <w:r>
        <w:rPr>
          <w:rFonts w:ascii="Times New Roman" w:eastAsia="Times New Roman"/>
        </w:rPr>
        <w:t>027-65799999 </w:t>
      </w:r>
      <w:r>
        <w:rPr/>
        <w:t>传真：</w:t>
      </w:r>
      <w:r>
        <w:rPr>
          <w:rFonts w:ascii="Times New Roman" w:eastAsia="Times New Roman"/>
        </w:rPr>
        <w:t>027-85481900</w:t>
      </w:r>
    </w:p>
    <w:p>
      <w:pPr>
        <w:pStyle w:val="BodyText"/>
        <w:spacing w:line="269" w:lineRule="exact"/>
      </w:pPr>
      <w:r>
        <w:rPr/>
        <w:t>联系人：李良</w:t>
      </w:r>
    </w:p>
    <w:p>
      <w:pPr>
        <w:pStyle w:val="BodyText"/>
        <w:spacing w:before="7"/>
        <w:ind w:left="0"/>
        <w:rPr>
          <w:sz w:val="15"/>
        </w:rPr>
      </w:pPr>
    </w:p>
    <w:p>
      <w:pPr>
        <w:pStyle w:val="BodyText"/>
        <w:rPr>
          <w:rFonts w:ascii="Times New Roman" w:eastAsia="Times New Roman"/>
        </w:rPr>
      </w:pPr>
      <w:r>
        <w:rPr/>
        <w:t>网址：</w:t>
      </w:r>
      <w:hyperlink r:id="rId155">
        <w:r>
          <w:rPr>
            <w:rFonts w:ascii="Times New Roman" w:eastAsia="Times New Roman"/>
          </w:rPr>
          <w:t>www.95579.com</w:t>
        </w:r>
      </w:hyperlink>
    </w:p>
    <w:p>
      <w:pPr>
        <w:pStyle w:val="BodyText"/>
        <w:spacing w:before="3"/>
        <w:ind w:left="0"/>
        <w:rPr>
          <w:rFonts w:ascii="Times New Roman"/>
          <w:sz w:val="17"/>
        </w:rPr>
      </w:pPr>
    </w:p>
    <w:p>
      <w:pPr>
        <w:pStyle w:val="BodyText"/>
        <w:rPr>
          <w:rFonts w:ascii="Times New Roman" w:eastAsia="Times New Roman"/>
        </w:rPr>
      </w:pPr>
      <w:r>
        <w:rPr/>
        <w:t>客户服务电话：</w:t>
      </w:r>
      <w:r>
        <w:rPr>
          <w:rFonts w:ascii="Times New Roman" w:eastAsia="Times New Roman"/>
        </w:rPr>
        <w:t>95579</w:t>
      </w:r>
      <w:r>
        <w:rPr/>
        <w:t>、</w:t>
      </w:r>
      <w:r>
        <w:rPr>
          <w:rFonts w:ascii="Times New Roman" w:eastAsia="Times New Roman"/>
        </w:rPr>
        <w:t>400-888-8999</w:t>
      </w:r>
    </w:p>
    <w:p>
      <w:pPr>
        <w:pStyle w:val="BodyText"/>
        <w:spacing w:before="4"/>
        <w:ind w:left="0"/>
        <w:rPr>
          <w:rFonts w:ascii="Times New Roman"/>
          <w:sz w:val="17"/>
        </w:rPr>
      </w:pPr>
    </w:p>
    <w:p>
      <w:pPr>
        <w:pStyle w:val="ListParagraph"/>
        <w:numPr>
          <w:ilvl w:val="0"/>
          <w:numId w:val="31"/>
        </w:numPr>
        <w:tabs>
          <w:tab w:pos="1371" w:val="left" w:leader="none"/>
        </w:tabs>
        <w:spacing w:line="240" w:lineRule="auto" w:before="0" w:after="0"/>
        <w:ind w:left="1371" w:right="0" w:hanging="731"/>
        <w:jc w:val="left"/>
        <w:rPr>
          <w:sz w:val="21"/>
        </w:rPr>
      </w:pPr>
      <w:r>
        <w:rPr>
          <w:spacing w:val="-3"/>
          <w:sz w:val="21"/>
        </w:rPr>
        <w:t>安信证券股份有限公司</w:t>
      </w:r>
    </w:p>
    <w:p>
      <w:pPr>
        <w:pStyle w:val="BodyText"/>
        <w:spacing w:before="6"/>
        <w:ind w:left="0"/>
        <w:rPr>
          <w:sz w:val="15"/>
        </w:rPr>
      </w:pPr>
    </w:p>
    <w:p>
      <w:pPr>
        <w:pStyle w:val="BodyText"/>
        <w:spacing w:before="1"/>
      </w:pPr>
      <w:r>
        <w:rPr/>
        <w:t>住所：深圳市福田区金田路</w:t>
      </w:r>
      <w:r>
        <w:rPr>
          <w:rFonts w:ascii="Times New Roman" w:eastAsia="Times New Roman"/>
        </w:rPr>
        <w:t>4018</w:t>
      </w:r>
      <w:r>
        <w:rPr/>
        <w:t>号安联大厦</w:t>
      </w:r>
      <w:r>
        <w:rPr>
          <w:rFonts w:ascii="Times New Roman" w:eastAsia="Times New Roman"/>
        </w:rPr>
        <w:t>35</w:t>
      </w:r>
      <w:r>
        <w:rPr/>
        <w:t>层、</w:t>
      </w:r>
      <w:r>
        <w:rPr>
          <w:rFonts w:ascii="Times New Roman" w:eastAsia="Times New Roman"/>
        </w:rPr>
        <w:t>28</w:t>
      </w:r>
      <w:r>
        <w:rPr/>
        <w:t>层</w:t>
      </w:r>
      <w:r>
        <w:rPr>
          <w:rFonts w:ascii="Times New Roman" w:eastAsia="Times New Roman"/>
        </w:rPr>
        <w:t>A02</w:t>
      </w:r>
      <w:r>
        <w:rPr/>
        <w:t>单元</w:t>
      </w:r>
    </w:p>
    <w:p>
      <w:pPr>
        <w:pStyle w:val="BodyText"/>
        <w:spacing w:before="7"/>
        <w:ind w:left="0"/>
        <w:rPr>
          <w:sz w:val="15"/>
        </w:rPr>
      </w:pPr>
    </w:p>
    <w:p>
      <w:pPr>
        <w:pStyle w:val="BodyText"/>
        <w:spacing w:line="417" w:lineRule="auto"/>
        <w:ind w:right="2515"/>
      </w:pPr>
      <w:r>
        <w:rPr/>
        <w:t>办公地址：深圳市福田区金田路</w:t>
      </w:r>
      <w:r>
        <w:rPr>
          <w:rFonts w:ascii="Times New Roman" w:eastAsia="Times New Roman"/>
        </w:rPr>
        <w:t>4018</w:t>
      </w:r>
      <w:r>
        <w:rPr/>
        <w:t>号安联大厦</w:t>
      </w:r>
      <w:r>
        <w:rPr>
          <w:rFonts w:ascii="Times New Roman" w:eastAsia="Times New Roman"/>
        </w:rPr>
        <w:t>35</w:t>
      </w:r>
      <w:r>
        <w:rPr/>
        <w:t>层、</w:t>
      </w:r>
      <w:r>
        <w:rPr>
          <w:rFonts w:ascii="Times New Roman" w:eastAsia="Times New Roman"/>
        </w:rPr>
        <w:t>28</w:t>
      </w:r>
      <w:r>
        <w:rPr/>
        <w:t>层</w:t>
      </w:r>
      <w:r>
        <w:rPr>
          <w:rFonts w:ascii="Times New Roman" w:eastAsia="Times New Roman"/>
        </w:rPr>
        <w:t>A02</w:t>
      </w:r>
      <w:r>
        <w:rPr/>
        <w:t>单元法定代表人：黄炎勋</w:t>
      </w:r>
    </w:p>
    <w:p>
      <w:pPr>
        <w:pStyle w:val="BodyText"/>
        <w:spacing w:line="417" w:lineRule="auto"/>
        <w:ind w:right="6800"/>
        <w:rPr>
          <w:rFonts w:ascii="Times New Roman" w:eastAsia="Times New Roman"/>
        </w:rPr>
      </w:pPr>
      <w:r>
        <w:rPr/>
        <w:t>电话：</w:t>
      </w:r>
      <w:r>
        <w:rPr>
          <w:rFonts w:ascii="Times New Roman" w:eastAsia="Times New Roman"/>
        </w:rPr>
        <w:t>0755-82558305 </w:t>
      </w:r>
      <w:r>
        <w:rPr/>
        <w:t>传真：</w:t>
      </w:r>
      <w:r>
        <w:rPr>
          <w:rFonts w:ascii="Times New Roman" w:eastAsia="Times New Roman"/>
        </w:rPr>
        <w:t>0755-82558355</w:t>
      </w:r>
    </w:p>
    <w:p>
      <w:pPr>
        <w:pStyle w:val="BodyText"/>
        <w:spacing w:line="269" w:lineRule="exact"/>
      </w:pPr>
      <w:r>
        <w:rPr/>
        <w:t>联系人：陈剑虹</w:t>
      </w:r>
    </w:p>
    <w:p>
      <w:pPr>
        <w:pStyle w:val="BodyText"/>
        <w:spacing w:before="6"/>
        <w:ind w:left="0"/>
        <w:rPr>
          <w:sz w:val="15"/>
        </w:rPr>
      </w:pPr>
    </w:p>
    <w:p>
      <w:pPr>
        <w:pStyle w:val="BodyText"/>
        <w:spacing w:line="417" w:lineRule="auto"/>
        <w:ind w:right="6289"/>
        <w:rPr>
          <w:rFonts w:ascii="Times New Roman" w:eastAsia="Times New Roman"/>
        </w:rPr>
      </w:pPr>
      <w:r>
        <w:rPr/>
        <w:t>网址：</w:t>
      </w:r>
      <w:hyperlink r:id="rId156">
        <w:r>
          <w:rPr>
            <w:rFonts w:ascii="Times New Roman" w:eastAsia="Times New Roman"/>
          </w:rPr>
          <w:t>www.essence.com.cn </w:t>
        </w:r>
      </w:hyperlink>
      <w:r>
        <w:rPr/>
        <w:t>客户服务电话：</w:t>
      </w:r>
      <w:r>
        <w:rPr>
          <w:rFonts w:ascii="Times New Roman" w:eastAsia="Times New Roman"/>
        </w:rPr>
        <w:t>95517</w:t>
      </w:r>
    </w:p>
    <w:p>
      <w:pPr>
        <w:pStyle w:val="ListParagraph"/>
        <w:numPr>
          <w:ilvl w:val="0"/>
          <w:numId w:val="31"/>
        </w:numPr>
        <w:tabs>
          <w:tab w:pos="1371" w:val="left" w:leader="none"/>
        </w:tabs>
        <w:spacing w:line="417" w:lineRule="auto" w:before="0" w:after="0"/>
        <w:ind w:left="640" w:right="5924" w:firstLine="0"/>
        <w:jc w:val="left"/>
        <w:rPr>
          <w:sz w:val="21"/>
        </w:rPr>
      </w:pPr>
      <w:r>
        <w:rPr>
          <w:spacing w:val="-3"/>
          <w:sz w:val="21"/>
        </w:rPr>
        <w:t>西南证券股份有限公司住所：重庆市江北区桥北苑</w:t>
      </w:r>
      <w:r>
        <w:rPr>
          <w:rFonts w:ascii="Times New Roman" w:eastAsia="Times New Roman"/>
          <w:sz w:val="21"/>
        </w:rPr>
        <w:t>8</w:t>
      </w:r>
      <w:r>
        <w:rPr>
          <w:spacing w:val="-14"/>
          <w:sz w:val="21"/>
        </w:rPr>
        <w:t>号</w:t>
      </w:r>
    </w:p>
    <w:p>
      <w:pPr>
        <w:pStyle w:val="BodyText"/>
        <w:spacing w:line="417" w:lineRule="auto"/>
        <w:ind w:right="4243"/>
      </w:pPr>
      <w:r>
        <w:rPr/>
        <w:t>办公地址：重庆市江北区桥北苑</w:t>
      </w:r>
      <w:r>
        <w:rPr>
          <w:rFonts w:ascii="Times New Roman" w:eastAsia="Times New Roman"/>
        </w:rPr>
        <w:t>8</w:t>
      </w:r>
      <w:r>
        <w:rPr/>
        <w:t>号西南证券大厦法定代表人：廖庆轩</w:t>
      </w:r>
    </w:p>
    <w:p>
      <w:pPr>
        <w:pStyle w:val="BodyText"/>
        <w:spacing w:line="417" w:lineRule="auto"/>
        <w:ind w:right="6906"/>
        <w:rPr>
          <w:rFonts w:ascii="Times New Roman" w:eastAsia="Times New Roman"/>
        </w:rPr>
      </w:pPr>
      <w:r>
        <w:rPr/>
        <w:t>电话：</w:t>
      </w:r>
      <w:r>
        <w:rPr>
          <w:rFonts w:ascii="Times New Roman" w:eastAsia="Times New Roman"/>
        </w:rPr>
        <w:t>023-67616310 </w:t>
      </w:r>
      <w:r>
        <w:rPr/>
        <w:t>传真：</w:t>
      </w:r>
      <w:r>
        <w:rPr>
          <w:rFonts w:ascii="Times New Roman" w:eastAsia="Times New Roman"/>
        </w:rPr>
        <w:t>023-63786212</w:t>
      </w:r>
    </w:p>
    <w:p>
      <w:pPr>
        <w:pStyle w:val="BodyText"/>
        <w:spacing w:line="269" w:lineRule="exact"/>
      </w:pPr>
      <w:r>
        <w:rPr/>
        <w:t>联系人：周青</w:t>
      </w:r>
    </w:p>
    <w:p>
      <w:pPr>
        <w:pStyle w:val="BodyText"/>
        <w:spacing w:before="7"/>
        <w:ind w:left="0"/>
        <w:rPr>
          <w:sz w:val="15"/>
        </w:rPr>
      </w:pPr>
    </w:p>
    <w:p>
      <w:pPr>
        <w:pStyle w:val="BodyText"/>
        <w:rPr>
          <w:rFonts w:ascii="Times New Roman" w:eastAsia="Times New Roman"/>
        </w:rPr>
      </w:pPr>
      <w:r>
        <w:rPr/>
        <w:t>网址：</w:t>
      </w:r>
      <w:hyperlink r:id="rId157">
        <w:r>
          <w:rPr>
            <w:rFonts w:ascii="Times New Roman" w:eastAsia="Times New Roman"/>
          </w:rPr>
          <w:t>www.swsc.com.cn</w:t>
        </w:r>
      </w:hyperlink>
    </w:p>
    <w:p>
      <w:pPr>
        <w:pStyle w:val="BodyText"/>
        <w:spacing w:before="3"/>
        <w:ind w:left="0"/>
        <w:rPr>
          <w:rFonts w:ascii="Times New Roman"/>
          <w:sz w:val="17"/>
        </w:rPr>
      </w:pPr>
    </w:p>
    <w:p>
      <w:pPr>
        <w:pStyle w:val="BodyText"/>
        <w:rPr>
          <w:rFonts w:ascii="Times New Roman" w:eastAsia="Times New Roman"/>
        </w:rPr>
      </w:pPr>
      <w:r>
        <w:rPr/>
        <w:t>客户服务电话：</w:t>
      </w:r>
      <w:r>
        <w:rPr>
          <w:rFonts w:ascii="Times New Roman" w:eastAsia="Times New Roman"/>
        </w:rPr>
        <w:t>400-809-6096</w:t>
      </w:r>
    </w:p>
    <w:p>
      <w:pPr>
        <w:spacing w:after="0"/>
        <w:rPr>
          <w:rFonts w:ascii="Times New Roman" w:eastAsia="Times New Roman"/>
        </w:rPr>
        <w:sectPr>
          <w:pgSz w:w="11910" w:h="16840"/>
          <w:pgMar w:header="705" w:footer="683" w:top="1420" w:bottom="880" w:left="1580" w:right="920"/>
        </w:sectPr>
      </w:pPr>
    </w:p>
    <w:p>
      <w:pPr>
        <w:pStyle w:val="ListParagraph"/>
        <w:numPr>
          <w:ilvl w:val="0"/>
          <w:numId w:val="31"/>
        </w:numPr>
        <w:tabs>
          <w:tab w:pos="1371" w:val="left" w:leader="none"/>
        </w:tabs>
        <w:spacing w:line="240" w:lineRule="auto" w:before="110" w:after="0"/>
        <w:ind w:left="1371" w:right="0" w:hanging="731"/>
        <w:jc w:val="left"/>
        <w:rPr>
          <w:sz w:val="21"/>
        </w:rPr>
      </w:pPr>
      <w:r>
        <w:rPr>
          <w:spacing w:val="-3"/>
          <w:sz w:val="21"/>
        </w:rPr>
        <w:t>湘财证券股份有限公司</w:t>
      </w:r>
    </w:p>
    <w:p>
      <w:pPr>
        <w:pStyle w:val="BodyText"/>
        <w:spacing w:before="6"/>
        <w:ind w:left="0"/>
        <w:rPr>
          <w:sz w:val="15"/>
        </w:rPr>
      </w:pPr>
    </w:p>
    <w:p>
      <w:pPr>
        <w:pStyle w:val="BodyText"/>
      </w:pPr>
      <w:r>
        <w:rPr/>
        <w:t>住所：湖南省长沙市天心区湘府中路</w:t>
      </w:r>
      <w:r>
        <w:rPr>
          <w:rFonts w:ascii="Times New Roman" w:eastAsia="Times New Roman"/>
        </w:rPr>
        <w:t>198</w:t>
      </w:r>
      <w:r>
        <w:rPr/>
        <w:t>号新南城商务中心</w:t>
      </w:r>
      <w:r>
        <w:rPr>
          <w:rFonts w:ascii="Times New Roman" w:eastAsia="Times New Roman"/>
        </w:rPr>
        <w:t>A</w:t>
      </w:r>
      <w:r>
        <w:rPr/>
        <w:t>栋</w:t>
      </w:r>
      <w:r>
        <w:rPr>
          <w:rFonts w:ascii="Times New Roman" w:eastAsia="Times New Roman"/>
        </w:rPr>
        <w:t>11</w:t>
      </w:r>
      <w:r>
        <w:rPr/>
        <w:t>楼</w:t>
      </w:r>
    </w:p>
    <w:p>
      <w:pPr>
        <w:pStyle w:val="BodyText"/>
        <w:spacing w:before="7"/>
        <w:ind w:left="0"/>
        <w:rPr>
          <w:sz w:val="15"/>
        </w:rPr>
      </w:pPr>
    </w:p>
    <w:p>
      <w:pPr>
        <w:pStyle w:val="BodyText"/>
        <w:spacing w:line="417" w:lineRule="auto"/>
        <w:ind w:right="2211"/>
      </w:pPr>
      <w:r>
        <w:rPr>
          <w:spacing w:val="-3"/>
        </w:rPr>
        <w:t>办公地址：湖南省长沙市天心区湘府中路</w:t>
      </w:r>
      <w:r>
        <w:rPr>
          <w:rFonts w:ascii="Times New Roman" w:eastAsia="Times New Roman"/>
        </w:rPr>
        <w:t>198</w:t>
      </w:r>
      <w:r>
        <w:rPr>
          <w:spacing w:val="-3"/>
        </w:rPr>
        <w:t>号新南城商务中心</w:t>
      </w:r>
      <w:r>
        <w:rPr>
          <w:rFonts w:ascii="Times New Roman" w:eastAsia="Times New Roman"/>
        </w:rPr>
        <w:t>A</w:t>
      </w:r>
      <w:r>
        <w:rPr/>
        <w:t>栋</w:t>
      </w:r>
      <w:r>
        <w:rPr>
          <w:rFonts w:ascii="Times New Roman" w:eastAsia="Times New Roman"/>
          <w:spacing w:val="-5"/>
        </w:rPr>
        <w:t>11</w:t>
      </w:r>
      <w:r>
        <w:rPr/>
        <w:t>楼</w:t>
      </w:r>
      <w:r>
        <w:rPr>
          <w:spacing w:val="-3"/>
        </w:rPr>
        <w:t>法定代表人：孙永祥</w:t>
      </w:r>
    </w:p>
    <w:p>
      <w:pPr>
        <w:pStyle w:val="BodyText"/>
        <w:spacing w:line="417" w:lineRule="auto"/>
        <w:ind w:right="6416"/>
        <w:rPr>
          <w:rFonts w:ascii="Times New Roman" w:eastAsia="Times New Roman"/>
        </w:rPr>
      </w:pPr>
      <w:r>
        <w:rPr>
          <w:spacing w:val="-1"/>
        </w:rPr>
        <w:t>电话：</w:t>
      </w:r>
      <w:r>
        <w:rPr>
          <w:rFonts w:ascii="Times New Roman" w:eastAsia="Times New Roman"/>
          <w:spacing w:val="-1"/>
        </w:rPr>
        <w:t>021-38784580-8918 </w:t>
      </w:r>
      <w:r>
        <w:rPr/>
        <w:t>传真：</w:t>
      </w:r>
      <w:r>
        <w:rPr>
          <w:rFonts w:ascii="Times New Roman" w:eastAsia="Times New Roman"/>
        </w:rPr>
        <w:t>021-68865680</w:t>
      </w:r>
    </w:p>
    <w:p>
      <w:pPr>
        <w:pStyle w:val="BodyText"/>
        <w:spacing w:line="269" w:lineRule="exact"/>
      </w:pPr>
      <w:r>
        <w:rPr/>
        <w:t>联系人：李欣</w:t>
      </w:r>
    </w:p>
    <w:p>
      <w:pPr>
        <w:pStyle w:val="BodyText"/>
        <w:spacing w:before="7"/>
        <w:ind w:left="0"/>
        <w:rPr>
          <w:sz w:val="15"/>
        </w:rPr>
      </w:pPr>
    </w:p>
    <w:p>
      <w:pPr>
        <w:pStyle w:val="BodyText"/>
        <w:spacing w:line="417" w:lineRule="auto"/>
        <w:ind w:right="6767"/>
        <w:rPr>
          <w:rFonts w:ascii="Times New Roman" w:eastAsia="Times New Roman"/>
        </w:rPr>
      </w:pPr>
      <w:r>
        <w:rPr/>
        <w:t>网址：</w:t>
      </w:r>
      <w:hyperlink r:id="rId158">
        <w:r>
          <w:rPr>
            <w:rFonts w:ascii="Times New Roman" w:eastAsia="Times New Roman"/>
          </w:rPr>
          <w:t>www.xcsc.com </w:t>
        </w:r>
      </w:hyperlink>
      <w:r>
        <w:rPr/>
        <w:t>客户服务电话：</w:t>
      </w:r>
      <w:r>
        <w:rPr>
          <w:rFonts w:ascii="Times New Roman" w:eastAsia="Times New Roman"/>
        </w:rPr>
        <w:t>95351</w:t>
      </w:r>
    </w:p>
    <w:p>
      <w:pPr>
        <w:pStyle w:val="ListParagraph"/>
        <w:numPr>
          <w:ilvl w:val="0"/>
          <w:numId w:val="31"/>
        </w:numPr>
        <w:tabs>
          <w:tab w:pos="1371" w:val="left" w:leader="none"/>
        </w:tabs>
        <w:spacing w:line="269" w:lineRule="exact" w:before="0" w:after="0"/>
        <w:ind w:left="1371" w:right="0" w:hanging="731"/>
        <w:jc w:val="left"/>
        <w:rPr>
          <w:sz w:val="21"/>
        </w:rPr>
      </w:pPr>
      <w:r>
        <w:rPr>
          <w:spacing w:val="-3"/>
          <w:sz w:val="21"/>
        </w:rPr>
        <w:t>万联证券股份有限公司</w:t>
      </w:r>
    </w:p>
    <w:p>
      <w:pPr>
        <w:pStyle w:val="BodyText"/>
        <w:spacing w:before="7"/>
        <w:ind w:left="0"/>
        <w:rPr>
          <w:sz w:val="15"/>
        </w:rPr>
      </w:pPr>
    </w:p>
    <w:p>
      <w:pPr>
        <w:pStyle w:val="BodyText"/>
      </w:pPr>
      <w:r>
        <w:rPr/>
        <w:t>住所：广州市天河区珠江东路</w:t>
      </w:r>
      <w:r>
        <w:rPr>
          <w:rFonts w:ascii="Times New Roman" w:eastAsia="Times New Roman"/>
        </w:rPr>
        <w:t>11</w:t>
      </w:r>
      <w:r>
        <w:rPr/>
        <w:t>号高德置地广场</w:t>
      </w:r>
      <w:r>
        <w:rPr>
          <w:rFonts w:ascii="Times New Roman" w:eastAsia="Times New Roman"/>
        </w:rPr>
        <w:t>F</w:t>
      </w:r>
      <w:r>
        <w:rPr/>
        <w:t>座</w:t>
      </w:r>
      <w:r>
        <w:rPr>
          <w:rFonts w:ascii="Times New Roman" w:eastAsia="Times New Roman"/>
        </w:rPr>
        <w:t>18</w:t>
      </w:r>
      <w:r>
        <w:rPr/>
        <w:t>、</w:t>
      </w:r>
      <w:r>
        <w:rPr>
          <w:rFonts w:ascii="Times New Roman" w:eastAsia="Times New Roman"/>
        </w:rPr>
        <w:t>19</w:t>
      </w:r>
      <w:r>
        <w:rPr/>
        <w:t>楼</w:t>
      </w:r>
    </w:p>
    <w:p>
      <w:pPr>
        <w:pStyle w:val="BodyText"/>
        <w:spacing w:before="7"/>
        <w:ind w:left="0"/>
        <w:rPr>
          <w:sz w:val="15"/>
        </w:rPr>
      </w:pPr>
    </w:p>
    <w:p>
      <w:pPr>
        <w:pStyle w:val="BodyText"/>
        <w:spacing w:line="417" w:lineRule="auto"/>
        <w:ind w:right="2770"/>
      </w:pPr>
      <w:r>
        <w:rPr>
          <w:spacing w:val="-3"/>
        </w:rPr>
        <w:t>办公地址：广州市天河区珠江东路</w:t>
      </w:r>
      <w:r>
        <w:rPr>
          <w:rFonts w:ascii="Times New Roman" w:eastAsia="Times New Roman"/>
          <w:spacing w:val="-5"/>
        </w:rPr>
        <w:t>11</w:t>
      </w:r>
      <w:r>
        <w:rPr>
          <w:spacing w:val="-3"/>
        </w:rPr>
        <w:t>号高德置地广场</w:t>
      </w:r>
      <w:r>
        <w:rPr>
          <w:rFonts w:ascii="Times New Roman" w:eastAsia="Times New Roman"/>
          <w:spacing w:val="-5"/>
        </w:rPr>
        <w:t>F</w:t>
      </w:r>
      <w:r>
        <w:rPr/>
        <w:t>座</w:t>
      </w:r>
      <w:r>
        <w:rPr>
          <w:rFonts w:ascii="Times New Roman" w:eastAsia="Times New Roman"/>
        </w:rPr>
        <w:t>18</w:t>
      </w:r>
      <w:r>
        <w:rPr/>
        <w:t>、</w:t>
      </w:r>
      <w:r>
        <w:rPr>
          <w:rFonts w:ascii="Times New Roman" w:eastAsia="Times New Roman"/>
        </w:rPr>
        <w:t>19</w:t>
      </w:r>
      <w:r>
        <w:rPr/>
        <w:t>楼</w:t>
      </w:r>
      <w:r>
        <w:rPr>
          <w:spacing w:val="-3"/>
        </w:rPr>
        <w:t>法定代表人：张建军</w:t>
      </w:r>
    </w:p>
    <w:p>
      <w:pPr>
        <w:pStyle w:val="BodyText"/>
        <w:spacing w:line="269" w:lineRule="exact"/>
        <w:rPr>
          <w:rFonts w:ascii="Times New Roman" w:eastAsia="Times New Roman"/>
        </w:rPr>
      </w:pPr>
      <w:r>
        <w:rPr>
          <w:spacing w:val="-1"/>
        </w:rPr>
        <w:t>电话：</w:t>
      </w:r>
      <w:r>
        <w:rPr>
          <w:rFonts w:ascii="Times New Roman" w:eastAsia="Times New Roman"/>
          <w:spacing w:val="-1"/>
        </w:rPr>
        <w:t>020-38286588</w:t>
      </w:r>
    </w:p>
    <w:p>
      <w:pPr>
        <w:pStyle w:val="BodyText"/>
        <w:spacing w:before="3"/>
        <w:ind w:left="0"/>
        <w:rPr>
          <w:rFonts w:ascii="Times New Roman"/>
          <w:sz w:val="17"/>
        </w:rPr>
      </w:pPr>
    </w:p>
    <w:p>
      <w:pPr>
        <w:pStyle w:val="BodyText"/>
        <w:spacing w:before="1"/>
        <w:rPr>
          <w:rFonts w:ascii="Times New Roman" w:eastAsia="Times New Roman"/>
        </w:rPr>
      </w:pPr>
      <w:r>
        <w:rPr/>
        <w:t>传真：</w:t>
      </w:r>
      <w:r>
        <w:rPr>
          <w:rFonts w:ascii="Times New Roman" w:eastAsia="Times New Roman"/>
        </w:rPr>
        <w:t>020-22373718-1013</w:t>
      </w:r>
    </w:p>
    <w:p>
      <w:pPr>
        <w:pStyle w:val="BodyText"/>
        <w:spacing w:before="3"/>
        <w:ind w:left="0"/>
        <w:rPr>
          <w:rFonts w:ascii="Times New Roman"/>
          <w:sz w:val="17"/>
        </w:rPr>
      </w:pPr>
    </w:p>
    <w:p>
      <w:pPr>
        <w:pStyle w:val="BodyText"/>
      </w:pPr>
      <w:r>
        <w:rPr/>
        <w:t>联系人：王鑫</w:t>
      </w:r>
    </w:p>
    <w:p>
      <w:pPr>
        <w:pStyle w:val="BodyText"/>
        <w:spacing w:before="7"/>
        <w:ind w:left="0"/>
        <w:rPr>
          <w:sz w:val="15"/>
        </w:rPr>
      </w:pPr>
    </w:p>
    <w:p>
      <w:pPr>
        <w:pStyle w:val="BodyText"/>
        <w:spacing w:line="417" w:lineRule="auto"/>
        <w:ind w:right="6522"/>
        <w:rPr>
          <w:rFonts w:ascii="Times New Roman" w:eastAsia="Times New Roman"/>
        </w:rPr>
      </w:pPr>
      <w:r>
        <w:rPr/>
        <w:t>网址：</w:t>
      </w:r>
      <w:hyperlink r:id="rId159">
        <w:r>
          <w:rPr>
            <w:rFonts w:ascii="Times New Roman" w:eastAsia="Times New Roman"/>
          </w:rPr>
          <w:t>www.wlzq.com.cn </w:t>
        </w:r>
      </w:hyperlink>
      <w:r>
        <w:rPr/>
        <w:t>客户服务电话：</w:t>
      </w:r>
      <w:r>
        <w:rPr>
          <w:rFonts w:ascii="Times New Roman" w:eastAsia="Times New Roman"/>
        </w:rPr>
        <w:t>95322</w:t>
      </w:r>
    </w:p>
    <w:p>
      <w:pPr>
        <w:pStyle w:val="ListParagraph"/>
        <w:numPr>
          <w:ilvl w:val="0"/>
          <w:numId w:val="31"/>
        </w:numPr>
        <w:tabs>
          <w:tab w:pos="1371" w:val="left" w:leader="none"/>
        </w:tabs>
        <w:spacing w:line="269" w:lineRule="exact" w:before="0" w:after="0"/>
        <w:ind w:left="1371" w:right="0" w:hanging="731"/>
        <w:jc w:val="left"/>
        <w:rPr>
          <w:sz w:val="21"/>
        </w:rPr>
      </w:pPr>
      <w:r>
        <w:rPr>
          <w:spacing w:val="-3"/>
          <w:sz w:val="21"/>
        </w:rPr>
        <w:t>民生证券股份有限公司</w:t>
      </w:r>
    </w:p>
    <w:p>
      <w:pPr>
        <w:pStyle w:val="BodyText"/>
        <w:spacing w:before="6"/>
        <w:ind w:left="0"/>
        <w:rPr>
          <w:sz w:val="15"/>
        </w:rPr>
      </w:pPr>
    </w:p>
    <w:p>
      <w:pPr>
        <w:pStyle w:val="BodyText"/>
        <w:spacing w:before="1"/>
      </w:pPr>
      <w:r>
        <w:rPr/>
        <w:t>住所：北京市东城区建国门内大街</w:t>
      </w:r>
      <w:r>
        <w:rPr>
          <w:rFonts w:ascii="Times New Roman" w:eastAsia="Times New Roman"/>
        </w:rPr>
        <w:t>28</w:t>
      </w:r>
      <w:r>
        <w:rPr/>
        <w:t>号民生金融中心</w:t>
      </w:r>
      <w:r>
        <w:rPr>
          <w:rFonts w:ascii="Times New Roman" w:eastAsia="Times New Roman"/>
        </w:rPr>
        <w:t>A</w:t>
      </w:r>
      <w:r>
        <w:rPr/>
        <w:t>座</w:t>
      </w:r>
      <w:r>
        <w:rPr>
          <w:rFonts w:ascii="Times New Roman" w:eastAsia="Times New Roman"/>
        </w:rPr>
        <w:t>16-20</w:t>
      </w:r>
      <w:r>
        <w:rPr/>
        <w:t>层</w:t>
      </w:r>
    </w:p>
    <w:p>
      <w:pPr>
        <w:pStyle w:val="BodyText"/>
        <w:spacing w:before="6"/>
        <w:ind w:left="0"/>
        <w:rPr>
          <w:sz w:val="15"/>
        </w:rPr>
      </w:pPr>
    </w:p>
    <w:p>
      <w:pPr>
        <w:pStyle w:val="BodyText"/>
        <w:spacing w:line="417" w:lineRule="auto"/>
        <w:ind w:right="2446"/>
      </w:pPr>
      <w:r>
        <w:rPr/>
        <w:t>办公地址：北京市东城区建国门内大街</w:t>
      </w:r>
      <w:r>
        <w:rPr>
          <w:rFonts w:ascii="Times New Roman" w:eastAsia="Times New Roman"/>
        </w:rPr>
        <w:t>28</w:t>
      </w:r>
      <w:r>
        <w:rPr/>
        <w:t>号民生金融中心</w:t>
      </w:r>
      <w:r>
        <w:rPr>
          <w:rFonts w:ascii="Times New Roman" w:eastAsia="Times New Roman"/>
        </w:rPr>
        <w:t>A</w:t>
      </w:r>
      <w:r>
        <w:rPr/>
        <w:t>座</w:t>
      </w:r>
      <w:r>
        <w:rPr>
          <w:rFonts w:ascii="Times New Roman" w:eastAsia="Times New Roman"/>
        </w:rPr>
        <w:t>16-20</w:t>
      </w:r>
      <w:r>
        <w:rPr/>
        <w:t>层法定代表人：冯鹤年</w:t>
      </w:r>
    </w:p>
    <w:p>
      <w:pPr>
        <w:pStyle w:val="BodyText"/>
        <w:spacing w:line="417" w:lineRule="auto" w:before="1"/>
        <w:ind w:right="6906"/>
        <w:rPr>
          <w:rFonts w:ascii="Times New Roman" w:eastAsia="Times New Roman"/>
        </w:rPr>
      </w:pPr>
      <w:r>
        <w:rPr/>
        <w:t>电话：</w:t>
      </w:r>
      <w:r>
        <w:rPr>
          <w:rFonts w:ascii="Times New Roman" w:eastAsia="Times New Roman"/>
        </w:rPr>
        <w:t>010-85127609 </w:t>
      </w:r>
      <w:r>
        <w:rPr/>
        <w:t>传真：</w:t>
      </w:r>
      <w:r>
        <w:rPr>
          <w:rFonts w:ascii="Times New Roman" w:eastAsia="Times New Roman"/>
        </w:rPr>
        <w:t>010-85127641</w:t>
      </w:r>
    </w:p>
    <w:p>
      <w:pPr>
        <w:pStyle w:val="BodyText"/>
        <w:spacing w:line="269" w:lineRule="exact"/>
      </w:pPr>
      <w:r>
        <w:rPr/>
        <w:t>联系人：韩秀萍</w:t>
      </w:r>
    </w:p>
    <w:p>
      <w:pPr>
        <w:pStyle w:val="BodyText"/>
        <w:spacing w:before="6"/>
        <w:ind w:left="0"/>
        <w:rPr>
          <w:sz w:val="15"/>
        </w:rPr>
      </w:pPr>
    </w:p>
    <w:p>
      <w:pPr>
        <w:pStyle w:val="BodyText"/>
        <w:spacing w:line="417" w:lineRule="auto"/>
        <w:ind w:right="6767"/>
        <w:rPr>
          <w:rFonts w:ascii="Times New Roman" w:eastAsia="Times New Roman"/>
        </w:rPr>
      </w:pPr>
      <w:r>
        <w:rPr/>
        <w:t>网址：</w:t>
      </w:r>
      <w:hyperlink r:id="rId160">
        <w:r>
          <w:rPr>
            <w:rFonts w:ascii="Times New Roman" w:eastAsia="Times New Roman"/>
          </w:rPr>
          <w:t>www.mszq.com </w:t>
        </w:r>
      </w:hyperlink>
      <w:r>
        <w:rPr/>
        <w:t>客户服务电话：</w:t>
      </w:r>
      <w:r>
        <w:rPr>
          <w:rFonts w:ascii="Times New Roman" w:eastAsia="Times New Roman"/>
        </w:rPr>
        <w:t>95376</w:t>
      </w:r>
    </w:p>
    <w:p>
      <w:pPr>
        <w:pStyle w:val="ListParagraph"/>
        <w:numPr>
          <w:ilvl w:val="0"/>
          <w:numId w:val="31"/>
        </w:numPr>
        <w:tabs>
          <w:tab w:pos="1379" w:val="left" w:leader="none"/>
        </w:tabs>
        <w:spacing w:line="417" w:lineRule="auto" w:before="0" w:after="0"/>
        <w:ind w:left="640" w:right="5715" w:firstLine="0"/>
        <w:jc w:val="left"/>
        <w:rPr>
          <w:sz w:val="21"/>
        </w:rPr>
      </w:pPr>
      <w:r>
        <w:rPr>
          <w:spacing w:val="-3"/>
          <w:sz w:val="21"/>
        </w:rPr>
        <w:t>国元证券股份有限公司 住所：安徽省合肥市寿春路</w:t>
      </w:r>
      <w:r>
        <w:rPr>
          <w:rFonts w:ascii="Times New Roman" w:eastAsia="Times New Roman"/>
          <w:sz w:val="21"/>
        </w:rPr>
        <w:t>179</w:t>
      </w:r>
      <w:r>
        <w:rPr>
          <w:spacing w:val="-13"/>
          <w:sz w:val="21"/>
        </w:rPr>
        <w:t>号</w:t>
      </w:r>
    </w:p>
    <w:p>
      <w:pPr>
        <w:pStyle w:val="BodyText"/>
      </w:pPr>
      <w:r>
        <w:rPr/>
        <w:t>办公地址：安徽省合肥市寿春路</w:t>
      </w:r>
      <w:r>
        <w:rPr>
          <w:rFonts w:ascii="Times New Roman" w:eastAsia="Times New Roman"/>
        </w:rPr>
        <w:t>179</w:t>
      </w:r>
      <w:r>
        <w:rPr/>
        <w:t>号</w:t>
      </w:r>
    </w:p>
    <w:p>
      <w:pPr>
        <w:spacing w:after="0"/>
        <w:sectPr>
          <w:pgSz w:w="11910" w:h="16840"/>
          <w:pgMar w:header="705" w:footer="683" w:top="1420" w:bottom="880" w:left="1580" w:right="920"/>
        </w:sectPr>
      </w:pPr>
    </w:p>
    <w:p>
      <w:pPr>
        <w:pStyle w:val="BodyText"/>
        <w:spacing w:line="417" w:lineRule="auto" w:before="110"/>
        <w:ind w:right="6738"/>
        <w:rPr>
          <w:rFonts w:ascii="Times New Roman" w:eastAsia="Times New Roman"/>
        </w:rPr>
      </w:pPr>
      <w:r>
        <w:rPr/>
        <w:t>法定代表人：蔡咏 电话：</w:t>
      </w:r>
      <w:r>
        <w:rPr>
          <w:rFonts w:ascii="Times New Roman" w:eastAsia="Times New Roman"/>
        </w:rPr>
        <w:t>0551-62257012 </w:t>
      </w:r>
      <w:r>
        <w:rPr/>
        <w:t>传真：</w:t>
      </w:r>
      <w:r>
        <w:rPr>
          <w:rFonts w:ascii="Times New Roman" w:eastAsia="Times New Roman"/>
        </w:rPr>
        <w:t>0551-62272100</w:t>
      </w:r>
    </w:p>
    <w:p>
      <w:pPr>
        <w:pStyle w:val="BodyText"/>
        <w:spacing w:line="269" w:lineRule="exact"/>
      </w:pPr>
      <w:r>
        <w:rPr/>
        <w:t>联系人：祝丽萍</w:t>
      </w:r>
    </w:p>
    <w:p>
      <w:pPr>
        <w:pStyle w:val="BodyText"/>
        <w:spacing w:before="6"/>
        <w:ind w:left="0"/>
        <w:rPr>
          <w:sz w:val="15"/>
        </w:rPr>
      </w:pPr>
    </w:p>
    <w:p>
      <w:pPr>
        <w:pStyle w:val="BodyText"/>
        <w:spacing w:line="417" w:lineRule="auto"/>
        <w:ind w:right="6523"/>
        <w:rPr>
          <w:rFonts w:ascii="Times New Roman" w:eastAsia="Times New Roman"/>
        </w:rPr>
      </w:pPr>
      <w:r>
        <w:rPr/>
        <w:t>网址：</w:t>
      </w:r>
      <w:hyperlink r:id="rId161">
        <w:r>
          <w:rPr>
            <w:rFonts w:ascii="Times New Roman" w:eastAsia="Times New Roman"/>
          </w:rPr>
          <w:t>www.gyzq.com.cn </w:t>
        </w:r>
      </w:hyperlink>
      <w:r>
        <w:rPr/>
        <w:t>客户服务电话：</w:t>
      </w:r>
      <w:r>
        <w:rPr>
          <w:rFonts w:ascii="Times New Roman" w:eastAsia="Times New Roman"/>
        </w:rPr>
        <w:t>95578</w:t>
      </w:r>
    </w:p>
    <w:p>
      <w:pPr>
        <w:pStyle w:val="ListParagraph"/>
        <w:numPr>
          <w:ilvl w:val="0"/>
          <w:numId w:val="31"/>
        </w:numPr>
        <w:tabs>
          <w:tab w:pos="1379" w:val="left" w:leader="none"/>
        </w:tabs>
        <w:spacing w:line="269" w:lineRule="exact" w:before="0" w:after="0"/>
        <w:ind w:left="1378" w:right="0" w:hanging="739"/>
        <w:jc w:val="left"/>
        <w:rPr>
          <w:sz w:val="21"/>
        </w:rPr>
      </w:pPr>
      <w:r>
        <w:rPr>
          <w:spacing w:val="-3"/>
          <w:sz w:val="21"/>
        </w:rPr>
        <w:t>渤海证券股份有限公司</w:t>
      </w:r>
    </w:p>
    <w:p>
      <w:pPr>
        <w:pStyle w:val="BodyText"/>
        <w:spacing w:before="8"/>
        <w:ind w:left="0"/>
        <w:rPr>
          <w:sz w:val="15"/>
        </w:rPr>
      </w:pPr>
    </w:p>
    <w:p>
      <w:pPr>
        <w:pStyle w:val="BodyText"/>
        <w:spacing w:line="417" w:lineRule="auto"/>
        <w:ind w:right="3826"/>
      </w:pPr>
      <w:r>
        <w:rPr/>
        <w:t>住所：天津经济技术开发区第二大街</w:t>
      </w:r>
      <w:r>
        <w:rPr>
          <w:rFonts w:ascii="Times New Roman" w:eastAsia="Times New Roman"/>
        </w:rPr>
        <w:t>42</w:t>
      </w:r>
      <w:r>
        <w:rPr/>
        <w:t>号写字楼</w:t>
      </w:r>
      <w:r>
        <w:rPr>
          <w:rFonts w:ascii="Times New Roman" w:eastAsia="Times New Roman"/>
        </w:rPr>
        <w:t>101</w:t>
      </w:r>
      <w:r>
        <w:rPr/>
        <w:t>室办公地址：天津市南开区滨水西道</w:t>
      </w:r>
      <w:r>
        <w:rPr>
          <w:rFonts w:ascii="Times New Roman" w:eastAsia="Times New Roman"/>
        </w:rPr>
        <w:t>8</w:t>
      </w:r>
      <w:r>
        <w:rPr/>
        <w:t>号</w:t>
      </w:r>
    </w:p>
    <w:p>
      <w:pPr>
        <w:pStyle w:val="BodyText"/>
        <w:spacing w:line="417" w:lineRule="auto"/>
        <w:ind w:right="6870"/>
        <w:jc w:val="both"/>
        <w:rPr>
          <w:rFonts w:ascii="Times New Roman" w:eastAsia="Times New Roman"/>
        </w:rPr>
      </w:pPr>
      <w:r>
        <w:rPr/>
        <w:t>法定代表人：王春峰电话：</w:t>
      </w:r>
      <w:r>
        <w:rPr>
          <w:rFonts w:ascii="Times New Roman" w:eastAsia="Times New Roman"/>
        </w:rPr>
        <w:t>022-28451991 </w:t>
      </w:r>
      <w:r>
        <w:rPr/>
        <w:t>传真：</w:t>
      </w:r>
      <w:r>
        <w:rPr>
          <w:rFonts w:ascii="Times New Roman" w:eastAsia="Times New Roman"/>
        </w:rPr>
        <w:t>022-28451892</w:t>
      </w:r>
    </w:p>
    <w:p>
      <w:pPr>
        <w:pStyle w:val="BodyText"/>
        <w:spacing w:line="269" w:lineRule="exact"/>
      </w:pPr>
      <w:r>
        <w:rPr/>
        <w:t>联系人：蔡霆</w:t>
      </w:r>
    </w:p>
    <w:p>
      <w:pPr>
        <w:pStyle w:val="BodyText"/>
        <w:spacing w:before="6"/>
        <w:ind w:left="0"/>
        <w:rPr>
          <w:sz w:val="15"/>
        </w:rPr>
      </w:pPr>
    </w:p>
    <w:p>
      <w:pPr>
        <w:pStyle w:val="BodyText"/>
        <w:rPr>
          <w:rFonts w:ascii="Times New Roman" w:eastAsia="Times New Roman"/>
        </w:rPr>
      </w:pPr>
      <w:r>
        <w:rPr/>
        <w:t>网址：</w:t>
      </w:r>
      <w:hyperlink r:id="rId162">
        <w:r>
          <w:rPr>
            <w:rFonts w:ascii="Times New Roman" w:eastAsia="Times New Roman"/>
          </w:rPr>
          <w:t>www.ewww.com.cn</w:t>
        </w:r>
      </w:hyperlink>
    </w:p>
    <w:p>
      <w:pPr>
        <w:pStyle w:val="BodyText"/>
        <w:spacing w:before="4"/>
        <w:ind w:left="0"/>
        <w:rPr>
          <w:rFonts w:ascii="Times New Roman"/>
          <w:sz w:val="17"/>
        </w:rPr>
      </w:pPr>
    </w:p>
    <w:p>
      <w:pPr>
        <w:pStyle w:val="BodyText"/>
        <w:rPr>
          <w:rFonts w:ascii="Times New Roman" w:eastAsia="Times New Roman"/>
        </w:rPr>
      </w:pPr>
      <w:r>
        <w:rPr>
          <w:spacing w:val="-3"/>
        </w:rPr>
        <w:t>客户服务电话：</w:t>
      </w:r>
      <w:r>
        <w:rPr>
          <w:rFonts w:ascii="Times New Roman" w:eastAsia="Times New Roman"/>
          <w:spacing w:val="-1"/>
        </w:rPr>
        <w:t>400-651-5988</w:t>
      </w:r>
    </w:p>
    <w:p>
      <w:pPr>
        <w:pStyle w:val="BodyText"/>
        <w:spacing w:before="3"/>
        <w:ind w:left="0"/>
        <w:rPr>
          <w:rFonts w:ascii="Times New Roman"/>
          <w:sz w:val="17"/>
        </w:rPr>
      </w:pPr>
    </w:p>
    <w:p>
      <w:pPr>
        <w:pStyle w:val="ListParagraph"/>
        <w:numPr>
          <w:ilvl w:val="0"/>
          <w:numId w:val="31"/>
        </w:numPr>
        <w:tabs>
          <w:tab w:pos="1379" w:val="left" w:leader="none"/>
        </w:tabs>
        <w:spacing w:line="417" w:lineRule="auto" w:before="1" w:after="0"/>
        <w:ind w:left="640" w:right="5926" w:firstLine="0"/>
        <w:jc w:val="left"/>
        <w:rPr>
          <w:sz w:val="21"/>
        </w:rPr>
      </w:pPr>
      <w:r>
        <w:rPr>
          <w:spacing w:val="-4"/>
          <w:sz w:val="21"/>
        </w:rPr>
        <w:t>华泰证券股份有限公司</w:t>
      </w:r>
      <w:r>
        <w:rPr>
          <w:spacing w:val="-3"/>
          <w:sz w:val="21"/>
        </w:rPr>
        <w:t>住所：南京市江东中路</w:t>
      </w:r>
      <w:r>
        <w:rPr>
          <w:rFonts w:ascii="Times New Roman" w:eastAsia="Times New Roman"/>
          <w:sz w:val="21"/>
        </w:rPr>
        <w:t>228</w:t>
      </w:r>
      <w:r>
        <w:rPr>
          <w:sz w:val="21"/>
        </w:rPr>
        <w:t>号</w:t>
      </w:r>
    </w:p>
    <w:p>
      <w:pPr>
        <w:pStyle w:val="BodyText"/>
        <w:spacing w:line="417" w:lineRule="auto"/>
        <w:ind w:right="3826"/>
      </w:pPr>
      <w:r>
        <w:rPr/>
        <w:t>办公地址：南京市建邺区江东中路</w:t>
      </w:r>
      <w:r>
        <w:rPr>
          <w:rFonts w:ascii="Times New Roman" w:eastAsia="Times New Roman"/>
        </w:rPr>
        <w:t>228</w:t>
      </w:r>
      <w:r>
        <w:rPr/>
        <w:t>号华泰证券广场法定代表人：周易</w:t>
      </w:r>
    </w:p>
    <w:p>
      <w:pPr>
        <w:pStyle w:val="BodyText"/>
        <w:spacing w:line="269" w:lineRule="exact"/>
        <w:rPr>
          <w:rFonts w:ascii="Times New Roman" w:eastAsia="Times New Roman"/>
        </w:rPr>
      </w:pPr>
      <w:r>
        <w:rPr/>
        <w:t>电话：</w:t>
      </w:r>
      <w:r>
        <w:rPr>
          <w:rFonts w:ascii="Times New Roman" w:eastAsia="Times New Roman"/>
        </w:rPr>
        <w:t>0755-82492193</w:t>
      </w:r>
    </w:p>
    <w:p>
      <w:pPr>
        <w:pStyle w:val="BodyText"/>
        <w:spacing w:before="2"/>
        <w:ind w:left="0"/>
        <w:rPr>
          <w:rFonts w:ascii="Times New Roman"/>
          <w:sz w:val="17"/>
        </w:rPr>
      </w:pPr>
    </w:p>
    <w:p>
      <w:pPr>
        <w:pStyle w:val="BodyText"/>
        <w:spacing w:line="417" w:lineRule="auto" w:before="1"/>
        <w:ind w:right="5960"/>
      </w:pPr>
      <w:r>
        <w:rPr/>
        <w:t>传真：</w:t>
      </w:r>
      <w:r>
        <w:rPr>
          <w:rFonts w:ascii="Times New Roman" w:eastAsia="Times New Roman"/>
        </w:rPr>
        <w:t>0755-82492962</w:t>
      </w:r>
      <w:r>
        <w:rPr/>
        <w:t>（深圳） 联系人：庞晓芸</w:t>
      </w:r>
    </w:p>
    <w:p>
      <w:pPr>
        <w:pStyle w:val="BodyText"/>
        <w:spacing w:line="417" w:lineRule="auto"/>
        <w:ind w:right="6591"/>
        <w:rPr>
          <w:rFonts w:ascii="Times New Roman" w:eastAsia="Times New Roman"/>
        </w:rPr>
      </w:pPr>
      <w:r>
        <w:rPr/>
        <w:t>网址：</w:t>
      </w:r>
      <w:hyperlink r:id="rId163">
        <w:r>
          <w:rPr>
            <w:rFonts w:ascii="Times New Roman" w:eastAsia="Times New Roman"/>
          </w:rPr>
          <w:t>www.htsc.com.cn </w:t>
        </w:r>
      </w:hyperlink>
      <w:r>
        <w:rPr/>
        <w:t>客户服务电话：</w:t>
      </w:r>
      <w:r>
        <w:rPr>
          <w:rFonts w:ascii="Times New Roman" w:eastAsia="Times New Roman"/>
        </w:rPr>
        <w:t>95597</w:t>
      </w:r>
    </w:p>
    <w:p>
      <w:pPr>
        <w:pStyle w:val="ListParagraph"/>
        <w:numPr>
          <w:ilvl w:val="0"/>
          <w:numId w:val="31"/>
        </w:numPr>
        <w:tabs>
          <w:tab w:pos="1379" w:val="left" w:leader="none"/>
        </w:tabs>
        <w:spacing w:line="269" w:lineRule="exact" w:before="0" w:after="0"/>
        <w:ind w:left="1378" w:right="0" w:hanging="739"/>
        <w:jc w:val="left"/>
        <w:rPr>
          <w:sz w:val="21"/>
        </w:rPr>
      </w:pPr>
      <w:r>
        <w:rPr>
          <w:spacing w:val="-3"/>
          <w:sz w:val="21"/>
        </w:rPr>
        <w:t>山西证券股份有限公司</w:t>
      </w:r>
    </w:p>
    <w:p>
      <w:pPr>
        <w:pStyle w:val="BodyText"/>
        <w:spacing w:before="6"/>
        <w:ind w:left="0"/>
        <w:rPr>
          <w:sz w:val="15"/>
        </w:rPr>
      </w:pPr>
    </w:p>
    <w:p>
      <w:pPr>
        <w:pStyle w:val="BodyText"/>
        <w:spacing w:before="1"/>
      </w:pPr>
      <w:r>
        <w:rPr/>
        <w:t>住所：山西省太原市府西街</w:t>
      </w:r>
      <w:r>
        <w:rPr>
          <w:rFonts w:ascii="Times New Roman" w:eastAsia="Times New Roman"/>
        </w:rPr>
        <w:t>69</w:t>
      </w:r>
      <w:r>
        <w:rPr/>
        <w:t>号山西国贸中心东塔楼</w:t>
      </w:r>
    </w:p>
    <w:p>
      <w:pPr>
        <w:pStyle w:val="BodyText"/>
        <w:spacing w:before="6"/>
        <w:ind w:left="0"/>
        <w:rPr>
          <w:sz w:val="15"/>
        </w:rPr>
      </w:pPr>
    </w:p>
    <w:p>
      <w:pPr>
        <w:pStyle w:val="BodyText"/>
        <w:spacing w:line="417" w:lineRule="auto"/>
        <w:ind w:right="3507"/>
      </w:pPr>
      <w:r>
        <w:rPr/>
        <w:t>办公地址：山西省太原市府西街</w:t>
      </w:r>
      <w:r>
        <w:rPr>
          <w:rFonts w:ascii="Times New Roman" w:eastAsia="Times New Roman"/>
        </w:rPr>
        <w:t>69</w:t>
      </w:r>
      <w:r>
        <w:rPr/>
        <w:t>号山西国贸中心东塔楼法定代表人：侯巍</w:t>
      </w:r>
    </w:p>
    <w:p>
      <w:pPr>
        <w:pStyle w:val="BodyText"/>
        <w:spacing w:line="417" w:lineRule="auto"/>
        <w:ind w:right="6906"/>
        <w:rPr>
          <w:rFonts w:ascii="Times New Roman" w:eastAsia="Times New Roman"/>
        </w:rPr>
      </w:pPr>
      <w:r>
        <w:rPr/>
        <w:t>电话：</w:t>
      </w:r>
      <w:r>
        <w:rPr>
          <w:rFonts w:ascii="Times New Roman" w:eastAsia="Times New Roman"/>
        </w:rPr>
        <w:t>0351-8686703 </w:t>
      </w:r>
      <w:r>
        <w:rPr/>
        <w:t>传真：</w:t>
      </w:r>
      <w:r>
        <w:rPr>
          <w:rFonts w:ascii="Times New Roman" w:eastAsia="Times New Roman"/>
        </w:rPr>
        <w:t>0351-8686619</w:t>
      </w:r>
    </w:p>
    <w:p>
      <w:pPr>
        <w:spacing w:after="0" w:line="417" w:lineRule="auto"/>
        <w:rPr>
          <w:rFonts w:ascii="Times New Roman" w:eastAsia="Times New Roman"/>
        </w:rPr>
        <w:sectPr>
          <w:pgSz w:w="11910" w:h="16840"/>
          <w:pgMar w:header="705" w:footer="683" w:top="1420" w:bottom="880" w:left="1580" w:right="920"/>
        </w:sectPr>
      </w:pPr>
    </w:p>
    <w:p>
      <w:pPr>
        <w:pStyle w:val="BodyText"/>
        <w:spacing w:before="110"/>
      </w:pPr>
      <w:r>
        <w:rPr/>
        <w:t>联系人：张治国</w:t>
      </w:r>
    </w:p>
    <w:p>
      <w:pPr>
        <w:pStyle w:val="BodyText"/>
        <w:spacing w:before="6"/>
        <w:ind w:left="0"/>
        <w:rPr>
          <w:sz w:val="15"/>
        </w:rPr>
      </w:pPr>
    </w:p>
    <w:p>
      <w:pPr>
        <w:pStyle w:val="BodyText"/>
        <w:spacing w:line="417" w:lineRule="auto"/>
        <w:ind w:right="6557"/>
        <w:rPr>
          <w:rFonts w:ascii="Times New Roman" w:eastAsia="Times New Roman"/>
        </w:rPr>
      </w:pPr>
      <w:r>
        <w:rPr/>
        <w:t>网址：</w:t>
      </w:r>
      <w:hyperlink r:id="rId164">
        <w:r>
          <w:rPr>
            <w:rFonts w:ascii="Times New Roman" w:eastAsia="Times New Roman"/>
          </w:rPr>
          <w:t>www.i618.com.cn </w:t>
        </w:r>
      </w:hyperlink>
      <w:r>
        <w:rPr/>
        <w:t>客户服务电话：</w:t>
      </w:r>
      <w:r>
        <w:rPr>
          <w:rFonts w:ascii="Times New Roman" w:eastAsia="Times New Roman"/>
        </w:rPr>
        <w:t>95573</w:t>
      </w:r>
    </w:p>
    <w:p>
      <w:pPr>
        <w:pStyle w:val="ListParagraph"/>
        <w:numPr>
          <w:ilvl w:val="0"/>
          <w:numId w:val="31"/>
        </w:numPr>
        <w:tabs>
          <w:tab w:pos="1379" w:val="left" w:leader="none"/>
        </w:tabs>
        <w:spacing w:line="269" w:lineRule="exact" w:before="0" w:after="0"/>
        <w:ind w:left="1378" w:right="0" w:hanging="739"/>
        <w:jc w:val="left"/>
        <w:rPr>
          <w:sz w:val="21"/>
        </w:rPr>
      </w:pPr>
      <w:r>
        <w:rPr>
          <w:spacing w:val="-3"/>
          <w:sz w:val="21"/>
        </w:rPr>
        <w:t>中信证券（</w:t>
      </w:r>
      <w:r>
        <w:rPr>
          <w:spacing w:val="-2"/>
          <w:sz w:val="21"/>
        </w:rPr>
        <w:t>山东</w:t>
      </w:r>
      <w:r>
        <w:rPr>
          <w:spacing w:val="-3"/>
          <w:sz w:val="21"/>
        </w:rPr>
        <w:t>）</w:t>
      </w:r>
      <w:r>
        <w:rPr>
          <w:spacing w:val="-2"/>
          <w:sz w:val="21"/>
        </w:rPr>
        <w:t>有限责任公司</w:t>
      </w:r>
    </w:p>
    <w:p>
      <w:pPr>
        <w:pStyle w:val="BodyText"/>
        <w:spacing w:before="7"/>
        <w:ind w:left="0"/>
        <w:rPr>
          <w:sz w:val="15"/>
        </w:rPr>
      </w:pPr>
    </w:p>
    <w:p>
      <w:pPr>
        <w:pStyle w:val="BodyText"/>
        <w:rPr>
          <w:rFonts w:ascii="Times New Roman" w:eastAsia="Times New Roman"/>
        </w:rPr>
      </w:pPr>
      <w:r>
        <w:rPr/>
        <w:t>住所：山东省青岛市崂山区深圳路</w:t>
      </w:r>
      <w:r>
        <w:rPr>
          <w:rFonts w:ascii="Times New Roman" w:eastAsia="Times New Roman"/>
        </w:rPr>
        <w:t>222</w:t>
      </w:r>
      <w:r>
        <w:rPr/>
        <w:t>号</w:t>
      </w:r>
      <w:r>
        <w:rPr>
          <w:rFonts w:ascii="Times New Roman" w:eastAsia="Times New Roman"/>
        </w:rPr>
        <w:t>1</w:t>
      </w:r>
      <w:r>
        <w:rPr/>
        <w:t>号楼</w:t>
      </w:r>
      <w:r>
        <w:rPr>
          <w:rFonts w:ascii="Times New Roman" w:eastAsia="Times New Roman"/>
        </w:rPr>
        <w:t>2001</w:t>
      </w:r>
    </w:p>
    <w:p>
      <w:pPr>
        <w:pStyle w:val="BodyText"/>
        <w:spacing w:before="3"/>
        <w:ind w:left="0"/>
        <w:rPr>
          <w:rFonts w:ascii="Times New Roman"/>
          <w:sz w:val="17"/>
        </w:rPr>
      </w:pPr>
    </w:p>
    <w:p>
      <w:pPr>
        <w:pStyle w:val="BodyText"/>
        <w:spacing w:line="417" w:lineRule="auto" w:before="1"/>
        <w:ind w:right="2983"/>
      </w:pPr>
      <w:r>
        <w:rPr/>
        <w:t>办公地址：山东省青岛市市南区东海西路</w:t>
      </w:r>
      <w:r>
        <w:rPr>
          <w:rFonts w:ascii="Times New Roman" w:eastAsia="Times New Roman"/>
        </w:rPr>
        <w:t>28</w:t>
      </w:r>
      <w:r>
        <w:rPr/>
        <w:t>号龙翔广场东座</w:t>
      </w:r>
      <w:r>
        <w:rPr>
          <w:rFonts w:ascii="Times New Roman" w:eastAsia="Times New Roman"/>
        </w:rPr>
        <w:t>5</w:t>
      </w:r>
      <w:r>
        <w:rPr/>
        <w:t>层法定代表人：姜晓林</w:t>
      </w:r>
    </w:p>
    <w:p>
      <w:pPr>
        <w:pStyle w:val="BodyText"/>
        <w:spacing w:line="417" w:lineRule="auto"/>
        <w:ind w:right="6800"/>
        <w:rPr>
          <w:rFonts w:ascii="Times New Roman" w:eastAsia="Times New Roman"/>
        </w:rPr>
      </w:pPr>
      <w:r>
        <w:rPr/>
        <w:t>电话：</w:t>
      </w:r>
      <w:r>
        <w:rPr>
          <w:rFonts w:ascii="Times New Roman" w:eastAsia="Times New Roman"/>
        </w:rPr>
        <w:t>0531-89606165 </w:t>
      </w:r>
      <w:r>
        <w:rPr/>
        <w:t>传真：</w:t>
      </w:r>
      <w:r>
        <w:rPr>
          <w:rFonts w:ascii="Times New Roman" w:eastAsia="Times New Roman"/>
        </w:rPr>
        <w:t>0532-85022605</w:t>
      </w:r>
    </w:p>
    <w:p>
      <w:pPr>
        <w:pStyle w:val="BodyText"/>
        <w:spacing w:line="269" w:lineRule="exact"/>
      </w:pPr>
      <w:r>
        <w:rPr/>
        <w:t>联系人：刘晓明</w:t>
      </w:r>
    </w:p>
    <w:p>
      <w:pPr>
        <w:pStyle w:val="BodyText"/>
        <w:spacing w:before="6"/>
        <w:ind w:left="0"/>
        <w:rPr>
          <w:sz w:val="15"/>
        </w:rPr>
      </w:pPr>
    </w:p>
    <w:p>
      <w:pPr>
        <w:pStyle w:val="BodyText"/>
        <w:spacing w:line="417" w:lineRule="auto" w:before="1"/>
        <w:ind w:right="6535"/>
        <w:rPr>
          <w:rFonts w:ascii="Times New Roman" w:eastAsia="Times New Roman"/>
        </w:rPr>
      </w:pPr>
      <w:r>
        <w:rPr/>
        <w:t>网址：</w:t>
      </w:r>
      <w:hyperlink r:id="rId165">
        <w:r>
          <w:rPr>
            <w:rFonts w:ascii="Times New Roman" w:eastAsia="Times New Roman"/>
          </w:rPr>
          <w:t>http://sd.citics.com </w:t>
        </w:r>
      </w:hyperlink>
      <w:r>
        <w:rPr/>
        <w:t>客户服务电话：</w:t>
      </w:r>
      <w:r>
        <w:rPr>
          <w:rFonts w:ascii="Times New Roman" w:eastAsia="Times New Roman"/>
        </w:rPr>
        <w:t>95548</w:t>
      </w:r>
    </w:p>
    <w:p>
      <w:pPr>
        <w:pStyle w:val="ListParagraph"/>
        <w:numPr>
          <w:ilvl w:val="0"/>
          <w:numId w:val="31"/>
        </w:numPr>
        <w:tabs>
          <w:tab w:pos="1379" w:val="left" w:leader="none"/>
        </w:tabs>
        <w:spacing w:line="269" w:lineRule="exact" w:before="0" w:after="0"/>
        <w:ind w:left="1378" w:right="0" w:hanging="739"/>
        <w:jc w:val="left"/>
        <w:rPr>
          <w:sz w:val="21"/>
        </w:rPr>
      </w:pPr>
      <w:r>
        <w:rPr>
          <w:spacing w:val="-3"/>
          <w:sz w:val="21"/>
        </w:rPr>
        <w:t>东兴证券股份有限公司</w:t>
      </w:r>
    </w:p>
    <w:p>
      <w:pPr>
        <w:pStyle w:val="BodyText"/>
        <w:spacing w:before="6"/>
        <w:ind w:left="0"/>
        <w:rPr>
          <w:sz w:val="15"/>
        </w:rPr>
      </w:pPr>
    </w:p>
    <w:p>
      <w:pPr>
        <w:pStyle w:val="BodyText"/>
      </w:pPr>
      <w:r>
        <w:rPr/>
        <w:t>住所：北京市西城区金融大街</w:t>
      </w:r>
      <w:r>
        <w:rPr>
          <w:rFonts w:ascii="Times New Roman" w:eastAsia="Times New Roman"/>
        </w:rPr>
        <w:t>5</w:t>
      </w:r>
      <w:r>
        <w:rPr/>
        <w:t>号新盛大厦</w:t>
      </w:r>
      <w:r>
        <w:rPr>
          <w:rFonts w:ascii="Times New Roman" w:eastAsia="Times New Roman"/>
        </w:rPr>
        <w:t>B</w:t>
      </w:r>
      <w:r>
        <w:rPr/>
        <w:t>座</w:t>
      </w:r>
      <w:r>
        <w:rPr>
          <w:rFonts w:ascii="Times New Roman" w:eastAsia="Times New Roman"/>
        </w:rPr>
        <w:t>12-15</w:t>
      </w:r>
      <w:r>
        <w:rPr/>
        <w:t>层</w:t>
      </w:r>
    </w:p>
    <w:p>
      <w:pPr>
        <w:pStyle w:val="BodyText"/>
        <w:spacing w:before="7"/>
        <w:ind w:left="0"/>
        <w:rPr>
          <w:sz w:val="15"/>
        </w:rPr>
      </w:pPr>
    </w:p>
    <w:p>
      <w:pPr>
        <w:pStyle w:val="BodyText"/>
        <w:spacing w:line="417" w:lineRule="auto" w:before="1"/>
        <w:ind w:right="3406"/>
      </w:pPr>
      <w:r>
        <w:rPr/>
        <w:t>办公地址：北京市西城区金融大街</w:t>
      </w:r>
      <w:r>
        <w:rPr>
          <w:rFonts w:ascii="Times New Roman" w:eastAsia="Times New Roman"/>
        </w:rPr>
        <w:t>5</w:t>
      </w:r>
      <w:r>
        <w:rPr/>
        <w:t>号新盛大厦</w:t>
      </w:r>
      <w:r>
        <w:rPr>
          <w:rFonts w:ascii="Times New Roman" w:eastAsia="Times New Roman"/>
        </w:rPr>
        <w:t>B</w:t>
      </w:r>
      <w:r>
        <w:rPr/>
        <w:t>座</w:t>
      </w:r>
      <w:r>
        <w:rPr>
          <w:rFonts w:ascii="Times New Roman" w:eastAsia="Times New Roman"/>
        </w:rPr>
        <w:t>12-15</w:t>
      </w:r>
      <w:r>
        <w:rPr/>
        <w:t>层法定代表人：魏庆华</w:t>
      </w:r>
    </w:p>
    <w:p>
      <w:pPr>
        <w:pStyle w:val="BodyText"/>
        <w:spacing w:line="417" w:lineRule="auto"/>
        <w:ind w:right="6906"/>
        <w:rPr>
          <w:rFonts w:ascii="Times New Roman" w:eastAsia="Times New Roman"/>
        </w:rPr>
      </w:pPr>
      <w:r>
        <w:rPr/>
        <w:t>电话：</w:t>
      </w:r>
      <w:r>
        <w:rPr>
          <w:rFonts w:ascii="Times New Roman" w:eastAsia="Times New Roman"/>
        </w:rPr>
        <w:t>010-66555316 </w:t>
      </w:r>
      <w:r>
        <w:rPr/>
        <w:t>传真：</w:t>
      </w:r>
      <w:r>
        <w:rPr>
          <w:rFonts w:ascii="Times New Roman" w:eastAsia="Times New Roman"/>
        </w:rPr>
        <w:t>010-66555246</w:t>
      </w:r>
    </w:p>
    <w:p>
      <w:pPr>
        <w:pStyle w:val="BodyText"/>
        <w:spacing w:line="269" w:lineRule="exact"/>
      </w:pPr>
      <w:r>
        <w:rPr/>
        <w:t>联系人：汤漫川</w:t>
      </w:r>
    </w:p>
    <w:p>
      <w:pPr>
        <w:pStyle w:val="BodyText"/>
        <w:spacing w:before="6"/>
        <w:ind w:left="0"/>
        <w:rPr>
          <w:sz w:val="15"/>
        </w:rPr>
      </w:pPr>
    </w:p>
    <w:p>
      <w:pPr>
        <w:pStyle w:val="BodyText"/>
        <w:spacing w:line="417" w:lineRule="auto"/>
        <w:ind w:right="6626"/>
        <w:rPr>
          <w:rFonts w:ascii="Times New Roman" w:eastAsia="Times New Roman"/>
        </w:rPr>
      </w:pPr>
      <w:r>
        <w:rPr/>
        <w:t>网址：</w:t>
      </w:r>
      <w:hyperlink r:id="rId166">
        <w:r>
          <w:rPr>
            <w:rFonts w:ascii="Times New Roman" w:eastAsia="Times New Roman"/>
          </w:rPr>
          <w:t>www.dxzq.net.cn </w:t>
        </w:r>
      </w:hyperlink>
      <w:r>
        <w:rPr/>
        <w:t>客户服务电话：</w:t>
      </w:r>
      <w:r>
        <w:rPr>
          <w:rFonts w:ascii="Times New Roman" w:eastAsia="Times New Roman"/>
        </w:rPr>
        <w:t>95309</w:t>
      </w:r>
    </w:p>
    <w:p>
      <w:pPr>
        <w:pStyle w:val="ListParagraph"/>
        <w:numPr>
          <w:ilvl w:val="0"/>
          <w:numId w:val="31"/>
        </w:numPr>
        <w:tabs>
          <w:tab w:pos="1379" w:val="left" w:leader="none"/>
        </w:tabs>
        <w:spacing w:line="417" w:lineRule="auto" w:before="0" w:after="0"/>
        <w:ind w:left="640" w:right="5715" w:firstLine="0"/>
        <w:jc w:val="left"/>
        <w:rPr>
          <w:sz w:val="21"/>
        </w:rPr>
      </w:pPr>
      <w:r>
        <w:rPr>
          <w:spacing w:val="-3"/>
          <w:sz w:val="21"/>
        </w:rPr>
        <w:t>东吴证券股份有限公司 住所：苏州工业园区翠园路</w:t>
      </w:r>
      <w:r>
        <w:rPr>
          <w:rFonts w:ascii="Times New Roman" w:eastAsia="Times New Roman"/>
          <w:sz w:val="21"/>
        </w:rPr>
        <w:t>181</w:t>
      </w:r>
      <w:r>
        <w:rPr>
          <w:spacing w:val="-13"/>
          <w:sz w:val="21"/>
        </w:rPr>
        <w:t>号</w:t>
      </w:r>
    </w:p>
    <w:p>
      <w:pPr>
        <w:pStyle w:val="BodyText"/>
        <w:spacing w:line="417" w:lineRule="auto"/>
        <w:ind w:right="5504"/>
      </w:pPr>
      <w:r>
        <w:rPr/>
        <w:t>办公地址：苏州工业园区星阳街</w:t>
      </w:r>
      <w:r>
        <w:rPr>
          <w:rFonts w:ascii="Times New Roman" w:eastAsia="Times New Roman"/>
        </w:rPr>
        <w:t>5</w:t>
      </w:r>
      <w:r>
        <w:rPr/>
        <w:t>号法定代表人：范力</w:t>
      </w:r>
    </w:p>
    <w:p>
      <w:pPr>
        <w:pStyle w:val="BodyText"/>
        <w:spacing w:line="417" w:lineRule="auto"/>
        <w:ind w:right="6800"/>
        <w:rPr>
          <w:rFonts w:ascii="Times New Roman" w:eastAsia="Times New Roman"/>
        </w:rPr>
      </w:pPr>
      <w:r>
        <w:rPr/>
        <w:t>电话：</w:t>
      </w:r>
      <w:r>
        <w:rPr>
          <w:rFonts w:ascii="Times New Roman" w:eastAsia="Times New Roman"/>
        </w:rPr>
        <w:t>0512-65581136 </w:t>
      </w:r>
      <w:r>
        <w:rPr/>
        <w:t>传真：</w:t>
      </w:r>
      <w:r>
        <w:rPr>
          <w:rFonts w:ascii="Times New Roman" w:eastAsia="Times New Roman"/>
        </w:rPr>
        <w:t>0512-65588021</w:t>
      </w:r>
    </w:p>
    <w:p>
      <w:pPr>
        <w:pStyle w:val="BodyText"/>
        <w:spacing w:line="269" w:lineRule="exact"/>
      </w:pPr>
      <w:r>
        <w:rPr/>
        <w:t>联系人：方晓丹</w:t>
      </w:r>
    </w:p>
    <w:p>
      <w:pPr>
        <w:pStyle w:val="BodyText"/>
        <w:spacing w:before="7"/>
        <w:ind w:left="0"/>
        <w:rPr>
          <w:sz w:val="15"/>
        </w:rPr>
      </w:pPr>
    </w:p>
    <w:p>
      <w:pPr>
        <w:pStyle w:val="BodyText"/>
        <w:spacing w:line="417" w:lineRule="auto"/>
        <w:ind w:right="6475"/>
        <w:rPr>
          <w:rFonts w:ascii="Times New Roman" w:eastAsia="Times New Roman"/>
        </w:rPr>
      </w:pPr>
      <w:r>
        <w:rPr/>
        <w:t>网址：</w:t>
      </w:r>
      <w:hyperlink r:id="rId167">
        <w:r>
          <w:rPr>
            <w:rFonts w:ascii="Times New Roman" w:eastAsia="Times New Roman"/>
          </w:rPr>
          <w:t>www.dwzq.com.cn </w:t>
        </w:r>
      </w:hyperlink>
      <w:r>
        <w:rPr/>
        <w:t>客户服务电话：</w:t>
      </w:r>
      <w:r>
        <w:rPr>
          <w:rFonts w:ascii="Times New Roman" w:eastAsia="Times New Roman"/>
        </w:rPr>
        <w:t>95330</w:t>
      </w:r>
    </w:p>
    <w:p>
      <w:pPr>
        <w:spacing w:after="0" w:line="417" w:lineRule="auto"/>
        <w:rPr>
          <w:rFonts w:ascii="Times New Roman" w:eastAsia="Times New Roman"/>
        </w:rPr>
        <w:sectPr>
          <w:pgSz w:w="11910" w:h="16840"/>
          <w:pgMar w:header="705" w:footer="683" w:top="1420" w:bottom="880" w:left="1580" w:right="920"/>
        </w:sectPr>
      </w:pPr>
    </w:p>
    <w:p>
      <w:pPr>
        <w:pStyle w:val="ListParagraph"/>
        <w:numPr>
          <w:ilvl w:val="0"/>
          <w:numId w:val="31"/>
        </w:numPr>
        <w:tabs>
          <w:tab w:pos="1379" w:val="left" w:leader="none"/>
        </w:tabs>
        <w:spacing w:line="240" w:lineRule="auto" w:before="110" w:after="0"/>
        <w:ind w:left="1378" w:right="0" w:hanging="739"/>
        <w:jc w:val="left"/>
        <w:rPr>
          <w:sz w:val="21"/>
        </w:rPr>
      </w:pPr>
      <w:r>
        <w:rPr>
          <w:spacing w:val="-3"/>
          <w:sz w:val="21"/>
        </w:rPr>
        <w:t>信达证券股份有限公司</w:t>
      </w:r>
    </w:p>
    <w:p>
      <w:pPr>
        <w:pStyle w:val="BodyText"/>
        <w:spacing w:before="6"/>
        <w:ind w:left="0"/>
        <w:rPr>
          <w:sz w:val="15"/>
        </w:rPr>
      </w:pPr>
    </w:p>
    <w:p>
      <w:pPr>
        <w:pStyle w:val="BodyText"/>
      </w:pPr>
      <w:r>
        <w:rPr/>
        <w:t>住所：北京市西城区闹市口大街</w:t>
      </w:r>
      <w:r>
        <w:rPr>
          <w:rFonts w:ascii="Times New Roman" w:eastAsia="Times New Roman"/>
        </w:rPr>
        <w:t>9</w:t>
      </w:r>
      <w:r>
        <w:rPr/>
        <w:t>号院</w:t>
      </w:r>
      <w:r>
        <w:rPr>
          <w:rFonts w:ascii="Times New Roman" w:eastAsia="Times New Roman"/>
        </w:rPr>
        <w:t>1</w:t>
      </w:r>
      <w:r>
        <w:rPr/>
        <w:t>号楼</w:t>
      </w:r>
    </w:p>
    <w:p>
      <w:pPr>
        <w:pStyle w:val="BodyText"/>
        <w:spacing w:before="7"/>
        <w:ind w:left="0"/>
        <w:rPr>
          <w:sz w:val="15"/>
        </w:rPr>
      </w:pPr>
    </w:p>
    <w:p>
      <w:pPr>
        <w:pStyle w:val="BodyText"/>
        <w:spacing w:line="417" w:lineRule="auto"/>
        <w:ind w:right="4352"/>
      </w:pPr>
      <w:r>
        <w:rPr/>
        <w:t>办公地址：北京市西城区闹市口大街</w:t>
      </w:r>
      <w:r>
        <w:rPr>
          <w:rFonts w:ascii="Times New Roman" w:eastAsia="Times New Roman"/>
        </w:rPr>
        <w:t>9</w:t>
      </w:r>
      <w:r>
        <w:rPr/>
        <w:t>号院</w:t>
      </w:r>
      <w:r>
        <w:rPr>
          <w:rFonts w:ascii="Times New Roman" w:eastAsia="Times New Roman"/>
        </w:rPr>
        <w:t>1</w:t>
      </w:r>
      <w:r>
        <w:rPr/>
        <w:t>号楼法定代表人：肖林</w:t>
      </w:r>
    </w:p>
    <w:p>
      <w:pPr>
        <w:pStyle w:val="BodyText"/>
        <w:spacing w:line="417" w:lineRule="auto"/>
        <w:ind w:right="6906"/>
        <w:rPr>
          <w:rFonts w:ascii="Times New Roman" w:eastAsia="Times New Roman"/>
        </w:rPr>
      </w:pPr>
      <w:r>
        <w:rPr/>
        <w:t>电话：</w:t>
      </w:r>
      <w:r>
        <w:rPr>
          <w:rFonts w:ascii="Times New Roman" w:eastAsia="Times New Roman"/>
        </w:rPr>
        <w:t>010-83252185 </w:t>
      </w:r>
      <w:r>
        <w:rPr/>
        <w:t>传真：</w:t>
      </w:r>
      <w:r>
        <w:rPr>
          <w:rFonts w:ascii="Times New Roman" w:eastAsia="Times New Roman"/>
        </w:rPr>
        <w:t>010-63080978</w:t>
      </w:r>
    </w:p>
    <w:p>
      <w:pPr>
        <w:pStyle w:val="BodyText"/>
        <w:spacing w:line="269" w:lineRule="exact"/>
      </w:pPr>
      <w:r>
        <w:rPr/>
        <w:t>联系人：付婷</w:t>
      </w:r>
    </w:p>
    <w:p>
      <w:pPr>
        <w:pStyle w:val="BodyText"/>
        <w:spacing w:before="7"/>
        <w:ind w:left="0"/>
        <w:rPr>
          <w:sz w:val="15"/>
        </w:rPr>
      </w:pPr>
    </w:p>
    <w:p>
      <w:pPr>
        <w:pStyle w:val="BodyText"/>
        <w:spacing w:line="417" w:lineRule="auto"/>
        <w:ind w:right="6550"/>
        <w:rPr>
          <w:rFonts w:ascii="Times New Roman" w:eastAsia="Times New Roman"/>
        </w:rPr>
      </w:pPr>
      <w:r>
        <w:rPr/>
        <w:t>网址：</w:t>
      </w:r>
      <w:hyperlink r:id="rId168">
        <w:r>
          <w:rPr>
            <w:rFonts w:ascii="Times New Roman" w:eastAsia="Times New Roman"/>
          </w:rPr>
          <w:t>www.cindasc.com </w:t>
        </w:r>
      </w:hyperlink>
      <w:r>
        <w:rPr/>
        <w:t>客户服务电话：</w:t>
      </w:r>
      <w:r>
        <w:rPr>
          <w:rFonts w:ascii="Times New Roman" w:eastAsia="Times New Roman"/>
        </w:rPr>
        <w:t>95321</w:t>
      </w:r>
    </w:p>
    <w:p>
      <w:pPr>
        <w:pStyle w:val="ListParagraph"/>
        <w:numPr>
          <w:ilvl w:val="0"/>
          <w:numId w:val="31"/>
        </w:numPr>
        <w:tabs>
          <w:tab w:pos="1379" w:val="left" w:leader="none"/>
        </w:tabs>
        <w:spacing w:line="269" w:lineRule="exact" w:before="0" w:after="0"/>
        <w:ind w:left="1378" w:right="0" w:hanging="739"/>
        <w:jc w:val="left"/>
        <w:rPr>
          <w:sz w:val="21"/>
        </w:rPr>
      </w:pPr>
      <w:r>
        <w:rPr>
          <w:spacing w:val="-3"/>
          <w:sz w:val="21"/>
        </w:rPr>
        <w:t>方正证券股份有限公司</w:t>
      </w:r>
    </w:p>
    <w:p>
      <w:pPr>
        <w:pStyle w:val="BodyText"/>
        <w:spacing w:before="7"/>
        <w:ind w:left="0"/>
        <w:rPr>
          <w:sz w:val="15"/>
        </w:rPr>
      </w:pPr>
    </w:p>
    <w:p>
      <w:pPr>
        <w:pStyle w:val="BodyText"/>
      </w:pPr>
      <w:r>
        <w:rPr/>
        <w:t>住所：湖南省长沙市芙蓉中路二段华侨国际大厦</w:t>
      </w:r>
      <w:r>
        <w:rPr>
          <w:rFonts w:ascii="Times New Roman" w:eastAsia="Times New Roman"/>
        </w:rPr>
        <w:t>22-24</w:t>
      </w:r>
      <w:r>
        <w:rPr/>
        <w:t>层</w:t>
      </w:r>
    </w:p>
    <w:p>
      <w:pPr>
        <w:pStyle w:val="BodyText"/>
        <w:spacing w:before="7"/>
        <w:ind w:left="0"/>
        <w:rPr>
          <w:sz w:val="15"/>
        </w:rPr>
      </w:pPr>
    </w:p>
    <w:p>
      <w:pPr>
        <w:pStyle w:val="BodyText"/>
        <w:spacing w:line="417" w:lineRule="auto"/>
        <w:ind w:right="3228"/>
      </w:pPr>
      <w:r>
        <w:rPr/>
        <w:t>办公地址：湖南省长沙市芙蓉中路二段华侨国际大厦</w:t>
      </w:r>
      <w:r>
        <w:rPr>
          <w:rFonts w:ascii="Times New Roman" w:eastAsia="Times New Roman"/>
        </w:rPr>
        <w:t>22-24</w:t>
      </w:r>
      <w:r>
        <w:rPr/>
        <w:t>层法定代表人：雷杰</w:t>
      </w:r>
    </w:p>
    <w:p>
      <w:pPr>
        <w:pStyle w:val="BodyText"/>
        <w:spacing w:line="417" w:lineRule="auto"/>
        <w:ind w:right="6800"/>
        <w:rPr>
          <w:rFonts w:ascii="Times New Roman" w:eastAsia="Times New Roman"/>
        </w:rPr>
      </w:pPr>
      <w:r>
        <w:rPr/>
        <w:t>电话：</w:t>
      </w:r>
      <w:r>
        <w:rPr>
          <w:rFonts w:ascii="Times New Roman" w:eastAsia="Times New Roman"/>
        </w:rPr>
        <w:t>0731-85832503 </w:t>
      </w:r>
      <w:r>
        <w:rPr/>
        <w:t>传真：</w:t>
      </w:r>
      <w:r>
        <w:rPr>
          <w:rFonts w:ascii="Times New Roman" w:eastAsia="Times New Roman"/>
        </w:rPr>
        <w:t>0731-85832214</w:t>
      </w:r>
    </w:p>
    <w:p>
      <w:pPr>
        <w:pStyle w:val="BodyText"/>
      </w:pPr>
      <w:r>
        <w:rPr/>
        <w:t>联系人：郭军瑞</w:t>
      </w:r>
    </w:p>
    <w:p>
      <w:pPr>
        <w:pStyle w:val="BodyText"/>
        <w:spacing w:before="6"/>
        <w:ind w:left="0"/>
        <w:rPr>
          <w:sz w:val="15"/>
        </w:rPr>
      </w:pPr>
    </w:p>
    <w:p>
      <w:pPr>
        <w:pStyle w:val="BodyText"/>
        <w:spacing w:line="417" w:lineRule="auto"/>
        <w:ind w:right="6351"/>
        <w:rPr>
          <w:rFonts w:ascii="Times New Roman" w:eastAsia="Times New Roman"/>
        </w:rPr>
      </w:pPr>
      <w:r>
        <w:rPr/>
        <w:t>网址：</w:t>
      </w:r>
      <w:hyperlink r:id="rId169">
        <w:r>
          <w:rPr>
            <w:rFonts w:ascii="Times New Roman" w:eastAsia="Times New Roman"/>
          </w:rPr>
          <w:t>www.foundersc.com </w:t>
        </w:r>
      </w:hyperlink>
      <w:r>
        <w:rPr/>
        <w:t>客户服务电话：</w:t>
      </w:r>
      <w:r>
        <w:rPr>
          <w:rFonts w:ascii="Times New Roman" w:eastAsia="Times New Roman"/>
        </w:rPr>
        <w:t>95571</w:t>
      </w:r>
    </w:p>
    <w:p>
      <w:pPr>
        <w:pStyle w:val="ListParagraph"/>
        <w:numPr>
          <w:ilvl w:val="0"/>
          <w:numId w:val="31"/>
        </w:numPr>
        <w:tabs>
          <w:tab w:pos="1379" w:val="left" w:leader="none"/>
        </w:tabs>
        <w:spacing w:line="269" w:lineRule="exact" w:before="0" w:after="0"/>
        <w:ind w:left="1378" w:right="0" w:hanging="739"/>
        <w:jc w:val="left"/>
        <w:rPr>
          <w:sz w:val="21"/>
        </w:rPr>
      </w:pPr>
      <w:r>
        <w:rPr>
          <w:spacing w:val="-3"/>
          <w:sz w:val="21"/>
        </w:rPr>
        <w:t>长城证券股份有限公司</w:t>
      </w:r>
    </w:p>
    <w:p>
      <w:pPr>
        <w:pStyle w:val="BodyText"/>
        <w:spacing w:before="7"/>
        <w:ind w:left="0"/>
        <w:rPr>
          <w:sz w:val="15"/>
        </w:rPr>
      </w:pPr>
    </w:p>
    <w:p>
      <w:pPr>
        <w:pStyle w:val="BodyText"/>
      </w:pPr>
      <w:r>
        <w:rPr/>
        <w:t>住所：深圳市福田区福田街道金田路</w:t>
      </w:r>
      <w:r>
        <w:rPr>
          <w:rFonts w:ascii="Times New Roman" w:eastAsia="Times New Roman"/>
        </w:rPr>
        <w:t>2026</w:t>
      </w:r>
      <w:r>
        <w:rPr/>
        <w:t>号能源大厦南塔楼</w:t>
      </w:r>
      <w:r>
        <w:rPr>
          <w:rFonts w:ascii="Times New Roman" w:eastAsia="Times New Roman"/>
        </w:rPr>
        <w:t>10-19</w:t>
      </w:r>
      <w:r>
        <w:rPr/>
        <w:t>层</w:t>
      </w:r>
    </w:p>
    <w:p>
      <w:pPr>
        <w:pStyle w:val="BodyText"/>
        <w:spacing w:before="6"/>
        <w:ind w:left="0"/>
        <w:rPr>
          <w:sz w:val="15"/>
        </w:rPr>
      </w:pPr>
    </w:p>
    <w:p>
      <w:pPr>
        <w:pStyle w:val="BodyText"/>
        <w:spacing w:line="417" w:lineRule="auto" w:before="1"/>
        <w:ind w:right="2177"/>
      </w:pPr>
      <w:r>
        <w:rPr/>
        <w:t>办公地址：深圳市福田区福田街道金田路</w:t>
      </w:r>
      <w:r>
        <w:rPr>
          <w:rFonts w:ascii="Times New Roman" w:eastAsia="Times New Roman"/>
        </w:rPr>
        <w:t>2026</w:t>
      </w:r>
      <w:r>
        <w:rPr/>
        <w:t>号能源大厦南塔楼</w:t>
      </w:r>
      <w:r>
        <w:rPr>
          <w:rFonts w:ascii="Times New Roman" w:eastAsia="Times New Roman"/>
        </w:rPr>
        <w:t>10-19</w:t>
      </w:r>
      <w:r>
        <w:rPr/>
        <w:t>层法定代表人：曹宏</w:t>
      </w:r>
    </w:p>
    <w:p>
      <w:pPr>
        <w:pStyle w:val="BodyText"/>
        <w:spacing w:line="417" w:lineRule="auto"/>
        <w:ind w:right="6800"/>
        <w:rPr>
          <w:rFonts w:ascii="Times New Roman" w:eastAsia="Times New Roman"/>
        </w:rPr>
      </w:pPr>
      <w:r>
        <w:rPr/>
        <w:t>电话：</w:t>
      </w:r>
      <w:r>
        <w:rPr>
          <w:rFonts w:ascii="Times New Roman" w:eastAsia="Times New Roman"/>
        </w:rPr>
        <w:t>0755-83530715 </w:t>
      </w:r>
      <w:r>
        <w:rPr/>
        <w:t>传真：</w:t>
      </w:r>
      <w:r>
        <w:rPr>
          <w:rFonts w:ascii="Times New Roman" w:eastAsia="Times New Roman"/>
        </w:rPr>
        <w:t>0755-83515567</w:t>
      </w:r>
    </w:p>
    <w:p>
      <w:pPr>
        <w:pStyle w:val="BodyText"/>
        <w:spacing w:line="269" w:lineRule="exact"/>
      </w:pPr>
      <w:r>
        <w:rPr/>
        <w:t>联系人：梁浩</w:t>
      </w:r>
    </w:p>
    <w:p>
      <w:pPr>
        <w:pStyle w:val="BodyText"/>
        <w:spacing w:before="7"/>
        <w:ind w:left="0"/>
        <w:rPr>
          <w:sz w:val="15"/>
        </w:rPr>
      </w:pPr>
    </w:p>
    <w:p>
      <w:pPr>
        <w:pStyle w:val="BodyText"/>
        <w:spacing w:line="417" w:lineRule="auto"/>
        <w:ind w:right="6767"/>
        <w:rPr>
          <w:rFonts w:ascii="Times New Roman" w:eastAsia="Times New Roman"/>
        </w:rPr>
      </w:pPr>
      <w:r>
        <w:rPr/>
        <w:t>网址：</w:t>
      </w:r>
      <w:hyperlink r:id="rId170">
        <w:r>
          <w:rPr>
            <w:rFonts w:ascii="Times New Roman" w:eastAsia="Times New Roman"/>
          </w:rPr>
          <w:t>www.cgws.com </w:t>
        </w:r>
      </w:hyperlink>
      <w:r>
        <w:rPr/>
        <w:t>客户服务电话：</w:t>
      </w:r>
      <w:r>
        <w:rPr>
          <w:rFonts w:ascii="Times New Roman" w:eastAsia="Times New Roman"/>
        </w:rPr>
        <w:t>95514</w:t>
      </w:r>
    </w:p>
    <w:p>
      <w:pPr>
        <w:pStyle w:val="ListParagraph"/>
        <w:numPr>
          <w:ilvl w:val="0"/>
          <w:numId w:val="31"/>
        </w:numPr>
        <w:tabs>
          <w:tab w:pos="1379" w:val="left" w:leader="none"/>
        </w:tabs>
        <w:spacing w:line="269" w:lineRule="exact" w:before="0" w:after="0"/>
        <w:ind w:left="1378" w:right="0" w:hanging="739"/>
        <w:jc w:val="left"/>
        <w:rPr>
          <w:sz w:val="21"/>
        </w:rPr>
      </w:pPr>
      <w:r>
        <w:rPr>
          <w:spacing w:val="-3"/>
          <w:sz w:val="21"/>
        </w:rPr>
        <w:t>光大证券股份有限公司</w:t>
      </w:r>
    </w:p>
    <w:p>
      <w:pPr>
        <w:pStyle w:val="BodyText"/>
        <w:spacing w:before="7"/>
        <w:ind w:left="0"/>
        <w:rPr>
          <w:sz w:val="15"/>
        </w:rPr>
      </w:pPr>
    </w:p>
    <w:p>
      <w:pPr>
        <w:pStyle w:val="BodyText"/>
      </w:pPr>
      <w:r>
        <w:rPr/>
        <w:t>住所：上海市静安区新闸路</w:t>
      </w:r>
      <w:r>
        <w:rPr>
          <w:rFonts w:ascii="Times New Roman" w:eastAsia="Times New Roman"/>
        </w:rPr>
        <w:t>1508</w:t>
      </w:r>
      <w:r>
        <w:rPr/>
        <w:t>号</w:t>
      </w:r>
    </w:p>
    <w:p>
      <w:pPr>
        <w:pStyle w:val="BodyText"/>
        <w:spacing w:before="6"/>
        <w:ind w:left="0"/>
        <w:rPr>
          <w:sz w:val="15"/>
        </w:rPr>
      </w:pPr>
    </w:p>
    <w:p>
      <w:pPr>
        <w:pStyle w:val="BodyText"/>
        <w:spacing w:before="1"/>
      </w:pPr>
      <w:r>
        <w:rPr/>
        <w:t>办公地址：上海市静安区新闸路</w:t>
      </w:r>
      <w:r>
        <w:rPr>
          <w:rFonts w:ascii="Times New Roman" w:eastAsia="Times New Roman"/>
        </w:rPr>
        <w:t>1508</w:t>
      </w:r>
      <w:r>
        <w:rPr/>
        <w:t>号</w:t>
      </w:r>
    </w:p>
    <w:p>
      <w:pPr>
        <w:spacing w:after="0"/>
        <w:sectPr>
          <w:pgSz w:w="11910" w:h="16840"/>
          <w:pgMar w:header="705" w:footer="683" w:top="1420" w:bottom="880" w:left="1580" w:right="920"/>
        </w:sectPr>
      </w:pPr>
    </w:p>
    <w:p>
      <w:pPr>
        <w:pStyle w:val="BodyText"/>
        <w:spacing w:line="417" w:lineRule="auto" w:before="110"/>
        <w:ind w:right="6844"/>
        <w:rPr>
          <w:rFonts w:ascii="Times New Roman" w:eastAsia="Times New Roman"/>
        </w:rPr>
      </w:pPr>
      <w:r>
        <w:rPr/>
        <w:t>法定代表人：薛峰电话：</w:t>
      </w:r>
      <w:r>
        <w:rPr>
          <w:rFonts w:ascii="Times New Roman" w:eastAsia="Times New Roman"/>
        </w:rPr>
        <w:t>021-22169081 </w:t>
      </w:r>
      <w:r>
        <w:rPr/>
        <w:t>传真：</w:t>
      </w:r>
      <w:r>
        <w:rPr>
          <w:rFonts w:ascii="Times New Roman" w:eastAsia="Times New Roman"/>
        </w:rPr>
        <w:t>021-22169134</w:t>
      </w:r>
    </w:p>
    <w:p>
      <w:pPr>
        <w:pStyle w:val="BodyText"/>
        <w:spacing w:line="269" w:lineRule="exact"/>
      </w:pPr>
      <w:r>
        <w:rPr/>
        <w:t>联系人：刘晨</w:t>
      </w:r>
    </w:p>
    <w:p>
      <w:pPr>
        <w:pStyle w:val="BodyText"/>
        <w:spacing w:before="6"/>
        <w:ind w:left="0"/>
        <w:rPr>
          <w:sz w:val="15"/>
        </w:rPr>
      </w:pPr>
    </w:p>
    <w:p>
      <w:pPr>
        <w:pStyle w:val="BodyText"/>
        <w:rPr>
          <w:rFonts w:ascii="Times New Roman" w:eastAsia="Times New Roman"/>
        </w:rPr>
      </w:pPr>
      <w:r>
        <w:rPr/>
        <w:t>网址：</w:t>
      </w:r>
      <w:hyperlink r:id="rId171">
        <w:r>
          <w:rPr>
            <w:rFonts w:ascii="Times New Roman" w:eastAsia="Times New Roman"/>
          </w:rPr>
          <w:t>www.ebscn.com</w:t>
        </w:r>
      </w:hyperlink>
    </w:p>
    <w:p>
      <w:pPr>
        <w:pStyle w:val="BodyText"/>
        <w:spacing w:before="4"/>
        <w:ind w:left="0"/>
        <w:rPr>
          <w:rFonts w:ascii="Times New Roman"/>
          <w:sz w:val="17"/>
        </w:rPr>
      </w:pPr>
    </w:p>
    <w:p>
      <w:pPr>
        <w:pStyle w:val="BodyText"/>
        <w:rPr>
          <w:rFonts w:ascii="Times New Roman" w:eastAsia="Times New Roman"/>
        </w:rPr>
      </w:pPr>
      <w:r>
        <w:rPr/>
        <w:t>客户服务电话：</w:t>
      </w:r>
      <w:r>
        <w:rPr>
          <w:rFonts w:ascii="Times New Roman" w:eastAsia="Times New Roman"/>
        </w:rPr>
        <w:t>95525</w:t>
      </w:r>
      <w:r>
        <w:rPr/>
        <w:t>、</w:t>
      </w:r>
      <w:r>
        <w:rPr>
          <w:rFonts w:ascii="Times New Roman" w:eastAsia="Times New Roman"/>
        </w:rPr>
        <w:t>400-888-8788</w:t>
      </w:r>
    </w:p>
    <w:p>
      <w:pPr>
        <w:pStyle w:val="BodyText"/>
        <w:spacing w:before="3"/>
        <w:ind w:left="0"/>
        <w:rPr>
          <w:rFonts w:ascii="Times New Roman"/>
          <w:sz w:val="17"/>
        </w:rPr>
      </w:pPr>
    </w:p>
    <w:p>
      <w:pPr>
        <w:pStyle w:val="ListParagraph"/>
        <w:numPr>
          <w:ilvl w:val="0"/>
          <w:numId w:val="31"/>
        </w:numPr>
        <w:tabs>
          <w:tab w:pos="1379" w:val="left" w:leader="none"/>
        </w:tabs>
        <w:spacing w:line="240" w:lineRule="auto" w:before="0" w:after="0"/>
        <w:ind w:left="1378" w:right="0" w:hanging="739"/>
        <w:jc w:val="left"/>
        <w:rPr>
          <w:sz w:val="21"/>
        </w:rPr>
      </w:pPr>
      <w:r>
        <w:rPr>
          <w:spacing w:val="-3"/>
          <w:sz w:val="21"/>
        </w:rPr>
        <w:t>中信证券华南股份有限公司</w:t>
      </w:r>
    </w:p>
    <w:p>
      <w:pPr>
        <w:pStyle w:val="BodyText"/>
        <w:spacing w:before="8"/>
        <w:ind w:left="0"/>
        <w:rPr>
          <w:sz w:val="15"/>
        </w:rPr>
      </w:pPr>
    </w:p>
    <w:p>
      <w:pPr>
        <w:pStyle w:val="BodyText"/>
      </w:pPr>
      <w:r>
        <w:rPr/>
        <w:t>住所：广州市天河区珠江西路</w:t>
      </w:r>
      <w:r>
        <w:rPr>
          <w:rFonts w:ascii="Times New Roman" w:eastAsia="Times New Roman"/>
        </w:rPr>
        <w:t>5</w:t>
      </w:r>
      <w:r>
        <w:rPr/>
        <w:t>号广州国际金融中心主塔</w:t>
      </w:r>
      <w:r>
        <w:rPr>
          <w:rFonts w:ascii="Times New Roman" w:eastAsia="Times New Roman"/>
        </w:rPr>
        <w:t>19</w:t>
      </w:r>
      <w:r>
        <w:rPr/>
        <w:t>层、</w:t>
      </w:r>
      <w:r>
        <w:rPr>
          <w:rFonts w:ascii="Times New Roman" w:eastAsia="Times New Roman"/>
        </w:rPr>
        <w:t>20</w:t>
      </w:r>
      <w:r>
        <w:rPr/>
        <w:t>层</w:t>
      </w:r>
    </w:p>
    <w:p>
      <w:pPr>
        <w:pStyle w:val="BodyText"/>
        <w:spacing w:before="6"/>
        <w:ind w:left="0"/>
        <w:rPr>
          <w:sz w:val="15"/>
        </w:rPr>
      </w:pPr>
    </w:p>
    <w:p>
      <w:pPr>
        <w:pStyle w:val="BodyText"/>
        <w:spacing w:line="417" w:lineRule="auto"/>
        <w:ind w:right="2143"/>
      </w:pPr>
      <w:r>
        <w:rPr/>
        <w:t>办公地址：广州市天河区珠江西路</w:t>
      </w:r>
      <w:r>
        <w:rPr>
          <w:rFonts w:ascii="Times New Roman" w:eastAsia="Times New Roman"/>
        </w:rPr>
        <w:t>5</w:t>
      </w:r>
      <w:r>
        <w:rPr/>
        <w:t>号广州国际金融中心主塔</w:t>
      </w:r>
      <w:r>
        <w:rPr>
          <w:rFonts w:ascii="Times New Roman" w:eastAsia="Times New Roman"/>
        </w:rPr>
        <w:t>19</w:t>
      </w:r>
      <w:r>
        <w:rPr/>
        <w:t>层、</w:t>
      </w:r>
      <w:r>
        <w:rPr>
          <w:rFonts w:ascii="Times New Roman" w:eastAsia="Times New Roman"/>
        </w:rPr>
        <w:t>20</w:t>
      </w:r>
      <w:r>
        <w:rPr/>
        <w:t>层法定代表人：胡伏云</w:t>
      </w:r>
    </w:p>
    <w:p>
      <w:pPr>
        <w:pStyle w:val="BodyText"/>
        <w:spacing w:line="417" w:lineRule="auto"/>
        <w:ind w:right="6906"/>
        <w:rPr>
          <w:rFonts w:ascii="Times New Roman" w:eastAsia="Times New Roman"/>
        </w:rPr>
      </w:pPr>
      <w:r>
        <w:rPr/>
        <w:t>电话：</w:t>
      </w:r>
      <w:r>
        <w:rPr>
          <w:rFonts w:ascii="Times New Roman" w:eastAsia="Times New Roman"/>
        </w:rPr>
        <w:t>020-88836999 </w:t>
      </w:r>
      <w:r>
        <w:rPr/>
        <w:t>传真：</w:t>
      </w:r>
      <w:r>
        <w:rPr>
          <w:rFonts w:ascii="Times New Roman" w:eastAsia="Times New Roman"/>
        </w:rPr>
        <w:t>020-88836984</w:t>
      </w:r>
    </w:p>
    <w:p>
      <w:pPr>
        <w:pStyle w:val="BodyText"/>
        <w:spacing w:line="269" w:lineRule="exact"/>
      </w:pPr>
      <w:r>
        <w:rPr/>
        <w:t>联系人：陈靖</w:t>
      </w:r>
    </w:p>
    <w:p>
      <w:pPr>
        <w:pStyle w:val="BodyText"/>
        <w:spacing w:before="7"/>
        <w:ind w:left="0"/>
        <w:rPr>
          <w:sz w:val="15"/>
        </w:rPr>
      </w:pPr>
    </w:p>
    <w:p>
      <w:pPr>
        <w:pStyle w:val="BodyText"/>
        <w:spacing w:line="417" w:lineRule="auto"/>
        <w:ind w:right="6651"/>
        <w:rPr>
          <w:rFonts w:ascii="Times New Roman" w:eastAsia="Times New Roman"/>
        </w:rPr>
      </w:pPr>
      <w:r>
        <w:rPr/>
        <w:t>网址：</w:t>
      </w:r>
      <w:hyperlink r:id="rId172">
        <w:r>
          <w:rPr>
            <w:rFonts w:ascii="Times New Roman" w:eastAsia="Times New Roman"/>
          </w:rPr>
          <w:t>www.gzs.com.cn </w:t>
        </w:r>
      </w:hyperlink>
      <w:r>
        <w:rPr/>
        <w:t>客户服务电话：</w:t>
      </w:r>
      <w:r>
        <w:rPr>
          <w:rFonts w:ascii="Times New Roman" w:eastAsia="Times New Roman"/>
        </w:rPr>
        <w:t>95548</w:t>
      </w:r>
    </w:p>
    <w:p>
      <w:pPr>
        <w:pStyle w:val="ListParagraph"/>
        <w:numPr>
          <w:ilvl w:val="0"/>
          <w:numId w:val="31"/>
        </w:numPr>
        <w:tabs>
          <w:tab w:pos="1379" w:val="left" w:leader="none"/>
        </w:tabs>
        <w:spacing w:line="417" w:lineRule="auto" w:before="0" w:after="0"/>
        <w:ind w:left="640" w:right="5926" w:firstLine="0"/>
        <w:jc w:val="left"/>
        <w:rPr>
          <w:sz w:val="21"/>
        </w:rPr>
      </w:pPr>
      <w:r>
        <w:rPr>
          <w:spacing w:val="-4"/>
          <w:sz w:val="21"/>
        </w:rPr>
        <w:t>东北证券股份有限公司</w:t>
      </w:r>
      <w:r>
        <w:rPr>
          <w:spacing w:val="-3"/>
          <w:sz w:val="21"/>
        </w:rPr>
        <w:t>住所：长春市生态大街</w:t>
      </w:r>
      <w:r>
        <w:rPr>
          <w:rFonts w:ascii="Times New Roman" w:eastAsia="Times New Roman"/>
          <w:sz w:val="21"/>
        </w:rPr>
        <w:t>6666</w:t>
      </w:r>
      <w:r>
        <w:rPr>
          <w:sz w:val="21"/>
        </w:rPr>
        <w:t>号</w:t>
      </w:r>
    </w:p>
    <w:p>
      <w:pPr>
        <w:pStyle w:val="BodyText"/>
        <w:spacing w:line="417" w:lineRule="auto"/>
        <w:ind w:right="5609"/>
      </w:pPr>
      <w:r>
        <w:rPr/>
        <w:t>办公地址：长春市生态大街</w:t>
      </w:r>
      <w:r>
        <w:rPr>
          <w:rFonts w:ascii="Times New Roman" w:eastAsia="Times New Roman"/>
        </w:rPr>
        <w:t>6666</w:t>
      </w:r>
      <w:r>
        <w:rPr/>
        <w:t>号法定代表人：李福春</w:t>
      </w:r>
    </w:p>
    <w:p>
      <w:pPr>
        <w:pStyle w:val="BodyText"/>
        <w:spacing w:line="417" w:lineRule="auto"/>
        <w:ind w:right="6800"/>
        <w:rPr>
          <w:rFonts w:ascii="Times New Roman" w:eastAsia="Times New Roman"/>
        </w:rPr>
      </w:pPr>
      <w:r>
        <w:rPr/>
        <w:t>电话：</w:t>
      </w:r>
      <w:r>
        <w:rPr>
          <w:rFonts w:ascii="Times New Roman" w:eastAsia="Times New Roman"/>
        </w:rPr>
        <w:t>0431-85096517 </w:t>
      </w:r>
      <w:r>
        <w:rPr/>
        <w:t>传真：</w:t>
      </w:r>
      <w:r>
        <w:rPr>
          <w:rFonts w:ascii="Times New Roman" w:eastAsia="Times New Roman"/>
        </w:rPr>
        <w:t>0431-85096795</w:t>
      </w:r>
    </w:p>
    <w:p>
      <w:pPr>
        <w:pStyle w:val="BodyText"/>
        <w:spacing w:line="417" w:lineRule="auto"/>
        <w:ind w:right="7014"/>
        <w:rPr>
          <w:rFonts w:ascii="Times New Roman" w:eastAsia="Times New Roman"/>
        </w:rPr>
      </w:pPr>
      <w:r>
        <w:rPr>
          <w:spacing w:val="-2"/>
        </w:rPr>
        <w:t>联系人：安岩岩 </w:t>
      </w:r>
      <w:r>
        <w:rPr>
          <w:spacing w:val="-3"/>
        </w:rPr>
        <w:t>网址：</w:t>
      </w:r>
      <w:hyperlink r:id="rId173">
        <w:r>
          <w:rPr>
            <w:rFonts w:ascii="Times New Roman" w:eastAsia="Times New Roman"/>
            <w:spacing w:val="-4"/>
          </w:rPr>
          <w:t>www.nesc.cn</w:t>
        </w:r>
      </w:hyperlink>
    </w:p>
    <w:p>
      <w:pPr>
        <w:pStyle w:val="BodyText"/>
        <w:spacing w:line="269" w:lineRule="exact"/>
        <w:rPr>
          <w:rFonts w:ascii="Times New Roman" w:eastAsia="Times New Roman"/>
        </w:rPr>
      </w:pPr>
      <w:r>
        <w:rPr/>
        <w:t>客户服务电话：</w:t>
      </w:r>
      <w:r>
        <w:rPr>
          <w:rFonts w:ascii="Times New Roman" w:eastAsia="Times New Roman"/>
        </w:rPr>
        <w:t>95360</w:t>
      </w:r>
    </w:p>
    <w:p>
      <w:pPr>
        <w:pStyle w:val="BodyText"/>
        <w:spacing w:before="3"/>
        <w:ind w:left="0"/>
        <w:rPr>
          <w:rFonts w:ascii="Times New Roman"/>
          <w:sz w:val="17"/>
        </w:rPr>
      </w:pPr>
    </w:p>
    <w:p>
      <w:pPr>
        <w:pStyle w:val="ListParagraph"/>
        <w:numPr>
          <w:ilvl w:val="0"/>
          <w:numId w:val="31"/>
        </w:numPr>
        <w:tabs>
          <w:tab w:pos="1379" w:val="left" w:leader="none"/>
        </w:tabs>
        <w:spacing w:line="240" w:lineRule="auto" w:before="0" w:after="0"/>
        <w:ind w:left="1378" w:right="0" w:hanging="739"/>
        <w:jc w:val="left"/>
        <w:rPr>
          <w:sz w:val="21"/>
        </w:rPr>
      </w:pPr>
      <w:r>
        <w:rPr>
          <w:spacing w:val="-3"/>
          <w:sz w:val="21"/>
        </w:rPr>
        <w:t>南京证券股份有限公司</w:t>
      </w:r>
    </w:p>
    <w:p>
      <w:pPr>
        <w:pStyle w:val="BodyText"/>
        <w:spacing w:before="7"/>
        <w:ind w:left="0"/>
        <w:rPr>
          <w:sz w:val="15"/>
        </w:rPr>
      </w:pPr>
    </w:p>
    <w:p>
      <w:pPr>
        <w:pStyle w:val="BodyText"/>
      </w:pPr>
      <w:r>
        <w:rPr/>
        <w:t>住所：江苏省南京市江东中路</w:t>
      </w:r>
      <w:r>
        <w:rPr>
          <w:rFonts w:ascii="Times New Roman" w:eastAsia="Times New Roman"/>
        </w:rPr>
        <w:t>389</w:t>
      </w:r>
      <w:r>
        <w:rPr/>
        <w:t>号</w:t>
      </w:r>
    </w:p>
    <w:p>
      <w:pPr>
        <w:pStyle w:val="BodyText"/>
        <w:spacing w:before="6"/>
        <w:ind w:left="0"/>
        <w:rPr>
          <w:sz w:val="15"/>
        </w:rPr>
      </w:pPr>
    </w:p>
    <w:p>
      <w:pPr>
        <w:pStyle w:val="BodyText"/>
        <w:spacing w:line="417" w:lineRule="auto"/>
        <w:ind w:right="5084"/>
      </w:pPr>
      <w:r>
        <w:rPr/>
        <w:t>办公地址：江苏省南京市江东中路</w:t>
      </w:r>
      <w:r>
        <w:rPr>
          <w:rFonts w:ascii="Times New Roman" w:eastAsia="Times New Roman"/>
        </w:rPr>
        <w:t>389</w:t>
      </w:r>
      <w:r>
        <w:rPr/>
        <w:t>号法定代表人：李剑锋</w:t>
      </w:r>
    </w:p>
    <w:p>
      <w:pPr>
        <w:pStyle w:val="BodyText"/>
        <w:spacing w:line="417" w:lineRule="auto" w:before="1"/>
        <w:ind w:right="6906"/>
        <w:rPr>
          <w:rFonts w:ascii="Times New Roman" w:eastAsia="Times New Roman"/>
        </w:rPr>
      </w:pPr>
      <w:r>
        <w:rPr/>
        <w:t>电话：</w:t>
      </w:r>
      <w:r>
        <w:rPr>
          <w:rFonts w:ascii="Times New Roman" w:eastAsia="Times New Roman"/>
        </w:rPr>
        <w:t>025-58519523 </w:t>
      </w:r>
      <w:r>
        <w:rPr/>
        <w:t>传真：</w:t>
      </w:r>
      <w:r>
        <w:rPr>
          <w:rFonts w:ascii="Times New Roman" w:eastAsia="Times New Roman"/>
        </w:rPr>
        <w:t>025-83369725</w:t>
      </w:r>
    </w:p>
    <w:p>
      <w:pPr>
        <w:spacing w:after="0" w:line="417" w:lineRule="auto"/>
        <w:rPr>
          <w:rFonts w:ascii="Times New Roman" w:eastAsia="Times New Roman"/>
        </w:rPr>
        <w:sectPr>
          <w:pgSz w:w="11910" w:h="16840"/>
          <w:pgMar w:header="705" w:footer="683" w:top="1420" w:bottom="880" w:left="1580" w:right="920"/>
        </w:sectPr>
      </w:pPr>
    </w:p>
    <w:p>
      <w:pPr>
        <w:pStyle w:val="BodyText"/>
        <w:spacing w:before="110"/>
      </w:pPr>
      <w:r>
        <w:rPr/>
        <w:t>联系人：王万君</w:t>
      </w:r>
    </w:p>
    <w:p>
      <w:pPr>
        <w:pStyle w:val="BodyText"/>
        <w:spacing w:before="6"/>
        <w:ind w:left="0"/>
        <w:rPr>
          <w:sz w:val="15"/>
        </w:rPr>
      </w:pPr>
    </w:p>
    <w:p>
      <w:pPr>
        <w:pStyle w:val="BodyText"/>
        <w:spacing w:line="417" w:lineRule="auto"/>
        <w:ind w:right="6569"/>
        <w:rPr>
          <w:rFonts w:ascii="Times New Roman" w:eastAsia="Times New Roman"/>
        </w:rPr>
      </w:pPr>
      <w:r>
        <w:rPr/>
        <w:t>网址：</w:t>
      </w:r>
      <w:hyperlink r:id="rId174">
        <w:r>
          <w:rPr>
            <w:rFonts w:ascii="Times New Roman" w:eastAsia="Times New Roman"/>
          </w:rPr>
          <w:t>www.njzq.com.cn </w:t>
        </w:r>
      </w:hyperlink>
      <w:r>
        <w:rPr/>
        <w:t>客户服务电话：</w:t>
      </w:r>
      <w:r>
        <w:rPr>
          <w:rFonts w:ascii="Times New Roman" w:eastAsia="Times New Roman"/>
        </w:rPr>
        <w:t>95386</w:t>
      </w:r>
    </w:p>
    <w:p>
      <w:pPr>
        <w:pStyle w:val="ListParagraph"/>
        <w:numPr>
          <w:ilvl w:val="0"/>
          <w:numId w:val="31"/>
        </w:numPr>
        <w:tabs>
          <w:tab w:pos="1379" w:val="left" w:leader="none"/>
        </w:tabs>
        <w:spacing w:line="417" w:lineRule="auto" w:before="0" w:after="0"/>
        <w:ind w:left="640" w:right="5926" w:firstLine="0"/>
        <w:jc w:val="left"/>
        <w:rPr>
          <w:sz w:val="21"/>
        </w:rPr>
      </w:pPr>
      <w:r>
        <w:rPr>
          <w:spacing w:val="-4"/>
          <w:sz w:val="21"/>
        </w:rPr>
        <w:t>上海证券有限责任公司</w:t>
      </w:r>
      <w:r>
        <w:rPr>
          <w:spacing w:val="-3"/>
          <w:sz w:val="21"/>
        </w:rPr>
        <w:t>住所：上海市西藏中路</w:t>
      </w:r>
      <w:r>
        <w:rPr>
          <w:rFonts w:ascii="Times New Roman" w:eastAsia="Times New Roman"/>
          <w:sz w:val="21"/>
        </w:rPr>
        <w:t>336</w:t>
      </w:r>
      <w:r>
        <w:rPr>
          <w:sz w:val="21"/>
        </w:rPr>
        <w:t>号</w:t>
      </w:r>
    </w:p>
    <w:p>
      <w:pPr>
        <w:pStyle w:val="BodyText"/>
        <w:spacing w:line="417" w:lineRule="auto"/>
        <w:ind w:right="5715"/>
      </w:pPr>
      <w:r>
        <w:rPr/>
        <w:t>办公地址：上海市西藏中路</w:t>
      </w:r>
      <w:r>
        <w:rPr>
          <w:rFonts w:ascii="Times New Roman" w:eastAsia="Times New Roman"/>
        </w:rPr>
        <w:t>336</w:t>
      </w:r>
      <w:r>
        <w:rPr/>
        <w:t>号法定代表人：龚德雄</w:t>
      </w:r>
    </w:p>
    <w:p>
      <w:pPr>
        <w:pStyle w:val="BodyText"/>
        <w:spacing w:line="417" w:lineRule="auto"/>
        <w:ind w:right="6906"/>
        <w:rPr>
          <w:rFonts w:ascii="Times New Roman" w:eastAsia="Times New Roman"/>
        </w:rPr>
      </w:pPr>
      <w:r>
        <w:rPr/>
        <w:t>电话：</w:t>
      </w:r>
      <w:r>
        <w:rPr>
          <w:rFonts w:ascii="Times New Roman" w:eastAsia="Times New Roman"/>
        </w:rPr>
        <w:t>021-51539888 </w:t>
      </w:r>
      <w:r>
        <w:rPr/>
        <w:t>传真：</w:t>
      </w:r>
      <w:r>
        <w:rPr>
          <w:rFonts w:ascii="Times New Roman" w:eastAsia="Times New Roman"/>
        </w:rPr>
        <w:t>021-65217206</w:t>
      </w:r>
    </w:p>
    <w:p>
      <w:pPr>
        <w:pStyle w:val="BodyText"/>
        <w:spacing w:line="269" w:lineRule="exact"/>
      </w:pPr>
      <w:r>
        <w:rPr/>
        <w:t>联系人：张瑾</w:t>
      </w:r>
    </w:p>
    <w:p>
      <w:pPr>
        <w:pStyle w:val="BodyText"/>
        <w:spacing w:before="7"/>
        <w:ind w:left="0"/>
        <w:rPr>
          <w:sz w:val="15"/>
        </w:rPr>
      </w:pPr>
    </w:p>
    <w:p>
      <w:pPr>
        <w:pStyle w:val="BodyText"/>
        <w:rPr>
          <w:rFonts w:ascii="Times New Roman" w:eastAsia="Times New Roman"/>
        </w:rPr>
      </w:pPr>
      <w:r>
        <w:rPr/>
        <w:t>网址：</w:t>
      </w:r>
      <w:hyperlink r:id="rId175">
        <w:r>
          <w:rPr>
            <w:rFonts w:ascii="Times New Roman" w:eastAsia="Times New Roman"/>
          </w:rPr>
          <w:t>www.962518.com</w:t>
        </w:r>
      </w:hyperlink>
    </w:p>
    <w:p>
      <w:pPr>
        <w:pStyle w:val="BodyText"/>
        <w:spacing w:before="3"/>
        <w:ind w:left="0"/>
        <w:rPr>
          <w:rFonts w:ascii="Times New Roman"/>
          <w:sz w:val="17"/>
        </w:rPr>
      </w:pPr>
    </w:p>
    <w:p>
      <w:pPr>
        <w:pStyle w:val="BodyText"/>
        <w:rPr>
          <w:rFonts w:ascii="Times New Roman" w:eastAsia="Times New Roman"/>
        </w:rPr>
      </w:pPr>
      <w:r>
        <w:rPr/>
        <w:t>客户服务电话：</w:t>
      </w:r>
      <w:r>
        <w:rPr>
          <w:rFonts w:ascii="Times New Roman" w:eastAsia="Times New Roman"/>
        </w:rPr>
        <w:t>400-891-8918</w:t>
      </w:r>
    </w:p>
    <w:p>
      <w:pPr>
        <w:pStyle w:val="BodyText"/>
        <w:spacing w:before="4"/>
        <w:ind w:left="0"/>
        <w:rPr>
          <w:rFonts w:ascii="Times New Roman"/>
          <w:sz w:val="17"/>
        </w:rPr>
      </w:pPr>
    </w:p>
    <w:p>
      <w:pPr>
        <w:pStyle w:val="ListParagraph"/>
        <w:numPr>
          <w:ilvl w:val="0"/>
          <w:numId w:val="31"/>
        </w:numPr>
        <w:tabs>
          <w:tab w:pos="1379" w:val="left" w:leader="none"/>
        </w:tabs>
        <w:spacing w:line="240" w:lineRule="auto" w:before="0" w:after="0"/>
        <w:ind w:left="1378" w:right="0" w:hanging="739"/>
        <w:jc w:val="left"/>
        <w:rPr>
          <w:sz w:val="21"/>
        </w:rPr>
      </w:pPr>
      <w:r>
        <w:rPr>
          <w:spacing w:val="-3"/>
          <w:sz w:val="21"/>
        </w:rPr>
        <w:t>新时代证券股份有限公司</w:t>
      </w:r>
    </w:p>
    <w:p>
      <w:pPr>
        <w:pStyle w:val="BodyText"/>
        <w:spacing w:before="6"/>
        <w:ind w:left="0"/>
        <w:rPr>
          <w:sz w:val="15"/>
        </w:rPr>
      </w:pPr>
    </w:p>
    <w:p>
      <w:pPr>
        <w:pStyle w:val="BodyText"/>
        <w:rPr>
          <w:rFonts w:ascii="Times New Roman" w:eastAsia="Times New Roman"/>
        </w:rPr>
      </w:pPr>
      <w:r>
        <w:rPr/>
        <w:t>住所：北京市海淀区北三环西路</w:t>
      </w:r>
      <w:r>
        <w:rPr>
          <w:rFonts w:ascii="Times New Roman" w:eastAsia="Times New Roman"/>
        </w:rPr>
        <w:t>99</w:t>
      </w:r>
      <w:r>
        <w:rPr/>
        <w:t>号院</w:t>
      </w:r>
      <w:r>
        <w:rPr>
          <w:rFonts w:ascii="Times New Roman" w:eastAsia="Times New Roman"/>
        </w:rPr>
        <w:t>1</w:t>
      </w:r>
      <w:r>
        <w:rPr/>
        <w:t>号楼</w:t>
      </w:r>
      <w:r>
        <w:rPr>
          <w:rFonts w:ascii="Times New Roman" w:eastAsia="Times New Roman"/>
        </w:rPr>
        <w:t>15</w:t>
      </w:r>
      <w:r>
        <w:rPr/>
        <w:t>层</w:t>
      </w:r>
      <w:r>
        <w:rPr>
          <w:rFonts w:ascii="Times New Roman" w:eastAsia="Times New Roman"/>
        </w:rPr>
        <w:t>1501</w:t>
      </w:r>
    </w:p>
    <w:p>
      <w:pPr>
        <w:pStyle w:val="BodyText"/>
        <w:spacing w:before="4"/>
        <w:ind w:left="0"/>
        <w:rPr>
          <w:rFonts w:ascii="Times New Roman"/>
          <w:sz w:val="17"/>
        </w:rPr>
      </w:pPr>
    </w:p>
    <w:p>
      <w:pPr>
        <w:pStyle w:val="BodyText"/>
        <w:spacing w:line="417" w:lineRule="auto"/>
        <w:ind w:right="3403"/>
      </w:pPr>
      <w:r>
        <w:rPr/>
        <w:t>办公地址：北京市海淀区北三环西路</w:t>
      </w:r>
      <w:r>
        <w:rPr>
          <w:rFonts w:ascii="Times New Roman" w:eastAsia="Times New Roman"/>
        </w:rPr>
        <w:t>99</w:t>
      </w:r>
      <w:r>
        <w:rPr/>
        <w:t>号院</w:t>
      </w:r>
      <w:r>
        <w:rPr>
          <w:rFonts w:ascii="Times New Roman" w:eastAsia="Times New Roman"/>
        </w:rPr>
        <w:t>1</w:t>
      </w:r>
      <w:r>
        <w:rPr/>
        <w:t>号楼</w:t>
      </w:r>
      <w:r>
        <w:rPr>
          <w:rFonts w:ascii="Times New Roman" w:eastAsia="Times New Roman"/>
        </w:rPr>
        <w:t>15</w:t>
      </w:r>
      <w:r>
        <w:rPr/>
        <w:t>层</w:t>
      </w:r>
      <w:r>
        <w:rPr>
          <w:rFonts w:ascii="Times New Roman" w:eastAsia="Times New Roman"/>
        </w:rPr>
        <w:t>1501 </w:t>
      </w:r>
      <w:r>
        <w:rPr/>
        <w:t>法定代表人：林雯</w:t>
      </w:r>
    </w:p>
    <w:p>
      <w:pPr>
        <w:pStyle w:val="BodyText"/>
        <w:spacing w:line="417" w:lineRule="auto"/>
        <w:ind w:right="6906"/>
        <w:rPr>
          <w:rFonts w:ascii="Times New Roman" w:eastAsia="Times New Roman"/>
        </w:rPr>
      </w:pPr>
      <w:r>
        <w:rPr/>
        <w:t>电话：</w:t>
      </w:r>
      <w:r>
        <w:rPr>
          <w:rFonts w:ascii="Times New Roman" w:eastAsia="Times New Roman"/>
        </w:rPr>
        <w:t>010-83561146 </w:t>
      </w:r>
      <w:r>
        <w:rPr/>
        <w:t>传真：</w:t>
      </w:r>
      <w:r>
        <w:rPr>
          <w:rFonts w:ascii="Times New Roman" w:eastAsia="Times New Roman"/>
        </w:rPr>
        <w:t>010-83561094</w:t>
      </w:r>
    </w:p>
    <w:p>
      <w:pPr>
        <w:pStyle w:val="BodyText"/>
        <w:spacing w:line="269" w:lineRule="exact"/>
      </w:pPr>
      <w:r>
        <w:rPr/>
        <w:t>联系人：田芳芳</w:t>
      </w:r>
    </w:p>
    <w:p>
      <w:pPr>
        <w:pStyle w:val="BodyText"/>
        <w:spacing w:before="7"/>
        <w:ind w:left="0"/>
        <w:rPr>
          <w:sz w:val="15"/>
        </w:rPr>
      </w:pPr>
    </w:p>
    <w:p>
      <w:pPr>
        <w:pStyle w:val="BodyText"/>
        <w:spacing w:line="417" w:lineRule="auto"/>
        <w:ind w:right="6767"/>
        <w:rPr>
          <w:rFonts w:ascii="Times New Roman" w:eastAsia="Times New Roman"/>
        </w:rPr>
      </w:pPr>
      <w:r>
        <w:rPr/>
        <w:t>网址：</w:t>
      </w:r>
      <w:hyperlink r:id="rId176">
        <w:r>
          <w:rPr>
            <w:rFonts w:ascii="Times New Roman" w:eastAsia="Times New Roman"/>
          </w:rPr>
          <w:t>www.xsdzq.cn </w:t>
        </w:r>
      </w:hyperlink>
      <w:r>
        <w:rPr/>
        <w:t>客户服务电话：</w:t>
      </w:r>
      <w:r>
        <w:rPr>
          <w:rFonts w:ascii="Times New Roman" w:eastAsia="Times New Roman"/>
        </w:rPr>
        <w:t>95399</w:t>
      </w:r>
    </w:p>
    <w:p>
      <w:pPr>
        <w:pStyle w:val="ListParagraph"/>
        <w:numPr>
          <w:ilvl w:val="0"/>
          <w:numId w:val="31"/>
        </w:numPr>
        <w:tabs>
          <w:tab w:pos="1379" w:val="left" w:leader="none"/>
        </w:tabs>
        <w:spacing w:line="240" w:lineRule="auto" w:before="0" w:after="0"/>
        <w:ind w:left="1378" w:right="0" w:hanging="739"/>
        <w:jc w:val="left"/>
        <w:rPr>
          <w:sz w:val="21"/>
        </w:rPr>
      </w:pPr>
      <w:r>
        <w:rPr>
          <w:spacing w:val="-3"/>
          <w:sz w:val="21"/>
        </w:rPr>
        <w:t>大同证券有限责任公司</w:t>
      </w:r>
    </w:p>
    <w:p>
      <w:pPr>
        <w:pStyle w:val="BodyText"/>
        <w:spacing w:before="7"/>
        <w:ind w:left="0"/>
        <w:rPr>
          <w:sz w:val="15"/>
        </w:rPr>
      </w:pPr>
    </w:p>
    <w:p>
      <w:pPr>
        <w:pStyle w:val="BodyText"/>
      </w:pPr>
      <w:r>
        <w:rPr/>
        <w:t>住所：大同市城区迎宾街</w:t>
      </w:r>
      <w:r>
        <w:rPr>
          <w:rFonts w:ascii="Times New Roman" w:eastAsia="Times New Roman"/>
        </w:rPr>
        <w:t>15</w:t>
      </w:r>
      <w:r>
        <w:rPr/>
        <w:t>号桐城中央</w:t>
      </w:r>
      <w:r>
        <w:rPr>
          <w:rFonts w:ascii="Times New Roman" w:eastAsia="Times New Roman"/>
        </w:rPr>
        <w:t>21</w:t>
      </w:r>
      <w:r>
        <w:rPr/>
        <w:t>层</w:t>
      </w:r>
    </w:p>
    <w:p>
      <w:pPr>
        <w:pStyle w:val="BodyText"/>
        <w:spacing w:before="6"/>
        <w:ind w:left="0"/>
        <w:rPr>
          <w:sz w:val="15"/>
        </w:rPr>
      </w:pPr>
    </w:p>
    <w:p>
      <w:pPr>
        <w:pStyle w:val="BodyText"/>
        <w:spacing w:line="417" w:lineRule="auto"/>
        <w:ind w:right="2783"/>
      </w:pPr>
      <w:r>
        <w:rPr/>
        <w:t>办公地址：山西省太原市长治路</w:t>
      </w:r>
      <w:r>
        <w:rPr>
          <w:rFonts w:ascii="Times New Roman" w:eastAsia="Times New Roman"/>
        </w:rPr>
        <w:t>111</w:t>
      </w:r>
      <w:r>
        <w:rPr/>
        <w:t>号山西世贸中心</w:t>
      </w:r>
      <w:r>
        <w:rPr>
          <w:rFonts w:ascii="Times New Roman" w:eastAsia="Times New Roman"/>
        </w:rPr>
        <w:t>A</w:t>
      </w:r>
      <w:r>
        <w:rPr/>
        <w:t>座</w:t>
      </w:r>
      <w:r>
        <w:rPr>
          <w:rFonts w:ascii="Times New Roman" w:eastAsia="Times New Roman"/>
        </w:rPr>
        <w:t>F12</w:t>
      </w:r>
      <w:r>
        <w:rPr/>
        <w:t>、</w:t>
      </w:r>
      <w:r>
        <w:rPr>
          <w:rFonts w:ascii="Times New Roman" w:eastAsia="Times New Roman"/>
        </w:rPr>
        <w:t>F13 </w:t>
      </w:r>
      <w:r>
        <w:rPr/>
        <w:t>法定代表人：董祥</w:t>
      </w:r>
    </w:p>
    <w:p>
      <w:pPr>
        <w:pStyle w:val="BodyText"/>
        <w:spacing w:line="417" w:lineRule="auto"/>
        <w:ind w:right="6906"/>
        <w:rPr>
          <w:rFonts w:ascii="Times New Roman" w:eastAsia="Times New Roman"/>
        </w:rPr>
      </w:pPr>
      <w:r>
        <w:rPr/>
        <w:t>电话：</w:t>
      </w:r>
      <w:r>
        <w:rPr>
          <w:rFonts w:ascii="Times New Roman" w:eastAsia="Times New Roman"/>
        </w:rPr>
        <w:t>0351-4130322 </w:t>
      </w:r>
      <w:r>
        <w:rPr/>
        <w:t>传真：</w:t>
      </w:r>
      <w:r>
        <w:rPr>
          <w:rFonts w:ascii="Times New Roman" w:eastAsia="Times New Roman"/>
        </w:rPr>
        <w:t>0351-4192803</w:t>
      </w:r>
    </w:p>
    <w:p>
      <w:pPr>
        <w:pStyle w:val="BodyText"/>
        <w:spacing w:line="269" w:lineRule="exact"/>
      </w:pPr>
      <w:r>
        <w:rPr/>
        <w:t>联系人：薛津</w:t>
      </w:r>
    </w:p>
    <w:p>
      <w:pPr>
        <w:pStyle w:val="BodyText"/>
        <w:spacing w:before="7"/>
        <w:ind w:left="0"/>
        <w:rPr>
          <w:sz w:val="15"/>
        </w:rPr>
      </w:pPr>
    </w:p>
    <w:p>
      <w:pPr>
        <w:pStyle w:val="BodyText"/>
        <w:rPr>
          <w:rFonts w:ascii="Times New Roman" w:eastAsia="Times New Roman"/>
        </w:rPr>
      </w:pPr>
      <w:r>
        <w:rPr/>
        <w:t>网址：</w:t>
      </w:r>
      <w:hyperlink r:id="rId177">
        <w:r>
          <w:rPr>
            <w:rFonts w:ascii="Times New Roman" w:eastAsia="Times New Roman"/>
          </w:rPr>
          <w:t>www.dtsbc.com.cn</w:t>
        </w:r>
      </w:hyperlink>
    </w:p>
    <w:p>
      <w:pPr>
        <w:pStyle w:val="BodyText"/>
        <w:spacing w:before="4"/>
        <w:ind w:left="0"/>
        <w:rPr>
          <w:rFonts w:ascii="Times New Roman"/>
          <w:sz w:val="17"/>
        </w:rPr>
      </w:pPr>
    </w:p>
    <w:p>
      <w:pPr>
        <w:pStyle w:val="BodyText"/>
        <w:rPr>
          <w:rFonts w:ascii="Times New Roman" w:eastAsia="Times New Roman"/>
        </w:rPr>
      </w:pPr>
      <w:r>
        <w:rPr/>
        <w:t>客户服务电话：</w:t>
      </w:r>
      <w:r>
        <w:rPr>
          <w:rFonts w:ascii="Times New Roman" w:eastAsia="Times New Roman"/>
        </w:rPr>
        <w:t>400-712-1212</w:t>
      </w:r>
    </w:p>
    <w:p>
      <w:pPr>
        <w:spacing w:after="0"/>
        <w:rPr>
          <w:rFonts w:ascii="Times New Roman" w:eastAsia="Times New Roman"/>
        </w:rPr>
        <w:sectPr>
          <w:pgSz w:w="11910" w:h="16840"/>
          <w:pgMar w:header="705" w:footer="683" w:top="1420" w:bottom="880" w:left="1580" w:right="920"/>
        </w:sectPr>
      </w:pPr>
    </w:p>
    <w:p>
      <w:pPr>
        <w:pStyle w:val="ListParagraph"/>
        <w:numPr>
          <w:ilvl w:val="0"/>
          <w:numId w:val="31"/>
        </w:numPr>
        <w:tabs>
          <w:tab w:pos="1379" w:val="left" w:leader="none"/>
        </w:tabs>
        <w:spacing w:line="240" w:lineRule="auto" w:before="110" w:after="0"/>
        <w:ind w:left="1378" w:right="0" w:hanging="739"/>
        <w:jc w:val="left"/>
        <w:rPr>
          <w:sz w:val="21"/>
        </w:rPr>
      </w:pPr>
      <w:r>
        <w:rPr>
          <w:spacing w:val="-3"/>
          <w:sz w:val="21"/>
        </w:rPr>
        <w:t>国联证券股份有限公司</w:t>
      </w:r>
    </w:p>
    <w:p>
      <w:pPr>
        <w:pStyle w:val="BodyText"/>
        <w:spacing w:before="6"/>
        <w:ind w:left="0"/>
        <w:rPr>
          <w:sz w:val="15"/>
        </w:rPr>
      </w:pPr>
    </w:p>
    <w:p>
      <w:pPr>
        <w:pStyle w:val="BodyText"/>
      </w:pPr>
      <w:r>
        <w:rPr/>
        <w:t>住所：无锡市太湖新城金融一街</w:t>
      </w:r>
      <w:r>
        <w:rPr>
          <w:rFonts w:ascii="Times New Roman" w:eastAsia="Times New Roman"/>
        </w:rPr>
        <w:t>8</w:t>
      </w:r>
      <w:r>
        <w:rPr/>
        <w:t>号国联金融大厦</w:t>
      </w:r>
    </w:p>
    <w:p>
      <w:pPr>
        <w:pStyle w:val="BodyText"/>
        <w:spacing w:before="7"/>
        <w:ind w:left="0"/>
        <w:rPr>
          <w:sz w:val="15"/>
        </w:rPr>
      </w:pPr>
    </w:p>
    <w:p>
      <w:pPr>
        <w:pStyle w:val="BodyText"/>
        <w:spacing w:line="417" w:lineRule="auto"/>
        <w:ind w:right="3826"/>
      </w:pPr>
      <w:r>
        <w:rPr/>
        <w:t>办公地址：无锡市太湖新城金融一街</w:t>
      </w:r>
      <w:r>
        <w:rPr>
          <w:rFonts w:ascii="Times New Roman" w:eastAsia="Times New Roman"/>
        </w:rPr>
        <w:t>8</w:t>
      </w:r>
      <w:r>
        <w:rPr/>
        <w:t>号国联金融大厦法定代表人：姚志勇</w:t>
      </w:r>
    </w:p>
    <w:p>
      <w:pPr>
        <w:pStyle w:val="BodyText"/>
        <w:spacing w:line="417" w:lineRule="auto"/>
        <w:ind w:right="6800"/>
        <w:rPr>
          <w:rFonts w:ascii="Times New Roman" w:eastAsia="Times New Roman"/>
        </w:rPr>
      </w:pPr>
      <w:r>
        <w:rPr/>
        <w:t>电话：</w:t>
      </w:r>
      <w:r>
        <w:rPr>
          <w:rFonts w:ascii="Times New Roman" w:eastAsia="Times New Roman"/>
        </w:rPr>
        <w:t>0510-82831662 </w:t>
      </w:r>
      <w:r>
        <w:rPr/>
        <w:t>传真：</w:t>
      </w:r>
      <w:r>
        <w:rPr>
          <w:rFonts w:ascii="Times New Roman" w:eastAsia="Times New Roman"/>
        </w:rPr>
        <w:t>0510-82830162</w:t>
      </w:r>
    </w:p>
    <w:p>
      <w:pPr>
        <w:pStyle w:val="BodyText"/>
        <w:spacing w:line="269" w:lineRule="exact"/>
      </w:pPr>
      <w:r>
        <w:rPr/>
        <w:t>联系人：祁昊</w:t>
      </w:r>
    </w:p>
    <w:p>
      <w:pPr>
        <w:pStyle w:val="BodyText"/>
        <w:spacing w:before="7"/>
        <w:ind w:left="0"/>
        <w:rPr>
          <w:sz w:val="15"/>
        </w:rPr>
      </w:pPr>
    </w:p>
    <w:p>
      <w:pPr>
        <w:pStyle w:val="BodyText"/>
        <w:spacing w:line="417" w:lineRule="auto"/>
        <w:ind w:right="6591"/>
        <w:rPr>
          <w:rFonts w:ascii="Times New Roman" w:eastAsia="Times New Roman"/>
        </w:rPr>
      </w:pPr>
      <w:r>
        <w:rPr/>
        <w:t>网址：</w:t>
      </w:r>
      <w:hyperlink r:id="rId178">
        <w:r>
          <w:rPr>
            <w:rFonts w:ascii="Times New Roman" w:eastAsia="Times New Roman"/>
          </w:rPr>
          <w:t>www.glsc.com.cn </w:t>
        </w:r>
      </w:hyperlink>
      <w:r>
        <w:rPr/>
        <w:t>客户服务电话：</w:t>
      </w:r>
      <w:r>
        <w:rPr>
          <w:rFonts w:ascii="Times New Roman" w:eastAsia="Times New Roman"/>
        </w:rPr>
        <w:t>95570</w:t>
      </w:r>
    </w:p>
    <w:p>
      <w:pPr>
        <w:pStyle w:val="ListParagraph"/>
        <w:numPr>
          <w:ilvl w:val="0"/>
          <w:numId w:val="31"/>
        </w:numPr>
        <w:tabs>
          <w:tab w:pos="1379" w:val="left" w:leader="none"/>
        </w:tabs>
        <w:spacing w:line="417" w:lineRule="auto" w:before="0" w:after="0"/>
        <w:ind w:left="640" w:right="5715" w:firstLine="0"/>
        <w:jc w:val="left"/>
        <w:rPr>
          <w:sz w:val="21"/>
        </w:rPr>
      </w:pPr>
      <w:r>
        <w:rPr>
          <w:spacing w:val="-3"/>
          <w:sz w:val="21"/>
        </w:rPr>
        <w:t>浙商证券股份有限公司 住所：杭州市江干区五星路</w:t>
      </w:r>
      <w:r>
        <w:rPr>
          <w:rFonts w:ascii="Times New Roman" w:eastAsia="Times New Roman"/>
          <w:sz w:val="21"/>
        </w:rPr>
        <w:t>201</w:t>
      </w:r>
      <w:r>
        <w:rPr>
          <w:spacing w:val="-13"/>
          <w:sz w:val="21"/>
        </w:rPr>
        <w:t>号</w:t>
      </w:r>
    </w:p>
    <w:p>
      <w:pPr>
        <w:pStyle w:val="BodyText"/>
        <w:spacing w:line="417" w:lineRule="auto"/>
        <w:ind w:right="3720"/>
      </w:pPr>
      <w:r>
        <w:rPr/>
        <w:t>办公地址：杭州市江干区五星路</w:t>
      </w:r>
      <w:r>
        <w:rPr>
          <w:rFonts w:ascii="Times New Roman" w:eastAsia="Times New Roman"/>
        </w:rPr>
        <w:t>201</w:t>
      </w:r>
      <w:r>
        <w:rPr/>
        <w:t>号浙商证券大楼</w:t>
      </w:r>
      <w:r>
        <w:rPr>
          <w:rFonts w:ascii="Times New Roman" w:eastAsia="Times New Roman"/>
        </w:rPr>
        <w:t>8</w:t>
      </w:r>
      <w:r>
        <w:rPr/>
        <w:t>楼法定代表人：吴承根</w:t>
      </w:r>
    </w:p>
    <w:p>
      <w:pPr>
        <w:pStyle w:val="BodyText"/>
        <w:spacing w:line="417" w:lineRule="auto"/>
        <w:ind w:right="6800"/>
        <w:rPr>
          <w:rFonts w:ascii="Times New Roman" w:eastAsia="Times New Roman"/>
        </w:rPr>
      </w:pPr>
      <w:r>
        <w:rPr/>
        <w:t>电话：</w:t>
      </w:r>
      <w:r>
        <w:rPr>
          <w:rFonts w:ascii="Times New Roman" w:eastAsia="Times New Roman"/>
        </w:rPr>
        <w:t>0571-87901053 </w:t>
      </w:r>
      <w:r>
        <w:rPr/>
        <w:t>传真：</w:t>
      </w:r>
      <w:r>
        <w:rPr>
          <w:rFonts w:ascii="Times New Roman" w:eastAsia="Times New Roman"/>
        </w:rPr>
        <w:t>0571-87901913</w:t>
      </w:r>
    </w:p>
    <w:p>
      <w:pPr>
        <w:pStyle w:val="BodyText"/>
      </w:pPr>
      <w:r>
        <w:rPr/>
        <w:t>联系人：谢相辉</w:t>
      </w:r>
    </w:p>
    <w:p>
      <w:pPr>
        <w:pStyle w:val="BodyText"/>
        <w:spacing w:before="6"/>
        <w:ind w:left="0"/>
        <w:rPr>
          <w:sz w:val="15"/>
        </w:rPr>
      </w:pPr>
    </w:p>
    <w:p>
      <w:pPr>
        <w:pStyle w:val="BodyText"/>
        <w:spacing w:line="417" w:lineRule="auto"/>
        <w:ind w:right="6394"/>
        <w:rPr>
          <w:rFonts w:ascii="Times New Roman" w:eastAsia="Times New Roman"/>
        </w:rPr>
      </w:pPr>
      <w:r>
        <w:rPr/>
        <w:t>网址：</w:t>
      </w:r>
      <w:hyperlink r:id="rId179">
        <w:r>
          <w:rPr>
            <w:rFonts w:ascii="Times New Roman" w:eastAsia="Times New Roman"/>
          </w:rPr>
          <w:t>www.stocke.com.cn </w:t>
        </w:r>
      </w:hyperlink>
      <w:r>
        <w:rPr/>
        <w:t>客户服务电话：</w:t>
      </w:r>
      <w:r>
        <w:rPr>
          <w:rFonts w:ascii="Times New Roman" w:eastAsia="Times New Roman"/>
        </w:rPr>
        <w:t>95345</w:t>
      </w:r>
    </w:p>
    <w:p>
      <w:pPr>
        <w:pStyle w:val="ListParagraph"/>
        <w:numPr>
          <w:ilvl w:val="0"/>
          <w:numId w:val="31"/>
        </w:numPr>
        <w:tabs>
          <w:tab w:pos="1379" w:val="left" w:leader="none"/>
        </w:tabs>
        <w:spacing w:line="269" w:lineRule="exact" w:before="0" w:after="0"/>
        <w:ind w:left="1378" w:right="0" w:hanging="739"/>
        <w:jc w:val="left"/>
        <w:rPr>
          <w:sz w:val="21"/>
        </w:rPr>
      </w:pPr>
      <w:r>
        <w:rPr>
          <w:spacing w:val="-3"/>
          <w:sz w:val="21"/>
        </w:rPr>
        <w:t>平安证券股份有限公司</w:t>
      </w:r>
    </w:p>
    <w:p>
      <w:pPr>
        <w:pStyle w:val="BodyText"/>
        <w:spacing w:before="7"/>
        <w:ind w:left="0"/>
        <w:rPr>
          <w:sz w:val="15"/>
        </w:rPr>
      </w:pPr>
    </w:p>
    <w:p>
      <w:pPr>
        <w:pStyle w:val="BodyText"/>
        <w:spacing w:line="417" w:lineRule="auto"/>
        <w:ind w:right="2249"/>
      </w:pPr>
      <w:r>
        <w:rPr/>
        <w:t>住所：深圳市福田区福田街道益田路</w:t>
      </w:r>
      <w:r>
        <w:rPr>
          <w:rFonts w:ascii="Times New Roman" w:eastAsia="Times New Roman"/>
        </w:rPr>
        <w:t>5023</w:t>
      </w:r>
      <w:r>
        <w:rPr/>
        <w:t>号平安金融中心</w:t>
      </w:r>
      <w:r>
        <w:rPr>
          <w:rFonts w:ascii="Times New Roman" w:eastAsia="Times New Roman"/>
        </w:rPr>
        <w:t>B</w:t>
      </w:r>
      <w:r>
        <w:rPr/>
        <w:t>座第</w:t>
      </w:r>
      <w:r>
        <w:rPr>
          <w:rFonts w:ascii="Times New Roman" w:eastAsia="Times New Roman"/>
        </w:rPr>
        <w:t>22-25</w:t>
      </w:r>
      <w:r>
        <w:rPr/>
        <w:t>层办公地址：深圳市福田中心区金田路</w:t>
      </w:r>
      <w:r>
        <w:rPr>
          <w:rFonts w:ascii="Times New Roman" w:eastAsia="Times New Roman"/>
        </w:rPr>
        <w:t>4036</w:t>
      </w:r>
      <w:r>
        <w:rPr/>
        <w:t>号荣超大厦</w:t>
      </w:r>
      <w:r>
        <w:rPr>
          <w:rFonts w:ascii="Times New Roman" w:eastAsia="Times New Roman"/>
        </w:rPr>
        <w:t>16-20</w:t>
      </w:r>
      <w:r>
        <w:rPr/>
        <w:t>层</w:t>
      </w:r>
    </w:p>
    <w:p>
      <w:pPr>
        <w:pStyle w:val="BodyText"/>
        <w:spacing w:line="417" w:lineRule="auto"/>
        <w:ind w:right="6870"/>
        <w:rPr>
          <w:rFonts w:ascii="Times New Roman" w:eastAsia="Times New Roman"/>
        </w:rPr>
      </w:pPr>
      <w:r>
        <w:rPr/>
        <w:t>法定代表人：何之江电话：</w:t>
      </w:r>
      <w:r>
        <w:rPr>
          <w:rFonts w:ascii="Times New Roman" w:eastAsia="Times New Roman"/>
        </w:rPr>
        <w:t>13916661875 </w:t>
      </w:r>
      <w:r>
        <w:rPr/>
        <w:t>传真：</w:t>
      </w:r>
      <w:r>
        <w:rPr>
          <w:rFonts w:ascii="Times New Roman" w:eastAsia="Times New Roman"/>
        </w:rPr>
        <w:t>021-33830395</w:t>
      </w:r>
    </w:p>
    <w:p>
      <w:pPr>
        <w:pStyle w:val="BodyText"/>
        <w:spacing w:line="269" w:lineRule="exact"/>
      </w:pPr>
      <w:r>
        <w:rPr/>
        <w:t>联系人：王阳</w:t>
      </w:r>
    </w:p>
    <w:p>
      <w:pPr>
        <w:pStyle w:val="BodyText"/>
        <w:spacing w:before="7"/>
        <w:ind w:left="0"/>
        <w:rPr>
          <w:sz w:val="15"/>
        </w:rPr>
      </w:pPr>
    </w:p>
    <w:p>
      <w:pPr>
        <w:pStyle w:val="BodyText"/>
        <w:spacing w:line="417" w:lineRule="auto"/>
        <w:ind w:right="6560"/>
        <w:rPr>
          <w:rFonts w:ascii="Times New Roman" w:eastAsia="Times New Roman"/>
        </w:rPr>
      </w:pPr>
      <w:r>
        <w:rPr/>
        <w:t>网址：</w:t>
      </w:r>
      <w:hyperlink r:id="rId180">
        <w:r>
          <w:rPr>
            <w:rFonts w:ascii="Times New Roman" w:eastAsia="Times New Roman"/>
          </w:rPr>
          <w:t>www.pingan.com </w:t>
        </w:r>
      </w:hyperlink>
      <w:r>
        <w:rPr/>
        <w:t>客户服务电话：</w:t>
      </w:r>
      <w:r>
        <w:rPr>
          <w:rFonts w:ascii="Times New Roman" w:eastAsia="Times New Roman"/>
        </w:rPr>
        <w:t>95511-8</w:t>
      </w:r>
    </w:p>
    <w:p>
      <w:pPr>
        <w:pStyle w:val="ListParagraph"/>
        <w:numPr>
          <w:ilvl w:val="0"/>
          <w:numId w:val="31"/>
        </w:numPr>
        <w:tabs>
          <w:tab w:pos="1379" w:val="left" w:leader="none"/>
        </w:tabs>
        <w:spacing w:line="269" w:lineRule="exact" w:before="0" w:after="0"/>
        <w:ind w:left="1378" w:right="0" w:hanging="739"/>
        <w:jc w:val="left"/>
        <w:rPr>
          <w:sz w:val="21"/>
        </w:rPr>
      </w:pPr>
      <w:r>
        <w:rPr>
          <w:spacing w:val="-3"/>
          <w:sz w:val="21"/>
        </w:rPr>
        <w:t>华安证券股份有限公司</w:t>
      </w:r>
    </w:p>
    <w:p>
      <w:pPr>
        <w:pStyle w:val="BodyText"/>
        <w:spacing w:before="7"/>
        <w:ind w:left="0"/>
        <w:rPr>
          <w:sz w:val="15"/>
        </w:rPr>
      </w:pPr>
    </w:p>
    <w:p>
      <w:pPr>
        <w:pStyle w:val="BodyText"/>
      </w:pPr>
      <w:r>
        <w:rPr/>
        <w:t>住所：安徽省合肥市政务文化新区天鹅湖路</w:t>
      </w:r>
      <w:r>
        <w:rPr>
          <w:rFonts w:ascii="Times New Roman" w:eastAsia="Times New Roman"/>
        </w:rPr>
        <w:t>198</w:t>
      </w:r>
      <w:r>
        <w:rPr/>
        <w:t>号</w:t>
      </w:r>
    </w:p>
    <w:p>
      <w:pPr>
        <w:pStyle w:val="BodyText"/>
        <w:spacing w:before="6"/>
        <w:ind w:left="0"/>
        <w:rPr>
          <w:sz w:val="15"/>
        </w:rPr>
      </w:pPr>
    </w:p>
    <w:p>
      <w:pPr>
        <w:pStyle w:val="BodyText"/>
        <w:spacing w:before="1"/>
      </w:pPr>
      <w:r>
        <w:rPr/>
        <w:t>办公地址：安徽省合肥市政务文化新区天鹅湖路</w:t>
      </w:r>
      <w:r>
        <w:rPr>
          <w:rFonts w:ascii="Times New Roman" w:eastAsia="Times New Roman"/>
        </w:rPr>
        <w:t>198</w:t>
      </w:r>
      <w:r>
        <w:rPr/>
        <w:t>号财智中心</w:t>
      </w:r>
      <w:r>
        <w:rPr>
          <w:rFonts w:ascii="Times New Roman" w:eastAsia="Times New Roman"/>
        </w:rPr>
        <w:t>B1</w:t>
      </w:r>
      <w:r>
        <w:rPr/>
        <w:t>座</w:t>
      </w:r>
    </w:p>
    <w:p>
      <w:pPr>
        <w:spacing w:after="0"/>
        <w:sectPr>
          <w:pgSz w:w="11910" w:h="16840"/>
          <w:pgMar w:header="705" w:footer="683" w:top="1420" w:bottom="880" w:left="1580" w:right="920"/>
        </w:sectPr>
      </w:pPr>
    </w:p>
    <w:p>
      <w:pPr>
        <w:pStyle w:val="BodyText"/>
        <w:spacing w:line="417" w:lineRule="auto" w:before="110"/>
        <w:ind w:right="6800"/>
        <w:rPr>
          <w:rFonts w:ascii="Times New Roman" w:eastAsia="Times New Roman"/>
        </w:rPr>
      </w:pPr>
      <w:r>
        <w:rPr/>
        <w:t>法定代表人：章宏韬电话：</w:t>
      </w:r>
      <w:r>
        <w:rPr>
          <w:rFonts w:ascii="Times New Roman" w:eastAsia="Times New Roman"/>
        </w:rPr>
        <w:t>0551-65161666 </w:t>
      </w:r>
      <w:r>
        <w:rPr/>
        <w:t>传真：</w:t>
      </w:r>
      <w:r>
        <w:rPr>
          <w:rFonts w:ascii="Times New Roman" w:eastAsia="Times New Roman"/>
        </w:rPr>
        <w:t>0551-65161600</w:t>
      </w:r>
    </w:p>
    <w:p>
      <w:pPr>
        <w:pStyle w:val="BodyText"/>
        <w:spacing w:line="269" w:lineRule="exact"/>
      </w:pPr>
      <w:r>
        <w:rPr/>
        <w:t>联系人：范超</w:t>
      </w:r>
    </w:p>
    <w:p>
      <w:pPr>
        <w:pStyle w:val="BodyText"/>
        <w:spacing w:before="6"/>
        <w:ind w:left="0"/>
        <w:rPr>
          <w:sz w:val="15"/>
        </w:rPr>
      </w:pPr>
    </w:p>
    <w:p>
      <w:pPr>
        <w:pStyle w:val="BodyText"/>
        <w:spacing w:line="417" w:lineRule="auto"/>
        <w:ind w:right="6767"/>
        <w:rPr>
          <w:rFonts w:ascii="Times New Roman" w:eastAsia="Times New Roman"/>
        </w:rPr>
      </w:pPr>
      <w:r>
        <w:rPr/>
        <w:t>网址：</w:t>
      </w:r>
      <w:hyperlink r:id="rId181">
        <w:r>
          <w:rPr>
            <w:rFonts w:ascii="Times New Roman" w:eastAsia="Times New Roman"/>
          </w:rPr>
          <w:t>www.hazq.com </w:t>
        </w:r>
      </w:hyperlink>
      <w:r>
        <w:rPr/>
        <w:t>客户服务电话：</w:t>
      </w:r>
      <w:r>
        <w:rPr>
          <w:rFonts w:ascii="Times New Roman" w:eastAsia="Times New Roman"/>
        </w:rPr>
        <w:t>95318</w:t>
      </w:r>
    </w:p>
    <w:p>
      <w:pPr>
        <w:pStyle w:val="ListParagraph"/>
        <w:numPr>
          <w:ilvl w:val="0"/>
          <w:numId w:val="31"/>
        </w:numPr>
        <w:tabs>
          <w:tab w:pos="1379" w:val="left" w:leader="none"/>
        </w:tabs>
        <w:spacing w:line="417" w:lineRule="auto" w:before="0" w:after="0"/>
        <w:ind w:left="640" w:right="5926" w:firstLine="0"/>
        <w:jc w:val="left"/>
        <w:rPr>
          <w:sz w:val="21"/>
        </w:rPr>
      </w:pPr>
      <w:r>
        <w:rPr>
          <w:spacing w:val="-4"/>
          <w:sz w:val="21"/>
        </w:rPr>
        <w:t>国海证券股份有限公司</w:t>
      </w:r>
      <w:r>
        <w:rPr>
          <w:spacing w:val="-3"/>
          <w:sz w:val="21"/>
        </w:rPr>
        <w:t>住所：广西桂林市辅星路</w:t>
      </w:r>
      <w:r>
        <w:rPr>
          <w:rFonts w:ascii="Times New Roman" w:eastAsia="Times New Roman"/>
          <w:sz w:val="21"/>
        </w:rPr>
        <w:t>13</w:t>
      </w:r>
      <w:r>
        <w:rPr>
          <w:sz w:val="21"/>
        </w:rPr>
        <w:t>号</w:t>
      </w:r>
    </w:p>
    <w:p>
      <w:pPr>
        <w:pStyle w:val="BodyText"/>
        <w:spacing w:line="417" w:lineRule="auto"/>
        <w:ind w:right="4558"/>
      </w:pPr>
      <w:r>
        <w:rPr/>
        <w:t>办公地址：广西壮族自治区南宁市滨湖路</w:t>
      </w:r>
      <w:r>
        <w:rPr>
          <w:rFonts w:ascii="Times New Roman" w:eastAsia="Times New Roman"/>
        </w:rPr>
        <w:t>46</w:t>
      </w:r>
      <w:r>
        <w:rPr/>
        <w:t>号法定代表人：何春梅</w:t>
      </w:r>
    </w:p>
    <w:p>
      <w:pPr>
        <w:pStyle w:val="BodyText"/>
        <w:spacing w:line="417" w:lineRule="auto"/>
        <w:ind w:right="6800"/>
        <w:rPr>
          <w:rFonts w:ascii="Times New Roman" w:eastAsia="Times New Roman"/>
        </w:rPr>
      </w:pPr>
      <w:r>
        <w:rPr/>
        <w:t>电话：</w:t>
      </w:r>
      <w:r>
        <w:rPr>
          <w:rFonts w:ascii="Times New Roman" w:eastAsia="Times New Roman"/>
        </w:rPr>
        <w:t>0755-83709350 </w:t>
      </w:r>
      <w:r>
        <w:rPr/>
        <w:t>传真：</w:t>
      </w:r>
      <w:r>
        <w:rPr>
          <w:rFonts w:ascii="Times New Roman" w:eastAsia="Times New Roman"/>
        </w:rPr>
        <w:t>0755-83704850</w:t>
      </w:r>
    </w:p>
    <w:p>
      <w:pPr>
        <w:pStyle w:val="BodyText"/>
        <w:spacing w:line="269" w:lineRule="exact"/>
      </w:pPr>
      <w:r>
        <w:rPr/>
        <w:t>联系人：牛孟宇</w:t>
      </w:r>
    </w:p>
    <w:p>
      <w:pPr>
        <w:pStyle w:val="BodyText"/>
        <w:spacing w:before="7"/>
        <w:ind w:left="0"/>
        <w:rPr>
          <w:sz w:val="15"/>
        </w:rPr>
      </w:pPr>
    </w:p>
    <w:p>
      <w:pPr>
        <w:pStyle w:val="BodyText"/>
        <w:spacing w:line="417" w:lineRule="auto"/>
        <w:ind w:right="6522"/>
        <w:rPr>
          <w:rFonts w:ascii="Times New Roman" w:eastAsia="Times New Roman"/>
        </w:rPr>
      </w:pPr>
      <w:r>
        <w:rPr/>
        <w:t>网址：</w:t>
      </w:r>
      <w:hyperlink r:id="rId182">
        <w:r>
          <w:rPr>
            <w:rFonts w:ascii="Times New Roman" w:eastAsia="Times New Roman"/>
          </w:rPr>
          <w:t>www.ghzq.com.cn </w:t>
        </w:r>
      </w:hyperlink>
      <w:r>
        <w:rPr/>
        <w:t>客户服务电话：</w:t>
      </w:r>
      <w:r>
        <w:rPr>
          <w:rFonts w:ascii="Times New Roman" w:eastAsia="Times New Roman"/>
        </w:rPr>
        <w:t>95563</w:t>
      </w:r>
    </w:p>
    <w:p>
      <w:pPr>
        <w:pStyle w:val="ListParagraph"/>
        <w:numPr>
          <w:ilvl w:val="0"/>
          <w:numId w:val="31"/>
        </w:numPr>
        <w:tabs>
          <w:tab w:pos="1379" w:val="left" w:leader="none"/>
        </w:tabs>
        <w:spacing w:line="240" w:lineRule="auto" w:before="0" w:after="0"/>
        <w:ind w:left="1378" w:right="0" w:hanging="739"/>
        <w:jc w:val="left"/>
        <w:rPr>
          <w:sz w:val="21"/>
        </w:rPr>
      </w:pPr>
      <w:r>
        <w:rPr>
          <w:spacing w:val="-3"/>
          <w:sz w:val="21"/>
        </w:rPr>
        <w:t>财信证券有限责任公司</w:t>
      </w:r>
    </w:p>
    <w:p>
      <w:pPr>
        <w:pStyle w:val="BodyText"/>
        <w:spacing w:before="6"/>
        <w:ind w:left="0"/>
        <w:rPr>
          <w:sz w:val="15"/>
        </w:rPr>
      </w:pPr>
    </w:p>
    <w:p>
      <w:pPr>
        <w:pStyle w:val="BodyText"/>
        <w:spacing w:before="1"/>
      </w:pPr>
      <w:r>
        <w:rPr/>
        <w:t>住所：长沙市芙蓉中路二段</w:t>
      </w:r>
      <w:r>
        <w:rPr>
          <w:rFonts w:ascii="Times New Roman" w:eastAsia="Times New Roman"/>
        </w:rPr>
        <w:t>80</w:t>
      </w:r>
      <w:r>
        <w:rPr/>
        <w:t>号顺天国际财富中心</w:t>
      </w:r>
      <w:r>
        <w:rPr>
          <w:rFonts w:ascii="Times New Roman" w:eastAsia="Times New Roman"/>
        </w:rPr>
        <w:t>26</w:t>
      </w:r>
      <w:r>
        <w:rPr/>
        <w:t>层</w:t>
      </w:r>
    </w:p>
    <w:p>
      <w:pPr>
        <w:pStyle w:val="BodyText"/>
        <w:spacing w:before="6"/>
        <w:ind w:left="0"/>
        <w:rPr>
          <w:sz w:val="15"/>
        </w:rPr>
      </w:pPr>
    </w:p>
    <w:p>
      <w:pPr>
        <w:pStyle w:val="BodyText"/>
        <w:spacing w:line="417" w:lineRule="auto"/>
        <w:ind w:right="3017"/>
      </w:pPr>
      <w:r>
        <w:rPr/>
        <w:t>办公地址：长沙市芙蓉中路二段</w:t>
      </w:r>
      <w:r>
        <w:rPr>
          <w:rFonts w:ascii="Times New Roman" w:eastAsia="Times New Roman"/>
        </w:rPr>
        <w:t>80</w:t>
      </w:r>
      <w:r>
        <w:rPr/>
        <w:t>号顺天国际财富中心</w:t>
      </w:r>
      <w:r>
        <w:rPr>
          <w:rFonts w:ascii="Times New Roman" w:eastAsia="Times New Roman"/>
        </w:rPr>
        <w:t>26-28</w:t>
      </w:r>
      <w:r>
        <w:rPr/>
        <w:t>层法定代表人：蔡一兵</w:t>
      </w:r>
    </w:p>
    <w:p>
      <w:pPr>
        <w:pStyle w:val="BodyText"/>
        <w:spacing w:line="417" w:lineRule="auto"/>
        <w:ind w:right="6800"/>
        <w:rPr>
          <w:rFonts w:ascii="Times New Roman" w:eastAsia="Times New Roman"/>
        </w:rPr>
      </w:pPr>
      <w:r>
        <w:rPr/>
        <w:t>电话：</w:t>
      </w:r>
      <w:r>
        <w:rPr>
          <w:rFonts w:ascii="Times New Roman" w:eastAsia="Times New Roman"/>
        </w:rPr>
        <w:t>0731-84403347 </w:t>
      </w:r>
      <w:r>
        <w:rPr/>
        <w:t>传真：</w:t>
      </w:r>
      <w:r>
        <w:rPr>
          <w:rFonts w:ascii="Times New Roman" w:eastAsia="Times New Roman"/>
        </w:rPr>
        <w:t>0731-84403439</w:t>
      </w:r>
    </w:p>
    <w:p>
      <w:pPr>
        <w:pStyle w:val="BodyText"/>
      </w:pPr>
      <w:r>
        <w:rPr/>
        <w:t>联系人：郭静</w:t>
      </w:r>
    </w:p>
    <w:p>
      <w:pPr>
        <w:pStyle w:val="BodyText"/>
        <w:spacing w:before="7"/>
        <w:ind w:left="0"/>
        <w:rPr>
          <w:sz w:val="15"/>
        </w:rPr>
      </w:pPr>
    </w:p>
    <w:p>
      <w:pPr>
        <w:pStyle w:val="BodyText"/>
        <w:spacing w:line="417" w:lineRule="auto"/>
        <w:ind w:right="6767"/>
        <w:rPr>
          <w:rFonts w:ascii="Times New Roman" w:eastAsia="Times New Roman"/>
        </w:rPr>
      </w:pPr>
      <w:r>
        <w:rPr/>
        <w:t>网址：</w:t>
      </w:r>
      <w:hyperlink r:id="rId183">
        <w:r>
          <w:rPr>
            <w:rFonts w:ascii="Times New Roman" w:eastAsia="Times New Roman"/>
          </w:rPr>
          <w:t>www.cfzq.com </w:t>
        </w:r>
      </w:hyperlink>
      <w:r>
        <w:rPr/>
        <w:t>客户服务电话：</w:t>
      </w:r>
      <w:r>
        <w:rPr>
          <w:rFonts w:ascii="Times New Roman" w:eastAsia="Times New Roman"/>
        </w:rPr>
        <w:t>95317</w:t>
      </w:r>
    </w:p>
    <w:p>
      <w:pPr>
        <w:pStyle w:val="ListParagraph"/>
        <w:numPr>
          <w:ilvl w:val="0"/>
          <w:numId w:val="31"/>
        </w:numPr>
        <w:tabs>
          <w:tab w:pos="1379" w:val="left" w:leader="none"/>
        </w:tabs>
        <w:spacing w:line="269" w:lineRule="exact" w:before="0" w:after="0"/>
        <w:ind w:left="1378" w:right="0" w:hanging="739"/>
        <w:jc w:val="left"/>
        <w:rPr>
          <w:sz w:val="21"/>
        </w:rPr>
      </w:pPr>
      <w:r>
        <w:rPr>
          <w:spacing w:val="-3"/>
          <w:sz w:val="21"/>
        </w:rPr>
        <w:t>东莞证券股份有限公司</w:t>
      </w:r>
    </w:p>
    <w:p>
      <w:pPr>
        <w:pStyle w:val="BodyText"/>
        <w:spacing w:before="7"/>
        <w:ind w:left="0"/>
        <w:rPr>
          <w:sz w:val="15"/>
        </w:rPr>
      </w:pPr>
    </w:p>
    <w:p>
      <w:pPr>
        <w:pStyle w:val="BodyText"/>
      </w:pPr>
      <w:r>
        <w:rPr/>
        <w:t>住所：东莞市莞城区可园南路</w:t>
      </w:r>
      <w:r>
        <w:rPr>
          <w:rFonts w:ascii="Times New Roman" w:eastAsia="Times New Roman"/>
        </w:rPr>
        <w:t>1</w:t>
      </w:r>
      <w:r>
        <w:rPr/>
        <w:t>号金源中心</w:t>
      </w:r>
    </w:p>
    <w:p>
      <w:pPr>
        <w:pStyle w:val="BodyText"/>
        <w:spacing w:before="6"/>
        <w:ind w:left="0"/>
        <w:rPr>
          <w:sz w:val="15"/>
        </w:rPr>
      </w:pPr>
    </w:p>
    <w:p>
      <w:pPr>
        <w:pStyle w:val="BodyText"/>
        <w:spacing w:line="417" w:lineRule="auto" w:before="1"/>
        <w:ind w:right="4035"/>
      </w:pPr>
      <w:r>
        <w:rPr/>
        <w:t>办公地址：东莞市莞城区可园南路</w:t>
      </w:r>
      <w:r>
        <w:rPr>
          <w:rFonts w:ascii="Times New Roman" w:eastAsia="Times New Roman"/>
        </w:rPr>
        <w:t>1</w:t>
      </w:r>
      <w:r>
        <w:rPr/>
        <w:t>号金源中心</w:t>
      </w:r>
      <w:r>
        <w:rPr>
          <w:rFonts w:ascii="Times New Roman" w:eastAsia="Times New Roman"/>
        </w:rPr>
        <w:t>30</w:t>
      </w:r>
      <w:r>
        <w:rPr/>
        <w:t>楼法定代表人：张运勇</w:t>
      </w:r>
    </w:p>
    <w:p>
      <w:pPr>
        <w:pStyle w:val="BodyText"/>
        <w:spacing w:line="417" w:lineRule="auto"/>
        <w:ind w:right="5234"/>
        <w:rPr>
          <w:rFonts w:ascii="Times New Roman" w:eastAsia="Times New Roman"/>
        </w:rPr>
      </w:pPr>
      <w:r>
        <w:rPr/>
        <w:t>电话：</w:t>
      </w:r>
      <w:r>
        <w:rPr>
          <w:rFonts w:ascii="Times New Roman" w:eastAsia="Times New Roman"/>
        </w:rPr>
        <w:t>0769-22115712</w:t>
      </w:r>
      <w:r>
        <w:rPr/>
        <w:t>、</w:t>
      </w:r>
      <w:r>
        <w:rPr>
          <w:rFonts w:ascii="Times New Roman" w:eastAsia="Times New Roman"/>
        </w:rPr>
        <w:t>0769-22119348 </w:t>
      </w:r>
      <w:r>
        <w:rPr/>
        <w:t>传真：</w:t>
      </w:r>
      <w:r>
        <w:rPr>
          <w:rFonts w:ascii="Times New Roman" w:eastAsia="Times New Roman"/>
        </w:rPr>
        <w:t>0769-22119423</w:t>
      </w:r>
    </w:p>
    <w:p>
      <w:pPr>
        <w:spacing w:after="0" w:line="417" w:lineRule="auto"/>
        <w:rPr>
          <w:rFonts w:ascii="Times New Roman" w:eastAsia="Times New Roman"/>
        </w:rPr>
        <w:sectPr>
          <w:pgSz w:w="11910" w:h="16840"/>
          <w:pgMar w:header="705" w:footer="683" w:top="1420" w:bottom="880" w:left="1580" w:right="920"/>
        </w:sectPr>
      </w:pPr>
    </w:p>
    <w:p>
      <w:pPr>
        <w:pStyle w:val="BodyText"/>
        <w:spacing w:line="417" w:lineRule="auto" w:before="110"/>
        <w:ind w:right="6565"/>
        <w:rPr>
          <w:rFonts w:ascii="Times New Roman" w:eastAsia="Times New Roman"/>
        </w:rPr>
      </w:pPr>
      <w:r>
        <w:rPr>
          <w:spacing w:val="-3"/>
        </w:rPr>
        <w:t>联系人：李荣、孙旭  网址：</w:t>
      </w:r>
      <w:hyperlink r:id="rId184">
        <w:r>
          <w:rPr>
            <w:rFonts w:ascii="Times New Roman" w:eastAsia="Times New Roman"/>
            <w:spacing w:val="-3"/>
          </w:rPr>
          <w:t>www.dgzq.com.cn </w:t>
        </w:r>
      </w:hyperlink>
      <w:r>
        <w:rPr>
          <w:spacing w:val="-2"/>
        </w:rPr>
        <w:t>客户服务电话：</w:t>
      </w:r>
      <w:r>
        <w:rPr>
          <w:rFonts w:ascii="Times New Roman" w:eastAsia="Times New Roman"/>
        </w:rPr>
        <w:t>95328</w:t>
      </w:r>
    </w:p>
    <w:p>
      <w:pPr>
        <w:pStyle w:val="ListParagraph"/>
        <w:numPr>
          <w:ilvl w:val="0"/>
          <w:numId w:val="31"/>
        </w:numPr>
        <w:tabs>
          <w:tab w:pos="1379" w:val="left" w:leader="none"/>
        </w:tabs>
        <w:spacing w:line="269" w:lineRule="exact" w:before="0" w:after="0"/>
        <w:ind w:left="1378" w:right="0" w:hanging="739"/>
        <w:jc w:val="left"/>
        <w:rPr>
          <w:sz w:val="21"/>
        </w:rPr>
      </w:pPr>
      <w:r>
        <w:rPr>
          <w:spacing w:val="-3"/>
          <w:sz w:val="21"/>
        </w:rPr>
        <w:t>中原证券股份有限公司</w:t>
      </w:r>
    </w:p>
    <w:p>
      <w:pPr>
        <w:pStyle w:val="BodyText"/>
        <w:spacing w:before="6"/>
        <w:ind w:left="0"/>
        <w:rPr>
          <w:sz w:val="15"/>
        </w:rPr>
      </w:pPr>
    </w:p>
    <w:p>
      <w:pPr>
        <w:pStyle w:val="BodyText"/>
      </w:pPr>
      <w:r>
        <w:rPr/>
        <w:t>住所：郑州市郑东新区商务外环路</w:t>
      </w:r>
      <w:r>
        <w:rPr>
          <w:rFonts w:ascii="Times New Roman" w:eastAsia="Times New Roman"/>
        </w:rPr>
        <w:t>10</w:t>
      </w:r>
      <w:r>
        <w:rPr/>
        <w:t>号</w:t>
      </w:r>
    </w:p>
    <w:p>
      <w:pPr>
        <w:pStyle w:val="BodyText"/>
        <w:spacing w:before="7"/>
        <w:ind w:left="0"/>
        <w:rPr>
          <w:sz w:val="15"/>
        </w:rPr>
      </w:pPr>
    </w:p>
    <w:p>
      <w:pPr>
        <w:pStyle w:val="BodyText"/>
        <w:spacing w:line="417" w:lineRule="auto"/>
        <w:ind w:right="4769"/>
      </w:pPr>
      <w:r>
        <w:rPr/>
        <w:t>办公地址：郑州市郑东新区商务外环路</w:t>
      </w:r>
      <w:r>
        <w:rPr>
          <w:rFonts w:ascii="Times New Roman" w:eastAsia="Times New Roman"/>
        </w:rPr>
        <w:t>10</w:t>
      </w:r>
      <w:r>
        <w:rPr/>
        <w:t>号法定代表人：菅明军</w:t>
      </w:r>
    </w:p>
    <w:p>
      <w:pPr>
        <w:pStyle w:val="BodyText"/>
        <w:spacing w:line="417" w:lineRule="auto"/>
        <w:ind w:right="6800"/>
        <w:rPr>
          <w:rFonts w:ascii="Times New Roman" w:eastAsia="Times New Roman"/>
        </w:rPr>
      </w:pPr>
      <w:r>
        <w:rPr/>
        <w:t>电话：</w:t>
      </w:r>
      <w:r>
        <w:rPr>
          <w:rFonts w:ascii="Times New Roman" w:eastAsia="Times New Roman"/>
        </w:rPr>
        <w:t>0371-69099882 </w:t>
      </w:r>
      <w:r>
        <w:rPr/>
        <w:t>传真：</w:t>
      </w:r>
      <w:r>
        <w:rPr>
          <w:rFonts w:ascii="Times New Roman" w:eastAsia="Times New Roman"/>
        </w:rPr>
        <w:t>0371-65585899</w:t>
      </w:r>
    </w:p>
    <w:p>
      <w:pPr>
        <w:pStyle w:val="BodyText"/>
        <w:spacing w:line="417" w:lineRule="auto"/>
        <w:ind w:right="5818"/>
        <w:rPr>
          <w:rFonts w:ascii="Times New Roman" w:eastAsia="Times New Roman"/>
        </w:rPr>
      </w:pPr>
      <w:r>
        <w:rPr/>
        <w:t>联系人：程月艳、李盼盼、党静网址：</w:t>
      </w:r>
      <w:hyperlink r:id="rId185">
        <w:r>
          <w:rPr>
            <w:rFonts w:ascii="Times New Roman" w:eastAsia="Times New Roman"/>
          </w:rPr>
          <w:t>www.ccnew.com</w:t>
        </w:r>
      </w:hyperlink>
    </w:p>
    <w:p>
      <w:pPr>
        <w:pStyle w:val="BodyText"/>
        <w:spacing w:line="269" w:lineRule="exact"/>
        <w:rPr>
          <w:rFonts w:ascii="Times New Roman" w:eastAsia="Times New Roman"/>
        </w:rPr>
      </w:pPr>
      <w:r>
        <w:rPr/>
        <w:t>客户服务电话：</w:t>
      </w:r>
      <w:r>
        <w:rPr>
          <w:rFonts w:ascii="Times New Roman" w:eastAsia="Times New Roman"/>
        </w:rPr>
        <w:t>95377</w:t>
      </w:r>
    </w:p>
    <w:p>
      <w:pPr>
        <w:pStyle w:val="BodyText"/>
        <w:spacing w:before="3"/>
        <w:ind w:left="0"/>
        <w:rPr>
          <w:rFonts w:ascii="Times New Roman"/>
          <w:sz w:val="17"/>
        </w:rPr>
      </w:pPr>
    </w:p>
    <w:p>
      <w:pPr>
        <w:pStyle w:val="ListParagraph"/>
        <w:numPr>
          <w:ilvl w:val="0"/>
          <w:numId w:val="31"/>
        </w:numPr>
        <w:tabs>
          <w:tab w:pos="1379" w:val="left" w:leader="none"/>
        </w:tabs>
        <w:spacing w:line="240" w:lineRule="auto" w:before="1" w:after="0"/>
        <w:ind w:left="1378" w:right="0" w:hanging="739"/>
        <w:jc w:val="left"/>
        <w:rPr>
          <w:sz w:val="21"/>
        </w:rPr>
      </w:pPr>
      <w:r>
        <w:rPr>
          <w:spacing w:val="-3"/>
          <w:sz w:val="21"/>
        </w:rPr>
        <w:t>国都证券股份有限公司</w:t>
      </w:r>
    </w:p>
    <w:p>
      <w:pPr>
        <w:pStyle w:val="BodyText"/>
        <w:spacing w:before="6"/>
        <w:ind w:left="0"/>
        <w:rPr>
          <w:sz w:val="15"/>
        </w:rPr>
      </w:pPr>
    </w:p>
    <w:p>
      <w:pPr>
        <w:pStyle w:val="BodyText"/>
      </w:pPr>
      <w:r>
        <w:rPr/>
        <w:t>住所：北京市东城区东直门南大街</w:t>
      </w:r>
      <w:r>
        <w:rPr>
          <w:rFonts w:ascii="Times New Roman" w:eastAsia="Times New Roman"/>
        </w:rPr>
        <w:t>3</w:t>
      </w:r>
      <w:r>
        <w:rPr/>
        <w:t>号国华投资大厦</w:t>
      </w:r>
      <w:r>
        <w:rPr>
          <w:rFonts w:ascii="Times New Roman" w:eastAsia="Times New Roman"/>
        </w:rPr>
        <w:t>9</w:t>
      </w:r>
      <w:r>
        <w:rPr/>
        <w:t>层、</w:t>
      </w:r>
      <w:r>
        <w:rPr>
          <w:rFonts w:ascii="Times New Roman" w:eastAsia="Times New Roman"/>
        </w:rPr>
        <w:t>10</w:t>
      </w:r>
      <w:r>
        <w:rPr/>
        <w:t>层</w:t>
      </w:r>
    </w:p>
    <w:p>
      <w:pPr>
        <w:pStyle w:val="BodyText"/>
        <w:spacing w:before="7"/>
        <w:ind w:left="0"/>
        <w:rPr>
          <w:sz w:val="15"/>
        </w:rPr>
      </w:pPr>
    </w:p>
    <w:p>
      <w:pPr>
        <w:pStyle w:val="BodyText"/>
        <w:spacing w:line="417" w:lineRule="auto"/>
        <w:ind w:right="2669"/>
      </w:pPr>
      <w:r>
        <w:rPr>
          <w:spacing w:val="-3"/>
        </w:rPr>
        <w:t>办公地址：北京市东城区东直门南大街</w:t>
      </w:r>
      <w:r>
        <w:rPr>
          <w:rFonts w:ascii="Times New Roman" w:eastAsia="Times New Roman"/>
          <w:spacing w:val="-3"/>
        </w:rPr>
        <w:t>3</w:t>
      </w:r>
      <w:r>
        <w:rPr>
          <w:spacing w:val="-3"/>
        </w:rPr>
        <w:t>号国华投资大厦</w:t>
      </w:r>
      <w:r>
        <w:rPr>
          <w:rFonts w:ascii="Times New Roman" w:eastAsia="Times New Roman"/>
          <w:spacing w:val="-3"/>
        </w:rPr>
        <w:t>9</w:t>
      </w:r>
      <w:r>
        <w:rPr/>
        <w:t>层、</w:t>
      </w:r>
      <w:r>
        <w:rPr>
          <w:rFonts w:ascii="Times New Roman" w:eastAsia="Times New Roman"/>
        </w:rPr>
        <w:t>10</w:t>
      </w:r>
      <w:r>
        <w:rPr/>
        <w:t>层</w:t>
      </w:r>
      <w:r>
        <w:rPr>
          <w:spacing w:val="-3"/>
        </w:rPr>
        <w:t>法定代表人：翁振杰</w:t>
      </w:r>
    </w:p>
    <w:p>
      <w:pPr>
        <w:pStyle w:val="BodyText"/>
        <w:spacing w:line="269" w:lineRule="exact"/>
        <w:rPr>
          <w:rFonts w:ascii="Times New Roman" w:eastAsia="Times New Roman"/>
        </w:rPr>
      </w:pPr>
      <w:r>
        <w:rPr>
          <w:spacing w:val="-1"/>
        </w:rPr>
        <w:t>电话：</w:t>
      </w:r>
      <w:r>
        <w:rPr>
          <w:rFonts w:ascii="Times New Roman" w:eastAsia="Times New Roman"/>
          <w:spacing w:val="-1"/>
        </w:rPr>
        <w:t>010-84183389</w:t>
      </w:r>
    </w:p>
    <w:p>
      <w:pPr>
        <w:pStyle w:val="BodyText"/>
        <w:spacing w:before="4"/>
        <w:ind w:left="0"/>
        <w:rPr>
          <w:rFonts w:ascii="Times New Roman"/>
          <w:sz w:val="17"/>
        </w:rPr>
      </w:pPr>
    </w:p>
    <w:p>
      <w:pPr>
        <w:pStyle w:val="BodyText"/>
        <w:rPr>
          <w:rFonts w:ascii="Times New Roman" w:eastAsia="Times New Roman"/>
        </w:rPr>
      </w:pPr>
      <w:r>
        <w:rPr/>
        <w:t>传真：</w:t>
      </w:r>
      <w:r>
        <w:rPr>
          <w:rFonts w:ascii="Times New Roman" w:eastAsia="Times New Roman"/>
        </w:rPr>
        <w:t>010-84183311-3389</w:t>
      </w:r>
    </w:p>
    <w:p>
      <w:pPr>
        <w:pStyle w:val="BodyText"/>
        <w:spacing w:before="3"/>
        <w:ind w:left="0"/>
        <w:rPr>
          <w:rFonts w:ascii="Times New Roman"/>
          <w:sz w:val="17"/>
        </w:rPr>
      </w:pPr>
    </w:p>
    <w:p>
      <w:pPr>
        <w:pStyle w:val="BodyText"/>
      </w:pPr>
      <w:r>
        <w:rPr/>
        <w:t>联系人：黄静</w:t>
      </w:r>
    </w:p>
    <w:p>
      <w:pPr>
        <w:pStyle w:val="BodyText"/>
        <w:spacing w:before="7"/>
        <w:ind w:left="0"/>
        <w:rPr>
          <w:sz w:val="15"/>
        </w:rPr>
      </w:pPr>
    </w:p>
    <w:p>
      <w:pPr>
        <w:pStyle w:val="BodyText"/>
        <w:rPr>
          <w:rFonts w:ascii="Times New Roman" w:eastAsia="Times New Roman"/>
        </w:rPr>
      </w:pPr>
      <w:r>
        <w:rPr/>
        <w:t>网址：</w:t>
      </w:r>
      <w:hyperlink r:id="rId186">
        <w:r>
          <w:rPr>
            <w:rFonts w:ascii="Times New Roman" w:eastAsia="Times New Roman"/>
          </w:rPr>
          <w:t>www.guodu.com</w:t>
        </w:r>
      </w:hyperlink>
    </w:p>
    <w:p>
      <w:pPr>
        <w:pStyle w:val="BodyText"/>
        <w:spacing w:before="3"/>
        <w:ind w:left="0"/>
        <w:rPr>
          <w:rFonts w:ascii="Times New Roman"/>
          <w:sz w:val="17"/>
        </w:rPr>
      </w:pPr>
    </w:p>
    <w:p>
      <w:pPr>
        <w:pStyle w:val="BodyText"/>
        <w:spacing w:before="1"/>
        <w:rPr>
          <w:rFonts w:ascii="Times New Roman" w:eastAsia="Times New Roman"/>
        </w:rPr>
      </w:pPr>
      <w:r>
        <w:rPr/>
        <w:t>客户服务电话：</w:t>
      </w:r>
      <w:r>
        <w:rPr>
          <w:rFonts w:ascii="Times New Roman" w:eastAsia="Times New Roman"/>
        </w:rPr>
        <w:t>400-818-8118</w:t>
      </w:r>
    </w:p>
    <w:p>
      <w:pPr>
        <w:pStyle w:val="BodyText"/>
        <w:spacing w:before="3"/>
        <w:ind w:left="0"/>
        <w:rPr>
          <w:rFonts w:ascii="Times New Roman"/>
          <w:sz w:val="17"/>
        </w:rPr>
      </w:pPr>
    </w:p>
    <w:p>
      <w:pPr>
        <w:pStyle w:val="ListParagraph"/>
        <w:numPr>
          <w:ilvl w:val="0"/>
          <w:numId w:val="31"/>
        </w:numPr>
        <w:tabs>
          <w:tab w:pos="1379" w:val="left" w:leader="none"/>
        </w:tabs>
        <w:spacing w:line="240" w:lineRule="auto" w:before="1" w:after="0"/>
        <w:ind w:left="1378" w:right="0" w:hanging="739"/>
        <w:jc w:val="left"/>
        <w:rPr>
          <w:sz w:val="21"/>
        </w:rPr>
      </w:pPr>
      <w:r>
        <w:rPr>
          <w:spacing w:val="-3"/>
          <w:sz w:val="21"/>
        </w:rPr>
        <w:t>东海证券股份有限公司</w:t>
      </w:r>
    </w:p>
    <w:p>
      <w:pPr>
        <w:pStyle w:val="BodyText"/>
        <w:spacing w:before="6"/>
        <w:ind w:left="0"/>
        <w:rPr>
          <w:sz w:val="15"/>
        </w:rPr>
      </w:pPr>
    </w:p>
    <w:p>
      <w:pPr>
        <w:pStyle w:val="BodyText"/>
      </w:pPr>
      <w:r>
        <w:rPr>
          <w:spacing w:val="-3"/>
        </w:rPr>
        <w:t>住所：江苏省常州延陵西路</w:t>
      </w:r>
      <w:r>
        <w:rPr>
          <w:rFonts w:ascii="Times New Roman" w:eastAsia="Times New Roman"/>
        </w:rPr>
        <w:t>23</w:t>
      </w:r>
      <w:r>
        <w:rPr>
          <w:spacing w:val="-3"/>
        </w:rPr>
        <w:t>号投资广场</w:t>
      </w:r>
      <w:r>
        <w:rPr>
          <w:rFonts w:ascii="Times New Roman" w:eastAsia="Times New Roman"/>
        </w:rPr>
        <w:t>18</w:t>
      </w:r>
      <w:r>
        <w:rPr/>
        <w:t>层</w:t>
      </w:r>
    </w:p>
    <w:p>
      <w:pPr>
        <w:pStyle w:val="BodyText"/>
        <w:spacing w:before="7"/>
        <w:ind w:left="0"/>
        <w:rPr>
          <w:sz w:val="15"/>
        </w:rPr>
      </w:pPr>
    </w:p>
    <w:p>
      <w:pPr>
        <w:pStyle w:val="BodyText"/>
        <w:spacing w:line="417" w:lineRule="auto"/>
        <w:ind w:right="3718"/>
      </w:pPr>
      <w:r>
        <w:rPr/>
        <w:t>办公地址：上海市浦东新区东方路</w:t>
      </w:r>
      <w:r>
        <w:rPr>
          <w:rFonts w:ascii="Times New Roman" w:eastAsia="Times New Roman"/>
        </w:rPr>
        <w:t>1928</w:t>
      </w:r>
      <w:r>
        <w:rPr/>
        <w:t>号东海证券大厦法定代表人：钱俊文</w:t>
      </w:r>
    </w:p>
    <w:p>
      <w:pPr>
        <w:pStyle w:val="BodyText"/>
        <w:spacing w:line="417" w:lineRule="auto"/>
        <w:ind w:right="6906"/>
        <w:rPr>
          <w:rFonts w:ascii="Times New Roman" w:eastAsia="Times New Roman"/>
        </w:rPr>
      </w:pPr>
      <w:r>
        <w:rPr/>
        <w:t>电话：</w:t>
      </w:r>
      <w:r>
        <w:rPr>
          <w:rFonts w:ascii="Times New Roman" w:eastAsia="Times New Roman"/>
        </w:rPr>
        <w:t>021-20333333 </w:t>
      </w:r>
      <w:r>
        <w:rPr/>
        <w:t>传真：</w:t>
      </w:r>
      <w:r>
        <w:rPr>
          <w:rFonts w:ascii="Times New Roman" w:eastAsia="Times New Roman"/>
        </w:rPr>
        <w:t>021-50498825</w:t>
      </w:r>
    </w:p>
    <w:p>
      <w:pPr>
        <w:pStyle w:val="BodyText"/>
        <w:spacing w:line="269" w:lineRule="exact"/>
      </w:pPr>
      <w:r>
        <w:rPr/>
        <w:t>联系人：王一彦</w:t>
      </w:r>
    </w:p>
    <w:p>
      <w:pPr>
        <w:pStyle w:val="BodyText"/>
        <w:spacing w:before="7"/>
        <w:ind w:left="0"/>
        <w:rPr>
          <w:sz w:val="15"/>
        </w:rPr>
      </w:pPr>
    </w:p>
    <w:p>
      <w:pPr>
        <w:pStyle w:val="BodyText"/>
        <w:rPr>
          <w:rFonts w:ascii="Times New Roman" w:eastAsia="Times New Roman"/>
        </w:rPr>
      </w:pPr>
      <w:r>
        <w:rPr/>
        <w:t>网址：</w:t>
      </w:r>
      <w:hyperlink r:id="rId187">
        <w:r>
          <w:rPr>
            <w:rFonts w:ascii="Times New Roman" w:eastAsia="Times New Roman"/>
          </w:rPr>
          <w:t>www.longone.com.cn</w:t>
        </w:r>
      </w:hyperlink>
    </w:p>
    <w:p>
      <w:pPr>
        <w:pStyle w:val="BodyText"/>
        <w:spacing w:before="3"/>
        <w:ind w:left="0"/>
        <w:rPr>
          <w:rFonts w:ascii="Times New Roman"/>
          <w:sz w:val="17"/>
        </w:rPr>
      </w:pPr>
    </w:p>
    <w:p>
      <w:pPr>
        <w:pStyle w:val="BodyText"/>
        <w:rPr>
          <w:rFonts w:ascii="Times New Roman" w:eastAsia="Times New Roman"/>
        </w:rPr>
      </w:pPr>
      <w:r>
        <w:rPr/>
        <w:t>客户服务电话：</w:t>
      </w:r>
      <w:r>
        <w:rPr>
          <w:rFonts w:ascii="Times New Roman" w:eastAsia="Times New Roman"/>
        </w:rPr>
        <w:t>95531</w:t>
      </w:r>
      <w:r>
        <w:rPr/>
        <w:t>、</w:t>
      </w:r>
      <w:r>
        <w:rPr>
          <w:rFonts w:ascii="Times New Roman" w:eastAsia="Times New Roman"/>
        </w:rPr>
        <w:t>400-888-8588</w:t>
      </w:r>
    </w:p>
    <w:p>
      <w:pPr>
        <w:spacing w:after="0"/>
        <w:rPr>
          <w:rFonts w:ascii="Times New Roman" w:eastAsia="Times New Roman"/>
        </w:rPr>
        <w:sectPr>
          <w:pgSz w:w="11910" w:h="16840"/>
          <w:pgMar w:header="705" w:footer="683" w:top="1420" w:bottom="880" w:left="1580" w:right="920"/>
        </w:sectPr>
      </w:pPr>
    </w:p>
    <w:p>
      <w:pPr>
        <w:pStyle w:val="ListParagraph"/>
        <w:numPr>
          <w:ilvl w:val="0"/>
          <w:numId w:val="31"/>
        </w:numPr>
        <w:tabs>
          <w:tab w:pos="1379" w:val="left" w:leader="none"/>
        </w:tabs>
        <w:spacing w:line="240" w:lineRule="auto" w:before="110" w:after="0"/>
        <w:ind w:left="1378" w:right="0" w:hanging="739"/>
        <w:jc w:val="left"/>
        <w:rPr>
          <w:sz w:val="21"/>
        </w:rPr>
      </w:pPr>
      <w:r>
        <w:rPr>
          <w:spacing w:val="-3"/>
          <w:sz w:val="21"/>
        </w:rPr>
        <w:t>中银国际证券股份有限公司</w:t>
      </w:r>
    </w:p>
    <w:p>
      <w:pPr>
        <w:pStyle w:val="BodyText"/>
        <w:spacing w:before="6"/>
        <w:ind w:left="0"/>
        <w:rPr>
          <w:sz w:val="15"/>
        </w:rPr>
      </w:pPr>
    </w:p>
    <w:p>
      <w:pPr>
        <w:pStyle w:val="BodyText"/>
      </w:pPr>
      <w:r>
        <w:rPr/>
        <w:t>住所：上海浦东新区银城中路</w:t>
      </w:r>
      <w:r>
        <w:rPr>
          <w:rFonts w:ascii="Times New Roman" w:eastAsia="Times New Roman"/>
        </w:rPr>
        <w:t>200</w:t>
      </w:r>
      <w:r>
        <w:rPr/>
        <w:t>号中银大厦</w:t>
      </w:r>
      <w:r>
        <w:rPr>
          <w:rFonts w:ascii="Times New Roman" w:eastAsia="Times New Roman"/>
        </w:rPr>
        <w:t>39</w:t>
      </w:r>
      <w:r>
        <w:rPr/>
        <w:t>层</w:t>
      </w:r>
    </w:p>
    <w:p>
      <w:pPr>
        <w:pStyle w:val="BodyText"/>
        <w:spacing w:before="7"/>
        <w:ind w:left="0"/>
        <w:rPr>
          <w:sz w:val="15"/>
        </w:rPr>
      </w:pPr>
    </w:p>
    <w:p>
      <w:pPr>
        <w:pStyle w:val="BodyText"/>
        <w:spacing w:line="417" w:lineRule="auto"/>
        <w:ind w:right="3826"/>
      </w:pPr>
      <w:r>
        <w:rPr/>
        <w:t>办公地址：上海浦东新区银城中路</w:t>
      </w:r>
      <w:r>
        <w:rPr>
          <w:rFonts w:ascii="Times New Roman" w:eastAsia="Times New Roman"/>
        </w:rPr>
        <w:t>200</w:t>
      </w:r>
      <w:r>
        <w:rPr/>
        <w:t>号中银大厦</w:t>
      </w:r>
      <w:r>
        <w:rPr>
          <w:rFonts w:ascii="Times New Roman" w:eastAsia="Times New Roman"/>
        </w:rPr>
        <w:t>39</w:t>
      </w:r>
      <w:r>
        <w:rPr/>
        <w:t>层法定代表人：宁敏</w:t>
      </w:r>
    </w:p>
    <w:p>
      <w:pPr>
        <w:pStyle w:val="BodyText"/>
        <w:spacing w:line="417" w:lineRule="auto"/>
        <w:ind w:right="6906"/>
        <w:rPr>
          <w:rFonts w:ascii="Times New Roman" w:eastAsia="Times New Roman"/>
        </w:rPr>
      </w:pPr>
      <w:r>
        <w:rPr/>
        <w:t>电话：</w:t>
      </w:r>
      <w:r>
        <w:rPr>
          <w:rFonts w:ascii="Times New Roman" w:eastAsia="Times New Roman"/>
        </w:rPr>
        <w:t>021-20328000 </w:t>
      </w:r>
      <w:r>
        <w:rPr/>
        <w:t>传真：</w:t>
      </w:r>
      <w:r>
        <w:rPr>
          <w:rFonts w:ascii="Times New Roman" w:eastAsia="Times New Roman"/>
        </w:rPr>
        <w:t>021-50372474</w:t>
      </w:r>
    </w:p>
    <w:p>
      <w:pPr>
        <w:pStyle w:val="BodyText"/>
        <w:spacing w:line="269" w:lineRule="exact"/>
      </w:pPr>
      <w:r>
        <w:rPr/>
        <w:t>联系人：王炜哲</w:t>
      </w:r>
    </w:p>
    <w:p>
      <w:pPr>
        <w:pStyle w:val="BodyText"/>
        <w:spacing w:before="7"/>
        <w:ind w:left="0"/>
        <w:rPr>
          <w:sz w:val="15"/>
        </w:rPr>
      </w:pPr>
    </w:p>
    <w:p>
      <w:pPr>
        <w:pStyle w:val="BodyText"/>
        <w:spacing w:line="417" w:lineRule="auto"/>
        <w:ind w:right="6101"/>
        <w:rPr>
          <w:rFonts w:ascii="Times New Roman" w:eastAsia="Times New Roman"/>
        </w:rPr>
      </w:pPr>
      <w:r>
        <w:rPr/>
        <w:t>网址：</w:t>
      </w:r>
      <w:hyperlink r:id="rId188">
        <w:r>
          <w:rPr>
            <w:rFonts w:ascii="Times New Roman" w:eastAsia="Times New Roman"/>
          </w:rPr>
          <w:t>www.bocichina.com.cn </w:t>
        </w:r>
      </w:hyperlink>
      <w:r>
        <w:rPr/>
        <w:t>客户服务电话：</w:t>
      </w:r>
      <w:r>
        <w:rPr>
          <w:rFonts w:ascii="Times New Roman" w:eastAsia="Times New Roman"/>
        </w:rPr>
        <w:t>400-620-8888</w:t>
      </w:r>
    </w:p>
    <w:p>
      <w:pPr>
        <w:pStyle w:val="ListParagraph"/>
        <w:numPr>
          <w:ilvl w:val="0"/>
          <w:numId w:val="31"/>
        </w:numPr>
        <w:tabs>
          <w:tab w:pos="1379" w:val="left" w:leader="none"/>
        </w:tabs>
        <w:spacing w:line="269" w:lineRule="exact" w:before="0" w:after="0"/>
        <w:ind w:left="1378" w:right="0" w:hanging="739"/>
        <w:jc w:val="left"/>
        <w:rPr>
          <w:sz w:val="21"/>
        </w:rPr>
      </w:pPr>
      <w:r>
        <w:rPr>
          <w:spacing w:val="-3"/>
          <w:sz w:val="21"/>
        </w:rPr>
        <w:t>恒泰证券股份有限公司</w:t>
      </w:r>
    </w:p>
    <w:p>
      <w:pPr>
        <w:pStyle w:val="BodyText"/>
        <w:spacing w:before="7"/>
        <w:ind w:left="0"/>
        <w:rPr>
          <w:sz w:val="15"/>
        </w:rPr>
      </w:pPr>
    </w:p>
    <w:p>
      <w:pPr>
        <w:pStyle w:val="BodyText"/>
      </w:pPr>
      <w:r>
        <w:rPr/>
        <w:t>住所：内蒙古呼和浩特市新城区新华东街</w:t>
      </w:r>
      <w:r>
        <w:rPr>
          <w:rFonts w:ascii="Times New Roman" w:eastAsia="Times New Roman"/>
        </w:rPr>
        <w:t>111</w:t>
      </w:r>
      <w:r>
        <w:rPr/>
        <w:t>号</w:t>
      </w:r>
    </w:p>
    <w:p>
      <w:pPr>
        <w:pStyle w:val="BodyText"/>
        <w:spacing w:before="7"/>
        <w:ind w:left="0"/>
        <w:rPr>
          <w:sz w:val="15"/>
        </w:rPr>
      </w:pPr>
    </w:p>
    <w:p>
      <w:pPr>
        <w:pStyle w:val="BodyText"/>
        <w:spacing w:line="417" w:lineRule="auto"/>
        <w:ind w:right="4007"/>
      </w:pPr>
      <w:r>
        <w:rPr/>
        <w:t>办公地址：内蒙古呼和浩特市新城区新华东街</w:t>
      </w:r>
      <w:r>
        <w:rPr>
          <w:rFonts w:ascii="Times New Roman" w:eastAsia="Times New Roman"/>
        </w:rPr>
        <w:t>111</w:t>
      </w:r>
      <w:r>
        <w:rPr/>
        <w:t>号法定代表人：庞介民</w:t>
      </w:r>
    </w:p>
    <w:p>
      <w:pPr>
        <w:pStyle w:val="BodyText"/>
        <w:spacing w:line="417" w:lineRule="auto"/>
        <w:ind w:right="6906"/>
        <w:rPr>
          <w:rFonts w:ascii="Times New Roman" w:eastAsia="Times New Roman"/>
        </w:rPr>
      </w:pPr>
      <w:r>
        <w:rPr/>
        <w:t>电话：</w:t>
      </w:r>
      <w:r>
        <w:rPr>
          <w:rFonts w:ascii="Times New Roman" w:eastAsia="Times New Roman"/>
        </w:rPr>
        <w:t>021-68405273 </w:t>
      </w:r>
      <w:r>
        <w:rPr/>
        <w:t>传真：</w:t>
      </w:r>
      <w:r>
        <w:rPr>
          <w:rFonts w:ascii="Times New Roman" w:eastAsia="Times New Roman"/>
        </w:rPr>
        <w:t>021-68405181</w:t>
      </w:r>
    </w:p>
    <w:p>
      <w:pPr>
        <w:pStyle w:val="BodyText"/>
      </w:pPr>
      <w:r>
        <w:rPr/>
        <w:t>联系人：张同亮</w:t>
      </w:r>
    </w:p>
    <w:p>
      <w:pPr>
        <w:pStyle w:val="BodyText"/>
        <w:spacing w:before="6"/>
        <w:ind w:left="0"/>
        <w:rPr>
          <w:sz w:val="15"/>
        </w:rPr>
      </w:pPr>
    </w:p>
    <w:p>
      <w:pPr>
        <w:pStyle w:val="BodyText"/>
        <w:spacing w:line="417" w:lineRule="auto"/>
        <w:ind w:right="6569"/>
        <w:rPr>
          <w:rFonts w:ascii="Times New Roman" w:eastAsia="Times New Roman"/>
        </w:rPr>
      </w:pPr>
      <w:r>
        <w:rPr/>
        <w:t>网址：</w:t>
      </w:r>
      <w:hyperlink r:id="rId189">
        <w:r>
          <w:rPr>
            <w:rFonts w:ascii="Times New Roman" w:eastAsia="Times New Roman"/>
          </w:rPr>
          <w:t>www.cnht.com.cn </w:t>
        </w:r>
      </w:hyperlink>
      <w:r>
        <w:rPr/>
        <w:t>客户服务电话：</w:t>
      </w:r>
      <w:r>
        <w:rPr>
          <w:rFonts w:ascii="Times New Roman" w:eastAsia="Times New Roman"/>
        </w:rPr>
        <w:t>956088</w:t>
      </w:r>
    </w:p>
    <w:p>
      <w:pPr>
        <w:pStyle w:val="ListParagraph"/>
        <w:numPr>
          <w:ilvl w:val="0"/>
          <w:numId w:val="31"/>
        </w:numPr>
        <w:tabs>
          <w:tab w:pos="1379" w:val="left" w:leader="none"/>
        </w:tabs>
        <w:spacing w:line="269" w:lineRule="exact" w:before="0" w:after="0"/>
        <w:ind w:left="1378" w:right="0" w:hanging="739"/>
        <w:jc w:val="left"/>
        <w:rPr>
          <w:sz w:val="21"/>
        </w:rPr>
      </w:pPr>
      <w:r>
        <w:rPr>
          <w:spacing w:val="-3"/>
          <w:sz w:val="21"/>
        </w:rPr>
        <w:t>国盛证券有限责任公司</w:t>
      </w:r>
    </w:p>
    <w:p>
      <w:pPr>
        <w:pStyle w:val="BodyText"/>
        <w:spacing w:before="7"/>
        <w:ind w:left="0"/>
        <w:rPr>
          <w:sz w:val="15"/>
        </w:rPr>
      </w:pPr>
    </w:p>
    <w:p>
      <w:pPr>
        <w:pStyle w:val="BodyText"/>
      </w:pPr>
      <w:r>
        <w:rPr>
          <w:spacing w:val="-3"/>
        </w:rPr>
        <w:t>住所：南昌市北京西路</w:t>
      </w:r>
      <w:r>
        <w:rPr>
          <w:rFonts w:ascii="Times New Roman" w:eastAsia="Times New Roman"/>
        </w:rPr>
        <w:t>88</w:t>
      </w:r>
      <w:r>
        <w:rPr>
          <w:spacing w:val="-3"/>
        </w:rPr>
        <w:t>号江信国际金融大厦</w:t>
      </w:r>
    </w:p>
    <w:p>
      <w:pPr>
        <w:pStyle w:val="BodyText"/>
        <w:spacing w:before="6"/>
        <w:ind w:left="0"/>
        <w:rPr>
          <w:sz w:val="15"/>
        </w:rPr>
      </w:pPr>
    </w:p>
    <w:p>
      <w:pPr>
        <w:pStyle w:val="BodyText"/>
        <w:spacing w:line="417" w:lineRule="auto" w:before="1"/>
        <w:ind w:right="2432"/>
      </w:pPr>
      <w:r>
        <w:rPr/>
        <w:t>办公地址：江西省南昌市红谷滩新区凤凰中大道</w:t>
      </w:r>
      <w:r>
        <w:rPr>
          <w:rFonts w:ascii="Times New Roman" w:eastAsia="Times New Roman"/>
        </w:rPr>
        <w:t>1115</w:t>
      </w:r>
      <w:r>
        <w:rPr/>
        <w:t>号北京银行大楼法定代表人：徐丽峰</w:t>
      </w:r>
    </w:p>
    <w:p>
      <w:pPr>
        <w:pStyle w:val="BodyText"/>
        <w:spacing w:line="417" w:lineRule="auto"/>
        <w:ind w:right="5434"/>
        <w:rPr>
          <w:rFonts w:ascii="Times New Roman" w:eastAsia="Times New Roman"/>
        </w:rPr>
      </w:pPr>
      <w:r>
        <w:rPr/>
        <w:t>电话：</w:t>
      </w:r>
      <w:r>
        <w:rPr>
          <w:rFonts w:ascii="Times New Roman" w:eastAsia="Times New Roman"/>
        </w:rPr>
        <w:t>0791-86283372</w:t>
      </w:r>
      <w:r>
        <w:rPr/>
        <w:t>、</w:t>
      </w:r>
      <w:r>
        <w:rPr>
          <w:rFonts w:ascii="Times New Roman" w:eastAsia="Times New Roman"/>
        </w:rPr>
        <w:t>15170012175 </w:t>
      </w:r>
      <w:r>
        <w:rPr/>
        <w:t>传真：</w:t>
      </w:r>
      <w:r>
        <w:rPr>
          <w:rFonts w:ascii="Times New Roman" w:eastAsia="Times New Roman"/>
        </w:rPr>
        <w:t>0791-86281305</w:t>
      </w:r>
    </w:p>
    <w:p>
      <w:pPr>
        <w:pStyle w:val="BodyText"/>
        <w:spacing w:line="269" w:lineRule="exact"/>
      </w:pPr>
      <w:r>
        <w:rPr/>
        <w:t>联系人：占文驰</w:t>
      </w:r>
    </w:p>
    <w:p>
      <w:pPr>
        <w:pStyle w:val="BodyText"/>
        <w:spacing w:before="7"/>
        <w:ind w:left="0"/>
        <w:rPr>
          <w:sz w:val="15"/>
        </w:rPr>
      </w:pPr>
    </w:p>
    <w:p>
      <w:pPr>
        <w:pStyle w:val="BodyText"/>
        <w:spacing w:line="417" w:lineRule="auto"/>
        <w:ind w:right="6661"/>
        <w:rPr>
          <w:rFonts w:ascii="Times New Roman" w:eastAsia="Times New Roman"/>
        </w:rPr>
      </w:pPr>
      <w:r>
        <w:rPr/>
        <w:t>网址：</w:t>
      </w:r>
      <w:hyperlink r:id="rId190">
        <w:r>
          <w:rPr>
            <w:rFonts w:ascii="Times New Roman" w:eastAsia="Times New Roman"/>
          </w:rPr>
          <w:t>www.gszq.com </w:t>
        </w:r>
      </w:hyperlink>
      <w:r>
        <w:rPr/>
        <w:t>客户服务电话：</w:t>
      </w:r>
      <w:r>
        <w:rPr>
          <w:rFonts w:ascii="Times New Roman" w:eastAsia="Times New Roman"/>
        </w:rPr>
        <w:t>956080</w:t>
      </w:r>
    </w:p>
    <w:p>
      <w:pPr>
        <w:pStyle w:val="ListParagraph"/>
        <w:numPr>
          <w:ilvl w:val="0"/>
          <w:numId w:val="31"/>
        </w:numPr>
        <w:tabs>
          <w:tab w:pos="1379" w:val="left" w:leader="none"/>
        </w:tabs>
        <w:spacing w:line="269" w:lineRule="exact" w:before="0" w:after="0"/>
        <w:ind w:left="1378" w:right="0" w:hanging="739"/>
        <w:jc w:val="left"/>
        <w:rPr>
          <w:sz w:val="21"/>
        </w:rPr>
      </w:pPr>
      <w:r>
        <w:rPr>
          <w:spacing w:val="-3"/>
          <w:sz w:val="21"/>
        </w:rPr>
        <w:t>华西证券股份有限公司</w:t>
      </w:r>
    </w:p>
    <w:p>
      <w:pPr>
        <w:pStyle w:val="BodyText"/>
        <w:spacing w:before="7"/>
        <w:ind w:left="0"/>
        <w:rPr>
          <w:sz w:val="15"/>
        </w:rPr>
      </w:pPr>
    </w:p>
    <w:p>
      <w:pPr>
        <w:pStyle w:val="BodyText"/>
      </w:pPr>
      <w:r>
        <w:rPr/>
        <w:t>住所：四川省成都市高新区天府二街</w:t>
      </w:r>
      <w:r>
        <w:rPr>
          <w:rFonts w:ascii="Times New Roman" w:eastAsia="Times New Roman"/>
        </w:rPr>
        <w:t>198</w:t>
      </w:r>
      <w:r>
        <w:rPr/>
        <w:t>号</w:t>
      </w:r>
    </w:p>
    <w:p>
      <w:pPr>
        <w:pStyle w:val="BodyText"/>
        <w:spacing w:before="6"/>
        <w:ind w:left="0"/>
        <w:rPr>
          <w:sz w:val="15"/>
        </w:rPr>
      </w:pPr>
    </w:p>
    <w:p>
      <w:pPr>
        <w:pStyle w:val="BodyText"/>
        <w:spacing w:before="1"/>
      </w:pPr>
      <w:r>
        <w:rPr/>
        <w:t>办公地址：四川省成都市高新区天府二街</w:t>
      </w:r>
      <w:r>
        <w:rPr>
          <w:rFonts w:ascii="Times New Roman" w:eastAsia="Times New Roman"/>
        </w:rPr>
        <w:t>198</w:t>
      </w:r>
      <w:r>
        <w:rPr/>
        <w:t>号</w:t>
      </w:r>
    </w:p>
    <w:p>
      <w:pPr>
        <w:spacing w:after="0"/>
        <w:sectPr>
          <w:pgSz w:w="11910" w:h="16840"/>
          <w:pgMar w:header="705" w:footer="683" w:top="1420" w:bottom="880" w:left="1580" w:right="920"/>
        </w:sectPr>
      </w:pPr>
    </w:p>
    <w:p>
      <w:pPr>
        <w:pStyle w:val="BodyText"/>
        <w:spacing w:line="417" w:lineRule="auto" w:before="110"/>
        <w:ind w:right="6870"/>
        <w:jc w:val="both"/>
        <w:rPr>
          <w:rFonts w:ascii="Times New Roman" w:eastAsia="Times New Roman"/>
        </w:rPr>
      </w:pPr>
      <w:r>
        <w:rPr/>
        <w:t>法定代表人：杨炯洋电话：</w:t>
      </w:r>
      <w:r>
        <w:rPr>
          <w:rFonts w:ascii="Times New Roman" w:eastAsia="Times New Roman"/>
        </w:rPr>
        <w:t>010-58124967 </w:t>
      </w:r>
      <w:r>
        <w:rPr/>
        <w:t>传真：</w:t>
      </w:r>
      <w:r>
        <w:rPr>
          <w:rFonts w:ascii="Times New Roman" w:eastAsia="Times New Roman"/>
        </w:rPr>
        <w:t>028-86150040</w:t>
      </w:r>
    </w:p>
    <w:p>
      <w:pPr>
        <w:pStyle w:val="BodyText"/>
        <w:spacing w:line="269" w:lineRule="exact"/>
      </w:pPr>
      <w:r>
        <w:rPr/>
        <w:t>联系人：谢国梅</w:t>
      </w:r>
    </w:p>
    <w:p>
      <w:pPr>
        <w:pStyle w:val="BodyText"/>
        <w:spacing w:before="6"/>
        <w:ind w:left="0"/>
        <w:rPr>
          <w:sz w:val="15"/>
        </w:rPr>
      </w:pPr>
    </w:p>
    <w:p>
      <w:pPr>
        <w:pStyle w:val="BodyText"/>
        <w:spacing w:line="417" w:lineRule="auto"/>
        <w:ind w:right="6404"/>
        <w:rPr>
          <w:rFonts w:ascii="Times New Roman" w:eastAsia="Times New Roman"/>
        </w:rPr>
      </w:pPr>
      <w:r>
        <w:rPr/>
        <w:t>网址：</w:t>
      </w:r>
      <w:hyperlink r:id="rId191">
        <w:r>
          <w:rPr>
            <w:rFonts w:ascii="Times New Roman" w:eastAsia="Times New Roman"/>
          </w:rPr>
          <w:t>www.hx168.com.cn </w:t>
        </w:r>
      </w:hyperlink>
      <w:r>
        <w:rPr/>
        <w:t>客户服务电话：</w:t>
      </w:r>
      <w:r>
        <w:rPr>
          <w:rFonts w:ascii="Times New Roman" w:eastAsia="Times New Roman"/>
        </w:rPr>
        <w:t>95584</w:t>
      </w:r>
    </w:p>
    <w:p>
      <w:pPr>
        <w:pStyle w:val="ListParagraph"/>
        <w:numPr>
          <w:ilvl w:val="0"/>
          <w:numId w:val="31"/>
        </w:numPr>
        <w:tabs>
          <w:tab w:pos="1379" w:val="left" w:leader="none"/>
        </w:tabs>
        <w:spacing w:line="269" w:lineRule="exact" w:before="0" w:after="0"/>
        <w:ind w:left="1378" w:right="0" w:hanging="739"/>
        <w:jc w:val="left"/>
        <w:rPr>
          <w:sz w:val="21"/>
        </w:rPr>
      </w:pPr>
      <w:r>
        <w:rPr>
          <w:spacing w:val="-3"/>
          <w:sz w:val="21"/>
        </w:rPr>
        <w:t>申万宏源西部证券有限公司</w:t>
      </w:r>
    </w:p>
    <w:p>
      <w:pPr>
        <w:pStyle w:val="BodyText"/>
        <w:spacing w:before="8"/>
        <w:ind w:left="0"/>
        <w:rPr>
          <w:sz w:val="15"/>
        </w:rPr>
      </w:pPr>
    </w:p>
    <w:p>
      <w:pPr>
        <w:pStyle w:val="BodyText"/>
      </w:pPr>
      <w:r>
        <w:rPr/>
        <w:t>住所：新疆乌鲁木齐市高新区（新市区）北京南路</w:t>
      </w:r>
      <w:r>
        <w:rPr>
          <w:rFonts w:ascii="Times New Roman" w:eastAsia="Times New Roman"/>
        </w:rPr>
        <w:t>358</w:t>
      </w:r>
      <w:r>
        <w:rPr/>
        <w:t>号大成国际大厦</w:t>
      </w:r>
      <w:r>
        <w:rPr>
          <w:rFonts w:ascii="Times New Roman" w:eastAsia="Times New Roman"/>
        </w:rPr>
        <w:t>20</w:t>
      </w:r>
      <w:r>
        <w:rPr/>
        <w:t>楼</w:t>
      </w:r>
      <w:r>
        <w:rPr>
          <w:rFonts w:ascii="Times New Roman" w:eastAsia="Times New Roman"/>
        </w:rPr>
        <w:t>2005</w:t>
      </w:r>
      <w:r>
        <w:rPr/>
        <w:t>室</w:t>
      </w:r>
    </w:p>
    <w:p>
      <w:pPr>
        <w:pStyle w:val="BodyText"/>
        <w:spacing w:before="6"/>
        <w:ind w:left="0"/>
        <w:rPr>
          <w:sz w:val="15"/>
        </w:rPr>
      </w:pPr>
    </w:p>
    <w:p>
      <w:pPr>
        <w:pStyle w:val="BodyText"/>
        <w:spacing w:before="1"/>
      </w:pPr>
      <w:r>
        <w:rPr/>
        <w:t>办公地址：新疆乌鲁木齐市高新区（新市区）北京南路</w:t>
      </w:r>
      <w:r>
        <w:rPr>
          <w:rFonts w:ascii="Times New Roman" w:eastAsia="Times New Roman"/>
        </w:rPr>
        <w:t>358</w:t>
      </w:r>
      <w:r>
        <w:rPr/>
        <w:t>号大成国际大厦</w:t>
      </w:r>
      <w:r>
        <w:rPr>
          <w:rFonts w:ascii="Times New Roman" w:eastAsia="Times New Roman"/>
        </w:rPr>
        <w:t>20</w:t>
      </w:r>
      <w:r>
        <w:rPr/>
        <w:t>楼</w:t>
      </w:r>
      <w:r>
        <w:rPr>
          <w:rFonts w:ascii="Times New Roman" w:eastAsia="Times New Roman"/>
        </w:rPr>
        <w:t>2005</w:t>
      </w:r>
      <w:r>
        <w:rPr/>
        <w:t>室</w:t>
      </w:r>
    </w:p>
    <w:p>
      <w:pPr>
        <w:pStyle w:val="BodyText"/>
        <w:spacing w:before="6"/>
        <w:ind w:left="0"/>
        <w:rPr>
          <w:sz w:val="15"/>
        </w:rPr>
      </w:pPr>
    </w:p>
    <w:p>
      <w:pPr>
        <w:pStyle w:val="BodyText"/>
        <w:ind w:left="220"/>
      </w:pPr>
      <w:r>
        <w:rPr/>
        <w:t>（</w:t>
      </w:r>
      <w:r>
        <w:rPr>
          <w:rFonts w:ascii="Times New Roman" w:eastAsia="Times New Roman"/>
        </w:rPr>
        <w:t>830002</w:t>
      </w:r>
      <w:r>
        <w:rPr/>
        <w:t>）</w:t>
      </w:r>
    </w:p>
    <w:p>
      <w:pPr>
        <w:pStyle w:val="BodyText"/>
        <w:spacing w:before="7"/>
        <w:ind w:left="0"/>
        <w:rPr>
          <w:sz w:val="15"/>
        </w:rPr>
      </w:pPr>
    </w:p>
    <w:p>
      <w:pPr>
        <w:pStyle w:val="BodyText"/>
        <w:spacing w:line="417" w:lineRule="auto"/>
        <w:ind w:right="6870"/>
        <w:jc w:val="both"/>
        <w:rPr>
          <w:rFonts w:ascii="Times New Roman" w:eastAsia="Times New Roman"/>
        </w:rPr>
      </w:pPr>
      <w:r>
        <w:rPr/>
        <w:t>法定代表人：韩志谦电话：</w:t>
      </w:r>
      <w:r>
        <w:rPr>
          <w:rFonts w:ascii="Times New Roman" w:eastAsia="Times New Roman"/>
        </w:rPr>
        <w:t>0991-2307105 </w:t>
      </w:r>
      <w:r>
        <w:rPr/>
        <w:t>传真：</w:t>
      </w:r>
      <w:r>
        <w:rPr>
          <w:rFonts w:ascii="Times New Roman" w:eastAsia="Times New Roman"/>
        </w:rPr>
        <w:t>0991-2301927</w:t>
      </w:r>
    </w:p>
    <w:p>
      <w:pPr>
        <w:pStyle w:val="BodyText"/>
        <w:spacing w:line="269" w:lineRule="exact"/>
      </w:pPr>
      <w:r>
        <w:rPr/>
        <w:t>联系人：王怀春</w:t>
      </w:r>
    </w:p>
    <w:p>
      <w:pPr>
        <w:pStyle w:val="BodyText"/>
        <w:spacing w:before="7"/>
        <w:ind w:left="0"/>
        <w:rPr>
          <w:sz w:val="15"/>
        </w:rPr>
      </w:pPr>
    </w:p>
    <w:p>
      <w:pPr>
        <w:pStyle w:val="BodyText"/>
        <w:rPr>
          <w:rFonts w:ascii="Times New Roman" w:eastAsia="Times New Roman"/>
        </w:rPr>
      </w:pPr>
      <w:r>
        <w:rPr/>
        <w:t>网址：</w:t>
      </w:r>
      <w:hyperlink r:id="rId192">
        <w:r>
          <w:rPr>
            <w:rFonts w:ascii="Times New Roman" w:eastAsia="Times New Roman"/>
          </w:rPr>
          <w:t>www.hysec.com</w:t>
        </w:r>
      </w:hyperlink>
    </w:p>
    <w:p>
      <w:pPr>
        <w:pStyle w:val="BodyText"/>
        <w:spacing w:before="3"/>
        <w:ind w:left="0"/>
        <w:rPr>
          <w:rFonts w:ascii="Times New Roman"/>
          <w:sz w:val="17"/>
        </w:rPr>
      </w:pPr>
    </w:p>
    <w:p>
      <w:pPr>
        <w:pStyle w:val="BodyText"/>
        <w:spacing w:before="1"/>
        <w:rPr>
          <w:rFonts w:ascii="Times New Roman" w:eastAsia="Times New Roman"/>
        </w:rPr>
      </w:pPr>
      <w:r>
        <w:rPr/>
        <w:t>客户服务电话：</w:t>
      </w:r>
      <w:r>
        <w:rPr>
          <w:rFonts w:ascii="Times New Roman" w:eastAsia="Times New Roman"/>
        </w:rPr>
        <w:t>400-800-0562</w:t>
      </w:r>
    </w:p>
    <w:p>
      <w:pPr>
        <w:pStyle w:val="BodyText"/>
        <w:spacing w:before="3"/>
        <w:ind w:left="0"/>
        <w:rPr>
          <w:rFonts w:ascii="Times New Roman"/>
          <w:sz w:val="17"/>
        </w:rPr>
      </w:pPr>
    </w:p>
    <w:p>
      <w:pPr>
        <w:pStyle w:val="ListParagraph"/>
        <w:numPr>
          <w:ilvl w:val="0"/>
          <w:numId w:val="31"/>
        </w:numPr>
        <w:tabs>
          <w:tab w:pos="1379" w:val="left" w:leader="none"/>
        </w:tabs>
        <w:spacing w:line="240" w:lineRule="auto" w:before="0" w:after="0"/>
        <w:ind w:left="1378" w:right="0" w:hanging="739"/>
        <w:jc w:val="left"/>
        <w:rPr>
          <w:sz w:val="21"/>
        </w:rPr>
      </w:pPr>
      <w:r>
        <w:rPr>
          <w:spacing w:val="-3"/>
          <w:sz w:val="21"/>
        </w:rPr>
        <w:t>中泰证券股份有限公司</w:t>
      </w:r>
    </w:p>
    <w:p>
      <w:pPr>
        <w:pStyle w:val="BodyText"/>
        <w:spacing w:before="7"/>
        <w:ind w:left="0"/>
        <w:rPr>
          <w:sz w:val="15"/>
        </w:rPr>
      </w:pPr>
    </w:p>
    <w:p>
      <w:pPr>
        <w:pStyle w:val="BodyText"/>
      </w:pPr>
      <w:r>
        <w:rPr/>
        <w:t>住所：山东省济南市市中区经七路</w:t>
      </w:r>
      <w:r>
        <w:rPr>
          <w:rFonts w:ascii="Times New Roman" w:eastAsia="Times New Roman"/>
        </w:rPr>
        <w:t>86</w:t>
      </w:r>
      <w:r>
        <w:rPr/>
        <w:t>号</w:t>
      </w:r>
    </w:p>
    <w:p>
      <w:pPr>
        <w:pStyle w:val="BodyText"/>
        <w:spacing w:before="6"/>
        <w:ind w:left="0"/>
        <w:rPr>
          <w:sz w:val="15"/>
        </w:rPr>
      </w:pPr>
    </w:p>
    <w:p>
      <w:pPr>
        <w:pStyle w:val="BodyText"/>
        <w:spacing w:line="417" w:lineRule="auto" w:before="1"/>
        <w:ind w:right="4769"/>
      </w:pPr>
      <w:r>
        <w:rPr/>
        <w:t>办公地址：山东省济南市市中区经七路</w:t>
      </w:r>
      <w:r>
        <w:rPr>
          <w:rFonts w:ascii="Times New Roman" w:eastAsia="Times New Roman"/>
        </w:rPr>
        <w:t>86</w:t>
      </w:r>
      <w:r>
        <w:rPr/>
        <w:t>号法定代表人：李玮</w:t>
      </w:r>
    </w:p>
    <w:p>
      <w:pPr>
        <w:pStyle w:val="BodyText"/>
        <w:spacing w:line="417" w:lineRule="auto"/>
        <w:ind w:right="6906"/>
        <w:rPr>
          <w:rFonts w:ascii="Times New Roman" w:eastAsia="Times New Roman"/>
        </w:rPr>
      </w:pPr>
      <w:r>
        <w:rPr/>
        <w:t>电话：</w:t>
      </w:r>
      <w:r>
        <w:rPr>
          <w:rFonts w:ascii="Times New Roman" w:eastAsia="Times New Roman"/>
        </w:rPr>
        <w:t>021-20315290 </w:t>
      </w:r>
      <w:r>
        <w:rPr/>
        <w:t>传真：</w:t>
      </w:r>
      <w:r>
        <w:rPr>
          <w:rFonts w:ascii="Times New Roman" w:eastAsia="Times New Roman"/>
        </w:rPr>
        <w:t>021-20315125</w:t>
      </w:r>
    </w:p>
    <w:p>
      <w:pPr>
        <w:pStyle w:val="BodyText"/>
      </w:pPr>
      <w:r>
        <w:rPr/>
        <w:t>联系人：许曼华</w:t>
      </w:r>
    </w:p>
    <w:p>
      <w:pPr>
        <w:pStyle w:val="BodyText"/>
        <w:spacing w:before="6"/>
        <w:ind w:left="0"/>
        <w:rPr>
          <w:sz w:val="15"/>
        </w:rPr>
      </w:pPr>
    </w:p>
    <w:p>
      <w:pPr>
        <w:pStyle w:val="BodyText"/>
        <w:spacing w:line="417" w:lineRule="auto"/>
        <w:ind w:right="6697"/>
        <w:rPr>
          <w:rFonts w:ascii="Times New Roman" w:eastAsia="Times New Roman"/>
        </w:rPr>
      </w:pPr>
      <w:r>
        <w:rPr/>
        <w:t>网址：</w:t>
      </w:r>
      <w:hyperlink r:id="rId193">
        <w:r>
          <w:rPr>
            <w:rFonts w:ascii="Times New Roman" w:eastAsia="Times New Roman"/>
          </w:rPr>
          <w:t>www.zts.com.cn </w:t>
        </w:r>
      </w:hyperlink>
      <w:r>
        <w:rPr/>
        <w:t>客户服务电话：</w:t>
      </w:r>
      <w:r>
        <w:rPr>
          <w:rFonts w:ascii="Times New Roman" w:eastAsia="Times New Roman"/>
        </w:rPr>
        <w:t>95538</w:t>
      </w:r>
    </w:p>
    <w:p>
      <w:pPr>
        <w:pStyle w:val="ListParagraph"/>
        <w:numPr>
          <w:ilvl w:val="0"/>
          <w:numId w:val="31"/>
        </w:numPr>
        <w:tabs>
          <w:tab w:pos="1379" w:val="left" w:leader="none"/>
        </w:tabs>
        <w:spacing w:line="269" w:lineRule="exact" w:before="0" w:after="0"/>
        <w:ind w:left="1378" w:right="0" w:hanging="739"/>
        <w:jc w:val="left"/>
        <w:rPr>
          <w:sz w:val="21"/>
        </w:rPr>
      </w:pPr>
      <w:r>
        <w:rPr>
          <w:spacing w:val="-3"/>
          <w:sz w:val="21"/>
        </w:rPr>
        <w:t>世纪证券有限责任公司</w:t>
      </w:r>
    </w:p>
    <w:p>
      <w:pPr>
        <w:pStyle w:val="BodyText"/>
        <w:spacing w:before="6"/>
        <w:ind w:left="0"/>
        <w:rPr>
          <w:sz w:val="9"/>
        </w:rPr>
      </w:pPr>
    </w:p>
    <w:p>
      <w:pPr>
        <w:pStyle w:val="BodyText"/>
        <w:spacing w:before="78"/>
      </w:pPr>
      <w:r>
        <w:rPr/>
        <w:t>住所：深圳市前海深港合作区南山街道桂湾五路</w:t>
      </w:r>
      <w:r>
        <w:rPr>
          <w:rFonts w:ascii="Times New Roman" w:eastAsia="Times New Roman"/>
        </w:rPr>
        <w:t>128</w:t>
      </w:r>
      <w:r>
        <w:rPr/>
        <w:t>号前海深港基金小镇对冲基金中心</w:t>
      </w:r>
    </w:p>
    <w:p>
      <w:pPr>
        <w:pStyle w:val="BodyText"/>
        <w:spacing w:before="5"/>
        <w:ind w:left="0"/>
        <w:rPr>
          <w:sz w:val="16"/>
        </w:rPr>
      </w:pPr>
    </w:p>
    <w:p>
      <w:pPr>
        <w:pStyle w:val="BodyText"/>
        <w:ind w:left="220"/>
        <w:rPr>
          <w:rFonts w:ascii="Times New Roman"/>
        </w:rPr>
      </w:pPr>
      <w:r>
        <w:rPr>
          <w:rFonts w:ascii="Times New Roman"/>
        </w:rPr>
        <w:t>406</w:t>
      </w:r>
    </w:p>
    <w:p>
      <w:pPr>
        <w:pStyle w:val="BodyText"/>
        <w:spacing w:before="11"/>
        <w:ind w:left="0"/>
        <w:rPr>
          <w:rFonts w:ascii="Times New Roman"/>
          <w:sz w:val="11"/>
        </w:rPr>
      </w:pPr>
    </w:p>
    <w:p>
      <w:pPr>
        <w:pStyle w:val="BodyText"/>
        <w:spacing w:line="417" w:lineRule="auto" w:before="78"/>
        <w:ind w:right="3648"/>
      </w:pPr>
      <w:r>
        <w:rPr/>
        <w:t>办公地址：深圳市福田区深南大道招商银行大厦</w:t>
      </w:r>
      <w:r>
        <w:rPr>
          <w:rFonts w:ascii="Times New Roman" w:eastAsia="Times New Roman"/>
        </w:rPr>
        <w:t>40-42</w:t>
      </w:r>
      <w:r>
        <w:rPr/>
        <w:t>层法定代表人：李强</w:t>
      </w:r>
    </w:p>
    <w:p>
      <w:pPr>
        <w:spacing w:after="0" w:line="417" w:lineRule="auto"/>
        <w:sectPr>
          <w:pgSz w:w="11910" w:h="16840"/>
          <w:pgMar w:header="705" w:footer="683" w:top="1420" w:bottom="880" w:left="1580" w:right="920"/>
        </w:sectPr>
      </w:pPr>
    </w:p>
    <w:p>
      <w:pPr>
        <w:pStyle w:val="BodyText"/>
        <w:spacing w:line="417" w:lineRule="auto" w:before="110"/>
        <w:ind w:right="6101"/>
        <w:rPr>
          <w:rFonts w:ascii="Times New Roman" w:eastAsia="Times New Roman"/>
        </w:rPr>
      </w:pPr>
      <w:r>
        <w:rPr/>
        <w:t>客户服务电话：</w:t>
      </w:r>
      <w:r>
        <w:rPr>
          <w:rFonts w:ascii="Times New Roman" w:eastAsia="Times New Roman"/>
        </w:rPr>
        <w:t>400-832-3000 </w:t>
      </w:r>
      <w:r>
        <w:rPr/>
        <w:t>传真：</w:t>
      </w:r>
      <w:r>
        <w:rPr>
          <w:rFonts w:ascii="Times New Roman" w:eastAsia="Times New Roman"/>
        </w:rPr>
        <w:t>0755-83199511</w:t>
      </w:r>
    </w:p>
    <w:p>
      <w:pPr>
        <w:pStyle w:val="BodyText"/>
        <w:spacing w:line="269" w:lineRule="exact"/>
      </w:pPr>
      <w:r>
        <w:rPr/>
        <w:t>联系人：王雯</w:t>
      </w:r>
    </w:p>
    <w:p>
      <w:pPr>
        <w:pStyle w:val="BodyText"/>
        <w:spacing w:before="6"/>
        <w:ind w:left="0"/>
        <w:rPr>
          <w:sz w:val="15"/>
        </w:rPr>
      </w:pPr>
    </w:p>
    <w:p>
      <w:pPr>
        <w:pStyle w:val="BodyText"/>
        <w:rPr>
          <w:rFonts w:ascii="Times New Roman" w:eastAsia="Times New Roman"/>
        </w:rPr>
      </w:pPr>
      <w:r>
        <w:rPr/>
        <w:t>网址：</w:t>
      </w:r>
      <w:hyperlink r:id="rId194">
        <w:r>
          <w:rPr>
            <w:rFonts w:ascii="Times New Roman" w:eastAsia="Times New Roman"/>
          </w:rPr>
          <w:t>www.csco.com.cn</w:t>
        </w:r>
      </w:hyperlink>
    </w:p>
    <w:p>
      <w:pPr>
        <w:pStyle w:val="BodyText"/>
        <w:spacing w:before="4"/>
        <w:ind w:left="0"/>
        <w:rPr>
          <w:rFonts w:ascii="Times New Roman"/>
          <w:sz w:val="17"/>
        </w:rPr>
      </w:pPr>
    </w:p>
    <w:p>
      <w:pPr>
        <w:pStyle w:val="ListParagraph"/>
        <w:numPr>
          <w:ilvl w:val="1"/>
          <w:numId w:val="14"/>
        </w:numPr>
        <w:tabs>
          <w:tab w:pos="1379" w:val="left" w:leader="none"/>
        </w:tabs>
        <w:spacing w:line="240" w:lineRule="auto" w:before="0" w:after="0"/>
        <w:ind w:left="1378" w:right="0" w:hanging="739"/>
        <w:jc w:val="left"/>
        <w:rPr>
          <w:sz w:val="21"/>
        </w:rPr>
      </w:pPr>
      <w:r>
        <w:rPr>
          <w:spacing w:val="-3"/>
          <w:sz w:val="21"/>
        </w:rPr>
        <w:t>第一创业证券股份有限公司</w:t>
      </w:r>
    </w:p>
    <w:p>
      <w:pPr>
        <w:pStyle w:val="BodyText"/>
        <w:spacing w:before="6"/>
        <w:ind w:left="0"/>
        <w:rPr>
          <w:sz w:val="15"/>
        </w:rPr>
      </w:pPr>
    </w:p>
    <w:p>
      <w:pPr>
        <w:pStyle w:val="BodyText"/>
        <w:spacing w:before="1"/>
      </w:pPr>
      <w:r>
        <w:rPr/>
        <w:t>住所：深圳市福田区福华一路</w:t>
      </w:r>
      <w:r>
        <w:rPr>
          <w:rFonts w:ascii="Times New Roman" w:eastAsia="Times New Roman"/>
        </w:rPr>
        <w:t>115</w:t>
      </w:r>
      <w:r>
        <w:rPr/>
        <w:t>号投行大厦</w:t>
      </w:r>
      <w:r>
        <w:rPr>
          <w:rFonts w:ascii="Times New Roman" w:eastAsia="Times New Roman"/>
        </w:rPr>
        <w:t>20</w:t>
      </w:r>
      <w:r>
        <w:rPr/>
        <w:t>楼</w:t>
      </w:r>
    </w:p>
    <w:p>
      <w:pPr>
        <w:pStyle w:val="BodyText"/>
        <w:spacing w:before="6"/>
        <w:ind w:left="0"/>
        <w:rPr>
          <w:sz w:val="15"/>
        </w:rPr>
      </w:pPr>
    </w:p>
    <w:p>
      <w:pPr>
        <w:pStyle w:val="BodyText"/>
        <w:spacing w:line="417" w:lineRule="auto"/>
        <w:ind w:right="3833"/>
      </w:pPr>
      <w:r>
        <w:rPr/>
        <w:t>办公地址：深圳市福田区福华一路</w:t>
      </w:r>
      <w:r>
        <w:rPr>
          <w:rFonts w:ascii="Times New Roman" w:eastAsia="Times New Roman"/>
        </w:rPr>
        <w:t>115</w:t>
      </w:r>
      <w:r>
        <w:rPr/>
        <w:t>号投行大厦</w:t>
      </w:r>
      <w:r>
        <w:rPr>
          <w:rFonts w:ascii="Times New Roman" w:eastAsia="Times New Roman"/>
        </w:rPr>
        <w:t>18</w:t>
      </w:r>
      <w:r>
        <w:rPr/>
        <w:t>楼法定代表人：刘学民</w:t>
      </w:r>
    </w:p>
    <w:p>
      <w:pPr>
        <w:pStyle w:val="BodyText"/>
        <w:spacing w:line="417" w:lineRule="auto" w:before="1"/>
        <w:ind w:right="6800"/>
        <w:rPr>
          <w:rFonts w:ascii="Times New Roman" w:eastAsia="Times New Roman"/>
        </w:rPr>
      </w:pPr>
      <w:r>
        <w:rPr/>
        <w:t>电话：</w:t>
      </w:r>
      <w:r>
        <w:rPr>
          <w:rFonts w:ascii="Times New Roman" w:eastAsia="Times New Roman"/>
        </w:rPr>
        <w:t>0755-23838750 </w:t>
      </w:r>
      <w:r>
        <w:rPr/>
        <w:t>传真：</w:t>
      </w:r>
      <w:r>
        <w:rPr>
          <w:rFonts w:ascii="Times New Roman" w:eastAsia="Times New Roman"/>
        </w:rPr>
        <w:t>0755-25838701</w:t>
      </w:r>
    </w:p>
    <w:p>
      <w:pPr>
        <w:pStyle w:val="BodyText"/>
        <w:spacing w:line="269" w:lineRule="exact"/>
      </w:pPr>
      <w:r>
        <w:rPr/>
        <w:t>联系人：单晶</w:t>
      </w:r>
    </w:p>
    <w:p>
      <w:pPr>
        <w:pStyle w:val="BodyText"/>
        <w:spacing w:before="6"/>
        <w:ind w:left="0"/>
        <w:rPr>
          <w:sz w:val="15"/>
        </w:rPr>
      </w:pPr>
    </w:p>
    <w:p>
      <w:pPr>
        <w:pStyle w:val="BodyText"/>
        <w:spacing w:line="417" w:lineRule="auto"/>
        <w:ind w:right="6032"/>
        <w:rPr>
          <w:rFonts w:ascii="Times New Roman" w:eastAsia="Times New Roman"/>
        </w:rPr>
      </w:pPr>
      <w:r>
        <w:rPr/>
        <w:t>网址：</w:t>
      </w:r>
      <w:hyperlink r:id="rId195">
        <w:r>
          <w:rPr>
            <w:rFonts w:ascii="Times New Roman" w:eastAsia="Times New Roman"/>
          </w:rPr>
          <w:t>www.firstcapital.com.cn </w:t>
        </w:r>
      </w:hyperlink>
      <w:r>
        <w:rPr/>
        <w:t>客户服务电话：</w:t>
      </w:r>
      <w:r>
        <w:rPr>
          <w:rFonts w:ascii="Times New Roman" w:eastAsia="Times New Roman"/>
        </w:rPr>
        <w:t>95358</w:t>
      </w:r>
    </w:p>
    <w:p>
      <w:pPr>
        <w:pStyle w:val="ListParagraph"/>
        <w:numPr>
          <w:ilvl w:val="1"/>
          <w:numId w:val="14"/>
        </w:numPr>
        <w:tabs>
          <w:tab w:pos="1379" w:val="left" w:leader="none"/>
        </w:tabs>
        <w:spacing w:line="269" w:lineRule="exact" w:before="0" w:after="0"/>
        <w:ind w:left="1378" w:right="0" w:hanging="739"/>
        <w:jc w:val="left"/>
        <w:rPr>
          <w:sz w:val="21"/>
        </w:rPr>
      </w:pPr>
      <w:r>
        <w:rPr>
          <w:spacing w:val="-3"/>
          <w:sz w:val="21"/>
        </w:rPr>
        <w:t>中航证券有限公司</w:t>
      </w:r>
    </w:p>
    <w:p>
      <w:pPr>
        <w:pStyle w:val="BodyText"/>
        <w:spacing w:before="7"/>
        <w:ind w:left="0"/>
        <w:rPr>
          <w:sz w:val="15"/>
        </w:rPr>
      </w:pPr>
    </w:p>
    <w:p>
      <w:pPr>
        <w:pStyle w:val="BodyText"/>
        <w:spacing w:before="1"/>
      </w:pPr>
      <w:r>
        <w:rPr/>
        <w:t>住所：江西省南昌市红谷滩新区红谷中大道</w:t>
      </w:r>
      <w:r>
        <w:rPr>
          <w:rFonts w:ascii="Times New Roman" w:eastAsia="Times New Roman"/>
        </w:rPr>
        <w:t>1619</w:t>
      </w:r>
      <w:r>
        <w:rPr/>
        <w:t>号南昌国际金融大厦</w:t>
      </w:r>
      <w:r>
        <w:rPr>
          <w:rFonts w:ascii="Times New Roman" w:eastAsia="Times New Roman"/>
        </w:rPr>
        <w:t>A</w:t>
      </w:r>
      <w:r>
        <w:rPr/>
        <w:t>栋</w:t>
      </w:r>
      <w:r>
        <w:rPr>
          <w:rFonts w:ascii="Times New Roman" w:eastAsia="Times New Roman"/>
        </w:rPr>
        <w:t>41</w:t>
      </w:r>
      <w:r>
        <w:rPr/>
        <w:t>层</w:t>
      </w:r>
    </w:p>
    <w:p>
      <w:pPr>
        <w:pStyle w:val="BodyText"/>
        <w:spacing w:before="6"/>
        <w:ind w:left="0"/>
        <w:rPr>
          <w:sz w:val="15"/>
        </w:rPr>
      </w:pPr>
    </w:p>
    <w:p>
      <w:pPr>
        <w:pStyle w:val="BodyText"/>
        <w:spacing w:line="417" w:lineRule="auto"/>
        <w:ind w:right="1257"/>
      </w:pPr>
      <w:r>
        <w:rPr/>
        <w:t>办公地址：江西省南昌市红谷滩新区红谷中大道</w:t>
      </w:r>
      <w:r>
        <w:rPr>
          <w:rFonts w:ascii="Times New Roman" w:eastAsia="Times New Roman"/>
        </w:rPr>
        <w:t>1619</w:t>
      </w:r>
      <w:r>
        <w:rPr/>
        <w:t>号南昌国际金融大厦</w:t>
      </w:r>
      <w:r>
        <w:rPr>
          <w:rFonts w:ascii="Times New Roman" w:eastAsia="Times New Roman"/>
        </w:rPr>
        <w:t>A</w:t>
      </w:r>
      <w:r>
        <w:rPr/>
        <w:t>栋</w:t>
      </w:r>
      <w:r>
        <w:rPr>
          <w:rFonts w:ascii="Times New Roman" w:eastAsia="Times New Roman"/>
        </w:rPr>
        <w:t>41</w:t>
      </w:r>
      <w:r>
        <w:rPr/>
        <w:t>层法定代表人：王宜四</w:t>
      </w:r>
    </w:p>
    <w:p>
      <w:pPr>
        <w:pStyle w:val="BodyText"/>
        <w:spacing w:line="417" w:lineRule="auto"/>
        <w:ind w:right="6800"/>
        <w:rPr>
          <w:rFonts w:ascii="Times New Roman" w:eastAsia="Times New Roman"/>
        </w:rPr>
      </w:pPr>
      <w:r>
        <w:rPr/>
        <w:t>电话：</w:t>
      </w:r>
      <w:r>
        <w:rPr>
          <w:rFonts w:ascii="Times New Roman" w:eastAsia="Times New Roman"/>
        </w:rPr>
        <w:t>0791-86768681 </w:t>
      </w:r>
      <w:r>
        <w:rPr/>
        <w:t>传真：</w:t>
      </w:r>
      <w:r>
        <w:rPr>
          <w:rFonts w:ascii="Times New Roman" w:eastAsia="Times New Roman"/>
        </w:rPr>
        <w:t>0791-86770178</w:t>
      </w:r>
    </w:p>
    <w:p>
      <w:pPr>
        <w:pStyle w:val="BodyText"/>
        <w:spacing w:line="269" w:lineRule="exact"/>
      </w:pPr>
      <w:r>
        <w:rPr/>
        <w:t>联系人：戴蕾</w:t>
      </w:r>
    </w:p>
    <w:p>
      <w:pPr>
        <w:pStyle w:val="BodyText"/>
        <w:spacing w:before="7"/>
        <w:ind w:left="0"/>
        <w:rPr>
          <w:sz w:val="15"/>
        </w:rPr>
      </w:pPr>
    </w:p>
    <w:p>
      <w:pPr>
        <w:pStyle w:val="BodyText"/>
        <w:spacing w:line="417" w:lineRule="auto"/>
        <w:ind w:right="6562"/>
        <w:rPr>
          <w:rFonts w:ascii="Times New Roman" w:eastAsia="Times New Roman"/>
        </w:rPr>
      </w:pPr>
      <w:r>
        <w:rPr/>
        <w:t>网址：</w:t>
      </w:r>
      <w:hyperlink r:id="rId196">
        <w:r>
          <w:rPr>
            <w:rFonts w:ascii="Times New Roman" w:eastAsia="Times New Roman"/>
          </w:rPr>
          <w:t>www.avicsec.com </w:t>
        </w:r>
      </w:hyperlink>
      <w:r>
        <w:rPr/>
        <w:t>客户服务电话：</w:t>
      </w:r>
      <w:r>
        <w:rPr>
          <w:rFonts w:ascii="Times New Roman" w:eastAsia="Times New Roman"/>
        </w:rPr>
        <w:t>95335</w:t>
      </w:r>
    </w:p>
    <w:p>
      <w:pPr>
        <w:pStyle w:val="ListParagraph"/>
        <w:numPr>
          <w:ilvl w:val="1"/>
          <w:numId w:val="14"/>
        </w:numPr>
        <w:tabs>
          <w:tab w:pos="1379" w:val="left" w:leader="none"/>
        </w:tabs>
        <w:spacing w:line="240" w:lineRule="auto" w:before="0" w:after="0"/>
        <w:ind w:left="1378" w:right="0" w:hanging="739"/>
        <w:jc w:val="left"/>
        <w:rPr>
          <w:sz w:val="21"/>
        </w:rPr>
      </w:pPr>
      <w:r>
        <w:rPr>
          <w:spacing w:val="-3"/>
          <w:sz w:val="21"/>
        </w:rPr>
        <w:t>德邦证券股份有限公司</w:t>
      </w:r>
    </w:p>
    <w:p>
      <w:pPr>
        <w:pStyle w:val="BodyText"/>
        <w:spacing w:before="7"/>
        <w:ind w:left="0"/>
        <w:rPr>
          <w:sz w:val="15"/>
        </w:rPr>
      </w:pPr>
    </w:p>
    <w:p>
      <w:pPr>
        <w:pStyle w:val="BodyText"/>
      </w:pPr>
      <w:r>
        <w:rPr/>
        <w:t>住所：上海市普陀区曹杨路</w:t>
      </w:r>
      <w:r>
        <w:rPr>
          <w:rFonts w:ascii="Times New Roman" w:eastAsia="Times New Roman"/>
        </w:rPr>
        <w:t>510</w:t>
      </w:r>
      <w:r>
        <w:rPr/>
        <w:t>号南半幢</w:t>
      </w:r>
      <w:r>
        <w:rPr>
          <w:rFonts w:ascii="Times New Roman" w:eastAsia="Times New Roman"/>
        </w:rPr>
        <w:t>9</w:t>
      </w:r>
      <w:r>
        <w:rPr/>
        <w:t>楼</w:t>
      </w:r>
    </w:p>
    <w:p>
      <w:pPr>
        <w:pStyle w:val="BodyText"/>
        <w:spacing w:before="6"/>
        <w:ind w:left="0"/>
        <w:rPr>
          <w:sz w:val="15"/>
        </w:rPr>
      </w:pPr>
    </w:p>
    <w:p>
      <w:pPr>
        <w:pStyle w:val="BodyText"/>
        <w:spacing w:line="417" w:lineRule="auto"/>
        <w:ind w:right="3403"/>
      </w:pPr>
      <w:r>
        <w:rPr/>
        <w:t>办公地址：上海市浦东新区福山路</w:t>
      </w:r>
      <w:r>
        <w:rPr>
          <w:rFonts w:ascii="Times New Roman" w:eastAsia="Times New Roman"/>
        </w:rPr>
        <w:t>500</w:t>
      </w:r>
      <w:r>
        <w:rPr/>
        <w:t>号城建国际中心</w:t>
      </w:r>
      <w:r>
        <w:rPr>
          <w:rFonts w:ascii="Times New Roman" w:eastAsia="Times New Roman"/>
        </w:rPr>
        <w:t>26</w:t>
      </w:r>
      <w:r>
        <w:rPr/>
        <w:t>楼法定代表人：武晓春</w:t>
      </w:r>
    </w:p>
    <w:p>
      <w:pPr>
        <w:pStyle w:val="BodyText"/>
        <w:spacing w:line="417" w:lineRule="auto"/>
        <w:ind w:right="6906"/>
        <w:rPr>
          <w:rFonts w:ascii="Times New Roman" w:eastAsia="Times New Roman"/>
        </w:rPr>
      </w:pPr>
      <w:r>
        <w:rPr/>
        <w:t>电话：</w:t>
      </w:r>
      <w:r>
        <w:rPr>
          <w:rFonts w:ascii="Times New Roman" w:eastAsia="Times New Roman"/>
        </w:rPr>
        <w:t>021-68761616 </w:t>
      </w:r>
      <w:r>
        <w:rPr/>
        <w:t>传真：</w:t>
      </w:r>
      <w:r>
        <w:rPr>
          <w:rFonts w:ascii="Times New Roman" w:eastAsia="Times New Roman"/>
        </w:rPr>
        <w:t>021-68767032</w:t>
      </w:r>
    </w:p>
    <w:p>
      <w:pPr>
        <w:pStyle w:val="BodyText"/>
      </w:pPr>
      <w:r>
        <w:rPr/>
        <w:t>联系人：刘熠</w:t>
      </w:r>
    </w:p>
    <w:p>
      <w:pPr>
        <w:pStyle w:val="BodyText"/>
        <w:spacing w:before="7"/>
        <w:ind w:left="0"/>
        <w:rPr>
          <w:sz w:val="15"/>
        </w:rPr>
      </w:pPr>
    </w:p>
    <w:p>
      <w:pPr>
        <w:pStyle w:val="BodyText"/>
        <w:rPr>
          <w:rFonts w:ascii="Times New Roman" w:eastAsia="Times New Roman"/>
        </w:rPr>
      </w:pPr>
      <w:r>
        <w:rPr/>
        <w:t>网址：</w:t>
      </w:r>
      <w:hyperlink r:id="rId197">
        <w:r>
          <w:rPr>
            <w:rFonts w:ascii="Times New Roman" w:eastAsia="Times New Roman"/>
          </w:rPr>
          <w:t>www.tebon.com.cn</w:t>
        </w:r>
      </w:hyperlink>
    </w:p>
    <w:p>
      <w:pPr>
        <w:spacing w:after="0"/>
        <w:rPr>
          <w:rFonts w:ascii="Times New Roman" w:eastAsia="Times New Roman"/>
        </w:rPr>
        <w:sectPr>
          <w:pgSz w:w="11910" w:h="16840"/>
          <w:pgMar w:header="705" w:footer="683" w:top="1420" w:bottom="880" w:left="1580" w:right="920"/>
        </w:sectPr>
      </w:pPr>
    </w:p>
    <w:p>
      <w:pPr>
        <w:pStyle w:val="BodyText"/>
        <w:spacing w:before="110"/>
        <w:rPr>
          <w:rFonts w:ascii="Times New Roman" w:eastAsia="Times New Roman"/>
        </w:rPr>
      </w:pPr>
      <w:r>
        <w:rPr/>
        <w:t>客户服务电话：</w:t>
      </w:r>
      <w:r>
        <w:rPr>
          <w:rFonts w:ascii="Times New Roman" w:eastAsia="Times New Roman"/>
        </w:rPr>
        <w:t>400-888-8128</w:t>
      </w:r>
    </w:p>
    <w:p>
      <w:pPr>
        <w:pStyle w:val="BodyText"/>
        <w:spacing w:before="3"/>
        <w:ind w:left="0"/>
        <w:rPr>
          <w:rFonts w:ascii="Times New Roman"/>
          <w:sz w:val="17"/>
        </w:rPr>
      </w:pPr>
    </w:p>
    <w:p>
      <w:pPr>
        <w:pStyle w:val="ListParagraph"/>
        <w:numPr>
          <w:ilvl w:val="1"/>
          <w:numId w:val="14"/>
        </w:numPr>
        <w:tabs>
          <w:tab w:pos="1379" w:val="left" w:leader="none"/>
        </w:tabs>
        <w:spacing w:line="240" w:lineRule="auto" w:before="0" w:after="0"/>
        <w:ind w:left="1378" w:right="0" w:hanging="739"/>
        <w:jc w:val="left"/>
        <w:rPr>
          <w:sz w:val="21"/>
        </w:rPr>
      </w:pPr>
      <w:r>
        <w:rPr>
          <w:spacing w:val="-3"/>
          <w:sz w:val="21"/>
        </w:rPr>
        <w:t>西部证券股份有限公司</w:t>
      </w:r>
    </w:p>
    <w:p>
      <w:pPr>
        <w:pStyle w:val="BodyText"/>
        <w:spacing w:before="7"/>
        <w:ind w:left="0"/>
        <w:rPr>
          <w:sz w:val="15"/>
        </w:rPr>
      </w:pPr>
    </w:p>
    <w:p>
      <w:pPr>
        <w:pStyle w:val="BodyText"/>
      </w:pPr>
      <w:r>
        <w:rPr/>
        <w:t>住所：陕西省西安市新城区东新街</w:t>
      </w:r>
      <w:r>
        <w:rPr>
          <w:rFonts w:ascii="Times New Roman" w:eastAsia="Times New Roman"/>
        </w:rPr>
        <w:t>319</w:t>
      </w:r>
      <w:r>
        <w:rPr/>
        <w:t>号</w:t>
      </w:r>
      <w:r>
        <w:rPr>
          <w:rFonts w:ascii="Times New Roman" w:eastAsia="Times New Roman"/>
        </w:rPr>
        <w:t>8</w:t>
      </w:r>
      <w:r>
        <w:rPr/>
        <w:t>幢</w:t>
      </w:r>
      <w:r>
        <w:rPr>
          <w:rFonts w:ascii="Times New Roman" w:eastAsia="Times New Roman"/>
        </w:rPr>
        <w:t>10000</w:t>
      </w:r>
      <w:r>
        <w:rPr/>
        <w:t>室</w:t>
      </w:r>
    </w:p>
    <w:p>
      <w:pPr>
        <w:pStyle w:val="BodyText"/>
        <w:spacing w:before="6"/>
        <w:ind w:left="0"/>
        <w:rPr>
          <w:sz w:val="15"/>
        </w:rPr>
      </w:pPr>
    </w:p>
    <w:p>
      <w:pPr>
        <w:pStyle w:val="BodyText"/>
        <w:spacing w:line="417" w:lineRule="auto" w:before="1"/>
        <w:ind w:right="3615"/>
      </w:pPr>
      <w:r>
        <w:rPr/>
        <w:t>办公地址：陕西省西安市新城区东新街</w:t>
      </w:r>
      <w:r>
        <w:rPr>
          <w:rFonts w:ascii="Times New Roman" w:eastAsia="Times New Roman"/>
        </w:rPr>
        <w:t>319</w:t>
      </w:r>
      <w:r>
        <w:rPr/>
        <w:t>号</w:t>
      </w:r>
      <w:r>
        <w:rPr>
          <w:rFonts w:ascii="Times New Roman" w:eastAsia="Times New Roman"/>
        </w:rPr>
        <w:t>8</w:t>
      </w:r>
      <w:r>
        <w:rPr/>
        <w:t>幢</w:t>
      </w:r>
      <w:r>
        <w:rPr>
          <w:rFonts w:ascii="Times New Roman" w:eastAsia="Times New Roman"/>
        </w:rPr>
        <w:t>10000</w:t>
      </w:r>
      <w:r>
        <w:rPr/>
        <w:t>室法定代表人：徐朝晖</w:t>
      </w:r>
    </w:p>
    <w:p>
      <w:pPr>
        <w:pStyle w:val="BodyText"/>
        <w:spacing w:line="417" w:lineRule="auto"/>
        <w:ind w:right="6906"/>
        <w:rPr>
          <w:rFonts w:ascii="Times New Roman" w:eastAsia="Times New Roman"/>
        </w:rPr>
      </w:pPr>
      <w:r>
        <w:rPr/>
        <w:t>电话：</w:t>
      </w:r>
      <w:r>
        <w:rPr>
          <w:rFonts w:ascii="Times New Roman" w:eastAsia="Times New Roman"/>
        </w:rPr>
        <w:t>029-87211526 </w:t>
      </w:r>
      <w:r>
        <w:rPr/>
        <w:t>传真：</w:t>
      </w:r>
      <w:r>
        <w:rPr>
          <w:rFonts w:ascii="Times New Roman" w:eastAsia="Times New Roman"/>
        </w:rPr>
        <w:t>029-87424426</w:t>
      </w:r>
    </w:p>
    <w:p>
      <w:pPr>
        <w:pStyle w:val="BodyText"/>
      </w:pPr>
      <w:r>
        <w:rPr/>
        <w:t>联系人：梁承华</w:t>
      </w:r>
    </w:p>
    <w:p>
      <w:pPr>
        <w:pStyle w:val="BodyText"/>
        <w:spacing w:before="6"/>
        <w:ind w:left="0"/>
        <w:rPr>
          <w:sz w:val="15"/>
        </w:rPr>
      </w:pPr>
    </w:p>
    <w:p>
      <w:pPr>
        <w:pStyle w:val="BodyText"/>
        <w:spacing w:line="417" w:lineRule="auto"/>
        <w:ind w:right="6421"/>
        <w:rPr>
          <w:rFonts w:ascii="Times New Roman" w:eastAsia="Times New Roman"/>
        </w:rPr>
      </w:pPr>
      <w:r>
        <w:rPr/>
        <w:t>网址：</w:t>
      </w:r>
      <w:hyperlink r:id="rId198">
        <w:r>
          <w:rPr>
            <w:rFonts w:ascii="Times New Roman" w:eastAsia="Times New Roman"/>
          </w:rPr>
          <w:t>www.westsecu.com </w:t>
        </w:r>
      </w:hyperlink>
      <w:r>
        <w:rPr/>
        <w:t>客户服务电话：</w:t>
      </w:r>
      <w:r>
        <w:rPr>
          <w:rFonts w:ascii="Times New Roman" w:eastAsia="Times New Roman"/>
        </w:rPr>
        <w:t>95582</w:t>
      </w:r>
    </w:p>
    <w:p>
      <w:pPr>
        <w:pStyle w:val="ListParagraph"/>
        <w:numPr>
          <w:ilvl w:val="1"/>
          <w:numId w:val="14"/>
        </w:numPr>
        <w:tabs>
          <w:tab w:pos="1379" w:val="left" w:leader="none"/>
        </w:tabs>
        <w:spacing w:line="417" w:lineRule="auto" w:before="0" w:after="0"/>
        <w:ind w:left="640" w:right="5715" w:firstLine="0"/>
        <w:jc w:val="left"/>
        <w:rPr>
          <w:sz w:val="21"/>
        </w:rPr>
      </w:pPr>
      <w:r>
        <w:rPr>
          <w:spacing w:val="-3"/>
          <w:sz w:val="21"/>
        </w:rPr>
        <w:t>华龙证券股份有限公司 住所：甘肃省兰州市静宁路</w:t>
      </w:r>
      <w:r>
        <w:rPr>
          <w:rFonts w:ascii="Times New Roman" w:eastAsia="Times New Roman"/>
          <w:sz w:val="21"/>
        </w:rPr>
        <w:t>308</w:t>
      </w:r>
      <w:r>
        <w:rPr>
          <w:spacing w:val="-13"/>
          <w:sz w:val="21"/>
        </w:rPr>
        <w:t>号</w:t>
      </w:r>
    </w:p>
    <w:p>
      <w:pPr>
        <w:pStyle w:val="BodyText"/>
        <w:spacing w:line="417" w:lineRule="auto"/>
        <w:ind w:right="5295"/>
      </w:pPr>
      <w:r>
        <w:rPr>
          <w:spacing w:val="-3"/>
        </w:rPr>
        <w:t>办公地址：甘肃省兰州市静宁路</w:t>
      </w:r>
      <w:r>
        <w:rPr>
          <w:rFonts w:ascii="Times New Roman" w:eastAsia="Times New Roman"/>
        </w:rPr>
        <w:t>308</w:t>
      </w:r>
      <w:r>
        <w:rPr>
          <w:spacing w:val="-13"/>
        </w:rPr>
        <w:t>号</w:t>
      </w:r>
      <w:r>
        <w:rPr>
          <w:spacing w:val="-3"/>
        </w:rPr>
        <w:t>法定代表人：李晓安</w:t>
      </w:r>
    </w:p>
    <w:p>
      <w:pPr>
        <w:pStyle w:val="BodyText"/>
        <w:rPr>
          <w:rFonts w:ascii="Times New Roman" w:eastAsia="Times New Roman"/>
        </w:rPr>
      </w:pPr>
      <w:r>
        <w:rPr>
          <w:spacing w:val="-1"/>
        </w:rPr>
        <w:t>电话：</w:t>
      </w:r>
      <w:r>
        <w:rPr>
          <w:rFonts w:ascii="Times New Roman" w:eastAsia="Times New Roman"/>
          <w:spacing w:val="-1"/>
        </w:rPr>
        <w:t>0931-4890100</w:t>
      </w:r>
    </w:p>
    <w:p>
      <w:pPr>
        <w:pStyle w:val="BodyText"/>
        <w:spacing w:before="3"/>
        <w:ind w:left="0"/>
        <w:rPr>
          <w:rFonts w:ascii="Times New Roman"/>
          <w:sz w:val="17"/>
        </w:rPr>
      </w:pPr>
    </w:p>
    <w:p>
      <w:pPr>
        <w:pStyle w:val="BodyText"/>
      </w:pPr>
      <w:r>
        <w:rPr/>
        <w:t>联系人：李昕田</w:t>
      </w:r>
    </w:p>
    <w:p>
      <w:pPr>
        <w:pStyle w:val="BodyText"/>
        <w:spacing w:before="7"/>
        <w:ind w:left="0"/>
        <w:rPr>
          <w:sz w:val="15"/>
        </w:rPr>
      </w:pPr>
    </w:p>
    <w:p>
      <w:pPr>
        <w:pStyle w:val="BodyText"/>
        <w:rPr>
          <w:rFonts w:ascii="Times New Roman" w:eastAsia="Times New Roman"/>
        </w:rPr>
      </w:pPr>
      <w:r>
        <w:rPr/>
        <w:t>网址：</w:t>
      </w:r>
      <w:hyperlink r:id="rId199">
        <w:r>
          <w:rPr>
            <w:rFonts w:ascii="Times New Roman" w:eastAsia="Times New Roman"/>
          </w:rPr>
          <w:t>www.hlzqgs.com</w:t>
        </w:r>
      </w:hyperlink>
    </w:p>
    <w:p>
      <w:pPr>
        <w:pStyle w:val="BodyText"/>
        <w:spacing w:before="3"/>
        <w:ind w:left="0"/>
        <w:rPr>
          <w:rFonts w:ascii="Times New Roman"/>
          <w:sz w:val="17"/>
        </w:rPr>
      </w:pPr>
    </w:p>
    <w:p>
      <w:pPr>
        <w:pStyle w:val="BodyText"/>
      </w:pPr>
      <w:r>
        <w:rPr/>
        <w:t>客户服务电话：</w:t>
      </w:r>
      <w:r>
        <w:rPr>
          <w:rFonts w:ascii="Times New Roman" w:eastAsia="Times New Roman"/>
        </w:rPr>
        <w:t>95368</w:t>
      </w:r>
      <w:r>
        <w:rPr/>
        <w:t>、</w:t>
      </w:r>
      <w:r>
        <w:rPr>
          <w:rFonts w:ascii="Times New Roman" w:eastAsia="Times New Roman"/>
        </w:rPr>
        <w:t>400-468-8888</w:t>
      </w:r>
      <w:r>
        <w:rPr/>
        <w:t>（全国）</w:t>
      </w:r>
    </w:p>
    <w:p>
      <w:pPr>
        <w:pStyle w:val="BodyText"/>
        <w:spacing w:before="7"/>
        <w:ind w:left="0"/>
        <w:rPr>
          <w:sz w:val="15"/>
        </w:rPr>
      </w:pPr>
    </w:p>
    <w:p>
      <w:pPr>
        <w:pStyle w:val="ListParagraph"/>
        <w:numPr>
          <w:ilvl w:val="1"/>
          <w:numId w:val="14"/>
        </w:numPr>
        <w:tabs>
          <w:tab w:pos="1379" w:val="left" w:leader="none"/>
        </w:tabs>
        <w:spacing w:line="240" w:lineRule="auto" w:before="0" w:after="0"/>
        <w:ind w:left="1378" w:right="0" w:hanging="739"/>
        <w:jc w:val="left"/>
        <w:rPr>
          <w:sz w:val="21"/>
        </w:rPr>
      </w:pPr>
      <w:r>
        <w:rPr>
          <w:spacing w:val="-3"/>
          <w:sz w:val="21"/>
        </w:rPr>
        <w:t>中国国际金融股份有限公司</w:t>
      </w:r>
    </w:p>
    <w:p>
      <w:pPr>
        <w:pStyle w:val="BodyText"/>
        <w:spacing w:before="7"/>
        <w:ind w:left="0"/>
        <w:rPr>
          <w:sz w:val="15"/>
        </w:rPr>
      </w:pPr>
    </w:p>
    <w:p>
      <w:pPr>
        <w:pStyle w:val="BodyText"/>
      </w:pPr>
      <w:r>
        <w:rPr/>
        <w:t>住所：北京市建国门外大街</w:t>
      </w:r>
      <w:r>
        <w:rPr>
          <w:rFonts w:ascii="Times New Roman" w:eastAsia="Times New Roman"/>
        </w:rPr>
        <w:t>1</w:t>
      </w:r>
      <w:r>
        <w:rPr/>
        <w:t>号国贸大厦</w:t>
      </w:r>
      <w:r>
        <w:rPr>
          <w:rFonts w:ascii="Times New Roman" w:eastAsia="Times New Roman"/>
        </w:rPr>
        <w:t>2</w:t>
      </w:r>
      <w:r>
        <w:rPr/>
        <w:t>座</w:t>
      </w:r>
      <w:r>
        <w:rPr>
          <w:rFonts w:ascii="Times New Roman" w:eastAsia="Times New Roman"/>
        </w:rPr>
        <w:t>27</w:t>
      </w:r>
      <w:r>
        <w:rPr/>
        <w:t>层及</w:t>
      </w:r>
      <w:r>
        <w:rPr>
          <w:rFonts w:ascii="Times New Roman" w:eastAsia="Times New Roman"/>
        </w:rPr>
        <w:t>28</w:t>
      </w:r>
      <w:r>
        <w:rPr/>
        <w:t>层</w:t>
      </w:r>
    </w:p>
    <w:p>
      <w:pPr>
        <w:pStyle w:val="BodyText"/>
        <w:spacing w:before="6"/>
        <w:ind w:left="0"/>
        <w:rPr>
          <w:sz w:val="15"/>
        </w:rPr>
      </w:pPr>
    </w:p>
    <w:p>
      <w:pPr>
        <w:pStyle w:val="BodyText"/>
        <w:spacing w:line="417" w:lineRule="auto" w:before="1"/>
        <w:ind w:right="3298"/>
      </w:pPr>
      <w:r>
        <w:rPr/>
        <w:t>办公地址：北京市建国门外大街</w:t>
      </w:r>
      <w:r>
        <w:rPr>
          <w:rFonts w:ascii="Times New Roman" w:eastAsia="Times New Roman"/>
        </w:rPr>
        <w:t>1</w:t>
      </w:r>
      <w:r>
        <w:rPr/>
        <w:t>号国贸大厦</w:t>
      </w:r>
      <w:r>
        <w:rPr>
          <w:rFonts w:ascii="Times New Roman" w:eastAsia="Times New Roman"/>
        </w:rPr>
        <w:t>2</w:t>
      </w:r>
      <w:r>
        <w:rPr/>
        <w:t>座</w:t>
      </w:r>
      <w:r>
        <w:rPr>
          <w:rFonts w:ascii="Times New Roman" w:eastAsia="Times New Roman"/>
        </w:rPr>
        <w:t>27</w:t>
      </w:r>
      <w:r>
        <w:rPr/>
        <w:t>层及</w:t>
      </w:r>
      <w:r>
        <w:rPr>
          <w:rFonts w:ascii="Times New Roman" w:eastAsia="Times New Roman"/>
        </w:rPr>
        <w:t>28</w:t>
      </w:r>
      <w:r>
        <w:rPr/>
        <w:t>层法定代表人：金立群</w:t>
      </w:r>
    </w:p>
    <w:p>
      <w:pPr>
        <w:pStyle w:val="BodyText"/>
        <w:spacing w:line="417" w:lineRule="auto"/>
        <w:ind w:right="6906"/>
        <w:rPr>
          <w:rFonts w:ascii="Times New Roman" w:eastAsia="Times New Roman"/>
        </w:rPr>
      </w:pPr>
      <w:r>
        <w:rPr/>
        <w:t>电话：</w:t>
      </w:r>
      <w:r>
        <w:rPr>
          <w:rFonts w:ascii="Times New Roman" w:eastAsia="Times New Roman"/>
        </w:rPr>
        <w:t>010-65051166 </w:t>
      </w:r>
      <w:r>
        <w:rPr/>
        <w:t>传真：</w:t>
      </w:r>
      <w:r>
        <w:rPr>
          <w:rFonts w:ascii="Times New Roman" w:eastAsia="Times New Roman"/>
        </w:rPr>
        <w:t>010-65058065</w:t>
      </w:r>
    </w:p>
    <w:p>
      <w:pPr>
        <w:pStyle w:val="BodyText"/>
        <w:spacing w:line="417" w:lineRule="auto"/>
        <w:ind w:right="6450"/>
        <w:rPr>
          <w:rFonts w:ascii="Times New Roman" w:eastAsia="Times New Roman"/>
        </w:rPr>
      </w:pPr>
      <w:r>
        <w:rPr/>
        <w:t>联系人：罗春蓉、武明明网址：</w:t>
      </w:r>
      <w:hyperlink r:id="rId200">
        <w:r>
          <w:rPr>
            <w:rFonts w:ascii="Times New Roman" w:eastAsia="Times New Roman"/>
          </w:rPr>
          <w:t>www.cicc.com.cn</w:t>
        </w:r>
      </w:hyperlink>
    </w:p>
    <w:p>
      <w:pPr>
        <w:pStyle w:val="BodyText"/>
        <w:spacing w:line="269" w:lineRule="exact"/>
        <w:rPr>
          <w:rFonts w:ascii="Times New Roman" w:eastAsia="Times New Roman"/>
        </w:rPr>
      </w:pPr>
      <w:r>
        <w:rPr/>
        <w:t>客户服务电话：</w:t>
      </w:r>
      <w:r>
        <w:rPr>
          <w:rFonts w:ascii="Times New Roman" w:eastAsia="Times New Roman"/>
        </w:rPr>
        <w:t>010-65051166</w:t>
      </w:r>
    </w:p>
    <w:p>
      <w:pPr>
        <w:pStyle w:val="BodyText"/>
        <w:spacing w:before="3"/>
        <w:ind w:left="0"/>
        <w:rPr>
          <w:rFonts w:ascii="Times New Roman"/>
          <w:sz w:val="17"/>
        </w:rPr>
      </w:pPr>
    </w:p>
    <w:p>
      <w:pPr>
        <w:pStyle w:val="ListParagraph"/>
        <w:numPr>
          <w:ilvl w:val="1"/>
          <w:numId w:val="14"/>
        </w:numPr>
        <w:tabs>
          <w:tab w:pos="1379" w:val="left" w:leader="none"/>
        </w:tabs>
        <w:spacing w:line="240" w:lineRule="auto" w:before="0" w:after="0"/>
        <w:ind w:left="1378" w:right="0" w:hanging="739"/>
        <w:jc w:val="left"/>
        <w:rPr>
          <w:sz w:val="21"/>
        </w:rPr>
      </w:pPr>
      <w:r>
        <w:rPr>
          <w:spacing w:val="-3"/>
          <w:sz w:val="21"/>
        </w:rPr>
        <w:t>财通证券股份有限公司</w:t>
      </w:r>
    </w:p>
    <w:p>
      <w:pPr>
        <w:pStyle w:val="BodyText"/>
        <w:spacing w:before="7"/>
        <w:ind w:left="0"/>
        <w:rPr>
          <w:sz w:val="15"/>
        </w:rPr>
      </w:pPr>
    </w:p>
    <w:p>
      <w:pPr>
        <w:pStyle w:val="BodyText"/>
      </w:pPr>
      <w:r>
        <w:rPr/>
        <w:t>住所：杭州市杭大路</w:t>
      </w:r>
      <w:r>
        <w:rPr>
          <w:rFonts w:ascii="Times New Roman" w:eastAsia="Times New Roman"/>
        </w:rPr>
        <w:t>15</w:t>
      </w:r>
      <w:r>
        <w:rPr/>
        <w:t>号嘉华国际商务中心</w:t>
      </w:r>
    </w:p>
    <w:p>
      <w:pPr>
        <w:pStyle w:val="BodyText"/>
        <w:spacing w:before="7"/>
        <w:ind w:left="0"/>
        <w:rPr>
          <w:sz w:val="15"/>
        </w:rPr>
      </w:pPr>
    </w:p>
    <w:p>
      <w:pPr>
        <w:pStyle w:val="BodyText"/>
      </w:pPr>
      <w:r>
        <w:rPr/>
        <w:t>办公地址：杭州市杭大路</w:t>
      </w:r>
      <w:r>
        <w:rPr>
          <w:rFonts w:ascii="Times New Roman" w:eastAsia="Times New Roman"/>
        </w:rPr>
        <w:t>15</w:t>
      </w:r>
      <w:r>
        <w:rPr/>
        <w:t>号嘉华国际商务中心</w:t>
      </w:r>
    </w:p>
    <w:p>
      <w:pPr>
        <w:spacing w:after="0"/>
        <w:sectPr>
          <w:pgSz w:w="11910" w:h="16840"/>
          <w:pgMar w:header="705" w:footer="683" w:top="1420" w:bottom="880" w:left="1580" w:right="920"/>
        </w:sectPr>
      </w:pPr>
    </w:p>
    <w:p>
      <w:pPr>
        <w:pStyle w:val="BodyText"/>
        <w:spacing w:line="417" w:lineRule="auto" w:before="110"/>
        <w:ind w:right="6800"/>
        <w:rPr>
          <w:rFonts w:ascii="Times New Roman" w:eastAsia="Times New Roman"/>
        </w:rPr>
      </w:pPr>
      <w:r>
        <w:rPr/>
        <w:t>法定代表人：沈继宁电话：</w:t>
      </w:r>
      <w:r>
        <w:rPr>
          <w:rFonts w:ascii="Times New Roman" w:eastAsia="Times New Roman"/>
        </w:rPr>
        <w:t>0571-87925129 </w:t>
      </w:r>
      <w:r>
        <w:rPr/>
        <w:t>传真：</w:t>
      </w:r>
      <w:r>
        <w:rPr>
          <w:rFonts w:ascii="Times New Roman" w:eastAsia="Times New Roman"/>
        </w:rPr>
        <w:t>0571-87818329</w:t>
      </w:r>
    </w:p>
    <w:p>
      <w:pPr>
        <w:pStyle w:val="BodyText"/>
        <w:spacing w:line="269" w:lineRule="exact"/>
      </w:pPr>
      <w:r>
        <w:rPr/>
        <w:t>联系人：夏吉慧</w:t>
      </w:r>
    </w:p>
    <w:p>
      <w:pPr>
        <w:pStyle w:val="BodyText"/>
        <w:spacing w:before="6"/>
        <w:ind w:left="0"/>
        <w:rPr>
          <w:sz w:val="15"/>
        </w:rPr>
      </w:pPr>
    </w:p>
    <w:p>
      <w:pPr>
        <w:pStyle w:val="BodyText"/>
        <w:spacing w:line="417" w:lineRule="auto"/>
        <w:ind w:right="6767"/>
        <w:rPr>
          <w:rFonts w:ascii="Times New Roman" w:eastAsia="Times New Roman"/>
        </w:rPr>
      </w:pPr>
      <w:r>
        <w:rPr/>
        <w:t>网址：</w:t>
      </w:r>
      <w:hyperlink r:id="rId201">
        <w:r>
          <w:rPr>
            <w:rFonts w:ascii="Times New Roman" w:eastAsia="Times New Roman"/>
          </w:rPr>
          <w:t>www.ctsec.com </w:t>
        </w:r>
      </w:hyperlink>
      <w:r>
        <w:rPr/>
        <w:t>客户服务电话：</w:t>
      </w:r>
      <w:r>
        <w:rPr>
          <w:rFonts w:ascii="Times New Roman" w:eastAsia="Times New Roman"/>
        </w:rPr>
        <w:t>95336</w:t>
      </w:r>
    </w:p>
    <w:p>
      <w:pPr>
        <w:pStyle w:val="ListParagraph"/>
        <w:numPr>
          <w:ilvl w:val="1"/>
          <w:numId w:val="14"/>
        </w:numPr>
        <w:tabs>
          <w:tab w:pos="1379" w:val="left" w:leader="none"/>
        </w:tabs>
        <w:spacing w:line="269" w:lineRule="exact" w:before="0" w:after="0"/>
        <w:ind w:left="1378" w:right="0" w:hanging="739"/>
        <w:jc w:val="left"/>
        <w:rPr>
          <w:sz w:val="21"/>
        </w:rPr>
      </w:pPr>
      <w:r>
        <w:rPr>
          <w:spacing w:val="-3"/>
          <w:sz w:val="21"/>
        </w:rPr>
        <w:t>上海华信证券有限责任公司</w:t>
      </w:r>
    </w:p>
    <w:p>
      <w:pPr>
        <w:pStyle w:val="BodyText"/>
        <w:spacing w:before="8"/>
        <w:ind w:left="0"/>
        <w:rPr>
          <w:sz w:val="15"/>
        </w:rPr>
      </w:pPr>
    </w:p>
    <w:p>
      <w:pPr>
        <w:pStyle w:val="BodyText"/>
        <w:spacing w:line="417" w:lineRule="auto"/>
        <w:ind w:right="3826"/>
      </w:pPr>
      <w:r>
        <w:rPr>
          <w:spacing w:val="-3"/>
        </w:rPr>
        <w:t>住所：上海市浦东新区世纪大道</w:t>
      </w:r>
      <w:r>
        <w:rPr>
          <w:rFonts w:ascii="Times New Roman" w:eastAsia="Times New Roman"/>
        </w:rPr>
        <w:t>100</w:t>
      </w:r>
      <w:r>
        <w:rPr>
          <w:spacing w:val="-3"/>
        </w:rPr>
        <w:t>号环球金融中心 办公地址：上海市黄埔区南京西路</w:t>
      </w:r>
      <w:r>
        <w:rPr>
          <w:rFonts w:ascii="Times New Roman" w:eastAsia="Times New Roman"/>
        </w:rPr>
        <w:t>399</w:t>
      </w:r>
      <w:r>
        <w:rPr>
          <w:spacing w:val="-3"/>
        </w:rPr>
        <w:t>号明天广场</w:t>
      </w:r>
      <w:r>
        <w:rPr>
          <w:rFonts w:ascii="Times New Roman" w:eastAsia="Times New Roman"/>
          <w:spacing w:val="-3"/>
        </w:rPr>
        <w:t>20</w:t>
      </w:r>
      <w:r>
        <w:rPr/>
        <w:t>楼</w:t>
      </w:r>
      <w:r>
        <w:rPr>
          <w:spacing w:val="-3"/>
        </w:rPr>
        <w:t>法定代表人：陈灿辉</w:t>
      </w:r>
    </w:p>
    <w:p>
      <w:pPr>
        <w:pStyle w:val="BodyText"/>
        <w:spacing w:line="269" w:lineRule="exact"/>
        <w:rPr>
          <w:rFonts w:ascii="Times New Roman" w:eastAsia="Times New Roman"/>
        </w:rPr>
      </w:pPr>
      <w:r>
        <w:rPr>
          <w:spacing w:val="-1"/>
        </w:rPr>
        <w:t>电话：</w:t>
      </w:r>
      <w:r>
        <w:rPr>
          <w:rFonts w:ascii="Times New Roman" w:eastAsia="Times New Roman"/>
          <w:spacing w:val="-1"/>
        </w:rPr>
        <w:t>021-63898427</w:t>
      </w:r>
    </w:p>
    <w:p>
      <w:pPr>
        <w:pStyle w:val="BodyText"/>
        <w:spacing w:before="3"/>
        <w:ind w:left="0"/>
        <w:rPr>
          <w:rFonts w:ascii="Times New Roman"/>
          <w:sz w:val="17"/>
        </w:rPr>
      </w:pPr>
    </w:p>
    <w:p>
      <w:pPr>
        <w:pStyle w:val="BodyText"/>
        <w:rPr>
          <w:rFonts w:ascii="Times New Roman" w:eastAsia="Times New Roman"/>
        </w:rPr>
      </w:pPr>
      <w:r>
        <w:rPr/>
        <w:t>传真：</w:t>
      </w:r>
      <w:r>
        <w:rPr>
          <w:rFonts w:ascii="Times New Roman" w:eastAsia="Times New Roman"/>
        </w:rPr>
        <w:t>021-68776977-8427</w:t>
      </w:r>
    </w:p>
    <w:p>
      <w:pPr>
        <w:pStyle w:val="BodyText"/>
        <w:spacing w:before="4"/>
        <w:ind w:left="0"/>
        <w:rPr>
          <w:rFonts w:ascii="Times New Roman"/>
          <w:sz w:val="17"/>
        </w:rPr>
      </w:pPr>
    </w:p>
    <w:p>
      <w:pPr>
        <w:pStyle w:val="BodyText"/>
      </w:pPr>
      <w:r>
        <w:rPr/>
        <w:t>联系人：徐璐</w:t>
      </w:r>
    </w:p>
    <w:p>
      <w:pPr>
        <w:pStyle w:val="BodyText"/>
        <w:spacing w:before="6"/>
        <w:ind w:left="0"/>
        <w:rPr>
          <w:sz w:val="15"/>
        </w:rPr>
      </w:pPr>
    </w:p>
    <w:p>
      <w:pPr>
        <w:pStyle w:val="BodyText"/>
        <w:rPr>
          <w:rFonts w:ascii="Times New Roman" w:eastAsia="Times New Roman"/>
        </w:rPr>
      </w:pPr>
      <w:r>
        <w:rPr/>
        <w:t>网址：</w:t>
      </w:r>
      <w:hyperlink r:id="rId202">
        <w:r>
          <w:rPr>
            <w:rFonts w:ascii="Times New Roman" w:eastAsia="Times New Roman"/>
          </w:rPr>
          <w:t>www.shhxzq.com</w:t>
        </w:r>
      </w:hyperlink>
    </w:p>
    <w:p>
      <w:pPr>
        <w:pStyle w:val="BodyText"/>
        <w:spacing w:before="4"/>
        <w:ind w:left="0"/>
        <w:rPr>
          <w:rFonts w:ascii="Times New Roman"/>
          <w:sz w:val="17"/>
        </w:rPr>
      </w:pPr>
    </w:p>
    <w:p>
      <w:pPr>
        <w:pStyle w:val="BodyText"/>
        <w:rPr>
          <w:rFonts w:ascii="Times New Roman" w:eastAsia="Times New Roman"/>
        </w:rPr>
      </w:pPr>
      <w:r>
        <w:rPr/>
        <w:t>客户服务电话：</w:t>
      </w:r>
      <w:r>
        <w:rPr>
          <w:rFonts w:ascii="Times New Roman" w:eastAsia="Times New Roman"/>
        </w:rPr>
        <w:t>400-820-5999</w:t>
      </w:r>
    </w:p>
    <w:p>
      <w:pPr>
        <w:pStyle w:val="BodyText"/>
        <w:spacing w:before="4"/>
        <w:ind w:left="0"/>
        <w:rPr>
          <w:rFonts w:ascii="Times New Roman"/>
          <w:sz w:val="17"/>
        </w:rPr>
      </w:pPr>
    </w:p>
    <w:p>
      <w:pPr>
        <w:pStyle w:val="ListParagraph"/>
        <w:numPr>
          <w:ilvl w:val="1"/>
          <w:numId w:val="14"/>
        </w:numPr>
        <w:tabs>
          <w:tab w:pos="1379" w:val="left" w:leader="none"/>
        </w:tabs>
        <w:spacing w:line="240" w:lineRule="auto" w:before="0" w:after="0"/>
        <w:ind w:left="1378" w:right="0" w:hanging="739"/>
        <w:jc w:val="left"/>
        <w:rPr>
          <w:sz w:val="21"/>
        </w:rPr>
      </w:pPr>
      <w:r>
        <w:rPr>
          <w:spacing w:val="-3"/>
          <w:sz w:val="21"/>
        </w:rPr>
        <w:t>华鑫证券有限责任公司</w:t>
      </w:r>
    </w:p>
    <w:p>
      <w:pPr>
        <w:pStyle w:val="BodyText"/>
        <w:spacing w:before="6"/>
        <w:ind w:left="0"/>
        <w:rPr>
          <w:sz w:val="15"/>
        </w:rPr>
      </w:pPr>
    </w:p>
    <w:p>
      <w:pPr>
        <w:pStyle w:val="BodyText"/>
        <w:spacing w:line="417" w:lineRule="auto" w:before="1"/>
        <w:ind w:right="1411"/>
      </w:pPr>
      <w:r>
        <w:rPr/>
        <w:t>住所：深圳市福田区莲花街道福中社区深南大道</w:t>
      </w:r>
      <w:r>
        <w:rPr>
          <w:rFonts w:ascii="Times New Roman" w:eastAsia="Times New Roman"/>
        </w:rPr>
        <w:t>2008</w:t>
      </w:r>
      <w:r>
        <w:rPr/>
        <w:t>号中国凤凰大厦</w:t>
      </w:r>
      <w:r>
        <w:rPr>
          <w:rFonts w:ascii="Times New Roman" w:eastAsia="Times New Roman"/>
        </w:rPr>
        <w:t>1</w:t>
      </w:r>
      <w:r>
        <w:rPr/>
        <w:t>栋</w:t>
      </w:r>
      <w:r>
        <w:rPr>
          <w:rFonts w:ascii="Times New Roman" w:eastAsia="Times New Roman"/>
        </w:rPr>
        <w:t>20C-1</w:t>
      </w:r>
      <w:r>
        <w:rPr/>
        <w:t>房办公地址：上海市徐汇区宛平南路</w:t>
      </w:r>
      <w:r>
        <w:rPr>
          <w:rFonts w:ascii="Times New Roman" w:eastAsia="Times New Roman"/>
        </w:rPr>
        <w:t>8</w:t>
      </w:r>
      <w:r>
        <w:rPr/>
        <w:t>号</w:t>
      </w:r>
    </w:p>
    <w:p>
      <w:pPr>
        <w:pStyle w:val="BodyText"/>
        <w:spacing w:line="417" w:lineRule="auto"/>
        <w:ind w:right="6844"/>
        <w:rPr>
          <w:rFonts w:ascii="Times New Roman" w:eastAsia="Times New Roman"/>
        </w:rPr>
      </w:pPr>
      <w:r>
        <w:rPr/>
        <w:t>法定代表人：俞洋电话：</w:t>
      </w:r>
      <w:r>
        <w:rPr>
          <w:rFonts w:ascii="Times New Roman" w:eastAsia="Times New Roman"/>
        </w:rPr>
        <w:t>021-54967552 </w:t>
      </w:r>
      <w:r>
        <w:rPr/>
        <w:t>传真：</w:t>
      </w:r>
      <w:r>
        <w:rPr>
          <w:rFonts w:ascii="Times New Roman" w:eastAsia="Times New Roman"/>
        </w:rPr>
        <w:t>021-54967032</w:t>
      </w:r>
    </w:p>
    <w:p>
      <w:pPr>
        <w:pStyle w:val="BodyText"/>
      </w:pPr>
      <w:r>
        <w:rPr/>
        <w:t>联系人：杨莉娟</w:t>
      </w:r>
    </w:p>
    <w:p>
      <w:pPr>
        <w:pStyle w:val="BodyText"/>
        <w:spacing w:before="6"/>
        <w:ind w:left="0"/>
        <w:rPr>
          <w:sz w:val="15"/>
        </w:rPr>
      </w:pPr>
    </w:p>
    <w:p>
      <w:pPr>
        <w:pStyle w:val="BodyText"/>
        <w:rPr>
          <w:rFonts w:ascii="Times New Roman" w:eastAsia="Times New Roman"/>
        </w:rPr>
      </w:pPr>
      <w:r>
        <w:rPr/>
        <w:t>网址：</w:t>
      </w:r>
      <w:hyperlink r:id="rId203">
        <w:r>
          <w:rPr>
            <w:rFonts w:ascii="Times New Roman" w:eastAsia="Times New Roman"/>
          </w:rPr>
          <w:t>www.cfsc.com.cn</w:t>
        </w:r>
      </w:hyperlink>
    </w:p>
    <w:p>
      <w:pPr>
        <w:pStyle w:val="BodyText"/>
        <w:spacing w:before="3"/>
        <w:ind w:left="0"/>
        <w:rPr>
          <w:rFonts w:ascii="Times New Roman"/>
          <w:sz w:val="17"/>
        </w:rPr>
      </w:pPr>
    </w:p>
    <w:p>
      <w:pPr>
        <w:pStyle w:val="BodyText"/>
        <w:rPr>
          <w:rFonts w:ascii="Times New Roman" w:eastAsia="Times New Roman"/>
        </w:rPr>
      </w:pPr>
      <w:r>
        <w:rPr/>
        <w:t>客户服务电话：</w:t>
      </w:r>
      <w:r>
        <w:rPr>
          <w:rFonts w:ascii="Times New Roman" w:eastAsia="Times New Roman"/>
        </w:rPr>
        <w:t>95323</w:t>
      </w:r>
      <w:r>
        <w:rPr/>
        <w:t>、</w:t>
      </w:r>
      <w:r>
        <w:rPr>
          <w:rFonts w:ascii="Times New Roman" w:eastAsia="Times New Roman"/>
        </w:rPr>
        <w:t>400-109-9918</w:t>
      </w:r>
    </w:p>
    <w:p>
      <w:pPr>
        <w:pStyle w:val="BodyText"/>
        <w:spacing w:before="4"/>
        <w:ind w:left="0"/>
        <w:rPr>
          <w:rFonts w:ascii="Times New Roman"/>
          <w:sz w:val="17"/>
        </w:rPr>
      </w:pPr>
    </w:p>
    <w:p>
      <w:pPr>
        <w:pStyle w:val="ListParagraph"/>
        <w:numPr>
          <w:ilvl w:val="1"/>
          <w:numId w:val="14"/>
        </w:numPr>
        <w:tabs>
          <w:tab w:pos="1379" w:val="left" w:leader="none"/>
        </w:tabs>
        <w:spacing w:line="240" w:lineRule="auto" w:before="0" w:after="0"/>
        <w:ind w:left="1378" w:right="0" w:hanging="739"/>
        <w:jc w:val="left"/>
        <w:rPr>
          <w:sz w:val="21"/>
        </w:rPr>
      </w:pPr>
      <w:r>
        <w:rPr>
          <w:spacing w:val="-3"/>
          <w:sz w:val="21"/>
        </w:rPr>
        <w:t>瑞银证券有限责任公司</w:t>
      </w:r>
    </w:p>
    <w:p>
      <w:pPr>
        <w:pStyle w:val="BodyText"/>
        <w:spacing w:before="6"/>
        <w:ind w:left="0"/>
        <w:rPr>
          <w:sz w:val="15"/>
        </w:rPr>
      </w:pPr>
    </w:p>
    <w:p>
      <w:pPr>
        <w:pStyle w:val="BodyText"/>
        <w:spacing w:before="1"/>
      </w:pPr>
      <w:r>
        <w:rPr/>
        <w:t>住所：北京市西城区金融大街</w:t>
      </w:r>
      <w:r>
        <w:rPr>
          <w:rFonts w:ascii="Times New Roman" w:eastAsia="Times New Roman"/>
        </w:rPr>
        <w:t>7</w:t>
      </w:r>
      <w:r>
        <w:rPr/>
        <w:t>号英蓝国际金融中心</w:t>
      </w:r>
      <w:r>
        <w:rPr>
          <w:rFonts w:ascii="Times New Roman" w:eastAsia="Times New Roman"/>
        </w:rPr>
        <w:t>12</w:t>
      </w:r>
      <w:r>
        <w:rPr/>
        <w:t>层、</w:t>
      </w:r>
      <w:r>
        <w:rPr>
          <w:rFonts w:ascii="Times New Roman" w:eastAsia="Times New Roman"/>
        </w:rPr>
        <w:t>15</w:t>
      </w:r>
      <w:r>
        <w:rPr/>
        <w:t>层</w:t>
      </w:r>
    </w:p>
    <w:p>
      <w:pPr>
        <w:pStyle w:val="BodyText"/>
        <w:spacing w:before="6"/>
        <w:ind w:left="0"/>
        <w:rPr>
          <w:sz w:val="15"/>
        </w:rPr>
      </w:pPr>
    </w:p>
    <w:p>
      <w:pPr>
        <w:pStyle w:val="BodyText"/>
        <w:spacing w:line="417" w:lineRule="auto"/>
        <w:ind w:right="2563"/>
      </w:pPr>
      <w:r>
        <w:rPr/>
        <w:t>办公地址：北京市西城区金融大街</w:t>
      </w:r>
      <w:r>
        <w:rPr>
          <w:rFonts w:ascii="Times New Roman" w:eastAsia="Times New Roman"/>
        </w:rPr>
        <w:t>7</w:t>
      </w:r>
      <w:r>
        <w:rPr/>
        <w:t>号英蓝国际金融中心</w:t>
      </w:r>
      <w:r>
        <w:rPr>
          <w:rFonts w:ascii="Times New Roman" w:eastAsia="Times New Roman"/>
        </w:rPr>
        <w:t>12</w:t>
      </w:r>
      <w:r>
        <w:rPr/>
        <w:t>层、</w:t>
      </w:r>
      <w:r>
        <w:rPr>
          <w:rFonts w:ascii="Times New Roman" w:eastAsia="Times New Roman"/>
        </w:rPr>
        <w:t>15</w:t>
      </w:r>
      <w:r>
        <w:rPr/>
        <w:t>层法定代表人：程宜荪</w:t>
      </w:r>
    </w:p>
    <w:p>
      <w:pPr>
        <w:pStyle w:val="BodyText"/>
        <w:spacing w:line="417" w:lineRule="auto"/>
        <w:ind w:right="6906"/>
        <w:rPr>
          <w:rFonts w:ascii="Times New Roman" w:eastAsia="Times New Roman"/>
        </w:rPr>
      </w:pPr>
      <w:r>
        <w:rPr/>
        <w:t>电话：</w:t>
      </w:r>
      <w:r>
        <w:rPr>
          <w:rFonts w:ascii="Times New Roman" w:eastAsia="Times New Roman"/>
        </w:rPr>
        <w:t>010-58328112 </w:t>
      </w:r>
      <w:r>
        <w:rPr/>
        <w:t>传真：</w:t>
      </w:r>
      <w:r>
        <w:rPr>
          <w:rFonts w:ascii="Times New Roman" w:eastAsia="Times New Roman"/>
        </w:rPr>
        <w:t>010-58328748</w:t>
      </w:r>
    </w:p>
    <w:p>
      <w:pPr>
        <w:spacing w:after="0" w:line="417" w:lineRule="auto"/>
        <w:rPr>
          <w:rFonts w:ascii="Times New Roman" w:eastAsia="Times New Roman"/>
        </w:rPr>
        <w:sectPr>
          <w:pgSz w:w="11910" w:h="16840"/>
          <w:pgMar w:header="705" w:footer="683" w:top="1420" w:bottom="880" w:left="1580" w:right="920"/>
        </w:sectPr>
      </w:pPr>
    </w:p>
    <w:p>
      <w:pPr>
        <w:pStyle w:val="BodyText"/>
        <w:spacing w:before="110"/>
      </w:pPr>
      <w:r>
        <w:rPr/>
        <w:t>联系人：牟冲</w:t>
      </w:r>
    </w:p>
    <w:p>
      <w:pPr>
        <w:pStyle w:val="BodyText"/>
        <w:spacing w:before="6"/>
        <w:ind w:left="0"/>
        <w:rPr>
          <w:sz w:val="15"/>
        </w:rPr>
      </w:pPr>
    </w:p>
    <w:p>
      <w:pPr>
        <w:pStyle w:val="BodyText"/>
        <w:spacing w:line="417" w:lineRule="auto"/>
        <w:ind w:right="6101"/>
        <w:rPr>
          <w:rFonts w:ascii="Times New Roman" w:eastAsia="Times New Roman"/>
        </w:rPr>
      </w:pPr>
      <w:r>
        <w:rPr/>
        <w:t>网址：</w:t>
      </w:r>
      <w:hyperlink r:id="rId204">
        <w:r>
          <w:rPr>
            <w:rFonts w:ascii="Times New Roman" w:eastAsia="Times New Roman"/>
          </w:rPr>
          <w:t>www.ubssecurities.com </w:t>
        </w:r>
      </w:hyperlink>
      <w:r>
        <w:rPr/>
        <w:t>客户服务电话：</w:t>
      </w:r>
      <w:r>
        <w:rPr>
          <w:rFonts w:ascii="Times New Roman" w:eastAsia="Times New Roman"/>
        </w:rPr>
        <w:t>400-887-8827</w:t>
      </w:r>
    </w:p>
    <w:p>
      <w:pPr>
        <w:pStyle w:val="ListParagraph"/>
        <w:numPr>
          <w:ilvl w:val="1"/>
          <w:numId w:val="14"/>
        </w:numPr>
        <w:tabs>
          <w:tab w:pos="1379" w:val="left" w:leader="none"/>
        </w:tabs>
        <w:spacing w:line="269" w:lineRule="exact" w:before="0" w:after="0"/>
        <w:ind w:left="1378" w:right="0" w:hanging="739"/>
        <w:jc w:val="left"/>
        <w:rPr>
          <w:sz w:val="21"/>
        </w:rPr>
      </w:pPr>
      <w:r>
        <w:rPr>
          <w:spacing w:val="-3"/>
          <w:sz w:val="21"/>
        </w:rPr>
        <w:t>中国中金财富证券有限公司</w:t>
      </w:r>
    </w:p>
    <w:p>
      <w:pPr>
        <w:pStyle w:val="BodyText"/>
        <w:spacing w:before="7"/>
        <w:ind w:left="0"/>
        <w:rPr>
          <w:sz w:val="15"/>
        </w:rPr>
      </w:pPr>
    </w:p>
    <w:p>
      <w:pPr>
        <w:pStyle w:val="BodyText"/>
        <w:spacing w:line="417" w:lineRule="auto"/>
        <w:ind w:left="220" w:right="871" w:firstLine="419"/>
      </w:pPr>
      <w:r>
        <w:rPr/>
        <w:t>住所：深圳市福田区益田路与福中路交界处荣超商务中心</w:t>
      </w:r>
      <w:r>
        <w:rPr>
          <w:rFonts w:ascii="Times New Roman" w:eastAsia="Times New Roman"/>
        </w:rPr>
        <w:t>A</w:t>
      </w:r>
      <w:r>
        <w:rPr/>
        <w:t>栋第</w:t>
      </w:r>
      <w:r>
        <w:rPr>
          <w:rFonts w:ascii="Times New Roman" w:eastAsia="Times New Roman"/>
        </w:rPr>
        <w:t>18</w:t>
      </w:r>
      <w:r>
        <w:rPr/>
        <w:t>层</w:t>
      </w:r>
      <w:r>
        <w:rPr>
          <w:rFonts w:ascii="Times New Roman" w:eastAsia="Times New Roman"/>
        </w:rPr>
        <w:t>-21</w:t>
      </w:r>
      <w:r>
        <w:rPr/>
        <w:t>层及第</w:t>
      </w:r>
      <w:r>
        <w:rPr>
          <w:rFonts w:ascii="Times New Roman" w:eastAsia="Times New Roman"/>
        </w:rPr>
        <w:t>04</w:t>
      </w:r>
      <w:r>
        <w:rPr/>
        <w:t>层</w:t>
      </w:r>
      <w:r>
        <w:rPr>
          <w:rFonts w:ascii="Times New Roman" w:eastAsia="Times New Roman"/>
        </w:rPr>
        <w:t>01.02.03.05.11.12.13.15.16.18.19.20.21.22.23</w:t>
      </w:r>
      <w:r>
        <w:rPr/>
        <w:t>单元</w:t>
      </w:r>
    </w:p>
    <w:p>
      <w:pPr>
        <w:pStyle w:val="BodyText"/>
        <w:spacing w:line="417" w:lineRule="auto"/>
        <w:ind w:right="1886"/>
      </w:pPr>
      <w:r>
        <w:rPr/>
        <w:t>办公地址：深圳市福田区益田路</w:t>
      </w:r>
      <w:r>
        <w:rPr>
          <w:rFonts w:ascii="Times New Roman" w:eastAsia="Times New Roman"/>
        </w:rPr>
        <w:t>6003</w:t>
      </w:r>
      <w:r>
        <w:rPr/>
        <w:t>号荣超商务中心</w:t>
      </w:r>
      <w:r>
        <w:rPr>
          <w:rFonts w:ascii="Times New Roman" w:eastAsia="Times New Roman"/>
        </w:rPr>
        <w:t>A</w:t>
      </w:r>
      <w:r>
        <w:rPr/>
        <w:t>栋第</w:t>
      </w:r>
      <w:r>
        <w:rPr>
          <w:rFonts w:ascii="Times New Roman" w:eastAsia="Times New Roman"/>
        </w:rPr>
        <w:t>04</w:t>
      </w:r>
      <w:r>
        <w:rPr/>
        <w:t>、</w:t>
      </w:r>
      <w:r>
        <w:rPr>
          <w:rFonts w:ascii="Times New Roman" w:eastAsia="Times New Roman"/>
        </w:rPr>
        <w:t>18</w:t>
      </w:r>
      <w:r>
        <w:rPr/>
        <w:t>层至</w:t>
      </w:r>
      <w:r>
        <w:rPr>
          <w:rFonts w:ascii="Times New Roman" w:eastAsia="Times New Roman"/>
        </w:rPr>
        <w:t>21</w:t>
      </w:r>
      <w:r>
        <w:rPr/>
        <w:t>层法定代表人：高涛</w:t>
      </w:r>
    </w:p>
    <w:p>
      <w:pPr>
        <w:pStyle w:val="BodyText"/>
        <w:spacing w:line="417" w:lineRule="auto"/>
        <w:ind w:right="6800"/>
        <w:rPr>
          <w:rFonts w:ascii="Times New Roman" w:eastAsia="Times New Roman"/>
        </w:rPr>
      </w:pPr>
      <w:r>
        <w:rPr/>
        <w:t>电话：</w:t>
      </w:r>
      <w:r>
        <w:rPr>
          <w:rFonts w:ascii="Times New Roman" w:eastAsia="Times New Roman"/>
        </w:rPr>
        <w:t>0755-88320851 </w:t>
      </w:r>
      <w:r>
        <w:rPr/>
        <w:t>传真：</w:t>
      </w:r>
      <w:r>
        <w:rPr>
          <w:rFonts w:ascii="Times New Roman" w:eastAsia="Times New Roman"/>
        </w:rPr>
        <w:t>0755-82026942</w:t>
      </w:r>
    </w:p>
    <w:p>
      <w:pPr>
        <w:pStyle w:val="BodyText"/>
        <w:spacing w:line="269" w:lineRule="exact"/>
      </w:pPr>
      <w:r>
        <w:rPr/>
        <w:t>联系人：胡芷境</w:t>
      </w:r>
    </w:p>
    <w:p>
      <w:pPr>
        <w:pStyle w:val="BodyText"/>
        <w:spacing w:before="7"/>
        <w:ind w:left="0"/>
        <w:rPr>
          <w:sz w:val="15"/>
        </w:rPr>
      </w:pPr>
    </w:p>
    <w:p>
      <w:pPr>
        <w:pStyle w:val="BodyText"/>
        <w:rPr>
          <w:rFonts w:ascii="Times New Roman" w:eastAsia="Times New Roman"/>
        </w:rPr>
      </w:pPr>
      <w:r>
        <w:rPr/>
        <w:t>网址：</w:t>
      </w:r>
      <w:hyperlink r:id="rId205">
        <w:r>
          <w:rPr>
            <w:rFonts w:ascii="Times New Roman" w:eastAsia="Times New Roman"/>
          </w:rPr>
          <w:t>www.china-invs.cn</w:t>
        </w:r>
      </w:hyperlink>
    </w:p>
    <w:p>
      <w:pPr>
        <w:pStyle w:val="BodyText"/>
        <w:spacing w:before="3"/>
        <w:ind w:left="0"/>
        <w:rPr>
          <w:rFonts w:ascii="Times New Roman"/>
          <w:sz w:val="17"/>
        </w:rPr>
      </w:pPr>
    </w:p>
    <w:p>
      <w:pPr>
        <w:pStyle w:val="BodyText"/>
        <w:rPr>
          <w:rFonts w:ascii="Times New Roman" w:eastAsia="Times New Roman"/>
        </w:rPr>
      </w:pPr>
      <w:r>
        <w:rPr/>
        <w:t>客户服务电话：</w:t>
      </w:r>
      <w:r>
        <w:rPr>
          <w:rFonts w:ascii="Times New Roman" w:eastAsia="Times New Roman"/>
        </w:rPr>
        <w:t>400-600-8008</w:t>
      </w:r>
      <w:r>
        <w:rPr/>
        <w:t>、</w:t>
      </w:r>
      <w:r>
        <w:rPr>
          <w:rFonts w:ascii="Times New Roman" w:eastAsia="Times New Roman"/>
        </w:rPr>
        <w:t>95532</w:t>
      </w:r>
    </w:p>
    <w:p>
      <w:pPr>
        <w:pStyle w:val="BodyText"/>
        <w:spacing w:before="4"/>
        <w:ind w:left="0"/>
        <w:rPr>
          <w:rFonts w:ascii="Times New Roman"/>
          <w:sz w:val="17"/>
        </w:rPr>
      </w:pPr>
    </w:p>
    <w:p>
      <w:pPr>
        <w:pStyle w:val="ListParagraph"/>
        <w:numPr>
          <w:ilvl w:val="1"/>
          <w:numId w:val="14"/>
        </w:numPr>
        <w:tabs>
          <w:tab w:pos="1379" w:val="left" w:leader="none"/>
        </w:tabs>
        <w:spacing w:line="240" w:lineRule="auto" w:before="0" w:after="0"/>
        <w:ind w:left="1378" w:right="0" w:hanging="739"/>
        <w:jc w:val="left"/>
        <w:rPr>
          <w:sz w:val="21"/>
        </w:rPr>
      </w:pPr>
      <w:r>
        <w:rPr>
          <w:spacing w:val="-3"/>
          <w:sz w:val="21"/>
        </w:rPr>
        <w:t>中山证券有限责任公司</w:t>
      </w:r>
    </w:p>
    <w:p>
      <w:pPr>
        <w:pStyle w:val="BodyText"/>
        <w:spacing w:before="7"/>
        <w:ind w:left="0"/>
        <w:rPr>
          <w:sz w:val="15"/>
        </w:rPr>
      </w:pPr>
    </w:p>
    <w:p>
      <w:pPr>
        <w:pStyle w:val="BodyText"/>
      </w:pPr>
      <w:r>
        <w:rPr/>
        <w:t>住所：深圳市南山区创业路</w:t>
      </w:r>
      <w:r>
        <w:rPr>
          <w:rFonts w:ascii="Times New Roman" w:eastAsia="Times New Roman"/>
        </w:rPr>
        <w:t>1777</w:t>
      </w:r>
      <w:r>
        <w:rPr/>
        <w:t>号海信南方大厦</w:t>
      </w:r>
      <w:r>
        <w:rPr>
          <w:rFonts w:ascii="Times New Roman" w:eastAsia="Times New Roman"/>
        </w:rPr>
        <w:t>21</w:t>
      </w:r>
      <w:r>
        <w:rPr/>
        <w:t>、</w:t>
      </w:r>
      <w:r>
        <w:rPr>
          <w:rFonts w:ascii="Times New Roman" w:eastAsia="Times New Roman"/>
        </w:rPr>
        <w:t>22</w:t>
      </w:r>
      <w:r>
        <w:rPr/>
        <w:t>层</w:t>
      </w:r>
    </w:p>
    <w:p>
      <w:pPr>
        <w:pStyle w:val="BodyText"/>
        <w:spacing w:before="6"/>
        <w:ind w:left="0"/>
        <w:rPr>
          <w:sz w:val="15"/>
        </w:rPr>
      </w:pPr>
    </w:p>
    <w:p>
      <w:pPr>
        <w:pStyle w:val="BodyText"/>
        <w:spacing w:line="417" w:lineRule="auto" w:before="1"/>
        <w:ind w:right="3087"/>
      </w:pPr>
      <w:r>
        <w:rPr/>
        <w:t>办公地址：深圳市南山区创业路</w:t>
      </w:r>
      <w:r>
        <w:rPr>
          <w:rFonts w:ascii="Times New Roman" w:eastAsia="Times New Roman"/>
        </w:rPr>
        <w:t>1777</w:t>
      </w:r>
      <w:r>
        <w:rPr/>
        <w:t>号海信南方大厦</w:t>
      </w:r>
      <w:r>
        <w:rPr>
          <w:rFonts w:ascii="Times New Roman" w:eastAsia="Times New Roman"/>
        </w:rPr>
        <w:t>21</w:t>
      </w:r>
      <w:r>
        <w:rPr/>
        <w:t>、</w:t>
      </w:r>
      <w:r>
        <w:rPr>
          <w:rFonts w:ascii="Times New Roman" w:eastAsia="Times New Roman"/>
        </w:rPr>
        <w:t>22</w:t>
      </w:r>
      <w:r>
        <w:rPr/>
        <w:t>层法定代表人：林炳城</w:t>
      </w:r>
    </w:p>
    <w:p>
      <w:pPr>
        <w:pStyle w:val="BodyText"/>
        <w:spacing w:line="417" w:lineRule="auto"/>
        <w:ind w:right="6800"/>
        <w:rPr>
          <w:rFonts w:ascii="Times New Roman" w:eastAsia="Times New Roman"/>
        </w:rPr>
      </w:pPr>
      <w:r>
        <w:rPr/>
        <w:t>电话：</w:t>
      </w:r>
      <w:r>
        <w:rPr>
          <w:rFonts w:ascii="Times New Roman" w:eastAsia="Times New Roman"/>
        </w:rPr>
        <w:t>0755-82943755 </w:t>
      </w:r>
      <w:r>
        <w:rPr/>
        <w:t>传真：</w:t>
      </w:r>
      <w:r>
        <w:rPr>
          <w:rFonts w:ascii="Times New Roman" w:eastAsia="Times New Roman"/>
        </w:rPr>
        <w:t>0755-82960582</w:t>
      </w:r>
    </w:p>
    <w:p>
      <w:pPr>
        <w:pStyle w:val="BodyText"/>
        <w:spacing w:line="269" w:lineRule="exact"/>
      </w:pPr>
      <w:r>
        <w:rPr/>
        <w:t>联系人：罗艺琳</w:t>
      </w:r>
    </w:p>
    <w:p>
      <w:pPr>
        <w:pStyle w:val="BodyText"/>
        <w:spacing w:before="6"/>
        <w:ind w:left="0"/>
        <w:rPr>
          <w:sz w:val="15"/>
        </w:rPr>
      </w:pPr>
    </w:p>
    <w:p>
      <w:pPr>
        <w:pStyle w:val="BodyText"/>
        <w:spacing w:line="417" w:lineRule="auto"/>
        <w:ind w:right="6767"/>
        <w:rPr>
          <w:rFonts w:ascii="Times New Roman" w:eastAsia="Times New Roman"/>
        </w:rPr>
      </w:pPr>
      <w:r>
        <w:rPr/>
        <w:t>网址：</w:t>
      </w:r>
      <w:hyperlink r:id="rId206">
        <w:r>
          <w:rPr>
            <w:rFonts w:ascii="Times New Roman" w:eastAsia="Times New Roman"/>
          </w:rPr>
          <w:t>www.zszq.com </w:t>
        </w:r>
      </w:hyperlink>
      <w:r>
        <w:rPr/>
        <w:t>客户服务电话：</w:t>
      </w:r>
      <w:r>
        <w:rPr>
          <w:rFonts w:ascii="Times New Roman" w:eastAsia="Times New Roman"/>
        </w:rPr>
        <w:t>95329</w:t>
      </w:r>
    </w:p>
    <w:p>
      <w:pPr>
        <w:pStyle w:val="ListParagraph"/>
        <w:numPr>
          <w:ilvl w:val="1"/>
          <w:numId w:val="14"/>
        </w:numPr>
        <w:tabs>
          <w:tab w:pos="1379" w:val="left" w:leader="none"/>
        </w:tabs>
        <w:spacing w:line="417" w:lineRule="auto" w:before="0" w:after="0"/>
        <w:ind w:left="640" w:right="5506" w:firstLine="0"/>
        <w:jc w:val="left"/>
        <w:rPr>
          <w:sz w:val="21"/>
        </w:rPr>
      </w:pPr>
      <w:r>
        <w:rPr>
          <w:spacing w:val="-4"/>
          <w:sz w:val="21"/>
        </w:rPr>
        <w:t>东方财富证券股份有限公司</w:t>
      </w:r>
      <w:r>
        <w:rPr>
          <w:spacing w:val="-3"/>
          <w:sz w:val="21"/>
        </w:rPr>
        <w:t>住所：拉萨市北京中路</w:t>
      </w:r>
      <w:r>
        <w:rPr>
          <w:rFonts w:ascii="Times New Roman" w:eastAsia="Times New Roman"/>
          <w:sz w:val="21"/>
        </w:rPr>
        <w:t>101</w:t>
      </w:r>
      <w:r>
        <w:rPr>
          <w:sz w:val="21"/>
        </w:rPr>
        <w:t>号</w:t>
      </w:r>
    </w:p>
    <w:p>
      <w:pPr>
        <w:pStyle w:val="BodyText"/>
        <w:spacing w:line="417" w:lineRule="auto"/>
        <w:ind w:right="4462"/>
      </w:pPr>
      <w:r>
        <w:rPr/>
        <w:t>办公地址：上海市永和路</w:t>
      </w:r>
      <w:r>
        <w:rPr>
          <w:rFonts w:ascii="Times New Roman" w:eastAsia="Times New Roman"/>
        </w:rPr>
        <w:t>118</w:t>
      </w:r>
      <w:r>
        <w:rPr/>
        <w:t>弄东方企业园</w:t>
      </w:r>
      <w:r>
        <w:rPr>
          <w:rFonts w:ascii="Times New Roman" w:eastAsia="Times New Roman"/>
        </w:rPr>
        <w:t>24</w:t>
      </w:r>
      <w:r>
        <w:rPr/>
        <w:t>号法定代表人：贾绍君</w:t>
      </w:r>
    </w:p>
    <w:p>
      <w:pPr>
        <w:pStyle w:val="BodyText"/>
        <w:spacing w:line="417" w:lineRule="auto"/>
        <w:ind w:right="6906"/>
        <w:rPr>
          <w:rFonts w:ascii="Times New Roman" w:eastAsia="Times New Roman"/>
        </w:rPr>
      </w:pPr>
      <w:r>
        <w:rPr/>
        <w:t>电话：</w:t>
      </w:r>
      <w:r>
        <w:rPr>
          <w:rFonts w:ascii="Times New Roman" w:eastAsia="Times New Roman"/>
        </w:rPr>
        <w:t>021-36533016 </w:t>
      </w:r>
      <w:r>
        <w:rPr/>
        <w:t>传真：</w:t>
      </w:r>
      <w:r>
        <w:rPr>
          <w:rFonts w:ascii="Times New Roman" w:eastAsia="Times New Roman"/>
        </w:rPr>
        <w:t>021-36533017</w:t>
      </w:r>
    </w:p>
    <w:p>
      <w:pPr>
        <w:pStyle w:val="BodyText"/>
      </w:pPr>
      <w:r>
        <w:rPr/>
        <w:t>联系人：王伟光</w:t>
      </w:r>
    </w:p>
    <w:p>
      <w:pPr>
        <w:pStyle w:val="BodyText"/>
        <w:spacing w:before="6"/>
        <w:ind w:left="0"/>
        <w:rPr>
          <w:sz w:val="15"/>
        </w:rPr>
      </w:pPr>
    </w:p>
    <w:p>
      <w:pPr>
        <w:pStyle w:val="BodyText"/>
        <w:rPr>
          <w:rFonts w:ascii="Times New Roman" w:eastAsia="Times New Roman"/>
        </w:rPr>
      </w:pPr>
      <w:r>
        <w:rPr/>
        <w:t>网址： </w:t>
      </w:r>
      <w:hyperlink r:id="rId207">
        <w:r>
          <w:rPr>
            <w:rFonts w:ascii="Times New Roman" w:eastAsia="Times New Roman"/>
          </w:rPr>
          <w:t>http://www.18.cn</w:t>
        </w:r>
      </w:hyperlink>
    </w:p>
    <w:p>
      <w:pPr>
        <w:spacing w:after="0"/>
        <w:rPr>
          <w:rFonts w:ascii="Times New Roman" w:eastAsia="Times New Roman"/>
        </w:rPr>
        <w:sectPr>
          <w:pgSz w:w="11910" w:h="16840"/>
          <w:pgMar w:header="705" w:footer="683" w:top="1420" w:bottom="880" w:left="1580" w:right="920"/>
        </w:sectPr>
      </w:pPr>
    </w:p>
    <w:p>
      <w:pPr>
        <w:pStyle w:val="BodyText"/>
        <w:spacing w:before="110"/>
        <w:rPr>
          <w:rFonts w:ascii="Times New Roman" w:eastAsia="Times New Roman"/>
        </w:rPr>
      </w:pPr>
      <w:r>
        <w:rPr/>
        <w:t>客户服务电话：</w:t>
      </w:r>
      <w:r>
        <w:rPr>
          <w:rFonts w:ascii="Times New Roman" w:eastAsia="Times New Roman"/>
        </w:rPr>
        <w:t>95357</w:t>
      </w:r>
    </w:p>
    <w:p>
      <w:pPr>
        <w:pStyle w:val="BodyText"/>
        <w:spacing w:before="3"/>
        <w:ind w:left="0"/>
        <w:rPr>
          <w:rFonts w:ascii="Times New Roman"/>
          <w:sz w:val="17"/>
        </w:rPr>
      </w:pPr>
    </w:p>
    <w:p>
      <w:pPr>
        <w:pStyle w:val="ListParagraph"/>
        <w:numPr>
          <w:ilvl w:val="1"/>
          <w:numId w:val="14"/>
        </w:numPr>
        <w:tabs>
          <w:tab w:pos="1379" w:val="left" w:leader="none"/>
        </w:tabs>
        <w:spacing w:line="240" w:lineRule="auto" w:before="0" w:after="0"/>
        <w:ind w:left="1378" w:right="0" w:hanging="739"/>
        <w:jc w:val="left"/>
        <w:rPr>
          <w:sz w:val="21"/>
        </w:rPr>
      </w:pPr>
      <w:r>
        <w:rPr>
          <w:spacing w:val="-3"/>
          <w:sz w:val="21"/>
        </w:rPr>
        <w:t>国融证券股份有限公司</w:t>
      </w:r>
    </w:p>
    <w:p>
      <w:pPr>
        <w:pStyle w:val="BodyText"/>
        <w:spacing w:before="7"/>
        <w:ind w:left="0"/>
        <w:rPr>
          <w:sz w:val="15"/>
        </w:rPr>
      </w:pPr>
    </w:p>
    <w:p>
      <w:pPr>
        <w:pStyle w:val="BodyText"/>
      </w:pPr>
      <w:r>
        <w:rPr/>
        <w:t>住所：内蒙古自治区呼和浩特市武川县腾飞大道</w:t>
      </w:r>
      <w:r>
        <w:rPr>
          <w:rFonts w:ascii="Times New Roman" w:eastAsia="Times New Roman"/>
        </w:rPr>
        <w:t>1</w:t>
      </w:r>
      <w:r>
        <w:rPr/>
        <w:t>号</w:t>
      </w:r>
      <w:r>
        <w:rPr>
          <w:rFonts w:ascii="Times New Roman" w:eastAsia="Times New Roman"/>
        </w:rPr>
        <w:t>4</w:t>
      </w:r>
      <w:r>
        <w:rPr/>
        <w:t>楼</w:t>
      </w:r>
    </w:p>
    <w:p>
      <w:pPr>
        <w:pStyle w:val="BodyText"/>
        <w:spacing w:before="6"/>
        <w:ind w:left="0"/>
        <w:rPr>
          <w:sz w:val="15"/>
        </w:rPr>
      </w:pPr>
    </w:p>
    <w:p>
      <w:pPr>
        <w:pStyle w:val="BodyText"/>
        <w:spacing w:line="417" w:lineRule="auto" w:before="1"/>
        <w:ind w:right="2993"/>
      </w:pPr>
      <w:r>
        <w:rPr/>
        <w:t>办公地址：北京市西城区闹市口大街</w:t>
      </w:r>
      <w:r>
        <w:rPr>
          <w:rFonts w:ascii="Times New Roman" w:eastAsia="Times New Roman"/>
        </w:rPr>
        <w:t>1</w:t>
      </w:r>
      <w:r>
        <w:rPr/>
        <w:t>号长安兴融中心西楼</w:t>
      </w:r>
      <w:r>
        <w:rPr>
          <w:rFonts w:ascii="Times New Roman" w:eastAsia="Times New Roman"/>
        </w:rPr>
        <w:t>11</w:t>
      </w:r>
      <w:r>
        <w:rPr/>
        <w:t>层法定代表人：张智河</w:t>
      </w:r>
    </w:p>
    <w:p>
      <w:pPr>
        <w:pStyle w:val="BodyText"/>
        <w:spacing w:line="417" w:lineRule="auto"/>
        <w:ind w:right="6906"/>
        <w:rPr>
          <w:rFonts w:ascii="Times New Roman" w:eastAsia="Times New Roman"/>
        </w:rPr>
      </w:pPr>
      <w:r>
        <w:rPr/>
        <w:t>电话：</w:t>
      </w:r>
      <w:r>
        <w:rPr>
          <w:rFonts w:ascii="Times New Roman" w:eastAsia="Times New Roman"/>
        </w:rPr>
        <w:t>010-83991719 </w:t>
      </w:r>
      <w:r>
        <w:rPr/>
        <w:t>传真：</w:t>
      </w:r>
      <w:r>
        <w:rPr>
          <w:rFonts w:ascii="Times New Roman" w:eastAsia="Times New Roman"/>
        </w:rPr>
        <w:t>010-66412537</w:t>
      </w:r>
    </w:p>
    <w:p>
      <w:pPr>
        <w:pStyle w:val="BodyText"/>
      </w:pPr>
      <w:r>
        <w:rPr/>
        <w:t>联系人：叶密林</w:t>
      </w:r>
    </w:p>
    <w:p>
      <w:pPr>
        <w:pStyle w:val="BodyText"/>
        <w:spacing w:before="6"/>
        <w:ind w:left="0"/>
        <w:rPr>
          <w:sz w:val="15"/>
        </w:rPr>
      </w:pPr>
    </w:p>
    <w:p>
      <w:pPr>
        <w:pStyle w:val="BodyText"/>
        <w:spacing w:line="417" w:lineRule="auto"/>
        <w:ind w:right="6225"/>
        <w:rPr>
          <w:rFonts w:ascii="Times New Roman" w:eastAsia="Times New Roman"/>
        </w:rPr>
      </w:pPr>
      <w:r>
        <w:rPr/>
        <w:t>网址：</w:t>
      </w:r>
      <w:r>
        <w:rPr>
          <w:rFonts w:ascii="Times New Roman" w:eastAsia="Times New Roman"/>
        </w:rPr>
        <w:t>https://</w:t>
      </w:r>
      <w:hyperlink r:id="rId208">
        <w:r>
          <w:rPr>
            <w:rFonts w:ascii="Times New Roman" w:eastAsia="Times New Roman"/>
          </w:rPr>
          <w:t>www.grzq.com </w:t>
        </w:r>
      </w:hyperlink>
      <w:r>
        <w:rPr/>
        <w:t>客户服务电话：</w:t>
      </w:r>
      <w:r>
        <w:rPr>
          <w:rFonts w:ascii="Times New Roman" w:eastAsia="Times New Roman"/>
        </w:rPr>
        <w:t>95385</w:t>
      </w:r>
    </w:p>
    <w:p>
      <w:pPr>
        <w:pStyle w:val="ListParagraph"/>
        <w:numPr>
          <w:ilvl w:val="1"/>
          <w:numId w:val="14"/>
        </w:numPr>
        <w:tabs>
          <w:tab w:pos="1379" w:val="left" w:leader="none"/>
        </w:tabs>
        <w:spacing w:line="269" w:lineRule="exact" w:before="0" w:after="0"/>
        <w:ind w:left="1378" w:right="0" w:hanging="739"/>
        <w:jc w:val="left"/>
        <w:rPr>
          <w:sz w:val="21"/>
        </w:rPr>
      </w:pPr>
      <w:r>
        <w:rPr>
          <w:spacing w:val="-3"/>
          <w:sz w:val="21"/>
        </w:rPr>
        <w:t>粤开证券股份有限公司</w:t>
      </w:r>
    </w:p>
    <w:p>
      <w:pPr>
        <w:pStyle w:val="BodyText"/>
        <w:spacing w:before="7"/>
        <w:ind w:left="0"/>
        <w:rPr>
          <w:sz w:val="15"/>
        </w:rPr>
      </w:pPr>
    </w:p>
    <w:p>
      <w:pPr>
        <w:pStyle w:val="BodyText"/>
        <w:spacing w:line="417" w:lineRule="auto"/>
        <w:ind w:right="2247"/>
      </w:pPr>
      <w:r>
        <w:rPr/>
        <w:t>住所：广州经济技术开发区科学大道</w:t>
      </w:r>
      <w:r>
        <w:rPr>
          <w:rFonts w:ascii="Times New Roman" w:eastAsia="Times New Roman"/>
        </w:rPr>
        <w:t>60</w:t>
      </w:r>
      <w:r>
        <w:rPr/>
        <w:t>号开发区金控中心</w:t>
      </w:r>
      <w:r>
        <w:rPr>
          <w:rFonts w:ascii="Times New Roman" w:eastAsia="Times New Roman"/>
        </w:rPr>
        <w:t>21</w:t>
      </w:r>
      <w:r>
        <w:rPr/>
        <w:t>、</w:t>
      </w:r>
      <w:r>
        <w:rPr>
          <w:rFonts w:ascii="Times New Roman" w:eastAsia="Times New Roman"/>
        </w:rPr>
        <w:t>22</w:t>
      </w:r>
      <w:r>
        <w:rPr/>
        <w:t>、</w:t>
      </w:r>
      <w:r>
        <w:rPr>
          <w:rFonts w:ascii="Times New Roman" w:eastAsia="Times New Roman"/>
        </w:rPr>
        <w:t>23</w:t>
      </w:r>
      <w:r>
        <w:rPr/>
        <w:t>层办公地址：深圳市福田区深南中路</w:t>
      </w:r>
      <w:r>
        <w:rPr>
          <w:rFonts w:ascii="Times New Roman" w:eastAsia="Times New Roman"/>
        </w:rPr>
        <w:t>2002</w:t>
      </w:r>
      <w:r>
        <w:rPr/>
        <w:t>号中广核大厦北楼</w:t>
      </w:r>
      <w:r>
        <w:rPr>
          <w:rFonts w:ascii="Times New Roman" w:eastAsia="Times New Roman"/>
        </w:rPr>
        <w:t>10</w:t>
      </w:r>
      <w:r>
        <w:rPr/>
        <w:t>层</w:t>
      </w:r>
    </w:p>
    <w:p>
      <w:pPr>
        <w:pStyle w:val="BodyText"/>
        <w:spacing w:line="417" w:lineRule="auto"/>
        <w:ind w:right="6810"/>
        <w:rPr>
          <w:rFonts w:ascii="Times New Roman" w:eastAsia="Times New Roman"/>
        </w:rPr>
      </w:pPr>
      <w:r>
        <w:rPr/>
        <w:t>法定代表人：严亦斌电话：</w:t>
      </w:r>
      <w:r>
        <w:rPr>
          <w:rFonts w:ascii="Times New Roman" w:eastAsia="Times New Roman"/>
        </w:rPr>
        <w:t>0755-83331195</w:t>
      </w:r>
    </w:p>
    <w:p>
      <w:pPr>
        <w:pStyle w:val="BodyText"/>
      </w:pPr>
      <w:r>
        <w:rPr/>
        <w:t>联系人：彭莲</w:t>
      </w:r>
    </w:p>
    <w:p>
      <w:pPr>
        <w:pStyle w:val="BodyText"/>
        <w:spacing w:before="6"/>
        <w:ind w:left="0"/>
        <w:rPr>
          <w:sz w:val="15"/>
        </w:rPr>
      </w:pPr>
    </w:p>
    <w:p>
      <w:pPr>
        <w:pStyle w:val="BodyText"/>
        <w:spacing w:line="417" w:lineRule="auto" w:before="1"/>
        <w:ind w:right="6271"/>
        <w:rPr>
          <w:rFonts w:ascii="Times New Roman" w:eastAsia="Times New Roman"/>
        </w:rPr>
      </w:pPr>
      <w:r>
        <w:rPr/>
        <w:t>网址：</w:t>
      </w:r>
      <w:hyperlink r:id="rId209">
        <w:r>
          <w:rPr>
            <w:rFonts w:ascii="Times New Roman" w:eastAsia="Times New Roman"/>
          </w:rPr>
          <w:t>http://www.ykzq.com </w:t>
        </w:r>
      </w:hyperlink>
      <w:r>
        <w:rPr/>
        <w:t>客户服务电话：</w:t>
      </w:r>
      <w:r>
        <w:rPr>
          <w:rFonts w:ascii="Times New Roman" w:eastAsia="Times New Roman"/>
        </w:rPr>
        <w:t>95564</w:t>
      </w:r>
    </w:p>
    <w:p>
      <w:pPr>
        <w:pStyle w:val="ListParagraph"/>
        <w:numPr>
          <w:ilvl w:val="1"/>
          <w:numId w:val="14"/>
        </w:numPr>
        <w:tabs>
          <w:tab w:pos="1379" w:val="left" w:leader="none"/>
        </w:tabs>
        <w:spacing w:line="269" w:lineRule="exact" w:before="0" w:after="0"/>
        <w:ind w:left="1378" w:right="0" w:hanging="739"/>
        <w:jc w:val="left"/>
        <w:rPr>
          <w:sz w:val="21"/>
        </w:rPr>
      </w:pPr>
      <w:r>
        <w:rPr>
          <w:spacing w:val="-3"/>
          <w:sz w:val="21"/>
        </w:rPr>
        <w:t>江海证券有限公司</w:t>
      </w:r>
    </w:p>
    <w:p>
      <w:pPr>
        <w:pStyle w:val="BodyText"/>
        <w:spacing w:before="6"/>
        <w:ind w:left="0"/>
        <w:rPr>
          <w:sz w:val="15"/>
        </w:rPr>
      </w:pPr>
    </w:p>
    <w:p>
      <w:pPr>
        <w:pStyle w:val="BodyText"/>
      </w:pPr>
      <w:r>
        <w:rPr/>
        <w:t>住所：哈尔滨市香坊区赣水路</w:t>
      </w:r>
      <w:r>
        <w:rPr>
          <w:rFonts w:ascii="Times New Roman" w:eastAsia="Times New Roman"/>
        </w:rPr>
        <w:t>56</w:t>
      </w:r>
      <w:r>
        <w:rPr/>
        <w:t>号</w:t>
      </w:r>
    </w:p>
    <w:p>
      <w:pPr>
        <w:pStyle w:val="BodyText"/>
        <w:spacing w:before="7"/>
        <w:ind w:left="0"/>
        <w:rPr>
          <w:sz w:val="15"/>
        </w:rPr>
      </w:pPr>
    </w:p>
    <w:p>
      <w:pPr>
        <w:pStyle w:val="BodyText"/>
        <w:spacing w:line="417" w:lineRule="auto"/>
        <w:ind w:right="4875"/>
      </w:pPr>
      <w:r>
        <w:rPr/>
        <w:t>办公地址：哈尔滨市松北区创新三路</w:t>
      </w:r>
      <w:r>
        <w:rPr>
          <w:rFonts w:ascii="Times New Roman" w:eastAsia="Times New Roman"/>
        </w:rPr>
        <w:t>833</w:t>
      </w:r>
      <w:r>
        <w:rPr/>
        <w:t>号法定代表人：赵洪波</w:t>
      </w:r>
    </w:p>
    <w:p>
      <w:pPr>
        <w:pStyle w:val="BodyText"/>
        <w:spacing w:line="417" w:lineRule="auto"/>
        <w:ind w:right="6800"/>
        <w:rPr>
          <w:rFonts w:ascii="Times New Roman" w:eastAsia="Times New Roman"/>
        </w:rPr>
      </w:pPr>
      <w:r>
        <w:rPr/>
        <w:t>电话：</w:t>
      </w:r>
      <w:r>
        <w:rPr>
          <w:rFonts w:ascii="Times New Roman" w:eastAsia="Times New Roman"/>
        </w:rPr>
        <w:t>0451-87765732 </w:t>
      </w:r>
      <w:r>
        <w:rPr/>
        <w:t>传真：</w:t>
      </w:r>
      <w:r>
        <w:rPr>
          <w:rFonts w:ascii="Times New Roman" w:eastAsia="Times New Roman"/>
        </w:rPr>
        <w:t>0451-82337279</w:t>
      </w:r>
    </w:p>
    <w:p>
      <w:pPr>
        <w:pStyle w:val="BodyText"/>
        <w:spacing w:line="269" w:lineRule="exact"/>
      </w:pPr>
      <w:r>
        <w:rPr/>
        <w:t>联系人：姜志伟</w:t>
      </w:r>
    </w:p>
    <w:p>
      <w:pPr>
        <w:pStyle w:val="BodyText"/>
        <w:spacing w:before="7"/>
        <w:ind w:left="0"/>
        <w:rPr>
          <w:sz w:val="15"/>
        </w:rPr>
      </w:pPr>
    </w:p>
    <w:p>
      <w:pPr>
        <w:pStyle w:val="BodyText"/>
        <w:spacing w:line="417" w:lineRule="auto"/>
        <w:ind w:right="6569"/>
        <w:rPr>
          <w:rFonts w:ascii="Times New Roman" w:eastAsia="Times New Roman"/>
        </w:rPr>
      </w:pPr>
      <w:r>
        <w:rPr/>
        <w:t>网址：</w:t>
      </w:r>
      <w:hyperlink r:id="rId210">
        <w:r>
          <w:rPr>
            <w:rFonts w:ascii="Times New Roman" w:eastAsia="Times New Roman"/>
          </w:rPr>
          <w:t>www.jhzq.com.cn </w:t>
        </w:r>
      </w:hyperlink>
      <w:r>
        <w:rPr/>
        <w:t>客户服务电话：</w:t>
      </w:r>
      <w:r>
        <w:rPr>
          <w:rFonts w:ascii="Times New Roman" w:eastAsia="Times New Roman"/>
        </w:rPr>
        <w:t>956007</w:t>
      </w:r>
    </w:p>
    <w:p>
      <w:pPr>
        <w:pStyle w:val="ListParagraph"/>
        <w:numPr>
          <w:ilvl w:val="1"/>
          <w:numId w:val="14"/>
        </w:numPr>
        <w:tabs>
          <w:tab w:pos="1379" w:val="left" w:leader="none"/>
        </w:tabs>
        <w:spacing w:line="269" w:lineRule="exact" w:before="0" w:after="0"/>
        <w:ind w:left="1378" w:right="0" w:hanging="739"/>
        <w:jc w:val="left"/>
        <w:rPr>
          <w:sz w:val="21"/>
        </w:rPr>
      </w:pPr>
      <w:r>
        <w:rPr>
          <w:spacing w:val="-3"/>
          <w:sz w:val="21"/>
        </w:rPr>
        <w:t>国金证券股份有限公司</w:t>
      </w:r>
    </w:p>
    <w:p>
      <w:pPr>
        <w:pStyle w:val="BodyText"/>
        <w:spacing w:before="7"/>
        <w:ind w:left="0"/>
        <w:rPr>
          <w:sz w:val="15"/>
        </w:rPr>
      </w:pPr>
    </w:p>
    <w:p>
      <w:pPr>
        <w:pStyle w:val="BodyText"/>
      </w:pPr>
      <w:r>
        <w:rPr/>
        <w:t>住所：成都市青羊区东城根上街</w:t>
      </w:r>
      <w:r>
        <w:rPr>
          <w:rFonts w:ascii="Times New Roman" w:eastAsia="Times New Roman"/>
        </w:rPr>
        <w:t>95</w:t>
      </w:r>
      <w:r>
        <w:rPr/>
        <w:t>号</w:t>
      </w:r>
    </w:p>
    <w:p>
      <w:pPr>
        <w:pStyle w:val="BodyText"/>
        <w:spacing w:before="7"/>
        <w:ind w:left="0"/>
        <w:rPr>
          <w:sz w:val="15"/>
        </w:rPr>
      </w:pPr>
    </w:p>
    <w:p>
      <w:pPr>
        <w:pStyle w:val="BodyText"/>
      </w:pPr>
      <w:r>
        <w:rPr/>
        <w:t>办公地址：成都市青羊区东城根上街</w:t>
      </w:r>
      <w:r>
        <w:rPr>
          <w:rFonts w:ascii="Times New Roman" w:eastAsia="Times New Roman"/>
        </w:rPr>
        <w:t>95</w:t>
      </w:r>
      <w:r>
        <w:rPr/>
        <w:t>号</w:t>
      </w:r>
    </w:p>
    <w:p>
      <w:pPr>
        <w:spacing w:after="0"/>
        <w:sectPr>
          <w:pgSz w:w="11910" w:h="16840"/>
          <w:pgMar w:header="705" w:footer="683" w:top="1420" w:bottom="880" w:left="1580" w:right="920"/>
        </w:sectPr>
      </w:pPr>
    </w:p>
    <w:p>
      <w:pPr>
        <w:pStyle w:val="BodyText"/>
        <w:spacing w:before="110"/>
      </w:pPr>
      <w:r>
        <w:rPr/>
        <w:t>法定代表人：冉云</w:t>
      </w:r>
    </w:p>
    <w:p>
      <w:pPr>
        <w:pStyle w:val="BodyText"/>
        <w:spacing w:before="6"/>
        <w:ind w:left="0"/>
        <w:rPr>
          <w:sz w:val="15"/>
        </w:rPr>
      </w:pPr>
    </w:p>
    <w:p>
      <w:pPr>
        <w:pStyle w:val="BodyText"/>
        <w:spacing w:line="417" w:lineRule="auto"/>
        <w:ind w:right="5470"/>
        <w:rPr>
          <w:rFonts w:ascii="Times New Roman" w:eastAsia="Times New Roman"/>
        </w:rPr>
      </w:pPr>
      <w:r>
        <w:rPr/>
        <w:t>电话：</w:t>
      </w:r>
      <w:r>
        <w:rPr>
          <w:rFonts w:ascii="Times New Roman" w:eastAsia="Times New Roman"/>
        </w:rPr>
        <w:t>028-86690057</w:t>
      </w:r>
      <w:r>
        <w:rPr/>
        <w:t>、</w:t>
      </w:r>
      <w:r>
        <w:rPr>
          <w:rFonts w:ascii="Times New Roman" w:eastAsia="Times New Roman"/>
        </w:rPr>
        <w:t>028-86690058 </w:t>
      </w:r>
      <w:r>
        <w:rPr/>
        <w:t>传真：</w:t>
      </w:r>
      <w:r>
        <w:rPr>
          <w:rFonts w:ascii="Times New Roman" w:eastAsia="Times New Roman"/>
        </w:rPr>
        <w:t>028-86690126</w:t>
      </w:r>
    </w:p>
    <w:p>
      <w:pPr>
        <w:pStyle w:val="BodyText"/>
        <w:spacing w:line="417" w:lineRule="auto"/>
        <w:ind w:right="6613"/>
        <w:jc w:val="both"/>
        <w:rPr>
          <w:rFonts w:ascii="Times New Roman" w:eastAsia="Times New Roman"/>
        </w:rPr>
      </w:pPr>
      <w:r>
        <w:rPr>
          <w:spacing w:val="-3"/>
        </w:rPr>
        <w:t>联系人：刘婧漪、贾鹏网址：</w:t>
      </w:r>
      <w:hyperlink r:id="rId212">
        <w:r>
          <w:rPr>
            <w:rFonts w:ascii="Times New Roman" w:eastAsia="Times New Roman"/>
            <w:spacing w:val="-3"/>
          </w:rPr>
          <w:t>www.gjzq.com.cn </w:t>
        </w:r>
      </w:hyperlink>
      <w:r>
        <w:rPr>
          <w:spacing w:val="-2"/>
        </w:rPr>
        <w:t>客户服务电话：</w:t>
      </w:r>
      <w:r>
        <w:rPr>
          <w:rFonts w:ascii="Times New Roman" w:eastAsia="Times New Roman"/>
        </w:rPr>
        <w:t>95310</w:t>
      </w:r>
    </w:p>
    <w:p>
      <w:pPr>
        <w:pStyle w:val="ListParagraph"/>
        <w:numPr>
          <w:ilvl w:val="1"/>
          <w:numId w:val="14"/>
        </w:numPr>
        <w:tabs>
          <w:tab w:pos="1379" w:val="left" w:leader="none"/>
        </w:tabs>
        <w:spacing w:line="269" w:lineRule="exact" w:before="0" w:after="0"/>
        <w:ind w:left="1378" w:right="0" w:hanging="739"/>
        <w:jc w:val="left"/>
        <w:rPr>
          <w:sz w:val="21"/>
        </w:rPr>
      </w:pPr>
      <w:r>
        <w:rPr>
          <w:spacing w:val="-3"/>
          <w:sz w:val="21"/>
        </w:rPr>
        <w:t>华宝证券有限责任公司</w:t>
      </w:r>
    </w:p>
    <w:p>
      <w:pPr>
        <w:pStyle w:val="BodyText"/>
        <w:spacing w:before="7"/>
        <w:ind w:left="0"/>
        <w:rPr>
          <w:sz w:val="15"/>
        </w:rPr>
      </w:pPr>
    </w:p>
    <w:p>
      <w:pPr>
        <w:pStyle w:val="BodyText"/>
      </w:pPr>
      <w:r>
        <w:rPr/>
        <w:t>住所：上海市陆家嘴环路</w:t>
      </w:r>
      <w:r>
        <w:rPr>
          <w:rFonts w:ascii="Times New Roman" w:eastAsia="Times New Roman"/>
        </w:rPr>
        <w:t>166</w:t>
      </w:r>
      <w:r>
        <w:rPr/>
        <w:t>号</w:t>
      </w:r>
      <w:r>
        <w:rPr>
          <w:rFonts w:ascii="Times New Roman" w:eastAsia="Times New Roman"/>
        </w:rPr>
        <w:t>27</w:t>
      </w:r>
      <w:r>
        <w:rPr/>
        <w:t>楼</w:t>
      </w:r>
    </w:p>
    <w:p>
      <w:pPr>
        <w:pStyle w:val="BodyText"/>
        <w:spacing w:before="7"/>
        <w:ind w:left="0"/>
        <w:rPr>
          <w:sz w:val="15"/>
        </w:rPr>
      </w:pPr>
    </w:p>
    <w:p>
      <w:pPr>
        <w:pStyle w:val="BodyText"/>
        <w:spacing w:line="417" w:lineRule="auto"/>
        <w:ind w:right="5084"/>
      </w:pPr>
      <w:r>
        <w:rPr/>
        <w:t>办公地址：上海市陆家嘴环路</w:t>
      </w:r>
      <w:r>
        <w:rPr>
          <w:rFonts w:ascii="Times New Roman" w:eastAsia="Times New Roman"/>
        </w:rPr>
        <w:t>166</w:t>
      </w:r>
      <w:r>
        <w:rPr/>
        <w:t>号</w:t>
      </w:r>
      <w:r>
        <w:rPr>
          <w:rFonts w:ascii="Times New Roman" w:eastAsia="Times New Roman"/>
        </w:rPr>
        <w:t>27</w:t>
      </w:r>
      <w:r>
        <w:rPr/>
        <w:t>楼法定代表人：陈林</w:t>
      </w:r>
    </w:p>
    <w:p>
      <w:pPr>
        <w:pStyle w:val="BodyText"/>
        <w:spacing w:line="417" w:lineRule="auto"/>
        <w:ind w:right="6906"/>
        <w:rPr>
          <w:rFonts w:ascii="Times New Roman" w:eastAsia="Times New Roman"/>
        </w:rPr>
      </w:pPr>
      <w:r>
        <w:rPr/>
        <w:t>电话：</w:t>
      </w:r>
      <w:r>
        <w:rPr>
          <w:rFonts w:ascii="Times New Roman" w:eastAsia="Times New Roman"/>
        </w:rPr>
        <w:t>021-50122128 </w:t>
      </w:r>
      <w:r>
        <w:rPr/>
        <w:t>传真：</w:t>
      </w:r>
      <w:r>
        <w:rPr>
          <w:rFonts w:ascii="Times New Roman" w:eastAsia="Times New Roman"/>
        </w:rPr>
        <w:t>021-50122398</w:t>
      </w:r>
    </w:p>
    <w:p>
      <w:pPr>
        <w:pStyle w:val="BodyText"/>
        <w:spacing w:line="269" w:lineRule="exact"/>
      </w:pPr>
      <w:r>
        <w:rPr/>
        <w:t>联系人：徐方亮</w:t>
      </w:r>
    </w:p>
    <w:p>
      <w:pPr>
        <w:pStyle w:val="BodyText"/>
        <w:spacing w:before="6"/>
        <w:ind w:left="0"/>
        <w:rPr>
          <w:sz w:val="15"/>
        </w:rPr>
      </w:pPr>
    </w:p>
    <w:p>
      <w:pPr>
        <w:pStyle w:val="BodyText"/>
        <w:spacing w:before="1"/>
        <w:rPr>
          <w:rFonts w:ascii="Times New Roman" w:eastAsia="Times New Roman"/>
        </w:rPr>
      </w:pPr>
      <w:r>
        <w:rPr/>
        <w:t>网址：</w:t>
      </w:r>
      <w:hyperlink r:id="rId213">
        <w:r>
          <w:rPr>
            <w:rFonts w:ascii="Times New Roman" w:eastAsia="Times New Roman"/>
          </w:rPr>
          <w:t>www.cnhbstock.com</w:t>
        </w:r>
      </w:hyperlink>
    </w:p>
    <w:p>
      <w:pPr>
        <w:pStyle w:val="BodyText"/>
        <w:spacing w:before="3"/>
        <w:ind w:left="0"/>
        <w:rPr>
          <w:rFonts w:ascii="Times New Roman"/>
          <w:sz w:val="17"/>
        </w:rPr>
      </w:pPr>
    </w:p>
    <w:p>
      <w:pPr>
        <w:pStyle w:val="BodyText"/>
        <w:rPr>
          <w:rFonts w:ascii="Times New Roman" w:eastAsia="Times New Roman"/>
        </w:rPr>
      </w:pPr>
      <w:r>
        <w:rPr/>
        <w:t>客户服务电话：</w:t>
      </w:r>
      <w:r>
        <w:rPr>
          <w:rFonts w:ascii="Times New Roman" w:eastAsia="Times New Roman"/>
        </w:rPr>
        <w:t>400-820-9898</w:t>
      </w:r>
    </w:p>
    <w:p>
      <w:pPr>
        <w:pStyle w:val="BodyText"/>
        <w:spacing w:before="4"/>
        <w:ind w:left="0"/>
        <w:rPr>
          <w:rFonts w:ascii="Times New Roman"/>
          <w:sz w:val="17"/>
        </w:rPr>
      </w:pPr>
    </w:p>
    <w:p>
      <w:pPr>
        <w:pStyle w:val="ListParagraph"/>
        <w:numPr>
          <w:ilvl w:val="1"/>
          <w:numId w:val="14"/>
        </w:numPr>
        <w:tabs>
          <w:tab w:pos="1379" w:val="left" w:leader="none"/>
        </w:tabs>
        <w:spacing w:line="240" w:lineRule="auto" w:before="0" w:after="0"/>
        <w:ind w:left="1378" w:right="0" w:hanging="739"/>
        <w:jc w:val="left"/>
        <w:rPr>
          <w:sz w:val="21"/>
        </w:rPr>
      </w:pPr>
      <w:r>
        <w:rPr>
          <w:spacing w:val="-3"/>
          <w:sz w:val="21"/>
        </w:rPr>
        <w:t>长城国瑞证券有限公司</w:t>
      </w:r>
    </w:p>
    <w:p>
      <w:pPr>
        <w:pStyle w:val="BodyText"/>
        <w:spacing w:before="6"/>
        <w:ind w:left="0"/>
        <w:rPr>
          <w:sz w:val="15"/>
        </w:rPr>
      </w:pPr>
    </w:p>
    <w:p>
      <w:pPr>
        <w:pStyle w:val="BodyText"/>
        <w:spacing w:before="1"/>
      </w:pPr>
      <w:r>
        <w:rPr/>
        <w:t>住所：福建省厦门市莲前西路</w:t>
      </w:r>
      <w:r>
        <w:rPr>
          <w:rFonts w:ascii="Times New Roman" w:eastAsia="Times New Roman"/>
        </w:rPr>
        <w:t>2</w:t>
      </w:r>
      <w:r>
        <w:rPr/>
        <w:t>号莲富大厦十七层</w:t>
      </w:r>
    </w:p>
    <w:p>
      <w:pPr>
        <w:pStyle w:val="BodyText"/>
        <w:spacing w:before="6"/>
        <w:ind w:left="0"/>
        <w:rPr>
          <w:sz w:val="15"/>
        </w:rPr>
      </w:pPr>
    </w:p>
    <w:p>
      <w:pPr>
        <w:pStyle w:val="BodyText"/>
        <w:spacing w:line="417" w:lineRule="auto"/>
        <w:ind w:right="3442"/>
      </w:pPr>
      <w:r>
        <w:rPr/>
        <w:t>办公地址：福建省厦门市深田路</w:t>
      </w:r>
      <w:r>
        <w:rPr>
          <w:rFonts w:ascii="Times New Roman" w:eastAsia="Times New Roman"/>
        </w:rPr>
        <w:t>46</w:t>
      </w:r>
      <w:r>
        <w:rPr/>
        <w:t>号深田国际大厦</w:t>
      </w:r>
      <w:r>
        <w:rPr>
          <w:rFonts w:ascii="Times New Roman" w:eastAsia="Times New Roman"/>
        </w:rPr>
        <w:t>19-20</w:t>
      </w:r>
      <w:r>
        <w:rPr/>
        <w:t>楼法定代表人：王勇</w:t>
      </w:r>
    </w:p>
    <w:p>
      <w:pPr>
        <w:pStyle w:val="BodyText"/>
        <w:spacing w:line="417" w:lineRule="auto"/>
        <w:ind w:right="6906"/>
        <w:rPr>
          <w:rFonts w:ascii="Times New Roman" w:eastAsia="Times New Roman"/>
        </w:rPr>
      </w:pPr>
      <w:r>
        <w:rPr/>
        <w:t>电话：</w:t>
      </w:r>
      <w:r>
        <w:rPr>
          <w:rFonts w:ascii="Times New Roman" w:eastAsia="Times New Roman"/>
        </w:rPr>
        <w:t>0592-2079259 </w:t>
      </w:r>
      <w:r>
        <w:rPr/>
        <w:t>传真：</w:t>
      </w:r>
      <w:r>
        <w:rPr>
          <w:rFonts w:ascii="Times New Roman" w:eastAsia="Times New Roman"/>
        </w:rPr>
        <w:t>0592-2079602</w:t>
      </w:r>
    </w:p>
    <w:p>
      <w:pPr>
        <w:pStyle w:val="BodyText"/>
      </w:pPr>
      <w:r>
        <w:rPr/>
        <w:t>联系人：邱震</w:t>
      </w:r>
    </w:p>
    <w:p>
      <w:pPr>
        <w:pStyle w:val="BodyText"/>
        <w:spacing w:before="7"/>
        <w:ind w:left="0"/>
        <w:rPr>
          <w:sz w:val="15"/>
        </w:rPr>
      </w:pPr>
    </w:p>
    <w:p>
      <w:pPr>
        <w:pStyle w:val="BodyText"/>
        <w:rPr>
          <w:rFonts w:ascii="Times New Roman" w:eastAsia="Times New Roman"/>
        </w:rPr>
      </w:pPr>
      <w:r>
        <w:rPr/>
        <w:t>网址：</w:t>
      </w:r>
      <w:hyperlink r:id="rId214">
        <w:r>
          <w:rPr>
            <w:rFonts w:ascii="Times New Roman" w:eastAsia="Times New Roman"/>
          </w:rPr>
          <w:t>www.gwgsc.com</w:t>
        </w:r>
      </w:hyperlink>
    </w:p>
    <w:p>
      <w:pPr>
        <w:pStyle w:val="BodyText"/>
        <w:spacing w:before="3"/>
        <w:ind w:left="0"/>
        <w:rPr>
          <w:rFonts w:ascii="Times New Roman"/>
          <w:sz w:val="17"/>
        </w:rPr>
      </w:pPr>
    </w:p>
    <w:p>
      <w:pPr>
        <w:pStyle w:val="BodyText"/>
        <w:spacing w:before="1"/>
        <w:rPr>
          <w:rFonts w:ascii="Times New Roman" w:eastAsia="Times New Roman"/>
        </w:rPr>
      </w:pPr>
      <w:r>
        <w:rPr/>
        <w:t>客户服务电话：</w:t>
      </w:r>
      <w:r>
        <w:rPr>
          <w:rFonts w:ascii="Times New Roman" w:eastAsia="Times New Roman"/>
        </w:rPr>
        <w:t>400-0099-886</w:t>
      </w:r>
    </w:p>
    <w:p>
      <w:pPr>
        <w:pStyle w:val="BodyText"/>
        <w:spacing w:before="3"/>
        <w:ind w:left="0"/>
        <w:rPr>
          <w:rFonts w:ascii="Times New Roman"/>
          <w:sz w:val="17"/>
        </w:rPr>
      </w:pPr>
    </w:p>
    <w:p>
      <w:pPr>
        <w:pStyle w:val="ListParagraph"/>
        <w:numPr>
          <w:ilvl w:val="1"/>
          <w:numId w:val="14"/>
        </w:numPr>
        <w:tabs>
          <w:tab w:pos="1379" w:val="left" w:leader="none"/>
        </w:tabs>
        <w:spacing w:line="240" w:lineRule="auto" w:before="0" w:after="0"/>
        <w:ind w:left="1378" w:right="0" w:hanging="739"/>
        <w:jc w:val="left"/>
        <w:rPr>
          <w:sz w:val="21"/>
        </w:rPr>
      </w:pPr>
      <w:r>
        <w:rPr>
          <w:spacing w:val="-3"/>
          <w:sz w:val="21"/>
        </w:rPr>
        <w:t>爱建证券有限责任公司</w:t>
      </w:r>
    </w:p>
    <w:p>
      <w:pPr>
        <w:pStyle w:val="BodyText"/>
        <w:spacing w:before="7"/>
        <w:ind w:left="0"/>
        <w:rPr>
          <w:sz w:val="15"/>
        </w:rPr>
      </w:pPr>
    </w:p>
    <w:p>
      <w:pPr>
        <w:pStyle w:val="BodyText"/>
      </w:pPr>
      <w:r>
        <w:rPr/>
        <w:t>住所：中国（上海）自由贸易试验区世纪大道</w:t>
      </w:r>
      <w:r>
        <w:rPr>
          <w:rFonts w:ascii="Times New Roman" w:eastAsia="Times New Roman"/>
        </w:rPr>
        <w:t>1600</w:t>
      </w:r>
      <w:r>
        <w:rPr/>
        <w:t>号</w:t>
      </w:r>
      <w:r>
        <w:rPr>
          <w:rFonts w:ascii="Times New Roman" w:eastAsia="Times New Roman"/>
        </w:rPr>
        <w:t>1</w:t>
      </w:r>
      <w:r>
        <w:rPr/>
        <w:t>幢</w:t>
      </w:r>
      <w:r>
        <w:rPr>
          <w:rFonts w:ascii="Times New Roman" w:eastAsia="Times New Roman"/>
        </w:rPr>
        <w:t>32</w:t>
      </w:r>
      <w:r>
        <w:rPr/>
        <w:t>楼</w:t>
      </w:r>
    </w:p>
    <w:p>
      <w:pPr>
        <w:pStyle w:val="BodyText"/>
        <w:spacing w:before="6"/>
        <w:ind w:left="0"/>
        <w:rPr>
          <w:sz w:val="15"/>
        </w:rPr>
      </w:pPr>
    </w:p>
    <w:p>
      <w:pPr>
        <w:pStyle w:val="BodyText"/>
        <w:spacing w:line="417" w:lineRule="auto" w:before="1"/>
        <w:ind w:right="2775"/>
      </w:pPr>
      <w:r>
        <w:rPr/>
        <w:t>办公地址：中国（上海）自由贸易试验区世纪大道</w:t>
      </w:r>
      <w:r>
        <w:rPr>
          <w:rFonts w:ascii="Times New Roman" w:eastAsia="Times New Roman"/>
        </w:rPr>
        <w:t>1600</w:t>
      </w:r>
      <w:r>
        <w:rPr/>
        <w:t>号</w:t>
      </w:r>
      <w:r>
        <w:rPr>
          <w:rFonts w:ascii="Times New Roman" w:eastAsia="Times New Roman"/>
        </w:rPr>
        <w:t>1</w:t>
      </w:r>
      <w:r>
        <w:rPr/>
        <w:t>幢</w:t>
      </w:r>
      <w:r>
        <w:rPr>
          <w:rFonts w:ascii="Times New Roman" w:eastAsia="Times New Roman"/>
        </w:rPr>
        <w:t>32</w:t>
      </w:r>
      <w:r>
        <w:rPr/>
        <w:t>楼法定代表人：祝健</w:t>
      </w:r>
    </w:p>
    <w:p>
      <w:pPr>
        <w:pStyle w:val="BodyText"/>
        <w:spacing w:line="417" w:lineRule="auto"/>
        <w:ind w:right="6906"/>
        <w:rPr>
          <w:rFonts w:ascii="Times New Roman" w:eastAsia="Times New Roman"/>
        </w:rPr>
      </w:pPr>
      <w:r>
        <w:rPr/>
        <w:t>电话：</w:t>
      </w:r>
      <w:r>
        <w:rPr>
          <w:rFonts w:ascii="Times New Roman" w:eastAsia="Times New Roman"/>
        </w:rPr>
        <w:t>021-32229888 </w:t>
      </w:r>
      <w:r>
        <w:rPr/>
        <w:t>传真：</w:t>
      </w:r>
      <w:r>
        <w:rPr>
          <w:rFonts w:ascii="Times New Roman" w:eastAsia="Times New Roman"/>
        </w:rPr>
        <w:t>021-68728703</w:t>
      </w:r>
    </w:p>
    <w:p>
      <w:pPr>
        <w:spacing w:after="0" w:line="417" w:lineRule="auto"/>
        <w:rPr>
          <w:rFonts w:ascii="Times New Roman" w:eastAsia="Times New Roman"/>
        </w:rPr>
        <w:sectPr>
          <w:footerReference w:type="default" r:id="rId211"/>
          <w:pgSz w:w="11910" w:h="16840"/>
          <w:pgMar w:footer="683" w:header="705" w:top="1420" w:bottom="880" w:left="1580" w:right="920"/>
          <w:pgNumType w:start="110"/>
        </w:sectPr>
      </w:pPr>
    </w:p>
    <w:p>
      <w:pPr>
        <w:pStyle w:val="BodyText"/>
        <w:spacing w:before="110"/>
      </w:pPr>
      <w:r>
        <w:rPr/>
        <w:t>联系人：庄丽珍</w:t>
      </w:r>
    </w:p>
    <w:p>
      <w:pPr>
        <w:pStyle w:val="BodyText"/>
        <w:spacing w:before="6"/>
        <w:ind w:left="0"/>
        <w:rPr>
          <w:sz w:val="15"/>
        </w:rPr>
      </w:pPr>
    </w:p>
    <w:p>
      <w:pPr>
        <w:pStyle w:val="BodyText"/>
        <w:rPr>
          <w:rFonts w:ascii="Times New Roman" w:eastAsia="Times New Roman"/>
        </w:rPr>
      </w:pPr>
      <w:r>
        <w:rPr/>
        <w:t>网址：</w:t>
      </w:r>
      <w:hyperlink r:id="rId215">
        <w:r>
          <w:rPr>
            <w:rFonts w:ascii="Times New Roman" w:eastAsia="Times New Roman"/>
          </w:rPr>
          <w:t>www.ajzq.com</w:t>
        </w:r>
      </w:hyperlink>
    </w:p>
    <w:p>
      <w:pPr>
        <w:pStyle w:val="BodyText"/>
        <w:spacing w:before="4"/>
        <w:ind w:left="0"/>
        <w:rPr>
          <w:rFonts w:ascii="Times New Roman"/>
          <w:sz w:val="17"/>
        </w:rPr>
      </w:pPr>
    </w:p>
    <w:p>
      <w:pPr>
        <w:pStyle w:val="BodyText"/>
        <w:rPr>
          <w:rFonts w:ascii="Times New Roman" w:eastAsia="Times New Roman"/>
        </w:rPr>
      </w:pPr>
      <w:r>
        <w:rPr/>
        <w:t>客户服务电话：</w:t>
      </w:r>
      <w:r>
        <w:rPr>
          <w:rFonts w:ascii="Times New Roman" w:eastAsia="Times New Roman"/>
        </w:rPr>
        <w:t>400-196-2502</w:t>
      </w:r>
    </w:p>
    <w:p>
      <w:pPr>
        <w:pStyle w:val="BodyText"/>
        <w:spacing w:before="3"/>
        <w:ind w:left="0"/>
        <w:rPr>
          <w:rFonts w:ascii="Times New Roman"/>
          <w:sz w:val="17"/>
        </w:rPr>
      </w:pPr>
    </w:p>
    <w:p>
      <w:pPr>
        <w:pStyle w:val="ListParagraph"/>
        <w:numPr>
          <w:ilvl w:val="1"/>
          <w:numId w:val="14"/>
        </w:numPr>
        <w:tabs>
          <w:tab w:pos="1379" w:val="left" w:leader="none"/>
        </w:tabs>
        <w:spacing w:line="240" w:lineRule="auto" w:before="0" w:after="0"/>
        <w:ind w:left="1378" w:right="0" w:hanging="739"/>
        <w:jc w:val="left"/>
        <w:rPr>
          <w:sz w:val="21"/>
        </w:rPr>
      </w:pPr>
      <w:r>
        <w:rPr>
          <w:spacing w:val="-3"/>
          <w:sz w:val="21"/>
        </w:rPr>
        <w:t>英大证券有限责任公司</w:t>
      </w:r>
    </w:p>
    <w:p>
      <w:pPr>
        <w:pStyle w:val="BodyText"/>
        <w:spacing w:before="7"/>
        <w:ind w:left="0"/>
        <w:rPr>
          <w:sz w:val="15"/>
        </w:rPr>
      </w:pPr>
    </w:p>
    <w:p>
      <w:pPr>
        <w:pStyle w:val="BodyText"/>
      </w:pPr>
      <w:r>
        <w:rPr/>
        <w:t>住所：深圳市福田区深南中路华能大厦三十、三十一层</w:t>
      </w:r>
    </w:p>
    <w:p>
      <w:pPr>
        <w:pStyle w:val="BodyText"/>
        <w:spacing w:before="7"/>
        <w:ind w:left="0"/>
        <w:rPr>
          <w:sz w:val="15"/>
        </w:rPr>
      </w:pPr>
    </w:p>
    <w:p>
      <w:pPr>
        <w:pStyle w:val="BodyText"/>
        <w:spacing w:line="417" w:lineRule="auto"/>
        <w:ind w:right="3298"/>
      </w:pPr>
      <w:r>
        <w:rPr/>
        <w:t>办公地址：深圳市福田区深南中路华能大厦三十、三十一层法定代表人：郝京春</w:t>
      </w:r>
    </w:p>
    <w:p>
      <w:pPr>
        <w:pStyle w:val="BodyText"/>
        <w:spacing w:line="417" w:lineRule="auto"/>
        <w:ind w:right="6800"/>
        <w:rPr>
          <w:rFonts w:ascii="Times New Roman" w:eastAsia="Times New Roman"/>
        </w:rPr>
      </w:pPr>
      <w:r>
        <w:rPr/>
        <w:t>电话：</w:t>
      </w:r>
      <w:r>
        <w:rPr>
          <w:rFonts w:ascii="Times New Roman" w:eastAsia="Times New Roman"/>
        </w:rPr>
        <w:t>0755-83007014 </w:t>
      </w:r>
      <w:r>
        <w:rPr/>
        <w:t>传真：</w:t>
      </w:r>
      <w:r>
        <w:rPr>
          <w:rFonts w:ascii="Times New Roman" w:eastAsia="Times New Roman"/>
        </w:rPr>
        <w:t>0755-83007168</w:t>
      </w:r>
    </w:p>
    <w:p>
      <w:pPr>
        <w:pStyle w:val="BodyText"/>
        <w:spacing w:line="269" w:lineRule="exact"/>
      </w:pPr>
      <w:r>
        <w:rPr/>
        <w:t>联系人：刘思源</w:t>
      </w:r>
    </w:p>
    <w:p>
      <w:pPr>
        <w:pStyle w:val="BodyText"/>
        <w:spacing w:before="7"/>
        <w:ind w:left="0"/>
        <w:rPr>
          <w:sz w:val="15"/>
        </w:rPr>
      </w:pPr>
    </w:p>
    <w:p>
      <w:pPr>
        <w:pStyle w:val="BodyText"/>
        <w:spacing w:line="417" w:lineRule="auto"/>
        <w:ind w:right="6044"/>
        <w:rPr>
          <w:rFonts w:ascii="Times New Roman" w:eastAsia="Times New Roman"/>
        </w:rPr>
      </w:pPr>
      <w:r>
        <w:rPr/>
        <w:t>网址：</w:t>
      </w:r>
      <w:hyperlink r:id="rId216">
        <w:r>
          <w:rPr>
            <w:rFonts w:ascii="Times New Roman" w:eastAsia="Times New Roman"/>
          </w:rPr>
          <w:t>http://www.ydsc.com.cn </w:t>
        </w:r>
      </w:hyperlink>
      <w:r>
        <w:rPr/>
        <w:t>客户服务电话：</w:t>
      </w:r>
      <w:r>
        <w:rPr>
          <w:rFonts w:ascii="Times New Roman" w:eastAsia="Times New Roman"/>
        </w:rPr>
        <w:t>4000-188-688</w:t>
      </w:r>
    </w:p>
    <w:p>
      <w:pPr>
        <w:pStyle w:val="ListParagraph"/>
        <w:numPr>
          <w:ilvl w:val="1"/>
          <w:numId w:val="14"/>
        </w:numPr>
        <w:tabs>
          <w:tab w:pos="1379" w:val="left" w:leader="none"/>
        </w:tabs>
        <w:spacing w:line="417" w:lineRule="auto" w:before="0" w:after="0"/>
        <w:ind w:left="640" w:right="5715" w:firstLine="0"/>
        <w:jc w:val="left"/>
        <w:rPr>
          <w:sz w:val="21"/>
        </w:rPr>
      </w:pPr>
      <w:r>
        <w:rPr>
          <w:spacing w:val="-3"/>
          <w:sz w:val="21"/>
        </w:rPr>
        <w:t>华融证券股份有限公司 住所：北京市西城区金融大街</w:t>
      </w:r>
      <w:r>
        <w:rPr>
          <w:rFonts w:ascii="Times New Roman" w:eastAsia="Times New Roman"/>
          <w:spacing w:val="-3"/>
          <w:sz w:val="21"/>
        </w:rPr>
        <w:t>8</w:t>
      </w:r>
      <w:r>
        <w:rPr>
          <w:spacing w:val="-13"/>
          <w:sz w:val="21"/>
        </w:rPr>
        <w:t>号</w:t>
      </w:r>
    </w:p>
    <w:p>
      <w:pPr>
        <w:pStyle w:val="BodyText"/>
        <w:spacing w:line="417" w:lineRule="auto"/>
        <w:ind w:right="3087"/>
      </w:pPr>
      <w:r>
        <w:rPr/>
        <w:t>办公地址：北京市朝阳区朝阳门北大街</w:t>
      </w:r>
      <w:r>
        <w:rPr>
          <w:rFonts w:ascii="Times New Roman" w:eastAsia="Times New Roman"/>
        </w:rPr>
        <w:t>18</w:t>
      </w:r>
      <w:r>
        <w:rPr/>
        <w:t>号中国人保寿险大厦法定代表人：祝献忠</w:t>
      </w:r>
    </w:p>
    <w:p>
      <w:pPr>
        <w:pStyle w:val="BodyText"/>
        <w:spacing w:line="417" w:lineRule="auto"/>
        <w:ind w:right="6906"/>
        <w:rPr>
          <w:rFonts w:ascii="Times New Roman" w:eastAsia="Times New Roman"/>
        </w:rPr>
      </w:pPr>
      <w:r>
        <w:rPr/>
        <w:t>电话：</w:t>
      </w:r>
      <w:r>
        <w:rPr>
          <w:rFonts w:ascii="Times New Roman" w:eastAsia="Times New Roman"/>
        </w:rPr>
        <w:t>010-85556048 </w:t>
      </w:r>
      <w:r>
        <w:rPr/>
        <w:t>传真：</w:t>
      </w:r>
      <w:r>
        <w:rPr>
          <w:rFonts w:ascii="Times New Roman" w:eastAsia="Times New Roman"/>
        </w:rPr>
        <w:t>010-85556088</w:t>
      </w:r>
    </w:p>
    <w:p>
      <w:pPr>
        <w:pStyle w:val="BodyText"/>
        <w:spacing w:line="269" w:lineRule="exact"/>
      </w:pPr>
      <w:r>
        <w:rPr/>
        <w:t>联系人：孙燕波</w:t>
      </w:r>
    </w:p>
    <w:p>
      <w:pPr>
        <w:pStyle w:val="BodyText"/>
        <w:spacing w:before="6"/>
        <w:ind w:left="0"/>
        <w:rPr>
          <w:sz w:val="15"/>
        </w:rPr>
      </w:pPr>
    </w:p>
    <w:p>
      <w:pPr>
        <w:pStyle w:val="BodyText"/>
        <w:spacing w:line="417" w:lineRule="auto"/>
        <w:ind w:right="6487"/>
        <w:rPr>
          <w:rFonts w:ascii="Times New Roman" w:eastAsia="Times New Roman"/>
        </w:rPr>
      </w:pPr>
      <w:r>
        <w:rPr/>
        <w:t>网址：</w:t>
      </w:r>
      <w:hyperlink r:id="rId217">
        <w:r>
          <w:rPr>
            <w:rFonts w:ascii="Times New Roman" w:eastAsia="Times New Roman"/>
          </w:rPr>
          <w:t>www.hrsec.com.cn </w:t>
        </w:r>
      </w:hyperlink>
      <w:r>
        <w:rPr/>
        <w:t>客户服务电话：</w:t>
      </w:r>
      <w:r>
        <w:rPr>
          <w:rFonts w:ascii="Times New Roman" w:eastAsia="Times New Roman"/>
        </w:rPr>
        <w:t>95390</w:t>
      </w:r>
    </w:p>
    <w:p>
      <w:pPr>
        <w:pStyle w:val="ListParagraph"/>
        <w:numPr>
          <w:ilvl w:val="1"/>
          <w:numId w:val="14"/>
        </w:numPr>
        <w:tabs>
          <w:tab w:pos="1379" w:val="left" w:leader="none"/>
        </w:tabs>
        <w:spacing w:line="240" w:lineRule="auto" w:before="0" w:after="0"/>
        <w:ind w:left="1378" w:right="0" w:hanging="739"/>
        <w:jc w:val="left"/>
        <w:rPr>
          <w:sz w:val="21"/>
        </w:rPr>
      </w:pPr>
      <w:r>
        <w:rPr>
          <w:spacing w:val="-3"/>
          <w:sz w:val="21"/>
        </w:rPr>
        <w:t>天风证券股份有限公司</w:t>
      </w:r>
    </w:p>
    <w:p>
      <w:pPr>
        <w:pStyle w:val="BodyText"/>
        <w:spacing w:before="7"/>
        <w:ind w:left="0"/>
        <w:rPr>
          <w:sz w:val="15"/>
        </w:rPr>
      </w:pPr>
    </w:p>
    <w:p>
      <w:pPr>
        <w:pStyle w:val="BodyText"/>
      </w:pPr>
      <w:r>
        <w:rPr/>
        <w:t>住所：湖北省武汉市东湖新技术开发区关东园路</w:t>
      </w:r>
      <w:r>
        <w:rPr>
          <w:rFonts w:ascii="Times New Roman" w:eastAsia="Times New Roman"/>
        </w:rPr>
        <w:t>2</w:t>
      </w:r>
      <w:r>
        <w:rPr/>
        <w:t>号高科大厦四楼</w:t>
      </w:r>
    </w:p>
    <w:p>
      <w:pPr>
        <w:pStyle w:val="BodyText"/>
        <w:spacing w:before="7"/>
        <w:ind w:left="0"/>
        <w:rPr>
          <w:sz w:val="15"/>
        </w:rPr>
      </w:pPr>
    </w:p>
    <w:p>
      <w:pPr>
        <w:pStyle w:val="BodyText"/>
        <w:spacing w:line="417" w:lineRule="auto"/>
        <w:ind w:right="2352"/>
      </w:pPr>
      <w:r>
        <w:rPr/>
        <w:t>办公地址：湖北省武汉市东湖新技术开发区关东园路</w:t>
      </w:r>
      <w:r>
        <w:rPr>
          <w:rFonts w:ascii="Times New Roman" w:eastAsia="Times New Roman"/>
        </w:rPr>
        <w:t>2</w:t>
      </w:r>
      <w:r>
        <w:rPr/>
        <w:t>号高科大厦四楼法定代表人：余磊</w:t>
      </w:r>
    </w:p>
    <w:p>
      <w:pPr>
        <w:pStyle w:val="BodyText"/>
        <w:spacing w:line="417" w:lineRule="auto"/>
        <w:ind w:right="6906"/>
        <w:rPr>
          <w:rFonts w:ascii="Times New Roman" w:eastAsia="Times New Roman"/>
        </w:rPr>
      </w:pPr>
      <w:r>
        <w:rPr/>
        <w:t>电话：</w:t>
      </w:r>
      <w:r>
        <w:rPr>
          <w:rFonts w:ascii="Times New Roman" w:eastAsia="Times New Roman"/>
        </w:rPr>
        <w:t>027-87618882 </w:t>
      </w:r>
      <w:r>
        <w:rPr/>
        <w:t>传真：</w:t>
      </w:r>
      <w:r>
        <w:rPr>
          <w:rFonts w:ascii="Times New Roman" w:eastAsia="Times New Roman"/>
        </w:rPr>
        <w:t>027-87618863</w:t>
      </w:r>
    </w:p>
    <w:p>
      <w:pPr>
        <w:pStyle w:val="BodyText"/>
        <w:spacing w:line="269" w:lineRule="exact"/>
      </w:pPr>
      <w:r>
        <w:rPr/>
        <w:t>联系人：翟璟</w:t>
      </w:r>
    </w:p>
    <w:p>
      <w:pPr>
        <w:pStyle w:val="BodyText"/>
        <w:spacing w:before="6"/>
        <w:ind w:left="0"/>
        <w:rPr>
          <w:sz w:val="15"/>
        </w:rPr>
      </w:pPr>
    </w:p>
    <w:p>
      <w:pPr>
        <w:pStyle w:val="BodyText"/>
        <w:spacing w:before="1"/>
        <w:rPr>
          <w:rFonts w:ascii="Times New Roman" w:eastAsia="Times New Roman"/>
        </w:rPr>
      </w:pPr>
      <w:r>
        <w:rPr/>
        <w:t>网址：</w:t>
      </w:r>
      <w:hyperlink r:id="rId218">
        <w:r>
          <w:rPr>
            <w:rFonts w:ascii="Times New Roman" w:eastAsia="Times New Roman"/>
          </w:rPr>
          <w:t>www.tfzq.com</w:t>
        </w:r>
      </w:hyperlink>
    </w:p>
    <w:p>
      <w:pPr>
        <w:pStyle w:val="BodyText"/>
        <w:spacing w:before="3"/>
        <w:ind w:left="0"/>
        <w:rPr>
          <w:rFonts w:ascii="Times New Roman"/>
          <w:sz w:val="17"/>
        </w:rPr>
      </w:pPr>
    </w:p>
    <w:p>
      <w:pPr>
        <w:pStyle w:val="BodyText"/>
        <w:rPr>
          <w:rFonts w:ascii="Times New Roman" w:eastAsia="Times New Roman"/>
        </w:rPr>
      </w:pPr>
      <w:r>
        <w:rPr/>
        <w:t>客户服务电话：</w:t>
      </w:r>
      <w:r>
        <w:rPr>
          <w:rFonts w:ascii="Times New Roman" w:eastAsia="Times New Roman"/>
        </w:rPr>
        <w:t>400-800-5000</w:t>
      </w:r>
    </w:p>
    <w:p>
      <w:pPr>
        <w:spacing w:after="0"/>
        <w:rPr>
          <w:rFonts w:ascii="Times New Roman" w:eastAsia="Times New Roman"/>
        </w:rPr>
        <w:sectPr>
          <w:pgSz w:w="11910" w:h="16840"/>
          <w:pgMar w:header="705" w:footer="683" w:top="1420" w:bottom="880" w:left="1580" w:right="920"/>
        </w:sectPr>
      </w:pPr>
    </w:p>
    <w:p>
      <w:pPr>
        <w:pStyle w:val="ListParagraph"/>
        <w:numPr>
          <w:ilvl w:val="1"/>
          <w:numId w:val="14"/>
        </w:numPr>
        <w:tabs>
          <w:tab w:pos="1379" w:val="left" w:leader="none"/>
        </w:tabs>
        <w:spacing w:line="240" w:lineRule="auto" w:before="110" w:after="0"/>
        <w:ind w:left="1378" w:right="0" w:hanging="739"/>
        <w:jc w:val="left"/>
        <w:rPr>
          <w:sz w:val="21"/>
        </w:rPr>
      </w:pPr>
      <w:r>
        <w:rPr>
          <w:spacing w:val="-3"/>
          <w:sz w:val="21"/>
        </w:rPr>
        <w:t>万和证券股份有限公司</w:t>
      </w:r>
    </w:p>
    <w:p>
      <w:pPr>
        <w:pStyle w:val="BodyText"/>
        <w:spacing w:before="6"/>
        <w:ind w:left="0"/>
        <w:rPr>
          <w:sz w:val="15"/>
        </w:rPr>
      </w:pPr>
    </w:p>
    <w:p>
      <w:pPr>
        <w:pStyle w:val="BodyText"/>
      </w:pPr>
      <w:r>
        <w:rPr/>
        <w:t>住所：海口市南沙路</w:t>
      </w:r>
      <w:r>
        <w:rPr>
          <w:rFonts w:ascii="Times New Roman" w:eastAsia="Times New Roman"/>
        </w:rPr>
        <w:t>49</w:t>
      </w:r>
      <w:r>
        <w:rPr/>
        <w:t>号通信广场二楼</w:t>
      </w:r>
    </w:p>
    <w:p>
      <w:pPr>
        <w:pStyle w:val="BodyText"/>
        <w:spacing w:before="7"/>
        <w:ind w:left="0"/>
        <w:rPr>
          <w:sz w:val="15"/>
        </w:rPr>
      </w:pPr>
    </w:p>
    <w:p>
      <w:pPr>
        <w:pStyle w:val="BodyText"/>
        <w:spacing w:line="417" w:lineRule="auto"/>
        <w:ind w:right="2878"/>
      </w:pPr>
      <w:r>
        <w:rPr/>
        <w:t>办公地址：深圳市福田区深南大道</w:t>
      </w:r>
      <w:r>
        <w:rPr>
          <w:rFonts w:ascii="Times New Roman" w:eastAsia="Times New Roman"/>
        </w:rPr>
        <w:t>7028</w:t>
      </w:r>
      <w:r>
        <w:rPr/>
        <w:t>号时代科技大厦</w:t>
      </w:r>
      <w:r>
        <w:rPr>
          <w:rFonts w:ascii="Times New Roman" w:eastAsia="Times New Roman"/>
        </w:rPr>
        <w:t>20</w:t>
      </w:r>
      <w:r>
        <w:rPr/>
        <w:t>层西厅法定代表人：冯周让</w:t>
      </w:r>
    </w:p>
    <w:p>
      <w:pPr>
        <w:pStyle w:val="BodyText"/>
        <w:spacing w:line="417" w:lineRule="auto"/>
        <w:ind w:right="6800"/>
        <w:rPr>
          <w:rFonts w:ascii="Times New Roman" w:eastAsia="Times New Roman"/>
        </w:rPr>
      </w:pPr>
      <w:r>
        <w:rPr/>
        <w:t>电话：</w:t>
      </w:r>
      <w:r>
        <w:rPr>
          <w:rFonts w:ascii="Times New Roman" w:eastAsia="Times New Roman"/>
        </w:rPr>
        <w:t>0755-82830333 </w:t>
      </w:r>
      <w:r>
        <w:rPr/>
        <w:t>传真：</w:t>
      </w:r>
      <w:r>
        <w:rPr>
          <w:rFonts w:ascii="Times New Roman" w:eastAsia="Times New Roman"/>
        </w:rPr>
        <w:t>0755-25842783</w:t>
      </w:r>
    </w:p>
    <w:p>
      <w:pPr>
        <w:pStyle w:val="BodyText"/>
        <w:spacing w:line="269" w:lineRule="exact"/>
      </w:pPr>
      <w:r>
        <w:rPr/>
        <w:t>联系人：王少峰</w:t>
      </w:r>
    </w:p>
    <w:p>
      <w:pPr>
        <w:pStyle w:val="BodyText"/>
        <w:spacing w:before="7"/>
        <w:ind w:left="0"/>
        <w:rPr>
          <w:sz w:val="15"/>
        </w:rPr>
      </w:pPr>
    </w:p>
    <w:p>
      <w:pPr>
        <w:pStyle w:val="BodyText"/>
        <w:spacing w:line="417" w:lineRule="auto"/>
        <w:ind w:right="5613"/>
        <w:rPr>
          <w:rFonts w:ascii="Times New Roman" w:eastAsia="Times New Roman"/>
        </w:rPr>
      </w:pPr>
      <w:r>
        <w:rPr/>
        <w:t>网址：</w:t>
      </w:r>
      <w:hyperlink r:id="rId219">
        <w:r>
          <w:rPr>
            <w:rFonts w:ascii="Times New Roman" w:eastAsia="Times New Roman"/>
          </w:rPr>
          <w:t>http://www.wanhesec.com.cn </w:t>
        </w:r>
      </w:hyperlink>
      <w:r>
        <w:rPr/>
        <w:t>客户服务电话：</w:t>
      </w:r>
      <w:r>
        <w:rPr>
          <w:rFonts w:ascii="Times New Roman" w:eastAsia="Times New Roman"/>
        </w:rPr>
        <w:t>4008-882-882</w:t>
      </w:r>
    </w:p>
    <w:p>
      <w:pPr>
        <w:pStyle w:val="ListParagraph"/>
        <w:numPr>
          <w:ilvl w:val="1"/>
          <w:numId w:val="14"/>
        </w:numPr>
        <w:tabs>
          <w:tab w:pos="1379" w:val="left" w:leader="none"/>
        </w:tabs>
        <w:spacing w:line="269" w:lineRule="exact" w:before="0" w:after="0"/>
        <w:ind w:left="1378" w:right="0" w:hanging="739"/>
        <w:jc w:val="left"/>
        <w:rPr>
          <w:sz w:val="21"/>
        </w:rPr>
      </w:pPr>
      <w:r>
        <w:rPr>
          <w:spacing w:val="-3"/>
          <w:sz w:val="21"/>
        </w:rPr>
        <w:t>宏信证券有限责任公司</w:t>
      </w:r>
    </w:p>
    <w:p>
      <w:pPr>
        <w:pStyle w:val="BodyText"/>
        <w:spacing w:before="7"/>
        <w:ind w:left="0"/>
        <w:rPr>
          <w:sz w:val="15"/>
        </w:rPr>
      </w:pPr>
    </w:p>
    <w:p>
      <w:pPr>
        <w:pStyle w:val="BodyText"/>
      </w:pPr>
      <w:r>
        <w:rPr/>
        <w:t>住所：四川省成都市锦江区人民南路二段</w:t>
      </w:r>
      <w:r>
        <w:rPr>
          <w:rFonts w:ascii="Times New Roman" w:eastAsia="Times New Roman"/>
        </w:rPr>
        <w:t>18</w:t>
      </w:r>
      <w:r>
        <w:rPr/>
        <w:t>号川信大厦</w:t>
      </w:r>
      <w:r>
        <w:rPr>
          <w:rFonts w:ascii="Times New Roman" w:eastAsia="Times New Roman"/>
        </w:rPr>
        <w:t>10</w:t>
      </w:r>
      <w:r>
        <w:rPr/>
        <w:t>楼</w:t>
      </w:r>
    </w:p>
    <w:p>
      <w:pPr>
        <w:pStyle w:val="BodyText"/>
        <w:spacing w:before="7"/>
        <w:ind w:left="0"/>
        <w:rPr>
          <w:sz w:val="15"/>
        </w:rPr>
      </w:pPr>
    </w:p>
    <w:p>
      <w:pPr>
        <w:pStyle w:val="BodyText"/>
        <w:spacing w:line="417" w:lineRule="auto"/>
        <w:ind w:right="2878"/>
      </w:pPr>
      <w:r>
        <w:rPr/>
        <w:t>办公地址：四川省成都市锦江区人民南路二段</w:t>
      </w:r>
      <w:r>
        <w:rPr>
          <w:rFonts w:ascii="Times New Roman" w:eastAsia="Times New Roman"/>
        </w:rPr>
        <w:t>18</w:t>
      </w:r>
      <w:r>
        <w:rPr/>
        <w:t>号川信大厦</w:t>
      </w:r>
      <w:r>
        <w:rPr>
          <w:rFonts w:ascii="Times New Roman" w:eastAsia="Times New Roman"/>
        </w:rPr>
        <w:t>10</w:t>
      </w:r>
      <w:r>
        <w:rPr/>
        <w:t>楼法定代表人：吴玉明</w:t>
      </w:r>
    </w:p>
    <w:p>
      <w:pPr>
        <w:pStyle w:val="BodyText"/>
        <w:spacing w:line="417" w:lineRule="auto"/>
        <w:ind w:right="6906"/>
        <w:rPr>
          <w:rFonts w:ascii="Times New Roman" w:eastAsia="Times New Roman"/>
        </w:rPr>
      </w:pPr>
      <w:r>
        <w:rPr>
          <w:spacing w:val="-1"/>
        </w:rPr>
        <w:t>电话：</w:t>
      </w:r>
      <w:r>
        <w:rPr>
          <w:rFonts w:ascii="Times New Roman" w:eastAsia="Times New Roman"/>
          <w:spacing w:val="-3"/>
        </w:rPr>
        <w:t>028-86199278 </w:t>
      </w:r>
      <w:r>
        <w:rPr>
          <w:spacing w:val="-1"/>
        </w:rPr>
        <w:t>传真：</w:t>
      </w:r>
      <w:r>
        <w:rPr>
          <w:rFonts w:ascii="Times New Roman" w:eastAsia="Times New Roman"/>
          <w:spacing w:val="-3"/>
        </w:rPr>
        <w:t>028-86199382</w:t>
      </w:r>
    </w:p>
    <w:p>
      <w:pPr>
        <w:pStyle w:val="BodyText"/>
        <w:spacing w:line="417" w:lineRule="auto"/>
        <w:ind w:right="6978"/>
        <w:rPr>
          <w:rFonts w:ascii="Times New Roman" w:eastAsia="Times New Roman"/>
        </w:rPr>
      </w:pPr>
      <w:r>
        <w:rPr>
          <w:spacing w:val="-2"/>
        </w:rPr>
        <w:t>联系人：郝俊杰  </w:t>
      </w:r>
      <w:r>
        <w:rPr>
          <w:spacing w:val="-3"/>
        </w:rPr>
        <w:t>网址：</w:t>
      </w:r>
      <w:hyperlink r:id="rId220">
        <w:r>
          <w:rPr>
            <w:rFonts w:ascii="Times New Roman" w:eastAsia="Times New Roman"/>
            <w:spacing w:val="-4"/>
          </w:rPr>
          <w:t>www.hxzq.cn</w:t>
        </w:r>
      </w:hyperlink>
    </w:p>
    <w:p>
      <w:pPr>
        <w:pStyle w:val="BodyText"/>
        <w:spacing w:line="269" w:lineRule="exact"/>
        <w:rPr>
          <w:rFonts w:ascii="Times New Roman" w:eastAsia="Times New Roman"/>
        </w:rPr>
      </w:pPr>
      <w:r>
        <w:rPr/>
        <w:t>客户服务电话：</w:t>
      </w:r>
      <w:r>
        <w:rPr>
          <w:rFonts w:ascii="Times New Roman" w:eastAsia="Times New Roman"/>
        </w:rPr>
        <w:t>400-836-6366</w:t>
      </w:r>
    </w:p>
    <w:p>
      <w:pPr>
        <w:pStyle w:val="BodyText"/>
        <w:spacing w:before="3"/>
        <w:ind w:left="0"/>
        <w:rPr>
          <w:rFonts w:ascii="Times New Roman"/>
          <w:sz w:val="17"/>
        </w:rPr>
      </w:pPr>
    </w:p>
    <w:p>
      <w:pPr>
        <w:pStyle w:val="ListParagraph"/>
        <w:numPr>
          <w:ilvl w:val="1"/>
          <w:numId w:val="14"/>
        </w:numPr>
        <w:tabs>
          <w:tab w:pos="1379" w:val="left" w:leader="none"/>
        </w:tabs>
        <w:spacing w:line="240" w:lineRule="auto" w:before="0" w:after="0"/>
        <w:ind w:left="1378" w:right="0" w:hanging="739"/>
        <w:jc w:val="left"/>
        <w:rPr>
          <w:sz w:val="21"/>
        </w:rPr>
      </w:pPr>
      <w:r>
        <w:rPr>
          <w:spacing w:val="-3"/>
          <w:sz w:val="21"/>
        </w:rPr>
        <w:t>太平洋证券股份有限公司</w:t>
      </w:r>
    </w:p>
    <w:p>
      <w:pPr>
        <w:pStyle w:val="BodyText"/>
        <w:spacing w:before="6"/>
        <w:ind w:left="0"/>
        <w:rPr>
          <w:sz w:val="15"/>
        </w:rPr>
      </w:pPr>
    </w:p>
    <w:p>
      <w:pPr>
        <w:pStyle w:val="BodyText"/>
        <w:spacing w:before="1"/>
      </w:pPr>
      <w:r>
        <w:rPr/>
        <w:t>住所：云南省昆明市青年路</w:t>
      </w:r>
      <w:r>
        <w:rPr>
          <w:rFonts w:ascii="Times New Roman" w:eastAsia="Times New Roman"/>
        </w:rPr>
        <w:t>389</w:t>
      </w:r>
      <w:r>
        <w:rPr/>
        <w:t>号志远大厦</w:t>
      </w:r>
      <w:r>
        <w:rPr>
          <w:rFonts w:ascii="Times New Roman" w:eastAsia="Times New Roman"/>
        </w:rPr>
        <w:t>18</w:t>
      </w:r>
      <w:r>
        <w:rPr/>
        <w:t>层</w:t>
      </w:r>
    </w:p>
    <w:p>
      <w:pPr>
        <w:pStyle w:val="BodyText"/>
        <w:spacing w:before="6"/>
        <w:ind w:left="0"/>
        <w:rPr>
          <w:sz w:val="15"/>
        </w:rPr>
      </w:pPr>
    </w:p>
    <w:p>
      <w:pPr>
        <w:pStyle w:val="BodyText"/>
        <w:spacing w:line="417" w:lineRule="auto"/>
        <w:ind w:right="3360"/>
      </w:pPr>
      <w:r>
        <w:rPr>
          <w:spacing w:val="-3"/>
        </w:rPr>
        <w:t>办公地址：北京市西城区北展北街</w:t>
      </w:r>
      <w:r>
        <w:rPr>
          <w:rFonts w:ascii="Times New Roman" w:eastAsia="Times New Roman"/>
          <w:spacing w:val="-3"/>
        </w:rPr>
        <w:t>9</w:t>
      </w:r>
      <w:r>
        <w:rPr>
          <w:spacing w:val="-3"/>
        </w:rPr>
        <w:t>号华远企业号</w:t>
      </w:r>
      <w:r>
        <w:rPr>
          <w:rFonts w:ascii="Times New Roman" w:eastAsia="Times New Roman"/>
        </w:rPr>
        <w:t>D</w:t>
      </w:r>
      <w:r>
        <w:rPr/>
        <w:t>座</w:t>
      </w:r>
      <w:r>
        <w:rPr>
          <w:rFonts w:ascii="Times New Roman" w:eastAsia="Times New Roman"/>
        </w:rPr>
        <w:t>3</w:t>
      </w:r>
      <w:r>
        <w:rPr>
          <w:spacing w:val="-3"/>
        </w:rPr>
        <w:t>单元法定代表人：李长伟</w:t>
      </w:r>
    </w:p>
    <w:p>
      <w:pPr>
        <w:pStyle w:val="BodyText"/>
        <w:spacing w:line="417" w:lineRule="auto" w:before="1"/>
        <w:ind w:right="5540"/>
        <w:rPr>
          <w:rFonts w:ascii="Times New Roman" w:eastAsia="Times New Roman"/>
        </w:rPr>
      </w:pPr>
      <w:r>
        <w:rPr/>
        <w:t>电话：</w:t>
      </w:r>
      <w:r>
        <w:rPr>
          <w:rFonts w:ascii="Times New Roman" w:eastAsia="Times New Roman"/>
        </w:rPr>
        <w:t>010-88321717</w:t>
      </w:r>
      <w:r>
        <w:rPr/>
        <w:t>、</w:t>
      </w:r>
      <w:r>
        <w:rPr>
          <w:rFonts w:ascii="Times New Roman" w:eastAsia="Times New Roman"/>
          <w:spacing w:val="-3"/>
        </w:rPr>
        <w:t>18500505235 </w:t>
      </w:r>
      <w:r>
        <w:rPr/>
        <w:t>传真：</w:t>
      </w:r>
      <w:r>
        <w:rPr>
          <w:rFonts w:ascii="Times New Roman" w:eastAsia="Times New Roman"/>
        </w:rPr>
        <w:t>010-88321763</w:t>
      </w:r>
    </w:p>
    <w:p>
      <w:pPr>
        <w:pStyle w:val="BodyText"/>
        <w:spacing w:line="269" w:lineRule="exact"/>
      </w:pPr>
      <w:r>
        <w:rPr/>
        <w:t>联系人：唐昌田</w:t>
      </w:r>
    </w:p>
    <w:p>
      <w:pPr>
        <w:pStyle w:val="BodyText"/>
        <w:spacing w:before="6"/>
        <w:ind w:left="0"/>
        <w:rPr>
          <w:sz w:val="15"/>
        </w:rPr>
      </w:pPr>
    </w:p>
    <w:p>
      <w:pPr>
        <w:pStyle w:val="BodyText"/>
        <w:spacing w:line="417" w:lineRule="auto"/>
        <w:ind w:right="6714"/>
        <w:rPr>
          <w:rFonts w:ascii="Times New Roman" w:eastAsia="Times New Roman"/>
        </w:rPr>
      </w:pPr>
      <w:r>
        <w:rPr/>
        <w:t>网址：</w:t>
      </w:r>
      <w:hyperlink r:id="rId221">
        <w:r>
          <w:rPr>
            <w:rFonts w:ascii="Times New Roman" w:eastAsia="Times New Roman"/>
          </w:rPr>
          <w:t>www.tpyzq.com </w:t>
        </w:r>
      </w:hyperlink>
      <w:r>
        <w:rPr/>
        <w:t>客户服务电话：</w:t>
      </w:r>
      <w:r>
        <w:rPr>
          <w:rFonts w:ascii="Times New Roman" w:eastAsia="Times New Roman"/>
        </w:rPr>
        <w:t>95397</w:t>
      </w:r>
    </w:p>
    <w:p>
      <w:pPr>
        <w:pStyle w:val="ListParagraph"/>
        <w:numPr>
          <w:ilvl w:val="1"/>
          <w:numId w:val="14"/>
        </w:numPr>
        <w:tabs>
          <w:tab w:pos="1379" w:val="left" w:leader="none"/>
        </w:tabs>
        <w:spacing w:line="269" w:lineRule="exact" w:before="0" w:after="0"/>
        <w:ind w:left="1378" w:right="0" w:hanging="739"/>
        <w:jc w:val="left"/>
        <w:rPr>
          <w:sz w:val="21"/>
        </w:rPr>
      </w:pPr>
      <w:r>
        <w:rPr>
          <w:spacing w:val="-3"/>
          <w:sz w:val="21"/>
        </w:rPr>
        <w:t>开源证券股份有限公司</w:t>
      </w:r>
    </w:p>
    <w:p>
      <w:pPr>
        <w:pStyle w:val="BodyText"/>
        <w:spacing w:before="7"/>
        <w:ind w:left="0"/>
        <w:rPr>
          <w:sz w:val="15"/>
        </w:rPr>
      </w:pPr>
    </w:p>
    <w:p>
      <w:pPr>
        <w:pStyle w:val="BodyText"/>
        <w:spacing w:before="1"/>
      </w:pPr>
      <w:r>
        <w:rPr/>
        <w:t>住所：陕西省西安市高新区锦业路</w:t>
      </w:r>
      <w:r>
        <w:rPr>
          <w:rFonts w:ascii="Times New Roman" w:eastAsia="Times New Roman"/>
        </w:rPr>
        <w:t>1</w:t>
      </w:r>
      <w:r>
        <w:rPr/>
        <w:t>号都市之门</w:t>
      </w:r>
      <w:r>
        <w:rPr>
          <w:rFonts w:ascii="Times New Roman" w:eastAsia="Times New Roman"/>
        </w:rPr>
        <w:t>B</w:t>
      </w:r>
      <w:r>
        <w:rPr/>
        <w:t>座</w:t>
      </w:r>
      <w:r>
        <w:rPr>
          <w:rFonts w:ascii="Times New Roman" w:eastAsia="Times New Roman"/>
        </w:rPr>
        <w:t>5</w:t>
      </w:r>
      <w:r>
        <w:rPr/>
        <w:t>层</w:t>
      </w:r>
    </w:p>
    <w:p>
      <w:pPr>
        <w:pStyle w:val="BodyText"/>
        <w:spacing w:before="6"/>
        <w:ind w:left="0"/>
        <w:rPr>
          <w:sz w:val="15"/>
        </w:rPr>
      </w:pPr>
    </w:p>
    <w:p>
      <w:pPr>
        <w:pStyle w:val="BodyText"/>
      </w:pPr>
      <w:r>
        <w:rPr/>
        <w:t>办公地址：陕西省西安市高新区锦业路</w:t>
      </w:r>
      <w:r>
        <w:rPr>
          <w:rFonts w:ascii="Times New Roman" w:eastAsia="Times New Roman"/>
        </w:rPr>
        <w:t>1</w:t>
      </w:r>
      <w:r>
        <w:rPr/>
        <w:t>号都市之门</w:t>
      </w:r>
      <w:r>
        <w:rPr>
          <w:rFonts w:ascii="Times New Roman" w:eastAsia="Times New Roman"/>
        </w:rPr>
        <w:t>B</w:t>
      </w:r>
      <w:r>
        <w:rPr/>
        <w:t>座</w:t>
      </w:r>
      <w:r>
        <w:rPr>
          <w:rFonts w:ascii="Times New Roman" w:eastAsia="Times New Roman"/>
        </w:rPr>
        <w:t>5</w:t>
      </w:r>
      <w:r>
        <w:rPr/>
        <w:t>层</w:t>
      </w:r>
    </w:p>
    <w:p>
      <w:pPr>
        <w:spacing w:after="0"/>
        <w:sectPr>
          <w:pgSz w:w="11910" w:h="16840"/>
          <w:pgMar w:header="705" w:footer="683" w:top="1420" w:bottom="880" w:left="1580" w:right="920"/>
        </w:sectPr>
      </w:pPr>
    </w:p>
    <w:p>
      <w:pPr>
        <w:pStyle w:val="BodyText"/>
        <w:spacing w:line="417" w:lineRule="auto" w:before="110"/>
        <w:ind w:right="6913"/>
        <w:rPr>
          <w:rFonts w:ascii="Times New Roman" w:eastAsia="Times New Roman"/>
        </w:rPr>
      </w:pPr>
      <w:r>
        <w:rPr/>
        <w:t>法定代表人：李刚电话：</w:t>
      </w:r>
      <w:r>
        <w:rPr>
          <w:rFonts w:ascii="Times New Roman" w:eastAsia="Times New Roman"/>
        </w:rPr>
        <w:t>029-88447611 </w:t>
      </w:r>
      <w:r>
        <w:rPr/>
        <w:t>传真：</w:t>
      </w:r>
      <w:r>
        <w:rPr>
          <w:rFonts w:ascii="Times New Roman" w:eastAsia="Times New Roman"/>
        </w:rPr>
        <w:t>029-88447611</w:t>
      </w:r>
    </w:p>
    <w:p>
      <w:pPr>
        <w:pStyle w:val="BodyText"/>
        <w:spacing w:line="269" w:lineRule="exact"/>
      </w:pPr>
      <w:r>
        <w:rPr/>
        <w:t>联系人：曹欣</w:t>
      </w:r>
    </w:p>
    <w:p>
      <w:pPr>
        <w:pStyle w:val="BodyText"/>
        <w:spacing w:before="6"/>
        <w:ind w:left="0"/>
        <w:rPr>
          <w:sz w:val="15"/>
        </w:rPr>
      </w:pPr>
    </w:p>
    <w:p>
      <w:pPr>
        <w:pStyle w:val="BodyText"/>
        <w:rPr>
          <w:rFonts w:ascii="Times New Roman" w:eastAsia="Times New Roman"/>
        </w:rPr>
      </w:pPr>
      <w:r>
        <w:rPr/>
        <w:t>网址：</w:t>
      </w:r>
      <w:hyperlink r:id="rId222">
        <w:r>
          <w:rPr>
            <w:rFonts w:ascii="Times New Roman" w:eastAsia="Times New Roman"/>
          </w:rPr>
          <w:t>www.kysec.cn</w:t>
        </w:r>
      </w:hyperlink>
    </w:p>
    <w:p>
      <w:pPr>
        <w:pStyle w:val="BodyText"/>
        <w:spacing w:before="4"/>
        <w:ind w:left="0"/>
        <w:rPr>
          <w:rFonts w:ascii="Times New Roman"/>
          <w:sz w:val="17"/>
        </w:rPr>
      </w:pPr>
    </w:p>
    <w:p>
      <w:pPr>
        <w:pStyle w:val="BodyText"/>
        <w:rPr>
          <w:rFonts w:ascii="Times New Roman" w:eastAsia="Times New Roman"/>
        </w:rPr>
      </w:pPr>
      <w:r>
        <w:rPr/>
        <w:t>客户服务电话：</w:t>
      </w:r>
      <w:r>
        <w:rPr>
          <w:rFonts w:ascii="Times New Roman" w:eastAsia="Times New Roman"/>
        </w:rPr>
        <w:t>95325</w:t>
      </w:r>
      <w:r>
        <w:rPr/>
        <w:t>、</w:t>
      </w:r>
      <w:r>
        <w:rPr>
          <w:rFonts w:ascii="Times New Roman" w:eastAsia="Times New Roman"/>
        </w:rPr>
        <w:t>400-860-8866</w:t>
      </w:r>
    </w:p>
    <w:p>
      <w:pPr>
        <w:pStyle w:val="BodyText"/>
        <w:spacing w:before="3"/>
        <w:ind w:left="0"/>
        <w:rPr>
          <w:rFonts w:ascii="Times New Roman"/>
          <w:sz w:val="17"/>
        </w:rPr>
      </w:pPr>
    </w:p>
    <w:p>
      <w:pPr>
        <w:pStyle w:val="ListParagraph"/>
        <w:numPr>
          <w:ilvl w:val="1"/>
          <w:numId w:val="14"/>
        </w:numPr>
        <w:tabs>
          <w:tab w:pos="1379" w:val="left" w:leader="none"/>
        </w:tabs>
        <w:spacing w:line="240" w:lineRule="auto" w:before="0" w:after="0"/>
        <w:ind w:left="1378" w:right="0" w:hanging="739"/>
        <w:jc w:val="left"/>
        <w:rPr>
          <w:sz w:val="21"/>
        </w:rPr>
      </w:pPr>
      <w:r>
        <w:rPr>
          <w:spacing w:val="-3"/>
          <w:sz w:val="21"/>
        </w:rPr>
        <w:t>川财证券有限责任公司</w:t>
      </w:r>
    </w:p>
    <w:p>
      <w:pPr>
        <w:pStyle w:val="BodyText"/>
        <w:spacing w:before="8"/>
        <w:ind w:left="0"/>
        <w:rPr>
          <w:sz w:val="15"/>
        </w:rPr>
      </w:pPr>
    </w:p>
    <w:p>
      <w:pPr>
        <w:pStyle w:val="BodyText"/>
        <w:spacing w:line="417" w:lineRule="auto"/>
        <w:ind w:right="1161"/>
      </w:pPr>
      <w:r>
        <w:rPr/>
        <w:t>住所：中国（四川）自由贸易试验区成都市高新区交子大道</w:t>
      </w:r>
      <w:r>
        <w:rPr>
          <w:rFonts w:ascii="Times New Roman" w:eastAsia="Times New Roman"/>
        </w:rPr>
        <w:t>177</w:t>
      </w:r>
      <w:r>
        <w:rPr/>
        <w:t>号中海国际</w:t>
      </w:r>
      <w:r>
        <w:rPr>
          <w:rFonts w:ascii="Times New Roman" w:eastAsia="Times New Roman"/>
        </w:rPr>
        <w:t>B</w:t>
      </w:r>
      <w:r>
        <w:rPr/>
        <w:t>座</w:t>
      </w:r>
      <w:r>
        <w:rPr>
          <w:rFonts w:ascii="Times New Roman" w:eastAsia="Times New Roman"/>
        </w:rPr>
        <w:t>17</w:t>
      </w:r>
      <w:r>
        <w:rPr/>
        <w:t>楼办公地址：成都市高新区交子大道</w:t>
      </w:r>
      <w:r>
        <w:rPr>
          <w:rFonts w:ascii="Times New Roman" w:eastAsia="Times New Roman"/>
        </w:rPr>
        <w:t>177</w:t>
      </w:r>
      <w:r>
        <w:rPr/>
        <w:t>号中海国际</w:t>
      </w:r>
      <w:r>
        <w:rPr>
          <w:rFonts w:ascii="Times New Roman" w:eastAsia="Times New Roman"/>
        </w:rPr>
        <w:t>B</w:t>
      </w:r>
      <w:r>
        <w:rPr/>
        <w:t>座</w:t>
      </w:r>
      <w:r>
        <w:rPr>
          <w:rFonts w:ascii="Times New Roman" w:eastAsia="Times New Roman"/>
        </w:rPr>
        <w:t>17</w:t>
      </w:r>
      <w:r>
        <w:rPr/>
        <w:t>楼</w:t>
      </w:r>
    </w:p>
    <w:p>
      <w:pPr>
        <w:pStyle w:val="BodyText"/>
        <w:spacing w:line="417" w:lineRule="auto"/>
        <w:ind w:right="6870"/>
        <w:jc w:val="both"/>
        <w:rPr>
          <w:rFonts w:ascii="Times New Roman" w:eastAsia="Times New Roman"/>
        </w:rPr>
      </w:pPr>
      <w:r>
        <w:rPr/>
        <w:t>法定代表人：孟建军电话：</w:t>
      </w:r>
      <w:r>
        <w:rPr>
          <w:rFonts w:ascii="Times New Roman" w:eastAsia="Times New Roman"/>
        </w:rPr>
        <w:t>028-86583053 </w:t>
      </w:r>
      <w:r>
        <w:rPr/>
        <w:t>传真：</w:t>
      </w:r>
      <w:r>
        <w:rPr>
          <w:rFonts w:ascii="Times New Roman" w:eastAsia="Times New Roman"/>
        </w:rPr>
        <w:t>028-86583002</w:t>
      </w:r>
    </w:p>
    <w:p>
      <w:pPr>
        <w:pStyle w:val="BodyText"/>
        <w:spacing w:line="269" w:lineRule="exact"/>
      </w:pPr>
      <w:r>
        <w:rPr/>
        <w:t>联系人：匡婷</w:t>
      </w:r>
    </w:p>
    <w:p>
      <w:pPr>
        <w:pStyle w:val="BodyText"/>
        <w:spacing w:before="6"/>
        <w:ind w:left="0"/>
        <w:rPr>
          <w:sz w:val="15"/>
        </w:rPr>
      </w:pPr>
    </w:p>
    <w:p>
      <w:pPr>
        <w:pStyle w:val="BodyText"/>
        <w:rPr>
          <w:rFonts w:ascii="Times New Roman" w:eastAsia="Times New Roman"/>
        </w:rPr>
      </w:pPr>
      <w:r>
        <w:rPr/>
        <w:t>网址：</w:t>
      </w:r>
      <w:hyperlink r:id="rId223">
        <w:r>
          <w:rPr>
            <w:rFonts w:ascii="Times New Roman" w:eastAsia="Times New Roman"/>
          </w:rPr>
          <w:t>http://www.cczp.com</w:t>
        </w:r>
      </w:hyperlink>
    </w:p>
    <w:p>
      <w:pPr>
        <w:pStyle w:val="BodyText"/>
        <w:spacing w:before="4"/>
        <w:ind w:left="0"/>
        <w:rPr>
          <w:rFonts w:ascii="Times New Roman"/>
          <w:sz w:val="17"/>
        </w:rPr>
      </w:pPr>
    </w:p>
    <w:p>
      <w:pPr>
        <w:pStyle w:val="BodyText"/>
        <w:rPr>
          <w:rFonts w:ascii="Times New Roman" w:eastAsia="Times New Roman"/>
        </w:rPr>
      </w:pPr>
      <w:r>
        <w:rPr/>
        <w:t>客户服务电话：</w:t>
      </w:r>
      <w:r>
        <w:rPr>
          <w:rFonts w:ascii="Times New Roman" w:eastAsia="Times New Roman"/>
        </w:rPr>
        <w:t>028-86585518</w:t>
      </w:r>
    </w:p>
    <w:p>
      <w:pPr>
        <w:pStyle w:val="BodyText"/>
        <w:spacing w:before="3"/>
        <w:ind w:left="0"/>
        <w:rPr>
          <w:rFonts w:ascii="Times New Roman"/>
          <w:sz w:val="17"/>
        </w:rPr>
      </w:pPr>
    </w:p>
    <w:p>
      <w:pPr>
        <w:pStyle w:val="ListParagraph"/>
        <w:numPr>
          <w:ilvl w:val="1"/>
          <w:numId w:val="14"/>
        </w:numPr>
        <w:tabs>
          <w:tab w:pos="1379" w:val="left" w:leader="none"/>
        </w:tabs>
        <w:spacing w:line="240" w:lineRule="auto" w:before="0" w:after="0"/>
        <w:ind w:left="1378" w:right="0" w:hanging="739"/>
        <w:jc w:val="left"/>
        <w:rPr>
          <w:sz w:val="21"/>
        </w:rPr>
      </w:pPr>
      <w:r>
        <w:rPr>
          <w:spacing w:val="-3"/>
          <w:sz w:val="21"/>
        </w:rPr>
        <w:t>华金证券股份有限公司</w:t>
      </w:r>
    </w:p>
    <w:p>
      <w:pPr>
        <w:pStyle w:val="BodyText"/>
        <w:spacing w:before="7"/>
        <w:ind w:left="0"/>
        <w:rPr>
          <w:sz w:val="15"/>
        </w:rPr>
      </w:pPr>
    </w:p>
    <w:p>
      <w:pPr>
        <w:pStyle w:val="BodyText"/>
      </w:pPr>
      <w:r>
        <w:rPr/>
        <w:t>住所：中国（上海）自由贸易试验区杨高南路</w:t>
      </w:r>
      <w:r>
        <w:rPr>
          <w:rFonts w:ascii="Times New Roman" w:eastAsia="Times New Roman"/>
        </w:rPr>
        <w:t>759</w:t>
      </w:r>
      <w:r>
        <w:rPr/>
        <w:t>号</w:t>
      </w:r>
      <w:r>
        <w:rPr>
          <w:rFonts w:ascii="Times New Roman" w:eastAsia="Times New Roman"/>
        </w:rPr>
        <w:t>30</w:t>
      </w:r>
      <w:r>
        <w:rPr/>
        <w:t>层</w:t>
      </w:r>
    </w:p>
    <w:p>
      <w:pPr>
        <w:pStyle w:val="BodyText"/>
        <w:spacing w:before="7"/>
        <w:ind w:left="0"/>
        <w:rPr>
          <w:sz w:val="15"/>
        </w:rPr>
      </w:pPr>
    </w:p>
    <w:p>
      <w:pPr>
        <w:pStyle w:val="BodyText"/>
        <w:spacing w:line="417" w:lineRule="auto"/>
        <w:ind w:right="3195"/>
      </w:pPr>
      <w:r>
        <w:rPr>
          <w:spacing w:val="-3"/>
        </w:rPr>
        <w:t>办公地址：中国</w:t>
      </w:r>
      <w:r>
        <w:rPr/>
        <w:t>（</w:t>
      </w:r>
      <w:r>
        <w:rPr>
          <w:spacing w:val="-2"/>
        </w:rPr>
        <w:t>上海</w:t>
      </w:r>
      <w:r>
        <w:rPr>
          <w:spacing w:val="-3"/>
        </w:rPr>
        <w:t>）自由贸易试验区杨高南路</w:t>
      </w:r>
      <w:r>
        <w:rPr>
          <w:rFonts w:ascii="Times New Roman" w:eastAsia="Times New Roman"/>
        </w:rPr>
        <w:t>759</w:t>
      </w:r>
      <w:r>
        <w:rPr/>
        <w:t>号</w:t>
      </w:r>
      <w:r>
        <w:rPr>
          <w:rFonts w:ascii="Times New Roman" w:eastAsia="Times New Roman"/>
        </w:rPr>
        <w:t>30</w:t>
      </w:r>
      <w:r>
        <w:rPr/>
        <w:t>层</w:t>
      </w:r>
      <w:r>
        <w:rPr>
          <w:spacing w:val="-3"/>
        </w:rPr>
        <w:t>法定代表人：宋卫东</w:t>
      </w:r>
    </w:p>
    <w:p>
      <w:pPr>
        <w:pStyle w:val="BodyText"/>
        <w:spacing w:line="269" w:lineRule="exact"/>
        <w:rPr>
          <w:rFonts w:ascii="Times New Roman" w:eastAsia="Times New Roman"/>
        </w:rPr>
      </w:pPr>
      <w:r>
        <w:rPr>
          <w:spacing w:val="-1"/>
        </w:rPr>
        <w:t>电话：</w:t>
      </w:r>
      <w:r>
        <w:rPr>
          <w:rFonts w:ascii="Times New Roman" w:eastAsia="Times New Roman"/>
          <w:spacing w:val="-1"/>
        </w:rPr>
        <w:t>021-20655562</w:t>
      </w:r>
    </w:p>
    <w:p>
      <w:pPr>
        <w:pStyle w:val="BodyText"/>
        <w:spacing w:before="3"/>
        <w:ind w:left="0"/>
        <w:rPr>
          <w:rFonts w:ascii="Times New Roman"/>
          <w:sz w:val="17"/>
        </w:rPr>
      </w:pPr>
    </w:p>
    <w:p>
      <w:pPr>
        <w:pStyle w:val="BodyText"/>
      </w:pPr>
      <w:r>
        <w:rPr/>
        <w:t>联系人：龙莹</w:t>
      </w:r>
    </w:p>
    <w:p>
      <w:pPr>
        <w:pStyle w:val="BodyText"/>
        <w:spacing w:before="8"/>
        <w:ind w:left="0"/>
        <w:rPr>
          <w:sz w:val="15"/>
        </w:rPr>
      </w:pPr>
    </w:p>
    <w:p>
      <w:pPr>
        <w:pStyle w:val="BodyText"/>
        <w:spacing w:line="417" w:lineRule="auto"/>
        <w:ind w:right="6003"/>
        <w:rPr>
          <w:rFonts w:ascii="Times New Roman" w:eastAsia="Times New Roman"/>
        </w:rPr>
      </w:pPr>
      <w:r>
        <w:rPr/>
        <w:t>网址：</w:t>
      </w:r>
      <w:r>
        <w:rPr>
          <w:rFonts w:ascii="Times New Roman" w:eastAsia="Times New Roman"/>
        </w:rPr>
        <w:t>https://</w:t>
      </w:r>
      <w:hyperlink r:id="rId224">
        <w:r>
          <w:rPr>
            <w:rFonts w:ascii="Times New Roman" w:eastAsia="Times New Roman"/>
          </w:rPr>
          <w:t>www.huajinsc.cn/ </w:t>
        </w:r>
      </w:hyperlink>
      <w:r>
        <w:rPr/>
        <w:t>客户服务电话：</w:t>
      </w:r>
      <w:r>
        <w:rPr>
          <w:rFonts w:ascii="Times New Roman" w:eastAsia="Times New Roman"/>
        </w:rPr>
        <w:t>956011</w:t>
      </w:r>
    </w:p>
    <w:p>
      <w:pPr>
        <w:pStyle w:val="ListParagraph"/>
        <w:numPr>
          <w:ilvl w:val="1"/>
          <w:numId w:val="14"/>
        </w:numPr>
        <w:tabs>
          <w:tab w:pos="1379" w:val="left" w:leader="none"/>
        </w:tabs>
        <w:spacing w:line="269" w:lineRule="exact" w:before="0" w:after="0"/>
        <w:ind w:left="1378" w:right="0" w:hanging="739"/>
        <w:jc w:val="left"/>
        <w:rPr>
          <w:sz w:val="21"/>
        </w:rPr>
      </w:pPr>
      <w:r>
        <w:rPr>
          <w:spacing w:val="-3"/>
          <w:sz w:val="21"/>
        </w:rPr>
        <w:t>联储证券有限责任公司</w:t>
      </w:r>
    </w:p>
    <w:p>
      <w:pPr>
        <w:pStyle w:val="BodyText"/>
        <w:spacing w:before="6"/>
        <w:ind w:left="0"/>
        <w:rPr>
          <w:sz w:val="15"/>
        </w:rPr>
      </w:pPr>
    </w:p>
    <w:p>
      <w:pPr>
        <w:pStyle w:val="BodyText"/>
        <w:spacing w:line="417" w:lineRule="auto"/>
        <w:ind w:right="2352"/>
      </w:pPr>
      <w:r>
        <w:rPr>
          <w:spacing w:val="-3"/>
        </w:rPr>
        <w:t>住所：深圳市福田区福田街道岗厦社区深南大道南侧金地中心大厦</w:t>
      </w:r>
      <w:r>
        <w:rPr>
          <w:rFonts w:ascii="Times New Roman" w:eastAsia="Times New Roman"/>
        </w:rPr>
        <w:t>9</w:t>
      </w:r>
      <w:r>
        <w:rPr/>
        <w:t>楼</w:t>
      </w:r>
      <w:r>
        <w:rPr>
          <w:spacing w:val="-3"/>
        </w:rPr>
        <w:t>办公地址：北京市朝阳区安定路</w:t>
      </w:r>
      <w:r>
        <w:rPr>
          <w:rFonts w:ascii="Times New Roman" w:eastAsia="Times New Roman"/>
        </w:rPr>
        <w:t>5</w:t>
      </w:r>
      <w:r>
        <w:rPr>
          <w:spacing w:val="-2"/>
        </w:rPr>
        <w:t>号院</w:t>
      </w:r>
      <w:r>
        <w:rPr>
          <w:rFonts w:ascii="Times New Roman" w:eastAsia="Times New Roman"/>
        </w:rPr>
        <w:t>3</w:t>
      </w:r>
      <w:r>
        <w:rPr>
          <w:spacing w:val="-3"/>
        </w:rPr>
        <w:t>号楼中建财富国际中心</w:t>
      </w:r>
      <w:r>
        <w:rPr>
          <w:rFonts w:ascii="Times New Roman" w:eastAsia="Times New Roman"/>
        </w:rPr>
        <w:t>27</w:t>
      </w:r>
      <w:r>
        <w:rPr/>
        <w:t>层  </w:t>
      </w:r>
      <w:r>
        <w:rPr>
          <w:spacing w:val="-3"/>
        </w:rPr>
        <w:t>法定代表人：吕春卫</w:t>
      </w:r>
    </w:p>
    <w:p>
      <w:pPr>
        <w:pStyle w:val="BodyText"/>
        <w:spacing w:line="417" w:lineRule="auto"/>
        <w:ind w:right="6906"/>
        <w:rPr>
          <w:rFonts w:ascii="Times New Roman" w:eastAsia="Times New Roman"/>
        </w:rPr>
      </w:pPr>
      <w:r>
        <w:rPr/>
        <w:t>电话：</w:t>
      </w:r>
      <w:r>
        <w:rPr>
          <w:rFonts w:ascii="Times New Roman" w:eastAsia="Times New Roman"/>
        </w:rPr>
        <w:t>010-86499427 </w:t>
      </w:r>
      <w:r>
        <w:rPr/>
        <w:t>传真：</w:t>
      </w:r>
      <w:r>
        <w:rPr>
          <w:rFonts w:ascii="Times New Roman" w:eastAsia="Times New Roman"/>
        </w:rPr>
        <w:t>010-86499401</w:t>
      </w:r>
    </w:p>
    <w:p>
      <w:pPr>
        <w:pStyle w:val="BodyText"/>
      </w:pPr>
      <w:r>
        <w:rPr/>
        <w:t>联系人：丁倩云</w:t>
      </w:r>
    </w:p>
    <w:p>
      <w:pPr>
        <w:spacing w:after="0"/>
        <w:sectPr>
          <w:pgSz w:w="11910" w:h="16840"/>
          <w:pgMar w:header="705" w:footer="683" w:top="1420" w:bottom="880" w:left="1580" w:right="920"/>
        </w:sectPr>
      </w:pPr>
    </w:p>
    <w:p>
      <w:pPr>
        <w:pStyle w:val="BodyText"/>
        <w:spacing w:before="110"/>
        <w:rPr>
          <w:rFonts w:ascii="Times New Roman" w:eastAsia="Times New Roman"/>
        </w:rPr>
      </w:pPr>
      <w:r>
        <w:rPr/>
        <w:t>网址：</w:t>
      </w:r>
      <w:hyperlink r:id="rId225">
        <w:r>
          <w:rPr>
            <w:rFonts w:ascii="Times New Roman" w:eastAsia="Times New Roman"/>
          </w:rPr>
          <w:t>www.lczq.com</w:t>
        </w:r>
      </w:hyperlink>
    </w:p>
    <w:p>
      <w:pPr>
        <w:pStyle w:val="BodyText"/>
        <w:spacing w:before="3"/>
        <w:ind w:left="0"/>
        <w:rPr>
          <w:rFonts w:ascii="Times New Roman"/>
          <w:sz w:val="17"/>
        </w:rPr>
      </w:pPr>
    </w:p>
    <w:p>
      <w:pPr>
        <w:pStyle w:val="BodyText"/>
        <w:rPr>
          <w:rFonts w:ascii="Times New Roman" w:eastAsia="Times New Roman"/>
        </w:rPr>
      </w:pPr>
      <w:r>
        <w:rPr/>
        <w:t>客户服务电话：</w:t>
      </w:r>
      <w:r>
        <w:rPr>
          <w:rFonts w:ascii="Times New Roman" w:eastAsia="Times New Roman"/>
        </w:rPr>
        <w:t>400-620-6868</w:t>
      </w:r>
    </w:p>
    <w:p>
      <w:pPr>
        <w:pStyle w:val="BodyText"/>
        <w:spacing w:before="3"/>
        <w:ind w:left="0"/>
        <w:rPr>
          <w:rFonts w:ascii="Times New Roman"/>
          <w:sz w:val="17"/>
        </w:rPr>
      </w:pPr>
    </w:p>
    <w:p>
      <w:pPr>
        <w:pStyle w:val="ListParagraph"/>
        <w:numPr>
          <w:ilvl w:val="1"/>
          <w:numId w:val="14"/>
        </w:numPr>
        <w:tabs>
          <w:tab w:pos="1379" w:val="left" w:leader="none"/>
        </w:tabs>
        <w:spacing w:line="240" w:lineRule="auto" w:before="1" w:after="0"/>
        <w:ind w:left="1378" w:right="0" w:hanging="739"/>
        <w:jc w:val="left"/>
        <w:rPr>
          <w:sz w:val="21"/>
        </w:rPr>
      </w:pPr>
      <w:r>
        <w:rPr>
          <w:spacing w:val="-3"/>
          <w:sz w:val="21"/>
        </w:rPr>
        <w:t>华瑞保险销售有限公司</w:t>
      </w:r>
    </w:p>
    <w:p>
      <w:pPr>
        <w:pStyle w:val="BodyText"/>
        <w:spacing w:before="6"/>
        <w:ind w:left="0"/>
        <w:rPr>
          <w:sz w:val="15"/>
        </w:rPr>
      </w:pPr>
    </w:p>
    <w:p>
      <w:pPr>
        <w:pStyle w:val="BodyText"/>
        <w:spacing w:line="417" w:lineRule="auto"/>
        <w:ind w:right="1899"/>
        <w:rPr>
          <w:rFonts w:ascii="Times New Roman" w:eastAsia="Times New Roman"/>
        </w:rPr>
      </w:pPr>
      <w:r>
        <w:rPr/>
        <w:t>住所：上海市嘉定区南翔镇众仁路</w:t>
      </w:r>
      <w:r>
        <w:rPr>
          <w:rFonts w:ascii="Times New Roman" w:eastAsia="Times New Roman"/>
        </w:rPr>
        <w:t>399</w:t>
      </w:r>
      <w:r>
        <w:rPr/>
        <w:t>号运通星财富广场</w:t>
      </w:r>
      <w:r>
        <w:rPr>
          <w:rFonts w:ascii="Times New Roman" w:eastAsia="Times New Roman"/>
        </w:rPr>
        <w:t>1</w:t>
      </w:r>
      <w:r>
        <w:rPr/>
        <w:t>号楼</w:t>
      </w:r>
      <w:r>
        <w:rPr>
          <w:rFonts w:ascii="Times New Roman" w:eastAsia="Times New Roman"/>
        </w:rPr>
        <w:t>B</w:t>
      </w:r>
      <w:r>
        <w:rPr/>
        <w:t>座</w:t>
      </w:r>
      <w:r>
        <w:rPr>
          <w:rFonts w:ascii="Times New Roman" w:eastAsia="Times New Roman"/>
        </w:rPr>
        <w:t>13</w:t>
      </w:r>
      <w:r>
        <w:rPr/>
        <w:t>、</w:t>
      </w:r>
      <w:r>
        <w:rPr>
          <w:rFonts w:ascii="Times New Roman" w:eastAsia="Times New Roman"/>
        </w:rPr>
        <w:t>14</w:t>
      </w:r>
      <w:r>
        <w:rPr/>
        <w:t>层办公地址：上海市浦东新区向城路</w:t>
      </w:r>
      <w:r>
        <w:rPr>
          <w:rFonts w:ascii="Times New Roman" w:eastAsia="Times New Roman"/>
        </w:rPr>
        <w:t>288</w:t>
      </w:r>
      <w:r>
        <w:rPr/>
        <w:t>号国华人寿金融大厦</w:t>
      </w:r>
      <w:r>
        <w:rPr>
          <w:rFonts w:ascii="Times New Roman" w:eastAsia="Times New Roman"/>
        </w:rPr>
        <w:t>8</w:t>
      </w:r>
      <w:r>
        <w:rPr/>
        <w:t>层</w:t>
      </w:r>
      <w:r>
        <w:rPr>
          <w:rFonts w:ascii="Times New Roman" w:eastAsia="Times New Roman"/>
        </w:rPr>
        <w:t>806</w:t>
      </w:r>
    </w:p>
    <w:p>
      <w:pPr>
        <w:pStyle w:val="BodyText"/>
        <w:spacing w:line="417" w:lineRule="auto"/>
        <w:ind w:right="6844"/>
        <w:rPr>
          <w:rFonts w:ascii="Times New Roman" w:eastAsia="Times New Roman"/>
        </w:rPr>
      </w:pPr>
      <w:r>
        <w:rPr/>
        <w:t>法定代表人：路昊电话：</w:t>
      </w:r>
      <w:r>
        <w:rPr>
          <w:rFonts w:ascii="Times New Roman" w:eastAsia="Times New Roman"/>
        </w:rPr>
        <w:t>021-68595698 </w:t>
      </w:r>
      <w:r>
        <w:rPr/>
        <w:t>传真：</w:t>
      </w:r>
      <w:r>
        <w:rPr>
          <w:rFonts w:ascii="Times New Roman" w:eastAsia="Times New Roman"/>
        </w:rPr>
        <w:t>021-68595766</w:t>
      </w:r>
    </w:p>
    <w:p>
      <w:pPr>
        <w:pStyle w:val="BodyText"/>
      </w:pPr>
      <w:r>
        <w:rPr/>
        <w:t>联系人：茆勇强</w:t>
      </w:r>
    </w:p>
    <w:p>
      <w:pPr>
        <w:pStyle w:val="BodyText"/>
        <w:spacing w:before="7"/>
        <w:ind w:left="0"/>
        <w:rPr>
          <w:sz w:val="15"/>
        </w:rPr>
      </w:pPr>
    </w:p>
    <w:p>
      <w:pPr>
        <w:pStyle w:val="BodyText"/>
        <w:spacing w:line="417" w:lineRule="auto"/>
        <w:ind w:right="6236"/>
        <w:rPr>
          <w:rFonts w:ascii="Times New Roman" w:eastAsia="Times New Roman"/>
        </w:rPr>
      </w:pPr>
      <w:r>
        <w:rPr/>
        <w:t>网址：</w:t>
      </w:r>
      <w:hyperlink r:id="rId226">
        <w:r>
          <w:rPr>
            <w:rFonts w:ascii="Times New Roman" w:eastAsia="Times New Roman"/>
          </w:rPr>
          <w:t>www.huaruisales.com </w:t>
        </w:r>
      </w:hyperlink>
      <w:r>
        <w:rPr/>
        <w:t>客户服务电话：</w:t>
      </w:r>
      <w:r>
        <w:rPr>
          <w:rFonts w:ascii="Times New Roman" w:eastAsia="Times New Roman"/>
        </w:rPr>
        <w:t>952303</w:t>
      </w:r>
    </w:p>
    <w:p>
      <w:pPr>
        <w:pStyle w:val="ListParagraph"/>
        <w:numPr>
          <w:ilvl w:val="1"/>
          <w:numId w:val="14"/>
        </w:numPr>
        <w:tabs>
          <w:tab w:pos="1379" w:val="left" w:leader="none"/>
        </w:tabs>
        <w:spacing w:line="269" w:lineRule="exact" w:before="0" w:after="0"/>
        <w:ind w:left="1378" w:right="0" w:hanging="739"/>
        <w:jc w:val="left"/>
        <w:rPr>
          <w:sz w:val="21"/>
        </w:rPr>
      </w:pPr>
      <w:r>
        <w:rPr>
          <w:spacing w:val="-3"/>
          <w:sz w:val="21"/>
        </w:rPr>
        <w:t>玄元保险代理有限公司</w:t>
      </w:r>
    </w:p>
    <w:p>
      <w:pPr>
        <w:pStyle w:val="BodyText"/>
        <w:spacing w:before="6"/>
        <w:ind w:left="0"/>
        <w:rPr>
          <w:sz w:val="15"/>
        </w:rPr>
      </w:pPr>
    </w:p>
    <w:p>
      <w:pPr>
        <w:pStyle w:val="BodyText"/>
        <w:spacing w:before="1"/>
      </w:pPr>
      <w:r>
        <w:rPr/>
        <w:t>住所：中国（上海）自由贸易试验区张杨路</w:t>
      </w:r>
      <w:r>
        <w:rPr>
          <w:rFonts w:ascii="Times New Roman" w:eastAsia="Times New Roman"/>
        </w:rPr>
        <w:t>707</w:t>
      </w:r>
      <w:r>
        <w:rPr/>
        <w:t>号</w:t>
      </w:r>
      <w:r>
        <w:rPr>
          <w:rFonts w:ascii="Times New Roman" w:eastAsia="Times New Roman"/>
        </w:rPr>
        <w:t>1105</w:t>
      </w:r>
      <w:r>
        <w:rPr/>
        <w:t>室</w:t>
      </w:r>
    </w:p>
    <w:p>
      <w:pPr>
        <w:pStyle w:val="BodyText"/>
        <w:spacing w:before="6"/>
        <w:ind w:left="0"/>
        <w:rPr>
          <w:sz w:val="15"/>
        </w:rPr>
      </w:pPr>
    </w:p>
    <w:p>
      <w:pPr>
        <w:pStyle w:val="BodyText"/>
        <w:spacing w:line="417" w:lineRule="auto"/>
        <w:ind w:right="3202"/>
      </w:pPr>
      <w:r>
        <w:rPr/>
        <w:t>办公地址：中国（上海）自由贸易试验区张杨路</w:t>
      </w:r>
      <w:r>
        <w:rPr>
          <w:rFonts w:ascii="Times New Roman" w:eastAsia="Times New Roman"/>
        </w:rPr>
        <w:t>707</w:t>
      </w:r>
      <w:r>
        <w:rPr/>
        <w:t>号</w:t>
      </w:r>
      <w:r>
        <w:rPr>
          <w:rFonts w:ascii="Times New Roman" w:eastAsia="Times New Roman"/>
        </w:rPr>
        <w:t>1105</w:t>
      </w:r>
      <w:r>
        <w:rPr/>
        <w:t>室法定代表人：马永谙</w:t>
      </w:r>
    </w:p>
    <w:p>
      <w:pPr>
        <w:pStyle w:val="BodyText"/>
        <w:spacing w:line="417" w:lineRule="auto"/>
        <w:ind w:right="6906"/>
        <w:rPr>
          <w:rFonts w:ascii="Times New Roman" w:eastAsia="Times New Roman"/>
        </w:rPr>
      </w:pPr>
      <w:r>
        <w:rPr/>
        <w:t>电话：</w:t>
      </w:r>
      <w:r>
        <w:rPr>
          <w:rFonts w:ascii="Times New Roman" w:eastAsia="Times New Roman"/>
        </w:rPr>
        <w:t>13752528013 </w:t>
      </w:r>
      <w:r>
        <w:rPr/>
        <w:t>传真：</w:t>
      </w:r>
      <w:r>
        <w:rPr>
          <w:rFonts w:ascii="Times New Roman" w:eastAsia="Times New Roman"/>
        </w:rPr>
        <w:t>021-50701053</w:t>
      </w:r>
    </w:p>
    <w:p>
      <w:pPr>
        <w:pStyle w:val="BodyText"/>
        <w:spacing w:line="269" w:lineRule="exact"/>
      </w:pPr>
      <w:r>
        <w:rPr/>
        <w:t>联系人：卢亚博</w:t>
      </w:r>
    </w:p>
    <w:p>
      <w:pPr>
        <w:pStyle w:val="BodyText"/>
        <w:spacing w:before="7"/>
        <w:ind w:left="0"/>
        <w:rPr>
          <w:sz w:val="15"/>
        </w:rPr>
      </w:pPr>
    </w:p>
    <w:p>
      <w:pPr>
        <w:pStyle w:val="BodyText"/>
        <w:spacing w:line="417" w:lineRule="auto"/>
        <w:ind w:right="4604"/>
        <w:rPr>
          <w:rFonts w:ascii="Times New Roman" w:eastAsia="Times New Roman"/>
        </w:rPr>
      </w:pPr>
      <w:r>
        <w:rPr/>
        <w:t>网址：</w:t>
      </w:r>
      <w:r>
        <w:rPr>
          <w:rFonts w:ascii="Times New Roman" w:eastAsia="Times New Roman"/>
        </w:rPr>
        <w:t>http://www.xyinsure.com:7100/kfit_xybx </w:t>
      </w:r>
      <w:r>
        <w:rPr/>
        <w:t>客户服务电话：</w:t>
      </w:r>
      <w:r>
        <w:rPr>
          <w:rFonts w:ascii="Times New Roman" w:eastAsia="Times New Roman"/>
        </w:rPr>
        <w:t>400-080-8208</w:t>
      </w:r>
    </w:p>
    <w:p>
      <w:pPr>
        <w:pStyle w:val="ListParagraph"/>
        <w:numPr>
          <w:ilvl w:val="1"/>
          <w:numId w:val="14"/>
        </w:numPr>
        <w:tabs>
          <w:tab w:pos="1379" w:val="left" w:leader="none"/>
        </w:tabs>
        <w:spacing w:line="269" w:lineRule="exact" w:before="0" w:after="0"/>
        <w:ind w:left="1378" w:right="0" w:hanging="739"/>
        <w:jc w:val="left"/>
        <w:rPr>
          <w:sz w:val="21"/>
        </w:rPr>
      </w:pPr>
      <w:r>
        <w:rPr>
          <w:spacing w:val="-3"/>
          <w:sz w:val="21"/>
        </w:rPr>
        <w:t>阳光人寿保险股份有限公司</w:t>
      </w:r>
    </w:p>
    <w:p>
      <w:pPr>
        <w:pStyle w:val="BodyText"/>
        <w:spacing w:before="7"/>
        <w:ind w:left="0"/>
        <w:rPr>
          <w:sz w:val="15"/>
        </w:rPr>
      </w:pPr>
    </w:p>
    <w:p>
      <w:pPr>
        <w:pStyle w:val="BodyText"/>
        <w:spacing w:before="1"/>
      </w:pPr>
      <w:r>
        <w:rPr/>
        <w:t>住所：海南省三亚市迎宾路</w:t>
      </w:r>
      <w:r>
        <w:rPr>
          <w:rFonts w:ascii="Times New Roman" w:eastAsia="Times New Roman"/>
        </w:rPr>
        <w:t>360-1</w:t>
      </w:r>
      <w:r>
        <w:rPr/>
        <w:t>号三亚阳光金融广场</w:t>
      </w:r>
      <w:r>
        <w:rPr>
          <w:rFonts w:ascii="Times New Roman" w:eastAsia="Times New Roman"/>
        </w:rPr>
        <w:t>16</w:t>
      </w:r>
      <w:r>
        <w:rPr/>
        <w:t>层</w:t>
      </w:r>
    </w:p>
    <w:p>
      <w:pPr>
        <w:pStyle w:val="BodyText"/>
        <w:spacing w:before="6"/>
        <w:ind w:left="0"/>
        <w:rPr>
          <w:sz w:val="15"/>
        </w:rPr>
      </w:pPr>
    </w:p>
    <w:p>
      <w:pPr>
        <w:pStyle w:val="BodyText"/>
        <w:spacing w:line="417" w:lineRule="auto"/>
        <w:ind w:right="2355"/>
      </w:pPr>
      <w:r>
        <w:rPr/>
        <w:t>办公地址：北京市朝阳区朝阳门外大街乙</w:t>
      </w:r>
      <w:r>
        <w:rPr>
          <w:rFonts w:ascii="Times New Roman" w:eastAsia="Times New Roman"/>
        </w:rPr>
        <w:t>12</w:t>
      </w:r>
      <w:r>
        <w:rPr/>
        <w:t>号院</w:t>
      </w:r>
      <w:r>
        <w:rPr>
          <w:rFonts w:ascii="Times New Roman" w:eastAsia="Times New Roman"/>
        </w:rPr>
        <w:t>1</w:t>
      </w:r>
      <w:r>
        <w:rPr/>
        <w:t>号昆泰国际大厦</w:t>
      </w:r>
      <w:r>
        <w:rPr>
          <w:rFonts w:ascii="Times New Roman" w:eastAsia="Times New Roman"/>
        </w:rPr>
        <w:t>12</w:t>
      </w:r>
      <w:r>
        <w:rPr/>
        <w:t>层法定代表人：李科</w:t>
      </w:r>
    </w:p>
    <w:p>
      <w:pPr>
        <w:pStyle w:val="BodyText"/>
        <w:spacing w:line="417" w:lineRule="auto"/>
        <w:ind w:right="6906"/>
        <w:rPr>
          <w:rFonts w:ascii="Times New Roman" w:eastAsia="Times New Roman"/>
        </w:rPr>
      </w:pPr>
      <w:r>
        <w:rPr/>
        <w:t>电话：</w:t>
      </w:r>
      <w:r>
        <w:rPr>
          <w:rFonts w:ascii="Times New Roman" w:eastAsia="Times New Roman"/>
        </w:rPr>
        <w:t>010-85632771 </w:t>
      </w:r>
      <w:r>
        <w:rPr/>
        <w:t>传真：</w:t>
      </w:r>
      <w:r>
        <w:rPr>
          <w:rFonts w:ascii="Times New Roman" w:eastAsia="Times New Roman"/>
        </w:rPr>
        <w:t>010-85632773</w:t>
      </w:r>
    </w:p>
    <w:p>
      <w:pPr>
        <w:pStyle w:val="BodyText"/>
        <w:spacing w:line="269" w:lineRule="exact"/>
      </w:pPr>
      <w:r>
        <w:rPr/>
        <w:t>联系人：王超</w:t>
      </w:r>
    </w:p>
    <w:p>
      <w:pPr>
        <w:pStyle w:val="BodyText"/>
        <w:spacing w:before="6"/>
        <w:ind w:left="0"/>
        <w:rPr>
          <w:sz w:val="15"/>
        </w:rPr>
      </w:pPr>
    </w:p>
    <w:p>
      <w:pPr>
        <w:pStyle w:val="BodyText"/>
        <w:spacing w:line="417" w:lineRule="auto" w:before="1"/>
        <w:ind w:right="6130"/>
        <w:rPr>
          <w:rFonts w:ascii="Times New Roman" w:eastAsia="Times New Roman"/>
        </w:rPr>
      </w:pPr>
      <w:r>
        <w:rPr/>
        <w:t>网址：</w:t>
      </w:r>
      <w:hyperlink r:id="rId227">
        <w:r>
          <w:rPr>
            <w:rFonts w:ascii="Times New Roman" w:eastAsia="Times New Roman"/>
          </w:rPr>
          <w:t>http://fund.sinosig.com/ </w:t>
        </w:r>
      </w:hyperlink>
      <w:r>
        <w:rPr/>
        <w:t>客户服务电话：</w:t>
      </w:r>
      <w:r>
        <w:rPr>
          <w:rFonts w:ascii="Times New Roman" w:eastAsia="Times New Roman"/>
        </w:rPr>
        <w:t>95510</w:t>
      </w:r>
    </w:p>
    <w:p>
      <w:pPr>
        <w:pStyle w:val="ListParagraph"/>
        <w:numPr>
          <w:ilvl w:val="1"/>
          <w:numId w:val="14"/>
        </w:numPr>
        <w:tabs>
          <w:tab w:pos="1379" w:val="left" w:leader="none"/>
        </w:tabs>
        <w:spacing w:line="240" w:lineRule="auto" w:before="0" w:after="0"/>
        <w:ind w:left="1378" w:right="0" w:hanging="739"/>
        <w:jc w:val="left"/>
        <w:rPr>
          <w:sz w:val="21"/>
        </w:rPr>
      </w:pPr>
      <w:r>
        <w:rPr>
          <w:spacing w:val="-3"/>
          <w:sz w:val="21"/>
        </w:rPr>
        <w:t>中国人寿保险股份有限公司</w:t>
      </w:r>
    </w:p>
    <w:p>
      <w:pPr>
        <w:spacing w:after="0" w:line="240" w:lineRule="auto"/>
        <w:jc w:val="left"/>
        <w:rPr>
          <w:sz w:val="21"/>
        </w:rPr>
        <w:sectPr>
          <w:pgSz w:w="11910" w:h="16840"/>
          <w:pgMar w:header="705" w:footer="683" w:top="1420" w:bottom="880" w:left="1580" w:right="920"/>
        </w:sectPr>
      </w:pPr>
    </w:p>
    <w:p>
      <w:pPr>
        <w:pStyle w:val="BodyText"/>
        <w:spacing w:before="110"/>
      </w:pPr>
      <w:r>
        <w:rPr/>
        <w:t>住所：中国北京市西城区金融大街</w:t>
      </w:r>
      <w:r>
        <w:rPr>
          <w:rFonts w:ascii="Times New Roman" w:eastAsia="Times New Roman"/>
        </w:rPr>
        <w:t>16</w:t>
      </w:r>
      <w:r>
        <w:rPr/>
        <w:t>号</w:t>
      </w:r>
    </w:p>
    <w:p>
      <w:pPr>
        <w:pStyle w:val="BodyText"/>
        <w:spacing w:before="6"/>
        <w:ind w:left="0"/>
        <w:rPr>
          <w:sz w:val="15"/>
        </w:rPr>
      </w:pPr>
    </w:p>
    <w:p>
      <w:pPr>
        <w:pStyle w:val="BodyText"/>
        <w:spacing w:line="417" w:lineRule="auto"/>
        <w:ind w:right="4769"/>
      </w:pPr>
      <w:r>
        <w:rPr/>
        <w:t>办公地址：中国北京市西城区金融大街</w:t>
      </w:r>
      <w:r>
        <w:rPr>
          <w:rFonts w:ascii="Times New Roman" w:eastAsia="Times New Roman"/>
        </w:rPr>
        <w:t>16</w:t>
      </w:r>
      <w:r>
        <w:rPr/>
        <w:t>号法定代表人：王滨</w:t>
      </w:r>
    </w:p>
    <w:p>
      <w:pPr>
        <w:pStyle w:val="BodyText"/>
        <w:spacing w:line="417" w:lineRule="auto"/>
        <w:ind w:right="6906"/>
        <w:rPr>
          <w:rFonts w:ascii="Times New Roman" w:eastAsia="Times New Roman"/>
        </w:rPr>
      </w:pPr>
      <w:r>
        <w:rPr/>
        <w:t>电话：</w:t>
      </w:r>
      <w:r>
        <w:rPr>
          <w:rFonts w:ascii="Times New Roman" w:eastAsia="Times New Roman"/>
        </w:rPr>
        <w:t>010-63631536 </w:t>
      </w:r>
      <w:r>
        <w:rPr/>
        <w:t>传真：</w:t>
      </w:r>
      <w:r>
        <w:rPr>
          <w:rFonts w:ascii="Times New Roman" w:eastAsia="Times New Roman"/>
        </w:rPr>
        <w:t>010-66222276</w:t>
      </w:r>
    </w:p>
    <w:p>
      <w:pPr>
        <w:pStyle w:val="BodyText"/>
        <w:spacing w:line="269" w:lineRule="exact"/>
      </w:pPr>
      <w:r>
        <w:rPr/>
        <w:t>联系人：柳亚卿</w:t>
      </w:r>
    </w:p>
    <w:p>
      <w:pPr>
        <w:pStyle w:val="BodyText"/>
        <w:spacing w:before="7"/>
        <w:ind w:left="0"/>
        <w:rPr>
          <w:sz w:val="15"/>
        </w:rPr>
      </w:pPr>
    </w:p>
    <w:p>
      <w:pPr>
        <w:pStyle w:val="BodyText"/>
        <w:spacing w:line="417" w:lineRule="auto"/>
        <w:ind w:right="6283"/>
        <w:rPr>
          <w:rFonts w:ascii="Times New Roman" w:eastAsia="Times New Roman"/>
        </w:rPr>
      </w:pPr>
      <w:r>
        <w:rPr/>
        <w:t>网址：</w:t>
      </w:r>
      <w:hyperlink r:id="rId228">
        <w:r>
          <w:rPr>
            <w:rFonts w:ascii="Times New Roman" w:eastAsia="Times New Roman"/>
          </w:rPr>
          <w:t>www.e-chinalife.com </w:t>
        </w:r>
      </w:hyperlink>
      <w:r>
        <w:rPr/>
        <w:t>客户服务电话：</w:t>
      </w:r>
      <w:r>
        <w:rPr>
          <w:rFonts w:ascii="Times New Roman" w:eastAsia="Times New Roman"/>
        </w:rPr>
        <w:t>95519</w:t>
      </w:r>
    </w:p>
    <w:p>
      <w:pPr>
        <w:pStyle w:val="BodyText"/>
        <w:spacing w:line="417" w:lineRule="auto"/>
        <w:ind w:left="220" w:right="986" w:firstLine="419"/>
      </w:pPr>
      <w:r>
        <w:rPr>
          <w:rFonts w:ascii="Times New Roman" w:eastAsia="Times New Roman"/>
        </w:rPr>
        <w:t>2</w:t>
      </w:r>
      <w:r>
        <w:rPr>
          <w:spacing w:val="-11"/>
        </w:rPr>
        <w:t>、美元代销机构：中国银行股份有限公司、中国建设银行股份有限公司、中国民生银</w:t>
      </w:r>
      <w:r>
        <w:rPr>
          <w:spacing w:val="-6"/>
        </w:rPr>
        <w:t>行股份有限公司。</w:t>
      </w:r>
    </w:p>
    <w:p>
      <w:pPr>
        <w:pStyle w:val="BodyText"/>
        <w:spacing w:line="417" w:lineRule="auto"/>
        <w:ind w:left="220" w:right="986" w:firstLine="419"/>
        <w:jc w:val="both"/>
      </w:pPr>
      <w:r>
        <w:rPr/>
        <w:t>各销售机构业务办理的规则、流程和网点等事项请遵照各销售机构的具体规定。基金管理人可依据有关法律法规规定及情况变化增加或者减少销售机构。销售机构可以根据情况变化增加或者减少其销售城市、网点。</w:t>
      </w:r>
    </w:p>
    <w:p>
      <w:pPr>
        <w:pStyle w:val="BodyText"/>
        <w:spacing w:line="269" w:lineRule="exact"/>
      </w:pPr>
      <w:r>
        <w:rPr/>
        <w:t>（三）登记结算机构</w:t>
      </w:r>
    </w:p>
    <w:p>
      <w:pPr>
        <w:pStyle w:val="BodyText"/>
        <w:spacing w:before="7"/>
        <w:ind w:left="0"/>
        <w:rPr>
          <w:sz w:val="15"/>
        </w:rPr>
      </w:pPr>
    </w:p>
    <w:p>
      <w:pPr>
        <w:pStyle w:val="BodyText"/>
      </w:pPr>
      <w:r>
        <w:rPr/>
        <w:t>名称：华夏基金管理有限公司</w:t>
      </w:r>
    </w:p>
    <w:p>
      <w:pPr>
        <w:pStyle w:val="BodyText"/>
        <w:spacing w:before="6"/>
        <w:ind w:left="0"/>
        <w:rPr>
          <w:sz w:val="15"/>
        </w:rPr>
      </w:pPr>
    </w:p>
    <w:p>
      <w:pPr>
        <w:pStyle w:val="BodyText"/>
        <w:spacing w:before="1"/>
      </w:pPr>
      <w:r>
        <w:rPr/>
        <w:t>住所：北京市顺义区安庆大街甲</w:t>
      </w:r>
      <w:r>
        <w:rPr>
          <w:rFonts w:ascii="Times New Roman" w:eastAsia="Times New Roman"/>
        </w:rPr>
        <w:t>3</w:t>
      </w:r>
      <w:r>
        <w:rPr/>
        <w:t>号院</w:t>
      </w:r>
    </w:p>
    <w:p>
      <w:pPr>
        <w:pStyle w:val="BodyText"/>
        <w:spacing w:before="6"/>
        <w:ind w:left="0"/>
        <w:rPr>
          <w:sz w:val="15"/>
        </w:rPr>
      </w:pPr>
    </w:p>
    <w:p>
      <w:pPr>
        <w:pStyle w:val="BodyText"/>
        <w:spacing w:line="417" w:lineRule="auto"/>
        <w:ind w:right="3684"/>
      </w:pPr>
      <w:r>
        <w:rPr>
          <w:spacing w:val="-3"/>
        </w:rPr>
        <w:t>办公地址：北京市西城区金融大街</w:t>
      </w:r>
      <w:r>
        <w:rPr>
          <w:rFonts w:ascii="Times New Roman" w:eastAsia="Times New Roman"/>
        </w:rPr>
        <w:t>33</w:t>
      </w:r>
      <w:r>
        <w:rPr>
          <w:spacing w:val="-3"/>
        </w:rPr>
        <w:t>号通泰大厦</w:t>
      </w:r>
      <w:r>
        <w:rPr>
          <w:rFonts w:ascii="Times New Roman" w:eastAsia="Times New Roman"/>
        </w:rPr>
        <w:t>B</w:t>
      </w:r>
      <w:r>
        <w:rPr>
          <w:spacing w:val="-3"/>
        </w:rPr>
        <w:t>座</w:t>
      </w:r>
      <w:r>
        <w:rPr>
          <w:rFonts w:ascii="Times New Roman" w:eastAsia="Times New Roman"/>
        </w:rPr>
        <w:t>8</w:t>
      </w:r>
      <w:r>
        <w:rPr/>
        <w:t>层</w:t>
      </w:r>
      <w:r>
        <w:rPr>
          <w:spacing w:val="-3"/>
        </w:rPr>
        <w:t>法定代表人：杨明辉</w:t>
      </w:r>
    </w:p>
    <w:p>
      <w:pPr>
        <w:pStyle w:val="BodyText"/>
        <w:spacing w:line="417" w:lineRule="auto"/>
        <w:ind w:right="6101"/>
        <w:rPr>
          <w:rFonts w:ascii="Times New Roman" w:eastAsia="Times New Roman"/>
        </w:rPr>
      </w:pPr>
      <w:r>
        <w:rPr>
          <w:spacing w:val="-3"/>
        </w:rPr>
        <w:t>客户服务电话：</w:t>
      </w:r>
      <w:r>
        <w:rPr>
          <w:rFonts w:ascii="Times New Roman" w:eastAsia="Times New Roman"/>
          <w:spacing w:val="-1"/>
        </w:rPr>
        <w:t>400-818-6666 </w:t>
      </w:r>
      <w:r>
        <w:rPr/>
        <w:t>传真：</w:t>
      </w:r>
      <w:r>
        <w:rPr>
          <w:rFonts w:ascii="Times New Roman" w:eastAsia="Times New Roman"/>
        </w:rPr>
        <w:t>010-63136700</w:t>
      </w:r>
    </w:p>
    <w:p>
      <w:pPr>
        <w:pStyle w:val="BodyText"/>
        <w:spacing w:line="269" w:lineRule="exact"/>
      </w:pPr>
      <w:r>
        <w:rPr/>
        <w:t>联系人：朱威</w:t>
      </w:r>
    </w:p>
    <w:p>
      <w:pPr>
        <w:pStyle w:val="BodyText"/>
        <w:spacing w:before="7"/>
        <w:ind w:left="0"/>
        <w:rPr>
          <w:sz w:val="15"/>
        </w:rPr>
      </w:pPr>
    </w:p>
    <w:p>
      <w:pPr>
        <w:pStyle w:val="BodyText"/>
      </w:pPr>
      <w:r>
        <w:rPr/>
        <w:t>（四）律师事务所</w:t>
      </w:r>
    </w:p>
    <w:p>
      <w:pPr>
        <w:pStyle w:val="BodyText"/>
        <w:spacing w:before="7"/>
        <w:ind w:left="0"/>
        <w:rPr>
          <w:sz w:val="15"/>
        </w:rPr>
      </w:pPr>
    </w:p>
    <w:p>
      <w:pPr>
        <w:pStyle w:val="BodyText"/>
      </w:pPr>
      <w:r>
        <w:rPr/>
        <w:t>名称：北京市天元律师事务所</w:t>
      </w:r>
    </w:p>
    <w:p>
      <w:pPr>
        <w:pStyle w:val="BodyText"/>
        <w:spacing w:before="7"/>
        <w:ind w:left="0"/>
        <w:rPr>
          <w:sz w:val="15"/>
        </w:rPr>
      </w:pPr>
    </w:p>
    <w:p>
      <w:pPr>
        <w:pStyle w:val="BodyText"/>
      </w:pPr>
      <w:r>
        <w:rPr/>
        <w:t>住所：北京市西城区丰盛胡同 </w:t>
      </w:r>
      <w:r>
        <w:rPr>
          <w:rFonts w:ascii="Times New Roman" w:eastAsia="Times New Roman"/>
        </w:rPr>
        <w:t>28 </w:t>
      </w:r>
      <w:r>
        <w:rPr/>
        <w:t>号太平洋保险大厦 </w:t>
      </w:r>
      <w:r>
        <w:rPr>
          <w:rFonts w:ascii="Times New Roman" w:eastAsia="Times New Roman"/>
        </w:rPr>
        <w:t>10 </w:t>
      </w:r>
      <w:r>
        <w:rPr/>
        <w:t>层</w:t>
      </w:r>
    </w:p>
    <w:p>
      <w:pPr>
        <w:pStyle w:val="BodyText"/>
        <w:spacing w:before="7"/>
        <w:ind w:left="0"/>
        <w:rPr>
          <w:sz w:val="15"/>
        </w:rPr>
      </w:pPr>
    </w:p>
    <w:p>
      <w:pPr>
        <w:pStyle w:val="BodyText"/>
        <w:spacing w:line="417" w:lineRule="auto"/>
        <w:ind w:right="3089"/>
      </w:pPr>
      <w:r>
        <w:rPr>
          <w:spacing w:val="-6"/>
        </w:rPr>
        <w:t>办公地址：北京市西城区丰盛胡同 </w:t>
      </w:r>
      <w:r>
        <w:rPr>
          <w:rFonts w:ascii="Times New Roman" w:eastAsia="Times New Roman"/>
        </w:rPr>
        <w:t>28</w:t>
      </w:r>
      <w:r>
        <w:rPr>
          <w:rFonts w:ascii="Times New Roman" w:eastAsia="Times New Roman"/>
          <w:spacing w:val="6"/>
        </w:rPr>
        <w:t> </w:t>
      </w:r>
      <w:r>
        <w:rPr>
          <w:spacing w:val="-8"/>
        </w:rPr>
        <w:t>号太平洋保险大厦 </w:t>
      </w:r>
      <w:r>
        <w:rPr>
          <w:rFonts w:ascii="Times New Roman" w:eastAsia="Times New Roman"/>
        </w:rPr>
        <w:t>10</w:t>
      </w:r>
      <w:r>
        <w:rPr>
          <w:rFonts w:ascii="Times New Roman" w:eastAsia="Times New Roman"/>
          <w:spacing w:val="6"/>
        </w:rPr>
        <w:t> </w:t>
      </w:r>
      <w:r>
        <w:rPr/>
        <w:t>层</w:t>
      </w:r>
      <w:r>
        <w:rPr>
          <w:spacing w:val="-3"/>
        </w:rPr>
        <w:t>法定代表人：朱小辉</w:t>
      </w:r>
    </w:p>
    <w:p>
      <w:pPr>
        <w:pStyle w:val="BodyText"/>
        <w:spacing w:line="417" w:lineRule="auto"/>
        <w:ind w:right="6486"/>
        <w:rPr>
          <w:rFonts w:ascii="Times New Roman" w:eastAsia="Times New Roman"/>
        </w:rPr>
      </w:pPr>
      <w:r>
        <w:rPr>
          <w:spacing w:val="-2"/>
        </w:rPr>
        <w:t>联系电话：</w:t>
      </w:r>
      <w:r>
        <w:rPr>
          <w:rFonts w:ascii="Times New Roman" w:eastAsia="Times New Roman"/>
          <w:spacing w:val="-3"/>
        </w:rPr>
        <w:t>010-57763888 </w:t>
      </w:r>
      <w:r>
        <w:rPr/>
        <w:t>传真：</w:t>
      </w:r>
      <w:r>
        <w:rPr>
          <w:rFonts w:ascii="Times New Roman" w:eastAsia="Times New Roman"/>
        </w:rPr>
        <w:t>010-57763777</w:t>
      </w:r>
    </w:p>
    <w:p>
      <w:pPr>
        <w:pStyle w:val="BodyText"/>
      </w:pPr>
      <w:r>
        <w:rPr/>
        <w:t>联系人：李晗</w:t>
      </w:r>
    </w:p>
    <w:p>
      <w:pPr>
        <w:pStyle w:val="BodyText"/>
        <w:spacing w:before="6"/>
        <w:ind w:left="0"/>
        <w:rPr>
          <w:sz w:val="15"/>
        </w:rPr>
      </w:pPr>
    </w:p>
    <w:p>
      <w:pPr>
        <w:pStyle w:val="BodyText"/>
      </w:pPr>
      <w:r>
        <w:rPr/>
        <w:t>经办律师：吴冠雄、李晗</w:t>
      </w:r>
    </w:p>
    <w:p>
      <w:pPr>
        <w:spacing w:after="0"/>
        <w:sectPr>
          <w:pgSz w:w="11910" w:h="16840"/>
          <w:pgMar w:header="705" w:footer="683" w:top="1420" w:bottom="880" w:left="1580" w:right="920"/>
        </w:sectPr>
      </w:pPr>
    </w:p>
    <w:p>
      <w:pPr>
        <w:pStyle w:val="BodyText"/>
        <w:spacing w:before="110"/>
      </w:pPr>
      <w:r>
        <w:rPr/>
        <w:t>（五）会计师事务所</w:t>
      </w:r>
    </w:p>
    <w:p>
      <w:pPr>
        <w:pStyle w:val="BodyText"/>
        <w:spacing w:before="6"/>
        <w:ind w:left="0"/>
        <w:rPr>
          <w:sz w:val="15"/>
        </w:rPr>
      </w:pPr>
    </w:p>
    <w:p>
      <w:pPr>
        <w:pStyle w:val="BodyText"/>
      </w:pPr>
      <w:r>
        <w:rPr/>
        <w:t>名称：普华永道中天会计师事务所（特殊普通合伙）</w:t>
      </w:r>
    </w:p>
    <w:p>
      <w:pPr>
        <w:pStyle w:val="BodyText"/>
        <w:spacing w:before="7"/>
        <w:ind w:left="0"/>
        <w:rPr>
          <w:sz w:val="15"/>
        </w:rPr>
      </w:pPr>
    </w:p>
    <w:p>
      <w:pPr>
        <w:pStyle w:val="BodyText"/>
      </w:pPr>
      <w:r>
        <w:rPr/>
        <w:t>住所：上海市浦东新区陆家嘴环路</w:t>
      </w:r>
      <w:r>
        <w:rPr>
          <w:rFonts w:ascii="Times New Roman" w:eastAsia="Times New Roman"/>
        </w:rPr>
        <w:t>1318</w:t>
      </w:r>
      <w:r>
        <w:rPr/>
        <w:t>号星展银行大厦</w:t>
      </w:r>
      <w:r>
        <w:rPr>
          <w:rFonts w:ascii="Times New Roman" w:eastAsia="Times New Roman"/>
        </w:rPr>
        <w:t>6</w:t>
      </w:r>
      <w:r>
        <w:rPr/>
        <w:t>楼</w:t>
      </w:r>
    </w:p>
    <w:p>
      <w:pPr>
        <w:pStyle w:val="BodyText"/>
        <w:spacing w:before="7"/>
        <w:ind w:left="0"/>
        <w:rPr>
          <w:sz w:val="15"/>
        </w:rPr>
      </w:pPr>
    </w:p>
    <w:p>
      <w:pPr>
        <w:pStyle w:val="BodyText"/>
        <w:spacing w:line="417" w:lineRule="auto"/>
        <w:ind w:right="1942"/>
      </w:pPr>
      <w:r>
        <w:rPr/>
        <w:t>办公地址：上海市黄浦区湖滨路</w:t>
      </w:r>
      <w:r>
        <w:rPr>
          <w:rFonts w:ascii="Times New Roman" w:eastAsia="Times New Roman"/>
        </w:rPr>
        <w:t>202</w:t>
      </w:r>
      <w:r>
        <w:rPr/>
        <w:t>号领展企业广场二座普华永道中心</w:t>
      </w:r>
      <w:r>
        <w:rPr>
          <w:rFonts w:ascii="Times New Roman" w:eastAsia="Times New Roman"/>
        </w:rPr>
        <w:t>11</w:t>
      </w:r>
      <w:r>
        <w:rPr/>
        <w:t>楼执行事务合伙人：李丹</w:t>
      </w:r>
    </w:p>
    <w:p>
      <w:pPr>
        <w:pStyle w:val="BodyText"/>
        <w:spacing w:line="417" w:lineRule="auto"/>
        <w:ind w:right="6486"/>
        <w:rPr>
          <w:rFonts w:ascii="Times New Roman" w:eastAsia="Times New Roman"/>
        </w:rPr>
      </w:pPr>
      <w:r>
        <w:rPr/>
        <w:t>联系电话：</w:t>
      </w:r>
      <w:r>
        <w:rPr>
          <w:rFonts w:ascii="Times New Roman" w:eastAsia="Times New Roman"/>
        </w:rPr>
        <w:t>021-23238888 </w:t>
      </w:r>
      <w:r>
        <w:rPr/>
        <w:t>传真：</w:t>
      </w:r>
      <w:r>
        <w:rPr>
          <w:rFonts w:ascii="Times New Roman" w:eastAsia="Times New Roman"/>
        </w:rPr>
        <w:t>021-23238800</w:t>
      </w:r>
    </w:p>
    <w:p>
      <w:pPr>
        <w:pStyle w:val="BodyText"/>
      </w:pPr>
      <w:r>
        <w:rPr/>
        <w:t>联系人：单峰、程红粤</w:t>
      </w:r>
    </w:p>
    <w:p>
      <w:pPr>
        <w:pStyle w:val="BodyText"/>
        <w:spacing w:before="6"/>
        <w:ind w:left="0"/>
        <w:rPr>
          <w:sz w:val="15"/>
        </w:rPr>
      </w:pPr>
    </w:p>
    <w:p>
      <w:pPr>
        <w:pStyle w:val="BodyText"/>
        <w:spacing w:before="1"/>
      </w:pPr>
      <w:r>
        <w:rPr/>
        <w:t>经办注册会计师：单峰、程红粤</w:t>
      </w:r>
    </w:p>
    <w:p>
      <w:pPr>
        <w:pStyle w:val="BodyText"/>
        <w:ind w:left="0"/>
        <w:rPr>
          <w:sz w:val="20"/>
        </w:rPr>
      </w:pPr>
    </w:p>
    <w:p>
      <w:pPr>
        <w:pStyle w:val="BodyText"/>
        <w:spacing w:before="9"/>
        <w:ind w:left="0"/>
      </w:pPr>
    </w:p>
    <w:p>
      <w:pPr>
        <w:pStyle w:val="Heading1"/>
        <w:ind w:left="0" w:right="3824"/>
        <w:jc w:val="right"/>
      </w:pPr>
      <w:bookmarkStart w:name="_bookmark19" w:id="20"/>
      <w:bookmarkEnd w:id="20"/>
      <w:r>
        <w:rPr>
          <w:b w:val="0"/>
        </w:rPr>
      </w:r>
      <w:r>
        <w:rPr/>
        <w:t>二十、基金合同的内容摘要</w:t>
      </w:r>
    </w:p>
    <w:p>
      <w:pPr>
        <w:pStyle w:val="BodyText"/>
        <w:ind w:left="0"/>
        <w:rPr>
          <w:b/>
          <w:sz w:val="20"/>
        </w:rPr>
      </w:pPr>
    </w:p>
    <w:p>
      <w:pPr>
        <w:pStyle w:val="BodyText"/>
        <w:spacing w:before="3"/>
        <w:ind w:left="0"/>
        <w:rPr>
          <w:b/>
          <w:sz w:val="20"/>
        </w:rPr>
      </w:pPr>
    </w:p>
    <w:p>
      <w:pPr>
        <w:pStyle w:val="BodyText"/>
        <w:spacing w:line="410" w:lineRule="auto"/>
        <w:ind w:right="1932"/>
      </w:pPr>
      <w:r>
        <w:rPr>
          <w:spacing w:val="-7"/>
        </w:rPr>
        <w:t>以下内容摘自《恒生交易型开放式指数证券投资基金联接基金基金合同》： </w:t>
      </w:r>
      <w:r>
        <w:rPr>
          <w:spacing w:val="-5"/>
        </w:rPr>
        <w:t>“八、基金合同当事人及其权利义务</w:t>
      </w:r>
    </w:p>
    <w:p>
      <w:pPr>
        <w:pStyle w:val="BodyText"/>
        <w:spacing w:before="9"/>
      </w:pPr>
      <w:r>
        <w:rPr/>
        <w:t>（一）基金管理人</w:t>
      </w:r>
    </w:p>
    <w:p>
      <w:pPr>
        <w:pStyle w:val="BodyText"/>
        <w:spacing w:before="7"/>
        <w:ind w:left="0"/>
        <w:rPr>
          <w:sz w:val="15"/>
        </w:rPr>
      </w:pPr>
    </w:p>
    <w:p>
      <w:pPr>
        <w:pStyle w:val="BodyText"/>
      </w:pPr>
      <w:r>
        <w:rPr>
          <w:rFonts w:ascii="Times New Roman" w:eastAsia="Times New Roman"/>
        </w:rPr>
        <w:t>2</w:t>
      </w:r>
      <w:r>
        <w:rPr/>
        <w:t>、基金管理人的权利</w:t>
      </w:r>
    </w:p>
    <w:p>
      <w:pPr>
        <w:pStyle w:val="BodyText"/>
        <w:spacing w:before="7"/>
        <w:ind w:left="0"/>
        <w:rPr>
          <w:sz w:val="15"/>
        </w:rPr>
      </w:pPr>
    </w:p>
    <w:p>
      <w:pPr>
        <w:pStyle w:val="ListParagraph"/>
        <w:numPr>
          <w:ilvl w:val="0"/>
          <w:numId w:val="32"/>
        </w:numPr>
        <w:tabs>
          <w:tab w:pos="1170" w:val="left" w:leader="none"/>
        </w:tabs>
        <w:spacing w:line="240" w:lineRule="auto" w:before="0" w:after="0"/>
        <w:ind w:left="1169" w:right="0" w:hanging="530"/>
        <w:jc w:val="left"/>
        <w:rPr>
          <w:sz w:val="21"/>
        </w:rPr>
      </w:pPr>
      <w:r>
        <w:rPr>
          <w:spacing w:val="-3"/>
          <w:sz w:val="21"/>
        </w:rPr>
        <w:t>依法申请并募集基金，办理基金备案手续。</w:t>
      </w:r>
    </w:p>
    <w:p>
      <w:pPr>
        <w:pStyle w:val="BodyText"/>
        <w:spacing w:before="7"/>
        <w:ind w:left="0"/>
        <w:rPr>
          <w:sz w:val="15"/>
        </w:rPr>
      </w:pPr>
    </w:p>
    <w:p>
      <w:pPr>
        <w:pStyle w:val="ListParagraph"/>
        <w:numPr>
          <w:ilvl w:val="0"/>
          <w:numId w:val="32"/>
        </w:numPr>
        <w:tabs>
          <w:tab w:pos="1170" w:val="left" w:leader="none"/>
        </w:tabs>
        <w:spacing w:line="240" w:lineRule="auto" w:before="0" w:after="0"/>
        <w:ind w:left="1169" w:right="0" w:hanging="530"/>
        <w:jc w:val="left"/>
        <w:rPr>
          <w:sz w:val="21"/>
        </w:rPr>
      </w:pPr>
      <w:r>
        <w:rPr>
          <w:spacing w:val="-3"/>
          <w:sz w:val="21"/>
        </w:rPr>
        <w:t>依照法律法规和基金合同运用基金财产。</w:t>
      </w:r>
    </w:p>
    <w:p>
      <w:pPr>
        <w:pStyle w:val="BodyText"/>
        <w:spacing w:before="6"/>
        <w:ind w:left="0"/>
        <w:rPr>
          <w:sz w:val="15"/>
        </w:rPr>
      </w:pPr>
    </w:p>
    <w:p>
      <w:pPr>
        <w:pStyle w:val="ListParagraph"/>
        <w:numPr>
          <w:ilvl w:val="0"/>
          <w:numId w:val="32"/>
        </w:numPr>
        <w:tabs>
          <w:tab w:pos="1170" w:val="left" w:leader="none"/>
        </w:tabs>
        <w:spacing w:line="240" w:lineRule="auto" w:before="0" w:after="0"/>
        <w:ind w:left="1169" w:right="0" w:hanging="530"/>
        <w:jc w:val="left"/>
        <w:rPr>
          <w:sz w:val="21"/>
        </w:rPr>
      </w:pPr>
      <w:r>
        <w:rPr>
          <w:spacing w:val="-12"/>
          <w:sz w:val="21"/>
        </w:rPr>
        <w:t>自基金合同生效之日起，基金管理人依照法律法规和基金合同独立管理基金财产。</w:t>
      </w:r>
    </w:p>
    <w:p>
      <w:pPr>
        <w:pStyle w:val="BodyText"/>
        <w:spacing w:before="7"/>
        <w:ind w:left="0"/>
        <w:rPr>
          <w:sz w:val="15"/>
        </w:rPr>
      </w:pPr>
    </w:p>
    <w:p>
      <w:pPr>
        <w:pStyle w:val="ListParagraph"/>
        <w:numPr>
          <w:ilvl w:val="0"/>
          <w:numId w:val="32"/>
        </w:numPr>
        <w:tabs>
          <w:tab w:pos="1170" w:val="left" w:leader="none"/>
        </w:tabs>
        <w:spacing w:line="417" w:lineRule="auto" w:before="0" w:after="0"/>
        <w:ind w:left="220" w:right="986" w:firstLine="419"/>
        <w:jc w:val="both"/>
        <w:rPr>
          <w:sz w:val="21"/>
        </w:rPr>
      </w:pPr>
      <w:r>
        <w:rPr>
          <w:spacing w:val="-5"/>
          <w:sz w:val="21"/>
        </w:rPr>
        <w:t>根据法律法规和基金合同的规定决定本基金的相关费率结构和收费方式，获得 </w:t>
      </w:r>
      <w:r>
        <w:rPr>
          <w:spacing w:val="-3"/>
          <w:sz w:val="21"/>
        </w:rPr>
        <w:t>基金管理人报酬，收取认购费、申购费、基金赎回手续费及其他事先批准或公告的合理费用以及法律法规规定的其他费用。</w:t>
      </w:r>
    </w:p>
    <w:p>
      <w:pPr>
        <w:pStyle w:val="ListParagraph"/>
        <w:numPr>
          <w:ilvl w:val="0"/>
          <w:numId w:val="32"/>
        </w:numPr>
        <w:tabs>
          <w:tab w:pos="1170" w:val="left" w:leader="none"/>
        </w:tabs>
        <w:spacing w:line="240" w:lineRule="auto" w:before="0" w:after="0"/>
        <w:ind w:left="1169" w:right="3826" w:hanging="1170"/>
        <w:jc w:val="right"/>
        <w:rPr>
          <w:sz w:val="21"/>
        </w:rPr>
      </w:pPr>
      <w:r>
        <w:rPr>
          <w:spacing w:val="-3"/>
          <w:sz w:val="21"/>
        </w:rPr>
        <w:t>根据法律法规和基金合同之规定销售基金份额。</w:t>
      </w:r>
    </w:p>
    <w:p>
      <w:pPr>
        <w:pStyle w:val="BodyText"/>
        <w:spacing w:before="7"/>
        <w:ind w:left="0"/>
        <w:rPr>
          <w:sz w:val="15"/>
        </w:rPr>
      </w:pPr>
    </w:p>
    <w:p>
      <w:pPr>
        <w:pStyle w:val="ListParagraph"/>
        <w:numPr>
          <w:ilvl w:val="0"/>
          <w:numId w:val="32"/>
        </w:numPr>
        <w:tabs>
          <w:tab w:pos="1167" w:val="left" w:leader="none"/>
        </w:tabs>
        <w:spacing w:line="417" w:lineRule="auto" w:before="0" w:after="0"/>
        <w:ind w:left="220" w:right="986" w:firstLine="419"/>
        <w:jc w:val="both"/>
        <w:rPr>
          <w:sz w:val="21"/>
        </w:rPr>
      </w:pPr>
      <w:r>
        <w:rPr>
          <w:spacing w:val="-8"/>
          <w:sz w:val="21"/>
        </w:rPr>
        <w:t>在本基金合同的有效期内，在不违反公平、合理原则以及不妨碍基金托管人遵 </w:t>
      </w:r>
      <w:r>
        <w:rPr>
          <w:spacing w:val="-6"/>
          <w:sz w:val="21"/>
        </w:rPr>
        <w:t>守相关法律法规及其行业监管要求的基础上，基金管理人有权对基金托管人履行本基金合</w:t>
      </w:r>
      <w:r>
        <w:rPr>
          <w:spacing w:val="-3"/>
          <w:sz w:val="21"/>
        </w:rPr>
        <w:t>同的情况进行必要的监督。如认为基金托管人违反了法律法规或基金合同规定对基金财产、其他基金合同当事人的利益造成重大损失的，应及时呈报中国证监会和中国银监会，以及采取其他必要措施以保护本基金及相关基金合同当事人的利益。</w:t>
      </w:r>
    </w:p>
    <w:p>
      <w:pPr>
        <w:pStyle w:val="ListParagraph"/>
        <w:numPr>
          <w:ilvl w:val="0"/>
          <w:numId w:val="32"/>
        </w:numPr>
        <w:tabs>
          <w:tab w:pos="1167" w:val="left" w:leader="none"/>
        </w:tabs>
        <w:spacing w:line="417" w:lineRule="auto" w:before="0" w:after="0"/>
        <w:ind w:left="220" w:right="986" w:firstLine="419"/>
        <w:jc w:val="left"/>
        <w:rPr>
          <w:sz w:val="21"/>
        </w:rPr>
      </w:pPr>
      <w:r>
        <w:rPr>
          <w:spacing w:val="-3"/>
          <w:sz w:val="21"/>
        </w:rPr>
        <w:t>根据基金合同的规定选择适当的基金代销机构并有权依照代销协议对基金代销机构行为进行必要的监督和检查。</w:t>
      </w:r>
    </w:p>
    <w:p>
      <w:pPr>
        <w:spacing w:after="0" w:line="417" w:lineRule="auto"/>
        <w:jc w:val="left"/>
        <w:rPr>
          <w:sz w:val="21"/>
        </w:rPr>
        <w:sectPr>
          <w:pgSz w:w="11910" w:h="16840"/>
          <w:pgMar w:header="705" w:footer="683" w:top="1420" w:bottom="880" w:left="1580" w:right="920"/>
        </w:sectPr>
      </w:pPr>
    </w:p>
    <w:p>
      <w:pPr>
        <w:pStyle w:val="ListParagraph"/>
        <w:numPr>
          <w:ilvl w:val="0"/>
          <w:numId w:val="32"/>
        </w:numPr>
        <w:tabs>
          <w:tab w:pos="1167" w:val="left" w:leader="none"/>
        </w:tabs>
        <w:spacing w:line="417" w:lineRule="auto" w:before="110" w:after="0"/>
        <w:ind w:left="220" w:right="988" w:firstLine="419"/>
        <w:jc w:val="left"/>
        <w:rPr>
          <w:sz w:val="21"/>
        </w:rPr>
      </w:pPr>
      <w:r>
        <w:rPr>
          <w:spacing w:val="-6"/>
          <w:sz w:val="21"/>
        </w:rPr>
        <w:t>自行担任基金登记结算机构或选择、更换基金登记结算代理机构，办理基金登 </w:t>
      </w:r>
      <w:r>
        <w:rPr>
          <w:spacing w:val="-3"/>
          <w:sz w:val="21"/>
        </w:rPr>
        <w:t>记结算业务，并按照基金合同规定对基金登记结算代理机构进行必要的监督和检查。</w:t>
      </w:r>
    </w:p>
    <w:p>
      <w:pPr>
        <w:pStyle w:val="ListParagraph"/>
        <w:numPr>
          <w:ilvl w:val="0"/>
          <w:numId w:val="32"/>
        </w:numPr>
        <w:tabs>
          <w:tab w:pos="1170" w:val="left" w:leader="none"/>
        </w:tabs>
        <w:spacing w:line="269" w:lineRule="exact" w:before="0" w:after="0"/>
        <w:ind w:left="1169" w:right="0" w:hanging="530"/>
        <w:jc w:val="left"/>
        <w:rPr>
          <w:sz w:val="21"/>
        </w:rPr>
      </w:pPr>
      <w:r>
        <w:rPr>
          <w:spacing w:val="-3"/>
          <w:sz w:val="21"/>
        </w:rPr>
        <w:t>在基金合同约定的范围内，拒绝或暂停受理申购和赎回的申请。</w:t>
      </w:r>
    </w:p>
    <w:p>
      <w:pPr>
        <w:pStyle w:val="BodyText"/>
        <w:spacing w:before="6"/>
        <w:ind w:left="0"/>
        <w:rPr>
          <w:sz w:val="15"/>
        </w:rPr>
      </w:pPr>
    </w:p>
    <w:p>
      <w:pPr>
        <w:pStyle w:val="ListParagraph"/>
        <w:numPr>
          <w:ilvl w:val="0"/>
          <w:numId w:val="32"/>
        </w:numPr>
        <w:tabs>
          <w:tab w:pos="1275" w:val="left" w:leader="none"/>
        </w:tabs>
        <w:spacing w:line="417" w:lineRule="auto" w:before="0" w:after="0"/>
        <w:ind w:left="220" w:right="986" w:firstLine="419"/>
        <w:jc w:val="left"/>
        <w:rPr>
          <w:sz w:val="21"/>
        </w:rPr>
      </w:pPr>
      <w:r>
        <w:rPr>
          <w:spacing w:val="-3"/>
          <w:sz w:val="21"/>
        </w:rPr>
        <w:t>在法律法规允许的前提下，为基金份额持有人的利益依法为基金申请和办理融资、融券、转融通等相关业务。</w:t>
      </w:r>
    </w:p>
    <w:p>
      <w:pPr>
        <w:pStyle w:val="ListParagraph"/>
        <w:numPr>
          <w:ilvl w:val="0"/>
          <w:numId w:val="32"/>
        </w:numPr>
        <w:tabs>
          <w:tab w:pos="1266" w:val="left" w:leader="none"/>
        </w:tabs>
        <w:spacing w:line="269" w:lineRule="exact" w:before="0" w:after="0"/>
        <w:ind w:left="1265" w:right="0" w:hanging="626"/>
        <w:jc w:val="left"/>
        <w:rPr>
          <w:sz w:val="21"/>
        </w:rPr>
      </w:pPr>
      <w:r>
        <w:rPr>
          <w:spacing w:val="-3"/>
          <w:sz w:val="21"/>
        </w:rPr>
        <w:t>依据法律法规和基金合同的规定，制订基金收益的分配方案。</w:t>
      </w:r>
    </w:p>
    <w:p>
      <w:pPr>
        <w:pStyle w:val="BodyText"/>
        <w:spacing w:before="7"/>
        <w:ind w:left="0"/>
        <w:rPr>
          <w:sz w:val="15"/>
        </w:rPr>
      </w:pPr>
    </w:p>
    <w:p>
      <w:pPr>
        <w:pStyle w:val="ListParagraph"/>
        <w:numPr>
          <w:ilvl w:val="0"/>
          <w:numId w:val="32"/>
        </w:numPr>
        <w:tabs>
          <w:tab w:pos="1275" w:val="left" w:leader="none"/>
        </w:tabs>
        <w:spacing w:line="240" w:lineRule="auto" w:before="0" w:after="0"/>
        <w:ind w:left="1275" w:right="0" w:hanging="635"/>
        <w:jc w:val="left"/>
        <w:rPr>
          <w:sz w:val="21"/>
        </w:rPr>
      </w:pPr>
      <w:r>
        <w:rPr>
          <w:spacing w:val="-3"/>
          <w:sz w:val="21"/>
        </w:rPr>
        <w:t>在基金托管人职责终止时，提名新的基金托管人。</w:t>
      </w:r>
    </w:p>
    <w:p>
      <w:pPr>
        <w:pStyle w:val="BodyText"/>
        <w:spacing w:before="7"/>
        <w:ind w:left="0"/>
        <w:rPr>
          <w:sz w:val="15"/>
        </w:rPr>
      </w:pPr>
    </w:p>
    <w:p>
      <w:pPr>
        <w:pStyle w:val="ListParagraph"/>
        <w:numPr>
          <w:ilvl w:val="0"/>
          <w:numId w:val="32"/>
        </w:numPr>
        <w:tabs>
          <w:tab w:pos="1275" w:val="left" w:leader="none"/>
        </w:tabs>
        <w:spacing w:line="240" w:lineRule="auto" w:before="1" w:after="0"/>
        <w:ind w:left="1275" w:right="0" w:hanging="635"/>
        <w:jc w:val="left"/>
        <w:rPr>
          <w:sz w:val="21"/>
        </w:rPr>
      </w:pPr>
      <w:r>
        <w:rPr>
          <w:spacing w:val="-3"/>
          <w:sz w:val="21"/>
        </w:rPr>
        <w:t>依据法律法规和基金合同的规定，召集基金份额持有人大会。</w:t>
      </w:r>
    </w:p>
    <w:p>
      <w:pPr>
        <w:pStyle w:val="BodyText"/>
        <w:spacing w:before="6"/>
        <w:ind w:left="0"/>
        <w:rPr>
          <w:sz w:val="15"/>
        </w:rPr>
      </w:pPr>
    </w:p>
    <w:p>
      <w:pPr>
        <w:pStyle w:val="ListParagraph"/>
        <w:numPr>
          <w:ilvl w:val="0"/>
          <w:numId w:val="32"/>
        </w:numPr>
        <w:tabs>
          <w:tab w:pos="1275" w:val="left" w:leader="none"/>
        </w:tabs>
        <w:spacing w:line="240" w:lineRule="auto" w:before="0" w:after="0"/>
        <w:ind w:left="1275" w:right="0" w:hanging="635"/>
        <w:jc w:val="left"/>
        <w:rPr>
          <w:sz w:val="21"/>
        </w:rPr>
      </w:pPr>
      <w:r>
        <w:rPr>
          <w:spacing w:val="-3"/>
          <w:sz w:val="21"/>
        </w:rPr>
        <w:t>依照有关规定行使因基金财产投资于证券所产生的权利。</w:t>
      </w:r>
    </w:p>
    <w:p>
      <w:pPr>
        <w:pStyle w:val="BodyText"/>
        <w:spacing w:before="7"/>
        <w:ind w:left="0"/>
        <w:rPr>
          <w:sz w:val="15"/>
        </w:rPr>
      </w:pPr>
    </w:p>
    <w:p>
      <w:pPr>
        <w:pStyle w:val="ListParagraph"/>
        <w:numPr>
          <w:ilvl w:val="0"/>
          <w:numId w:val="32"/>
        </w:numPr>
        <w:tabs>
          <w:tab w:pos="1275" w:val="left" w:leader="none"/>
        </w:tabs>
        <w:spacing w:line="417" w:lineRule="auto" w:before="0" w:after="0"/>
        <w:ind w:left="220" w:right="986" w:firstLine="419"/>
        <w:jc w:val="left"/>
        <w:rPr>
          <w:sz w:val="21"/>
        </w:rPr>
      </w:pPr>
      <w:r>
        <w:rPr>
          <w:spacing w:val="-3"/>
          <w:sz w:val="21"/>
        </w:rPr>
        <w:t>选择、更换律师、审计师、证券经纪商或其他为基金提供服务的外部机构并确定有关费率。</w:t>
      </w:r>
    </w:p>
    <w:p>
      <w:pPr>
        <w:pStyle w:val="ListParagraph"/>
        <w:numPr>
          <w:ilvl w:val="0"/>
          <w:numId w:val="32"/>
        </w:numPr>
        <w:tabs>
          <w:tab w:pos="1275" w:val="left" w:leader="none"/>
        </w:tabs>
        <w:spacing w:line="417" w:lineRule="auto" w:before="0" w:after="0"/>
        <w:ind w:left="220" w:right="986" w:firstLine="419"/>
        <w:jc w:val="left"/>
        <w:rPr>
          <w:sz w:val="21"/>
        </w:rPr>
      </w:pPr>
      <w:r>
        <w:rPr>
          <w:spacing w:val="-3"/>
          <w:sz w:val="21"/>
        </w:rPr>
        <w:t>根据法律法规和基金合同的规定，制订、修改并公布有关基金募集、认购、申购、赎回、转托管、基金转换、非交易过户、冻结、收益分配等方面的业务规则。</w:t>
      </w:r>
    </w:p>
    <w:p>
      <w:pPr>
        <w:pStyle w:val="ListParagraph"/>
        <w:numPr>
          <w:ilvl w:val="0"/>
          <w:numId w:val="32"/>
        </w:numPr>
        <w:tabs>
          <w:tab w:pos="1275" w:val="left" w:leader="none"/>
        </w:tabs>
        <w:spacing w:line="269" w:lineRule="exact" w:before="0" w:after="0"/>
        <w:ind w:left="1275" w:right="0" w:hanging="635"/>
        <w:jc w:val="left"/>
        <w:rPr>
          <w:sz w:val="21"/>
        </w:rPr>
      </w:pPr>
      <w:r>
        <w:rPr>
          <w:spacing w:val="-3"/>
          <w:sz w:val="21"/>
        </w:rPr>
        <w:t>选择、更换基金境外投资顾问。</w:t>
      </w:r>
    </w:p>
    <w:p>
      <w:pPr>
        <w:pStyle w:val="BodyText"/>
        <w:spacing w:before="7"/>
        <w:ind w:left="0"/>
        <w:rPr>
          <w:sz w:val="15"/>
        </w:rPr>
      </w:pPr>
    </w:p>
    <w:p>
      <w:pPr>
        <w:pStyle w:val="ListParagraph"/>
        <w:numPr>
          <w:ilvl w:val="0"/>
          <w:numId w:val="32"/>
        </w:numPr>
        <w:tabs>
          <w:tab w:pos="1275" w:val="left" w:leader="none"/>
        </w:tabs>
        <w:spacing w:line="240" w:lineRule="auto" w:before="0" w:after="0"/>
        <w:ind w:left="1275" w:right="0" w:hanging="635"/>
        <w:jc w:val="left"/>
        <w:rPr>
          <w:sz w:val="21"/>
        </w:rPr>
      </w:pPr>
      <w:r>
        <w:rPr>
          <w:spacing w:val="-3"/>
          <w:sz w:val="21"/>
        </w:rPr>
        <w:t>委托第三方机构办理本基金的交易、清算、估值、结算等业务。</w:t>
      </w:r>
    </w:p>
    <w:p>
      <w:pPr>
        <w:pStyle w:val="BodyText"/>
        <w:spacing w:before="6"/>
        <w:ind w:left="0"/>
        <w:rPr>
          <w:sz w:val="15"/>
        </w:rPr>
      </w:pPr>
    </w:p>
    <w:p>
      <w:pPr>
        <w:pStyle w:val="ListParagraph"/>
        <w:numPr>
          <w:ilvl w:val="0"/>
          <w:numId w:val="32"/>
        </w:numPr>
        <w:tabs>
          <w:tab w:pos="1275" w:val="left" w:leader="none"/>
        </w:tabs>
        <w:spacing w:line="240" w:lineRule="auto" w:before="1" w:after="0"/>
        <w:ind w:left="1275" w:right="0" w:hanging="635"/>
        <w:jc w:val="left"/>
        <w:rPr>
          <w:sz w:val="21"/>
        </w:rPr>
      </w:pPr>
      <w:r>
        <w:rPr>
          <w:spacing w:val="-3"/>
          <w:sz w:val="21"/>
        </w:rPr>
        <w:t>法律法规、基金合同规定的其他权利。</w:t>
      </w:r>
    </w:p>
    <w:p>
      <w:pPr>
        <w:pStyle w:val="BodyText"/>
        <w:spacing w:before="6"/>
        <w:ind w:left="0"/>
        <w:rPr>
          <w:sz w:val="15"/>
        </w:rPr>
      </w:pPr>
    </w:p>
    <w:p>
      <w:pPr>
        <w:pStyle w:val="BodyText"/>
      </w:pPr>
      <w:r>
        <w:rPr>
          <w:rFonts w:ascii="Times New Roman" w:eastAsia="Times New Roman"/>
        </w:rPr>
        <w:t>3</w:t>
      </w:r>
      <w:r>
        <w:rPr/>
        <w:t>、基金管理人的义务</w:t>
      </w:r>
    </w:p>
    <w:p>
      <w:pPr>
        <w:pStyle w:val="BodyText"/>
        <w:spacing w:before="7"/>
        <w:ind w:left="0"/>
        <w:rPr>
          <w:sz w:val="15"/>
        </w:rPr>
      </w:pPr>
    </w:p>
    <w:p>
      <w:pPr>
        <w:pStyle w:val="ListParagraph"/>
        <w:numPr>
          <w:ilvl w:val="0"/>
          <w:numId w:val="33"/>
        </w:numPr>
        <w:tabs>
          <w:tab w:pos="1170" w:val="left" w:leader="none"/>
        </w:tabs>
        <w:spacing w:line="417" w:lineRule="auto" w:before="0" w:after="0"/>
        <w:ind w:left="220" w:right="986" w:firstLine="419"/>
        <w:jc w:val="left"/>
        <w:rPr>
          <w:sz w:val="21"/>
        </w:rPr>
      </w:pPr>
      <w:r>
        <w:rPr>
          <w:spacing w:val="-9"/>
          <w:sz w:val="21"/>
        </w:rPr>
        <w:t>依法募集基金，办理或者委托经中国证监会认定的其他机构代为办理基金份额 </w:t>
      </w:r>
      <w:r>
        <w:rPr>
          <w:spacing w:val="-3"/>
          <w:sz w:val="21"/>
        </w:rPr>
        <w:t>的发售、申购、赎回和登记事宜。</w:t>
      </w:r>
    </w:p>
    <w:p>
      <w:pPr>
        <w:pStyle w:val="ListParagraph"/>
        <w:numPr>
          <w:ilvl w:val="0"/>
          <w:numId w:val="33"/>
        </w:numPr>
        <w:tabs>
          <w:tab w:pos="1170" w:val="left" w:leader="none"/>
        </w:tabs>
        <w:spacing w:line="269" w:lineRule="exact" w:before="0" w:after="0"/>
        <w:ind w:left="1169" w:right="0" w:hanging="530"/>
        <w:jc w:val="left"/>
        <w:rPr>
          <w:sz w:val="21"/>
        </w:rPr>
      </w:pPr>
      <w:r>
        <w:rPr>
          <w:spacing w:val="-3"/>
          <w:sz w:val="21"/>
        </w:rPr>
        <w:t>自基金合同生效之日起，以诚实信用、勤勉尽责的原则管理和运用基金财产。</w:t>
      </w:r>
    </w:p>
    <w:p>
      <w:pPr>
        <w:pStyle w:val="BodyText"/>
        <w:spacing w:before="7"/>
        <w:ind w:left="0"/>
        <w:rPr>
          <w:sz w:val="15"/>
        </w:rPr>
      </w:pPr>
    </w:p>
    <w:p>
      <w:pPr>
        <w:pStyle w:val="ListParagraph"/>
        <w:numPr>
          <w:ilvl w:val="0"/>
          <w:numId w:val="33"/>
        </w:numPr>
        <w:tabs>
          <w:tab w:pos="1170" w:val="left" w:leader="none"/>
        </w:tabs>
        <w:spacing w:line="240" w:lineRule="auto" w:before="0" w:after="0"/>
        <w:ind w:left="1169" w:right="0" w:hanging="530"/>
        <w:jc w:val="left"/>
        <w:rPr>
          <w:sz w:val="21"/>
        </w:rPr>
      </w:pPr>
      <w:r>
        <w:rPr>
          <w:spacing w:val="-3"/>
          <w:sz w:val="21"/>
        </w:rPr>
        <w:t>办理基金备案手续。</w:t>
      </w:r>
    </w:p>
    <w:p>
      <w:pPr>
        <w:pStyle w:val="BodyText"/>
        <w:spacing w:before="7"/>
        <w:ind w:left="0"/>
        <w:rPr>
          <w:sz w:val="15"/>
        </w:rPr>
      </w:pPr>
    </w:p>
    <w:p>
      <w:pPr>
        <w:pStyle w:val="ListParagraph"/>
        <w:numPr>
          <w:ilvl w:val="0"/>
          <w:numId w:val="33"/>
        </w:numPr>
        <w:tabs>
          <w:tab w:pos="1167" w:val="left" w:leader="none"/>
        </w:tabs>
        <w:spacing w:line="417" w:lineRule="auto" w:before="0" w:after="0"/>
        <w:ind w:left="220" w:right="986" w:firstLine="419"/>
        <w:jc w:val="left"/>
        <w:rPr>
          <w:sz w:val="21"/>
        </w:rPr>
      </w:pPr>
      <w:r>
        <w:rPr>
          <w:spacing w:val="-7"/>
          <w:sz w:val="21"/>
        </w:rPr>
        <w:t>配备足够的具有专业资格的人员进行基金投资分析、决策，以专业化的经营方 </w:t>
      </w:r>
      <w:r>
        <w:rPr>
          <w:spacing w:val="-5"/>
          <w:sz w:val="21"/>
        </w:rPr>
        <w:t>式管理和运作基金财产。</w:t>
      </w:r>
    </w:p>
    <w:p>
      <w:pPr>
        <w:pStyle w:val="ListParagraph"/>
        <w:numPr>
          <w:ilvl w:val="0"/>
          <w:numId w:val="33"/>
        </w:numPr>
        <w:tabs>
          <w:tab w:pos="1170" w:val="left" w:leader="none"/>
        </w:tabs>
        <w:spacing w:line="417" w:lineRule="auto" w:before="0" w:after="0"/>
        <w:ind w:left="220" w:right="986" w:firstLine="419"/>
        <w:jc w:val="both"/>
        <w:rPr>
          <w:sz w:val="21"/>
        </w:rPr>
      </w:pPr>
      <w:r>
        <w:rPr>
          <w:spacing w:val="-9"/>
          <w:sz w:val="21"/>
        </w:rPr>
        <w:t>建立健全内部风险控制、监察与稽核、财务管理及人事管理等制度，保证所管 </w:t>
      </w:r>
      <w:r>
        <w:rPr>
          <w:spacing w:val="-3"/>
          <w:sz w:val="21"/>
        </w:rPr>
        <w:t>理的基金财产和基金管理人的财产相互独立，对所管理的不同基金分别管理、分别记账， </w:t>
      </w:r>
      <w:r>
        <w:rPr>
          <w:spacing w:val="-2"/>
          <w:sz w:val="21"/>
        </w:rPr>
        <w:t>进行证券投资。</w:t>
      </w:r>
    </w:p>
    <w:p>
      <w:pPr>
        <w:pStyle w:val="ListParagraph"/>
        <w:numPr>
          <w:ilvl w:val="0"/>
          <w:numId w:val="33"/>
        </w:numPr>
        <w:tabs>
          <w:tab w:pos="1170" w:val="left" w:leader="none"/>
        </w:tabs>
        <w:spacing w:line="269" w:lineRule="exact" w:before="0" w:after="0"/>
        <w:ind w:left="1169" w:right="0" w:hanging="530"/>
        <w:jc w:val="left"/>
        <w:rPr>
          <w:sz w:val="21"/>
        </w:rPr>
      </w:pPr>
      <w:r>
        <w:rPr>
          <w:spacing w:val="-9"/>
          <w:sz w:val="21"/>
        </w:rPr>
        <w:t>按基金合同的约定确定基金收益分配方案，及时向基金份额持有人分配基金收益。</w:t>
      </w:r>
    </w:p>
    <w:p>
      <w:pPr>
        <w:pStyle w:val="BodyText"/>
        <w:spacing w:before="6"/>
        <w:ind w:left="0"/>
        <w:rPr>
          <w:sz w:val="15"/>
        </w:rPr>
      </w:pPr>
    </w:p>
    <w:p>
      <w:pPr>
        <w:pStyle w:val="ListParagraph"/>
        <w:numPr>
          <w:ilvl w:val="0"/>
          <w:numId w:val="33"/>
        </w:numPr>
        <w:tabs>
          <w:tab w:pos="1170" w:val="left" w:leader="none"/>
        </w:tabs>
        <w:spacing w:line="417" w:lineRule="auto" w:before="1" w:after="0"/>
        <w:ind w:left="220" w:right="986" w:firstLine="419"/>
        <w:jc w:val="left"/>
        <w:rPr>
          <w:sz w:val="21"/>
        </w:rPr>
      </w:pPr>
      <w:r>
        <w:rPr>
          <w:spacing w:val="-12"/>
          <w:sz w:val="21"/>
        </w:rPr>
        <w:t>除依据《基金法》、基金合同及其他有关规定外，不得为自己及任何第三人谋取</w:t>
      </w:r>
      <w:r>
        <w:rPr>
          <w:spacing w:val="-6"/>
          <w:sz w:val="21"/>
        </w:rPr>
        <w:t>利益，不得委托第三人运作基金财产。</w:t>
      </w:r>
    </w:p>
    <w:p>
      <w:pPr>
        <w:pStyle w:val="ListParagraph"/>
        <w:numPr>
          <w:ilvl w:val="0"/>
          <w:numId w:val="33"/>
        </w:numPr>
        <w:tabs>
          <w:tab w:pos="1170" w:val="left" w:leader="none"/>
        </w:tabs>
        <w:spacing w:line="240" w:lineRule="auto" w:before="0" w:after="0"/>
        <w:ind w:left="1169" w:right="0" w:hanging="530"/>
        <w:jc w:val="left"/>
        <w:rPr>
          <w:sz w:val="21"/>
        </w:rPr>
      </w:pPr>
      <w:r>
        <w:rPr>
          <w:spacing w:val="-3"/>
          <w:sz w:val="21"/>
        </w:rPr>
        <w:t>进行基金会计核算并编制基金的财务会计报告。</w:t>
      </w:r>
    </w:p>
    <w:p>
      <w:pPr>
        <w:spacing w:after="0" w:line="240" w:lineRule="auto"/>
        <w:jc w:val="left"/>
        <w:rPr>
          <w:sz w:val="21"/>
        </w:rPr>
        <w:sectPr>
          <w:pgSz w:w="11910" w:h="16840"/>
          <w:pgMar w:header="705" w:footer="683" w:top="1420" w:bottom="880" w:left="1580" w:right="920"/>
        </w:sectPr>
      </w:pPr>
    </w:p>
    <w:p>
      <w:pPr>
        <w:pStyle w:val="ListParagraph"/>
        <w:numPr>
          <w:ilvl w:val="0"/>
          <w:numId w:val="33"/>
        </w:numPr>
        <w:tabs>
          <w:tab w:pos="1170" w:val="left" w:leader="none"/>
        </w:tabs>
        <w:spacing w:line="240" w:lineRule="auto" w:before="110" w:after="0"/>
        <w:ind w:left="1169" w:right="0" w:hanging="530"/>
        <w:jc w:val="left"/>
        <w:rPr>
          <w:sz w:val="21"/>
        </w:rPr>
      </w:pPr>
      <w:r>
        <w:rPr>
          <w:spacing w:val="-3"/>
          <w:sz w:val="21"/>
        </w:rPr>
        <w:t>依法接受基金托管人的监督。</w:t>
      </w:r>
    </w:p>
    <w:p>
      <w:pPr>
        <w:pStyle w:val="BodyText"/>
        <w:spacing w:before="6"/>
        <w:ind w:left="0"/>
        <w:rPr>
          <w:sz w:val="15"/>
        </w:rPr>
      </w:pPr>
    </w:p>
    <w:p>
      <w:pPr>
        <w:pStyle w:val="ListParagraph"/>
        <w:numPr>
          <w:ilvl w:val="0"/>
          <w:numId w:val="33"/>
        </w:numPr>
        <w:tabs>
          <w:tab w:pos="1275" w:val="left" w:leader="none"/>
        </w:tabs>
        <w:spacing w:line="240" w:lineRule="auto" w:before="0" w:after="0"/>
        <w:ind w:left="1275" w:right="0" w:hanging="635"/>
        <w:jc w:val="left"/>
        <w:rPr>
          <w:sz w:val="21"/>
        </w:rPr>
      </w:pPr>
      <w:r>
        <w:rPr>
          <w:spacing w:val="-3"/>
          <w:sz w:val="21"/>
        </w:rPr>
        <w:t>编制季报、中期报告和年度基金报告。</w:t>
      </w:r>
    </w:p>
    <w:p>
      <w:pPr>
        <w:pStyle w:val="BodyText"/>
        <w:spacing w:before="7"/>
        <w:ind w:left="0"/>
        <w:rPr>
          <w:sz w:val="15"/>
        </w:rPr>
      </w:pPr>
    </w:p>
    <w:p>
      <w:pPr>
        <w:pStyle w:val="ListParagraph"/>
        <w:numPr>
          <w:ilvl w:val="0"/>
          <w:numId w:val="33"/>
        </w:numPr>
        <w:tabs>
          <w:tab w:pos="1268" w:val="left" w:leader="none"/>
        </w:tabs>
        <w:spacing w:line="417" w:lineRule="auto" w:before="0" w:after="0"/>
        <w:ind w:left="220" w:right="989" w:firstLine="419"/>
        <w:jc w:val="left"/>
        <w:rPr>
          <w:sz w:val="21"/>
        </w:rPr>
      </w:pPr>
      <w:r>
        <w:rPr>
          <w:spacing w:val="-3"/>
          <w:sz w:val="21"/>
        </w:rPr>
        <w:t>采取适当合理的措施使计算开放式基金份额认购、申购、赎回和注销价格的方法符合基金合同等法律文件的规定。</w:t>
      </w:r>
    </w:p>
    <w:p>
      <w:pPr>
        <w:pStyle w:val="ListParagraph"/>
        <w:numPr>
          <w:ilvl w:val="0"/>
          <w:numId w:val="33"/>
        </w:numPr>
        <w:tabs>
          <w:tab w:pos="1275" w:val="left" w:leader="none"/>
        </w:tabs>
        <w:spacing w:line="269" w:lineRule="exact" w:before="0" w:after="0"/>
        <w:ind w:left="1275" w:right="0" w:hanging="635"/>
        <w:jc w:val="left"/>
        <w:rPr>
          <w:sz w:val="21"/>
        </w:rPr>
      </w:pPr>
      <w:r>
        <w:rPr>
          <w:spacing w:val="-3"/>
          <w:sz w:val="21"/>
        </w:rPr>
        <w:t>计算并公告基金净值信息，确定基金份额申购、赎回价格。</w:t>
      </w:r>
    </w:p>
    <w:p>
      <w:pPr>
        <w:pStyle w:val="BodyText"/>
        <w:spacing w:before="7"/>
        <w:ind w:left="0"/>
        <w:rPr>
          <w:sz w:val="15"/>
        </w:rPr>
      </w:pPr>
    </w:p>
    <w:p>
      <w:pPr>
        <w:pStyle w:val="ListParagraph"/>
        <w:numPr>
          <w:ilvl w:val="0"/>
          <w:numId w:val="33"/>
        </w:numPr>
        <w:tabs>
          <w:tab w:pos="1275" w:val="left" w:leader="none"/>
        </w:tabs>
        <w:spacing w:line="240" w:lineRule="auto" w:before="0" w:after="0"/>
        <w:ind w:left="1275" w:right="0" w:hanging="635"/>
        <w:jc w:val="left"/>
        <w:rPr>
          <w:sz w:val="21"/>
        </w:rPr>
      </w:pPr>
      <w:r>
        <w:rPr>
          <w:spacing w:val="-12"/>
          <w:sz w:val="21"/>
        </w:rPr>
        <w:t>严格按照《基金法》、基金合同及其他有关规定，履行信息披露及报告义务。</w:t>
      </w:r>
    </w:p>
    <w:p>
      <w:pPr>
        <w:pStyle w:val="BodyText"/>
        <w:spacing w:before="7"/>
        <w:ind w:left="0"/>
        <w:rPr>
          <w:sz w:val="15"/>
        </w:rPr>
      </w:pPr>
    </w:p>
    <w:p>
      <w:pPr>
        <w:pStyle w:val="ListParagraph"/>
        <w:numPr>
          <w:ilvl w:val="0"/>
          <w:numId w:val="33"/>
        </w:numPr>
        <w:tabs>
          <w:tab w:pos="1275" w:val="left" w:leader="none"/>
        </w:tabs>
        <w:spacing w:line="417" w:lineRule="auto" w:before="0" w:after="0"/>
        <w:ind w:left="220" w:right="986" w:firstLine="419"/>
        <w:jc w:val="left"/>
        <w:rPr>
          <w:sz w:val="21"/>
        </w:rPr>
      </w:pPr>
      <w:r>
        <w:rPr>
          <w:spacing w:val="-3"/>
          <w:sz w:val="21"/>
        </w:rPr>
        <w:t>保守基金商业秘密，不泄露基金投资计划、投资意向等。除基金法、基金合同及其他有关规定另有规定外，在基金信息公开披露前应予以保密，不得向他人泄露。</w:t>
      </w:r>
    </w:p>
    <w:p>
      <w:pPr>
        <w:pStyle w:val="ListParagraph"/>
        <w:numPr>
          <w:ilvl w:val="0"/>
          <w:numId w:val="33"/>
        </w:numPr>
        <w:tabs>
          <w:tab w:pos="1275" w:val="left" w:leader="none"/>
        </w:tabs>
        <w:spacing w:line="240" w:lineRule="auto" w:before="0" w:after="0"/>
        <w:ind w:left="1275" w:right="0" w:hanging="635"/>
        <w:jc w:val="left"/>
        <w:rPr>
          <w:sz w:val="21"/>
        </w:rPr>
      </w:pPr>
      <w:r>
        <w:rPr>
          <w:spacing w:val="-3"/>
          <w:sz w:val="21"/>
        </w:rPr>
        <w:t>按规定受理申购和赎回申请，及时、足额支付赎回款项。</w:t>
      </w:r>
    </w:p>
    <w:p>
      <w:pPr>
        <w:pStyle w:val="BodyText"/>
        <w:spacing w:before="7"/>
        <w:ind w:left="0"/>
        <w:rPr>
          <w:sz w:val="15"/>
        </w:rPr>
      </w:pPr>
    </w:p>
    <w:p>
      <w:pPr>
        <w:pStyle w:val="ListParagraph"/>
        <w:numPr>
          <w:ilvl w:val="0"/>
          <w:numId w:val="33"/>
        </w:numPr>
        <w:tabs>
          <w:tab w:pos="1275" w:val="left" w:leader="none"/>
        </w:tabs>
        <w:spacing w:line="417" w:lineRule="auto" w:before="0" w:after="0"/>
        <w:ind w:left="220" w:right="986" w:firstLine="419"/>
        <w:jc w:val="left"/>
        <w:rPr>
          <w:sz w:val="21"/>
        </w:rPr>
      </w:pPr>
      <w:r>
        <w:rPr>
          <w:spacing w:val="-3"/>
          <w:sz w:val="21"/>
        </w:rPr>
        <w:t>保存基金财产管理业务活动的记录、账册、报表、代表基金签订的重大合同和其他相关资料。</w:t>
      </w:r>
    </w:p>
    <w:p>
      <w:pPr>
        <w:pStyle w:val="ListParagraph"/>
        <w:numPr>
          <w:ilvl w:val="0"/>
          <w:numId w:val="33"/>
        </w:numPr>
        <w:tabs>
          <w:tab w:pos="1273" w:val="left" w:leader="none"/>
        </w:tabs>
        <w:spacing w:line="417" w:lineRule="auto" w:before="0" w:after="0"/>
        <w:ind w:left="220" w:right="986" w:firstLine="419"/>
        <w:jc w:val="left"/>
        <w:rPr>
          <w:sz w:val="21"/>
        </w:rPr>
      </w:pPr>
      <w:r>
        <w:rPr>
          <w:spacing w:val="-16"/>
          <w:sz w:val="21"/>
        </w:rPr>
        <w:t>依据《基金法》、基金合同及其他有关规定召集基金份额持有人大会或配合基 </w:t>
      </w:r>
      <w:r>
        <w:rPr>
          <w:spacing w:val="-3"/>
          <w:sz w:val="21"/>
        </w:rPr>
        <w:t>金托管人、基金份额持有人依法召集基金份额持有人大会。</w:t>
      </w:r>
    </w:p>
    <w:p>
      <w:pPr>
        <w:pStyle w:val="ListParagraph"/>
        <w:numPr>
          <w:ilvl w:val="0"/>
          <w:numId w:val="33"/>
        </w:numPr>
        <w:tabs>
          <w:tab w:pos="1275" w:val="left" w:leader="none"/>
        </w:tabs>
        <w:spacing w:line="417" w:lineRule="auto" w:before="0" w:after="0"/>
        <w:ind w:left="220" w:right="986" w:firstLine="419"/>
        <w:jc w:val="left"/>
        <w:rPr>
          <w:sz w:val="21"/>
        </w:rPr>
      </w:pPr>
      <w:r>
        <w:rPr>
          <w:spacing w:val="-3"/>
          <w:sz w:val="21"/>
        </w:rPr>
        <w:t>以基金管理人名义，代表基金份额持有人利益行使诉讼权利或实施其他法律行为。</w:t>
      </w:r>
    </w:p>
    <w:p>
      <w:pPr>
        <w:pStyle w:val="ListParagraph"/>
        <w:numPr>
          <w:ilvl w:val="0"/>
          <w:numId w:val="33"/>
        </w:numPr>
        <w:tabs>
          <w:tab w:pos="1273" w:val="left" w:leader="none"/>
        </w:tabs>
        <w:spacing w:line="240" w:lineRule="auto" w:before="0" w:after="0"/>
        <w:ind w:left="1272" w:right="0" w:hanging="633"/>
        <w:jc w:val="left"/>
        <w:rPr>
          <w:sz w:val="21"/>
        </w:rPr>
      </w:pPr>
      <w:r>
        <w:rPr>
          <w:spacing w:val="-12"/>
          <w:sz w:val="21"/>
        </w:rPr>
        <w:t>组织并参加基金财产清算组，参与基金财产的保管、清理、估价、变现和分配。</w:t>
      </w:r>
    </w:p>
    <w:p>
      <w:pPr>
        <w:pStyle w:val="BodyText"/>
        <w:spacing w:before="6"/>
        <w:ind w:left="0"/>
        <w:rPr>
          <w:sz w:val="15"/>
        </w:rPr>
      </w:pPr>
    </w:p>
    <w:p>
      <w:pPr>
        <w:pStyle w:val="ListParagraph"/>
        <w:numPr>
          <w:ilvl w:val="0"/>
          <w:numId w:val="33"/>
        </w:numPr>
        <w:tabs>
          <w:tab w:pos="1275" w:val="left" w:leader="none"/>
        </w:tabs>
        <w:spacing w:line="417" w:lineRule="auto" w:before="0" w:after="0"/>
        <w:ind w:left="220" w:right="986" w:firstLine="419"/>
        <w:jc w:val="left"/>
        <w:rPr>
          <w:sz w:val="21"/>
        </w:rPr>
      </w:pPr>
      <w:r>
        <w:rPr>
          <w:spacing w:val="-3"/>
          <w:sz w:val="21"/>
        </w:rPr>
        <w:t>因违反基金合同导致基金财产的损失或损害基金份额持有人的合法权益，应承担赔偿责任，其赔偿责任不因其退任而免除。</w:t>
      </w:r>
    </w:p>
    <w:p>
      <w:pPr>
        <w:pStyle w:val="ListParagraph"/>
        <w:numPr>
          <w:ilvl w:val="0"/>
          <w:numId w:val="33"/>
        </w:numPr>
        <w:tabs>
          <w:tab w:pos="1275" w:val="left" w:leader="none"/>
        </w:tabs>
        <w:spacing w:line="417" w:lineRule="auto" w:before="0" w:after="0"/>
        <w:ind w:left="220" w:right="986" w:firstLine="419"/>
        <w:jc w:val="left"/>
        <w:rPr>
          <w:sz w:val="21"/>
        </w:rPr>
      </w:pPr>
      <w:r>
        <w:rPr>
          <w:spacing w:val="-3"/>
          <w:sz w:val="21"/>
        </w:rPr>
        <w:t>基金托管人违反基金合同造成基金财产损失时，应为基金份额持有人利益向基金托管人追偿。</w:t>
      </w:r>
    </w:p>
    <w:p>
      <w:pPr>
        <w:pStyle w:val="ListParagraph"/>
        <w:numPr>
          <w:ilvl w:val="0"/>
          <w:numId w:val="33"/>
        </w:numPr>
        <w:tabs>
          <w:tab w:pos="1275" w:val="left" w:leader="none"/>
        </w:tabs>
        <w:spacing w:line="269" w:lineRule="exact" w:before="0" w:after="0"/>
        <w:ind w:left="1275" w:right="0" w:hanging="635"/>
        <w:jc w:val="left"/>
        <w:rPr>
          <w:sz w:val="21"/>
        </w:rPr>
      </w:pPr>
      <w:r>
        <w:rPr>
          <w:spacing w:val="-3"/>
          <w:sz w:val="21"/>
        </w:rPr>
        <w:t>法律法规、基金合同规定的其他义务。</w:t>
      </w:r>
    </w:p>
    <w:p>
      <w:pPr>
        <w:pStyle w:val="BodyText"/>
        <w:spacing w:before="7"/>
        <w:ind w:left="0"/>
        <w:rPr>
          <w:sz w:val="15"/>
        </w:rPr>
      </w:pPr>
    </w:p>
    <w:p>
      <w:pPr>
        <w:pStyle w:val="BodyText"/>
      </w:pPr>
      <w:r>
        <w:rPr/>
        <w:t>（二）基金托管人</w:t>
      </w:r>
    </w:p>
    <w:p>
      <w:pPr>
        <w:pStyle w:val="BodyText"/>
        <w:spacing w:before="6"/>
        <w:ind w:left="0"/>
        <w:rPr>
          <w:sz w:val="15"/>
        </w:rPr>
      </w:pPr>
    </w:p>
    <w:p>
      <w:pPr>
        <w:pStyle w:val="BodyText"/>
        <w:spacing w:before="1"/>
      </w:pPr>
      <w:r>
        <w:rPr>
          <w:rFonts w:ascii="Times New Roman" w:eastAsia="Times New Roman"/>
        </w:rPr>
        <w:t>2</w:t>
      </w:r>
      <w:r>
        <w:rPr/>
        <w:t>、基金托管人的权利</w:t>
      </w:r>
    </w:p>
    <w:p>
      <w:pPr>
        <w:pStyle w:val="BodyText"/>
        <w:spacing w:before="6"/>
        <w:ind w:left="0"/>
        <w:rPr>
          <w:sz w:val="15"/>
        </w:rPr>
      </w:pPr>
    </w:p>
    <w:p>
      <w:pPr>
        <w:pStyle w:val="ListParagraph"/>
        <w:numPr>
          <w:ilvl w:val="0"/>
          <w:numId w:val="34"/>
        </w:numPr>
        <w:tabs>
          <w:tab w:pos="1170" w:val="left" w:leader="none"/>
        </w:tabs>
        <w:spacing w:line="240" w:lineRule="auto" w:before="0" w:after="0"/>
        <w:ind w:left="1169" w:right="0" w:hanging="530"/>
        <w:jc w:val="left"/>
        <w:rPr>
          <w:sz w:val="21"/>
        </w:rPr>
      </w:pPr>
      <w:r>
        <w:rPr>
          <w:spacing w:val="-3"/>
          <w:sz w:val="21"/>
        </w:rPr>
        <w:t>依据法律法规和基金合同的规定安全保管基金财产。</w:t>
      </w:r>
    </w:p>
    <w:p>
      <w:pPr>
        <w:pStyle w:val="BodyText"/>
        <w:spacing w:before="7"/>
        <w:ind w:left="0"/>
        <w:rPr>
          <w:sz w:val="15"/>
        </w:rPr>
      </w:pPr>
    </w:p>
    <w:p>
      <w:pPr>
        <w:pStyle w:val="ListParagraph"/>
        <w:numPr>
          <w:ilvl w:val="0"/>
          <w:numId w:val="34"/>
        </w:numPr>
        <w:tabs>
          <w:tab w:pos="1170" w:val="left" w:leader="none"/>
        </w:tabs>
        <w:spacing w:line="240" w:lineRule="auto" w:before="0" w:after="0"/>
        <w:ind w:left="1169" w:right="0" w:hanging="530"/>
        <w:jc w:val="left"/>
        <w:rPr>
          <w:sz w:val="21"/>
        </w:rPr>
      </w:pPr>
      <w:r>
        <w:rPr>
          <w:spacing w:val="-3"/>
          <w:sz w:val="21"/>
        </w:rPr>
        <w:t>依照基金合同的约定获得基金托管费。</w:t>
      </w:r>
    </w:p>
    <w:p>
      <w:pPr>
        <w:pStyle w:val="BodyText"/>
        <w:spacing w:before="7"/>
        <w:ind w:left="0"/>
        <w:rPr>
          <w:sz w:val="15"/>
        </w:rPr>
      </w:pPr>
    </w:p>
    <w:p>
      <w:pPr>
        <w:pStyle w:val="ListParagraph"/>
        <w:numPr>
          <w:ilvl w:val="0"/>
          <w:numId w:val="34"/>
        </w:numPr>
        <w:tabs>
          <w:tab w:pos="1170" w:val="left" w:leader="none"/>
        </w:tabs>
        <w:spacing w:line="240" w:lineRule="auto" w:before="0" w:after="0"/>
        <w:ind w:left="1169" w:right="0" w:hanging="530"/>
        <w:jc w:val="left"/>
        <w:rPr>
          <w:sz w:val="21"/>
        </w:rPr>
      </w:pPr>
      <w:r>
        <w:rPr>
          <w:spacing w:val="-3"/>
          <w:sz w:val="21"/>
        </w:rPr>
        <w:t>监督基金管理人对本基金的投资运作。</w:t>
      </w:r>
    </w:p>
    <w:p>
      <w:pPr>
        <w:pStyle w:val="BodyText"/>
        <w:spacing w:before="6"/>
        <w:ind w:left="0"/>
        <w:rPr>
          <w:sz w:val="15"/>
        </w:rPr>
      </w:pPr>
    </w:p>
    <w:p>
      <w:pPr>
        <w:pStyle w:val="ListParagraph"/>
        <w:numPr>
          <w:ilvl w:val="0"/>
          <w:numId w:val="34"/>
        </w:numPr>
        <w:tabs>
          <w:tab w:pos="1170" w:val="left" w:leader="none"/>
        </w:tabs>
        <w:spacing w:line="240" w:lineRule="auto" w:before="1" w:after="0"/>
        <w:ind w:left="1169" w:right="0" w:hanging="530"/>
        <w:jc w:val="left"/>
        <w:rPr>
          <w:sz w:val="21"/>
        </w:rPr>
      </w:pPr>
      <w:r>
        <w:rPr>
          <w:spacing w:val="-3"/>
          <w:sz w:val="21"/>
        </w:rPr>
        <w:t>在基金管理人职责终止时，提名新的基金管理人。</w:t>
      </w:r>
    </w:p>
    <w:p>
      <w:pPr>
        <w:pStyle w:val="BodyText"/>
        <w:spacing w:before="6"/>
        <w:ind w:left="0"/>
        <w:rPr>
          <w:sz w:val="15"/>
        </w:rPr>
      </w:pPr>
    </w:p>
    <w:p>
      <w:pPr>
        <w:pStyle w:val="ListParagraph"/>
        <w:numPr>
          <w:ilvl w:val="0"/>
          <w:numId w:val="34"/>
        </w:numPr>
        <w:tabs>
          <w:tab w:pos="1170" w:val="left" w:leader="none"/>
        </w:tabs>
        <w:spacing w:line="240" w:lineRule="auto" w:before="0" w:after="0"/>
        <w:ind w:left="1169" w:right="0" w:hanging="530"/>
        <w:jc w:val="left"/>
        <w:rPr>
          <w:sz w:val="21"/>
        </w:rPr>
      </w:pPr>
      <w:r>
        <w:rPr>
          <w:spacing w:val="-3"/>
          <w:sz w:val="21"/>
        </w:rPr>
        <w:t>依据法律法规和基金合同的规定召集基金份额持有人大会。</w:t>
      </w:r>
    </w:p>
    <w:p>
      <w:pPr>
        <w:pStyle w:val="BodyText"/>
        <w:spacing w:before="7"/>
        <w:ind w:left="0"/>
        <w:rPr>
          <w:sz w:val="15"/>
        </w:rPr>
      </w:pPr>
    </w:p>
    <w:p>
      <w:pPr>
        <w:pStyle w:val="ListParagraph"/>
        <w:numPr>
          <w:ilvl w:val="0"/>
          <w:numId w:val="34"/>
        </w:numPr>
        <w:tabs>
          <w:tab w:pos="1170" w:val="left" w:leader="none"/>
        </w:tabs>
        <w:spacing w:line="240" w:lineRule="auto" w:before="1" w:after="0"/>
        <w:ind w:left="1169" w:right="0" w:hanging="530"/>
        <w:jc w:val="left"/>
        <w:rPr>
          <w:sz w:val="21"/>
        </w:rPr>
      </w:pPr>
      <w:r>
        <w:rPr>
          <w:spacing w:val="-3"/>
          <w:sz w:val="21"/>
        </w:rPr>
        <w:t>选择、更换境外资产托管人并与之签署有关协议。</w:t>
      </w:r>
    </w:p>
    <w:p>
      <w:pPr>
        <w:pStyle w:val="BodyText"/>
        <w:spacing w:before="6"/>
        <w:ind w:left="0"/>
        <w:rPr>
          <w:sz w:val="15"/>
        </w:rPr>
      </w:pPr>
    </w:p>
    <w:p>
      <w:pPr>
        <w:pStyle w:val="ListParagraph"/>
        <w:numPr>
          <w:ilvl w:val="0"/>
          <w:numId w:val="34"/>
        </w:numPr>
        <w:tabs>
          <w:tab w:pos="1170" w:val="left" w:leader="none"/>
        </w:tabs>
        <w:spacing w:line="240" w:lineRule="auto" w:before="0" w:after="0"/>
        <w:ind w:left="1169" w:right="0" w:hanging="530"/>
        <w:jc w:val="left"/>
        <w:rPr>
          <w:sz w:val="21"/>
        </w:rPr>
      </w:pPr>
      <w:r>
        <w:rPr>
          <w:spacing w:val="-3"/>
          <w:sz w:val="21"/>
        </w:rPr>
        <w:t>法律法规、基金合同规定的其他权利。</w:t>
      </w:r>
    </w:p>
    <w:p>
      <w:pPr>
        <w:spacing w:after="0" w:line="240" w:lineRule="auto"/>
        <w:jc w:val="left"/>
        <w:rPr>
          <w:sz w:val="21"/>
        </w:rPr>
        <w:sectPr>
          <w:pgSz w:w="11910" w:h="16840"/>
          <w:pgMar w:header="705" w:footer="683" w:top="1420" w:bottom="880" w:left="1580" w:right="920"/>
        </w:sectPr>
      </w:pPr>
    </w:p>
    <w:p>
      <w:pPr>
        <w:pStyle w:val="BodyText"/>
        <w:spacing w:before="110"/>
      </w:pPr>
      <w:r>
        <w:rPr>
          <w:rFonts w:ascii="Times New Roman" w:eastAsia="Times New Roman"/>
        </w:rPr>
        <w:t>3</w:t>
      </w:r>
      <w:r>
        <w:rPr/>
        <w:t>、基金托管人的义务</w:t>
      </w:r>
    </w:p>
    <w:p>
      <w:pPr>
        <w:pStyle w:val="BodyText"/>
        <w:spacing w:before="6"/>
        <w:ind w:left="0"/>
        <w:rPr>
          <w:sz w:val="15"/>
        </w:rPr>
      </w:pPr>
    </w:p>
    <w:p>
      <w:pPr>
        <w:pStyle w:val="ListParagraph"/>
        <w:numPr>
          <w:ilvl w:val="0"/>
          <w:numId w:val="35"/>
        </w:numPr>
        <w:tabs>
          <w:tab w:pos="1167" w:val="left" w:leader="none"/>
        </w:tabs>
        <w:spacing w:line="417" w:lineRule="auto" w:before="0" w:after="0"/>
        <w:ind w:left="220" w:right="988" w:firstLine="419"/>
        <w:jc w:val="left"/>
        <w:rPr>
          <w:sz w:val="21"/>
        </w:rPr>
      </w:pPr>
      <w:r>
        <w:rPr>
          <w:spacing w:val="-9"/>
          <w:sz w:val="21"/>
        </w:rPr>
        <w:t>安全保管基金财产，准时将公司行为信息通知基金管理人，确保基金及时收取 </w:t>
      </w:r>
      <w:r>
        <w:rPr>
          <w:spacing w:val="-2"/>
          <w:sz w:val="21"/>
        </w:rPr>
        <w:t>所有应得收入。</w:t>
      </w:r>
    </w:p>
    <w:p>
      <w:pPr>
        <w:pStyle w:val="ListParagraph"/>
        <w:numPr>
          <w:ilvl w:val="0"/>
          <w:numId w:val="35"/>
        </w:numPr>
        <w:tabs>
          <w:tab w:pos="1170" w:val="left" w:leader="none"/>
        </w:tabs>
        <w:spacing w:line="417" w:lineRule="auto" w:before="0" w:after="0"/>
        <w:ind w:left="220" w:right="989" w:firstLine="419"/>
        <w:jc w:val="left"/>
        <w:rPr>
          <w:sz w:val="21"/>
        </w:rPr>
      </w:pPr>
      <w:r>
        <w:rPr>
          <w:spacing w:val="-8"/>
          <w:sz w:val="21"/>
        </w:rPr>
        <w:t>设立专门的基金托管部，具有符合要求的营业场所，配备足够的、合格的熟悉 </w:t>
      </w:r>
      <w:r>
        <w:rPr>
          <w:spacing w:val="-3"/>
          <w:sz w:val="21"/>
        </w:rPr>
        <w:t>基金托管业务的专职人员，负责基金财产托管事宜。</w:t>
      </w:r>
    </w:p>
    <w:p>
      <w:pPr>
        <w:pStyle w:val="ListParagraph"/>
        <w:numPr>
          <w:ilvl w:val="0"/>
          <w:numId w:val="35"/>
        </w:numPr>
        <w:tabs>
          <w:tab w:pos="1170" w:val="left" w:leader="none"/>
        </w:tabs>
        <w:spacing w:line="269" w:lineRule="exact" w:before="0" w:after="0"/>
        <w:ind w:left="1169" w:right="0" w:hanging="530"/>
        <w:jc w:val="left"/>
        <w:rPr>
          <w:sz w:val="21"/>
        </w:rPr>
      </w:pPr>
      <w:r>
        <w:rPr>
          <w:spacing w:val="-3"/>
          <w:sz w:val="21"/>
        </w:rPr>
        <w:t>按规定开设基金财产的资金账户和证券账户。</w:t>
      </w:r>
    </w:p>
    <w:p>
      <w:pPr>
        <w:pStyle w:val="BodyText"/>
        <w:spacing w:before="7"/>
        <w:ind w:left="0"/>
        <w:rPr>
          <w:sz w:val="15"/>
        </w:rPr>
      </w:pPr>
    </w:p>
    <w:p>
      <w:pPr>
        <w:pStyle w:val="ListParagraph"/>
        <w:numPr>
          <w:ilvl w:val="0"/>
          <w:numId w:val="35"/>
        </w:numPr>
        <w:tabs>
          <w:tab w:pos="1170" w:val="left" w:leader="none"/>
        </w:tabs>
        <w:spacing w:line="417" w:lineRule="auto" w:before="0" w:after="0"/>
        <w:ind w:left="220" w:right="986" w:firstLine="419"/>
        <w:jc w:val="left"/>
        <w:rPr>
          <w:sz w:val="21"/>
        </w:rPr>
      </w:pPr>
      <w:r>
        <w:rPr>
          <w:spacing w:val="-12"/>
          <w:sz w:val="21"/>
        </w:rPr>
        <w:t>除依据《基金法》、基金合同及其他有关规定外，不得为自己及任何第三人谋取利益。</w:t>
      </w:r>
    </w:p>
    <w:p>
      <w:pPr>
        <w:pStyle w:val="ListParagraph"/>
        <w:numPr>
          <w:ilvl w:val="0"/>
          <w:numId w:val="35"/>
        </w:numPr>
        <w:tabs>
          <w:tab w:pos="1170" w:val="left" w:leader="none"/>
        </w:tabs>
        <w:spacing w:line="240" w:lineRule="auto" w:before="0" w:after="0"/>
        <w:ind w:left="1169" w:right="0" w:hanging="530"/>
        <w:jc w:val="left"/>
        <w:rPr>
          <w:sz w:val="21"/>
        </w:rPr>
      </w:pPr>
      <w:r>
        <w:rPr>
          <w:spacing w:val="-3"/>
          <w:sz w:val="21"/>
        </w:rPr>
        <w:t>对所托管的不同基金财产分别设置账户，确保基金财产的完整和独立。</w:t>
      </w:r>
    </w:p>
    <w:p>
      <w:pPr>
        <w:pStyle w:val="BodyText"/>
        <w:spacing w:before="7"/>
        <w:ind w:left="0"/>
        <w:rPr>
          <w:sz w:val="15"/>
        </w:rPr>
      </w:pPr>
    </w:p>
    <w:p>
      <w:pPr>
        <w:pStyle w:val="ListParagraph"/>
        <w:numPr>
          <w:ilvl w:val="0"/>
          <w:numId w:val="35"/>
        </w:numPr>
        <w:tabs>
          <w:tab w:pos="1167" w:val="left" w:leader="none"/>
        </w:tabs>
        <w:spacing w:line="417" w:lineRule="auto" w:before="0" w:after="0"/>
        <w:ind w:left="220" w:right="988" w:firstLine="419"/>
        <w:jc w:val="left"/>
        <w:rPr>
          <w:sz w:val="21"/>
        </w:rPr>
      </w:pPr>
      <w:r>
        <w:rPr>
          <w:spacing w:val="-20"/>
          <w:sz w:val="21"/>
        </w:rPr>
        <w:t>保管</w:t>
      </w:r>
      <w:r>
        <w:rPr>
          <w:sz w:val="21"/>
        </w:rPr>
        <w:t>（</w:t>
      </w:r>
      <w:r>
        <w:rPr>
          <w:spacing w:val="-3"/>
          <w:sz w:val="21"/>
        </w:rPr>
        <w:t>或委托境外资产托管人保管</w:t>
      </w:r>
      <w:r>
        <w:rPr>
          <w:spacing w:val="-34"/>
          <w:sz w:val="21"/>
        </w:rPr>
        <w:t>）</w:t>
      </w:r>
      <w:r>
        <w:rPr>
          <w:spacing w:val="-3"/>
          <w:sz w:val="21"/>
        </w:rPr>
        <w:t>由基金管理人代表基金签订的与基金有关 的重大合同及有关凭证。</w:t>
      </w:r>
    </w:p>
    <w:p>
      <w:pPr>
        <w:pStyle w:val="ListParagraph"/>
        <w:numPr>
          <w:ilvl w:val="0"/>
          <w:numId w:val="35"/>
        </w:numPr>
        <w:tabs>
          <w:tab w:pos="1170" w:val="left" w:leader="none"/>
        </w:tabs>
        <w:spacing w:line="269" w:lineRule="exact" w:before="0" w:after="0"/>
        <w:ind w:left="1169" w:right="0" w:hanging="530"/>
        <w:jc w:val="left"/>
        <w:rPr>
          <w:sz w:val="21"/>
        </w:rPr>
      </w:pPr>
      <w:r>
        <w:rPr>
          <w:spacing w:val="-3"/>
          <w:sz w:val="21"/>
        </w:rPr>
        <w:t>保存基金托管业务活动的记录、账册、报表和其他相关资料。</w:t>
      </w:r>
    </w:p>
    <w:p>
      <w:pPr>
        <w:pStyle w:val="BodyText"/>
        <w:spacing w:before="6"/>
        <w:ind w:left="0"/>
        <w:rPr>
          <w:sz w:val="15"/>
        </w:rPr>
      </w:pPr>
    </w:p>
    <w:p>
      <w:pPr>
        <w:pStyle w:val="ListParagraph"/>
        <w:numPr>
          <w:ilvl w:val="0"/>
          <w:numId w:val="35"/>
        </w:numPr>
        <w:tabs>
          <w:tab w:pos="1170" w:val="left" w:leader="none"/>
        </w:tabs>
        <w:spacing w:line="240" w:lineRule="auto" w:before="1" w:after="0"/>
        <w:ind w:left="1169" w:right="0" w:hanging="530"/>
        <w:jc w:val="left"/>
        <w:rPr>
          <w:sz w:val="21"/>
        </w:rPr>
      </w:pPr>
      <w:r>
        <w:rPr>
          <w:spacing w:val="-3"/>
          <w:sz w:val="21"/>
        </w:rPr>
        <w:t>按照基金合同的约定，根据基金管理人的投资指令，及时办理清算、交割事宜。</w:t>
      </w:r>
    </w:p>
    <w:p>
      <w:pPr>
        <w:pStyle w:val="BodyText"/>
        <w:spacing w:before="6"/>
        <w:ind w:left="0"/>
        <w:rPr>
          <w:sz w:val="15"/>
        </w:rPr>
      </w:pPr>
    </w:p>
    <w:p>
      <w:pPr>
        <w:pStyle w:val="ListParagraph"/>
        <w:numPr>
          <w:ilvl w:val="0"/>
          <w:numId w:val="35"/>
        </w:numPr>
        <w:tabs>
          <w:tab w:pos="1170" w:val="left" w:leader="none"/>
        </w:tabs>
        <w:spacing w:line="417" w:lineRule="auto" w:before="0" w:after="0"/>
        <w:ind w:left="220" w:right="989" w:firstLine="419"/>
        <w:jc w:val="left"/>
        <w:rPr>
          <w:sz w:val="21"/>
        </w:rPr>
      </w:pPr>
      <w:r>
        <w:rPr>
          <w:spacing w:val="-10"/>
          <w:sz w:val="21"/>
        </w:rPr>
        <w:t>保守基金商业秘密。除《基金法》、基金合同及其他有关规定另有规定外，在基</w:t>
      </w:r>
      <w:r>
        <w:rPr>
          <w:spacing w:val="-5"/>
          <w:sz w:val="21"/>
        </w:rPr>
        <w:t>金信息公开披露前应予以保密，不得向他人泄露。</w:t>
      </w:r>
    </w:p>
    <w:p>
      <w:pPr>
        <w:pStyle w:val="ListParagraph"/>
        <w:numPr>
          <w:ilvl w:val="0"/>
          <w:numId w:val="35"/>
        </w:numPr>
        <w:tabs>
          <w:tab w:pos="1275" w:val="left" w:leader="none"/>
        </w:tabs>
        <w:spacing w:line="240" w:lineRule="auto" w:before="0" w:after="0"/>
        <w:ind w:left="1275" w:right="0" w:hanging="635"/>
        <w:jc w:val="left"/>
        <w:rPr>
          <w:sz w:val="21"/>
        </w:rPr>
      </w:pPr>
      <w:r>
        <w:rPr>
          <w:spacing w:val="-3"/>
          <w:sz w:val="21"/>
        </w:rPr>
        <w:t>办理与基金托管业务活动有关的信息披露事项。</w:t>
      </w:r>
    </w:p>
    <w:p>
      <w:pPr>
        <w:pStyle w:val="BodyText"/>
        <w:spacing w:before="7"/>
        <w:ind w:left="0"/>
        <w:rPr>
          <w:sz w:val="15"/>
        </w:rPr>
      </w:pPr>
    </w:p>
    <w:p>
      <w:pPr>
        <w:pStyle w:val="ListParagraph"/>
        <w:numPr>
          <w:ilvl w:val="0"/>
          <w:numId w:val="35"/>
        </w:numPr>
        <w:tabs>
          <w:tab w:pos="1268" w:val="left" w:leader="none"/>
        </w:tabs>
        <w:spacing w:line="417" w:lineRule="auto" w:before="0" w:after="0"/>
        <w:ind w:left="220" w:right="986" w:firstLine="419"/>
        <w:jc w:val="both"/>
        <w:rPr>
          <w:sz w:val="21"/>
        </w:rPr>
      </w:pPr>
      <w:r>
        <w:rPr>
          <w:spacing w:val="-3"/>
          <w:sz w:val="21"/>
        </w:rPr>
        <w:t>对基金财务会计报告、中期和年度基金报告出具意见，说明基金管理人在各重要方面的运作是否严格按照基金合同的规定进行；如果基金管理人有未执行基金合同规定的行为，还应当说明基金托管人是否采取了适当的措施。</w:t>
      </w:r>
    </w:p>
    <w:p>
      <w:pPr>
        <w:pStyle w:val="ListParagraph"/>
        <w:numPr>
          <w:ilvl w:val="0"/>
          <w:numId w:val="35"/>
        </w:numPr>
        <w:tabs>
          <w:tab w:pos="1275" w:val="left" w:leader="none"/>
        </w:tabs>
        <w:spacing w:line="269" w:lineRule="exact" w:before="0" w:after="0"/>
        <w:ind w:left="1275" w:right="0" w:hanging="635"/>
        <w:jc w:val="left"/>
        <w:rPr>
          <w:sz w:val="21"/>
        </w:rPr>
      </w:pPr>
      <w:r>
        <w:rPr>
          <w:spacing w:val="-3"/>
          <w:sz w:val="21"/>
        </w:rPr>
        <w:t>建立并保存基金份额持有人名册。</w:t>
      </w:r>
    </w:p>
    <w:p>
      <w:pPr>
        <w:pStyle w:val="BodyText"/>
        <w:spacing w:before="7"/>
        <w:ind w:left="0"/>
        <w:rPr>
          <w:sz w:val="15"/>
        </w:rPr>
      </w:pPr>
    </w:p>
    <w:p>
      <w:pPr>
        <w:pStyle w:val="ListParagraph"/>
        <w:numPr>
          <w:ilvl w:val="0"/>
          <w:numId w:val="35"/>
        </w:numPr>
        <w:tabs>
          <w:tab w:pos="1275" w:val="left" w:leader="none"/>
        </w:tabs>
        <w:spacing w:line="240" w:lineRule="auto" w:before="0" w:after="0"/>
        <w:ind w:left="1275" w:right="0" w:hanging="635"/>
        <w:jc w:val="left"/>
        <w:rPr>
          <w:sz w:val="21"/>
        </w:rPr>
      </w:pPr>
      <w:r>
        <w:rPr>
          <w:spacing w:val="-3"/>
          <w:sz w:val="21"/>
        </w:rPr>
        <w:t>复核、审查基金管理人计算的基金资产净值和基金份额申购、赎回价格。</w:t>
      </w:r>
    </w:p>
    <w:p>
      <w:pPr>
        <w:pStyle w:val="BodyText"/>
        <w:spacing w:before="7"/>
        <w:ind w:left="0"/>
        <w:rPr>
          <w:sz w:val="15"/>
        </w:rPr>
      </w:pPr>
    </w:p>
    <w:p>
      <w:pPr>
        <w:pStyle w:val="ListParagraph"/>
        <w:numPr>
          <w:ilvl w:val="0"/>
          <w:numId w:val="35"/>
        </w:numPr>
        <w:tabs>
          <w:tab w:pos="1275" w:val="left" w:leader="none"/>
        </w:tabs>
        <w:spacing w:line="240" w:lineRule="auto" w:before="0" w:after="0"/>
        <w:ind w:left="1275" w:right="0" w:hanging="635"/>
        <w:jc w:val="left"/>
        <w:rPr>
          <w:sz w:val="21"/>
        </w:rPr>
      </w:pPr>
      <w:r>
        <w:rPr>
          <w:spacing w:val="-3"/>
          <w:sz w:val="21"/>
        </w:rPr>
        <w:t>按规定制作相关账册并与基金管理人核对。</w:t>
      </w:r>
    </w:p>
    <w:p>
      <w:pPr>
        <w:pStyle w:val="BodyText"/>
        <w:spacing w:before="7"/>
        <w:ind w:left="0"/>
        <w:rPr>
          <w:sz w:val="15"/>
        </w:rPr>
      </w:pPr>
    </w:p>
    <w:p>
      <w:pPr>
        <w:pStyle w:val="ListParagraph"/>
        <w:numPr>
          <w:ilvl w:val="0"/>
          <w:numId w:val="35"/>
        </w:numPr>
        <w:tabs>
          <w:tab w:pos="1273" w:val="left" w:leader="none"/>
        </w:tabs>
        <w:spacing w:line="240" w:lineRule="auto" w:before="0" w:after="0"/>
        <w:ind w:left="1272" w:right="0" w:hanging="633"/>
        <w:jc w:val="left"/>
        <w:rPr>
          <w:sz w:val="21"/>
        </w:rPr>
      </w:pPr>
      <w:r>
        <w:rPr>
          <w:spacing w:val="-3"/>
          <w:sz w:val="21"/>
        </w:rPr>
        <w:t>依据基金管理人的指令或有关规定向基金份额持有人支付基金收益和赎回款项。</w:t>
      </w:r>
    </w:p>
    <w:p>
      <w:pPr>
        <w:pStyle w:val="BodyText"/>
        <w:spacing w:before="7"/>
        <w:ind w:left="0"/>
        <w:rPr>
          <w:sz w:val="15"/>
        </w:rPr>
      </w:pPr>
    </w:p>
    <w:p>
      <w:pPr>
        <w:pStyle w:val="ListParagraph"/>
        <w:numPr>
          <w:ilvl w:val="0"/>
          <w:numId w:val="35"/>
        </w:numPr>
        <w:tabs>
          <w:tab w:pos="1275" w:val="left" w:leader="none"/>
        </w:tabs>
        <w:spacing w:line="417" w:lineRule="auto" w:before="0" w:after="0"/>
        <w:ind w:left="220" w:right="986" w:firstLine="419"/>
        <w:jc w:val="left"/>
        <w:rPr>
          <w:sz w:val="21"/>
        </w:rPr>
      </w:pPr>
      <w:r>
        <w:rPr>
          <w:spacing w:val="-3"/>
          <w:sz w:val="21"/>
        </w:rPr>
        <w:t>按照规定召集基金份额持有人大会或配合基金管理人、基金份额持有人依法召集基金份额持有人大会。</w:t>
      </w:r>
    </w:p>
    <w:p>
      <w:pPr>
        <w:pStyle w:val="ListParagraph"/>
        <w:numPr>
          <w:ilvl w:val="0"/>
          <w:numId w:val="35"/>
        </w:numPr>
        <w:tabs>
          <w:tab w:pos="1275" w:val="left" w:leader="none"/>
        </w:tabs>
        <w:spacing w:line="269" w:lineRule="exact" w:before="0" w:after="0"/>
        <w:ind w:left="1275" w:right="0" w:hanging="635"/>
        <w:jc w:val="left"/>
        <w:rPr>
          <w:sz w:val="21"/>
        </w:rPr>
      </w:pPr>
      <w:r>
        <w:rPr>
          <w:spacing w:val="-3"/>
          <w:sz w:val="21"/>
        </w:rPr>
        <w:t>按照规定监督基金管理人的投资运作。</w:t>
      </w:r>
    </w:p>
    <w:p>
      <w:pPr>
        <w:pStyle w:val="BodyText"/>
        <w:spacing w:before="6"/>
        <w:ind w:left="0"/>
        <w:rPr>
          <w:sz w:val="15"/>
        </w:rPr>
      </w:pPr>
    </w:p>
    <w:p>
      <w:pPr>
        <w:pStyle w:val="ListParagraph"/>
        <w:numPr>
          <w:ilvl w:val="0"/>
          <w:numId w:val="35"/>
        </w:numPr>
        <w:tabs>
          <w:tab w:pos="1275" w:val="left" w:leader="none"/>
        </w:tabs>
        <w:spacing w:line="417" w:lineRule="auto" w:before="1" w:after="0"/>
        <w:ind w:left="220" w:right="986" w:firstLine="419"/>
        <w:jc w:val="left"/>
        <w:rPr>
          <w:sz w:val="21"/>
        </w:rPr>
      </w:pPr>
      <w:r>
        <w:rPr>
          <w:spacing w:val="-3"/>
          <w:sz w:val="21"/>
        </w:rPr>
        <w:t>因过错违反基金合同导致基金财产损失，应承担赔偿责任，其责任不因其退任而免除。</w:t>
      </w:r>
    </w:p>
    <w:p>
      <w:pPr>
        <w:pStyle w:val="ListParagraph"/>
        <w:numPr>
          <w:ilvl w:val="0"/>
          <w:numId w:val="35"/>
        </w:numPr>
        <w:tabs>
          <w:tab w:pos="1275" w:val="left" w:leader="none"/>
        </w:tabs>
        <w:spacing w:line="240" w:lineRule="auto" w:before="0" w:after="0"/>
        <w:ind w:left="1275" w:right="0" w:hanging="635"/>
        <w:jc w:val="left"/>
        <w:rPr>
          <w:sz w:val="21"/>
        </w:rPr>
      </w:pPr>
      <w:r>
        <w:rPr>
          <w:spacing w:val="-8"/>
          <w:sz w:val="21"/>
        </w:rPr>
        <w:t>基金管理人因违反基金合同造成基金财产损失时，应为基金向基金管理人追偿。</w:t>
      </w:r>
    </w:p>
    <w:p>
      <w:pPr>
        <w:pStyle w:val="BodyText"/>
        <w:spacing w:before="6"/>
        <w:ind w:left="0"/>
        <w:rPr>
          <w:sz w:val="15"/>
        </w:rPr>
      </w:pPr>
    </w:p>
    <w:p>
      <w:pPr>
        <w:pStyle w:val="ListParagraph"/>
        <w:numPr>
          <w:ilvl w:val="0"/>
          <w:numId w:val="35"/>
        </w:numPr>
        <w:tabs>
          <w:tab w:pos="1275" w:val="left" w:leader="none"/>
        </w:tabs>
        <w:spacing w:line="240" w:lineRule="auto" w:before="0" w:after="0"/>
        <w:ind w:left="1275" w:right="0" w:hanging="635"/>
        <w:jc w:val="left"/>
        <w:rPr>
          <w:sz w:val="21"/>
        </w:rPr>
      </w:pPr>
      <w:r>
        <w:rPr>
          <w:spacing w:val="-3"/>
          <w:sz w:val="21"/>
        </w:rPr>
        <w:t>对其委托第三方机构相关事项的法律后果承担责任。对基金的境外财产，基金</w:t>
      </w:r>
    </w:p>
    <w:p>
      <w:pPr>
        <w:spacing w:after="0" w:line="240" w:lineRule="auto"/>
        <w:jc w:val="left"/>
        <w:rPr>
          <w:sz w:val="21"/>
        </w:rPr>
        <w:sectPr>
          <w:pgSz w:w="11910" w:h="16840"/>
          <w:pgMar w:header="705" w:footer="683" w:top="1420" w:bottom="880" w:left="1580" w:right="920"/>
        </w:sectPr>
      </w:pPr>
    </w:p>
    <w:p>
      <w:pPr>
        <w:pStyle w:val="BodyText"/>
        <w:spacing w:line="417" w:lineRule="auto" w:before="110"/>
        <w:ind w:left="220" w:right="986"/>
        <w:jc w:val="both"/>
      </w:pPr>
      <w:r>
        <w:rPr/>
        <w:t>托管人可授权境外资产托管人代为履行其承担的受托人职责，选择的境外资产托管人应符合《试行办法》规定的有关条件；境外资产托管人在履行职责过程中，因本身过错、疏忽等原因而导致基金财产受损的，基金托管人应当承担相应责任。</w:t>
      </w:r>
    </w:p>
    <w:p>
      <w:pPr>
        <w:pStyle w:val="ListParagraph"/>
        <w:numPr>
          <w:ilvl w:val="0"/>
          <w:numId w:val="35"/>
        </w:numPr>
        <w:tabs>
          <w:tab w:pos="1275" w:val="left" w:leader="none"/>
        </w:tabs>
        <w:spacing w:line="269" w:lineRule="exact" w:before="0" w:after="0"/>
        <w:ind w:left="1275" w:right="0" w:hanging="635"/>
        <w:jc w:val="left"/>
        <w:rPr>
          <w:sz w:val="21"/>
        </w:rPr>
      </w:pPr>
      <w:r>
        <w:rPr>
          <w:spacing w:val="-3"/>
          <w:sz w:val="21"/>
        </w:rPr>
        <w:t>法律法规、基金合同规定的其他义务。</w:t>
      </w:r>
    </w:p>
    <w:p>
      <w:pPr>
        <w:pStyle w:val="BodyText"/>
        <w:spacing w:before="6"/>
        <w:ind w:left="0"/>
        <w:rPr>
          <w:sz w:val="15"/>
        </w:rPr>
      </w:pPr>
    </w:p>
    <w:p>
      <w:pPr>
        <w:pStyle w:val="BodyText"/>
      </w:pPr>
      <w:r>
        <w:rPr/>
        <w:t>（三）基金份额持有人</w:t>
      </w:r>
    </w:p>
    <w:p>
      <w:pPr>
        <w:pStyle w:val="BodyText"/>
        <w:spacing w:before="7"/>
        <w:ind w:left="0"/>
        <w:rPr>
          <w:sz w:val="15"/>
        </w:rPr>
      </w:pPr>
    </w:p>
    <w:p>
      <w:pPr>
        <w:pStyle w:val="BodyText"/>
        <w:spacing w:line="417" w:lineRule="auto"/>
        <w:ind w:left="220" w:right="986" w:firstLine="419"/>
        <w:jc w:val="both"/>
      </w:pPr>
      <w:r>
        <w:rPr>
          <w:rFonts w:ascii="Times New Roman" w:eastAsia="Times New Roman"/>
        </w:rPr>
        <w:t>1</w:t>
      </w:r>
      <w:r>
        <w:rPr>
          <w:spacing w:val="-11"/>
        </w:rPr>
        <w:t>、基金投资者购买本基金基金份额的行为即视为对基金合同的承认和接受，基金投资</w:t>
      </w:r>
      <w:r>
        <w:rPr>
          <w:spacing w:val="-6"/>
        </w:rPr>
        <w:t>者自依据基金合同取得基金份额，即成为基金份额持有人和基金合同当事人。基金份额持</w:t>
      </w:r>
      <w:r>
        <w:rPr>
          <w:spacing w:val="-4"/>
        </w:rPr>
        <w:t>有人作为当事人并不以在基金合同上书面签章为必要条件。每份基金份额具有同等的合法权益。</w:t>
      </w:r>
    </w:p>
    <w:p>
      <w:pPr>
        <w:pStyle w:val="BodyText"/>
      </w:pPr>
      <w:r>
        <w:rPr>
          <w:rFonts w:ascii="Times New Roman" w:eastAsia="Times New Roman"/>
        </w:rPr>
        <w:t>2</w:t>
      </w:r>
      <w:r>
        <w:rPr/>
        <w:t>、基金份额持有人的权利</w:t>
      </w:r>
    </w:p>
    <w:p>
      <w:pPr>
        <w:pStyle w:val="BodyText"/>
        <w:spacing w:before="7"/>
        <w:ind w:left="0"/>
        <w:rPr>
          <w:sz w:val="15"/>
        </w:rPr>
      </w:pPr>
    </w:p>
    <w:p>
      <w:pPr>
        <w:pStyle w:val="ListParagraph"/>
        <w:numPr>
          <w:ilvl w:val="0"/>
          <w:numId w:val="36"/>
        </w:numPr>
        <w:tabs>
          <w:tab w:pos="1170" w:val="left" w:leader="none"/>
        </w:tabs>
        <w:spacing w:line="240" w:lineRule="auto" w:before="0" w:after="0"/>
        <w:ind w:left="1169" w:right="0" w:hanging="530"/>
        <w:jc w:val="left"/>
        <w:rPr>
          <w:sz w:val="21"/>
        </w:rPr>
      </w:pPr>
      <w:r>
        <w:rPr>
          <w:spacing w:val="-3"/>
          <w:sz w:val="21"/>
        </w:rPr>
        <w:t>分享基金财产收益。</w:t>
      </w:r>
    </w:p>
    <w:p>
      <w:pPr>
        <w:pStyle w:val="BodyText"/>
        <w:spacing w:before="6"/>
        <w:ind w:left="0"/>
        <w:rPr>
          <w:sz w:val="15"/>
        </w:rPr>
      </w:pPr>
    </w:p>
    <w:p>
      <w:pPr>
        <w:pStyle w:val="ListParagraph"/>
        <w:numPr>
          <w:ilvl w:val="0"/>
          <w:numId w:val="36"/>
        </w:numPr>
        <w:tabs>
          <w:tab w:pos="1170" w:val="left" w:leader="none"/>
        </w:tabs>
        <w:spacing w:line="240" w:lineRule="auto" w:before="1" w:after="0"/>
        <w:ind w:left="1169" w:right="0" w:hanging="530"/>
        <w:jc w:val="left"/>
        <w:rPr>
          <w:sz w:val="21"/>
        </w:rPr>
      </w:pPr>
      <w:r>
        <w:rPr>
          <w:spacing w:val="-3"/>
          <w:sz w:val="21"/>
        </w:rPr>
        <w:t>参与分配清算后的剩余基金财产。</w:t>
      </w:r>
    </w:p>
    <w:p>
      <w:pPr>
        <w:pStyle w:val="BodyText"/>
        <w:spacing w:before="6"/>
        <w:ind w:left="0"/>
        <w:rPr>
          <w:sz w:val="15"/>
        </w:rPr>
      </w:pPr>
    </w:p>
    <w:p>
      <w:pPr>
        <w:pStyle w:val="ListParagraph"/>
        <w:numPr>
          <w:ilvl w:val="0"/>
          <w:numId w:val="36"/>
        </w:numPr>
        <w:tabs>
          <w:tab w:pos="1170" w:val="left" w:leader="none"/>
        </w:tabs>
        <w:spacing w:line="240" w:lineRule="auto" w:before="0" w:after="0"/>
        <w:ind w:left="1169" w:right="0" w:hanging="530"/>
        <w:jc w:val="left"/>
        <w:rPr>
          <w:sz w:val="21"/>
        </w:rPr>
      </w:pPr>
      <w:r>
        <w:rPr>
          <w:spacing w:val="-3"/>
          <w:sz w:val="21"/>
        </w:rPr>
        <w:t>依法转让或者申请赎回其持有的基金份额。</w:t>
      </w:r>
    </w:p>
    <w:p>
      <w:pPr>
        <w:pStyle w:val="BodyText"/>
        <w:spacing w:before="7"/>
        <w:ind w:left="0"/>
        <w:rPr>
          <w:sz w:val="15"/>
        </w:rPr>
      </w:pPr>
    </w:p>
    <w:p>
      <w:pPr>
        <w:pStyle w:val="ListParagraph"/>
        <w:numPr>
          <w:ilvl w:val="0"/>
          <w:numId w:val="36"/>
        </w:numPr>
        <w:tabs>
          <w:tab w:pos="1170" w:val="left" w:leader="none"/>
        </w:tabs>
        <w:spacing w:line="240" w:lineRule="auto" w:before="0" w:after="0"/>
        <w:ind w:left="1169" w:right="0" w:hanging="530"/>
        <w:jc w:val="left"/>
        <w:rPr>
          <w:sz w:val="21"/>
        </w:rPr>
      </w:pPr>
      <w:r>
        <w:rPr>
          <w:spacing w:val="-3"/>
          <w:sz w:val="21"/>
        </w:rPr>
        <w:t>按照规定要求召开基金份额持有人大会。</w:t>
      </w:r>
    </w:p>
    <w:p>
      <w:pPr>
        <w:pStyle w:val="BodyText"/>
        <w:spacing w:before="7"/>
        <w:ind w:left="0"/>
        <w:rPr>
          <w:sz w:val="15"/>
        </w:rPr>
      </w:pPr>
    </w:p>
    <w:p>
      <w:pPr>
        <w:pStyle w:val="ListParagraph"/>
        <w:numPr>
          <w:ilvl w:val="0"/>
          <w:numId w:val="36"/>
        </w:numPr>
        <w:tabs>
          <w:tab w:pos="1170" w:val="left" w:leader="none"/>
        </w:tabs>
        <w:spacing w:line="417" w:lineRule="auto" w:before="0" w:after="0"/>
        <w:ind w:left="220" w:right="986" w:firstLine="419"/>
        <w:jc w:val="both"/>
        <w:rPr>
          <w:sz w:val="21"/>
        </w:rPr>
      </w:pPr>
      <w:r>
        <w:rPr>
          <w:spacing w:val="-8"/>
          <w:sz w:val="21"/>
        </w:rPr>
        <w:t>根据基金合同的规定，出席或者委派代表出席本基金基金份额持有人大会或目 </w:t>
      </w:r>
      <w:r>
        <w:rPr>
          <w:spacing w:val="6"/>
          <w:sz w:val="21"/>
        </w:rPr>
        <w:t>标 </w:t>
      </w:r>
      <w:r>
        <w:rPr>
          <w:rFonts w:ascii="Times New Roman" w:eastAsia="Times New Roman"/>
          <w:sz w:val="21"/>
        </w:rPr>
        <w:t>ETF </w:t>
      </w:r>
      <w:r>
        <w:rPr>
          <w:spacing w:val="-11"/>
          <w:sz w:val="21"/>
        </w:rPr>
        <w:t>基金份额持有人大会，对本基金基金份额持有人大会或目标 </w:t>
      </w:r>
      <w:r>
        <w:rPr>
          <w:rFonts w:ascii="Times New Roman" w:eastAsia="Times New Roman"/>
          <w:sz w:val="21"/>
        </w:rPr>
        <w:t>ETF</w:t>
      </w:r>
      <w:r>
        <w:rPr>
          <w:rFonts w:ascii="Times New Roman" w:eastAsia="Times New Roman"/>
          <w:spacing w:val="1"/>
          <w:sz w:val="21"/>
        </w:rPr>
        <w:t> </w:t>
      </w:r>
      <w:r>
        <w:rPr>
          <w:spacing w:val="-2"/>
          <w:sz w:val="21"/>
        </w:rPr>
        <w:t>基金份额持有人</w:t>
      </w:r>
      <w:r>
        <w:rPr>
          <w:spacing w:val="-3"/>
          <w:sz w:val="21"/>
        </w:rPr>
        <w:t>大会审议事项行使表决权。</w:t>
      </w:r>
    </w:p>
    <w:p>
      <w:pPr>
        <w:pStyle w:val="ListParagraph"/>
        <w:numPr>
          <w:ilvl w:val="0"/>
          <w:numId w:val="36"/>
        </w:numPr>
        <w:tabs>
          <w:tab w:pos="1170" w:val="left" w:leader="none"/>
        </w:tabs>
        <w:spacing w:line="269" w:lineRule="exact" w:before="0" w:after="0"/>
        <w:ind w:left="1169" w:right="0" w:hanging="530"/>
        <w:jc w:val="left"/>
        <w:rPr>
          <w:sz w:val="21"/>
        </w:rPr>
      </w:pPr>
      <w:r>
        <w:rPr>
          <w:spacing w:val="-3"/>
          <w:sz w:val="21"/>
        </w:rPr>
        <w:t>查阅或者复制公开披露的基金信息资料。</w:t>
      </w:r>
    </w:p>
    <w:p>
      <w:pPr>
        <w:pStyle w:val="BodyText"/>
        <w:spacing w:before="7"/>
        <w:ind w:left="0"/>
        <w:rPr>
          <w:sz w:val="15"/>
        </w:rPr>
      </w:pPr>
    </w:p>
    <w:p>
      <w:pPr>
        <w:pStyle w:val="ListParagraph"/>
        <w:numPr>
          <w:ilvl w:val="0"/>
          <w:numId w:val="36"/>
        </w:numPr>
        <w:tabs>
          <w:tab w:pos="1170" w:val="left" w:leader="none"/>
        </w:tabs>
        <w:spacing w:line="240" w:lineRule="auto" w:before="0" w:after="0"/>
        <w:ind w:left="1169" w:right="0" w:hanging="530"/>
        <w:jc w:val="left"/>
        <w:rPr>
          <w:sz w:val="21"/>
        </w:rPr>
      </w:pPr>
      <w:r>
        <w:rPr>
          <w:spacing w:val="-3"/>
          <w:sz w:val="21"/>
        </w:rPr>
        <w:t>监督基金管理人的投资运作。</w:t>
      </w:r>
    </w:p>
    <w:p>
      <w:pPr>
        <w:pStyle w:val="BodyText"/>
        <w:spacing w:before="7"/>
        <w:ind w:left="0"/>
        <w:rPr>
          <w:sz w:val="15"/>
        </w:rPr>
      </w:pPr>
    </w:p>
    <w:p>
      <w:pPr>
        <w:pStyle w:val="ListParagraph"/>
        <w:numPr>
          <w:ilvl w:val="0"/>
          <w:numId w:val="36"/>
        </w:numPr>
        <w:tabs>
          <w:tab w:pos="1170" w:val="left" w:leader="none"/>
        </w:tabs>
        <w:spacing w:line="240" w:lineRule="auto" w:before="0" w:after="0"/>
        <w:ind w:left="1169" w:right="0" w:hanging="530"/>
        <w:jc w:val="left"/>
        <w:rPr>
          <w:sz w:val="21"/>
        </w:rPr>
      </w:pPr>
      <w:r>
        <w:rPr>
          <w:spacing w:val="-3"/>
          <w:sz w:val="21"/>
        </w:rPr>
        <w:t>法律法规、基金合同规定的其他权利。</w:t>
      </w:r>
    </w:p>
    <w:p>
      <w:pPr>
        <w:pStyle w:val="BodyText"/>
        <w:spacing w:before="6"/>
        <w:ind w:left="0"/>
        <w:rPr>
          <w:sz w:val="15"/>
        </w:rPr>
      </w:pPr>
    </w:p>
    <w:p>
      <w:pPr>
        <w:pStyle w:val="BodyText"/>
        <w:spacing w:before="1"/>
      </w:pPr>
      <w:r>
        <w:rPr>
          <w:rFonts w:ascii="Times New Roman" w:eastAsia="Times New Roman"/>
        </w:rPr>
        <w:t>3</w:t>
      </w:r>
      <w:r>
        <w:rPr/>
        <w:t>、基金份额持有人的义务</w:t>
      </w:r>
    </w:p>
    <w:p>
      <w:pPr>
        <w:pStyle w:val="BodyText"/>
        <w:spacing w:before="7"/>
        <w:ind w:left="0"/>
        <w:rPr>
          <w:sz w:val="15"/>
        </w:rPr>
      </w:pPr>
    </w:p>
    <w:p>
      <w:pPr>
        <w:pStyle w:val="ListParagraph"/>
        <w:numPr>
          <w:ilvl w:val="0"/>
          <w:numId w:val="37"/>
        </w:numPr>
        <w:tabs>
          <w:tab w:pos="1170" w:val="left" w:leader="none"/>
        </w:tabs>
        <w:spacing w:line="240" w:lineRule="auto" w:before="0" w:after="0"/>
        <w:ind w:left="1169" w:right="0" w:hanging="530"/>
        <w:jc w:val="left"/>
        <w:rPr>
          <w:sz w:val="21"/>
        </w:rPr>
      </w:pPr>
      <w:r>
        <w:rPr>
          <w:spacing w:val="-3"/>
          <w:sz w:val="21"/>
        </w:rPr>
        <w:t>遵守法律法规、基金合同、业务规则及其他有关规定。</w:t>
      </w:r>
    </w:p>
    <w:p>
      <w:pPr>
        <w:pStyle w:val="BodyText"/>
        <w:spacing w:before="6"/>
        <w:ind w:left="0"/>
        <w:rPr>
          <w:sz w:val="15"/>
        </w:rPr>
      </w:pPr>
    </w:p>
    <w:p>
      <w:pPr>
        <w:pStyle w:val="ListParagraph"/>
        <w:numPr>
          <w:ilvl w:val="0"/>
          <w:numId w:val="37"/>
        </w:numPr>
        <w:tabs>
          <w:tab w:pos="1170" w:val="left" w:leader="none"/>
        </w:tabs>
        <w:spacing w:line="240" w:lineRule="auto" w:before="1" w:after="0"/>
        <w:ind w:left="1169" w:right="0" w:hanging="530"/>
        <w:jc w:val="left"/>
        <w:rPr>
          <w:sz w:val="21"/>
        </w:rPr>
      </w:pPr>
      <w:r>
        <w:rPr>
          <w:spacing w:val="-3"/>
          <w:sz w:val="21"/>
        </w:rPr>
        <w:t>缴纳基金认购、申购款项及基金合同规定的费用。</w:t>
      </w:r>
    </w:p>
    <w:p>
      <w:pPr>
        <w:pStyle w:val="BodyText"/>
        <w:spacing w:before="6"/>
        <w:ind w:left="0"/>
        <w:rPr>
          <w:sz w:val="15"/>
        </w:rPr>
      </w:pPr>
    </w:p>
    <w:p>
      <w:pPr>
        <w:pStyle w:val="ListParagraph"/>
        <w:numPr>
          <w:ilvl w:val="0"/>
          <w:numId w:val="37"/>
        </w:numPr>
        <w:tabs>
          <w:tab w:pos="1170" w:val="left" w:leader="none"/>
        </w:tabs>
        <w:spacing w:line="240" w:lineRule="auto" w:before="0" w:after="0"/>
        <w:ind w:left="1169" w:right="0" w:hanging="530"/>
        <w:jc w:val="left"/>
        <w:rPr>
          <w:sz w:val="21"/>
        </w:rPr>
      </w:pPr>
      <w:r>
        <w:rPr>
          <w:spacing w:val="-3"/>
          <w:sz w:val="21"/>
        </w:rPr>
        <w:t>在持有的基金份额范围内，承担基金亏损或者基金合同终止的有限责任。</w:t>
      </w:r>
    </w:p>
    <w:p>
      <w:pPr>
        <w:pStyle w:val="BodyText"/>
        <w:spacing w:before="7"/>
        <w:ind w:left="0"/>
        <w:rPr>
          <w:sz w:val="15"/>
        </w:rPr>
      </w:pPr>
    </w:p>
    <w:p>
      <w:pPr>
        <w:pStyle w:val="ListParagraph"/>
        <w:numPr>
          <w:ilvl w:val="0"/>
          <w:numId w:val="37"/>
        </w:numPr>
        <w:tabs>
          <w:tab w:pos="1170" w:val="left" w:leader="none"/>
        </w:tabs>
        <w:spacing w:line="240" w:lineRule="auto" w:before="0" w:after="0"/>
        <w:ind w:left="1169" w:right="0" w:hanging="530"/>
        <w:jc w:val="left"/>
        <w:rPr>
          <w:sz w:val="21"/>
        </w:rPr>
      </w:pPr>
      <w:r>
        <w:rPr>
          <w:spacing w:val="-3"/>
          <w:sz w:val="21"/>
        </w:rPr>
        <w:t>不从事任何有损基金及其他基金份额持有人合法利益的活动。</w:t>
      </w:r>
    </w:p>
    <w:p>
      <w:pPr>
        <w:pStyle w:val="BodyText"/>
        <w:spacing w:before="7"/>
        <w:ind w:left="0"/>
        <w:rPr>
          <w:sz w:val="15"/>
        </w:rPr>
      </w:pPr>
    </w:p>
    <w:p>
      <w:pPr>
        <w:pStyle w:val="ListParagraph"/>
        <w:numPr>
          <w:ilvl w:val="0"/>
          <w:numId w:val="37"/>
        </w:numPr>
        <w:tabs>
          <w:tab w:pos="1170" w:val="left" w:leader="none"/>
        </w:tabs>
        <w:spacing w:line="240" w:lineRule="auto" w:before="0" w:after="0"/>
        <w:ind w:left="1169" w:right="0" w:hanging="530"/>
        <w:jc w:val="left"/>
        <w:rPr>
          <w:sz w:val="21"/>
        </w:rPr>
      </w:pPr>
      <w:r>
        <w:rPr>
          <w:spacing w:val="-3"/>
          <w:sz w:val="21"/>
        </w:rPr>
        <w:t>执行基金份额持有人大会的决议。</w:t>
      </w:r>
    </w:p>
    <w:p>
      <w:pPr>
        <w:pStyle w:val="BodyText"/>
        <w:spacing w:before="6"/>
        <w:ind w:left="0"/>
        <w:rPr>
          <w:sz w:val="15"/>
        </w:rPr>
      </w:pPr>
    </w:p>
    <w:p>
      <w:pPr>
        <w:pStyle w:val="ListParagraph"/>
        <w:numPr>
          <w:ilvl w:val="0"/>
          <w:numId w:val="37"/>
        </w:numPr>
        <w:tabs>
          <w:tab w:pos="1170" w:val="left" w:leader="none"/>
        </w:tabs>
        <w:spacing w:line="240" w:lineRule="auto" w:before="1" w:after="0"/>
        <w:ind w:left="1169" w:right="0" w:hanging="530"/>
        <w:jc w:val="left"/>
        <w:rPr>
          <w:sz w:val="21"/>
        </w:rPr>
      </w:pPr>
      <w:r>
        <w:rPr>
          <w:spacing w:val="-3"/>
          <w:sz w:val="21"/>
        </w:rPr>
        <w:t>返还在基金交易过程中因任何原因获得的不当得利。</w:t>
      </w:r>
    </w:p>
    <w:p>
      <w:pPr>
        <w:pStyle w:val="BodyText"/>
        <w:spacing w:before="6"/>
        <w:ind w:left="0"/>
        <w:rPr>
          <w:sz w:val="15"/>
        </w:rPr>
      </w:pPr>
    </w:p>
    <w:p>
      <w:pPr>
        <w:pStyle w:val="ListParagraph"/>
        <w:numPr>
          <w:ilvl w:val="0"/>
          <w:numId w:val="37"/>
        </w:numPr>
        <w:tabs>
          <w:tab w:pos="1170" w:val="left" w:leader="none"/>
        </w:tabs>
        <w:spacing w:line="240" w:lineRule="auto" w:before="0" w:after="0"/>
        <w:ind w:left="1169" w:right="0" w:hanging="530"/>
        <w:jc w:val="left"/>
        <w:rPr>
          <w:sz w:val="21"/>
        </w:rPr>
      </w:pPr>
      <w:r>
        <w:rPr>
          <w:spacing w:val="-3"/>
          <w:sz w:val="21"/>
        </w:rPr>
        <w:t>遵守基金管理人、基金托管人、代销机构和登记结算机构的相关规则及规定。</w:t>
      </w:r>
    </w:p>
    <w:p>
      <w:pPr>
        <w:pStyle w:val="BodyText"/>
        <w:spacing w:before="7"/>
        <w:ind w:left="0"/>
        <w:rPr>
          <w:sz w:val="15"/>
        </w:rPr>
      </w:pPr>
    </w:p>
    <w:p>
      <w:pPr>
        <w:pStyle w:val="ListParagraph"/>
        <w:numPr>
          <w:ilvl w:val="0"/>
          <w:numId w:val="37"/>
        </w:numPr>
        <w:tabs>
          <w:tab w:pos="1170" w:val="left" w:leader="none"/>
        </w:tabs>
        <w:spacing w:line="417" w:lineRule="auto" w:before="1" w:after="0"/>
        <w:ind w:left="640" w:right="4666" w:firstLine="0"/>
        <w:jc w:val="left"/>
        <w:rPr>
          <w:sz w:val="21"/>
        </w:rPr>
      </w:pPr>
      <w:r>
        <w:rPr>
          <w:spacing w:val="-4"/>
          <w:sz w:val="21"/>
        </w:rPr>
        <w:t>法律法规、基金合同规定的其他义务。</w:t>
      </w:r>
      <w:r>
        <w:rPr>
          <w:spacing w:val="-3"/>
          <w:sz w:val="21"/>
        </w:rPr>
        <w:t>九、基金份额持有人大会</w:t>
      </w:r>
    </w:p>
    <w:p>
      <w:pPr>
        <w:spacing w:after="0" w:line="417" w:lineRule="auto"/>
        <w:jc w:val="left"/>
        <w:rPr>
          <w:sz w:val="21"/>
        </w:rPr>
        <w:sectPr>
          <w:footerReference w:type="default" r:id="rId229"/>
          <w:pgSz w:w="11910" w:h="16840"/>
          <w:pgMar w:footer="683" w:header="705" w:top="1420" w:bottom="880" w:left="1580" w:right="920"/>
          <w:pgNumType w:start="120"/>
        </w:sectPr>
      </w:pPr>
    </w:p>
    <w:p>
      <w:pPr>
        <w:pStyle w:val="BodyText"/>
        <w:spacing w:before="110"/>
      </w:pPr>
      <w:r>
        <w:rPr/>
        <w:t>（一）本基金的基金份额持有人大会，由本基金的基金份额持有人组成。</w:t>
      </w:r>
    </w:p>
    <w:p>
      <w:pPr>
        <w:pStyle w:val="BodyText"/>
        <w:spacing w:before="6"/>
        <w:ind w:left="0"/>
        <w:rPr>
          <w:sz w:val="15"/>
        </w:rPr>
      </w:pPr>
    </w:p>
    <w:p>
      <w:pPr>
        <w:pStyle w:val="BodyText"/>
      </w:pPr>
      <w:r>
        <w:rPr/>
        <w:t>（二）有以下情形之一时，应召开基金份额持有人大会：</w:t>
      </w:r>
    </w:p>
    <w:p>
      <w:pPr>
        <w:pStyle w:val="BodyText"/>
        <w:spacing w:before="7"/>
        <w:ind w:left="0"/>
        <w:rPr>
          <w:sz w:val="15"/>
        </w:rPr>
      </w:pPr>
    </w:p>
    <w:p>
      <w:pPr>
        <w:pStyle w:val="BodyText"/>
      </w:pPr>
      <w:r>
        <w:rPr>
          <w:rFonts w:ascii="Times New Roman" w:eastAsia="Times New Roman"/>
        </w:rPr>
        <w:t>1</w:t>
      </w:r>
      <w:r>
        <w:rPr/>
        <w:t>、终止基金合同，但基金合同另有约定的除外。</w:t>
      </w:r>
    </w:p>
    <w:p>
      <w:pPr>
        <w:pStyle w:val="BodyText"/>
        <w:spacing w:before="7"/>
        <w:ind w:left="0"/>
        <w:rPr>
          <w:sz w:val="15"/>
        </w:rPr>
      </w:pPr>
    </w:p>
    <w:p>
      <w:pPr>
        <w:pStyle w:val="BodyText"/>
      </w:pPr>
      <w:r>
        <w:rPr>
          <w:rFonts w:ascii="Times New Roman" w:eastAsia="Times New Roman"/>
        </w:rPr>
        <w:t>2</w:t>
      </w:r>
      <w:r>
        <w:rPr/>
        <w:t>、转换基金运作方式。</w:t>
      </w:r>
    </w:p>
    <w:p>
      <w:pPr>
        <w:pStyle w:val="BodyText"/>
        <w:spacing w:before="7"/>
        <w:ind w:left="0"/>
        <w:rPr>
          <w:sz w:val="15"/>
        </w:rPr>
      </w:pPr>
    </w:p>
    <w:p>
      <w:pPr>
        <w:pStyle w:val="BodyText"/>
        <w:spacing w:line="417" w:lineRule="auto"/>
        <w:ind w:left="220" w:right="988" w:firstLine="419"/>
      </w:pPr>
      <w:r>
        <w:rPr>
          <w:rFonts w:ascii="Times New Roman" w:eastAsia="Times New Roman"/>
        </w:rPr>
        <w:t>3</w:t>
      </w:r>
      <w:r>
        <w:rPr>
          <w:spacing w:val="-13"/>
        </w:rPr>
        <w:t>、提高基金管理人、基金托管人的报酬标准，但根据法律法规的要求提高该等报酬标</w:t>
      </w:r>
      <w:r>
        <w:rPr>
          <w:spacing w:val="-7"/>
        </w:rPr>
        <w:t>准的除外。</w:t>
      </w:r>
    </w:p>
    <w:p>
      <w:pPr>
        <w:pStyle w:val="BodyText"/>
        <w:spacing w:line="269" w:lineRule="exact"/>
      </w:pPr>
      <w:r>
        <w:rPr>
          <w:rFonts w:ascii="Times New Roman" w:eastAsia="Times New Roman"/>
        </w:rPr>
        <w:t>4</w:t>
      </w:r>
      <w:r>
        <w:rPr/>
        <w:t>、更换基金管理人、基金托管人。</w:t>
      </w:r>
    </w:p>
    <w:p>
      <w:pPr>
        <w:pStyle w:val="BodyText"/>
        <w:spacing w:before="7"/>
        <w:ind w:left="0"/>
        <w:rPr>
          <w:sz w:val="15"/>
        </w:rPr>
      </w:pPr>
    </w:p>
    <w:p>
      <w:pPr>
        <w:pStyle w:val="BodyText"/>
      </w:pPr>
      <w:r>
        <w:rPr>
          <w:rFonts w:ascii="Times New Roman" w:eastAsia="Times New Roman"/>
        </w:rPr>
        <w:t>5</w:t>
      </w:r>
      <w:r>
        <w:rPr/>
        <w:t>、变更基金类别。</w:t>
      </w:r>
    </w:p>
    <w:p>
      <w:pPr>
        <w:pStyle w:val="BodyText"/>
        <w:spacing w:before="7"/>
        <w:ind w:left="0"/>
        <w:rPr>
          <w:sz w:val="15"/>
        </w:rPr>
      </w:pPr>
    </w:p>
    <w:p>
      <w:pPr>
        <w:pStyle w:val="BodyText"/>
        <w:spacing w:line="417" w:lineRule="auto"/>
        <w:ind w:left="220" w:right="986" w:firstLine="419"/>
      </w:pPr>
      <w:r>
        <w:rPr>
          <w:rFonts w:ascii="Times New Roman" w:eastAsia="Times New Roman"/>
        </w:rPr>
        <w:t>6</w:t>
      </w:r>
      <w:r>
        <w:rPr>
          <w:spacing w:val="-11"/>
        </w:rPr>
        <w:t>、变更基金投资目标、范围或策略</w:t>
      </w:r>
      <w:r>
        <w:rPr>
          <w:spacing w:val="-3"/>
        </w:rPr>
        <w:t>（</w:t>
      </w:r>
      <w:r>
        <w:rPr>
          <w:spacing w:val="-7"/>
        </w:rPr>
        <w:t>法律法规、基金合同和中国证监会另有规定的除外</w:t>
      </w:r>
      <w:r>
        <w:rPr>
          <w:spacing w:val="-106"/>
        </w:rPr>
        <w:t>）</w:t>
      </w:r>
      <w:r>
        <w:rPr/>
        <w:t>。</w:t>
      </w:r>
    </w:p>
    <w:p>
      <w:pPr>
        <w:pStyle w:val="BodyText"/>
        <w:spacing w:line="269" w:lineRule="exact"/>
      </w:pPr>
      <w:r>
        <w:rPr>
          <w:rFonts w:ascii="Times New Roman" w:eastAsia="Times New Roman"/>
        </w:rPr>
        <w:t>7</w:t>
      </w:r>
      <w:r>
        <w:rPr/>
        <w:t>、变更基金份额持有人大会程序。</w:t>
      </w:r>
    </w:p>
    <w:p>
      <w:pPr>
        <w:pStyle w:val="BodyText"/>
        <w:spacing w:before="6"/>
        <w:ind w:left="0"/>
        <w:rPr>
          <w:sz w:val="15"/>
        </w:rPr>
      </w:pPr>
    </w:p>
    <w:p>
      <w:pPr>
        <w:pStyle w:val="BodyText"/>
        <w:spacing w:line="417" w:lineRule="auto" w:before="1"/>
        <w:ind w:left="220" w:right="986" w:firstLine="419"/>
      </w:pPr>
      <w:r>
        <w:rPr>
          <w:rFonts w:ascii="Times New Roman" w:eastAsia="Times New Roman"/>
        </w:rPr>
        <w:t>8</w:t>
      </w:r>
      <w:r>
        <w:rPr>
          <w:spacing w:val="-12"/>
        </w:rPr>
        <w:t>、对基金合同当事人权利、义务产生重大影响，需召开基金份额持有人大会的变更基</w:t>
      </w:r>
      <w:r>
        <w:rPr>
          <w:spacing w:val="-6"/>
        </w:rPr>
        <w:t>金合同等其他事项。</w:t>
      </w:r>
    </w:p>
    <w:p>
      <w:pPr>
        <w:pStyle w:val="BodyText"/>
        <w:spacing w:line="269" w:lineRule="exact"/>
      </w:pPr>
      <w:r>
        <w:rPr>
          <w:rFonts w:ascii="Times New Roman" w:eastAsia="Times New Roman"/>
        </w:rPr>
        <w:t>9</w:t>
      </w:r>
      <w:r>
        <w:rPr/>
        <w:t>、基金合同、法律法规或中国证监会规定的其他应当召开基金份额持有人大会的事项。</w:t>
      </w:r>
    </w:p>
    <w:p>
      <w:pPr>
        <w:pStyle w:val="BodyText"/>
        <w:spacing w:before="7"/>
        <w:ind w:left="0"/>
        <w:rPr>
          <w:sz w:val="15"/>
        </w:rPr>
      </w:pPr>
    </w:p>
    <w:p>
      <w:pPr>
        <w:pStyle w:val="BodyText"/>
      </w:pPr>
      <w:r>
        <w:rPr/>
        <w:t>（三）有以下情形之一的，不需召开基金份额持有人大会：</w:t>
      </w:r>
    </w:p>
    <w:p>
      <w:pPr>
        <w:pStyle w:val="BodyText"/>
        <w:spacing w:before="6"/>
        <w:ind w:left="0"/>
        <w:rPr>
          <w:sz w:val="15"/>
        </w:rPr>
      </w:pPr>
    </w:p>
    <w:p>
      <w:pPr>
        <w:pStyle w:val="BodyText"/>
      </w:pPr>
      <w:r>
        <w:rPr>
          <w:rFonts w:ascii="Times New Roman" w:eastAsia="Times New Roman"/>
        </w:rPr>
        <w:t>1</w:t>
      </w:r>
      <w:r>
        <w:rPr/>
        <w:t>、调低基金管理费、基金托管费和其他应由基金资产承担的费用。</w:t>
      </w:r>
    </w:p>
    <w:p>
      <w:pPr>
        <w:pStyle w:val="BodyText"/>
        <w:spacing w:before="7"/>
        <w:ind w:left="0"/>
        <w:rPr>
          <w:sz w:val="15"/>
        </w:rPr>
      </w:pPr>
    </w:p>
    <w:p>
      <w:pPr>
        <w:pStyle w:val="BodyText"/>
      </w:pPr>
      <w:r>
        <w:rPr>
          <w:rFonts w:ascii="Times New Roman" w:eastAsia="Times New Roman"/>
        </w:rPr>
        <w:t>2</w:t>
      </w:r>
      <w:r>
        <w:rPr/>
        <w:t>、法律法规要求增加的基金费用的收取。</w:t>
      </w:r>
    </w:p>
    <w:p>
      <w:pPr>
        <w:pStyle w:val="BodyText"/>
        <w:spacing w:before="7"/>
        <w:ind w:left="0"/>
        <w:rPr>
          <w:sz w:val="15"/>
        </w:rPr>
      </w:pPr>
    </w:p>
    <w:p>
      <w:pPr>
        <w:pStyle w:val="BodyText"/>
        <w:spacing w:line="417" w:lineRule="auto"/>
        <w:ind w:left="220" w:right="986" w:firstLine="419"/>
      </w:pPr>
      <w:r>
        <w:rPr>
          <w:rFonts w:ascii="Times New Roman" w:eastAsia="Times New Roman"/>
        </w:rPr>
        <w:t>3</w:t>
      </w:r>
      <w:r>
        <w:rPr>
          <w:spacing w:val="-11"/>
        </w:rPr>
        <w:t>、在法律法规和基金合同规定的范围内变更本基金的申购费率、调低赎回费率或变更</w:t>
      </w:r>
      <w:r>
        <w:rPr>
          <w:spacing w:val="-6"/>
        </w:rPr>
        <w:t>收费方式。</w:t>
      </w:r>
    </w:p>
    <w:p>
      <w:pPr>
        <w:pStyle w:val="BodyText"/>
        <w:spacing w:line="269" w:lineRule="exact"/>
      </w:pPr>
      <w:r>
        <w:rPr>
          <w:rFonts w:ascii="Times New Roman" w:eastAsia="Times New Roman"/>
        </w:rPr>
        <w:t>4</w:t>
      </w:r>
      <w:r>
        <w:rPr/>
        <w:t>、经中国证监会允许，基金推出新业务或服务。</w:t>
      </w:r>
    </w:p>
    <w:p>
      <w:pPr>
        <w:pStyle w:val="BodyText"/>
        <w:spacing w:before="7"/>
        <w:ind w:left="0"/>
        <w:rPr>
          <w:sz w:val="15"/>
        </w:rPr>
      </w:pPr>
    </w:p>
    <w:p>
      <w:pPr>
        <w:pStyle w:val="BodyText"/>
        <w:spacing w:line="417" w:lineRule="auto"/>
        <w:ind w:left="220" w:right="986" w:firstLine="419"/>
      </w:pPr>
      <w:r>
        <w:rPr>
          <w:rFonts w:ascii="Times New Roman" w:eastAsia="Times New Roman"/>
        </w:rPr>
        <w:t>5</w:t>
      </w:r>
      <w:r>
        <w:rPr>
          <w:spacing w:val="-12"/>
        </w:rPr>
        <w:t>、经中国证监会允许，基金管理人、登记结算机构、代销机构在法律法规规定的范围</w:t>
      </w:r>
      <w:r>
        <w:rPr>
          <w:spacing w:val="-18"/>
        </w:rPr>
        <w:t>内调整有关基金认购、申购、赎回、转换、收益分配、非交易过户、转托管等业务的规则。</w:t>
      </w:r>
    </w:p>
    <w:p>
      <w:pPr>
        <w:pStyle w:val="BodyText"/>
      </w:pPr>
      <w:r>
        <w:rPr>
          <w:rFonts w:ascii="Times New Roman" w:eastAsia="Times New Roman"/>
        </w:rPr>
        <w:t>6</w:t>
      </w:r>
      <w:r>
        <w:rPr/>
        <w:t>、在不违反法律法规的情况下，调整基金净值的计算和公告时间或频率。</w:t>
      </w:r>
    </w:p>
    <w:p>
      <w:pPr>
        <w:pStyle w:val="BodyText"/>
        <w:spacing w:before="7"/>
        <w:ind w:left="0"/>
        <w:rPr>
          <w:sz w:val="15"/>
        </w:rPr>
      </w:pPr>
    </w:p>
    <w:p>
      <w:pPr>
        <w:pStyle w:val="BodyText"/>
      </w:pPr>
      <w:r>
        <w:rPr>
          <w:rFonts w:ascii="Times New Roman" w:eastAsia="Times New Roman"/>
        </w:rPr>
        <w:t>7</w:t>
      </w:r>
      <w:r>
        <w:rPr/>
        <w:t>、在不违反法律法规的情况下，增加、减少、调整基金销售币种或基金份额类别设置。</w:t>
      </w:r>
    </w:p>
    <w:p>
      <w:pPr>
        <w:pStyle w:val="BodyText"/>
        <w:spacing w:before="6"/>
        <w:ind w:left="0"/>
        <w:rPr>
          <w:sz w:val="15"/>
        </w:rPr>
      </w:pPr>
    </w:p>
    <w:p>
      <w:pPr>
        <w:pStyle w:val="BodyText"/>
      </w:pPr>
      <w:r>
        <w:rPr>
          <w:rFonts w:ascii="Times New Roman" w:eastAsia="Times New Roman"/>
        </w:rPr>
        <w:t>8</w:t>
      </w:r>
      <w:r>
        <w:rPr/>
        <w:t>、因相应的法律法规发生变动而应当对基金合同进行修改。</w:t>
      </w:r>
    </w:p>
    <w:p>
      <w:pPr>
        <w:pStyle w:val="BodyText"/>
        <w:spacing w:before="7"/>
        <w:ind w:left="0"/>
        <w:rPr>
          <w:sz w:val="15"/>
        </w:rPr>
      </w:pPr>
    </w:p>
    <w:p>
      <w:pPr>
        <w:pStyle w:val="BodyText"/>
      </w:pPr>
      <w:r>
        <w:rPr>
          <w:rFonts w:ascii="Times New Roman" w:eastAsia="Times New Roman"/>
        </w:rPr>
        <w:t>9</w:t>
      </w:r>
      <w:r>
        <w:rPr/>
        <w:t>、对基金合同的修改不涉及基金合同当事人权利义务关系发生变化。</w:t>
      </w:r>
    </w:p>
    <w:p>
      <w:pPr>
        <w:pStyle w:val="BodyText"/>
        <w:spacing w:before="7"/>
        <w:ind w:left="0"/>
        <w:rPr>
          <w:sz w:val="15"/>
        </w:rPr>
      </w:pPr>
    </w:p>
    <w:p>
      <w:pPr>
        <w:pStyle w:val="BodyText"/>
      </w:pPr>
      <w:r>
        <w:rPr>
          <w:rFonts w:ascii="Times New Roman" w:eastAsia="Times New Roman"/>
        </w:rPr>
        <w:t>10</w:t>
      </w:r>
      <w:r>
        <w:rPr/>
        <w:t>、对基金合同的修改对基金份额持有人利益无实质性不利影响。</w:t>
      </w:r>
    </w:p>
    <w:p>
      <w:pPr>
        <w:pStyle w:val="BodyText"/>
        <w:spacing w:before="7"/>
        <w:ind w:left="0"/>
        <w:rPr>
          <w:sz w:val="15"/>
        </w:rPr>
      </w:pPr>
    </w:p>
    <w:p>
      <w:pPr>
        <w:pStyle w:val="BodyText"/>
      </w:pPr>
      <w:r>
        <w:rPr>
          <w:rFonts w:ascii="Times New Roman" w:eastAsia="Times New Roman"/>
        </w:rPr>
        <w:t>11</w:t>
      </w:r>
      <w:r>
        <w:rPr/>
        <w:t>、除法律法规或基金合同规定应当召开基金份额持有人大会以外的其他情形。</w:t>
      </w:r>
    </w:p>
    <w:p>
      <w:pPr>
        <w:pStyle w:val="BodyText"/>
        <w:spacing w:before="7"/>
        <w:ind w:left="0"/>
        <w:rPr>
          <w:sz w:val="15"/>
        </w:rPr>
      </w:pPr>
    </w:p>
    <w:p>
      <w:pPr>
        <w:pStyle w:val="BodyText"/>
      </w:pPr>
      <w:r>
        <w:rPr/>
        <w:t>（四）召集方式：</w:t>
      </w:r>
    </w:p>
    <w:p>
      <w:pPr>
        <w:pStyle w:val="BodyText"/>
        <w:spacing w:before="6"/>
        <w:ind w:left="0"/>
        <w:rPr>
          <w:sz w:val="15"/>
        </w:rPr>
      </w:pPr>
    </w:p>
    <w:p>
      <w:pPr>
        <w:pStyle w:val="BodyText"/>
        <w:spacing w:before="1"/>
      </w:pPr>
      <w:r>
        <w:rPr>
          <w:rFonts w:ascii="Times New Roman" w:eastAsia="Times New Roman"/>
        </w:rPr>
        <w:t>1</w:t>
      </w:r>
      <w:r>
        <w:rPr/>
        <w:t>、除法律法规或基金合同另有约定外，基金份额持有人大会由基金管理人召集。</w:t>
      </w:r>
    </w:p>
    <w:p>
      <w:pPr>
        <w:spacing w:after="0"/>
        <w:sectPr>
          <w:pgSz w:w="11910" w:h="16840"/>
          <w:pgMar w:header="705" w:footer="683" w:top="1420" w:bottom="880" w:left="1580" w:right="920"/>
        </w:sectPr>
      </w:pPr>
    </w:p>
    <w:p>
      <w:pPr>
        <w:pStyle w:val="BodyText"/>
        <w:spacing w:line="417" w:lineRule="auto" w:before="110"/>
        <w:ind w:left="220" w:right="986" w:firstLine="419"/>
        <w:jc w:val="right"/>
      </w:pPr>
      <w:r>
        <w:rPr>
          <w:rFonts w:ascii="Times New Roman" w:eastAsia="Times New Roman"/>
        </w:rPr>
        <w:t>2</w:t>
      </w:r>
      <w:r>
        <w:rPr>
          <w:spacing w:val="-11"/>
        </w:rPr>
        <w:t>、基金托管人认为有必要召开基金份额持有人大会的，应当向基金管理人提出书面提</w:t>
      </w:r>
      <w:r>
        <w:rPr>
          <w:spacing w:val="-17"/>
        </w:rPr>
        <w:t>议。基金管理人应当自收到书面提议之日起十日内决定是否召集，并书面告知基金托管人。</w:t>
      </w:r>
      <w:r>
        <w:rPr>
          <w:spacing w:val="-7"/>
        </w:rPr>
        <w:t>基金管理人决定召集的，应当自出具书面决定之日起六十日内召开；基金管理人决定</w:t>
      </w:r>
    </w:p>
    <w:p>
      <w:pPr>
        <w:pStyle w:val="BodyText"/>
        <w:spacing w:line="269" w:lineRule="exact"/>
        <w:ind w:left="220"/>
      </w:pPr>
      <w:r>
        <w:rPr/>
        <w:t>不召集，基金托管人仍认为有必要召开的，应当自行召集。</w:t>
      </w:r>
    </w:p>
    <w:p>
      <w:pPr>
        <w:pStyle w:val="BodyText"/>
        <w:spacing w:before="6"/>
        <w:ind w:left="0"/>
        <w:rPr>
          <w:sz w:val="15"/>
        </w:rPr>
      </w:pPr>
    </w:p>
    <w:p>
      <w:pPr>
        <w:pStyle w:val="BodyText"/>
        <w:spacing w:line="417" w:lineRule="auto"/>
        <w:ind w:left="220" w:right="986" w:firstLine="419"/>
        <w:jc w:val="both"/>
      </w:pPr>
      <w:r>
        <w:rPr>
          <w:rFonts w:ascii="Times New Roman" w:eastAsia="Times New Roman"/>
        </w:rPr>
        <w:t>3</w:t>
      </w:r>
      <w:r>
        <w:rPr>
          <w:spacing w:val="-12"/>
        </w:rPr>
        <w:t>、代表基金份额百分之十以上的基金份额持有人认为有必要召开基金份额持有人大会</w:t>
      </w:r>
      <w:r>
        <w:rPr>
          <w:spacing w:val="-6"/>
        </w:rPr>
        <w:t>的，应当向基金管理人提出书面提议。基金管理人应当自收到书面提议之日起十日内决定</w:t>
      </w:r>
      <w:r>
        <w:rPr>
          <w:spacing w:val="-4"/>
        </w:rPr>
        <w:t>是否召集，并书面告知提出提议的基金份额持有人代表和基金托管人。</w:t>
      </w:r>
    </w:p>
    <w:p>
      <w:pPr>
        <w:pStyle w:val="BodyText"/>
        <w:spacing w:line="417" w:lineRule="auto" w:before="1"/>
        <w:ind w:left="220" w:right="986" w:firstLine="419"/>
        <w:jc w:val="both"/>
      </w:pPr>
      <w:r>
        <w:rPr/>
        <w:t>基金管理人决定召集的，应当自出具书面决定之日起六十日内召开；基金管理人决定不召集，代表基金份额百分之十以上的基金份额持有人仍认为有必要召开的，应当向基金托管人提出书面提议。</w:t>
      </w:r>
    </w:p>
    <w:p>
      <w:pPr>
        <w:pStyle w:val="BodyText"/>
        <w:spacing w:line="417" w:lineRule="auto"/>
        <w:ind w:left="220" w:right="986" w:firstLine="419"/>
        <w:jc w:val="both"/>
      </w:pPr>
      <w:r>
        <w:rPr/>
        <w:t>基金托管人应当自收到书面提议之日起十日内决定是否召集，并书面告知提出提议的基金份额持有人代表和基金管理人；基金托管人决定召集的，应当自出具书面决定之日起六十日内召开。</w:t>
      </w:r>
    </w:p>
    <w:p>
      <w:pPr>
        <w:pStyle w:val="BodyText"/>
        <w:spacing w:line="417" w:lineRule="auto"/>
        <w:ind w:left="220" w:right="986" w:firstLine="419"/>
        <w:jc w:val="both"/>
      </w:pPr>
      <w:r>
        <w:rPr>
          <w:rFonts w:ascii="Times New Roman" w:eastAsia="Times New Roman"/>
        </w:rPr>
        <w:t>4</w:t>
      </w:r>
      <w:r>
        <w:rPr>
          <w:spacing w:val="-12"/>
        </w:rPr>
        <w:t>、代表基金份额百分之十以上的基金份额持有人就同一事项书面要求召开基金份额持</w:t>
      </w:r>
      <w:r>
        <w:rPr>
          <w:spacing w:val="-6"/>
        </w:rPr>
        <w:t>有人大会，而基金管理人、基金托管人都不召集的，代表基金份额百分之十以上的基金份</w:t>
      </w:r>
      <w:r>
        <w:rPr>
          <w:spacing w:val="-4"/>
        </w:rPr>
        <w:t>额持有人有权自行召集，并至少提前三十日报中国证监会备案。</w:t>
      </w:r>
    </w:p>
    <w:p>
      <w:pPr>
        <w:pStyle w:val="BodyText"/>
        <w:spacing w:line="417" w:lineRule="auto"/>
        <w:ind w:left="220" w:right="986" w:firstLine="419"/>
      </w:pPr>
      <w:r>
        <w:rPr>
          <w:rFonts w:ascii="Times New Roman" w:eastAsia="Times New Roman"/>
        </w:rPr>
        <w:t>5</w:t>
      </w:r>
      <w:r>
        <w:rPr>
          <w:spacing w:val="-10"/>
        </w:rPr>
        <w:t>、基金份额持有人依法自行召集基金份额持有人大会的，基金管理人、基金托管人应</w:t>
      </w:r>
      <w:r>
        <w:rPr>
          <w:spacing w:val="-5"/>
        </w:rPr>
        <w:t>当配合，不得阻碍、干扰。</w:t>
      </w:r>
    </w:p>
    <w:p>
      <w:pPr>
        <w:pStyle w:val="BodyText"/>
        <w:spacing w:line="269" w:lineRule="exact"/>
      </w:pPr>
      <w:r>
        <w:rPr>
          <w:rFonts w:ascii="Times New Roman" w:eastAsia="Times New Roman"/>
        </w:rPr>
        <w:t>6</w:t>
      </w:r>
      <w:r>
        <w:rPr/>
        <w:t>、基金份额持有人大会的召集人负责选择确定开会时间、地点、方式和权益登记日。</w:t>
      </w:r>
    </w:p>
    <w:p>
      <w:pPr>
        <w:pStyle w:val="BodyText"/>
        <w:spacing w:before="197"/>
      </w:pPr>
      <w:r>
        <w:rPr/>
        <w:t>（五）通知</w:t>
      </w:r>
    </w:p>
    <w:p>
      <w:pPr>
        <w:pStyle w:val="BodyText"/>
        <w:spacing w:before="7"/>
        <w:ind w:left="0"/>
        <w:rPr>
          <w:sz w:val="15"/>
        </w:rPr>
      </w:pPr>
    </w:p>
    <w:p>
      <w:pPr>
        <w:pStyle w:val="BodyText"/>
        <w:spacing w:line="417" w:lineRule="auto"/>
        <w:ind w:left="220" w:right="779" w:firstLine="419"/>
      </w:pPr>
      <w:r>
        <w:rPr>
          <w:spacing w:val="-14"/>
        </w:rPr>
        <w:t>召开基金份额持有人大会，召集人应当于会议召开前 </w:t>
      </w:r>
      <w:r>
        <w:rPr>
          <w:rFonts w:ascii="Times New Roman" w:eastAsia="Times New Roman"/>
        </w:rPr>
        <w:t>30 </w:t>
      </w:r>
      <w:r>
        <w:rPr>
          <w:spacing w:val="-3"/>
        </w:rPr>
        <w:t>天在至少一种指定媒介上公告。基金份额持有人大会通知将至少载明以下内容：</w:t>
      </w:r>
    </w:p>
    <w:p>
      <w:pPr>
        <w:pStyle w:val="BodyText"/>
      </w:pPr>
      <w:r>
        <w:rPr>
          <w:rFonts w:ascii="Times New Roman" w:eastAsia="Times New Roman"/>
        </w:rPr>
        <w:t>1</w:t>
      </w:r>
      <w:r>
        <w:rPr/>
        <w:t>、会议召开的时间、地点、方式。</w:t>
      </w:r>
    </w:p>
    <w:p>
      <w:pPr>
        <w:pStyle w:val="BodyText"/>
        <w:spacing w:before="7"/>
        <w:ind w:left="0"/>
        <w:rPr>
          <w:sz w:val="15"/>
        </w:rPr>
      </w:pPr>
    </w:p>
    <w:p>
      <w:pPr>
        <w:pStyle w:val="BodyText"/>
      </w:pPr>
      <w:r>
        <w:rPr>
          <w:rFonts w:ascii="Times New Roman" w:eastAsia="Times New Roman"/>
        </w:rPr>
        <w:t>2</w:t>
      </w:r>
      <w:r>
        <w:rPr/>
        <w:t>、会议拟审议的主要事项。</w:t>
      </w:r>
    </w:p>
    <w:p>
      <w:pPr>
        <w:pStyle w:val="BodyText"/>
        <w:spacing w:before="7"/>
        <w:ind w:left="0"/>
        <w:rPr>
          <w:sz w:val="15"/>
        </w:rPr>
      </w:pPr>
    </w:p>
    <w:p>
      <w:pPr>
        <w:pStyle w:val="BodyText"/>
      </w:pPr>
      <w:r>
        <w:rPr>
          <w:rFonts w:ascii="Times New Roman" w:eastAsia="Times New Roman"/>
        </w:rPr>
        <w:t>3</w:t>
      </w:r>
      <w:r>
        <w:rPr>
          <w:spacing w:val="-3"/>
        </w:rPr>
        <w:t>、投票委托书送达时间和地点。</w:t>
      </w:r>
    </w:p>
    <w:p>
      <w:pPr>
        <w:pStyle w:val="BodyText"/>
        <w:spacing w:before="6"/>
        <w:ind w:left="0"/>
        <w:rPr>
          <w:sz w:val="15"/>
        </w:rPr>
      </w:pPr>
    </w:p>
    <w:p>
      <w:pPr>
        <w:pStyle w:val="BodyText"/>
        <w:spacing w:before="1"/>
      </w:pPr>
      <w:r>
        <w:rPr>
          <w:rFonts w:ascii="Times New Roman" w:eastAsia="Times New Roman"/>
        </w:rPr>
        <w:t>4</w:t>
      </w:r>
      <w:r>
        <w:rPr>
          <w:spacing w:val="-3"/>
        </w:rPr>
        <w:t>、会务常设联系人姓名、电话。</w:t>
      </w:r>
    </w:p>
    <w:p>
      <w:pPr>
        <w:pStyle w:val="BodyText"/>
        <w:spacing w:before="6"/>
        <w:ind w:left="0"/>
        <w:rPr>
          <w:sz w:val="15"/>
        </w:rPr>
      </w:pPr>
    </w:p>
    <w:p>
      <w:pPr>
        <w:pStyle w:val="BodyText"/>
      </w:pPr>
      <w:r>
        <w:rPr>
          <w:rFonts w:ascii="Times New Roman" w:eastAsia="Times New Roman"/>
        </w:rPr>
        <w:t>5</w:t>
      </w:r>
      <w:r>
        <w:rPr/>
        <w:t>、确定有权出席基金份额持有人大会的基金份额持有人的权益登记日。</w:t>
      </w:r>
    </w:p>
    <w:p>
      <w:pPr>
        <w:pStyle w:val="BodyText"/>
        <w:spacing w:before="7"/>
        <w:ind w:left="0"/>
        <w:rPr>
          <w:sz w:val="15"/>
        </w:rPr>
      </w:pPr>
    </w:p>
    <w:p>
      <w:pPr>
        <w:pStyle w:val="BodyText"/>
        <w:spacing w:line="417" w:lineRule="auto"/>
        <w:ind w:left="220" w:right="986" w:firstLine="419"/>
        <w:jc w:val="right"/>
      </w:pPr>
      <w:r>
        <w:rPr>
          <w:rFonts w:ascii="Times New Roman" w:eastAsia="Times New Roman"/>
        </w:rPr>
        <w:t>6</w:t>
      </w:r>
      <w:r>
        <w:rPr>
          <w:spacing w:val="-12"/>
        </w:rPr>
        <w:t>、如采用通讯表决方式，则载明具体通讯方式、委托的公证机关及其联系方式和联系</w:t>
      </w:r>
      <w:r>
        <w:rPr>
          <w:spacing w:val="-6"/>
        </w:rPr>
        <w:t>人、书面表决意见的寄交和收取方式、投票表决的截止日以及表决票的送达地址等内容。</w:t>
      </w:r>
      <w:r>
        <w:rPr>
          <w:spacing w:val="-4"/>
        </w:rPr>
        <w:t>采用通讯方式开会并进行表决的情况下，如召集人为基金管理人，还应另行通知基金</w:t>
      </w:r>
    </w:p>
    <w:p>
      <w:pPr>
        <w:spacing w:after="0" w:line="417" w:lineRule="auto"/>
        <w:jc w:val="right"/>
        <w:sectPr>
          <w:pgSz w:w="11910" w:h="16840"/>
          <w:pgMar w:header="705" w:footer="683" w:top="1420" w:bottom="880" w:left="1580" w:right="920"/>
        </w:sectPr>
      </w:pPr>
    </w:p>
    <w:p>
      <w:pPr>
        <w:pStyle w:val="BodyText"/>
        <w:spacing w:line="417" w:lineRule="auto" w:before="110"/>
        <w:ind w:left="220" w:right="986"/>
        <w:jc w:val="both"/>
      </w:pPr>
      <w:r>
        <w:rPr/>
        <w:t>托管人到指定地点对书面表决意见的计票进行监督；如召集人为基金托管人，则应另行通知基金管理人到指定地点对书面表决意见的计票进行监督；如召集人为基金份额持有人， 则应另行通知基金管理人和基金托管人到指定地点对书面表决意见的计票进行监督。</w:t>
      </w:r>
    </w:p>
    <w:p>
      <w:pPr>
        <w:pStyle w:val="BodyText"/>
        <w:spacing w:line="269" w:lineRule="exact"/>
      </w:pPr>
      <w:r>
        <w:rPr/>
        <w:t>（六）开会方式</w:t>
      </w:r>
    </w:p>
    <w:p>
      <w:pPr>
        <w:pStyle w:val="BodyText"/>
        <w:spacing w:before="6"/>
        <w:ind w:left="0"/>
        <w:rPr>
          <w:sz w:val="15"/>
        </w:rPr>
      </w:pPr>
    </w:p>
    <w:p>
      <w:pPr>
        <w:pStyle w:val="BodyText"/>
        <w:spacing w:line="417" w:lineRule="auto"/>
        <w:ind w:left="220" w:right="986" w:firstLine="419"/>
        <w:jc w:val="both"/>
      </w:pPr>
      <w:r>
        <w:rPr/>
        <w:t>基金份额持有人大会的召开方式包括现场开会和通讯方式开会。现场开会由基金份额持有人本人出席或通过授权委派其代理人出席，现场开会时基金管理人和基金托管人的授权代表应当出席，基金管理人或基金托管人不派代表出席的，不影响表决效力；通讯方式开会指按照基金合同的相关规定以通讯的书面方式进行表决。会议的召开方式由召集人确定。</w:t>
      </w:r>
    </w:p>
    <w:p>
      <w:pPr>
        <w:pStyle w:val="BodyText"/>
        <w:spacing w:line="269" w:lineRule="exact"/>
      </w:pPr>
      <w:r>
        <w:rPr/>
        <w:t>现场开会同时符合以下条件时，可以进行基金份额持有人大会议程：</w:t>
      </w:r>
    </w:p>
    <w:p>
      <w:pPr>
        <w:pStyle w:val="BodyText"/>
        <w:spacing w:before="7"/>
        <w:ind w:left="0"/>
        <w:rPr>
          <w:sz w:val="15"/>
        </w:rPr>
      </w:pPr>
    </w:p>
    <w:p>
      <w:pPr>
        <w:pStyle w:val="BodyText"/>
        <w:spacing w:line="417" w:lineRule="auto"/>
        <w:ind w:left="220" w:right="986" w:firstLine="419"/>
      </w:pPr>
      <w:r>
        <w:rPr>
          <w:rFonts w:ascii="Times New Roman" w:eastAsia="Times New Roman"/>
        </w:rPr>
        <w:t>1</w:t>
      </w:r>
      <w:r>
        <w:rPr>
          <w:spacing w:val="-12"/>
        </w:rPr>
        <w:t>、亲自出席会议者持有基金份额的凭证和受托出席会议者出具的委托人持有基金份额</w:t>
      </w:r>
      <w:r>
        <w:rPr>
          <w:spacing w:val="-6"/>
        </w:rPr>
        <w:t>的凭证和授权委托书等文件符合法律法规、本基金合同和会议通知的规定。</w:t>
      </w:r>
    </w:p>
    <w:p>
      <w:pPr>
        <w:pStyle w:val="BodyText"/>
        <w:spacing w:line="417" w:lineRule="auto"/>
        <w:ind w:left="220" w:right="988" w:firstLine="419"/>
      </w:pPr>
      <w:r>
        <w:rPr>
          <w:rFonts w:ascii="Times New Roman" w:eastAsia="Times New Roman"/>
        </w:rPr>
        <w:t>2</w:t>
      </w:r>
      <w:r>
        <w:rPr>
          <w:spacing w:val="-11"/>
        </w:rPr>
        <w:t>、经核对，汇总到会者出示的在权益登记日持有基金份额的凭证显示，全部有效凭证</w:t>
      </w:r>
      <w:r>
        <w:rPr>
          <w:spacing w:val="-6"/>
          <w:w w:val="100"/>
        </w:rPr>
        <w:t>所代表的基金份额不少于权益登记日基金总份额的</w:t>
      </w:r>
      <w:r>
        <w:rPr>
          <w:spacing w:val="-6"/>
        </w:rPr>
        <w:t> </w:t>
      </w:r>
      <w:r>
        <w:rPr>
          <w:rFonts w:ascii="Times New Roman" w:eastAsia="Times New Roman"/>
          <w:w w:val="100"/>
        </w:rPr>
        <w:t>50</w:t>
      </w:r>
      <w:r>
        <w:rPr>
          <w:rFonts w:ascii="Times New Roman" w:eastAsia="Times New Roman"/>
          <w:spacing w:val="-1"/>
          <w:w w:val="100"/>
        </w:rPr>
        <w:t>%</w:t>
      </w:r>
      <w:r>
        <w:rPr>
          <w:spacing w:val="-3"/>
          <w:w w:val="100"/>
        </w:rPr>
        <w:t>（</w:t>
      </w:r>
      <w:r>
        <w:rPr>
          <w:w w:val="100"/>
        </w:rPr>
        <w:t>含</w:t>
      </w:r>
      <w:r>
        <w:rPr>
          <w:spacing w:val="-53"/>
        </w:rPr>
        <w:t> </w:t>
      </w:r>
      <w:r>
        <w:rPr>
          <w:rFonts w:ascii="Times New Roman" w:eastAsia="Times New Roman"/>
          <w:w w:val="100"/>
        </w:rPr>
        <w:t>50</w:t>
      </w:r>
      <w:r>
        <w:rPr>
          <w:rFonts w:ascii="Times New Roman" w:eastAsia="Times New Roman"/>
          <w:spacing w:val="-4"/>
          <w:w w:val="100"/>
        </w:rPr>
        <w:t>%</w:t>
      </w:r>
      <w:r>
        <w:rPr>
          <w:spacing w:val="-106"/>
          <w:w w:val="100"/>
        </w:rPr>
        <w:t>）。</w:t>
      </w:r>
    </w:p>
    <w:p>
      <w:pPr>
        <w:pStyle w:val="BodyText"/>
      </w:pPr>
      <w:r>
        <w:rPr/>
        <w:t>在同时符合以下条件时，通讯开会的方式视为有效：</w:t>
      </w:r>
    </w:p>
    <w:p>
      <w:pPr>
        <w:pStyle w:val="BodyText"/>
        <w:spacing w:before="6"/>
        <w:ind w:left="0"/>
        <w:rPr>
          <w:sz w:val="15"/>
        </w:rPr>
      </w:pPr>
    </w:p>
    <w:p>
      <w:pPr>
        <w:pStyle w:val="BodyText"/>
        <w:spacing w:before="1"/>
      </w:pPr>
      <w:r>
        <w:rPr>
          <w:rFonts w:ascii="Times New Roman" w:eastAsia="Times New Roman"/>
        </w:rPr>
        <w:t>1</w:t>
      </w:r>
      <w:r>
        <w:rPr/>
        <w:t>、召集人按基金合同规定公布会议通知，并按规定进行公告。</w:t>
      </w:r>
    </w:p>
    <w:p>
      <w:pPr>
        <w:pStyle w:val="BodyText"/>
        <w:spacing w:before="6"/>
        <w:ind w:left="0"/>
        <w:rPr>
          <w:sz w:val="15"/>
        </w:rPr>
      </w:pPr>
    </w:p>
    <w:p>
      <w:pPr>
        <w:pStyle w:val="BodyText"/>
      </w:pPr>
      <w:r>
        <w:rPr>
          <w:rFonts w:ascii="Times New Roman" w:eastAsia="Times New Roman"/>
        </w:rPr>
        <w:t>2</w:t>
      </w:r>
      <w:r>
        <w:rPr/>
        <w:t>、召集人按照会议通知规定的方式收取基金份额持有人的书面表决意见。</w:t>
      </w:r>
    </w:p>
    <w:p>
      <w:pPr>
        <w:pStyle w:val="BodyText"/>
        <w:spacing w:before="7"/>
        <w:ind w:left="0"/>
        <w:rPr>
          <w:sz w:val="15"/>
        </w:rPr>
      </w:pPr>
    </w:p>
    <w:p>
      <w:pPr>
        <w:pStyle w:val="BodyText"/>
        <w:spacing w:line="417" w:lineRule="auto"/>
        <w:ind w:left="220" w:right="988" w:firstLine="419"/>
      </w:pPr>
      <w:r>
        <w:rPr>
          <w:rFonts w:ascii="Times New Roman" w:hAnsi="Times New Roman" w:eastAsia="Times New Roman"/>
        </w:rPr>
        <w:t>3</w:t>
      </w:r>
      <w:r>
        <w:rPr/>
        <w:t>、召集人按基金合同规定通知基金托管人或</w:t>
      </w:r>
      <w:r>
        <w:rPr>
          <w:rFonts w:ascii="Times New Roman" w:hAnsi="Times New Roman" w:eastAsia="Times New Roman"/>
        </w:rPr>
        <w:t>/</w:t>
      </w:r>
      <w:r>
        <w:rPr/>
        <w:t>和基金管理人（分别或共同地称为“监督人”）到指定地点对书面表决意见的计票进行监督。</w:t>
      </w:r>
    </w:p>
    <w:p>
      <w:pPr>
        <w:pStyle w:val="BodyText"/>
        <w:spacing w:line="417" w:lineRule="auto"/>
        <w:ind w:left="220" w:right="986" w:firstLine="419"/>
      </w:pPr>
      <w:r>
        <w:rPr>
          <w:rFonts w:ascii="Times New Roman" w:eastAsia="Times New Roman"/>
        </w:rPr>
        <w:t>4</w:t>
      </w:r>
      <w:r>
        <w:rPr>
          <w:spacing w:val="-12"/>
        </w:rPr>
        <w:t>、本人直接出具有效书面意见或授权他人代表出具有效书面意见的基金份额持有人所</w:t>
      </w:r>
      <w:r>
        <w:rPr>
          <w:spacing w:val="-6"/>
          <w:w w:val="100"/>
        </w:rPr>
        <w:t>代表的基金份额不少于权益登记日基金总份额的</w:t>
      </w:r>
      <w:r>
        <w:rPr>
          <w:spacing w:val="-6"/>
        </w:rPr>
        <w:t> </w:t>
      </w:r>
      <w:r>
        <w:rPr>
          <w:rFonts w:ascii="Times New Roman" w:eastAsia="Times New Roman"/>
          <w:spacing w:val="-3"/>
          <w:w w:val="100"/>
        </w:rPr>
        <w:t>50</w:t>
      </w:r>
      <w:r>
        <w:rPr>
          <w:rFonts w:ascii="Times New Roman" w:eastAsia="Times New Roman"/>
          <w:spacing w:val="-1"/>
          <w:w w:val="100"/>
        </w:rPr>
        <w:t>%</w:t>
      </w:r>
      <w:r>
        <w:rPr>
          <w:w w:val="100"/>
        </w:rPr>
        <w:t>（含</w:t>
      </w:r>
      <w:r>
        <w:rPr>
          <w:spacing w:val="-53"/>
        </w:rPr>
        <w:t> </w:t>
      </w:r>
      <w:r>
        <w:rPr>
          <w:rFonts w:ascii="Times New Roman" w:eastAsia="Times New Roman"/>
          <w:spacing w:val="-3"/>
          <w:w w:val="100"/>
        </w:rPr>
        <w:t>5</w:t>
      </w:r>
      <w:r>
        <w:rPr>
          <w:rFonts w:ascii="Times New Roman" w:eastAsia="Times New Roman"/>
          <w:w w:val="100"/>
        </w:rPr>
        <w:t>0</w:t>
      </w:r>
      <w:r>
        <w:rPr>
          <w:rFonts w:ascii="Times New Roman" w:eastAsia="Times New Roman"/>
          <w:spacing w:val="-1"/>
          <w:w w:val="100"/>
        </w:rPr>
        <w:t>%</w:t>
      </w:r>
      <w:r>
        <w:rPr>
          <w:spacing w:val="-108"/>
          <w:w w:val="100"/>
        </w:rPr>
        <w:t>）。</w:t>
      </w:r>
    </w:p>
    <w:p>
      <w:pPr>
        <w:pStyle w:val="BodyText"/>
        <w:spacing w:line="417" w:lineRule="auto"/>
        <w:ind w:left="220" w:right="986" w:firstLine="419"/>
        <w:jc w:val="both"/>
      </w:pPr>
      <w:r>
        <w:rPr>
          <w:rFonts w:ascii="Times New Roman" w:eastAsia="Times New Roman"/>
        </w:rPr>
        <w:t>5</w:t>
      </w:r>
      <w:r>
        <w:rPr>
          <w:spacing w:val="-11"/>
        </w:rPr>
        <w:t>、直接出具书面意见的基金份额持有人或受托代表他人出具书面意见的代理人，同时</w:t>
      </w:r>
      <w:r>
        <w:rPr>
          <w:spacing w:val="-6"/>
        </w:rPr>
        <w:t>提交的持有基金份额的凭证和受托出席会议者出具的委托人持有基金份额的凭证和授权委</w:t>
      </w:r>
      <w:r>
        <w:rPr>
          <w:spacing w:val="-4"/>
        </w:rPr>
        <w:t>托书等文件符合法律法规、基金合同和会议通知的规定。</w:t>
      </w:r>
    </w:p>
    <w:p>
      <w:pPr>
        <w:pStyle w:val="BodyText"/>
        <w:spacing w:line="269" w:lineRule="exact"/>
      </w:pPr>
      <w:r>
        <w:rPr>
          <w:rFonts w:ascii="Times New Roman" w:eastAsia="Times New Roman"/>
        </w:rPr>
        <w:t>6</w:t>
      </w:r>
      <w:r>
        <w:rPr/>
        <w:t>、会议通知公布前已报中国证监会备案。</w:t>
      </w:r>
    </w:p>
    <w:p>
      <w:pPr>
        <w:pStyle w:val="BodyText"/>
        <w:spacing w:before="7"/>
        <w:ind w:left="0"/>
        <w:rPr>
          <w:sz w:val="15"/>
        </w:rPr>
      </w:pPr>
    </w:p>
    <w:p>
      <w:pPr>
        <w:pStyle w:val="BodyText"/>
        <w:spacing w:line="417" w:lineRule="auto"/>
        <w:ind w:left="220" w:right="986" w:firstLine="419"/>
      </w:pPr>
      <w:r>
        <w:rPr/>
        <w:t>如果开会条件达不到上述的条件，则召集人可另行确定并公告重新表决的时间，且确定有权出席会议的基金份额持有人资格的权益登记日不变。</w:t>
      </w:r>
    </w:p>
    <w:p>
      <w:pPr>
        <w:pStyle w:val="BodyText"/>
        <w:spacing w:line="269" w:lineRule="exact"/>
      </w:pPr>
      <w:r>
        <w:rPr/>
        <w:t>（七）议事内容与程序</w:t>
      </w:r>
    </w:p>
    <w:p>
      <w:pPr>
        <w:pStyle w:val="BodyText"/>
        <w:spacing w:before="7"/>
        <w:ind w:left="0"/>
        <w:rPr>
          <w:sz w:val="15"/>
        </w:rPr>
      </w:pPr>
    </w:p>
    <w:p>
      <w:pPr>
        <w:pStyle w:val="BodyText"/>
      </w:pPr>
      <w:r>
        <w:rPr>
          <w:rFonts w:ascii="Times New Roman" w:eastAsia="Times New Roman"/>
        </w:rPr>
        <w:t>1</w:t>
      </w:r>
      <w:r>
        <w:rPr/>
        <w:t>、议事内容及提案权</w:t>
      </w:r>
    </w:p>
    <w:p>
      <w:pPr>
        <w:pStyle w:val="BodyText"/>
        <w:spacing w:before="7"/>
        <w:ind w:left="0"/>
        <w:rPr>
          <w:sz w:val="15"/>
        </w:rPr>
      </w:pPr>
    </w:p>
    <w:p>
      <w:pPr>
        <w:pStyle w:val="ListParagraph"/>
        <w:numPr>
          <w:ilvl w:val="0"/>
          <w:numId w:val="38"/>
        </w:numPr>
        <w:tabs>
          <w:tab w:pos="1167" w:val="left" w:leader="none"/>
        </w:tabs>
        <w:spacing w:line="240" w:lineRule="auto" w:before="0" w:after="0"/>
        <w:ind w:left="1167" w:right="0" w:hanging="527"/>
        <w:jc w:val="left"/>
        <w:rPr>
          <w:sz w:val="21"/>
        </w:rPr>
      </w:pPr>
      <w:r>
        <w:rPr>
          <w:spacing w:val="-6"/>
          <w:sz w:val="21"/>
        </w:rPr>
        <w:t>议事内容限为本条前述第</w:t>
      </w:r>
      <w:r>
        <w:rPr>
          <w:sz w:val="21"/>
        </w:rPr>
        <w:t>（</w:t>
      </w:r>
      <w:r>
        <w:rPr>
          <w:spacing w:val="-3"/>
          <w:sz w:val="21"/>
        </w:rPr>
        <w:t>二</w:t>
      </w:r>
      <w:r>
        <w:rPr>
          <w:spacing w:val="-36"/>
          <w:sz w:val="21"/>
        </w:rPr>
        <w:t>）</w:t>
      </w:r>
      <w:r>
        <w:rPr>
          <w:spacing w:val="-3"/>
          <w:sz w:val="21"/>
        </w:rPr>
        <w:t>款规定的基金份额持有人大会召开事由范围内的</w:t>
      </w:r>
    </w:p>
    <w:p>
      <w:pPr>
        <w:spacing w:after="0" w:line="240" w:lineRule="auto"/>
        <w:jc w:val="left"/>
        <w:rPr>
          <w:sz w:val="21"/>
        </w:rPr>
        <w:sectPr>
          <w:pgSz w:w="11910" w:h="16840"/>
          <w:pgMar w:header="705" w:footer="683" w:top="1420" w:bottom="880" w:left="1580" w:right="920"/>
        </w:sectPr>
      </w:pPr>
    </w:p>
    <w:p>
      <w:pPr>
        <w:pStyle w:val="BodyText"/>
        <w:spacing w:before="110"/>
        <w:ind w:left="220"/>
      </w:pPr>
      <w:r>
        <w:rPr/>
        <w:t>事项。</w:t>
      </w:r>
    </w:p>
    <w:p>
      <w:pPr>
        <w:pStyle w:val="BodyText"/>
        <w:spacing w:before="6"/>
        <w:ind w:left="0"/>
        <w:rPr>
          <w:sz w:val="15"/>
        </w:rPr>
      </w:pPr>
    </w:p>
    <w:p>
      <w:pPr>
        <w:pStyle w:val="ListParagraph"/>
        <w:numPr>
          <w:ilvl w:val="0"/>
          <w:numId w:val="38"/>
        </w:numPr>
        <w:tabs>
          <w:tab w:pos="1170" w:val="left" w:leader="none"/>
        </w:tabs>
        <w:spacing w:line="417" w:lineRule="auto" w:before="0" w:after="0"/>
        <w:ind w:left="220" w:right="881" w:firstLine="419"/>
        <w:jc w:val="left"/>
        <w:rPr>
          <w:sz w:val="21"/>
        </w:rPr>
      </w:pPr>
      <w:r>
        <w:rPr>
          <w:spacing w:val="-8"/>
          <w:sz w:val="21"/>
        </w:rPr>
        <w:t>基金份额持有人大会的召集人发出召开会议的通知后，如果对原有提案进行修改</w:t>
      </w:r>
      <w:r>
        <w:rPr>
          <w:spacing w:val="-3"/>
          <w:sz w:val="21"/>
        </w:rPr>
        <w:t>，应当在基金份额持有人大会召开前及时公告。</w:t>
      </w:r>
    </w:p>
    <w:p>
      <w:pPr>
        <w:pStyle w:val="ListParagraph"/>
        <w:numPr>
          <w:ilvl w:val="0"/>
          <w:numId w:val="38"/>
        </w:numPr>
        <w:tabs>
          <w:tab w:pos="1170" w:val="left" w:leader="none"/>
        </w:tabs>
        <w:spacing w:line="269" w:lineRule="exact" w:before="0" w:after="0"/>
        <w:ind w:left="1169" w:right="0" w:hanging="530"/>
        <w:jc w:val="left"/>
        <w:rPr>
          <w:sz w:val="21"/>
        </w:rPr>
      </w:pPr>
      <w:r>
        <w:rPr>
          <w:spacing w:val="-3"/>
          <w:sz w:val="21"/>
        </w:rPr>
        <w:t>基金份额持有人大会不得对未事先公告的议事内容进行表决。</w:t>
      </w:r>
    </w:p>
    <w:p>
      <w:pPr>
        <w:pStyle w:val="BodyText"/>
        <w:spacing w:before="7"/>
        <w:ind w:left="0"/>
        <w:rPr>
          <w:sz w:val="15"/>
        </w:rPr>
      </w:pPr>
    </w:p>
    <w:p>
      <w:pPr>
        <w:pStyle w:val="BodyText"/>
      </w:pPr>
      <w:r>
        <w:rPr>
          <w:rFonts w:ascii="Times New Roman" w:eastAsia="Times New Roman"/>
        </w:rPr>
        <w:t>2</w:t>
      </w:r>
      <w:r>
        <w:rPr/>
        <w:t>、议事程序</w:t>
      </w:r>
    </w:p>
    <w:p>
      <w:pPr>
        <w:pStyle w:val="BodyText"/>
        <w:spacing w:before="7"/>
        <w:ind w:left="0"/>
        <w:rPr>
          <w:sz w:val="15"/>
        </w:rPr>
      </w:pPr>
    </w:p>
    <w:p>
      <w:pPr>
        <w:pStyle w:val="BodyText"/>
        <w:spacing w:line="417" w:lineRule="auto"/>
        <w:ind w:left="220" w:right="986" w:firstLine="419"/>
        <w:jc w:val="both"/>
      </w:pPr>
      <w:r>
        <w:rPr>
          <w:spacing w:val="-15"/>
        </w:rPr>
        <w:t>在现场开会的方式下，首先由召集人宣读提案，经讨论后进行表决，并形成大会决议， </w:t>
      </w:r>
      <w:r>
        <w:rPr>
          <w:spacing w:val="-7"/>
        </w:rPr>
        <w:t>报经中国证监会核准或备案后生效；在通讯表决开会的方式下，首先由召集人在会议通知</w:t>
      </w:r>
      <w:r>
        <w:rPr>
          <w:spacing w:val="-5"/>
        </w:rPr>
        <w:t>中公布提案，在所通知的表决截止日期第二个工作日在公证机关及监督人的监督下，由召</w:t>
      </w:r>
      <w:r>
        <w:rPr>
          <w:spacing w:val="-4"/>
        </w:rPr>
        <w:t>集人统计全部有效表决并形成决议，如监督人经通知但拒绝到场监督，则在公证机关监督</w:t>
      </w:r>
      <w:r>
        <w:rPr>
          <w:spacing w:val="-3"/>
        </w:rPr>
        <w:t>下形成的决议有效。决议报经中国证监会核准或备案后生效。</w:t>
      </w:r>
    </w:p>
    <w:p>
      <w:pPr>
        <w:pStyle w:val="BodyText"/>
        <w:spacing w:line="269" w:lineRule="exact"/>
      </w:pPr>
      <w:r>
        <w:rPr/>
        <w:t>（八）表决</w:t>
      </w:r>
    </w:p>
    <w:p>
      <w:pPr>
        <w:pStyle w:val="BodyText"/>
        <w:spacing w:before="7"/>
        <w:ind w:left="0"/>
        <w:rPr>
          <w:sz w:val="15"/>
        </w:rPr>
      </w:pPr>
    </w:p>
    <w:p>
      <w:pPr>
        <w:pStyle w:val="BodyText"/>
      </w:pPr>
      <w:r>
        <w:rPr>
          <w:rFonts w:ascii="Times New Roman" w:eastAsia="Times New Roman"/>
        </w:rPr>
        <w:t>1</w:t>
      </w:r>
      <w:r>
        <w:rPr/>
        <w:t>、基金份额持有人所持每份基金份额享有平等的表决权。</w:t>
      </w:r>
    </w:p>
    <w:p>
      <w:pPr>
        <w:pStyle w:val="BodyText"/>
        <w:spacing w:before="6"/>
        <w:ind w:left="0"/>
        <w:rPr>
          <w:sz w:val="15"/>
        </w:rPr>
      </w:pPr>
    </w:p>
    <w:p>
      <w:pPr>
        <w:pStyle w:val="BodyText"/>
      </w:pPr>
      <w:r>
        <w:rPr>
          <w:rFonts w:ascii="Times New Roman" w:eastAsia="Times New Roman"/>
        </w:rPr>
        <w:t>2</w:t>
      </w:r>
      <w:r>
        <w:rPr/>
        <w:t>、基金份额持有人大会决议分为一般决议和特别决议：</w:t>
      </w:r>
    </w:p>
    <w:p>
      <w:pPr>
        <w:pStyle w:val="BodyText"/>
        <w:spacing w:before="7"/>
        <w:ind w:left="0"/>
        <w:rPr>
          <w:sz w:val="15"/>
        </w:rPr>
      </w:pPr>
    </w:p>
    <w:p>
      <w:pPr>
        <w:pStyle w:val="ListParagraph"/>
        <w:numPr>
          <w:ilvl w:val="0"/>
          <w:numId w:val="39"/>
        </w:numPr>
        <w:tabs>
          <w:tab w:pos="1170" w:val="left" w:leader="none"/>
        </w:tabs>
        <w:spacing w:line="240" w:lineRule="auto" w:before="0" w:after="0"/>
        <w:ind w:left="1169" w:right="0" w:hanging="530"/>
        <w:jc w:val="left"/>
        <w:rPr>
          <w:sz w:val="21"/>
        </w:rPr>
      </w:pPr>
      <w:r>
        <w:rPr>
          <w:spacing w:val="-2"/>
          <w:sz w:val="21"/>
        </w:rPr>
        <w:t>特别决议</w:t>
      </w:r>
    </w:p>
    <w:p>
      <w:pPr>
        <w:pStyle w:val="BodyText"/>
        <w:spacing w:before="7"/>
        <w:ind w:left="0"/>
        <w:rPr>
          <w:sz w:val="15"/>
        </w:rPr>
      </w:pPr>
    </w:p>
    <w:p>
      <w:pPr>
        <w:pStyle w:val="BodyText"/>
        <w:spacing w:line="417" w:lineRule="auto"/>
        <w:ind w:left="220" w:right="986" w:firstLine="419"/>
      </w:pPr>
      <w:r>
        <w:rPr/>
        <w:t>特别决议应当经参加大会的基金份额持有人及代理人所持表决权的三分之二以上（含三分之二）通过。</w:t>
      </w:r>
    </w:p>
    <w:p>
      <w:pPr>
        <w:pStyle w:val="ListParagraph"/>
        <w:numPr>
          <w:ilvl w:val="0"/>
          <w:numId w:val="39"/>
        </w:numPr>
        <w:tabs>
          <w:tab w:pos="1170" w:val="left" w:leader="none"/>
        </w:tabs>
        <w:spacing w:line="269" w:lineRule="exact" w:before="0" w:after="0"/>
        <w:ind w:left="1169" w:right="0" w:hanging="530"/>
        <w:jc w:val="left"/>
        <w:rPr>
          <w:sz w:val="21"/>
        </w:rPr>
      </w:pPr>
      <w:r>
        <w:rPr>
          <w:spacing w:val="-2"/>
          <w:sz w:val="21"/>
        </w:rPr>
        <w:t>一般决议</w:t>
      </w:r>
    </w:p>
    <w:p>
      <w:pPr>
        <w:pStyle w:val="BodyText"/>
        <w:spacing w:before="7"/>
        <w:ind w:left="0"/>
        <w:rPr>
          <w:sz w:val="15"/>
        </w:rPr>
      </w:pPr>
    </w:p>
    <w:p>
      <w:pPr>
        <w:pStyle w:val="BodyText"/>
        <w:spacing w:line="417" w:lineRule="auto"/>
        <w:ind w:left="220" w:right="987" w:firstLine="419"/>
      </w:pPr>
      <w:r>
        <w:rPr/>
        <w:t>一般决议应当经参加大会的基金份额持有人及代理人所持表决权的 </w:t>
      </w:r>
      <w:r>
        <w:rPr>
          <w:rFonts w:ascii="Times New Roman" w:eastAsia="Times New Roman"/>
        </w:rPr>
        <w:t>50%</w:t>
      </w:r>
      <w:r>
        <w:rPr/>
        <w:t>以上（不含</w:t>
      </w:r>
      <w:r>
        <w:rPr>
          <w:rFonts w:ascii="Times New Roman" w:eastAsia="Times New Roman"/>
        </w:rPr>
        <w:t>50%</w:t>
      </w:r>
      <w:r>
        <w:rPr/>
        <w:t>）通过。</w:t>
      </w:r>
    </w:p>
    <w:p>
      <w:pPr>
        <w:pStyle w:val="BodyText"/>
        <w:spacing w:line="417" w:lineRule="auto"/>
        <w:ind w:left="220" w:right="986" w:firstLine="419"/>
      </w:pPr>
      <w:r>
        <w:rPr/>
        <w:t>更换基金管理人或者基金托管人、转换基金运作方式或提前终止基金合同应当以特别决议通过方为有效，其他事项均以一般决议的方式通过即为有效。</w:t>
      </w:r>
    </w:p>
    <w:p>
      <w:pPr>
        <w:pStyle w:val="BodyText"/>
      </w:pPr>
      <w:r>
        <w:rPr/>
        <w:t>基金份额持有人大会采取记名方式进行投票表决。</w:t>
      </w:r>
    </w:p>
    <w:p>
      <w:pPr>
        <w:pStyle w:val="BodyText"/>
        <w:spacing w:before="7"/>
        <w:ind w:left="0"/>
        <w:rPr>
          <w:sz w:val="15"/>
        </w:rPr>
      </w:pPr>
    </w:p>
    <w:p>
      <w:pPr>
        <w:pStyle w:val="BodyText"/>
        <w:spacing w:line="417" w:lineRule="auto"/>
        <w:ind w:left="220" w:right="986" w:firstLine="419"/>
      </w:pPr>
      <w:r>
        <w:rPr/>
        <w:t>基金份额持有人大会的各项提案或同一项提案内并列的各项议题应当分开审议、逐项表决。</w:t>
      </w:r>
    </w:p>
    <w:p>
      <w:pPr>
        <w:pStyle w:val="BodyText"/>
        <w:spacing w:line="417" w:lineRule="auto"/>
        <w:ind w:left="220" w:right="986" w:firstLine="419"/>
        <w:jc w:val="both"/>
      </w:pPr>
      <w:r>
        <w:rPr>
          <w:rFonts w:ascii="Times New Roman" w:eastAsia="Times New Roman"/>
        </w:rPr>
        <w:t>3</w:t>
      </w:r>
      <w:r>
        <w:rPr>
          <w:spacing w:val="-12"/>
        </w:rPr>
        <w:t>、采取通讯方式进行表决时，符合法律法规、基金合同和会议通知规定的书面表决意</w:t>
      </w:r>
      <w:r>
        <w:rPr>
          <w:spacing w:val="-6"/>
        </w:rPr>
        <w:t>见即视为有效的表决；表决意见模糊不清或相互矛盾的视为弃权表决，但应当计入出具书</w:t>
      </w:r>
      <w:r>
        <w:rPr>
          <w:spacing w:val="-4"/>
        </w:rPr>
        <w:t>面意见的基金份额持有人所代表的基金份额总数。</w:t>
      </w:r>
    </w:p>
    <w:p>
      <w:pPr>
        <w:pStyle w:val="BodyText"/>
        <w:spacing w:line="269" w:lineRule="exact"/>
      </w:pPr>
      <w:r>
        <w:rPr/>
        <w:t>（九）计票</w:t>
      </w:r>
    </w:p>
    <w:p>
      <w:pPr>
        <w:pStyle w:val="BodyText"/>
        <w:spacing w:before="6"/>
        <w:ind w:left="0"/>
        <w:rPr>
          <w:sz w:val="15"/>
        </w:rPr>
      </w:pPr>
    </w:p>
    <w:p>
      <w:pPr>
        <w:pStyle w:val="BodyText"/>
        <w:spacing w:before="1"/>
      </w:pPr>
      <w:r>
        <w:rPr>
          <w:rFonts w:ascii="Times New Roman" w:eastAsia="Times New Roman"/>
        </w:rPr>
        <w:t>1</w:t>
      </w:r>
      <w:r>
        <w:rPr/>
        <w:t>、现场开会</w:t>
      </w:r>
    </w:p>
    <w:p>
      <w:pPr>
        <w:pStyle w:val="BodyText"/>
        <w:spacing w:before="6"/>
        <w:ind w:left="0"/>
        <w:rPr>
          <w:sz w:val="15"/>
        </w:rPr>
      </w:pPr>
    </w:p>
    <w:p>
      <w:pPr>
        <w:pStyle w:val="ListParagraph"/>
        <w:numPr>
          <w:ilvl w:val="0"/>
          <w:numId w:val="40"/>
        </w:numPr>
        <w:tabs>
          <w:tab w:pos="1170" w:val="left" w:leader="none"/>
        </w:tabs>
        <w:spacing w:line="240" w:lineRule="auto" w:before="0" w:after="0"/>
        <w:ind w:left="1169" w:right="0" w:hanging="530"/>
        <w:jc w:val="left"/>
        <w:rPr>
          <w:sz w:val="21"/>
        </w:rPr>
      </w:pPr>
      <w:r>
        <w:rPr>
          <w:spacing w:val="-5"/>
          <w:sz w:val="21"/>
        </w:rPr>
        <w:t>基金份额持有人大会的主持人为召集人授权出席大会的代表，如大会由基金管理</w:t>
      </w:r>
    </w:p>
    <w:p>
      <w:pPr>
        <w:spacing w:after="0" w:line="240" w:lineRule="auto"/>
        <w:jc w:val="left"/>
        <w:rPr>
          <w:sz w:val="21"/>
        </w:rPr>
        <w:sectPr>
          <w:pgSz w:w="11910" w:h="16840"/>
          <w:pgMar w:header="705" w:footer="683" w:top="1420" w:bottom="880" w:left="1580" w:right="920"/>
        </w:sectPr>
      </w:pPr>
    </w:p>
    <w:p>
      <w:pPr>
        <w:pStyle w:val="BodyText"/>
        <w:spacing w:line="417" w:lineRule="auto" w:before="110"/>
        <w:ind w:left="220" w:right="986"/>
      </w:pPr>
      <w:r>
        <w:rPr>
          <w:spacing w:val="-3"/>
        </w:rPr>
        <w:t>人或基金托管人召集，基金份额持有人大会的主持人应当在会议开始后宣布在出席会议的基金份额持有人和代理人中推举两名基金份额持有人代表与大会召集人授权的一名监督员</w:t>
      </w:r>
    </w:p>
    <w:p>
      <w:pPr>
        <w:pStyle w:val="BodyText"/>
        <w:spacing w:line="417" w:lineRule="auto"/>
        <w:ind w:left="220" w:right="986"/>
        <w:jc w:val="both"/>
      </w:pPr>
      <w:r>
        <w:rPr/>
        <w:t>（</w:t>
      </w:r>
      <w:r>
        <w:rPr>
          <w:spacing w:val="-3"/>
        </w:rPr>
        <w:t>如果基金管理人为召集人，则监督员由基金托管人担任；如基金托管人为召集人，则监督员由基金托管人在出席会议的基金份额持有人中指定）共同担任监票人；如大会由基金份额持有人自行召集，基金份额持有人大会的主持人应当在会议开始后宣布在出席会议的基金份额持有人和代理人中推举两名基金份额持有人代表与基金管理人、基金托管人授权的一名监督员共同担任监票人，但如基金管理人和基金托管人的授权代表未出席，则大会主持人可自行宣布在出席会议的基金份额持有人中推举三名基金份额持有人担任监票人。</w:t>
      </w:r>
    </w:p>
    <w:p>
      <w:pPr>
        <w:pStyle w:val="ListParagraph"/>
        <w:numPr>
          <w:ilvl w:val="0"/>
          <w:numId w:val="40"/>
        </w:numPr>
        <w:tabs>
          <w:tab w:pos="1167" w:val="left" w:leader="none"/>
        </w:tabs>
        <w:spacing w:line="417" w:lineRule="auto" w:before="0" w:after="0"/>
        <w:ind w:left="220" w:right="986" w:firstLine="419"/>
        <w:jc w:val="left"/>
        <w:rPr>
          <w:sz w:val="21"/>
        </w:rPr>
      </w:pPr>
      <w:r>
        <w:rPr>
          <w:spacing w:val="-3"/>
          <w:sz w:val="21"/>
        </w:rPr>
        <w:t>监票人应当在基金份额持有人表决后立即进行清点并由大会主持人当场公布计</w:t>
      </w:r>
      <w:r>
        <w:rPr>
          <w:sz w:val="21"/>
        </w:rPr>
        <w:t>票结果。</w:t>
      </w:r>
    </w:p>
    <w:p>
      <w:pPr>
        <w:pStyle w:val="ListParagraph"/>
        <w:numPr>
          <w:ilvl w:val="0"/>
          <w:numId w:val="40"/>
        </w:numPr>
        <w:tabs>
          <w:tab w:pos="1167" w:val="left" w:leader="none"/>
        </w:tabs>
        <w:spacing w:line="417" w:lineRule="auto" w:before="0" w:after="0"/>
        <w:ind w:left="220" w:right="986" w:firstLine="419"/>
        <w:jc w:val="both"/>
        <w:rPr>
          <w:sz w:val="21"/>
        </w:rPr>
      </w:pPr>
      <w:r>
        <w:rPr>
          <w:spacing w:val="-6"/>
          <w:sz w:val="21"/>
        </w:rPr>
        <w:t>如果会议主持人对于提交的表决结果有怀疑，可以对所投票数进行重新清点； </w:t>
      </w:r>
      <w:r>
        <w:rPr>
          <w:spacing w:val="-3"/>
          <w:sz w:val="21"/>
        </w:rPr>
        <w:t>如果会议主持人未进行重新清点，而出席会议的基金份额持有人或者基金份额持有人代理人对会议主持人宣布的表决结果有异议，其有权在宣布表决结果后立即要求重新清点，会议主持人应当立即重新清点并公布重新清点结果。重新清点仅限一次。</w:t>
      </w:r>
    </w:p>
    <w:p>
      <w:pPr>
        <w:pStyle w:val="BodyText"/>
        <w:spacing w:line="269" w:lineRule="exact"/>
      </w:pPr>
      <w:r>
        <w:rPr>
          <w:rFonts w:ascii="Times New Roman" w:eastAsia="Times New Roman"/>
        </w:rPr>
        <w:t>2</w:t>
      </w:r>
      <w:r>
        <w:rPr/>
        <w:t>、通讯方式开会</w:t>
      </w:r>
    </w:p>
    <w:p>
      <w:pPr>
        <w:pStyle w:val="BodyText"/>
        <w:spacing w:line="417" w:lineRule="auto" w:before="198"/>
        <w:ind w:left="220" w:right="986" w:firstLine="419"/>
        <w:jc w:val="both"/>
      </w:pPr>
      <w:r>
        <w:rPr>
          <w:spacing w:val="-3"/>
        </w:rPr>
        <w:t>在通讯方式开会的情况下，计票方式为：由大会召集人授权的两名监督员在监督人派出的授权代表的监督下进行计票，并由公证机关对其计票过程予以公证；如监督人经通知</w:t>
      </w:r>
      <w:r>
        <w:rPr>
          <w:spacing w:val="-5"/>
        </w:rPr>
        <w:t>但拒绝到场监督，则大会召集人可自行授权 </w:t>
      </w:r>
      <w:r>
        <w:rPr>
          <w:rFonts w:ascii="Times New Roman" w:eastAsia="Times New Roman"/>
        </w:rPr>
        <w:t>3 </w:t>
      </w:r>
      <w:r>
        <w:rPr>
          <w:spacing w:val="-3"/>
        </w:rPr>
        <w:t>名监督员进行计票，并由公证机关对其计票过程予以公证。</w:t>
      </w:r>
    </w:p>
    <w:p>
      <w:pPr>
        <w:pStyle w:val="BodyText"/>
        <w:spacing w:line="268" w:lineRule="exact"/>
      </w:pPr>
      <w:r>
        <w:rPr/>
        <w:t>（十）生效与公告</w:t>
      </w:r>
    </w:p>
    <w:p>
      <w:pPr>
        <w:pStyle w:val="BodyText"/>
        <w:spacing w:before="6"/>
        <w:ind w:left="0"/>
        <w:rPr>
          <w:sz w:val="15"/>
        </w:rPr>
      </w:pPr>
    </w:p>
    <w:p>
      <w:pPr>
        <w:pStyle w:val="BodyText"/>
        <w:spacing w:line="417" w:lineRule="auto"/>
        <w:ind w:left="220" w:right="986" w:firstLine="419"/>
        <w:jc w:val="both"/>
      </w:pPr>
      <w:r>
        <w:rPr>
          <w:rFonts w:ascii="Times New Roman" w:eastAsia="Times New Roman"/>
        </w:rPr>
        <w:t>1</w:t>
      </w:r>
      <w:r>
        <w:rPr>
          <w:spacing w:val="-12"/>
        </w:rPr>
        <w:t>、基金份额持有人大会按照《基金法》和有关规定表决通过的事项，召集人应当自通</w:t>
      </w:r>
      <w:r>
        <w:rPr>
          <w:spacing w:val="-6"/>
        </w:rPr>
        <w:t>过之日起五日内报中国证监会核准或者备案。基金份额持有人大会决定的事项自中国证监</w:t>
      </w:r>
      <w:r>
        <w:rPr>
          <w:spacing w:val="-4"/>
        </w:rPr>
        <w:t>会依法核准或者出具无异议意见之日起生效。</w:t>
      </w:r>
    </w:p>
    <w:p>
      <w:pPr>
        <w:pStyle w:val="BodyText"/>
        <w:spacing w:line="417" w:lineRule="auto"/>
        <w:ind w:left="220" w:right="986" w:firstLine="419"/>
        <w:jc w:val="both"/>
      </w:pPr>
      <w:r>
        <w:rPr>
          <w:rFonts w:ascii="Times New Roman" w:eastAsia="Times New Roman"/>
        </w:rPr>
        <w:t>2</w:t>
      </w:r>
      <w:r>
        <w:rPr>
          <w:spacing w:val="-10"/>
        </w:rPr>
        <w:t>、生效的基金份额持有人大会决议对全体基金份额持有人、基金管理人、基金托管人</w:t>
      </w:r>
      <w:r>
        <w:rPr>
          <w:spacing w:val="-5"/>
        </w:rPr>
        <w:t>均有法律约束力。基金管理人、基金托管人和基金份额持有人应当执行生效的基金份额持</w:t>
      </w:r>
      <w:r>
        <w:rPr>
          <w:spacing w:val="-4"/>
        </w:rPr>
        <w:t>有人大会的决定。</w:t>
      </w:r>
    </w:p>
    <w:p>
      <w:pPr>
        <w:pStyle w:val="BodyText"/>
        <w:spacing w:line="417" w:lineRule="auto"/>
        <w:ind w:left="220" w:right="986" w:firstLine="419"/>
        <w:jc w:val="both"/>
      </w:pPr>
      <w:r>
        <w:rPr>
          <w:rFonts w:ascii="Times New Roman" w:eastAsia="Times New Roman"/>
        </w:rPr>
        <w:t>3</w:t>
      </w:r>
      <w:r>
        <w:rPr>
          <w:spacing w:val="-10"/>
        </w:rPr>
        <w:t>、基金份额持有人大会决议应当自中国证监会核准或出具无异议意见后 </w:t>
      </w:r>
      <w:r>
        <w:rPr>
          <w:rFonts w:ascii="Times New Roman" w:eastAsia="Times New Roman"/>
        </w:rPr>
        <w:t>2 </w:t>
      </w:r>
      <w:r>
        <w:rPr>
          <w:spacing w:val="-12"/>
        </w:rPr>
        <w:t>日内，由基</w:t>
      </w:r>
      <w:r>
        <w:rPr>
          <w:spacing w:val="-6"/>
        </w:rPr>
        <w:t>金份额持有人大会召集人在至少一种指定媒介公告。</w:t>
      </w:r>
    </w:p>
    <w:p>
      <w:pPr>
        <w:pStyle w:val="BodyText"/>
        <w:spacing w:line="417" w:lineRule="auto"/>
        <w:ind w:left="220" w:right="988" w:firstLine="419"/>
      </w:pPr>
      <w:r>
        <w:rPr>
          <w:rFonts w:ascii="Times New Roman" w:eastAsia="Times New Roman"/>
        </w:rPr>
        <w:t>4</w:t>
      </w:r>
      <w:r>
        <w:rPr>
          <w:spacing w:val="-10"/>
        </w:rPr>
        <w:t>、如果采用通讯方式进行表决，在公告基金份额持有人大会决议时，必须将公证书全</w:t>
      </w:r>
      <w:r>
        <w:rPr>
          <w:spacing w:val="-5"/>
        </w:rPr>
        <w:t>文、公证机关、公证员姓名等一同公告。</w:t>
      </w:r>
    </w:p>
    <w:p>
      <w:pPr>
        <w:spacing w:after="0" w:line="417" w:lineRule="auto"/>
        <w:sectPr>
          <w:pgSz w:w="11910" w:h="16840"/>
          <w:pgMar w:header="705" w:footer="683" w:top="1420" w:bottom="880" w:left="1580" w:right="920"/>
        </w:sectPr>
      </w:pPr>
    </w:p>
    <w:p>
      <w:pPr>
        <w:pStyle w:val="BodyText"/>
        <w:spacing w:before="110"/>
        <w:jc w:val="both"/>
      </w:pPr>
      <w:r>
        <w:rPr/>
        <w:t>（十一）关于本基金所持目标</w:t>
      </w:r>
      <w:r>
        <w:rPr>
          <w:rFonts w:ascii="Times New Roman" w:eastAsia="Times New Roman"/>
        </w:rPr>
        <w:t>ETF </w:t>
      </w:r>
      <w:r>
        <w:rPr/>
        <w:t>份额行使表决权的方式</w:t>
      </w:r>
    </w:p>
    <w:p>
      <w:pPr>
        <w:pStyle w:val="BodyText"/>
        <w:spacing w:before="6"/>
        <w:ind w:left="0"/>
        <w:rPr>
          <w:sz w:val="15"/>
        </w:rPr>
      </w:pPr>
    </w:p>
    <w:p>
      <w:pPr>
        <w:pStyle w:val="BodyText"/>
        <w:spacing w:line="417" w:lineRule="auto"/>
        <w:ind w:left="220" w:right="986" w:firstLine="419"/>
        <w:jc w:val="both"/>
      </w:pPr>
      <w:r>
        <w:rPr>
          <w:spacing w:val="3"/>
        </w:rPr>
        <w:t>鉴于本基金是目标</w:t>
      </w:r>
      <w:r>
        <w:rPr>
          <w:rFonts w:ascii="Times New Roman" w:eastAsia="Times New Roman"/>
        </w:rPr>
        <w:t>ETF </w:t>
      </w:r>
      <w:r>
        <w:rPr>
          <w:spacing w:val="-9"/>
        </w:rPr>
        <w:t>的联接基金，本基金的基金份额持有人可以凭所持有的本基金</w:t>
      </w:r>
      <w:r>
        <w:rPr>
          <w:spacing w:val="-10"/>
        </w:rPr>
        <w:t>份额行使与目标 </w:t>
      </w:r>
      <w:r>
        <w:rPr>
          <w:rFonts w:ascii="Times New Roman" w:eastAsia="Times New Roman"/>
        </w:rPr>
        <w:t>ETF </w:t>
      </w:r>
      <w:r>
        <w:rPr>
          <w:spacing w:val="-7"/>
        </w:rPr>
        <w:t>相关的持有人权利，如 </w:t>
      </w:r>
      <w:r>
        <w:rPr>
          <w:rFonts w:ascii="Times New Roman" w:eastAsia="Times New Roman"/>
        </w:rPr>
        <w:t>ETF </w:t>
      </w:r>
      <w:r>
        <w:rPr>
          <w:spacing w:val="-7"/>
        </w:rPr>
        <w:t>持有人大会召集权、参加 </w:t>
      </w:r>
      <w:r>
        <w:rPr>
          <w:rFonts w:ascii="Times New Roman" w:eastAsia="Times New Roman"/>
        </w:rPr>
        <w:t>ETF </w:t>
      </w:r>
      <w:r>
        <w:rPr/>
        <w:t>持有人大</w:t>
      </w:r>
      <w:r>
        <w:rPr>
          <w:spacing w:val="-3"/>
        </w:rPr>
        <w:t>会的表决权。计算参会份额和计票时，本基金基金份额持有人的参会份额数和票数按权益</w:t>
      </w:r>
      <w:r>
        <w:rPr>
          <w:spacing w:val="-6"/>
        </w:rPr>
        <w:t>登记日本基金所持有的目标 </w:t>
      </w:r>
      <w:r>
        <w:rPr>
          <w:rFonts w:ascii="Times New Roman" w:eastAsia="Times New Roman"/>
        </w:rPr>
        <w:t>ETF </w:t>
      </w:r>
      <w:r>
        <w:rPr>
          <w:spacing w:val="-9"/>
        </w:rPr>
        <w:t>的基金份额、该持有人所持有的本基金份额占本基金总份</w:t>
      </w:r>
      <w:r>
        <w:rPr>
          <w:spacing w:val="-5"/>
        </w:rPr>
        <w:t>额的比例折算。本基金持有人，如经基金管理人确认其单独或合计持有的联接基金份额所</w:t>
      </w:r>
      <w:r>
        <w:rPr>
          <w:spacing w:val="-12"/>
        </w:rPr>
        <w:t>对应的目标 </w:t>
      </w:r>
      <w:r>
        <w:rPr>
          <w:rFonts w:ascii="Times New Roman" w:eastAsia="Times New Roman"/>
        </w:rPr>
        <w:t>ETF </w:t>
      </w:r>
      <w:r>
        <w:rPr>
          <w:spacing w:val="-7"/>
        </w:rPr>
        <w:t>份额不少于目标 </w:t>
      </w:r>
      <w:r>
        <w:rPr>
          <w:rFonts w:ascii="Times New Roman" w:eastAsia="Times New Roman"/>
        </w:rPr>
        <w:t>ETF </w:t>
      </w:r>
      <w:r>
        <w:rPr>
          <w:spacing w:val="-9"/>
        </w:rPr>
        <w:t>总份额的 </w:t>
      </w:r>
      <w:r>
        <w:rPr>
          <w:rFonts w:ascii="Times New Roman" w:eastAsia="Times New Roman"/>
        </w:rPr>
        <w:t>10%</w:t>
      </w:r>
      <w:r>
        <w:rPr>
          <w:spacing w:val="-9"/>
        </w:rPr>
        <w:t>的，可对目标 </w:t>
      </w:r>
      <w:r>
        <w:rPr>
          <w:rFonts w:ascii="Times New Roman" w:eastAsia="Times New Roman"/>
        </w:rPr>
        <w:t>ETF </w:t>
      </w:r>
      <w:r>
        <w:rPr>
          <w:spacing w:val="-2"/>
        </w:rPr>
        <w:t>行使基金份额持有</w:t>
      </w:r>
      <w:r>
        <w:rPr>
          <w:spacing w:val="-3"/>
        </w:rPr>
        <w:t>人大会的召集权。</w:t>
      </w:r>
    </w:p>
    <w:p>
      <w:pPr>
        <w:pStyle w:val="BodyText"/>
        <w:spacing w:line="417" w:lineRule="auto"/>
        <w:ind w:left="220" w:right="986" w:firstLine="419"/>
        <w:jc w:val="both"/>
      </w:pPr>
      <w:r>
        <w:rPr>
          <w:spacing w:val="1"/>
        </w:rPr>
        <w:t>如目标 </w:t>
      </w:r>
      <w:r>
        <w:rPr>
          <w:rFonts w:ascii="Times New Roman" w:eastAsia="Times New Roman"/>
        </w:rPr>
        <w:t>ETF </w:t>
      </w:r>
      <w:r>
        <w:rPr>
          <w:spacing w:val="-3"/>
        </w:rPr>
        <w:t>召开基金份额持有人大会，本基金的基金份额持有人有权亲自出席</w:t>
      </w:r>
      <w:r>
        <w:rPr>
          <w:rFonts w:ascii="Times New Roman" w:eastAsia="Times New Roman"/>
        </w:rPr>
        <w:t>/</w:t>
      </w:r>
      <w:r>
        <w:rPr>
          <w:spacing w:val="-3"/>
        </w:rPr>
        <w:t>出具书面表决意见或以代理投票授权委托书委派代表出席</w:t>
      </w:r>
      <w:r>
        <w:rPr>
          <w:rFonts w:ascii="Times New Roman" w:eastAsia="Times New Roman"/>
        </w:rPr>
        <w:t>/</w:t>
      </w:r>
      <w:r>
        <w:rPr>
          <w:spacing w:val="-10"/>
        </w:rPr>
        <w:t>出具书面表决意见，并有权按照所持</w:t>
      </w:r>
      <w:r>
        <w:rPr>
          <w:spacing w:val="-9"/>
        </w:rPr>
        <w:t>有的本基金基金份额对应的目标 </w:t>
      </w:r>
      <w:r>
        <w:rPr>
          <w:rFonts w:ascii="Times New Roman" w:eastAsia="Times New Roman"/>
        </w:rPr>
        <w:t>ETF </w:t>
      </w:r>
      <w:r>
        <w:rPr>
          <w:spacing w:val="-2"/>
        </w:rPr>
        <w:t>份额参与投票表决。</w:t>
      </w:r>
    </w:p>
    <w:p>
      <w:pPr>
        <w:pStyle w:val="BodyText"/>
        <w:spacing w:line="417" w:lineRule="auto"/>
        <w:ind w:left="220" w:right="986" w:firstLine="419"/>
        <w:jc w:val="both"/>
      </w:pPr>
      <w:r>
        <w:rPr/>
        <w:t>本基金的基金管理人不应以本基金的名义代表本基金的全体基金份额持有人以目标</w:t>
      </w:r>
      <w:r>
        <w:rPr>
          <w:rFonts w:ascii="Times New Roman" w:eastAsia="Times New Roman"/>
        </w:rPr>
        <w:t>ETF </w:t>
      </w:r>
      <w:r>
        <w:rPr/>
        <w:t>的基金份额持有人的身份行使表决权，但可接受本基金的基金份额持有人的委托以本基金的基金份额持有人代理人的身份出席目标 </w:t>
      </w:r>
      <w:r>
        <w:rPr>
          <w:rFonts w:ascii="Times New Roman" w:eastAsia="Times New Roman"/>
        </w:rPr>
        <w:t>ETF </w:t>
      </w:r>
      <w:r>
        <w:rPr/>
        <w:t>的基金份额持有人大会并参与表决。</w:t>
      </w:r>
    </w:p>
    <w:p>
      <w:pPr>
        <w:pStyle w:val="BodyText"/>
        <w:spacing w:line="417" w:lineRule="auto"/>
        <w:ind w:right="1618"/>
      </w:pPr>
      <w:r>
        <w:rPr/>
        <w:t>（十二）法律法规或监管机关对基金份额持有人大会另有规定的，从其规定。二十二、基金合同的变更、终止与基金财产的清算</w:t>
      </w:r>
    </w:p>
    <w:p>
      <w:pPr>
        <w:pStyle w:val="BodyText"/>
        <w:spacing w:line="269" w:lineRule="exact"/>
      </w:pPr>
      <w:r>
        <w:rPr/>
        <w:t>（二）基金合同的终止</w:t>
      </w:r>
    </w:p>
    <w:p>
      <w:pPr>
        <w:pStyle w:val="BodyText"/>
        <w:spacing w:before="6"/>
        <w:ind w:left="0"/>
        <w:rPr>
          <w:sz w:val="15"/>
        </w:rPr>
      </w:pPr>
    </w:p>
    <w:p>
      <w:pPr>
        <w:pStyle w:val="BodyText"/>
      </w:pPr>
      <w:r>
        <w:rPr/>
        <w:t>有下列情形之一的，本基金合同终止：</w:t>
      </w:r>
    </w:p>
    <w:p>
      <w:pPr>
        <w:pStyle w:val="BodyText"/>
        <w:spacing w:before="7"/>
        <w:ind w:left="0"/>
        <w:rPr>
          <w:sz w:val="15"/>
        </w:rPr>
      </w:pPr>
    </w:p>
    <w:p>
      <w:pPr>
        <w:pStyle w:val="BodyText"/>
      </w:pPr>
      <w:r>
        <w:rPr>
          <w:rFonts w:ascii="Times New Roman" w:eastAsia="Times New Roman"/>
        </w:rPr>
        <w:t>1</w:t>
      </w:r>
      <w:r>
        <w:rPr/>
        <w:t>、基金份额持有人大会决定终止。</w:t>
      </w:r>
    </w:p>
    <w:p>
      <w:pPr>
        <w:pStyle w:val="BodyText"/>
        <w:spacing w:before="6"/>
        <w:ind w:left="0"/>
        <w:rPr>
          <w:sz w:val="15"/>
        </w:rPr>
      </w:pPr>
    </w:p>
    <w:p>
      <w:pPr>
        <w:pStyle w:val="BodyText"/>
        <w:spacing w:line="417" w:lineRule="auto" w:before="1"/>
        <w:ind w:left="220" w:right="986" w:firstLine="419"/>
      </w:pPr>
      <w:r>
        <w:rPr>
          <w:rFonts w:ascii="Times New Roman" w:eastAsia="Times New Roman"/>
        </w:rPr>
        <w:t>2</w:t>
      </w:r>
      <w:r>
        <w:rPr>
          <w:spacing w:val="-12"/>
        </w:rPr>
        <w:t>、基金管理人、基金托管人职责终止，在六个月内没有新基金管理人、基金托管人承接的。</w:t>
      </w:r>
    </w:p>
    <w:p>
      <w:pPr>
        <w:pStyle w:val="BodyText"/>
      </w:pPr>
      <w:r>
        <w:rPr>
          <w:rFonts w:ascii="Times New Roman" w:eastAsia="Times New Roman"/>
        </w:rPr>
        <w:t>3</w:t>
      </w:r>
      <w:r>
        <w:rPr/>
        <w:t>、法律法规和基金合同规定的其他情形。</w:t>
      </w:r>
    </w:p>
    <w:p>
      <w:pPr>
        <w:pStyle w:val="BodyText"/>
        <w:spacing w:before="6"/>
        <w:ind w:left="0"/>
        <w:rPr>
          <w:sz w:val="15"/>
        </w:rPr>
      </w:pPr>
    </w:p>
    <w:p>
      <w:pPr>
        <w:pStyle w:val="BodyText"/>
        <w:spacing w:before="1"/>
      </w:pPr>
      <w:r>
        <w:rPr/>
        <w:t>（三）基金财产的清算</w:t>
      </w:r>
    </w:p>
    <w:p>
      <w:pPr>
        <w:pStyle w:val="BodyText"/>
        <w:spacing w:before="6"/>
        <w:ind w:left="0"/>
        <w:rPr>
          <w:sz w:val="15"/>
        </w:rPr>
      </w:pPr>
    </w:p>
    <w:p>
      <w:pPr>
        <w:pStyle w:val="BodyText"/>
        <w:spacing w:line="417" w:lineRule="auto"/>
        <w:ind w:left="220" w:right="986" w:firstLine="419"/>
      </w:pPr>
      <w:r>
        <w:rPr>
          <w:rFonts w:ascii="Times New Roman" w:eastAsia="Times New Roman"/>
        </w:rPr>
        <w:t>1</w:t>
      </w:r>
      <w:r>
        <w:rPr>
          <w:spacing w:val="-12"/>
        </w:rPr>
        <w:t>、基金合同终止，基金管理人应当按法律法规和本基金合同的有关规定对基金财产进</w:t>
      </w:r>
      <w:r>
        <w:rPr>
          <w:spacing w:val="-7"/>
        </w:rPr>
        <w:t>行清算。</w:t>
      </w:r>
    </w:p>
    <w:p>
      <w:pPr>
        <w:pStyle w:val="BodyText"/>
        <w:spacing w:line="269" w:lineRule="exact"/>
      </w:pPr>
      <w:r>
        <w:rPr>
          <w:rFonts w:ascii="Times New Roman" w:eastAsia="Times New Roman"/>
        </w:rPr>
        <w:t>2</w:t>
      </w:r>
      <w:r>
        <w:rPr/>
        <w:t>、基金财产清算组</w:t>
      </w:r>
    </w:p>
    <w:p>
      <w:pPr>
        <w:pStyle w:val="BodyText"/>
        <w:spacing w:before="7"/>
        <w:ind w:left="0"/>
        <w:rPr>
          <w:sz w:val="15"/>
        </w:rPr>
      </w:pPr>
    </w:p>
    <w:p>
      <w:pPr>
        <w:pStyle w:val="ListParagraph"/>
        <w:numPr>
          <w:ilvl w:val="0"/>
          <w:numId w:val="41"/>
        </w:numPr>
        <w:tabs>
          <w:tab w:pos="1167" w:val="left" w:leader="none"/>
        </w:tabs>
        <w:spacing w:line="417" w:lineRule="auto" w:before="0" w:after="0"/>
        <w:ind w:left="220" w:right="986" w:firstLine="419"/>
        <w:jc w:val="both"/>
        <w:rPr>
          <w:sz w:val="21"/>
        </w:rPr>
      </w:pPr>
      <w:r>
        <w:rPr>
          <w:spacing w:val="-3"/>
          <w:sz w:val="21"/>
        </w:rPr>
        <w:t>自基金合同终止事由发生之日起三十个工作日内由基金管理人组织成立基金财产清算组，在基金财产清算组接管基金财产之前，基金管理人和基金托管人应按照基金合同和托管协议的规定继续履行保护基金财产安全的职责。</w:t>
      </w:r>
    </w:p>
    <w:p>
      <w:pPr>
        <w:pStyle w:val="ListParagraph"/>
        <w:numPr>
          <w:ilvl w:val="0"/>
          <w:numId w:val="41"/>
        </w:numPr>
        <w:tabs>
          <w:tab w:pos="1167" w:val="left" w:leader="none"/>
        </w:tabs>
        <w:spacing w:line="240" w:lineRule="auto" w:before="0" w:after="0"/>
        <w:ind w:left="1167" w:right="0" w:hanging="527"/>
        <w:jc w:val="left"/>
        <w:rPr>
          <w:sz w:val="21"/>
        </w:rPr>
      </w:pPr>
      <w:r>
        <w:rPr>
          <w:spacing w:val="-7"/>
          <w:sz w:val="21"/>
        </w:rPr>
        <w:t>基金财产清算组成员由基金管理人、基金托管人、具有从事证券相关业务资格的</w:t>
      </w:r>
    </w:p>
    <w:p>
      <w:pPr>
        <w:spacing w:after="0" w:line="240" w:lineRule="auto"/>
        <w:jc w:val="left"/>
        <w:rPr>
          <w:sz w:val="21"/>
        </w:rPr>
        <w:sectPr>
          <w:pgSz w:w="11910" w:h="16840"/>
          <w:pgMar w:header="705" w:footer="683" w:top="1420" w:bottom="880" w:left="1580" w:right="920"/>
        </w:sectPr>
      </w:pPr>
    </w:p>
    <w:p>
      <w:pPr>
        <w:pStyle w:val="BodyText"/>
        <w:spacing w:line="417" w:lineRule="auto" w:before="110"/>
        <w:ind w:left="220" w:right="986"/>
      </w:pPr>
      <w:r>
        <w:rPr/>
        <w:t>注册会计师、律师以及中国证监会指定的人员组成。基金财产清算组可以聘用必要的工作人员。</w:t>
      </w:r>
    </w:p>
    <w:p>
      <w:pPr>
        <w:pStyle w:val="ListParagraph"/>
        <w:numPr>
          <w:ilvl w:val="0"/>
          <w:numId w:val="41"/>
        </w:numPr>
        <w:tabs>
          <w:tab w:pos="1170" w:val="left" w:leader="none"/>
        </w:tabs>
        <w:spacing w:line="417" w:lineRule="auto" w:before="0" w:after="0"/>
        <w:ind w:left="220" w:right="989" w:firstLine="419"/>
        <w:jc w:val="left"/>
        <w:rPr>
          <w:sz w:val="21"/>
        </w:rPr>
      </w:pPr>
      <w:r>
        <w:rPr>
          <w:spacing w:val="-8"/>
          <w:sz w:val="21"/>
        </w:rPr>
        <w:t>基金财产清算组负责基金财产的保管、清理、估价、变现和分配。基金财产清 </w:t>
      </w:r>
      <w:r>
        <w:rPr>
          <w:spacing w:val="-3"/>
          <w:sz w:val="21"/>
        </w:rPr>
        <w:t>算组可以依法进行必要的民事活动。</w:t>
      </w:r>
    </w:p>
    <w:p>
      <w:pPr>
        <w:pStyle w:val="BodyText"/>
        <w:spacing w:line="269" w:lineRule="exact"/>
      </w:pPr>
      <w:r>
        <w:rPr>
          <w:rFonts w:ascii="Times New Roman" w:eastAsia="Times New Roman"/>
        </w:rPr>
        <w:t>3</w:t>
      </w:r>
      <w:r>
        <w:rPr/>
        <w:t>、清算程序</w:t>
      </w:r>
    </w:p>
    <w:p>
      <w:pPr>
        <w:pStyle w:val="BodyText"/>
        <w:spacing w:before="6"/>
        <w:ind w:left="0"/>
        <w:rPr>
          <w:sz w:val="15"/>
        </w:rPr>
      </w:pPr>
    </w:p>
    <w:p>
      <w:pPr>
        <w:pStyle w:val="ListParagraph"/>
        <w:numPr>
          <w:ilvl w:val="0"/>
          <w:numId w:val="42"/>
        </w:numPr>
        <w:tabs>
          <w:tab w:pos="1170" w:val="left" w:leader="none"/>
        </w:tabs>
        <w:spacing w:line="240" w:lineRule="auto" w:before="0" w:after="0"/>
        <w:ind w:left="1169" w:right="0" w:hanging="530"/>
        <w:jc w:val="left"/>
        <w:rPr>
          <w:sz w:val="21"/>
        </w:rPr>
      </w:pPr>
      <w:r>
        <w:rPr>
          <w:spacing w:val="-3"/>
          <w:sz w:val="21"/>
        </w:rPr>
        <w:t>基金合同终止情形发生后，由基金财产清算组统一接管基金财产。</w:t>
      </w:r>
    </w:p>
    <w:p>
      <w:pPr>
        <w:pStyle w:val="BodyText"/>
        <w:spacing w:before="7"/>
        <w:ind w:left="0"/>
        <w:rPr>
          <w:sz w:val="15"/>
        </w:rPr>
      </w:pPr>
    </w:p>
    <w:p>
      <w:pPr>
        <w:pStyle w:val="ListParagraph"/>
        <w:numPr>
          <w:ilvl w:val="0"/>
          <w:numId w:val="42"/>
        </w:numPr>
        <w:tabs>
          <w:tab w:pos="1170" w:val="left" w:leader="none"/>
        </w:tabs>
        <w:spacing w:line="240" w:lineRule="auto" w:before="0" w:after="0"/>
        <w:ind w:left="1169" w:right="0" w:hanging="530"/>
        <w:jc w:val="left"/>
        <w:rPr>
          <w:sz w:val="21"/>
        </w:rPr>
      </w:pPr>
      <w:r>
        <w:rPr>
          <w:spacing w:val="-3"/>
          <w:sz w:val="21"/>
        </w:rPr>
        <w:t>基金财产清算组根据基金财产的情况确定清算期限。</w:t>
      </w:r>
    </w:p>
    <w:p>
      <w:pPr>
        <w:pStyle w:val="BodyText"/>
        <w:spacing w:before="7"/>
        <w:ind w:left="0"/>
        <w:rPr>
          <w:sz w:val="15"/>
        </w:rPr>
      </w:pPr>
    </w:p>
    <w:p>
      <w:pPr>
        <w:pStyle w:val="ListParagraph"/>
        <w:numPr>
          <w:ilvl w:val="0"/>
          <w:numId w:val="42"/>
        </w:numPr>
        <w:tabs>
          <w:tab w:pos="1170" w:val="left" w:leader="none"/>
        </w:tabs>
        <w:spacing w:line="240" w:lineRule="auto" w:before="0" w:after="0"/>
        <w:ind w:left="1169" w:right="0" w:hanging="530"/>
        <w:jc w:val="left"/>
        <w:rPr>
          <w:sz w:val="21"/>
        </w:rPr>
      </w:pPr>
      <w:r>
        <w:rPr>
          <w:spacing w:val="-3"/>
          <w:sz w:val="21"/>
        </w:rPr>
        <w:t>基金财产清算组对基金财产进行清理和确认。</w:t>
      </w:r>
    </w:p>
    <w:p>
      <w:pPr>
        <w:pStyle w:val="BodyText"/>
        <w:spacing w:before="7"/>
        <w:ind w:left="0"/>
        <w:rPr>
          <w:sz w:val="15"/>
        </w:rPr>
      </w:pPr>
    </w:p>
    <w:p>
      <w:pPr>
        <w:pStyle w:val="ListParagraph"/>
        <w:numPr>
          <w:ilvl w:val="0"/>
          <w:numId w:val="42"/>
        </w:numPr>
        <w:tabs>
          <w:tab w:pos="1170" w:val="left" w:leader="none"/>
        </w:tabs>
        <w:spacing w:line="240" w:lineRule="auto" w:before="0" w:after="0"/>
        <w:ind w:left="1169" w:right="0" w:hanging="530"/>
        <w:jc w:val="left"/>
        <w:rPr>
          <w:sz w:val="21"/>
        </w:rPr>
      </w:pPr>
      <w:r>
        <w:rPr>
          <w:spacing w:val="-3"/>
          <w:sz w:val="21"/>
        </w:rPr>
        <w:t>对基金财产进行评估和变现。</w:t>
      </w:r>
    </w:p>
    <w:p>
      <w:pPr>
        <w:pStyle w:val="BodyText"/>
        <w:spacing w:before="7"/>
        <w:ind w:left="0"/>
        <w:rPr>
          <w:sz w:val="15"/>
        </w:rPr>
      </w:pPr>
    </w:p>
    <w:p>
      <w:pPr>
        <w:pStyle w:val="ListParagraph"/>
        <w:numPr>
          <w:ilvl w:val="0"/>
          <w:numId w:val="42"/>
        </w:numPr>
        <w:tabs>
          <w:tab w:pos="1170" w:val="left" w:leader="none"/>
        </w:tabs>
        <w:spacing w:line="240" w:lineRule="auto" w:before="0" w:after="0"/>
        <w:ind w:left="1169" w:right="0" w:hanging="530"/>
        <w:jc w:val="left"/>
        <w:rPr>
          <w:sz w:val="21"/>
        </w:rPr>
      </w:pPr>
      <w:r>
        <w:rPr>
          <w:spacing w:val="-3"/>
          <w:sz w:val="21"/>
        </w:rPr>
        <w:t>制作清算报告。</w:t>
      </w:r>
    </w:p>
    <w:p>
      <w:pPr>
        <w:pStyle w:val="BodyText"/>
        <w:spacing w:before="6"/>
        <w:ind w:left="0"/>
        <w:rPr>
          <w:sz w:val="15"/>
        </w:rPr>
      </w:pPr>
    </w:p>
    <w:p>
      <w:pPr>
        <w:pStyle w:val="ListParagraph"/>
        <w:numPr>
          <w:ilvl w:val="0"/>
          <w:numId w:val="42"/>
        </w:numPr>
        <w:tabs>
          <w:tab w:pos="1170" w:val="left" w:leader="none"/>
        </w:tabs>
        <w:spacing w:line="417" w:lineRule="auto" w:before="0" w:after="0"/>
        <w:ind w:left="220" w:right="986" w:firstLine="419"/>
        <w:jc w:val="left"/>
        <w:rPr>
          <w:sz w:val="21"/>
        </w:rPr>
      </w:pPr>
      <w:r>
        <w:rPr>
          <w:spacing w:val="-6"/>
          <w:sz w:val="21"/>
        </w:rPr>
        <w:t>聘请会计师事务所对清算报告进行外部审计，聘请律师事务所对清算报告出具 </w:t>
      </w:r>
      <w:r>
        <w:rPr>
          <w:spacing w:val="-1"/>
          <w:sz w:val="21"/>
        </w:rPr>
        <w:t>法律意见书。</w:t>
      </w:r>
    </w:p>
    <w:p>
      <w:pPr>
        <w:pStyle w:val="ListParagraph"/>
        <w:numPr>
          <w:ilvl w:val="0"/>
          <w:numId w:val="42"/>
        </w:numPr>
        <w:tabs>
          <w:tab w:pos="1170" w:val="left" w:leader="none"/>
        </w:tabs>
        <w:spacing w:line="269" w:lineRule="exact" w:before="0" w:after="0"/>
        <w:ind w:left="1169" w:right="0" w:hanging="530"/>
        <w:jc w:val="left"/>
        <w:rPr>
          <w:sz w:val="21"/>
        </w:rPr>
      </w:pPr>
      <w:r>
        <w:rPr>
          <w:spacing w:val="-3"/>
          <w:sz w:val="21"/>
        </w:rPr>
        <w:t>将清算报告报中国证监会备案并公告。</w:t>
      </w:r>
    </w:p>
    <w:p>
      <w:pPr>
        <w:pStyle w:val="BodyText"/>
        <w:spacing w:before="7"/>
        <w:ind w:left="0"/>
        <w:rPr>
          <w:sz w:val="15"/>
        </w:rPr>
      </w:pPr>
    </w:p>
    <w:p>
      <w:pPr>
        <w:pStyle w:val="ListParagraph"/>
        <w:numPr>
          <w:ilvl w:val="0"/>
          <w:numId w:val="42"/>
        </w:numPr>
        <w:tabs>
          <w:tab w:pos="1170" w:val="left" w:leader="none"/>
        </w:tabs>
        <w:spacing w:line="240" w:lineRule="auto" w:before="0" w:after="0"/>
        <w:ind w:left="1169" w:right="0" w:hanging="530"/>
        <w:jc w:val="left"/>
        <w:rPr>
          <w:sz w:val="21"/>
        </w:rPr>
      </w:pPr>
      <w:r>
        <w:rPr>
          <w:spacing w:val="-3"/>
          <w:sz w:val="21"/>
        </w:rPr>
        <w:t>对基金财产进行分配。</w:t>
      </w:r>
    </w:p>
    <w:p>
      <w:pPr>
        <w:pStyle w:val="BodyText"/>
        <w:spacing w:before="7"/>
        <w:ind w:left="0"/>
        <w:rPr>
          <w:sz w:val="15"/>
        </w:rPr>
      </w:pPr>
    </w:p>
    <w:p>
      <w:pPr>
        <w:pStyle w:val="BodyText"/>
      </w:pPr>
      <w:r>
        <w:rPr>
          <w:rFonts w:ascii="Times New Roman" w:eastAsia="Times New Roman"/>
        </w:rPr>
        <w:t>4</w:t>
      </w:r>
      <w:r>
        <w:rPr/>
        <w:t>、清算费用</w:t>
      </w:r>
    </w:p>
    <w:p>
      <w:pPr>
        <w:pStyle w:val="BodyText"/>
        <w:spacing w:before="7"/>
        <w:ind w:left="0"/>
        <w:rPr>
          <w:sz w:val="15"/>
        </w:rPr>
      </w:pPr>
    </w:p>
    <w:p>
      <w:pPr>
        <w:pStyle w:val="BodyText"/>
        <w:spacing w:line="417" w:lineRule="auto"/>
        <w:ind w:left="220" w:right="986" w:firstLine="419"/>
      </w:pPr>
      <w:r>
        <w:rPr/>
        <w:t>清算费用是指基金财产清算组在进行基金清算过程中发生的所有合理费用，清算费用由基金财产清算组优先从基金财产中支付。</w:t>
      </w:r>
    </w:p>
    <w:p>
      <w:pPr>
        <w:pStyle w:val="BodyText"/>
        <w:spacing w:line="417" w:lineRule="auto"/>
        <w:ind w:right="6241"/>
      </w:pPr>
      <w:r>
        <w:rPr>
          <w:rFonts w:ascii="Times New Roman" w:eastAsia="Times New Roman"/>
        </w:rPr>
        <w:t>5</w:t>
      </w:r>
      <w:r>
        <w:rPr>
          <w:spacing w:val="-3"/>
        </w:rPr>
        <w:t>、基金剩余财产的分配  </w:t>
      </w:r>
      <w:r>
        <w:rPr>
          <w:spacing w:val="-4"/>
        </w:rPr>
        <w:t>基金财产按下列顺序清偿：</w:t>
      </w:r>
    </w:p>
    <w:p>
      <w:pPr>
        <w:pStyle w:val="ListParagraph"/>
        <w:numPr>
          <w:ilvl w:val="0"/>
          <w:numId w:val="43"/>
        </w:numPr>
        <w:tabs>
          <w:tab w:pos="1170" w:val="left" w:leader="none"/>
        </w:tabs>
        <w:spacing w:line="269" w:lineRule="exact" w:before="0" w:after="0"/>
        <w:ind w:left="1169" w:right="0" w:hanging="530"/>
        <w:jc w:val="left"/>
        <w:rPr>
          <w:sz w:val="21"/>
        </w:rPr>
      </w:pPr>
      <w:r>
        <w:rPr>
          <w:spacing w:val="-3"/>
          <w:sz w:val="21"/>
        </w:rPr>
        <w:t>支付清算费用。</w:t>
      </w:r>
    </w:p>
    <w:p>
      <w:pPr>
        <w:pStyle w:val="BodyText"/>
        <w:spacing w:before="6"/>
        <w:ind w:left="0"/>
        <w:rPr>
          <w:sz w:val="15"/>
        </w:rPr>
      </w:pPr>
    </w:p>
    <w:p>
      <w:pPr>
        <w:pStyle w:val="ListParagraph"/>
        <w:numPr>
          <w:ilvl w:val="0"/>
          <w:numId w:val="43"/>
        </w:numPr>
        <w:tabs>
          <w:tab w:pos="1170" w:val="left" w:leader="none"/>
        </w:tabs>
        <w:spacing w:line="240" w:lineRule="auto" w:before="1" w:after="0"/>
        <w:ind w:left="1169" w:right="0" w:hanging="530"/>
        <w:jc w:val="left"/>
        <w:rPr>
          <w:sz w:val="21"/>
        </w:rPr>
      </w:pPr>
      <w:r>
        <w:rPr>
          <w:spacing w:val="-3"/>
          <w:sz w:val="21"/>
        </w:rPr>
        <w:t>交纳所欠税款。</w:t>
      </w:r>
    </w:p>
    <w:p>
      <w:pPr>
        <w:pStyle w:val="BodyText"/>
        <w:spacing w:before="7"/>
        <w:ind w:left="0"/>
        <w:rPr>
          <w:sz w:val="15"/>
        </w:rPr>
      </w:pPr>
    </w:p>
    <w:p>
      <w:pPr>
        <w:pStyle w:val="ListParagraph"/>
        <w:numPr>
          <w:ilvl w:val="0"/>
          <w:numId w:val="43"/>
        </w:numPr>
        <w:tabs>
          <w:tab w:pos="1170" w:val="left" w:leader="none"/>
        </w:tabs>
        <w:spacing w:line="240" w:lineRule="auto" w:before="0" w:after="0"/>
        <w:ind w:left="1169" w:right="0" w:hanging="530"/>
        <w:jc w:val="left"/>
        <w:rPr>
          <w:sz w:val="21"/>
        </w:rPr>
      </w:pPr>
      <w:r>
        <w:rPr>
          <w:spacing w:val="-3"/>
          <w:sz w:val="21"/>
        </w:rPr>
        <w:t>清偿基金债务。</w:t>
      </w:r>
    </w:p>
    <w:p>
      <w:pPr>
        <w:pStyle w:val="BodyText"/>
        <w:spacing w:before="6"/>
        <w:ind w:left="0"/>
        <w:rPr>
          <w:sz w:val="15"/>
        </w:rPr>
      </w:pPr>
    </w:p>
    <w:p>
      <w:pPr>
        <w:pStyle w:val="ListParagraph"/>
        <w:numPr>
          <w:ilvl w:val="0"/>
          <w:numId w:val="43"/>
        </w:numPr>
        <w:tabs>
          <w:tab w:pos="1170" w:val="left" w:leader="none"/>
        </w:tabs>
        <w:spacing w:line="240" w:lineRule="auto" w:before="1" w:after="0"/>
        <w:ind w:left="1169" w:right="0" w:hanging="530"/>
        <w:jc w:val="left"/>
        <w:rPr>
          <w:sz w:val="21"/>
        </w:rPr>
      </w:pPr>
      <w:r>
        <w:rPr>
          <w:spacing w:val="-3"/>
          <w:sz w:val="21"/>
        </w:rPr>
        <w:t>按基金份额持有人持有的基金份额比例进行分配。</w:t>
      </w:r>
    </w:p>
    <w:p>
      <w:pPr>
        <w:pStyle w:val="BodyText"/>
        <w:spacing w:before="6"/>
        <w:ind w:left="0"/>
        <w:rPr>
          <w:sz w:val="15"/>
        </w:rPr>
      </w:pPr>
    </w:p>
    <w:p>
      <w:pPr>
        <w:pStyle w:val="BodyText"/>
      </w:pPr>
      <w:r>
        <w:rPr>
          <w:spacing w:val="-3"/>
          <w:w w:val="100"/>
        </w:rPr>
        <w:t>基金财产未按前款（</w:t>
      </w:r>
      <w:r>
        <w:rPr>
          <w:rFonts w:ascii="Times New Roman" w:eastAsia="Times New Roman"/>
          <w:w w:val="100"/>
        </w:rPr>
        <w:t>1</w:t>
      </w:r>
      <w:r>
        <w:rPr>
          <w:spacing w:val="-106"/>
          <w:w w:val="100"/>
        </w:rPr>
        <w:t>）</w:t>
      </w:r>
      <w:r>
        <w:rPr>
          <w:spacing w:val="-108"/>
          <w:w w:val="100"/>
        </w:rPr>
        <w:t>、</w:t>
      </w:r>
      <w:r>
        <w:rPr>
          <w:spacing w:val="-3"/>
          <w:w w:val="100"/>
        </w:rPr>
        <w:t>（</w:t>
      </w:r>
      <w:r>
        <w:rPr>
          <w:rFonts w:ascii="Times New Roman" w:eastAsia="Times New Roman"/>
          <w:w w:val="100"/>
        </w:rPr>
        <w:t>2</w:t>
      </w:r>
      <w:r>
        <w:rPr>
          <w:spacing w:val="-106"/>
          <w:w w:val="100"/>
        </w:rPr>
        <w:t>）、</w:t>
      </w:r>
      <w:r>
        <w:rPr>
          <w:w w:val="100"/>
        </w:rPr>
        <w:t>（</w:t>
      </w:r>
      <w:r>
        <w:rPr>
          <w:rFonts w:ascii="Times New Roman" w:eastAsia="Times New Roman"/>
          <w:spacing w:val="-3"/>
          <w:w w:val="100"/>
        </w:rPr>
        <w:t>3</w:t>
      </w:r>
      <w:r>
        <w:rPr>
          <w:w w:val="100"/>
        </w:rPr>
        <w:t>）</w:t>
      </w:r>
      <w:r>
        <w:rPr>
          <w:spacing w:val="-3"/>
          <w:w w:val="100"/>
        </w:rPr>
        <w:t>项规定清偿前，不分配给基金份额持有人。</w:t>
      </w:r>
    </w:p>
    <w:p>
      <w:pPr>
        <w:pStyle w:val="BodyText"/>
        <w:spacing w:before="7"/>
        <w:ind w:left="0"/>
        <w:rPr>
          <w:sz w:val="15"/>
        </w:rPr>
      </w:pPr>
    </w:p>
    <w:p>
      <w:pPr>
        <w:pStyle w:val="BodyText"/>
        <w:spacing w:line="417" w:lineRule="auto"/>
        <w:ind w:left="220" w:right="986" w:firstLine="419"/>
      </w:pPr>
      <w:r>
        <w:rPr/>
        <w:t>对于基金缴存于中国证券登记结算有限责任公司的最低结算备付金和交易席位保证金等，在中国证券登记结算有限责任公司对其进行调整后方可收回。</w:t>
      </w:r>
    </w:p>
    <w:p>
      <w:pPr>
        <w:pStyle w:val="BodyText"/>
        <w:spacing w:line="269" w:lineRule="exact"/>
      </w:pPr>
      <w:r>
        <w:rPr>
          <w:rFonts w:ascii="Times New Roman" w:eastAsia="Times New Roman"/>
        </w:rPr>
        <w:t>6</w:t>
      </w:r>
      <w:r>
        <w:rPr/>
        <w:t>、基金财产清算的公告</w:t>
      </w:r>
    </w:p>
    <w:p>
      <w:pPr>
        <w:pStyle w:val="BodyText"/>
        <w:spacing w:before="7"/>
        <w:ind w:left="0"/>
        <w:rPr>
          <w:sz w:val="15"/>
        </w:rPr>
      </w:pPr>
    </w:p>
    <w:p>
      <w:pPr>
        <w:pStyle w:val="BodyText"/>
        <w:spacing w:line="417" w:lineRule="auto"/>
        <w:ind w:left="220" w:right="881" w:firstLine="419"/>
      </w:pPr>
      <w:r>
        <w:rPr>
          <w:spacing w:val="-8"/>
        </w:rPr>
        <w:t>基金财产清算组做出的清算报告经会计师事务所审计，律师事务所出具法律意见书后， </w:t>
      </w:r>
      <w:r>
        <w:rPr>
          <w:spacing w:val="-5"/>
        </w:rPr>
        <w:t>报中国证监会备案并公告。</w:t>
      </w:r>
    </w:p>
    <w:p>
      <w:pPr>
        <w:pStyle w:val="BodyText"/>
      </w:pPr>
      <w:r>
        <w:rPr>
          <w:rFonts w:ascii="Times New Roman" w:eastAsia="Times New Roman"/>
        </w:rPr>
        <w:t>7</w:t>
      </w:r>
      <w:r>
        <w:rPr/>
        <w:t>、基金财产清算账册及文件由基金托管人保存二十年以上。</w:t>
      </w:r>
    </w:p>
    <w:p>
      <w:pPr>
        <w:spacing w:after="0"/>
        <w:sectPr>
          <w:pgSz w:w="11910" w:h="16840"/>
          <w:pgMar w:header="705" w:footer="683" w:top="1420" w:bottom="880" w:left="1580" w:right="920"/>
        </w:sectPr>
      </w:pPr>
    </w:p>
    <w:p>
      <w:pPr>
        <w:pStyle w:val="BodyText"/>
        <w:spacing w:before="110"/>
      </w:pPr>
      <w:r>
        <w:rPr/>
        <w:t>二十四、争议的处理</w:t>
      </w:r>
    </w:p>
    <w:p>
      <w:pPr>
        <w:pStyle w:val="BodyText"/>
        <w:spacing w:before="6"/>
        <w:ind w:left="0"/>
        <w:rPr>
          <w:sz w:val="15"/>
        </w:rPr>
      </w:pPr>
    </w:p>
    <w:p>
      <w:pPr>
        <w:pStyle w:val="BodyText"/>
      </w:pPr>
      <w:r>
        <w:rPr/>
        <w:t>（一）本基金合同适用中华人民共和国法律并从其解释。</w:t>
      </w:r>
    </w:p>
    <w:p>
      <w:pPr>
        <w:pStyle w:val="BodyText"/>
        <w:spacing w:before="7"/>
        <w:ind w:left="0"/>
        <w:rPr>
          <w:sz w:val="15"/>
        </w:rPr>
      </w:pPr>
    </w:p>
    <w:p>
      <w:pPr>
        <w:pStyle w:val="BodyText"/>
        <w:spacing w:line="417" w:lineRule="auto"/>
        <w:ind w:left="220" w:right="986" w:firstLine="419"/>
        <w:jc w:val="both"/>
      </w:pPr>
      <w:r>
        <w:rPr/>
        <w:t>（二</w:t>
      </w:r>
      <w:r>
        <w:rPr>
          <w:spacing w:val="-3"/>
        </w:rPr>
        <w:t>）本基金合同的当事人之间因本基金合同产生的或与本基金合同有关的争议应首</w:t>
      </w:r>
      <w:r>
        <w:rPr>
          <w:spacing w:val="-13"/>
        </w:rPr>
        <w:t>先通过友好协商解决。但若自一方书面要求协商解决争议发生之日起 </w:t>
      </w:r>
      <w:r>
        <w:rPr>
          <w:rFonts w:ascii="Times New Roman" w:eastAsia="Times New Roman"/>
        </w:rPr>
        <w:t>60 </w:t>
      </w:r>
      <w:r>
        <w:rPr>
          <w:spacing w:val="-3"/>
        </w:rPr>
        <w:t>日内未能以协商方式解决的，则任何一方有权将争议提交位于北京的中国国际经济贸易仲裁委员会，根据当时有效的仲裁规则进行仲裁。仲裁裁决是终局的，对仲裁各方当事人均具有约束力。</w:t>
      </w:r>
    </w:p>
    <w:p>
      <w:pPr>
        <w:pStyle w:val="BodyText"/>
        <w:spacing w:line="417" w:lineRule="auto"/>
        <w:ind w:left="220" w:right="986" w:firstLine="419"/>
      </w:pPr>
      <w:r>
        <w:rPr/>
        <w:t>（三）除争议所涉内容之外，本基金合同的其他部分应当由本基金合同当事人继续履行。</w:t>
      </w:r>
    </w:p>
    <w:p>
      <w:pPr>
        <w:pStyle w:val="BodyText"/>
      </w:pPr>
      <w:r>
        <w:rPr/>
        <w:t>二十五、基金合同的效力</w:t>
      </w:r>
    </w:p>
    <w:p>
      <w:pPr>
        <w:pStyle w:val="BodyText"/>
        <w:spacing w:before="6"/>
        <w:ind w:left="0"/>
        <w:rPr>
          <w:sz w:val="15"/>
        </w:rPr>
      </w:pPr>
    </w:p>
    <w:p>
      <w:pPr>
        <w:pStyle w:val="BodyText"/>
        <w:spacing w:line="417" w:lineRule="auto" w:before="1"/>
        <w:ind w:left="220" w:right="986" w:firstLine="419"/>
      </w:pPr>
      <w:r>
        <w:rPr/>
        <w:t>（五）本基金合同存放在基金管理人和基金托管人住所。投资者可登录基金管理人和基金托管人网站查询。</w:t>
      </w:r>
    </w:p>
    <w:p>
      <w:pPr>
        <w:pStyle w:val="BodyText"/>
        <w:spacing w:line="417" w:lineRule="auto"/>
        <w:ind w:left="220" w:right="986" w:firstLine="419"/>
      </w:pPr>
      <w:r>
        <w:rPr/>
        <w:t>依法必须披露的信息发布后，基金管理人、基金托管人应当按照相关法律法规规定将信息置备于公司住所，供社会公众查阅、复制。”</w:t>
      </w:r>
    </w:p>
    <w:p>
      <w:pPr>
        <w:pStyle w:val="BodyText"/>
        <w:spacing w:before="2"/>
        <w:ind w:left="0"/>
        <w:rPr>
          <w:sz w:val="26"/>
        </w:rPr>
      </w:pPr>
    </w:p>
    <w:p>
      <w:pPr>
        <w:pStyle w:val="Heading1"/>
        <w:ind w:left="2736" w:right="0"/>
        <w:jc w:val="left"/>
      </w:pPr>
      <w:bookmarkStart w:name="_bookmark20" w:id="21"/>
      <w:bookmarkEnd w:id="21"/>
      <w:r>
        <w:rPr>
          <w:b w:val="0"/>
        </w:rPr>
      </w:r>
      <w:r>
        <w:rPr/>
        <w:t>二十一、基金托管协议的内容摘要</w:t>
      </w:r>
    </w:p>
    <w:p>
      <w:pPr>
        <w:pStyle w:val="BodyText"/>
        <w:ind w:left="0"/>
        <w:rPr>
          <w:b/>
          <w:sz w:val="20"/>
        </w:rPr>
      </w:pPr>
    </w:p>
    <w:p>
      <w:pPr>
        <w:pStyle w:val="BodyText"/>
        <w:spacing w:before="10"/>
        <w:ind w:left="0"/>
        <w:rPr>
          <w:b/>
          <w:sz w:val="20"/>
        </w:rPr>
      </w:pPr>
    </w:p>
    <w:p>
      <w:pPr>
        <w:pStyle w:val="BodyText"/>
        <w:spacing w:line="417" w:lineRule="auto" w:before="1"/>
        <w:ind w:right="1932"/>
      </w:pPr>
      <w:r>
        <w:rPr>
          <w:spacing w:val="-7"/>
        </w:rPr>
        <w:t>以下内容摘自《恒生交易型开放式指数证券投资基金联接基金托管协议》： </w:t>
      </w:r>
      <w:r>
        <w:rPr>
          <w:spacing w:val="-5"/>
        </w:rPr>
        <w:t>“一、基金托管协议当事人</w:t>
      </w:r>
    </w:p>
    <w:p>
      <w:pPr>
        <w:pStyle w:val="BodyText"/>
        <w:spacing w:line="269" w:lineRule="exact"/>
      </w:pPr>
      <w:r>
        <w:rPr/>
        <w:t>（一）基金管理人</w:t>
      </w:r>
    </w:p>
    <w:p>
      <w:pPr>
        <w:pStyle w:val="BodyText"/>
        <w:spacing w:before="6"/>
        <w:ind w:left="0"/>
        <w:rPr>
          <w:sz w:val="15"/>
        </w:rPr>
      </w:pPr>
    </w:p>
    <w:p>
      <w:pPr>
        <w:pStyle w:val="BodyText"/>
      </w:pPr>
      <w:r>
        <w:rPr/>
        <w:t>名称：华夏基金管理有限公司</w:t>
      </w:r>
    </w:p>
    <w:p>
      <w:pPr>
        <w:pStyle w:val="BodyText"/>
        <w:spacing w:before="7"/>
        <w:ind w:left="0"/>
        <w:rPr>
          <w:sz w:val="15"/>
        </w:rPr>
      </w:pPr>
    </w:p>
    <w:p>
      <w:pPr>
        <w:pStyle w:val="BodyText"/>
        <w:spacing w:line="417" w:lineRule="auto"/>
        <w:ind w:right="5129"/>
      </w:pPr>
      <w:r>
        <w:rPr/>
        <w:t>住所：北京市顺义区安庆大街甲 </w:t>
      </w:r>
      <w:r>
        <w:rPr>
          <w:rFonts w:ascii="Times New Roman" w:eastAsia="Times New Roman"/>
        </w:rPr>
        <w:t>3 </w:t>
      </w:r>
      <w:r>
        <w:rPr/>
        <w:t>号院法定代表人：杨明辉</w:t>
      </w:r>
    </w:p>
    <w:p>
      <w:pPr>
        <w:pStyle w:val="BodyText"/>
      </w:pPr>
      <w:r>
        <w:rPr/>
        <w:t>成立时间：</w:t>
      </w:r>
      <w:r>
        <w:rPr>
          <w:rFonts w:ascii="Times New Roman" w:eastAsia="Times New Roman"/>
        </w:rPr>
        <w:t>1998 </w:t>
      </w:r>
      <w:r>
        <w:rPr/>
        <w:t>年 </w:t>
      </w:r>
      <w:r>
        <w:rPr>
          <w:rFonts w:ascii="Times New Roman" w:eastAsia="Times New Roman"/>
        </w:rPr>
        <w:t>4 </w:t>
      </w:r>
      <w:r>
        <w:rPr/>
        <w:t>月 </w:t>
      </w:r>
      <w:r>
        <w:rPr>
          <w:rFonts w:ascii="Times New Roman" w:eastAsia="Times New Roman"/>
        </w:rPr>
        <w:t>9 </w:t>
      </w:r>
      <w:r>
        <w:rPr/>
        <w:t>日</w:t>
      </w:r>
    </w:p>
    <w:p>
      <w:pPr>
        <w:pStyle w:val="BodyText"/>
        <w:spacing w:before="7"/>
        <w:ind w:left="0"/>
        <w:rPr>
          <w:sz w:val="15"/>
        </w:rPr>
      </w:pPr>
    </w:p>
    <w:p>
      <w:pPr>
        <w:pStyle w:val="BodyText"/>
        <w:spacing w:line="417" w:lineRule="auto"/>
        <w:ind w:right="2688"/>
      </w:pPr>
      <w:r>
        <w:rPr/>
        <w:t>批准设立机关及批准设立文号：中国证监会证监基字</w:t>
      </w:r>
      <w:r>
        <w:rPr>
          <w:rFonts w:ascii="Times New Roman" w:eastAsia="Times New Roman"/>
        </w:rPr>
        <w:t>[1998]16 </w:t>
      </w:r>
      <w:r>
        <w:rPr/>
        <w:t>号文注册资本：</w:t>
      </w:r>
      <w:r>
        <w:rPr>
          <w:rFonts w:ascii="Times New Roman" w:eastAsia="Times New Roman"/>
        </w:rPr>
        <w:t>2.38 </w:t>
      </w:r>
      <w:r>
        <w:rPr/>
        <w:t>亿元</w:t>
      </w:r>
    </w:p>
    <w:p>
      <w:pPr>
        <w:pStyle w:val="BodyText"/>
        <w:spacing w:line="417" w:lineRule="auto"/>
        <w:ind w:right="6603"/>
      </w:pPr>
      <w:r>
        <w:rPr/>
        <w:t>组织形式</w:t>
      </w:r>
      <w:r>
        <w:rPr>
          <w:rFonts w:ascii="Times New Roman" w:eastAsia="Times New Roman"/>
        </w:rPr>
        <w:t>:</w:t>
      </w:r>
      <w:r>
        <w:rPr/>
        <w:t>有限责任公司存续期间：</w:t>
      </w:r>
      <w:r>
        <w:rPr>
          <w:rFonts w:ascii="Times New Roman" w:eastAsia="Times New Roman"/>
        </w:rPr>
        <w:t>100 </w:t>
      </w:r>
      <w:r>
        <w:rPr/>
        <w:t>年</w:t>
      </w:r>
    </w:p>
    <w:p>
      <w:pPr>
        <w:pStyle w:val="BodyText"/>
        <w:spacing w:line="417" w:lineRule="auto"/>
        <w:ind w:left="220" w:right="989" w:firstLine="419"/>
      </w:pPr>
      <w:r>
        <w:rPr>
          <w:spacing w:val="-23"/>
          <w:w w:val="100"/>
        </w:rPr>
        <w:t>经营范围：</w:t>
      </w:r>
      <w:r>
        <w:rPr>
          <w:w w:val="100"/>
        </w:rPr>
        <w:t>（</w:t>
      </w:r>
      <w:r>
        <w:rPr>
          <w:spacing w:val="-3"/>
          <w:w w:val="100"/>
        </w:rPr>
        <w:t>一</w:t>
      </w:r>
      <w:r>
        <w:rPr>
          <w:w w:val="100"/>
        </w:rPr>
        <w:t>）</w:t>
      </w:r>
      <w:r>
        <w:rPr>
          <w:spacing w:val="-24"/>
          <w:w w:val="100"/>
        </w:rPr>
        <w:t>基金募集；</w:t>
      </w:r>
      <w:r>
        <w:rPr>
          <w:w w:val="100"/>
        </w:rPr>
        <w:t>（</w:t>
      </w:r>
      <w:r>
        <w:rPr>
          <w:spacing w:val="-3"/>
          <w:w w:val="100"/>
        </w:rPr>
        <w:t>二</w:t>
      </w:r>
      <w:r>
        <w:rPr>
          <w:w w:val="100"/>
        </w:rPr>
        <w:t>）</w:t>
      </w:r>
      <w:r>
        <w:rPr>
          <w:spacing w:val="-24"/>
          <w:w w:val="100"/>
        </w:rPr>
        <w:t>基金销售；</w:t>
      </w:r>
      <w:r>
        <w:rPr>
          <w:spacing w:val="-3"/>
          <w:w w:val="100"/>
        </w:rPr>
        <w:t>（</w:t>
      </w:r>
      <w:r>
        <w:rPr>
          <w:w w:val="100"/>
        </w:rPr>
        <w:t>三</w:t>
      </w:r>
      <w:r>
        <w:rPr>
          <w:spacing w:val="-3"/>
          <w:w w:val="100"/>
        </w:rPr>
        <w:t>）</w:t>
      </w:r>
      <w:r>
        <w:rPr>
          <w:spacing w:val="-23"/>
          <w:w w:val="100"/>
        </w:rPr>
        <w:t>资产管理；</w:t>
      </w:r>
      <w:r>
        <w:rPr>
          <w:w w:val="100"/>
        </w:rPr>
        <w:t>（</w:t>
      </w:r>
      <w:r>
        <w:rPr>
          <w:spacing w:val="-3"/>
          <w:w w:val="100"/>
        </w:rPr>
        <w:t>四</w:t>
      </w:r>
      <w:r>
        <w:rPr>
          <w:w w:val="100"/>
        </w:rPr>
        <w:t>）</w:t>
      </w:r>
      <w:r>
        <w:rPr>
          <w:spacing w:val="-3"/>
          <w:w w:val="100"/>
        </w:rPr>
        <w:t>从事特定客户资</w:t>
      </w:r>
      <w:r>
        <w:rPr>
          <w:spacing w:val="-21"/>
          <w:w w:val="100"/>
        </w:rPr>
        <w:t>产管理业务；</w:t>
      </w:r>
      <w:r>
        <w:rPr>
          <w:spacing w:val="-3"/>
          <w:w w:val="100"/>
        </w:rPr>
        <w:t>（</w:t>
      </w:r>
      <w:r>
        <w:rPr>
          <w:w w:val="100"/>
        </w:rPr>
        <w:t>五</w:t>
      </w:r>
      <w:r>
        <w:rPr>
          <w:spacing w:val="-3"/>
          <w:w w:val="100"/>
        </w:rPr>
        <w:t>）中国证监会核准的其他业务。</w:t>
      </w:r>
    </w:p>
    <w:p>
      <w:pPr>
        <w:pStyle w:val="BodyText"/>
      </w:pPr>
      <w:r>
        <w:rPr/>
        <w:t>（二）基金托管人</w:t>
      </w:r>
    </w:p>
    <w:p>
      <w:pPr>
        <w:spacing w:after="0"/>
        <w:sectPr>
          <w:pgSz w:w="11910" w:h="16840"/>
          <w:pgMar w:header="705" w:footer="683" w:top="1420" w:bottom="880" w:left="1580" w:right="920"/>
        </w:sectPr>
      </w:pPr>
    </w:p>
    <w:p>
      <w:pPr>
        <w:pStyle w:val="BodyText"/>
        <w:spacing w:line="417" w:lineRule="auto" w:before="110"/>
        <w:ind w:right="3929"/>
      </w:pPr>
      <w:r>
        <w:rPr/>
        <w:t>名称：中国银行股份有限公司（简称“中国银行”） 住所：北京市复兴门内大街 </w:t>
      </w:r>
      <w:r>
        <w:rPr>
          <w:rFonts w:ascii="Times New Roman" w:hAnsi="Times New Roman" w:eastAsia="Times New Roman"/>
        </w:rPr>
        <w:t>1 </w:t>
      </w:r>
      <w:r>
        <w:rPr/>
        <w:t>号</w:t>
      </w:r>
    </w:p>
    <w:p>
      <w:pPr>
        <w:pStyle w:val="BodyText"/>
        <w:spacing w:line="417" w:lineRule="auto"/>
        <w:ind w:right="2607"/>
      </w:pPr>
      <w:r>
        <w:rPr/>
        <w:t>办公地址：北京市西城区复兴门内大街 </w:t>
      </w:r>
      <w:r>
        <w:rPr>
          <w:rFonts w:ascii="Times New Roman" w:eastAsia="Times New Roman"/>
        </w:rPr>
        <w:t>1 </w:t>
      </w:r>
      <w:r>
        <w:rPr/>
        <w:t>号中国银行总行办公大楼法定代表人：刘连舸</w:t>
      </w:r>
    </w:p>
    <w:p>
      <w:pPr>
        <w:pStyle w:val="BodyText"/>
        <w:spacing w:line="417" w:lineRule="auto"/>
        <w:ind w:right="5979"/>
      </w:pPr>
      <w:r>
        <w:rPr>
          <w:spacing w:val="-1"/>
        </w:rPr>
        <w:t>成立时间：</w:t>
      </w:r>
      <w:r>
        <w:rPr>
          <w:rFonts w:ascii="Times New Roman" w:eastAsia="Times New Roman"/>
        </w:rPr>
        <w:t>1983 </w:t>
      </w:r>
      <w:r>
        <w:rPr>
          <w:spacing w:val="-26"/>
        </w:rPr>
        <w:t>年 </w:t>
      </w:r>
      <w:r>
        <w:rPr>
          <w:rFonts w:ascii="Times New Roman" w:eastAsia="Times New Roman"/>
        </w:rPr>
        <w:t>10 </w:t>
      </w:r>
      <w:r>
        <w:rPr>
          <w:spacing w:val="-27"/>
        </w:rPr>
        <w:t>月 </w:t>
      </w:r>
      <w:r>
        <w:rPr>
          <w:rFonts w:ascii="Times New Roman" w:eastAsia="Times New Roman"/>
        </w:rPr>
        <w:t>31 </w:t>
      </w:r>
      <w:r>
        <w:rPr>
          <w:spacing w:val="-13"/>
        </w:rPr>
        <w:t>日</w:t>
      </w:r>
      <w:r>
        <w:rPr>
          <w:spacing w:val="-3"/>
        </w:rPr>
        <w:t>组织形式：股份有限公司</w:t>
      </w:r>
    </w:p>
    <w:p>
      <w:pPr>
        <w:pStyle w:val="BodyText"/>
        <w:spacing w:line="417" w:lineRule="auto"/>
        <w:ind w:right="1827"/>
      </w:pPr>
      <w:r>
        <w:rPr/>
        <w:t>注册资本：人民币贰仟玖佰肆拾叁亿捌仟柒佰柒拾玖万壹仟贰佰肆拾壹元整存续期间：持续经营</w:t>
      </w:r>
    </w:p>
    <w:p>
      <w:pPr>
        <w:pStyle w:val="BodyText"/>
      </w:pPr>
      <w:r>
        <w:rPr/>
        <w:t>基金托管资格批文及文号：中国证监会证监基字</w:t>
      </w:r>
      <w:r>
        <w:rPr>
          <w:rFonts w:ascii="Times New Roman" w:eastAsia="Times New Roman"/>
        </w:rPr>
        <w:t>[1998]24 </w:t>
      </w:r>
      <w:r>
        <w:rPr/>
        <w:t>号</w:t>
      </w:r>
    </w:p>
    <w:p>
      <w:pPr>
        <w:pStyle w:val="BodyText"/>
        <w:spacing w:before="6"/>
        <w:ind w:left="0"/>
        <w:rPr>
          <w:sz w:val="15"/>
        </w:rPr>
      </w:pPr>
    </w:p>
    <w:p>
      <w:pPr>
        <w:pStyle w:val="BodyText"/>
        <w:spacing w:line="417" w:lineRule="auto"/>
        <w:ind w:left="220" w:right="986" w:firstLine="419"/>
        <w:jc w:val="both"/>
      </w:pPr>
      <w:r>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 代理收付款项及代理保险业务；提供保管箱服务；经中国银行业监督管理机构等监管部门批准的其他业务。</w:t>
      </w:r>
    </w:p>
    <w:p>
      <w:pPr>
        <w:pStyle w:val="BodyText"/>
        <w:spacing w:line="269" w:lineRule="exact"/>
      </w:pPr>
      <w:r>
        <w:rPr/>
        <w:t>三、基金托管人对基金管理人的业务监督和核查</w:t>
      </w:r>
    </w:p>
    <w:p>
      <w:pPr>
        <w:pStyle w:val="BodyText"/>
        <w:spacing w:before="6"/>
        <w:ind w:left="0"/>
        <w:rPr>
          <w:sz w:val="15"/>
        </w:rPr>
      </w:pPr>
    </w:p>
    <w:p>
      <w:pPr>
        <w:pStyle w:val="BodyText"/>
        <w:spacing w:line="417" w:lineRule="auto"/>
        <w:ind w:left="220" w:right="986" w:firstLine="419"/>
      </w:pPr>
      <w:r>
        <w:rPr/>
        <w:t>（一）基金托管人根据有关法律法规的规定及《基金合同》中实际可以监控事项的约定，建立相关的技术系统，对基金管理人的投资运作进行监督。主要包括以下方面：</w:t>
      </w:r>
    </w:p>
    <w:p>
      <w:pPr>
        <w:pStyle w:val="BodyText"/>
        <w:spacing w:line="417" w:lineRule="auto"/>
        <w:ind w:left="220" w:right="986" w:firstLine="419"/>
        <w:jc w:val="both"/>
      </w:pPr>
      <w:r>
        <w:rPr>
          <w:rFonts w:ascii="Times New Roman" w:eastAsia="Times New Roman"/>
        </w:rPr>
        <w:t>1</w:t>
      </w:r>
      <w:r>
        <w:rPr>
          <w:spacing w:val="-12"/>
        </w:rPr>
        <w:t>、对基金的投资范围、投资对象进行监督。基金管理人应将拟投资的股票库等各投资</w:t>
      </w:r>
      <w:r>
        <w:rPr>
          <w:spacing w:val="-6"/>
        </w:rPr>
        <w:t>品种的具体范围提供给基金托管人。基金管理人可以根据实际情况的变化，对各投资品种</w:t>
      </w:r>
      <w:r>
        <w:rPr>
          <w:spacing w:val="-4"/>
        </w:rPr>
        <w:t>的具体范围予以更新和调整，并通知基金托管人。基金托管人根据上述投资范围对基金的</w:t>
      </w:r>
      <w:r>
        <w:rPr>
          <w:spacing w:val="-3"/>
        </w:rPr>
        <w:t>投资进行监督。</w:t>
      </w:r>
    </w:p>
    <w:p>
      <w:pPr>
        <w:pStyle w:val="BodyText"/>
      </w:pPr>
      <w:r>
        <w:rPr>
          <w:rFonts w:ascii="Times New Roman" w:eastAsia="Times New Roman"/>
        </w:rPr>
        <w:t>2</w:t>
      </w:r>
      <w:r>
        <w:rPr/>
        <w:t>、对基金投融资比例进行监督。</w:t>
      </w:r>
    </w:p>
    <w:p>
      <w:pPr>
        <w:pStyle w:val="BodyText"/>
        <w:spacing w:before="7"/>
        <w:ind w:left="0"/>
        <w:rPr>
          <w:sz w:val="15"/>
        </w:rPr>
      </w:pPr>
    </w:p>
    <w:p>
      <w:pPr>
        <w:pStyle w:val="BodyText"/>
        <w:spacing w:line="417" w:lineRule="auto"/>
        <w:ind w:left="220" w:right="986" w:firstLine="419"/>
        <w:jc w:val="both"/>
      </w:pPr>
      <w:r>
        <w:rPr>
          <w:rFonts w:ascii="Times New Roman" w:eastAsia="Times New Roman"/>
        </w:rPr>
        <w:t>3</w:t>
      </w:r>
      <w:r>
        <w:rPr>
          <w:spacing w:val="-10"/>
        </w:rPr>
        <w:t>、对基金投资禁止行为进行监督。为对基金禁止从事的关联交易进行监督，基金管理</w:t>
      </w:r>
      <w:r>
        <w:rPr>
          <w:spacing w:val="-5"/>
        </w:rPr>
        <w:t>人和基金托管人应相互提供与本机构有控股关系的股东或与本机构有其他重大利害关系的</w:t>
      </w:r>
      <w:r>
        <w:rPr>
          <w:spacing w:val="-4"/>
        </w:rPr>
        <w:t>公司名单。</w:t>
      </w:r>
    </w:p>
    <w:p>
      <w:pPr>
        <w:pStyle w:val="BodyText"/>
        <w:spacing w:line="417" w:lineRule="auto"/>
        <w:ind w:left="220" w:right="777" w:firstLine="419"/>
      </w:pPr>
      <w:r>
        <w:rPr>
          <w:rFonts w:ascii="Times New Roman" w:eastAsia="Times New Roman"/>
        </w:rPr>
        <w:t>4</w:t>
      </w:r>
      <w:r>
        <w:rPr>
          <w:spacing w:val="-12"/>
        </w:rPr>
        <w:t>、基金管理人向基金托管人提供其回购交易及监督所需的其他投资品种的交易对手库。</w:t>
      </w:r>
      <w:r>
        <w:rPr>
          <w:spacing w:val="-6"/>
        </w:rPr>
        <w:t>基金管理人可以根据实际情况的变化，及时对交易对手库予以更新和调整，并通知基金托 </w:t>
      </w:r>
      <w:r>
        <w:rPr>
          <w:spacing w:val="-4"/>
        </w:rPr>
        <w:t>管人。基金管理人进行金融衍生品、证券借贷、回购交易时，交易对手应符合交易对手库 </w:t>
      </w:r>
      <w:r>
        <w:rPr>
          <w:spacing w:val="-3"/>
        </w:rPr>
        <w:t>的范围。基金托管人对交易对手是否符合交易对手库进行监督。</w:t>
      </w:r>
    </w:p>
    <w:p>
      <w:pPr>
        <w:pStyle w:val="BodyText"/>
        <w:spacing w:line="269" w:lineRule="exact"/>
      </w:pPr>
      <w:r>
        <w:rPr>
          <w:rFonts w:ascii="Times New Roman" w:eastAsia="Times New Roman"/>
        </w:rPr>
        <w:t>5</w:t>
      </w:r>
      <w:r>
        <w:rPr/>
        <w:t>、基金如投资银行存款，基金管理人应根据法律法规的规定及基金合同的约定，事先</w:t>
      </w:r>
    </w:p>
    <w:p>
      <w:pPr>
        <w:spacing w:after="0" w:line="269" w:lineRule="exact"/>
        <w:sectPr>
          <w:pgSz w:w="11910" w:h="16840"/>
          <w:pgMar w:header="705" w:footer="683" w:top="1420" w:bottom="880" w:left="1580" w:right="920"/>
        </w:sectPr>
      </w:pPr>
    </w:p>
    <w:p>
      <w:pPr>
        <w:pStyle w:val="BodyText"/>
        <w:spacing w:line="417" w:lineRule="auto" w:before="110"/>
        <w:ind w:left="220" w:right="986"/>
      </w:pPr>
      <w:r>
        <w:rPr/>
        <w:t>确定符合条件的所有存款银行的名单，并及时提供给基金托管人，基金托管人据以对基金投资银行存款的交易对手是否符合上述名单进行监督。</w:t>
      </w:r>
    </w:p>
    <w:p>
      <w:pPr>
        <w:pStyle w:val="BodyText"/>
        <w:spacing w:line="417" w:lineRule="auto"/>
        <w:ind w:left="220" w:right="988" w:firstLine="419"/>
      </w:pPr>
      <w:r>
        <w:rPr>
          <w:rFonts w:ascii="Times New Roman" w:eastAsia="Times New Roman"/>
        </w:rPr>
        <w:t>6</w:t>
      </w:r>
      <w:r>
        <w:rPr>
          <w:spacing w:val="-13"/>
        </w:rPr>
        <w:t>、对法律法规规定及《基金合同》中实际可以监控事项约定的基金投资的其他方面进</w:t>
      </w:r>
      <w:r>
        <w:rPr>
          <w:spacing w:val="-8"/>
        </w:rPr>
        <w:t>行监督。</w:t>
      </w:r>
    </w:p>
    <w:p>
      <w:pPr>
        <w:pStyle w:val="BodyText"/>
        <w:spacing w:line="417" w:lineRule="auto"/>
        <w:ind w:left="220" w:right="986" w:firstLine="419"/>
        <w:jc w:val="both"/>
      </w:pPr>
      <w:r>
        <w:rPr/>
        <w:t>（二</w:t>
      </w:r>
      <w:r>
        <w:rPr>
          <w:spacing w:val="-3"/>
        </w:rPr>
        <w:t>）基金托管人应根据有关法律法规的规定及《基金合同》的约定，对基金资产净值计算、基金份额净值计算、应收资金到账、基金费用开支及收入确定、基金收益分配、相关信息披露、基金宣传推介材料中登载基金业绩表现数据等进行业务监督、核查。</w:t>
      </w:r>
    </w:p>
    <w:p>
      <w:pPr>
        <w:pStyle w:val="BodyText"/>
        <w:spacing w:line="417" w:lineRule="auto"/>
        <w:ind w:left="220" w:right="986" w:firstLine="419"/>
        <w:jc w:val="both"/>
      </w:pPr>
      <w:r>
        <w:rPr/>
        <w:t>（三</w:t>
      </w:r>
      <w:r>
        <w:rPr>
          <w:spacing w:val="-3"/>
        </w:rPr>
        <w:t>）基金托管人发现基金管理人的违规行为，应及时通知基金管理人，由基金管理人限期纠正；基金管理人收到通知后应及时进行核对确认并回函；在限期内，基金托管人有权对通知事项进行复查，如基金管理人未予纠正，基金托管人应报告中国证监会。</w:t>
      </w:r>
    </w:p>
    <w:p>
      <w:pPr>
        <w:pStyle w:val="BodyText"/>
        <w:spacing w:line="417" w:lineRule="auto"/>
        <w:ind w:left="220" w:right="986" w:firstLine="419"/>
        <w:jc w:val="both"/>
      </w:pPr>
      <w:r>
        <w:rPr/>
        <w:t>（四）基金管理人应积极配合和协助基金托管人的监督和核查，包括但不限于：在规定时间内答复基金托管人并改正，就基金托管人的疑义进行解释或举证，对基金托管人按照法规要求需向中国证监会报送基金监督报告的，基金管理人应积极配合提供相关数据资料和制度等。</w:t>
      </w:r>
    </w:p>
    <w:p>
      <w:pPr>
        <w:pStyle w:val="BodyText"/>
        <w:spacing w:line="417" w:lineRule="auto"/>
        <w:ind w:left="220" w:right="986" w:firstLine="419"/>
      </w:pPr>
      <w:r>
        <w:rPr/>
        <w:t>（五）基金托管人对基金管理人对基金财产的投资运作于估值日结束且相关数据齐备后，进行交易后的投资监控和报告。</w:t>
      </w:r>
    </w:p>
    <w:p>
      <w:pPr>
        <w:pStyle w:val="BodyText"/>
        <w:spacing w:line="417" w:lineRule="auto"/>
        <w:ind w:left="220" w:right="986" w:firstLine="419"/>
        <w:jc w:val="both"/>
      </w:pPr>
      <w:r>
        <w:rPr/>
        <w:t>（六）基金托管人的投资监督报告的准确性和完整性受限于基金管理人及其他中介机构提供的数据和信息，基金托管人对这些机构的信息的准确性和完整性不作任何担保、暗示或表示，并对这些机构的信息的准确性和完整性所引起的损失不负任何责任。</w:t>
      </w:r>
    </w:p>
    <w:p>
      <w:pPr>
        <w:pStyle w:val="BodyText"/>
        <w:spacing w:line="417" w:lineRule="auto"/>
        <w:ind w:left="220" w:right="966" w:firstLine="419"/>
      </w:pPr>
      <w:r>
        <w:rPr/>
        <w:t>（七）基金托管人对基金管理人的投资行为（包括但不限于其投资策略及决定）及其投资回报不承担任何责任。</w:t>
      </w:r>
    </w:p>
    <w:p>
      <w:pPr>
        <w:pStyle w:val="BodyText"/>
      </w:pPr>
      <w:r>
        <w:rPr/>
        <w:t>四、基金管理人对基金托管人的业务核查</w:t>
      </w:r>
    </w:p>
    <w:p>
      <w:pPr>
        <w:pStyle w:val="BodyText"/>
        <w:spacing w:before="4"/>
        <w:ind w:left="0"/>
        <w:rPr>
          <w:sz w:val="15"/>
        </w:rPr>
      </w:pPr>
    </w:p>
    <w:p>
      <w:pPr>
        <w:pStyle w:val="BodyText"/>
        <w:spacing w:line="417" w:lineRule="auto" w:before="1"/>
        <w:ind w:left="220" w:right="986" w:firstLine="419"/>
        <w:jc w:val="both"/>
      </w:pPr>
      <w:r>
        <w:rPr/>
        <w:t>（一）在本协议的有效期内，在不违反公平、合理原则以及不妨碍基金托管人遵守相关法律法规及其行业监管要求的基础上，基金管理人有权对基金托管人履行本协议的情况进行必要的核查，核查事项包括但不限于基金托管人安全保管基金财产、开设基金财产的资金账户和证券账户、复核基金管理人计算的基金资产净值和基金份额净值、根据基金管理人指令办理清算交收、相关信息披露和监督基金投资运作等行为。</w:t>
      </w:r>
    </w:p>
    <w:p>
      <w:pPr>
        <w:pStyle w:val="BodyText"/>
        <w:spacing w:line="417" w:lineRule="auto"/>
        <w:ind w:left="220" w:right="986" w:firstLine="419"/>
        <w:jc w:val="both"/>
      </w:pPr>
      <w:r>
        <w:rPr/>
        <w:t>（二</w:t>
      </w:r>
      <w:r>
        <w:rPr>
          <w:spacing w:val="-3"/>
        </w:rPr>
        <w:t>）基金管理人发现基金托管人擅自挪用基金财产、未对基金财产实行分账管理、无正当理由未执行或延迟执行基金管理人资金划拨指令、泄露基金投资信息等违反法律法</w:t>
      </w:r>
      <w:r>
        <w:rPr>
          <w:spacing w:val="-17"/>
        </w:rPr>
        <w:t>规、《基金合同》及本协议有关规定时，应及时以书面形式通知基金托管人限期纠正，基金</w:t>
      </w:r>
    </w:p>
    <w:p>
      <w:pPr>
        <w:spacing w:after="0" w:line="417" w:lineRule="auto"/>
        <w:jc w:val="both"/>
        <w:sectPr>
          <w:footerReference w:type="default" r:id="rId230"/>
          <w:pgSz w:w="11910" w:h="16840"/>
          <w:pgMar w:footer="683" w:header="705" w:top="1420" w:bottom="880" w:left="1580" w:right="920"/>
        </w:sectPr>
      </w:pPr>
    </w:p>
    <w:p>
      <w:pPr>
        <w:pStyle w:val="BodyText"/>
        <w:spacing w:line="417" w:lineRule="auto" w:before="110"/>
        <w:ind w:left="220" w:right="986"/>
        <w:jc w:val="both"/>
      </w:pPr>
      <w:r>
        <w:rPr/>
        <w:t>托管人收到通知后应及时核对并以书面形式对基金管理人发出回函。在限期内，基金管理人有权随时对通知事项进行复查，督促基金托管人改正。基金托管人对基金管理人通知的违规事项未能在限期内纠正的，基金管理人应报告中国证监会。</w:t>
      </w:r>
    </w:p>
    <w:p>
      <w:pPr>
        <w:pStyle w:val="BodyText"/>
        <w:spacing w:line="417" w:lineRule="auto"/>
        <w:ind w:left="220" w:right="918" w:firstLine="419"/>
      </w:pPr>
      <w:r>
        <w:rPr/>
        <w:t>（</w:t>
      </w:r>
      <w:r>
        <w:rPr>
          <w:spacing w:val="-3"/>
        </w:rPr>
        <w:t>三</w:t>
      </w:r>
      <w:r>
        <w:rPr>
          <w:spacing w:val="-8"/>
        </w:rPr>
        <w:t>）</w:t>
      </w:r>
      <w:r>
        <w:rPr>
          <w:spacing w:val="-5"/>
        </w:rPr>
        <w:t>基金托管人应积极配合基金管理人的核查行为，包括但不限于：提交相关资料以供基金管理人核查托管财产的完整性和真实性，在规定时间内答复基金管理人并改正。</w:t>
      </w:r>
    </w:p>
    <w:p>
      <w:pPr>
        <w:pStyle w:val="BodyText"/>
        <w:spacing w:line="269" w:lineRule="exact"/>
      </w:pPr>
      <w:r>
        <w:rPr/>
        <w:t>六、基金财产的保管</w:t>
      </w:r>
    </w:p>
    <w:p>
      <w:pPr>
        <w:pStyle w:val="BodyText"/>
        <w:spacing w:before="6"/>
        <w:ind w:left="0"/>
        <w:rPr>
          <w:sz w:val="15"/>
        </w:rPr>
      </w:pPr>
    </w:p>
    <w:p>
      <w:pPr>
        <w:pStyle w:val="BodyText"/>
      </w:pPr>
      <w:r>
        <w:rPr/>
        <w:t>（一）基金财产保管的原则</w:t>
      </w:r>
    </w:p>
    <w:p>
      <w:pPr>
        <w:pStyle w:val="BodyText"/>
        <w:spacing w:before="7"/>
        <w:ind w:left="0"/>
        <w:rPr>
          <w:sz w:val="15"/>
        </w:rPr>
      </w:pPr>
    </w:p>
    <w:p>
      <w:pPr>
        <w:pStyle w:val="BodyText"/>
      </w:pPr>
      <w:r>
        <w:rPr>
          <w:rFonts w:ascii="Times New Roman" w:eastAsia="Times New Roman"/>
        </w:rPr>
        <w:t>1</w:t>
      </w:r>
      <w:r>
        <w:rPr/>
        <w:t>、基金财产应独立于基金管理人、基金托管人的固有财产。</w:t>
      </w:r>
    </w:p>
    <w:p>
      <w:pPr>
        <w:pStyle w:val="BodyText"/>
        <w:spacing w:before="7"/>
        <w:ind w:left="0"/>
        <w:rPr>
          <w:sz w:val="15"/>
        </w:rPr>
      </w:pPr>
    </w:p>
    <w:p>
      <w:pPr>
        <w:pStyle w:val="BodyText"/>
        <w:spacing w:line="417" w:lineRule="auto"/>
        <w:ind w:left="220" w:right="989" w:firstLine="419"/>
      </w:pPr>
      <w:r>
        <w:rPr>
          <w:rFonts w:ascii="Times New Roman" w:eastAsia="Times New Roman"/>
        </w:rPr>
        <w:t>2</w:t>
      </w:r>
      <w:r>
        <w:rPr>
          <w:spacing w:val="-14"/>
        </w:rPr>
        <w:t>、基金托管人应安全保管基金财产，未经基金管理人的合法合规指令或法律法规</w:t>
      </w:r>
      <w:r>
        <w:rPr>
          <w:spacing w:val="-60"/>
        </w:rPr>
        <w:t>、《基</w:t>
      </w:r>
      <w:r>
        <w:rPr>
          <w:spacing w:val="-14"/>
        </w:rPr>
        <w:t>金合同》及本协议另有规定，不得自行运用、处分、分配基金的任何财产。</w:t>
      </w:r>
    </w:p>
    <w:p>
      <w:pPr>
        <w:pStyle w:val="BodyText"/>
        <w:spacing w:line="269" w:lineRule="exact"/>
      </w:pPr>
      <w:r>
        <w:rPr>
          <w:rFonts w:ascii="Times New Roman" w:eastAsia="Times New Roman"/>
        </w:rPr>
        <w:t>3</w:t>
      </w:r>
      <w:r>
        <w:rPr/>
        <w:t>、基金托管人按照规定开设基金财产的所有资金账户和证券账户。</w:t>
      </w:r>
    </w:p>
    <w:p>
      <w:pPr>
        <w:pStyle w:val="BodyText"/>
        <w:spacing w:before="7"/>
        <w:ind w:left="0"/>
        <w:rPr>
          <w:sz w:val="15"/>
        </w:rPr>
      </w:pPr>
    </w:p>
    <w:p>
      <w:pPr>
        <w:pStyle w:val="BodyText"/>
      </w:pPr>
      <w:r>
        <w:rPr>
          <w:rFonts w:ascii="Times New Roman" w:eastAsia="Times New Roman"/>
        </w:rPr>
        <w:t>4</w:t>
      </w:r>
      <w:r>
        <w:rPr/>
        <w:t>、基金托管人对所托管的不同基金财产分别设置账户，确保基金财产的完整与独立。</w:t>
      </w:r>
    </w:p>
    <w:p>
      <w:pPr>
        <w:pStyle w:val="BodyText"/>
        <w:spacing w:before="6"/>
        <w:ind w:left="0"/>
        <w:rPr>
          <w:sz w:val="15"/>
        </w:rPr>
      </w:pPr>
    </w:p>
    <w:p>
      <w:pPr>
        <w:pStyle w:val="BodyText"/>
        <w:spacing w:line="417" w:lineRule="auto" w:before="1"/>
        <w:ind w:left="220" w:right="986" w:firstLine="419"/>
      </w:pPr>
      <w:r>
        <w:rPr>
          <w:rFonts w:ascii="Times New Roman" w:eastAsia="Times New Roman"/>
        </w:rPr>
        <w:t>5</w:t>
      </w:r>
      <w:r>
        <w:rPr>
          <w:spacing w:val="-12"/>
        </w:rPr>
        <w:t>、基金托管人可将基金境外财产安全保管和办理与基金财产过户有关的手续等职责委</w:t>
      </w:r>
      <w:r>
        <w:rPr>
          <w:spacing w:val="-6"/>
        </w:rPr>
        <w:t>托给符合法律法规要求的境外第三方机构履行。</w:t>
      </w:r>
    </w:p>
    <w:p>
      <w:pPr>
        <w:pStyle w:val="BodyText"/>
      </w:pPr>
      <w:r>
        <w:rPr>
          <w:rFonts w:ascii="Times New Roman" w:eastAsia="Times New Roman"/>
        </w:rPr>
        <w:t>6</w:t>
      </w:r>
      <w:r>
        <w:rPr/>
        <w:t>、境外现金账户中的现金由基金托管人或其境外托管人以银行身份持有。</w:t>
      </w:r>
    </w:p>
    <w:p>
      <w:pPr>
        <w:pStyle w:val="BodyText"/>
        <w:spacing w:before="6"/>
        <w:ind w:left="0"/>
        <w:rPr>
          <w:sz w:val="15"/>
        </w:rPr>
      </w:pPr>
    </w:p>
    <w:p>
      <w:pPr>
        <w:pStyle w:val="BodyText"/>
        <w:spacing w:line="417" w:lineRule="auto"/>
        <w:ind w:left="220" w:right="989" w:firstLine="419"/>
      </w:pPr>
      <w:r>
        <w:rPr>
          <w:rFonts w:ascii="Times New Roman" w:eastAsia="Times New Roman"/>
        </w:rPr>
        <w:t>7</w:t>
      </w:r>
      <w:r>
        <w:rPr>
          <w:spacing w:val="-10"/>
        </w:rPr>
        <w:t>、托管人或其境外托管人按照有关市场的适用法律、法规和市场惯例，支付现金、办</w:t>
      </w:r>
      <w:r>
        <w:rPr>
          <w:spacing w:val="-5"/>
        </w:rPr>
        <w:t>理证券登记等托管业务。</w:t>
      </w:r>
    </w:p>
    <w:p>
      <w:pPr>
        <w:pStyle w:val="BodyText"/>
        <w:spacing w:line="269" w:lineRule="exact"/>
      </w:pPr>
      <w:r>
        <w:rPr/>
        <w:t>（二）基金募集期间及募集资金的验资</w:t>
      </w:r>
    </w:p>
    <w:p>
      <w:pPr>
        <w:pStyle w:val="BodyText"/>
        <w:spacing w:before="7"/>
        <w:ind w:left="0"/>
        <w:rPr>
          <w:sz w:val="15"/>
        </w:rPr>
      </w:pPr>
    </w:p>
    <w:p>
      <w:pPr>
        <w:pStyle w:val="BodyText"/>
        <w:spacing w:line="417" w:lineRule="auto"/>
        <w:ind w:left="220" w:right="986" w:firstLine="419"/>
      </w:pPr>
      <w:r>
        <w:rPr>
          <w:rFonts w:ascii="Times New Roman" w:hAnsi="Times New Roman" w:eastAsia="Times New Roman"/>
        </w:rPr>
        <w:t>1</w:t>
      </w:r>
      <w:r>
        <w:rPr>
          <w:spacing w:val="-12"/>
        </w:rPr>
        <w:t>、基金募集期间的资金应存于基金管理人在基金托管人的营业机构开立的“基金募集</w:t>
      </w:r>
      <w:r>
        <w:rPr>
          <w:spacing w:val="-6"/>
        </w:rPr>
        <w:t>专户”。该账户由基金管理人以基金管理人的名义开立并管理。</w:t>
      </w:r>
    </w:p>
    <w:p>
      <w:pPr>
        <w:pStyle w:val="BodyText"/>
        <w:spacing w:line="417" w:lineRule="auto"/>
        <w:ind w:left="220" w:right="986" w:firstLine="419"/>
        <w:jc w:val="both"/>
      </w:pPr>
      <w:r>
        <w:rPr>
          <w:rFonts w:ascii="Times New Roman" w:eastAsia="Times New Roman"/>
        </w:rPr>
        <w:t>2</w:t>
      </w:r>
      <w:r>
        <w:rPr>
          <w:spacing w:val="-11"/>
        </w:rPr>
        <w:t>、基金募集期满或基金停止募集时，募集的基金份额总额、基金募集金额、基金份额</w:t>
      </w:r>
      <w:r>
        <w:rPr>
          <w:spacing w:val="-4"/>
        </w:rPr>
        <w:t>持有人人数符合基金合同及其他有关规定且目标</w:t>
      </w:r>
      <w:r>
        <w:rPr>
          <w:rFonts w:ascii="Times New Roman" w:eastAsia="Times New Roman"/>
        </w:rPr>
        <w:t>ETF </w:t>
      </w:r>
      <w:r>
        <w:rPr>
          <w:spacing w:val="-8"/>
        </w:rPr>
        <w:t>符合备案条件的，基金管理人应在规</w:t>
      </w:r>
      <w:r>
        <w:rPr>
          <w:spacing w:val="-5"/>
        </w:rPr>
        <w:t>定时间内，聘请具有从事证券相关业务资格的会计师事务所进行验资，出具验资报告。出</w:t>
      </w:r>
      <w:r>
        <w:rPr>
          <w:spacing w:val="-7"/>
        </w:rPr>
        <w:t>具的验资报告由参加验资的 </w:t>
      </w:r>
      <w:r>
        <w:rPr>
          <w:rFonts w:ascii="Times New Roman" w:eastAsia="Times New Roman"/>
        </w:rPr>
        <w:t>2 </w:t>
      </w:r>
      <w:r>
        <w:rPr>
          <w:spacing w:val="-16"/>
        </w:rPr>
        <w:t>名或 </w:t>
      </w:r>
      <w:r>
        <w:rPr>
          <w:rFonts w:ascii="Times New Roman" w:eastAsia="Times New Roman"/>
        </w:rPr>
        <w:t>2 </w:t>
      </w:r>
      <w:r>
        <w:rPr>
          <w:spacing w:val="-3"/>
        </w:rPr>
        <w:t>名以上中国注册会计师签字方为有效。验资完成后， 基金管理人应将属于基金财产的全部资金划入基金托管人开立并指定的基金托管银行账户中，并确保划入的资金与验资确认金额相一致。</w:t>
      </w:r>
    </w:p>
    <w:p>
      <w:pPr>
        <w:pStyle w:val="BodyText"/>
        <w:spacing w:line="417" w:lineRule="auto"/>
        <w:ind w:left="220" w:right="988" w:firstLine="419"/>
      </w:pPr>
      <w:r>
        <w:rPr>
          <w:rFonts w:ascii="Times New Roman" w:eastAsia="Times New Roman"/>
        </w:rPr>
        <w:t>3</w:t>
      </w:r>
      <w:r>
        <w:rPr>
          <w:spacing w:val="-11"/>
        </w:rPr>
        <w:t>、若基金募集期限届满，未能达到基金合同及其他有关规定的生效条件，由基金管理</w:t>
      </w:r>
      <w:r>
        <w:rPr>
          <w:spacing w:val="-6"/>
        </w:rPr>
        <w:t>人按规定办理退款等事宜。</w:t>
      </w:r>
    </w:p>
    <w:p>
      <w:pPr>
        <w:pStyle w:val="BodyText"/>
      </w:pPr>
      <w:r>
        <w:rPr/>
        <w:t>（三）基金银行账户的开立和管理</w:t>
      </w:r>
    </w:p>
    <w:p>
      <w:pPr>
        <w:pStyle w:val="BodyText"/>
        <w:spacing w:before="6"/>
        <w:ind w:left="0"/>
        <w:rPr>
          <w:sz w:val="15"/>
        </w:rPr>
      </w:pPr>
    </w:p>
    <w:p>
      <w:pPr>
        <w:pStyle w:val="BodyText"/>
      </w:pPr>
      <w:r>
        <w:rPr>
          <w:rFonts w:ascii="Times New Roman" w:eastAsia="Times New Roman"/>
        </w:rPr>
        <w:t>1</w:t>
      </w:r>
      <w:r>
        <w:rPr/>
        <w:t>、基金托管人应负责本基金的银行账户的开设和管理。</w:t>
      </w:r>
    </w:p>
    <w:p>
      <w:pPr>
        <w:spacing w:after="0"/>
        <w:sectPr>
          <w:footerReference w:type="default" r:id="rId231"/>
          <w:pgSz w:w="11910" w:h="16840"/>
          <w:pgMar w:footer="683" w:header="705" w:top="1420" w:bottom="880" w:left="1580" w:right="920"/>
          <w:pgNumType w:start="131"/>
        </w:sectPr>
      </w:pPr>
    </w:p>
    <w:p>
      <w:pPr>
        <w:pStyle w:val="BodyText"/>
        <w:spacing w:line="417" w:lineRule="auto" w:before="110"/>
        <w:ind w:left="220" w:right="986" w:firstLine="419"/>
        <w:jc w:val="both"/>
      </w:pPr>
      <w:r>
        <w:rPr>
          <w:rFonts w:ascii="Times New Roman" w:eastAsia="Times New Roman"/>
        </w:rPr>
        <w:t>2</w:t>
      </w:r>
      <w:r>
        <w:rPr>
          <w:spacing w:val="-11"/>
        </w:rPr>
        <w:t>、基金托管人以本基金的名义开设本基金的托管账户。本基金的银行预留印鉴由基金</w:t>
      </w:r>
      <w:r>
        <w:rPr>
          <w:spacing w:val="-6"/>
        </w:rPr>
        <w:t>托管人保管和使用。本基金的一切货币收支活动，包括但不限于投资、支付赎回金额、支</w:t>
      </w:r>
      <w:r>
        <w:rPr>
          <w:spacing w:val="-4"/>
        </w:rPr>
        <w:t>付基金收益、收取申购款，均需通过本基金的托管账户进行。</w:t>
      </w:r>
    </w:p>
    <w:p>
      <w:pPr>
        <w:pStyle w:val="BodyText"/>
        <w:spacing w:line="417" w:lineRule="auto"/>
        <w:ind w:left="220" w:right="986" w:firstLine="419"/>
        <w:jc w:val="both"/>
      </w:pPr>
      <w:r>
        <w:rPr>
          <w:rFonts w:ascii="Times New Roman" w:eastAsia="Times New Roman"/>
        </w:rPr>
        <w:t>3</w:t>
      </w:r>
      <w:r>
        <w:rPr>
          <w:spacing w:val="-11"/>
        </w:rPr>
        <w:t>、本基金托管账户的开立和使用，限于满足开展本基金业务的需要。基金托管人、基</w:t>
      </w:r>
      <w:r>
        <w:rPr>
          <w:spacing w:val="-6"/>
        </w:rPr>
        <w:t>金管理人不得假借本基金的名义开立其他任何银行账户；亦不得使用本基金的银行账户进</w:t>
      </w:r>
      <w:r>
        <w:rPr>
          <w:spacing w:val="-4"/>
        </w:rPr>
        <w:t>行本基金业务以外的活动。</w:t>
      </w:r>
    </w:p>
    <w:p>
      <w:pPr>
        <w:pStyle w:val="BodyText"/>
        <w:spacing w:line="269" w:lineRule="exact"/>
      </w:pPr>
      <w:r>
        <w:rPr>
          <w:rFonts w:ascii="Times New Roman" w:eastAsia="Times New Roman"/>
        </w:rPr>
        <w:t>4</w:t>
      </w:r>
      <w:r>
        <w:rPr/>
        <w:t>、基金资金结算账户的开立和管理应符合账户所在国或地区监管理机构的有关规定。</w:t>
      </w:r>
    </w:p>
    <w:p>
      <w:pPr>
        <w:pStyle w:val="BodyText"/>
        <w:spacing w:before="6"/>
        <w:ind w:left="0"/>
        <w:rPr>
          <w:sz w:val="15"/>
        </w:rPr>
      </w:pPr>
    </w:p>
    <w:p>
      <w:pPr>
        <w:pStyle w:val="BodyText"/>
        <w:spacing w:before="1"/>
      </w:pPr>
      <w:r>
        <w:rPr/>
        <w:t>（四）基金证券账户的开立和管理</w:t>
      </w:r>
    </w:p>
    <w:p>
      <w:pPr>
        <w:pStyle w:val="BodyText"/>
        <w:spacing w:before="6"/>
        <w:ind w:left="0"/>
        <w:rPr>
          <w:sz w:val="15"/>
        </w:rPr>
      </w:pPr>
    </w:p>
    <w:p>
      <w:pPr>
        <w:pStyle w:val="BodyText"/>
        <w:spacing w:line="417" w:lineRule="auto"/>
        <w:ind w:left="220" w:right="986" w:firstLine="419"/>
      </w:pPr>
      <w:r>
        <w:rPr>
          <w:rFonts w:ascii="Times New Roman" w:eastAsia="Times New Roman"/>
        </w:rPr>
        <w:t>1</w:t>
      </w:r>
      <w:r>
        <w:rPr>
          <w:spacing w:val="-11"/>
        </w:rPr>
        <w:t>、基金托管人在基金所投资市场的交易所或登记结算机构或境外资产托管人处，按照</w:t>
      </w:r>
      <w:r>
        <w:rPr>
          <w:spacing w:val="-6"/>
        </w:rPr>
        <w:t>该交易所或登记结算机构的业务规则开立证券账户。</w:t>
      </w:r>
    </w:p>
    <w:p>
      <w:pPr>
        <w:pStyle w:val="BodyText"/>
        <w:spacing w:line="417" w:lineRule="auto"/>
        <w:ind w:left="220" w:right="986" w:firstLine="419"/>
        <w:jc w:val="both"/>
      </w:pPr>
      <w:r>
        <w:rPr>
          <w:rFonts w:ascii="Times New Roman" w:eastAsia="Times New Roman"/>
        </w:rPr>
        <w:t>2</w:t>
      </w:r>
      <w:r>
        <w:rPr>
          <w:spacing w:val="-10"/>
        </w:rPr>
        <w:t>、基金证券账户的开立和使用，仅限于满足开展本基金业务的需要。基金托管人和基</w:t>
      </w:r>
      <w:r>
        <w:rPr>
          <w:spacing w:val="-5"/>
        </w:rPr>
        <w:t>金管理人以及各自委托代理人均不得出借擅自转让基金的任何证券账户，亦不得使用基金</w:t>
      </w:r>
      <w:r>
        <w:rPr>
          <w:spacing w:val="-4"/>
        </w:rPr>
        <w:t>的任何账户进行本基金业务以外的活动。</w:t>
      </w:r>
    </w:p>
    <w:p>
      <w:pPr>
        <w:pStyle w:val="BodyText"/>
        <w:spacing w:line="417" w:lineRule="auto"/>
        <w:ind w:left="220" w:right="986" w:firstLine="419"/>
      </w:pPr>
      <w:r>
        <w:rPr>
          <w:rFonts w:ascii="Times New Roman" w:eastAsia="Times New Roman"/>
        </w:rPr>
        <w:t>3</w:t>
      </w:r>
      <w:r>
        <w:rPr>
          <w:spacing w:val="-11"/>
        </w:rPr>
        <w:t>、基金证券账户的开立和证券账户相关证明文件的保管由基金托管人负责，账户资产</w:t>
      </w:r>
      <w:r>
        <w:rPr>
          <w:spacing w:val="-6"/>
        </w:rPr>
        <w:t>的管理和运用由基金管理人负责。</w:t>
      </w:r>
    </w:p>
    <w:p>
      <w:pPr>
        <w:pStyle w:val="BodyText"/>
      </w:pPr>
      <w:r>
        <w:rPr>
          <w:rFonts w:ascii="Times New Roman" w:eastAsia="Times New Roman"/>
        </w:rPr>
        <w:t>4</w:t>
      </w:r>
      <w:r>
        <w:rPr/>
        <w:t>、基金证券账户的开立和管理应符合账户所在国或地区有关法律法规的规定。</w:t>
      </w:r>
    </w:p>
    <w:p>
      <w:pPr>
        <w:pStyle w:val="BodyText"/>
        <w:spacing w:before="6"/>
        <w:ind w:left="0"/>
        <w:rPr>
          <w:sz w:val="15"/>
        </w:rPr>
      </w:pPr>
    </w:p>
    <w:p>
      <w:pPr>
        <w:pStyle w:val="BodyText"/>
      </w:pPr>
      <w:r>
        <w:rPr/>
        <w:t>（五）其他账户的开立和管理</w:t>
      </w:r>
    </w:p>
    <w:p>
      <w:pPr>
        <w:pStyle w:val="BodyText"/>
        <w:spacing w:before="7"/>
        <w:ind w:left="0"/>
        <w:rPr>
          <w:sz w:val="15"/>
        </w:rPr>
      </w:pPr>
    </w:p>
    <w:p>
      <w:pPr>
        <w:pStyle w:val="BodyText"/>
        <w:spacing w:line="417" w:lineRule="auto"/>
        <w:ind w:left="220" w:right="986" w:firstLine="419"/>
        <w:jc w:val="both"/>
      </w:pPr>
      <w:r>
        <w:rPr>
          <w:rFonts w:ascii="Times New Roman" w:eastAsia="Times New Roman"/>
        </w:rPr>
        <w:t>1</w:t>
      </w:r>
      <w:r>
        <w:rPr>
          <w:spacing w:val="-12"/>
        </w:rPr>
        <w:t>、因业务发展需要而开立的其他账户，可以根据投资市场所在国家或地区相关法律法</w:t>
      </w:r>
      <w:r>
        <w:rPr>
          <w:spacing w:val="-6"/>
        </w:rPr>
        <w:t>规和基金合同的规定，由基金托管人或境外资产托管人负责开立。新账户按有关规则使用</w:t>
      </w:r>
      <w:r>
        <w:rPr>
          <w:spacing w:val="-4"/>
        </w:rPr>
        <w:t>并管理。</w:t>
      </w:r>
    </w:p>
    <w:p>
      <w:pPr>
        <w:pStyle w:val="BodyText"/>
        <w:spacing w:line="417" w:lineRule="auto"/>
        <w:ind w:left="220" w:right="777" w:firstLine="419"/>
      </w:pPr>
      <w:r>
        <w:rPr>
          <w:rFonts w:ascii="Times New Roman" w:eastAsia="Times New Roman"/>
        </w:rPr>
        <w:t>2</w:t>
      </w:r>
      <w:r>
        <w:rPr>
          <w:spacing w:val="-12"/>
        </w:rPr>
        <w:t>、投资市场所在国家或地区法律法规等有关规定对相关账户的开立和管理另有规定的， </w:t>
      </w:r>
      <w:r>
        <w:rPr>
          <w:spacing w:val="-6"/>
        </w:rPr>
        <w:t>从其规定办理。</w:t>
      </w:r>
    </w:p>
    <w:p>
      <w:pPr>
        <w:pStyle w:val="BodyText"/>
      </w:pPr>
      <w:r>
        <w:rPr/>
        <w:t>（六）基金财产投资的有关有价凭证等的保管</w:t>
      </w:r>
    </w:p>
    <w:p>
      <w:pPr>
        <w:pStyle w:val="BodyText"/>
        <w:spacing w:before="6"/>
        <w:ind w:left="0"/>
        <w:rPr>
          <w:sz w:val="15"/>
        </w:rPr>
      </w:pPr>
    </w:p>
    <w:p>
      <w:pPr>
        <w:pStyle w:val="BodyText"/>
        <w:spacing w:line="417" w:lineRule="auto" w:before="1"/>
        <w:ind w:left="220" w:right="986" w:firstLine="419"/>
      </w:pPr>
      <w:r>
        <w:rPr/>
        <w:t>基金财产投资的有价凭证等的保管按照实物证券相关规定办理。基金托管人对其以外机构实际有效控制的有价凭证不承担责任。</w:t>
      </w:r>
    </w:p>
    <w:p>
      <w:pPr>
        <w:pStyle w:val="BodyText"/>
        <w:spacing w:line="269" w:lineRule="exact"/>
      </w:pPr>
      <w:r>
        <w:rPr/>
        <w:t>（七）与基金财产有关的重大合同的保管</w:t>
      </w:r>
    </w:p>
    <w:p>
      <w:pPr>
        <w:pStyle w:val="BodyText"/>
        <w:spacing w:before="6"/>
        <w:ind w:left="0"/>
        <w:rPr>
          <w:sz w:val="15"/>
        </w:rPr>
      </w:pPr>
    </w:p>
    <w:p>
      <w:pPr>
        <w:pStyle w:val="BodyText"/>
        <w:spacing w:line="417" w:lineRule="auto"/>
        <w:ind w:left="220" w:right="1012" w:firstLine="419"/>
        <w:jc w:val="both"/>
      </w:pPr>
      <w:r>
        <w:rPr/>
        <w:t>基金托管人按照法律法规保管由基金管理人代表基金签署的与基金有关的重大合同</w:t>
      </w:r>
      <w:r>
        <w:rPr>
          <w:spacing w:val="-3"/>
        </w:rPr>
        <w:t>及有关凭证。基金管理人代表基金签署有关重大合同后应在收到合同正本后 </w:t>
      </w:r>
      <w:r>
        <w:rPr>
          <w:rFonts w:ascii="Times New Roman" w:eastAsia="Times New Roman"/>
        </w:rPr>
        <w:t>30 </w:t>
      </w:r>
      <w:r>
        <w:rPr>
          <w:spacing w:val="-3"/>
        </w:rPr>
        <w:t>日内将一</w:t>
      </w:r>
      <w:r>
        <w:rPr>
          <w:spacing w:val="-5"/>
        </w:rPr>
        <w:t>份正本的原件提交给基金托管人。除另有规定外，基金管理人或其委托的第三方机构在代表基金签署与基金财产有关的重大合同时一般应保证有两份以上的正本，以便基金管理人</w:t>
      </w:r>
    </w:p>
    <w:p>
      <w:pPr>
        <w:spacing w:after="0" w:line="417" w:lineRule="auto"/>
        <w:jc w:val="both"/>
        <w:sectPr>
          <w:pgSz w:w="11910" w:h="16840"/>
          <w:pgMar w:header="705" w:footer="683" w:top="1420" w:bottom="880" w:left="1580" w:right="920"/>
        </w:sectPr>
      </w:pPr>
    </w:p>
    <w:p>
      <w:pPr>
        <w:pStyle w:val="BodyText"/>
        <w:spacing w:line="417" w:lineRule="auto" w:before="110"/>
        <w:ind w:left="220" w:right="999"/>
      </w:pPr>
      <w:r>
        <w:rPr/>
        <w:t>和基金托管人至少各持有一份正本原件。重大合同由基金管理人与基金托管人按规定各自保管至少 </w:t>
      </w:r>
      <w:r>
        <w:rPr>
          <w:rFonts w:ascii="Times New Roman" w:eastAsia="Times New Roman"/>
        </w:rPr>
        <w:t>15 </w:t>
      </w:r>
      <w:r>
        <w:rPr/>
        <w:t>年。</w:t>
      </w:r>
    </w:p>
    <w:p>
      <w:pPr>
        <w:pStyle w:val="BodyText"/>
        <w:spacing w:line="269" w:lineRule="exact"/>
      </w:pPr>
      <w:r>
        <w:rPr>
          <w:spacing w:val="-3"/>
        </w:rPr>
        <w:t>九、基金资产净值计算和会计核算</w:t>
      </w:r>
    </w:p>
    <w:p>
      <w:pPr>
        <w:pStyle w:val="BodyText"/>
        <w:spacing w:before="6"/>
        <w:ind w:left="0"/>
        <w:rPr>
          <w:sz w:val="15"/>
        </w:rPr>
      </w:pPr>
    </w:p>
    <w:p>
      <w:pPr>
        <w:pStyle w:val="BodyText"/>
      </w:pPr>
      <w:r>
        <w:rPr/>
        <w:t>（一</w:t>
      </w:r>
      <w:r>
        <w:rPr>
          <w:spacing w:val="-3"/>
        </w:rPr>
        <w:t>）基金资产净值的计算和复核</w:t>
      </w:r>
    </w:p>
    <w:p>
      <w:pPr>
        <w:pStyle w:val="BodyText"/>
        <w:spacing w:before="7"/>
        <w:ind w:left="0"/>
        <w:rPr>
          <w:sz w:val="15"/>
        </w:rPr>
      </w:pPr>
    </w:p>
    <w:p>
      <w:pPr>
        <w:pStyle w:val="BodyText"/>
      </w:pPr>
      <w:r>
        <w:rPr>
          <w:rFonts w:ascii="Times New Roman" w:eastAsia="Times New Roman"/>
        </w:rPr>
        <w:t>1</w:t>
      </w:r>
      <w:r>
        <w:rPr/>
        <w:t>、基金资产净值</w:t>
      </w:r>
    </w:p>
    <w:p>
      <w:pPr>
        <w:pStyle w:val="BodyText"/>
        <w:spacing w:before="7"/>
        <w:ind w:left="0"/>
        <w:rPr>
          <w:sz w:val="15"/>
        </w:rPr>
      </w:pPr>
    </w:p>
    <w:p>
      <w:pPr>
        <w:pStyle w:val="BodyText"/>
        <w:spacing w:line="417" w:lineRule="auto"/>
        <w:ind w:left="220" w:right="986" w:firstLine="419"/>
      </w:pPr>
      <w:r>
        <w:rPr/>
        <w:t>基金资产净值是指基金资产总值减去负债后的价值。基金份额净值是指基金资产净值除以基金份额总数后的价值。</w:t>
      </w:r>
    </w:p>
    <w:p>
      <w:pPr>
        <w:pStyle w:val="BodyText"/>
      </w:pPr>
      <w:r>
        <w:rPr>
          <w:rFonts w:ascii="Times New Roman" w:eastAsia="Times New Roman"/>
        </w:rPr>
        <w:t>2</w:t>
      </w:r>
      <w:r>
        <w:rPr/>
        <w:t>、复核程序</w:t>
      </w:r>
    </w:p>
    <w:p>
      <w:pPr>
        <w:pStyle w:val="BodyText"/>
        <w:spacing w:before="7"/>
        <w:ind w:left="0"/>
        <w:rPr>
          <w:sz w:val="15"/>
        </w:rPr>
      </w:pPr>
    </w:p>
    <w:p>
      <w:pPr>
        <w:pStyle w:val="BodyText"/>
        <w:spacing w:line="417" w:lineRule="auto"/>
        <w:ind w:left="220" w:right="986" w:firstLine="419"/>
        <w:jc w:val="both"/>
      </w:pPr>
      <w:r>
        <w:rPr>
          <w:spacing w:val="-11"/>
        </w:rPr>
        <w:t>基金管理人每个估值日对基金进行估值，估值原则应符合《基金合同》、《证券投资基</w:t>
      </w:r>
      <w:r>
        <w:rPr>
          <w:spacing w:val="-6"/>
        </w:rPr>
        <w:t>金会计核算业务指引》及其他法律法规的规定。基金管理人应于每个估值日结束后计算得</w:t>
      </w:r>
      <w:r>
        <w:rPr>
          <w:spacing w:val="-4"/>
        </w:rPr>
        <w:t>出当日的基金份额净值，并以约定方式发送基金托管人。基金托管人应对净值计算结果进</w:t>
      </w:r>
      <w:r>
        <w:rPr>
          <w:spacing w:val="-3"/>
        </w:rPr>
        <w:t>行复核，并以约定方式将复核结果传送给基金管理人，由基金管理人定期对外公布。基金月末、年中和年末估值复核与基金会计账目的核对同时进行。</w:t>
      </w:r>
    </w:p>
    <w:p>
      <w:pPr>
        <w:pStyle w:val="BodyText"/>
        <w:spacing w:line="417" w:lineRule="auto"/>
        <w:ind w:left="220" w:right="986" w:firstLine="419"/>
        <w:jc w:val="right"/>
      </w:pPr>
      <w:r>
        <w:rPr>
          <w:rFonts w:ascii="Times New Roman" w:eastAsia="Times New Roman"/>
        </w:rPr>
        <w:t>3</w:t>
      </w:r>
      <w:r>
        <w:rPr>
          <w:spacing w:val="-20"/>
        </w:rPr>
        <w:t>、当相关法律法规或《基金合同》规定的估值方法不能客观反映基金资产公允价值时， </w:t>
      </w:r>
      <w:r>
        <w:rPr>
          <w:spacing w:val="-8"/>
        </w:rPr>
        <w:t>基金管理人可根据具体情况，并与基金托管人商定后，按最能反映公允价值的价格估值。</w:t>
      </w:r>
      <w:r>
        <w:rPr>
          <w:rFonts w:ascii="Times New Roman" w:eastAsia="Times New Roman"/>
          <w:spacing w:val="-8"/>
        </w:rPr>
        <w:t>4</w:t>
      </w:r>
      <w:r>
        <w:rPr>
          <w:spacing w:val="-11"/>
        </w:rPr>
        <w:t>、基金管理人、基金托管人发现基金估值违反《基金合同》订明的估值方法、程序以</w:t>
      </w:r>
    </w:p>
    <w:p>
      <w:pPr>
        <w:pStyle w:val="BodyText"/>
        <w:spacing w:line="417" w:lineRule="auto"/>
        <w:ind w:left="220" w:right="986"/>
      </w:pPr>
      <w:r>
        <w:rPr/>
        <w:t>及相关法律法规的规定或者未能充分维护基金份额持有人利益时，双方应及时进行协商和纠正。</w:t>
      </w:r>
    </w:p>
    <w:p>
      <w:pPr>
        <w:pStyle w:val="BodyText"/>
        <w:spacing w:line="417" w:lineRule="auto"/>
        <w:ind w:left="220" w:right="986" w:firstLine="419"/>
        <w:jc w:val="both"/>
      </w:pPr>
      <w:r>
        <w:rPr>
          <w:rFonts w:ascii="Times New Roman" w:eastAsia="Times New Roman"/>
        </w:rPr>
        <w:t>5</w:t>
      </w:r>
      <w:r>
        <w:rPr>
          <w:spacing w:val="-11"/>
        </w:rPr>
        <w:t>、当基金资产的估值导致基金份额净值小数点后 </w:t>
      </w:r>
      <w:r>
        <w:rPr>
          <w:rFonts w:ascii="Times New Roman" w:eastAsia="Times New Roman"/>
        </w:rPr>
        <w:t>4 </w:t>
      </w:r>
      <w:r>
        <w:rPr>
          <w:spacing w:val="-9"/>
        </w:rPr>
        <w:t>位内发生差错时，视为基金份额净</w:t>
      </w:r>
      <w:r>
        <w:rPr>
          <w:spacing w:val="-5"/>
        </w:rPr>
        <w:t>值估值错误。当基金份额净值出现错误时，基金管理人应当立即予以纠正，并采取合理的</w:t>
      </w:r>
      <w:r>
        <w:rPr>
          <w:spacing w:val="-4"/>
        </w:rPr>
        <w:t>措施防止损失进一步扩大；计价错误达到基金份额净值的 </w:t>
      </w:r>
      <w:r>
        <w:rPr>
          <w:rFonts w:ascii="Times New Roman" w:eastAsia="Times New Roman"/>
        </w:rPr>
        <w:t>0.25%</w:t>
      </w:r>
      <w:r>
        <w:rPr>
          <w:spacing w:val="-3"/>
        </w:rPr>
        <w:t>时，基金管理人应通报基</w:t>
      </w:r>
      <w:r>
        <w:rPr>
          <w:spacing w:val="-7"/>
        </w:rPr>
        <w:t>金托管人并向中国证监会备案；当计价错误达到基金份额净值的 </w:t>
      </w:r>
      <w:r>
        <w:rPr>
          <w:rFonts w:ascii="Times New Roman" w:eastAsia="Times New Roman"/>
        </w:rPr>
        <w:t>0.5%</w:t>
      </w:r>
      <w:r>
        <w:rPr>
          <w:spacing w:val="-8"/>
        </w:rPr>
        <w:t>时，基金管理人应当</w:t>
      </w:r>
      <w:r>
        <w:rPr>
          <w:spacing w:val="-5"/>
        </w:rPr>
        <w:t>公告，并报中国证监会备案。如法律法规或监管机关对前述内容另有规定的，按其规定处理。</w:t>
      </w:r>
    </w:p>
    <w:p>
      <w:pPr>
        <w:pStyle w:val="BodyText"/>
        <w:spacing w:line="417" w:lineRule="auto"/>
        <w:ind w:left="220" w:right="986" w:firstLine="419"/>
        <w:jc w:val="both"/>
      </w:pPr>
      <w:r>
        <w:rPr>
          <w:rFonts w:ascii="Times New Roman" w:eastAsia="Times New Roman"/>
        </w:rPr>
        <w:t>6</w:t>
      </w:r>
      <w:r>
        <w:rPr>
          <w:spacing w:val="-12"/>
        </w:rPr>
        <w:t>、如果基金托管人的复核结果与基金管理人的计算结果存在偏差并且偏差在合理的范</w:t>
      </w:r>
      <w:r>
        <w:rPr>
          <w:spacing w:val="-10"/>
        </w:rPr>
        <w:t>围内，基金份额净值以基金管理人的计算结果为准</w:t>
      </w:r>
      <w:r>
        <w:rPr>
          <w:rFonts w:ascii="Times New Roman" w:eastAsia="Times New Roman"/>
          <w:spacing w:val="-3"/>
        </w:rPr>
        <w:t>,</w:t>
      </w:r>
      <w:r>
        <w:rPr>
          <w:spacing w:val="-3"/>
        </w:rPr>
        <w:t>基金管理费和基金托管费也应以基金管理人的净值计算结果计提。</w:t>
      </w:r>
    </w:p>
    <w:p>
      <w:pPr>
        <w:pStyle w:val="BodyText"/>
        <w:spacing w:line="417" w:lineRule="auto"/>
        <w:ind w:left="220" w:right="986" w:firstLine="419"/>
        <w:jc w:val="both"/>
      </w:pPr>
      <w:r>
        <w:rPr>
          <w:rFonts w:ascii="Times New Roman" w:eastAsia="Times New Roman"/>
        </w:rPr>
        <w:t>7</w:t>
      </w:r>
      <w:r>
        <w:rPr>
          <w:spacing w:val="-11"/>
        </w:rPr>
        <w:t>、由于基金管理人对外公布的任何基金净值数据错误，导致该基金财产或基金份额持</w:t>
      </w:r>
      <w:r>
        <w:rPr>
          <w:spacing w:val="-6"/>
        </w:rPr>
        <w:t>有人的实际损失，基金管理人应对此承担责任。若基金托管人计算的净值数据正确，则基</w:t>
      </w:r>
      <w:r>
        <w:rPr>
          <w:spacing w:val="-4"/>
        </w:rPr>
        <w:t>金托管人对该损失不承担责任；若基金托管人计算的净值数据也不正确，则基金托管人也</w:t>
      </w:r>
    </w:p>
    <w:p>
      <w:pPr>
        <w:spacing w:after="0" w:line="417" w:lineRule="auto"/>
        <w:jc w:val="both"/>
        <w:sectPr>
          <w:pgSz w:w="11910" w:h="16840"/>
          <w:pgMar w:header="705" w:footer="683" w:top="1420" w:bottom="880" w:left="1580" w:right="920"/>
        </w:sectPr>
      </w:pPr>
    </w:p>
    <w:p>
      <w:pPr>
        <w:pStyle w:val="BodyText"/>
        <w:spacing w:line="417" w:lineRule="auto" w:before="110"/>
        <w:ind w:left="220" w:right="986"/>
        <w:jc w:val="both"/>
      </w:pPr>
      <w:r>
        <w:rPr/>
        <w:t>应承担部分未正确履行复核义务的责任。如果上述错误造成了基金财产或基金份额持有人的不当得利，且基金管理人及基金托管人已各自承担了赔偿责任，则基金管理人应负责向不当得利之主体主张返还不当得利。如果返还金额不足以弥补基金管理人和基金托管人已承担的赔偿金额，则双方按照各自赔偿金额的比例对返还金额进行分配。</w:t>
      </w:r>
    </w:p>
    <w:p>
      <w:pPr>
        <w:pStyle w:val="BodyText"/>
        <w:spacing w:line="417" w:lineRule="auto"/>
        <w:ind w:left="220" w:right="986" w:firstLine="419"/>
        <w:jc w:val="both"/>
      </w:pPr>
      <w:r>
        <w:rPr>
          <w:rFonts w:ascii="Times New Roman" w:eastAsia="Times New Roman"/>
        </w:rPr>
        <w:t>8</w:t>
      </w:r>
      <w:r>
        <w:rPr>
          <w:spacing w:val="-11"/>
        </w:rPr>
        <w:t>、由于证券交易市场或登记结算公司或其他中介机构发送的数据错误，或数据来源受</w:t>
      </w:r>
      <w:r>
        <w:rPr>
          <w:spacing w:val="-6"/>
        </w:rPr>
        <w:t>到限制，或有关会计制度变化以及由于其他不可抗力原因，基金管理人和基金托管人虽然</w:t>
      </w:r>
      <w:r>
        <w:rPr>
          <w:spacing w:val="-4"/>
        </w:rPr>
        <w:t>已经采取必要、适当、合理的措施进行检查，但是未能发现该错误的，由此造成的基金资</w:t>
      </w:r>
      <w:r>
        <w:rPr>
          <w:spacing w:val="-3"/>
        </w:rPr>
        <w:t>产估值错误，基金管理人和基金托管人可以免除赔偿责任。但基金管理人和基金托管人应当积极采取必要的措施消除由此造成的影响。</w:t>
      </w:r>
    </w:p>
    <w:p>
      <w:pPr>
        <w:pStyle w:val="BodyText"/>
        <w:spacing w:line="417" w:lineRule="auto"/>
        <w:ind w:left="220" w:right="986" w:firstLine="419"/>
        <w:jc w:val="both"/>
      </w:pPr>
      <w:r>
        <w:rPr>
          <w:rFonts w:ascii="Times New Roman" w:eastAsia="Times New Roman"/>
        </w:rPr>
        <w:t>9</w:t>
      </w:r>
      <w:r>
        <w:rPr>
          <w:spacing w:val="-11"/>
        </w:rPr>
        <w:t>、如果基金托管人的复核结果与基金管理人的计算结果存在差异，且双方经协商未能</w:t>
      </w:r>
      <w:r>
        <w:rPr>
          <w:spacing w:val="-6"/>
        </w:rPr>
        <w:t>达成一致，基金管理人可以按照其对基金份额净值的计算结果对外予以公布，基金托管人</w:t>
      </w:r>
      <w:r>
        <w:rPr>
          <w:spacing w:val="-4"/>
        </w:rPr>
        <w:t>可以将相关情况报中国证监会备案。</w:t>
      </w:r>
    </w:p>
    <w:p>
      <w:pPr>
        <w:pStyle w:val="BodyText"/>
        <w:spacing w:line="269" w:lineRule="exact"/>
      </w:pPr>
      <w:r>
        <w:rPr>
          <w:spacing w:val="-3"/>
        </w:rPr>
        <w:t>十三、基金份额持有人名册的保管</w:t>
      </w:r>
    </w:p>
    <w:p>
      <w:pPr>
        <w:pStyle w:val="BodyText"/>
        <w:spacing w:before="5"/>
        <w:ind w:left="0"/>
        <w:rPr>
          <w:sz w:val="15"/>
        </w:rPr>
      </w:pPr>
    </w:p>
    <w:p>
      <w:pPr>
        <w:pStyle w:val="BodyText"/>
        <w:spacing w:before="1"/>
      </w:pPr>
      <w:r>
        <w:rPr/>
        <w:t>（一</w:t>
      </w:r>
      <w:r>
        <w:rPr>
          <w:spacing w:val="-3"/>
        </w:rPr>
        <w:t>）基金份额持有人名册的内容</w:t>
      </w:r>
    </w:p>
    <w:p>
      <w:pPr>
        <w:pStyle w:val="BodyText"/>
        <w:spacing w:before="6"/>
        <w:ind w:left="0"/>
        <w:rPr>
          <w:sz w:val="15"/>
        </w:rPr>
      </w:pPr>
    </w:p>
    <w:p>
      <w:pPr>
        <w:pStyle w:val="BodyText"/>
        <w:spacing w:line="417" w:lineRule="auto" w:before="1"/>
        <w:ind w:right="989"/>
      </w:pPr>
      <w:r>
        <w:rPr/>
        <w:t>基金份额持有人名册的内容包括但不限于基金份额持有人的名称和持有的基金份额。基金份额持有人名册包括以下几类：</w:t>
      </w:r>
    </w:p>
    <w:p>
      <w:pPr>
        <w:pStyle w:val="BodyText"/>
        <w:spacing w:line="269" w:lineRule="exact"/>
      </w:pPr>
      <w:r>
        <w:rPr>
          <w:rFonts w:ascii="Times New Roman" w:eastAsia="Times New Roman"/>
        </w:rPr>
        <w:t>1</w:t>
      </w:r>
      <w:r>
        <w:rPr/>
        <w:t>、基金募集期结束时的基金份额持有人名册。</w:t>
      </w:r>
    </w:p>
    <w:p>
      <w:pPr>
        <w:pStyle w:val="BodyText"/>
        <w:spacing w:before="6"/>
        <w:ind w:left="0"/>
        <w:rPr>
          <w:sz w:val="15"/>
        </w:rPr>
      </w:pPr>
    </w:p>
    <w:p>
      <w:pPr>
        <w:pStyle w:val="BodyText"/>
      </w:pPr>
      <w:r>
        <w:rPr>
          <w:rFonts w:ascii="Times New Roman" w:eastAsia="Times New Roman"/>
        </w:rPr>
        <w:t>2</w:t>
      </w:r>
      <w:r>
        <w:rPr/>
        <w:t>、基金权益登记日的基金份额持有人名册。</w:t>
      </w:r>
    </w:p>
    <w:p>
      <w:pPr>
        <w:pStyle w:val="BodyText"/>
        <w:spacing w:before="7"/>
        <w:ind w:left="0"/>
        <w:rPr>
          <w:sz w:val="15"/>
        </w:rPr>
      </w:pPr>
    </w:p>
    <w:p>
      <w:pPr>
        <w:pStyle w:val="BodyText"/>
      </w:pPr>
      <w:r>
        <w:rPr>
          <w:rFonts w:ascii="Times New Roman" w:eastAsia="Times New Roman"/>
        </w:rPr>
        <w:t>3</w:t>
      </w:r>
      <w:r>
        <w:rPr/>
        <w:t>、基金份额持有人大会登记日的基金份额持有人名册。</w:t>
      </w:r>
    </w:p>
    <w:p>
      <w:pPr>
        <w:pStyle w:val="BodyText"/>
        <w:spacing w:before="7"/>
        <w:ind w:left="0"/>
        <w:rPr>
          <w:sz w:val="15"/>
        </w:rPr>
      </w:pPr>
    </w:p>
    <w:p>
      <w:pPr>
        <w:pStyle w:val="BodyText"/>
      </w:pPr>
      <w:r>
        <w:rPr>
          <w:rFonts w:ascii="Times New Roman" w:eastAsia="Times New Roman"/>
        </w:rPr>
        <w:t>4</w:t>
      </w:r>
      <w:r>
        <w:rPr/>
        <w:t>、每半年度最后一个交易日的基金份额持有人名册。</w:t>
      </w:r>
    </w:p>
    <w:p>
      <w:pPr>
        <w:pStyle w:val="BodyText"/>
        <w:spacing w:before="6"/>
        <w:ind w:left="0"/>
        <w:rPr>
          <w:sz w:val="15"/>
        </w:rPr>
      </w:pPr>
    </w:p>
    <w:p>
      <w:pPr>
        <w:pStyle w:val="BodyText"/>
        <w:spacing w:before="1"/>
      </w:pPr>
      <w:r>
        <w:rPr/>
        <w:t>（二）基金份额持有人名册的提供</w:t>
      </w:r>
    </w:p>
    <w:p>
      <w:pPr>
        <w:pStyle w:val="BodyText"/>
        <w:spacing w:before="7"/>
        <w:ind w:left="0"/>
        <w:rPr>
          <w:sz w:val="15"/>
        </w:rPr>
      </w:pPr>
    </w:p>
    <w:p>
      <w:pPr>
        <w:pStyle w:val="BodyText"/>
        <w:spacing w:line="417" w:lineRule="auto"/>
        <w:ind w:left="220" w:right="986" w:firstLine="419"/>
        <w:jc w:val="both"/>
      </w:pPr>
      <w:r>
        <w:rPr>
          <w:spacing w:val="-3"/>
        </w:rPr>
        <w:t>对于每半年度最后一个交易日的基金份额持有人名册，基金管理人应在每半年度结束</w:t>
      </w:r>
      <w:r>
        <w:rPr>
          <w:spacing w:val="-19"/>
        </w:rPr>
        <w:t>后 </w:t>
      </w:r>
      <w:r>
        <w:rPr>
          <w:rFonts w:ascii="Times New Roman" w:eastAsia="Times New Roman"/>
        </w:rPr>
        <w:t>5 </w:t>
      </w:r>
      <w:r>
        <w:rPr>
          <w:spacing w:val="-3"/>
        </w:rPr>
        <w:t>个工作日内定期向基金托管人提供。对于基金募集期结束时的基金份额持有人名册、基金权益登记日的基金份额持有人名册以及基金份额持有人大会登记日的基金份额持有人</w:t>
      </w:r>
      <w:r>
        <w:rPr>
          <w:spacing w:val="-6"/>
        </w:rPr>
        <w:t>名册，基金管理人应在相关的名册生成后 </w:t>
      </w:r>
      <w:r>
        <w:rPr>
          <w:rFonts w:ascii="Times New Roman" w:eastAsia="Times New Roman"/>
        </w:rPr>
        <w:t>5 </w:t>
      </w:r>
      <w:r>
        <w:rPr>
          <w:spacing w:val="-3"/>
        </w:rPr>
        <w:t>个工作日内向基金托管人提供。</w:t>
      </w:r>
    </w:p>
    <w:p>
      <w:pPr>
        <w:pStyle w:val="BodyText"/>
        <w:spacing w:line="268" w:lineRule="exact"/>
      </w:pPr>
      <w:r>
        <w:rPr/>
        <w:t>（三）基金份额持有人名册的保管</w:t>
      </w:r>
    </w:p>
    <w:p>
      <w:pPr>
        <w:pStyle w:val="BodyText"/>
        <w:spacing w:before="7"/>
        <w:ind w:left="0"/>
        <w:rPr>
          <w:sz w:val="15"/>
        </w:rPr>
      </w:pPr>
    </w:p>
    <w:p>
      <w:pPr>
        <w:pStyle w:val="BodyText"/>
        <w:spacing w:line="417" w:lineRule="auto"/>
        <w:ind w:left="220" w:right="881" w:firstLine="419"/>
      </w:pPr>
      <w:r>
        <w:rPr>
          <w:spacing w:val="-9"/>
        </w:rPr>
        <w:t>基金托管人应妥善保管基金份额持有人名册。如基金托管人无法妥善保存持有人名册， </w:t>
      </w:r>
      <w:r>
        <w:rPr>
          <w:spacing w:val="-5"/>
        </w:rPr>
        <w:t>基金管理人应及时向中国证监会报告，并代为履行保管基金份额持有人名册的职责。基金</w:t>
      </w:r>
      <w:r>
        <w:rPr>
          <w:spacing w:val="-4"/>
        </w:rPr>
        <w:t>托管人应对基金管理人由此产生的保管费给予补偿。</w:t>
      </w:r>
    </w:p>
    <w:p>
      <w:pPr>
        <w:pStyle w:val="BodyText"/>
      </w:pPr>
      <w:r>
        <w:rPr/>
        <w:t>基金托管人对基金份额持有人名册负有保密义务。除法律法规、基金合同和本协议另</w:t>
      </w:r>
    </w:p>
    <w:p>
      <w:pPr>
        <w:spacing w:after="0"/>
        <w:sectPr>
          <w:pgSz w:w="11910" w:h="16840"/>
          <w:pgMar w:header="705" w:footer="683" w:top="1420" w:bottom="880" w:left="1580" w:right="920"/>
        </w:sectPr>
      </w:pPr>
    </w:p>
    <w:p>
      <w:pPr>
        <w:pStyle w:val="BodyText"/>
        <w:spacing w:line="417" w:lineRule="auto" w:before="110"/>
        <w:ind w:left="220" w:right="1013"/>
        <w:jc w:val="both"/>
      </w:pPr>
      <w:r>
        <w:rPr>
          <w:spacing w:val="-6"/>
        </w:rPr>
        <w:t>有规定外，基金托管人不得将基金份额持有人名册及其中的任何信息以任何方式向任何第</w:t>
      </w:r>
      <w:r>
        <w:rPr>
          <w:spacing w:val="-7"/>
        </w:rPr>
        <w:t>三方披露，基金托管人应将基金份额持有人名册及其中的信息限制在为履行基金合同和本</w:t>
      </w:r>
      <w:r>
        <w:rPr>
          <w:spacing w:val="-5"/>
        </w:rPr>
        <w:t>协议之目的而需要了解该等信息的人员范围之内。</w:t>
      </w:r>
    </w:p>
    <w:p>
      <w:pPr>
        <w:pStyle w:val="BodyText"/>
        <w:spacing w:line="269" w:lineRule="exact"/>
      </w:pPr>
      <w:r>
        <w:rPr/>
        <w:t>十七、托管协议的修改、终止与基金财产的清算</w:t>
      </w:r>
    </w:p>
    <w:p>
      <w:pPr>
        <w:pStyle w:val="BodyText"/>
        <w:spacing w:before="6"/>
        <w:ind w:left="0"/>
        <w:rPr>
          <w:sz w:val="15"/>
        </w:rPr>
      </w:pPr>
    </w:p>
    <w:p>
      <w:pPr>
        <w:pStyle w:val="BodyText"/>
      </w:pPr>
      <w:r>
        <w:rPr/>
        <w:t>（一）托管协议的修改程序</w:t>
      </w:r>
    </w:p>
    <w:p>
      <w:pPr>
        <w:pStyle w:val="BodyText"/>
        <w:spacing w:before="7"/>
        <w:ind w:left="0"/>
        <w:rPr>
          <w:sz w:val="15"/>
        </w:rPr>
      </w:pPr>
    </w:p>
    <w:p>
      <w:pPr>
        <w:pStyle w:val="BodyText"/>
        <w:spacing w:line="417" w:lineRule="auto"/>
        <w:ind w:left="220" w:right="986" w:firstLine="419"/>
        <w:jc w:val="both"/>
      </w:pPr>
      <w:r>
        <w:rPr/>
        <w:t>本协议经双方当事人经协商一致，可以书面形式对协议进行修改。修改后的新协议， 其内容不得与基金合同的规定有任何冲突。基金托管协议的变更报中国证监会核准或备案后生效。</w:t>
      </w:r>
    </w:p>
    <w:p>
      <w:pPr>
        <w:pStyle w:val="BodyText"/>
        <w:spacing w:line="417" w:lineRule="auto"/>
        <w:ind w:right="5398"/>
      </w:pPr>
      <w:r>
        <w:rPr/>
        <w:t>（二）基金托管协议终止出现的情形发生以下情况，本托管协议终止：</w:t>
      </w:r>
    </w:p>
    <w:p>
      <w:pPr>
        <w:pStyle w:val="BodyText"/>
        <w:spacing w:line="269" w:lineRule="exact"/>
      </w:pPr>
      <w:r>
        <w:rPr>
          <w:rFonts w:ascii="Times New Roman" w:eastAsia="Times New Roman"/>
        </w:rPr>
        <w:t>1</w:t>
      </w:r>
      <w:r>
        <w:rPr/>
        <w:t>、《基金合同》终止。</w:t>
      </w:r>
    </w:p>
    <w:p>
      <w:pPr>
        <w:pStyle w:val="BodyText"/>
        <w:spacing w:before="7"/>
        <w:ind w:left="0"/>
        <w:rPr>
          <w:sz w:val="15"/>
        </w:rPr>
      </w:pPr>
    </w:p>
    <w:p>
      <w:pPr>
        <w:pStyle w:val="BodyText"/>
      </w:pPr>
      <w:r>
        <w:rPr>
          <w:rFonts w:ascii="Times New Roman" w:eastAsia="Times New Roman"/>
        </w:rPr>
        <w:t>2</w:t>
      </w:r>
      <w:r>
        <w:rPr>
          <w:spacing w:val="-3"/>
        </w:rPr>
        <w:t>、本基金更换基金托管人。</w:t>
      </w:r>
    </w:p>
    <w:p>
      <w:pPr>
        <w:pStyle w:val="BodyText"/>
        <w:spacing w:before="7"/>
        <w:ind w:left="0"/>
        <w:rPr>
          <w:sz w:val="15"/>
        </w:rPr>
      </w:pPr>
    </w:p>
    <w:p>
      <w:pPr>
        <w:pStyle w:val="BodyText"/>
      </w:pPr>
      <w:r>
        <w:rPr>
          <w:rFonts w:ascii="Times New Roman" w:eastAsia="Times New Roman"/>
        </w:rPr>
        <w:t>3</w:t>
      </w:r>
      <w:r>
        <w:rPr>
          <w:spacing w:val="-3"/>
        </w:rPr>
        <w:t>、本基金更换基金管理人。</w:t>
      </w:r>
    </w:p>
    <w:p>
      <w:pPr>
        <w:pStyle w:val="BodyText"/>
        <w:spacing w:before="6"/>
        <w:ind w:left="0"/>
        <w:rPr>
          <w:sz w:val="15"/>
        </w:rPr>
      </w:pPr>
    </w:p>
    <w:p>
      <w:pPr>
        <w:pStyle w:val="BodyText"/>
        <w:spacing w:line="417" w:lineRule="auto" w:before="1"/>
        <w:ind w:right="2563"/>
      </w:pPr>
      <w:r>
        <w:rPr>
          <w:rFonts w:ascii="Times New Roman" w:eastAsia="Times New Roman"/>
        </w:rPr>
        <w:t>4</w:t>
      </w:r>
      <w:r>
        <w:rPr>
          <w:spacing w:val="-17"/>
        </w:rPr>
        <w:t>、发生《基金法》、《运作办法》或其他法律法规规定的终止事项。</w:t>
      </w:r>
      <w:r>
        <w:rPr>
          <w:spacing w:val="-7"/>
        </w:rPr>
        <w:t>十九、争议解决方式</w:t>
      </w:r>
    </w:p>
    <w:p>
      <w:pPr>
        <w:pStyle w:val="BodyText"/>
        <w:spacing w:line="417" w:lineRule="auto"/>
        <w:ind w:left="220" w:right="881" w:firstLine="419"/>
      </w:pPr>
      <w:r>
        <w:rPr>
          <w:spacing w:val="-3"/>
        </w:rPr>
        <w:t>因本协议产生或与之相关的争议，双方当事人应通过协商解决，但若自一方书面提出</w:t>
      </w:r>
      <w:r>
        <w:rPr>
          <w:spacing w:val="-7"/>
        </w:rPr>
        <w:t>协商解决争议之日起 </w:t>
      </w:r>
      <w:r>
        <w:rPr>
          <w:rFonts w:ascii="Times New Roman" w:eastAsia="Times New Roman"/>
        </w:rPr>
        <w:t>60 </w:t>
      </w:r>
      <w:r>
        <w:rPr>
          <w:spacing w:val="-10"/>
        </w:rPr>
        <w:t>日内争议未能以协商方式解决的，则任何一方有权将争议提交位于</w:t>
      </w:r>
      <w:r>
        <w:rPr>
          <w:spacing w:val="-11"/>
        </w:rPr>
        <w:t>北京的中国国际经济贸易仲裁委员会，根据提交仲裁时该会现时有效的仲裁规则进行仲裁。</w:t>
      </w:r>
      <w:r>
        <w:rPr>
          <w:spacing w:val="-6"/>
        </w:rPr>
        <w:t>仲裁裁决是终局的，对当事人均有约束力。</w:t>
      </w:r>
    </w:p>
    <w:p>
      <w:pPr>
        <w:pStyle w:val="BodyText"/>
        <w:spacing w:line="417" w:lineRule="auto"/>
        <w:ind w:left="220" w:right="986" w:firstLine="419"/>
      </w:pPr>
      <w:r>
        <w:rPr/>
        <w:t>争议处理期间，双方当事人应各自继续履行基金合同和本托管协议规定的义务，维护基金份额持有人的合法权益。</w:t>
      </w:r>
    </w:p>
    <w:p>
      <w:pPr>
        <w:pStyle w:val="BodyText"/>
      </w:pPr>
      <w:r>
        <w:rPr/>
        <w:t>本协议适用中华人民共和国法律并从其解释。”</w:t>
      </w:r>
    </w:p>
    <w:p>
      <w:pPr>
        <w:pStyle w:val="BodyText"/>
        <w:ind w:left="0"/>
        <w:rPr>
          <w:sz w:val="20"/>
        </w:rPr>
      </w:pPr>
    </w:p>
    <w:p>
      <w:pPr>
        <w:pStyle w:val="BodyText"/>
        <w:spacing w:before="9"/>
        <w:ind w:left="0"/>
      </w:pPr>
    </w:p>
    <w:p>
      <w:pPr>
        <w:pStyle w:val="Heading1"/>
        <w:ind w:left="2736" w:right="0"/>
        <w:jc w:val="left"/>
      </w:pPr>
      <w:bookmarkStart w:name="_bookmark21" w:id="22"/>
      <w:bookmarkEnd w:id="22"/>
      <w:r>
        <w:rPr>
          <w:b w:val="0"/>
        </w:rPr>
      </w:r>
      <w:r>
        <w:rPr/>
        <w:t>二十二、对基金份额持有人的服务</w:t>
      </w:r>
    </w:p>
    <w:p>
      <w:pPr>
        <w:pStyle w:val="BodyText"/>
        <w:ind w:left="0"/>
        <w:rPr>
          <w:b/>
          <w:sz w:val="20"/>
        </w:rPr>
      </w:pPr>
    </w:p>
    <w:p>
      <w:pPr>
        <w:pStyle w:val="BodyText"/>
        <w:spacing w:before="8"/>
        <w:ind w:left="0"/>
        <w:rPr>
          <w:b/>
          <w:sz w:val="20"/>
        </w:rPr>
      </w:pPr>
    </w:p>
    <w:p>
      <w:pPr>
        <w:pStyle w:val="BodyText"/>
      </w:pPr>
      <w:r>
        <w:rPr>
          <w:spacing w:val="-3"/>
        </w:rPr>
        <w:t>对本基金份额持有人的服务主要由基金管理人和代销机构提供。</w:t>
      </w:r>
    </w:p>
    <w:p>
      <w:pPr>
        <w:pStyle w:val="BodyText"/>
        <w:spacing w:before="12"/>
        <w:ind w:left="0"/>
        <w:rPr>
          <w:sz w:val="14"/>
        </w:rPr>
      </w:pPr>
    </w:p>
    <w:p>
      <w:pPr>
        <w:pStyle w:val="BodyText"/>
        <w:spacing w:line="408" w:lineRule="auto"/>
        <w:ind w:left="220" w:right="871" w:firstLine="419"/>
      </w:pPr>
      <w:r>
        <w:rPr>
          <w:spacing w:val="-7"/>
        </w:rPr>
        <w:t>基金管理人承诺为基金份额持有人提供一系列的服务。基金管理人将根据基金份额持有</w:t>
      </w:r>
      <w:r>
        <w:rPr>
          <w:spacing w:val="-5"/>
        </w:rPr>
        <w:t>人的需要和市场的变化，增加或变更服务项目。主要服务内容如下：</w:t>
      </w:r>
    </w:p>
    <w:p>
      <w:pPr>
        <w:pStyle w:val="BodyText"/>
        <w:spacing w:before="2"/>
      </w:pPr>
      <w:r>
        <w:rPr/>
        <w:t>（一）资料发送</w:t>
      </w:r>
    </w:p>
    <w:p>
      <w:pPr>
        <w:pStyle w:val="BodyText"/>
        <w:spacing w:before="10"/>
        <w:ind w:left="0"/>
        <w:rPr>
          <w:sz w:val="14"/>
        </w:rPr>
      </w:pPr>
    </w:p>
    <w:p>
      <w:pPr>
        <w:pStyle w:val="BodyText"/>
        <w:spacing w:before="1"/>
      </w:pPr>
      <w:r>
        <w:rPr>
          <w:rFonts w:ascii="Times New Roman" w:eastAsia="Times New Roman"/>
        </w:rPr>
        <w:t>1</w:t>
      </w:r>
      <w:r>
        <w:rPr/>
        <w:t>、基金交易对账单</w:t>
      </w:r>
    </w:p>
    <w:p>
      <w:pPr>
        <w:spacing w:after="0"/>
        <w:sectPr>
          <w:pgSz w:w="11910" w:h="16840"/>
          <w:pgMar w:header="705" w:footer="683" w:top="1420" w:bottom="880" w:left="1580" w:right="920"/>
        </w:sectPr>
      </w:pPr>
    </w:p>
    <w:p>
      <w:pPr>
        <w:pStyle w:val="BodyText"/>
        <w:spacing w:line="408" w:lineRule="auto" w:before="107"/>
        <w:ind w:left="220" w:right="768" w:firstLine="419"/>
      </w:pPr>
      <w:r>
        <w:rPr>
          <w:spacing w:val="-7"/>
        </w:rPr>
        <w:t>基金管理人根据持有人账户情况定期或不定期发送对账单，但由于基金份额持有人在本</w:t>
      </w:r>
      <w:r>
        <w:rPr>
          <w:spacing w:val="-4"/>
        </w:rPr>
        <w:t>公司未详实填写或更新客户资料</w:t>
      </w:r>
      <w:r>
        <w:rPr/>
        <w:t>（</w:t>
      </w:r>
      <w:r>
        <w:rPr>
          <w:spacing w:val="-3"/>
        </w:rPr>
        <w:t>含姓名、手机号码、电子邮箱、邮寄地址、邮政编码等</w:t>
      </w:r>
      <w:r>
        <w:rPr/>
        <w:t>） </w:t>
      </w:r>
      <w:r>
        <w:rPr>
          <w:spacing w:val="-3"/>
        </w:rPr>
        <w:t>导致基金管理人无法送出的除外。</w:t>
      </w:r>
    </w:p>
    <w:p>
      <w:pPr>
        <w:pStyle w:val="BodyText"/>
        <w:spacing w:before="6"/>
      </w:pPr>
      <w:r>
        <w:rPr>
          <w:rFonts w:ascii="Times New Roman" w:eastAsia="Times New Roman"/>
        </w:rPr>
        <w:t>2</w:t>
      </w:r>
      <w:r>
        <w:rPr/>
        <w:t>、其他相关的信息资料</w:t>
      </w:r>
    </w:p>
    <w:p>
      <w:pPr>
        <w:pStyle w:val="BodyText"/>
        <w:spacing w:line="408" w:lineRule="auto" w:before="189"/>
        <w:ind w:left="220" w:right="768" w:firstLine="419"/>
      </w:pPr>
      <w:r>
        <w:rPr/>
        <w:t>指随基金交易对账单不定期发送的基金资讯材料，如基金新产品或新服务的相关材料、客户服务问答等。</w:t>
      </w:r>
    </w:p>
    <w:p>
      <w:pPr>
        <w:pStyle w:val="BodyText"/>
        <w:spacing w:before="2"/>
      </w:pPr>
      <w:r>
        <w:rPr/>
        <w:t>（二）电子交易</w:t>
      </w:r>
    </w:p>
    <w:p>
      <w:pPr>
        <w:pStyle w:val="BodyText"/>
        <w:spacing w:before="10"/>
        <w:ind w:left="0"/>
        <w:rPr>
          <w:sz w:val="14"/>
        </w:rPr>
      </w:pPr>
    </w:p>
    <w:p>
      <w:pPr>
        <w:pStyle w:val="BodyText"/>
        <w:spacing w:line="410" w:lineRule="auto" w:before="1"/>
        <w:ind w:left="220" w:right="768" w:firstLine="419"/>
      </w:pPr>
      <w:r>
        <w:rPr>
          <w:spacing w:val="-9"/>
        </w:rPr>
        <w:t>持有中国建设银行储蓄卡、中国农业银行借记卡、中国工商银行借记卡、中国银行借记</w:t>
      </w:r>
      <w:r>
        <w:rPr>
          <w:spacing w:val="-12"/>
        </w:rPr>
        <w:t>卡、招商银行储蓄卡、交通银行太平洋借记卡、兴业银行借记卡、民生银行借记卡、浦发银</w:t>
      </w:r>
      <w:r>
        <w:rPr>
          <w:spacing w:val="-22"/>
        </w:rPr>
        <w:t>行借记卡、广发银行借记卡、上海银行借记卡、平安银行借记卡、中国邮政储蓄银行借记卡、</w:t>
      </w:r>
      <w:r>
        <w:rPr>
          <w:spacing w:val="-7"/>
        </w:rPr>
        <w:t>华夏银行借记卡等银行卡的个人投资者，以及在华夏基金投资理财中心开户的个人投资者， </w:t>
      </w:r>
      <w:r>
        <w:rPr>
          <w:spacing w:val="-9"/>
        </w:rPr>
        <w:t>在登录本公司网站</w:t>
      </w:r>
      <w:r>
        <w:rPr>
          <w:spacing w:val="-4"/>
        </w:rPr>
        <w:t>（</w:t>
      </w:r>
      <w:hyperlink r:id="rId11">
        <w:r>
          <w:rPr>
            <w:rFonts w:ascii="Times New Roman" w:eastAsia="Times New Roman"/>
            <w:spacing w:val="-4"/>
          </w:rPr>
          <w:t>www.ChinaAMC.com</w:t>
        </w:r>
      </w:hyperlink>
      <w:r>
        <w:rPr>
          <w:spacing w:val="-4"/>
        </w:rPr>
        <w:t>）</w:t>
      </w:r>
      <w:r>
        <w:rPr>
          <w:spacing w:val="-6"/>
        </w:rPr>
        <w:t>或本公司移动客户端，与本公司达成电子交易的</w:t>
      </w:r>
      <w:r>
        <w:rPr>
          <w:spacing w:val="-20"/>
        </w:rPr>
        <w:t>相关协议，接受本公司有关服务条款并办理相关手续后，即可办理基金账户开立、基金申购、</w:t>
      </w:r>
      <w:r>
        <w:rPr>
          <w:spacing w:val="-13"/>
        </w:rPr>
        <w:t>赎回、转换、资料变更、分红方式变更、信息查询等各项业务，具体业务办理情况及业务规</w:t>
      </w:r>
      <w:r>
        <w:rPr>
          <w:spacing w:val="-6"/>
        </w:rPr>
        <w:t>则请登录本公司网站查询。</w:t>
      </w:r>
    </w:p>
    <w:p>
      <w:pPr>
        <w:pStyle w:val="BodyText"/>
        <w:spacing w:line="261" w:lineRule="exact"/>
      </w:pPr>
      <w:r>
        <w:rPr/>
        <w:t>（三）电子邮件及短信服务</w:t>
      </w:r>
    </w:p>
    <w:p>
      <w:pPr>
        <w:pStyle w:val="BodyText"/>
        <w:spacing w:before="9"/>
        <w:ind w:left="0"/>
        <w:rPr>
          <w:sz w:val="14"/>
        </w:rPr>
      </w:pPr>
    </w:p>
    <w:p>
      <w:pPr>
        <w:pStyle w:val="BodyText"/>
        <w:spacing w:line="408" w:lineRule="auto" w:before="1"/>
        <w:ind w:left="220" w:right="871" w:firstLine="419"/>
      </w:pPr>
      <w:r>
        <w:rPr>
          <w:spacing w:val="-7"/>
        </w:rPr>
        <w:t>投资者在申请开立本公司基金账户时如预留准确的电子邮箱地址、手机号码，将不定期</w:t>
      </w:r>
      <w:r>
        <w:rPr>
          <w:spacing w:val="-5"/>
        </w:rPr>
        <w:t>通过邮件、短信形式获得市场资讯、产品信息、公司动态等服务提示。</w:t>
      </w:r>
    </w:p>
    <w:p>
      <w:pPr>
        <w:pStyle w:val="BodyText"/>
        <w:spacing w:before="4"/>
      </w:pPr>
      <w:r>
        <w:rPr/>
        <w:t>（四）呼叫中心</w:t>
      </w:r>
    </w:p>
    <w:p>
      <w:pPr>
        <w:pStyle w:val="BodyText"/>
        <w:spacing w:before="10"/>
        <w:ind w:left="0"/>
        <w:rPr>
          <w:sz w:val="14"/>
        </w:rPr>
      </w:pPr>
    </w:p>
    <w:p>
      <w:pPr>
        <w:pStyle w:val="BodyText"/>
      </w:pPr>
      <w:r>
        <w:rPr>
          <w:rFonts w:ascii="Times New Roman" w:eastAsia="Times New Roman"/>
        </w:rPr>
        <w:t>1</w:t>
      </w:r>
      <w:r>
        <w:rPr/>
        <w:t>、自动语音服务</w:t>
      </w:r>
    </w:p>
    <w:p>
      <w:pPr>
        <w:pStyle w:val="BodyText"/>
        <w:spacing w:line="408" w:lineRule="auto" w:before="189"/>
        <w:ind w:left="220" w:right="873" w:firstLine="419"/>
      </w:pPr>
      <w:r>
        <w:rPr/>
        <w:t>提供每周</w:t>
      </w:r>
      <w:r>
        <w:rPr>
          <w:rFonts w:ascii="Times New Roman" w:eastAsia="Times New Roman"/>
        </w:rPr>
        <w:t>7</w:t>
      </w:r>
      <w:r>
        <w:rPr/>
        <w:t>天、每天</w:t>
      </w:r>
      <w:r>
        <w:rPr>
          <w:rFonts w:ascii="Times New Roman" w:eastAsia="Times New Roman"/>
        </w:rPr>
        <w:t>24</w:t>
      </w:r>
      <w:r>
        <w:rPr/>
        <w:t>小时的自动语音服务，客户可通过电话查询最新热点问题、基金份额净值、基金账户余额等信息。</w:t>
      </w:r>
    </w:p>
    <w:p>
      <w:pPr>
        <w:pStyle w:val="BodyText"/>
        <w:spacing w:before="5"/>
      </w:pPr>
      <w:r>
        <w:rPr>
          <w:rFonts w:ascii="Times New Roman" w:eastAsia="Times New Roman"/>
        </w:rPr>
        <w:t>2</w:t>
      </w:r>
      <w:r>
        <w:rPr/>
        <w:t>、人工电话服务</w:t>
      </w:r>
    </w:p>
    <w:p>
      <w:pPr>
        <w:pStyle w:val="BodyText"/>
        <w:spacing w:line="408" w:lineRule="auto" w:before="190"/>
        <w:ind w:left="220" w:right="873" w:firstLine="419"/>
      </w:pPr>
      <w:r>
        <w:rPr/>
        <w:t>提供每周</w:t>
      </w:r>
      <w:r>
        <w:rPr>
          <w:rFonts w:ascii="Times New Roman" w:eastAsia="Times New Roman"/>
        </w:rPr>
        <w:t>7</w:t>
      </w:r>
      <w:r>
        <w:rPr/>
        <w:t>天的人工服务。周一至周五的人工电话服务时间为</w:t>
      </w:r>
      <w:r>
        <w:rPr>
          <w:rFonts w:ascii="Times New Roman" w:eastAsia="Times New Roman"/>
        </w:rPr>
        <w:t>8</w:t>
      </w:r>
      <w:r>
        <w:rPr/>
        <w:t>：</w:t>
      </w:r>
      <w:r>
        <w:rPr>
          <w:rFonts w:ascii="Times New Roman" w:eastAsia="Times New Roman"/>
        </w:rPr>
        <w:t>30~21</w:t>
      </w:r>
      <w:r>
        <w:rPr/>
        <w:t>：</w:t>
      </w:r>
      <w:r>
        <w:rPr>
          <w:rFonts w:ascii="Times New Roman" w:eastAsia="Times New Roman"/>
        </w:rPr>
        <w:t>00</w:t>
      </w:r>
      <w:r>
        <w:rPr/>
        <w:t>，周六至周日的人工电话服务时间为</w:t>
      </w:r>
      <w:r>
        <w:rPr>
          <w:rFonts w:ascii="Times New Roman" w:eastAsia="Times New Roman"/>
        </w:rPr>
        <w:t>8</w:t>
      </w:r>
      <w:r>
        <w:rPr/>
        <w:t>：</w:t>
      </w:r>
      <w:r>
        <w:rPr>
          <w:rFonts w:ascii="Times New Roman" w:eastAsia="Times New Roman"/>
        </w:rPr>
        <w:t>30~17</w:t>
      </w:r>
      <w:r>
        <w:rPr/>
        <w:t>：</w:t>
      </w:r>
      <w:r>
        <w:rPr>
          <w:rFonts w:ascii="Times New Roman" w:eastAsia="Times New Roman"/>
        </w:rPr>
        <w:t>00</w:t>
      </w:r>
      <w:r>
        <w:rPr/>
        <w:t>，法定节假日除外。</w:t>
      </w:r>
    </w:p>
    <w:p>
      <w:pPr>
        <w:pStyle w:val="BodyText"/>
        <w:spacing w:line="408" w:lineRule="auto" w:before="2"/>
        <w:ind w:right="6065"/>
        <w:rPr>
          <w:rFonts w:ascii="Times New Roman" w:eastAsia="Times New Roman"/>
        </w:rPr>
      </w:pPr>
      <w:r>
        <w:rPr/>
        <w:t>客户服务电话：</w:t>
      </w:r>
      <w:r>
        <w:rPr>
          <w:rFonts w:ascii="Times New Roman" w:eastAsia="Times New Roman"/>
        </w:rPr>
        <w:t>400-818-6666 </w:t>
      </w:r>
      <w:r>
        <w:rPr/>
        <w:t>客户服务传真：</w:t>
      </w:r>
      <w:r>
        <w:rPr>
          <w:rFonts w:ascii="Times New Roman" w:eastAsia="Times New Roman"/>
        </w:rPr>
        <w:t>010-63136700</w:t>
      </w:r>
    </w:p>
    <w:p>
      <w:pPr>
        <w:pStyle w:val="BodyText"/>
        <w:spacing w:before="4"/>
      </w:pPr>
      <w:r>
        <w:rPr/>
        <w:t>（五）在线服务</w:t>
      </w:r>
    </w:p>
    <w:p>
      <w:pPr>
        <w:pStyle w:val="BodyText"/>
        <w:spacing w:before="10"/>
        <w:ind w:left="0"/>
        <w:rPr>
          <w:sz w:val="14"/>
        </w:rPr>
      </w:pPr>
    </w:p>
    <w:p>
      <w:pPr>
        <w:pStyle w:val="BodyText"/>
      </w:pPr>
      <w:r>
        <w:rPr/>
        <w:t>投资者可通过本公司网站、</w:t>
      </w:r>
      <w:r>
        <w:rPr>
          <w:rFonts w:ascii="Times New Roman" w:eastAsia="Times New Roman"/>
        </w:rPr>
        <w:t>APP</w:t>
      </w:r>
      <w:r>
        <w:rPr/>
        <w:t>、微信公众号、微官网等渠道获得在线服务。</w:t>
      </w:r>
    </w:p>
    <w:p>
      <w:pPr>
        <w:pStyle w:val="BodyText"/>
        <w:spacing w:before="190"/>
      </w:pPr>
      <w:r>
        <w:rPr>
          <w:rFonts w:ascii="Times New Roman" w:eastAsia="Times New Roman"/>
        </w:rPr>
        <w:t>1</w:t>
      </w:r>
      <w:r>
        <w:rPr/>
        <w:t>、查询服务</w:t>
      </w:r>
    </w:p>
    <w:p>
      <w:pPr>
        <w:spacing w:after="0"/>
        <w:sectPr>
          <w:pgSz w:w="11910" w:h="16840"/>
          <w:pgMar w:header="705" w:footer="683" w:top="1420" w:bottom="880" w:left="1580" w:right="920"/>
        </w:sectPr>
      </w:pPr>
    </w:p>
    <w:p>
      <w:pPr>
        <w:pStyle w:val="BodyText"/>
        <w:spacing w:before="107"/>
      </w:pPr>
      <w:r>
        <w:rPr>
          <w:spacing w:val="-9"/>
          <w:w w:val="100"/>
        </w:rPr>
        <w:t>投资者可登录本公司网站“基金账户查询”，查询基金账户情况、更改个人信息。</w:t>
      </w:r>
    </w:p>
    <w:p>
      <w:pPr>
        <w:pStyle w:val="BodyText"/>
        <w:spacing w:before="10"/>
        <w:ind w:left="0"/>
        <w:rPr>
          <w:sz w:val="14"/>
        </w:rPr>
      </w:pPr>
    </w:p>
    <w:p>
      <w:pPr>
        <w:pStyle w:val="BodyText"/>
      </w:pPr>
      <w:r>
        <w:rPr>
          <w:rFonts w:ascii="Times New Roman" w:eastAsia="Times New Roman"/>
        </w:rPr>
        <w:t>2</w:t>
      </w:r>
      <w:r>
        <w:rPr/>
        <w:t>、自助服务</w:t>
      </w:r>
    </w:p>
    <w:p>
      <w:pPr>
        <w:pStyle w:val="BodyText"/>
        <w:spacing w:line="410" w:lineRule="auto" w:before="190"/>
        <w:ind w:left="220" w:right="873" w:firstLine="419"/>
      </w:pPr>
      <w:r>
        <w:rPr/>
        <w:t>在线客服提供每周</w:t>
      </w:r>
      <w:r>
        <w:rPr>
          <w:rFonts w:ascii="Times New Roman" w:eastAsia="Times New Roman"/>
        </w:rPr>
        <w:t>7</w:t>
      </w:r>
      <w:r>
        <w:rPr/>
        <w:t>天、每天</w:t>
      </w:r>
      <w:r>
        <w:rPr>
          <w:rFonts w:ascii="Times New Roman" w:eastAsia="Times New Roman"/>
        </w:rPr>
        <w:t>24</w:t>
      </w:r>
      <w:r>
        <w:rPr/>
        <w:t>小时的自助服务，投资者可通过在线客服查询最新热点问题、业务规则、基金份额净值等信息。</w:t>
      </w:r>
    </w:p>
    <w:p>
      <w:pPr>
        <w:pStyle w:val="BodyText"/>
        <w:spacing w:line="268" w:lineRule="exact"/>
      </w:pPr>
      <w:r>
        <w:rPr>
          <w:rFonts w:ascii="Times New Roman" w:eastAsia="Times New Roman"/>
        </w:rPr>
        <w:t>3</w:t>
      </w:r>
      <w:r>
        <w:rPr/>
        <w:t>、人工服务</w:t>
      </w:r>
    </w:p>
    <w:p>
      <w:pPr>
        <w:pStyle w:val="BodyText"/>
        <w:spacing w:line="408" w:lineRule="auto" w:before="189"/>
        <w:ind w:left="220" w:right="873" w:firstLine="419"/>
      </w:pPr>
      <w:r>
        <w:rPr>
          <w:spacing w:val="-3"/>
        </w:rPr>
        <w:t>周一至周五的在线客服人工服务时间为</w:t>
      </w:r>
      <w:r>
        <w:rPr>
          <w:rFonts w:ascii="Times New Roman" w:eastAsia="Times New Roman"/>
          <w:spacing w:val="-11"/>
        </w:rPr>
        <w:t>8</w:t>
      </w:r>
      <w:r>
        <w:rPr>
          <w:spacing w:val="-11"/>
        </w:rPr>
        <w:t>：</w:t>
      </w:r>
      <w:r>
        <w:rPr>
          <w:rFonts w:ascii="Times New Roman" w:eastAsia="Times New Roman"/>
          <w:spacing w:val="-11"/>
        </w:rPr>
        <w:t>30~21</w:t>
      </w:r>
      <w:r>
        <w:rPr>
          <w:spacing w:val="-11"/>
        </w:rPr>
        <w:t>：</w:t>
      </w:r>
      <w:r>
        <w:rPr>
          <w:rFonts w:ascii="Times New Roman" w:eastAsia="Times New Roman"/>
          <w:spacing w:val="-11"/>
        </w:rPr>
        <w:t>00</w:t>
      </w:r>
      <w:r>
        <w:rPr>
          <w:spacing w:val="-4"/>
        </w:rPr>
        <w:t>，周六至周日的在线客服人工服务时间为</w:t>
      </w:r>
      <w:r>
        <w:rPr>
          <w:rFonts w:ascii="Times New Roman" w:eastAsia="Times New Roman"/>
        </w:rPr>
        <w:t>8</w:t>
      </w:r>
      <w:r>
        <w:rPr/>
        <w:t>：</w:t>
      </w:r>
      <w:r>
        <w:rPr>
          <w:rFonts w:ascii="Times New Roman" w:eastAsia="Times New Roman"/>
        </w:rPr>
        <w:t>30~17</w:t>
      </w:r>
      <w:r>
        <w:rPr/>
        <w:t>：</w:t>
      </w:r>
      <w:r>
        <w:rPr>
          <w:rFonts w:ascii="Times New Roman" w:eastAsia="Times New Roman"/>
        </w:rPr>
        <w:t>00</w:t>
      </w:r>
      <w:r>
        <w:rPr>
          <w:spacing w:val="-3"/>
        </w:rPr>
        <w:t>，法定节假日除外。</w:t>
      </w:r>
    </w:p>
    <w:p>
      <w:pPr>
        <w:pStyle w:val="BodyText"/>
        <w:spacing w:before="3"/>
      </w:pPr>
      <w:r>
        <w:rPr>
          <w:rFonts w:ascii="Times New Roman" w:eastAsia="Times New Roman"/>
        </w:rPr>
        <w:t>4</w:t>
      </w:r>
      <w:r>
        <w:rPr/>
        <w:t>、资讯服务</w:t>
      </w:r>
    </w:p>
    <w:p>
      <w:pPr>
        <w:pStyle w:val="BodyText"/>
        <w:spacing w:line="408" w:lineRule="auto" w:before="191"/>
        <w:ind w:left="220" w:right="871" w:firstLine="419"/>
      </w:pPr>
      <w:r>
        <w:rPr>
          <w:spacing w:val="-7"/>
        </w:rPr>
        <w:t>投资者可通过本公司网站获取基金和基金管理人各类信息，包括基金法律文件、基金管</w:t>
      </w:r>
      <w:r>
        <w:rPr>
          <w:spacing w:val="-5"/>
        </w:rPr>
        <w:t>理人最新动态、热点问题等。</w:t>
      </w:r>
    </w:p>
    <w:p>
      <w:pPr>
        <w:pStyle w:val="BodyText"/>
        <w:spacing w:before="2"/>
        <w:rPr>
          <w:rFonts w:ascii="Times New Roman" w:eastAsia="Times New Roman"/>
        </w:rPr>
      </w:pPr>
      <w:r>
        <w:rPr/>
        <w:t>公司网址：</w:t>
      </w:r>
      <w:hyperlink r:id="rId232">
        <w:r>
          <w:rPr>
            <w:rFonts w:ascii="Times New Roman" w:eastAsia="Times New Roman"/>
          </w:rPr>
          <w:t>www.ChinaAMC.com</w:t>
        </w:r>
      </w:hyperlink>
    </w:p>
    <w:p>
      <w:pPr>
        <w:pStyle w:val="BodyText"/>
        <w:spacing w:before="190"/>
        <w:rPr>
          <w:rFonts w:ascii="Times New Roman" w:eastAsia="Times New Roman"/>
        </w:rPr>
      </w:pPr>
      <w:r>
        <w:rPr/>
        <w:t>电子信箱：</w:t>
      </w:r>
      <w:hyperlink r:id="rId233">
        <w:r>
          <w:rPr>
            <w:rFonts w:ascii="Times New Roman" w:eastAsia="Times New Roman"/>
          </w:rPr>
          <w:t>service@ChinaAMC.com</w:t>
        </w:r>
      </w:hyperlink>
    </w:p>
    <w:p>
      <w:pPr>
        <w:pStyle w:val="BodyText"/>
        <w:spacing w:before="189"/>
      </w:pPr>
      <w:r>
        <w:rPr/>
        <w:t>（六）客户投诉和建议处理</w:t>
      </w:r>
    </w:p>
    <w:p>
      <w:pPr>
        <w:pStyle w:val="BodyText"/>
        <w:spacing w:before="12"/>
        <w:ind w:left="0"/>
        <w:rPr>
          <w:sz w:val="14"/>
        </w:rPr>
      </w:pPr>
    </w:p>
    <w:p>
      <w:pPr>
        <w:pStyle w:val="BodyText"/>
        <w:spacing w:line="408" w:lineRule="auto"/>
        <w:ind w:left="220" w:right="871" w:firstLine="419"/>
        <w:jc w:val="both"/>
      </w:pPr>
      <w:r>
        <w:rPr>
          <w:spacing w:val="-7"/>
        </w:rPr>
        <w:t>投资者可以通过基金管理人提供的呼叫中心人工电话、在线客服、书信、电子邮件、传</w:t>
      </w:r>
      <w:r>
        <w:rPr>
          <w:spacing w:val="-8"/>
        </w:rPr>
        <w:t>真等渠道对基金管理人和销售机构所提供的服务进行投诉或提出建议。投资者还可以通过代</w:t>
      </w:r>
      <w:r>
        <w:rPr>
          <w:spacing w:val="-5"/>
        </w:rPr>
        <w:t>销机构的服务电话对该代销机构提供的服务进行投诉或提出建议。</w:t>
      </w:r>
    </w:p>
    <w:p>
      <w:pPr>
        <w:pStyle w:val="BodyText"/>
        <w:spacing w:before="9"/>
        <w:ind w:left="0"/>
        <w:rPr>
          <w:sz w:val="26"/>
        </w:rPr>
      </w:pPr>
    </w:p>
    <w:p>
      <w:pPr>
        <w:pStyle w:val="Heading1"/>
        <w:ind w:left="1350"/>
      </w:pPr>
      <w:bookmarkStart w:name="_bookmark22" w:id="23"/>
      <w:bookmarkEnd w:id="23"/>
      <w:r>
        <w:rPr>
          <w:b w:val="0"/>
        </w:rPr>
      </w:r>
      <w:r>
        <w:rPr/>
        <w:t>二十三、其他应披露事项</w:t>
      </w:r>
    </w:p>
    <w:p>
      <w:pPr>
        <w:pStyle w:val="BodyText"/>
        <w:ind w:left="0"/>
        <w:rPr>
          <w:b/>
          <w:sz w:val="20"/>
        </w:rPr>
      </w:pPr>
    </w:p>
    <w:p>
      <w:pPr>
        <w:pStyle w:val="BodyText"/>
        <w:ind w:left="0"/>
        <w:rPr>
          <w:b/>
        </w:rPr>
      </w:pPr>
    </w:p>
    <w:p>
      <w:pPr>
        <w:pStyle w:val="BodyText"/>
        <w:spacing w:line="417" w:lineRule="auto"/>
        <w:ind w:left="220" w:right="871" w:firstLine="419"/>
      </w:pPr>
      <w:r>
        <w:rPr/>
        <w:t>（一</w:t>
      </w:r>
      <w:r>
        <w:rPr>
          <w:spacing w:val="-11"/>
        </w:rPr>
        <w:t>）</w:t>
      </w:r>
      <w:r>
        <w:rPr>
          <w:rFonts w:ascii="Times New Roman" w:eastAsia="Times New Roman"/>
          <w:spacing w:val="-11"/>
        </w:rPr>
        <w:t>2019</w:t>
      </w:r>
      <w:r>
        <w:rPr/>
        <w:t>年</w:t>
      </w:r>
      <w:r>
        <w:rPr>
          <w:rFonts w:ascii="Times New Roman" w:eastAsia="Times New Roman"/>
        </w:rPr>
        <w:t>10</w:t>
      </w:r>
      <w:r>
        <w:rPr/>
        <w:t>月</w:t>
      </w:r>
      <w:r>
        <w:rPr>
          <w:rFonts w:ascii="Times New Roman" w:eastAsia="Times New Roman"/>
        </w:rPr>
        <w:t>21</w:t>
      </w:r>
      <w:r>
        <w:rPr>
          <w:spacing w:val="-6"/>
        </w:rPr>
        <w:t>日发布华夏基金管理有限公司关于根据《公开募集证券投资基金信</w:t>
      </w:r>
      <w:r>
        <w:rPr>
          <w:spacing w:val="-4"/>
        </w:rPr>
        <w:t>息披露管理办法》修订旗下基金基金合同的公告。</w:t>
      </w:r>
    </w:p>
    <w:p>
      <w:pPr>
        <w:pStyle w:val="BodyText"/>
        <w:spacing w:line="417" w:lineRule="auto"/>
        <w:ind w:left="220" w:right="871" w:firstLine="419"/>
      </w:pPr>
      <w:r>
        <w:rPr/>
        <w:t>（二）</w:t>
      </w:r>
      <w:r>
        <w:rPr>
          <w:rFonts w:ascii="Times New Roman" w:eastAsia="Times New Roman"/>
        </w:rPr>
        <w:t>2019</w:t>
      </w:r>
      <w:r>
        <w:rPr/>
        <w:t>年</w:t>
      </w:r>
      <w:r>
        <w:rPr>
          <w:rFonts w:ascii="Times New Roman" w:eastAsia="Times New Roman"/>
        </w:rPr>
        <w:t>10</w:t>
      </w:r>
      <w:r>
        <w:rPr/>
        <w:t>月</w:t>
      </w:r>
      <w:r>
        <w:rPr>
          <w:rFonts w:ascii="Times New Roman" w:eastAsia="Times New Roman"/>
        </w:rPr>
        <w:t>22</w:t>
      </w:r>
      <w:r>
        <w:rPr/>
        <w:t>日发布恒生交易型开放式指数证券投资基金联接基金</w:t>
      </w:r>
      <w:r>
        <w:rPr>
          <w:rFonts w:ascii="Times New Roman" w:eastAsia="Times New Roman"/>
        </w:rPr>
        <w:t>2019</w:t>
      </w:r>
      <w:r>
        <w:rPr/>
        <w:t>年第</w:t>
      </w:r>
      <w:r>
        <w:rPr>
          <w:rFonts w:ascii="Times New Roman" w:eastAsia="Times New Roman"/>
        </w:rPr>
        <w:t>3</w:t>
      </w:r>
      <w:r>
        <w:rPr/>
        <w:t>季度报告。</w:t>
      </w:r>
    </w:p>
    <w:p>
      <w:pPr>
        <w:pStyle w:val="BodyText"/>
        <w:spacing w:line="417" w:lineRule="auto"/>
        <w:ind w:left="220" w:right="770" w:firstLine="419"/>
      </w:pPr>
      <w:r>
        <w:rPr/>
        <w:t>（三）</w:t>
      </w:r>
      <w:r>
        <w:rPr>
          <w:rFonts w:ascii="Times New Roman" w:eastAsia="Times New Roman"/>
        </w:rPr>
        <w:t>2020</w:t>
      </w:r>
      <w:r>
        <w:rPr/>
        <w:t>年</w:t>
      </w:r>
      <w:r>
        <w:rPr>
          <w:rFonts w:ascii="Times New Roman" w:eastAsia="Times New Roman"/>
          <w:spacing w:val="-3"/>
        </w:rPr>
        <w:t>1</w:t>
      </w:r>
      <w:r>
        <w:rPr/>
        <w:t>月</w:t>
      </w:r>
      <w:r>
        <w:rPr>
          <w:rFonts w:ascii="Times New Roman" w:eastAsia="Times New Roman"/>
        </w:rPr>
        <w:t>15</w:t>
      </w:r>
      <w:r>
        <w:rPr>
          <w:spacing w:val="-3"/>
        </w:rPr>
        <w:t>日发布华夏基金管理有限公司关于恒生交易型开放式指数证券投资基金联接基金在中国香港证券市场</w:t>
      </w:r>
      <w:r>
        <w:rPr>
          <w:rFonts w:ascii="Times New Roman" w:eastAsia="Times New Roman"/>
        </w:rPr>
        <w:t>2020</w:t>
      </w:r>
      <w:r>
        <w:rPr>
          <w:spacing w:val="-17"/>
        </w:rPr>
        <w:t>年节假日暂停申购、赎回、定期定额申购业务的公告。</w:t>
      </w:r>
    </w:p>
    <w:p>
      <w:pPr>
        <w:pStyle w:val="BodyText"/>
        <w:spacing w:line="417" w:lineRule="auto"/>
        <w:ind w:left="220" w:right="871" w:firstLine="419"/>
      </w:pPr>
      <w:r>
        <w:rPr>
          <w:w w:val="100"/>
        </w:rPr>
        <w:t>（</w:t>
      </w:r>
      <w:r>
        <w:rPr>
          <w:spacing w:val="-3"/>
          <w:w w:val="100"/>
        </w:rPr>
        <w:t>四</w:t>
      </w:r>
      <w:r>
        <w:rPr>
          <w:spacing w:val="-94"/>
          <w:w w:val="100"/>
        </w:rPr>
        <w:t>）</w:t>
      </w:r>
      <w:r>
        <w:rPr>
          <w:rFonts w:ascii="Times New Roman" w:eastAsia="Times New Roman"/>
          <w:w w:val="100"/>
        </w:rPr>
        <w:t>20</w:t>
      </w:r>
      <w:r>
        <w:rPr>
          <w:rFonts w:ascii="Times New Roman" w:eastAsia="Times New Roman"/>
          <w:spacing w:val="-3"/>
          <w:w w:val="100"/>
        </w:rPr>
        <w:t>2</w:t>
      </w:r>
      <w:r>
        <w:rPr>
          <w:rFonts w:ascii="Times New Roman" w:eastAsia="Times New Roman"/>
          <w:spacing w:val="-1"/>
          <w:w w:val="100"/>
        </w:rPr>
        <w:t>0</w:t>
      </w:r>
      <w:r>
        <w:rPr>
          <w:w w:val="100"/>
        </w:rPr>
        <w:t>年</w:t>
      </w:r>
      <w:r>
        <w:rPr>
          <w:rFonts w:ascii="Times New Roman" w:eastAsia="Times New Roman"/>
          <w:spacing w:val="-3"/>
          <w:w w:val="100"/>
        </w:rPr>
        <w:t>1</w:t>
      </w:r>
      <w:r>
        <w:rPr>
          <w:w w:val="100"/>
        </w:rPr>
        <w:t>月</w:t>
      </w:r>
      <w:r>
        <w:rPr>
          <w:rFonts w:ascii="Times New Roman" w:eastAsia="Times New Roman"/>
          <w:w w:val="100"/>
        </w:rPr>
        <w:t>2</w:t>
      </w:r>
      <w:r>
        <w:rPr>
          <w:rFonts w:ascii="Times New Roman" w:eastAsia="Times New Roman"/>
          <w:spacing w:val="-2"/>
          <w:w w:val="100"/>
        </w:rPr>
        <w:t>1</w:t>
      </w:r>
      <w:r>
        <w:rPr>
          <w:spacing w:val="-3"/>
          <w:w w:val="100"/>
        </w:rPr>
        <w:t>日发布恒生交易型开放式指数证券投资基金联接基金</w:t>
      </w:r>
      <w:r>
        <w:rPr>
          <w:rFonts w:ascii="Times New Roman" w:eastAsia="Times New Roman"/>
          <w:w w:val="100"/>
        </w:rPr>
        <w:t>201</w:t>
      </w:r>
      <w:r>
        <w:rPr>
          <w:rFonts w:ascii="Times New Roman" w:eastAsia="Times New Roman"/>
          <w:spacing w:val="-2"/>
          <w:w w:val="100"/>
        </w:rPr>
        <w:t>9</w:t>
      </w:r>
      <w:r>
        <w:rPr>
          <w:w w:val="100"/>
        </w:rPr>
        <w:t>年第</w:t>
      </w:r>
      <w:r>
        <w:rPr>
          <w:rFonts w:ascii="Times New Roman" w:eastAsia="Times New Roman"/>
          <w:spacing w:val="-3"/>
          <w:w w:val="100"/>
        </w:rPr>
        <w:t>4</w:t>
      </w:r>
      <w:r>
        <w:rPr>
          <w:w w:val="100"/>
        </w:rPr>
        <w:t>季度</w:t>
      </w:r>
      <w:r>
        <w:rPr/>
        <w:t>报告。</w:t>
      </w:r>
    </w:p>
    <w:p>
      <w:pPr>
        <w:pStyle w:val="BodyText"/>
        <w:spacing w:line="417" w:lineRule="auto"/>
        <w:ind w:left="220" w:right="873" w:firstLine="419"/>
      </w:pPr>
      <w:r>
        <w:rPr/>
        <w:t>（五）</w:t>
      </w:r>
      <w:r>
        <w:rPr>
          <w:rFonts w:ascii="Times New Roman" w:eastAsia="Times New Roman"/>
        </w:rPr>
        <w:t>2020</w:t>
      </w:r>
      <w:r>
        <w:rPr/>
        <w:t>年</w:t>
      </w:r>
      <w:r>
        <w:rPr>
          <w:rFonts w:ascii="Times New Roman" w:eastAsia="Times New Roman"/>
        </w:rPr>
        <w:t>1</w:t>
      </w:r>
      <w:r>
        <w:rPr/>
        <w:t>月</w:t>
      </w:r>
      <w:r>
        <w:rPr>
          <w:rFonts w:ascii="Times New Roman" w:eastAsia="Times New Roman"/>
        </w:rPr>
        <w:t>30</w:t>
      </w:r>
      <w:r>
        <w:rPr/>
        <w:t>日发布华夏基金管理有限公司关于根据国家延长春节假期通知及交易所休市安排等调整旗下基金春节后业务办理日期的公告。</w:t>
      </w:r>
    </w:p>
    <w:p>
      <w:pPr>
        <w:pStyle w:val="BodyText"/>
      </w:pPr>
      <w:r>
        <w:rPr/>
        <w:t>（六）</w:t>
      </w:r>
      <w:r>
        <w:rPr>
          <w:rFonts w:ascii="Times New Roman" w:eastAsia="Times New Roman"/>
        </w:rPr>
        <w:t>2020</w:t>
      </w:r>
      <w:r>
        <w:rPr/>
        <w:t>年</w:t>
      </w:r>
      <w:r>
        <w:rPr>
          <w:rFonts w:ascii="Times New Roman" w:eastAsia="Times New Roman"/>
        </w:rPr>
        <w:t>3</w:t>
      </w:r>
      <w:r>
        <w:rPr/>
        <w:t>月</w:t>
      </w:r>
      <w:r>
        <w:rPr>
          <w:rFonts w:ascii="Times New Roman" w:eastAsia="Times New Roman"/>
        </w:rPr>
        <w:t>26</w:t>
      </w:r>
      <w:r>
        <w:rPr/>
        <w:t>日发布华夏基金管理有限公司关于旗下公募基金</w:t>
      </w:r>
      <w:r>
        <w:rPr>
          <w:rFonts w:ascii="Times New Roman" w:eastAsia="Times New Roman"/>
        </w:rPr>
        <w:t>2019</w:t>
      </w:r>
      <w:r>
        <w:rPr/>
        <w:t>年年报延缓审</w:t>
      </w:r>
    </w:p>
    <w:p>
      <w:pPr>
        <w:spacing w:after="0"/>
        <w:sectPr>
          <w:pgSz w:w="11910" w:h="16840"/>
          <w:pgMar w:header="705" w:footer="683" w:top="1420" w:bottom="880" w:left="1580" w:right="920"/>
        </w:sectPr>
      </w:pPr>
    </w:p>
    <w:p>
      <w:pPr>
        <w:pStyle w:val="BodyText"/>
        <w:spacing w:before="110"/>
        <w:ind w:left="220"/>
      </w:pPr>
      <w:r>
        <w:rPr/>
        <w:t>计与披露的公告。</w:t>
      </w:r>
    </w:p>
    <w:p>
      <w:pPr>
        <w:pStyle w:val="BodyText"/>
        <w:spacing w:before="6"/>
        <w:ind w:left="0"/>
        <w:rPr>
          <w:sz w:val="15"/>
        </w:rPr>
      </w:pPr>
    </w:p>
    <w:p>
      <w:pPr>
        <w:pStyle w:val="BodyText"/>
      </w:pPr>
      <w:r>
        <w:rPr/>
        <w:t>（七）</w:t>
      </w:r>
      <w:r>
        <w:rPr>
          <w:rFonts w:ascii="Times New Roman" w:eastAsia="Times New Roman"/>
        </w:rPr>
        <w:t>2020</w:t>
      </w:r>
      <w:r>
        <w:rPr/>
        <w:t>年</w:t>
      </w:r>
      <w:r>
        <w:rPr>
          <w:rFonts w:ascii="Times New Roman" w:eastAsia="Times New Roman"/>
        </w:rPr>
        <w:t>4</w:t>
      </w:r>
      <w:r>
        <w:rPr/>
        <w:t>月</w:t>
      </w:r>
      <w:r>
        <w:rPr>
          <w:rFonts w:ascii="Times New Roman" w:eastAsia="Times New Roman"/>
        </w:rPr>
        <w:t>1</w:t>
      </w:r>
      <w:r>
        <w:rPr/>
        <w:t>日发布华夏基金管理有限公司公告。</w:t>
      </w:r>
    </w:p>
    <w:p>
      <w:pPr>
        <w:pStyle w:val="BodyText"/>
        <w:spacing w:before="7"/>
        <w:ind w:left="0"/>
        <w:rPr>
          <w:sz w:val="15"/>
        </w:rPr>
      </w:pPr>
    </w:p>
    <w:p>
      <w:pPr>
        <w:pStyle w:val="BodyText"/>
      </w:pPr>
      <w:r>
        <w:rPr>
          <w:w w:val="100"/>
        </w:rPr>
        <w:t>（</w:t>
      </w:r>
      <w:r>
        <w:rPr>
          <w:spacing w:val="-3"/>
          <w:w w:val="100"/>
        </w:rPr>
        <w:t>八</w:t>
      </w:r>
      <w:r>
        <w:rPr>
          <w:spacing w:val="-94"/>
          <w:w w:val="100"/>
        </w:rPr>
        <w:t>）</w:t>
      </w:r>
      <w:r>
        <w:rPr>
          <w:rFonts w:ascii="Times New Roman" w:eastAsia="Times New Roman"/>
          <w:w w:val="100"/>
        </w:rPr>
        <w:t>20</w:t>
      </w:r>
      <w:r>
        <w:rPr>
          <w:rFonts w:ascii="Times New Roman" w:eastAsia="Times New Roman"/>
          <w:spacing w:val="-3"/>
          <w:w w:val="100"/>
        </w:rPr>
        <w:t>2</w:t>
      </w:r>
      <w:r>
        <w:rPr>
          <w:rFonts w:ascii="Times New Roman" w:eastAsia="Times New Roman"/>
          <w:spacing w:val="-1"/>
          <w:w w:val="100"/>
        </w:rPr>
        <w:t>0</w:t>
      </w:r>
      <w:r>
        <w:rPr>
          <w:w w:val="100"/>
        </w:rPr>
        <w:t>年</w:t>
      </w:r>
      <w:r>
        <w:rPr>
          <w:rFonts w:ascii="Times New Roman" w:eastAsia="Times New Roman"/>
          <w:spacing w:val="-3"/>
          <w:w w:val="100"/>
        </w:rPr>
        <w:t>4</w:t>
      </w:r>
      <w:r>
        <w:rPr>
          <w:w w:val="100"/>
        </w:rPr>
        <w:t>月</w:t>
      </w:r>
      <w:r>
        <w:rPr>
          <w:rFonts w:ascii="Times New Roman" w:eastAsia="Times New Roman"/>
          <w:spacing w:val="-2"/>
          <w:w w:val="100"/>
        </w:rPr>
        <w:t>9</w:t>
      </w:r>
      <w:r>
        <w:rPr>
          <w:spacing w:val="-3"/>
          <w:w w:val="100"/>
        </w:rPr>
        <w:t>日发布恒生交易型开放式指数证券投资基金联接基金</w:t>
      </w:r>
      <w:r>
        <w:rPr>
          <w:rFonts w:ascii="Times New Roman" w:eastAsia="Times New Roman"/>
          <w:w w:val="100"/>
        </w:rPr>
        <w:t>2</w:t>
      </w:r>
      <w:r>
        <w:rPr>
          <w:rFonts w:ascii="Times New Roman" w:eastAsia="Times New Roman"/>
          <w:spacing w:val="-3"/>
          <w:w w:val="100"/>
        </w:rPr>
        <w:t>0</w:t>
      </w:r>
      <w:r>
        <w:rPr>
          <w:rFonts w:ascii="Times New Roman" w:eastAsia="Times New Roman"/>
          <w:w w:val="100"/>
        </w:rPr>
        <w:t>19</w:t>
      </w:r>
      <w:r>
        <w:rPr>
          <w:spacing w:val="-3"/>
          <w:w w:val="100"/>
        </w:rPr>
        <w:t>年年度报告。</w:t>
      </w:r>
    </w:p>
    <w:p>
      <w:pPr>
        <w:pStyle w:val="BodyText"/>
        <w:spacing w:before="7"/>
        <w:ind w:left="0"/>
        <w:rPr>
          <w:sz w:val="15"/>
        </w:rPr>
      </w:pPr>
    </w:p>
    <w:p>
      <w:pPr>
        <w:pStyle w:val="BodyText"/>
        <w:spacing w:line="417" w:lineRule="auto"/>
        <w:ind w:left="220" w:right="871" w:firstLine="419"/>
      </w:pPr>
      <w:r>
        <w:rPr>
          <w:w w:val="100"/>
        </w:rPr>
        <w:t>（</w:t>
      </w:r>
      <w:r>
        <w:rPr>
          <w:spacing w:val="-3"/>
          <w:w w:val="100"/>
        </w:rPr>
        <w:t>九</w:t>
      </w:r>
      <w:r>
        <w:rPr>
          <w:spacing w:val="-94"/>
          <w:w w:val="100"/>
        </w:rPr>
        <w:t>）</w:t>
      </w:r>
      <w:r>
        <w:rPr>
          <w:rFonts w:ascii="Times New Roman" w:eastAsia="Times New Roman"/>
          <w:w w:val="100"/>
        </w:rPr>
        <w:t>20</w:t>
      </w:r>
      <w:r>
        <w:rPr>
          <w:rFonts w:ascii="Times New Roman" w:eastAsia="Times New Roman"/>
          <w:spacing w:val="-3"/>
          <w:w w:val="100"/>
        </w:rPr>
        <w:t>2</w:t>
      </w:r>
      <w:r>
        <w:rPr>
          <w:rFonts w:ascii="Times New Roman" w:eastAsia="Times New Roman"/>
          <w:spacing w:val="-1"/>
          <w:w w:val="100"/>
        </w:rPr>
        <w:t>0</w:t>
      </w:r>
      <w:r>
        <w:rPr>
          <w:w w:val="100"/>
        </w:rPr>
        <w:t>年</w:t>
      </w:r>
      <w:r>
        <w:rPr>
          <w:rFonts w:ascii="Times New Roman" w:eastAsia="Times New Roman"/>
          <w:spacing w:val="-3"/>
          <w:w w:val="100"/>
        </w:rPr>
        <w:t>4</w:t>
      </w:r>
      <w:r>
        <w:rPr>
          <w:w w:val="100"/>
        </w:rPr>
        <w:t>月</w:t>
      </w:r>
      <w:r>
        <w:rPr>
          <w:rFonts w:ascii="Times New Roman" w:eastAsia="Times New Roman"/>
          <w:w w:val="100"/>
        </w:rPr>
        <w:t>2</w:t>
      </w:r>
      <w:r>
        <w:rPr>
          <w:rFonts w:ascii="Times New Roman" w:eastAsia="Times New Roman"/>
          <w:spacing w:val="-2"/>
          <w:w w:val="100"/>
        </w:rPr>
        <w:t>2</w:t>
      </w:r>
      <w:r>
        <w:rPr>
          <w:spacing w:val="-3"/>
          <w:w w:val="100"/>
        </w:rPr>
        <w:t>日发布恒生交易型开放式指数证券投资基金联接基金</w:t>
      </w:r>
      <w:r>
        <w:rPr>
          <w:rFonts w:ascii="Times New Roman" w:eastAsia="Times New Roman"/>
          <w:w w:val="100"/>
        </w:rPr>
        <w:t>202</w:t>
      </w:r>
      <w:r>
        <w:rPr>
          <w:rFonts w:ascii="Times New Roman" w:eastAsia="Times New Roman"/>
          <w:spacing w:val="-2"/>
          <w:w w:val="100"/>
        </w:rPr>
        <w:t>0</w:t>
      </w:r>
      <w:r>
        <w:rPr>
          <w:w w:val="100"/>
        </w:rPr>
        <w:t>年第</w:t>
      </w:r>
      <w:r>
        <w:rPr>
          <w:rFonts w:ascii="Times New Roman" w:eastAsia="Times New Roman"/>
          <w:spacing w:val="-3"/>
          <w:w w:val="100"/>
        </w:rPr>
        <w:t>1</w:t>
      </w:r>
      <w:r>
        <w:rPr>
          <w:w w:val="100"/>
        </w:rPr>
        <w:t>季度</w:t>
      </w:r>
      <w:r>
        <w:rPr/>
        <w:t>报告。</w:t>
      </w:r>
    </w:p>
    <w:p>
      <w:pPr>
        <w:pStyle w:val="BodyText"/>
        <w:spacing w:line="269" w:lineRule="exact"/>
      </w:pPr>
      <w:r>
        <w:rPr/>
        <w:t>（十）</w:t>
      </w:r>
      <w:r>
        <w:rPr>
          <w:rFonts w:ascii="Times New Roman" w:eastAsia="Times New Roman"/>
        </w:rPr>
        <w:t>2020</w:t>
      </w:r>
      <w:r>
        <w:rPr/>
        <w:t>年</w:t>
      </w:r>
      <w:r>
        <w:rPr>
          <w:rFonts w:ascii="Times New Roman" w:eastAsia="Times New Roman"/>
        </w:rPr>
        <w:t>7</w:t>
      </w:r>
      <w:r>
        <w:rPr/>
        <w:t>月</w:t>
      </w:r>
      <w:r>
        <w:rPr>
          <w:rFonts w:ascii="Times New Roman" w:eastAsia="Times New Roman"/>
        </w:rPr>
        <w:t>2</w:t>
      </w:r>
      <w:r>
        <w:rPr/>
        <w:t>日发布华夏基金管理有限公司住所变更公告。</w:t>
      </w:r>
    </w:p>
    <w:p>
      <w:pPr>
        <w:pStyle w:val="BodyText"/>
        <w:spacing w:before="7"/>
        <w:ind w:left="0"/>
        <w:rPr>
          <w:sz w:val="15"/>
        </w:rPr>
      </w:pPr>
    </w:p>
    <w:p>
      <w:pPr>
        <w:pStyle w:val="BodyText"/>
        <w:spacing w:line="417" w:lineRule="auto"/>
        <w:ind w:left="220" w:right="873" w:firstLine="419"/>
      </w:pPr>
      <w:r>
        <w:rPr/>
        <w:t>（十一）</w:t>
      </w:r>
      <w:r>
        <w:rPr>
          <w:rFonts w:ascii="Times New Roman" w:eastAsia="Times New Roman"/>
        </w:rPr>
        <w:t>2020</w:t>
      </w:r>
      <w:r>
        <w:rPr/>
        <w:t>年</w:t>
      </w:r>
      <w:r>
        <w:rPr>
          <w:rFonts w:ascii="Times New Roman" w:eastAsia="Times New Roman"/>
        </w:rPr>
        <w:t>7</w:t>
      </w:r>
      <w:r>
        <w:rPr/>
        <w:t>月</w:t>
      </w:r>
      <w:r>
        <w:rPr>
          <w:rFonts w:ascii="Times New Roman" w:eastAsia="Times New Roman"/>
        </w:rPr>
        <w:t>20</w:t>
      </w:r>
      <w:r>
        <w:rPr/>
        <w:t>日发布恒生交易型开放式指数证券投资基金联接基金</w:t>
      </w:r>
      <w:r>
        <w:rPr>
          <w:rFonts w:ascii="Times New Roman" w:eastAsia="Times New Roman"/>
        </w:rPr>
        <w:t>2020</w:t>
      </w:r>
      <w:r>
        <w:rPr/>
        <w:t>年第</w:t>
      </w:r>
      <w:r>
        <w:rPr>
          <w:rFonts w:ascii="Times New Roman" w:eastAsia="Times New Roman"/>
        </w:rPr>
        <w:t>2 </w:t>
      </w:r>
      <w:r>
        <w:rPr/>
        <w:t>季度报告。</w:t>
      </w:r>
    </w:p>
    <w:p>
      <w:pPr>
        <w:pStyle w:val="BodyText"/>
        <w:spacing w:line="417" w:lineRule="auto"/>
        <w:ind w:left="220" w:right="871" w:firstLine="419"/>
      </w:pPr>
      <w:r>
        <w:rPr/>
        <w:t>（十二）</w:t>
      </w:r>
      <w:r>
        <w:rPr>
          <w:rFonts w:ascii="Times New Roman" w:eastAsia="Times New Roman"/>
        </w:rPr>
        <w:t>2020</w:t>
      </w:r>
      <w:r>
        <w:rPr/>
        <w:t>年</w:t>
      </w:r>
      <w:r>
        <w:rPr>
          <w:rFonts w:ascii="Times New Roman" w:eastAsia="Times New Roman"/>
        </w:rPr>
        <w:t>8</w:t>
      </w:r>
      <w:r>
        <w:rPr/>
        <w:t>月</w:t>
      </w:r>
      <w:r>
        <w:rPr>
          <w:rFonts w:ascii="Times New Roman" w:eastAsia="Times New Roman"/>
        </w:rPr>
        <w:t>29</w:t>
      </w:r>
      <w:r>
        <w:rPr/>
        <w:t>日发布恒生交易型开放式指数证券投资基金联接基金</w:t>
      </w:r>
      <w:r>
        <w:rPr>
          <w:rFonts w:ascii="Times New Roman" w:eastAsia="Times New Roman"/>
        </w:rPr>
        <w:t>2020</w:t>
      </w:r>
      <w:r>
        <w:rPr/>
        <w:t>年半年度报告。</w:t>
      </w:r>
    </w:p>
    <w:p>
      <w:pPr>
        <w:pStyle w:val="BodyText"/>
        <w:spacing w:line="417" w:lineRule="auto"/>
        <w:ind w:left="220" w:right="873" w:firstLine="419"/>
      </w:pPr>
      <w:r>
        <w:rPr/>
        <w:t>（十三）</w:t>
      </w:r>
      <w:r>
        <w:rPr>
          <w:rFonts w:ascii="Times New Roman" w:eastAsia="Times New Roman"/>
        </w:rPr>
        <w:t>2020</w:t>
      </w:r>
      <w:r>
        <w:rPr/>
        <w:t>年</w:t>
      </w:r>
      <w:r>
        <w:rPr>
          <w:rFonts w:ascii="Times New Roman" w:eastAsia="Times New Roman"/>
        </w:rPr>
        <w:t>9</w:t>
      </w:r>
      <w:r>
        <w:rPr/>
        <w:t>月</w:t>
      </w:r>
      <w:r>
        <w:rPr>
          <w:rFonts w:ascii="Times New Roman" w:eastAsia="Times New Roman"/>
        </w:rPr>
        <w:t>12</w:t>
      </w:r>
      <w:r>
        <w:rPr/>
        <w:t>日发布华夏基金管理有限公司关于上海分公司营业场所变更的公告。</w:t>
      </w:r>
    </w:p>
    <w:p>
      <w:pPr>
        <w:pStyle w:val="BodyText"/>
        <w:spacing w:line="417" w:lineRule="auto"/>
        <w:ind w:left="220" w:right="874" w:firstLine="419"/>
      </w:pPr>
      <w:r>
        <w:rPr>
          <w:spacing w:val="-1"/>
        </w:rPr>
        <w:t>（十四）</w:t>
      </w:r>
      <w:r>
        <w:rPr>
          <w:rFonts w:ascii="Times New Roman" w:eastAsia="Times New Roman"/>
          <w:spacing w:val="-1"/>
        </w:rPr>
        <w:t>2020</w:t>
      </w:r>
      <w:r>
        <w:rPr/>
        <w:t>年</w:t>
      </w:r>
      <w:r>
        <w:rPr>
          <w:rFonts w:ascii="Times New Roman" w:eastAsia="Times New Roman"/>
        </w:rPr>
        <w:t>9</w:t>
      </w:r>
      <w:r>
        <w:rPr/>
        <w:t>月</w:t>
      </w:r>
      <w:r>
        <w:rPr>
          <w:rFonts w:ascii="Times New Roman" w:eastAsia="Times New Roman"/>
        </w:rPr>
        <w:t>23</w:t>
      </w:r>
      <w:r>
        <w:rPr>
          <w:spacing w:val="-2"/>
        </w:rPr>
        <w:t>日发布</w:t>
      </w:r>
      <w:r>
        <w:rPr>
          <w:rFonts w:ascii="Times New Roman" w:eastAsia="Times New Roman"/>
        </w:rPr>
        <w:t>20200923</w:t>
      </w:r>
      <w:r>
        <w:rPr>
          <w:spacing w:val="-3"/>
        </w:rPr>
        <w:t>华夏基金管理有限公司关于旗下基金投资关联方承销证券的公告。</w:t>
      </w:r>
    </w:p>
    <w:p>
      <w:pPr>
        <w:pStyle w:val="BodyText"/>
        <w:spacing w:line="417" w:lineRule="auto"/>
        <w:ind w:left="220" w:right="874" w:firstLine="419"/>
      </w:pPr>
      <w:r>
        <w:rPr>
          <w:spacing w:val="-1"/>
        </w:rPr>
        <w:t>（十五）</w:t>
      </w:r>
      <w:r>
        <w:rPr>
          <w:rFonts w:ascii="Times New Roman" w:eastAsia="Times New Roman"/>
          <w:spacing w:val="-1"/>
        </w:rPr>
        <w:t>2020</w:t>
      </w:r>
      <w:r>
        <w:rPr/>
        <w:t>年</w:t>
      </w:r>
      <w:r>
        <w:rPr>
          <w:rFonts w:ascii="Times New Roman" w:eastAsia="Times New Roman"/>
        </w:rPr>
        <w:t>9</w:t>
      </w:r>
      <w:r>
        <w:rPr/>
        <w:t>月</w:t>
      </w:r>
      <w:r>
        <w:rPr>
          <w:rFonts w:ascii="Times New Roman" w:eastAsia="Times New Roman"/>
        </w:rPr>
        <w:t>24</w:t>
      </w:r>
      <w:r>
        <w:rPr>
          <w:spacing w:val="-2"/>
        </w:rPr>
        <w:t>日发布</w:t>
      </w:r>
      <w:r>
        <w:rPr>
          <w:rFonts w:ascii="Times New Roman" w:eastAsia="Times New Roman"/>
        </w:rPr>
        <w:t>20200924</w:t>
      </w:r>
      <w:r>
        <w:rPr>
          <w:spacing w:val="-3"/>
        </w:rPr>
        <w:t>华夏基金管理有限公司关于旗下基金投资关联方承销证券的公告。</w:t>
      </w:r>
    </w:p>
    <w:p>
      <w:pPr>
        <w:pStyle w:val="BodyText"/>
        <w:spacing w:before="6"/>
        <w:ind w:left="0"/>
        <w:rPr>
          <w:sz w:val="26"/>
        </w:rPr>
      </w:pPr>
    </w:p>
    <w:p>
      <w:pPr>
        <w:pStyle w:val="Heading1"/>
        <w:spacing w:before="1"/>
      </w:pPr>
      <w:bookmarkStart w:name="_bookmark23" w:id="24"/>
      <w:bookmarkEnd w:id="24"/>
      <w:r>
        <w:rPr>
          <w:b w:val="0"/>
        </w:rPr>
      </w:r>
      <w:r>
        <w:rPr/>
        <w:t>二十四、招募说明书存放及查阅方式</w:t>
      </w:r>
    </w:p>
    <w:p>
      <w:pPr>
        <w:pStyle w:val="BodyText"/>
        <w:ind w:left="0"/>
        <w:rPr>
          <w:b/>
          <w:sz w:val="20"/>
        </w:rPr>
      </w:pPr>
    </w:p>
    <w:p>
      <w:pPr>
        <w:pStyle w:val="BodyText"/>
        <w:spacing w:before="2"/>
        <w:ind w:left="0"/>
        <w:rPr>
          <w:b/>
        </w:rPr>
      </w:pPr>
    </w:p>
    <w:p>
      <w:pPr>
        <w:pStyle w:val="BodyText"/>
        <w:spacing w:line="417" w:lineRule="auto"/>
        <w:ind w:left="220" w:right="986" w:firstLine="419"/>
      </w:pPr>
      <w:r>
        <w:rPr/>
        <w:t>本基金招募说明书公布后，置备于基金管理人的住所，投资者可免费查阅。投资者在支付工本费后，可在合理时间内取得上述文件复印件。</w:t>
      </w:r>
    </w:p>
    <w:p>
      <w:pPr>
        <w:pStyle w:val="BodyText"/>
        <w:spacing w:before="8"/>
        <w:ind w:left="0"/>
        <w:rPr>
          <w:sz w:val="26"/>
        </w:rPr>
      </w:pPr>
    </w:p>
    <w:p>
      <w:pPr>
        <w:pStyle w:val="Heading1"/>
      </w:pPr>
      <w:bookmarkStart w:name="_bookmark24" w:id="25"/>
      <w:bookmarkEnd w:id="25"/>
      <w:r>
        <w:rPr>
          <w:b w:val="0"/>
        </w:rPr>
      </w:r>
      <w:r>
        <w:rPr/>
        <w:t>二十五、备查文件</w:t>
      </w:r>
    </w:p>
    <w:p>
      <w:pPr>
        <w:pStyle w:val="BodyText"/>
        <w:ind w:left="0"/>
        <w:rPr>
          <w:b/>
          <w:sz w:val="20"/>
        </w:rPr>
      </w:pPr>
    </w:p>
    <w:p>
      <w:pPr>
        <w:pStyle w:val="BodyText"/>
        <w:spacing w:before="2"/>
        <w:ind w:left="0"/>
        <w:rPr>
          <w:b/>
        </w:rPr>
      </w:pPr>
    </w:p>
    <w:p>
      <w:pPr>
        <w:pStyle w:val="BodyText"/>
      </w:pPr>
      <w:r>
        <w:rPr/>
        <w:t>（一）备查文件目录</w:t>
      </w:r>
    </w:p>
    <w:p>
      <w:pPr>
        <w:pStyle w:val="BodyText"/>
        <w:spacing w:before="7"/>
        <w:ind w:left="0"/>
        <w:rPr>
          <w:sz w:val="15"/>
        </w:rPr>
      </w:pPr>
    </w:p>
    <w:p>
      <w:pPr>
        <w:pStyle w:val="BodyText"/>
      </w:pPr>
      <w:r>
        <w:rPr>
          <w:rFonts w:ascii="Times New Roman" w:eastAsia="Times New Roman"/>
        </w:rPr>
        <w:t>1</w:t>
      </w:r>
      <w:r>
        <w:rPr/>
        <w:t>、中国证监会核准恒生交易型开放式指数证券投资基金联接基金募集的文件。</w:t>
      </w:r>
    </w:p>
    <w:p>
      <w:pPr>
        <w:pStyle w:val="BodyText"/>
        <w:spacing w:before="7"/>
        <w:ind w:left="0"/>
        <w:rPr>
          <w:sz w:val="15"/>
        </w:rPr>
      </w:pPr>
    </w:p>
    <w:p>
      <w:pPr>
        <w:pStyle w:val="BodyText"/>
      </w:pPr>
      <w:r>
        <w:rPr>
          <w:rFonts w:ascii="Times New Roman" w:eastAsia="Times New Roman"/>
        </w:rPr>
        <w:t>2</w:t>
      </w:r>
      <w:r>
        <w:rPr>
          <w:spacing w:val="-16"/>
        </w:rPr>
        <w:t>、《恒生交易型开放式指数证券投资基金联接基金基金合同》。</w:t>
      </w:r>
    </w:p>
    <w:p>
      <w:pPr>
        <w:pStyle w:val="BodyText"/>
        <w:spacing w:before="7"/>
        <w:ind w:left="0"/>
        <w:rPr>
          <w:sz w:val="15"/>
        </w:rPr>
      </w:pPr>
    </w:p>
    <w:p>
      <w:pPr>
        <w:pStyle w:val="BodyText"/>
      </w:pPr>
      <w:r>
        <w:rPr>
          <w:rFonts w:ascii="Times New Roman" w:eastAsia="Times New Roman"/>
        </w:rPr>
        <w:t>3</w:t>
      </w:r>
      <w:r>
        <w:rPr>
          <w:spacing w:val="-16"/>
        </w:rPr>
        <w:t>、《恒生交易型开放式指数证券投资基金联接基金托管协议》。</w:t>
      </w:r>
    </w:p>
    <w:p>
      <w:pPr>
        <w:pStyle w:val="BodyText"/>
        <w:spacing w:before="6"/>
        <w:ind w:left="0"/>
        <w:rPr>
          <w:sz w:val="15"/>
        </w:rPr>
      </w:pPr>
    </w:p>
    <w:p>
      <w:pPr>
        <w:pStyle w:val="BodyText"/>
      </w:pPr>
      <w:r>
        <w:rPr>
          <w:rFonts w:ascii="Times New Roman" w:eastAsia="Times New Roman"/>
        </w:rPr>
        <w:t>4</w:t>
      </w:r>
      <w:r>
        <w:rPr/>
        <w:t>、法律意见书。</w:t>
      </w:r>
    </w:p>
    <w:p>
      <w:pPr>
        <w:pStyle w:val="BodyText"/>
        <w:spacing w:before="7"/>
        <w:ind w:left="0"/>
        <w:rPr>
          <w:sz w:val="15"/>
        </w:rPr>
      </w:pPr>
    </w:p>
    <w:p>
      <w:pPr>
        <w:pStyle w:val="BodyText"/>
        <w:spacing w:before="1"/>
      </w:pPr>
      <w:r>
        <w:rPr>
          <w:rFonts w:ascii="Times New Roman" w:eastAsia="Times New Roman"/>
          <w:spacing w:val="-1"/>
        </w:rPr>
        <w:t>5</w:t>
      </w:r>
      <w:r>
        <w:rPr>
          <w:spacing w:val="-3"/>
        </w:rPr>
        <w:t>、基金管理人业务资格批件、营业执照。</w:t>
      </w:r>
    </w:p>
    <w:p>
      <w:pPr>
        <w:pStyle w:val="BodyText"/>
        <w:spacing w:before="6"/>
        <w:ind w:left="0"/>
        <w:rPr>
          <w:sz w:val="15"/>
        </w:rPr>
      </w:pPr>
    </w:p>
    <w:p>
      <w:pPr>
        <w:pStyle w:val="BodyText"/>
      </w:pPr>
      <w:r>
        <w:rPr>
          <w:rFonts w:ascii="Times New Roman" w:eastAsia="Times New Roman"/>
          <w:spacing w:val="-1"/>
        </w:rPr>
        <w:t>6</w:t>
      </w:r>
      <w:r>
        <w:rPr>
          <w:spacing w:val="-3"/>
        </w:rPr>
        <w:t>、基金托管人业务资格批件、营业执照。</w:t>
      </w:r>
    </w:p>
    <w:p>
      <w:pPr>
        <w:spacing w:after="0"/>
        <w:sectPr>
          <w:pgSz w:w="11910" w:h="16840"/>
          <w:pgMar w:header="705" w:footer="683" w:top="1420" w:bottom="880" w:left="1580" w:right="920"/>
        </w:sectPr>
      </w:pPr>
    </w:p>
    <w:p>
      <w:pPr>
        <w:pStyle w:val="BodyText"/>
        <w:spacing w:before="110"/>
      </w:pPr>
      <w:r>
        <w:rPr/>
        <w:t>（二）存放地点</w:t>
      </w:r>
    </w:p>
    <w:p>
      <w:pPr>
        <w:pStyle w:val="BodyText"/>
        <w:spacing w:before="6"/>
        <w:ind w:left="0"/>
        <w:rPr>
          <w:sz w:val="15"/>
        </w:rPr>
      </w:pPr>
    </w:p>
    <w:p>
      <w:pPr>
        <w:pStyle w:val="BodyText"/>
      </w:pPr>
      <w:r>
        <w:rPr/>
        <w:t>备查文件存放于基金管理人和</w:t>
      </w:r>
      <w:r>
        <w:rPr>
          <w:rFonts w:ascii="Times New Roman" w:eastAsia="Times New Roman"/>
        </w:rPr>
        <w:t>/</w:t>
      </w:r>
      <w:r>
        <w:rPr/>
        <w:t>或基金托管人处。</w:t>
      </w:r>
    </w:p>
    <w:p>
      <w:pPr>
        <w:pStyle w:val="BodyText"/>
        <w:spacing w:before="7"/>
        <w:ind w:left="0"/>
        <w:rPr>
          <w:sz w:val="15"/>
        </w:rPr>
      </w:pPr>
    </w:p>
    <w:p>
      <w:pPr>
        <w:pStyle w:val="BodyText"/>
      </w:pPr>
      <w:r>
        <w:rPr/>
        <w:t>（三）查阅方式</w:t>
      </w:r>
    </w:p>
    <w:p>
      <w:pPr>
        <w:pStyle w:val="BodyText"/>
        <w:spacing w:before="7"/>
        <w:ind w:left="0"/>
        <w:rPr>
          <w:sz w:val="15"/>
        </w:rPr>
      </w:pPr>
    </w:p>
    <w:p>
      <w:pPr>
        <w:pStyle w:val="BodyText"/>
        <w:spacing w:line="417" w:lineRule="auto"/>
        <w:ind w:left="220" w:right="871" w:firstLine="419"/>
      </w:pPr>
      <w:r>
        <w:rPr>
          <w:spacing w:val="-8"/>
        </w:rPr>
        <w:t>投资者可在营业时间免费查阅备查文件。在支付工本费后，可在合理时间内取得备查文</w:t>
      </w:r>
      <w:r>
        <w:rPr>
          <w:spacing w:val="-5"/>
        </w:rPr>
        <w:t>件的复制件或复印件。</w:t>
      </w:r>
    </w:p>
    <w:p>
      <w:pPr>
        <w:pStyle w:val="BodyText"/>
        <w:ind w:left="0"/>
        <w:rPr>
          <w:sz w:val="20"/>
        </w:rPr>
      </w:pPr>
    </w:p>
    <w:p>
      <w:pPr>
        <w:pStyle w:val="BodyText"/>
        <w:ind w:left="0"/>
        <w:rPr>
          <w:sz w:val="20"/>
        </w:rPr>
      </w:pPr>
    </w:p>
    <w:p>
      <w:pPr>
        <w:pStyle w:val="BodyText"/>
        <w:ind w:left="0"/>
        <w:rPr>
          <w:sz w:val="20"/>
        </w:rPr>
      </w:pPr>
    </w:p>
    <w:p>
      <w:pPr>
        <w:pStyle w:val="BodyText"/>
        <w:spacing w:line="417" w:lineRule="auto" w:before="167"/>
        <w:ind w:left="6312" w:right="989" w:hanging="53"/>
        <w:jc w:val="right"/>
      </w:pPr>
      <w:r>
        <w:rPr/>
        <w:t>华夏基金管理有限公司二〇二〇年九月三十日</w:t>
      </w:r>
    </w:p>
    <w:sectPr>
      <w:pgSz w:w="11910" w:h="16840"/>
      <w:pgMar w:header="705" w:footer="683" w:top="1420" w:bottom="880" w:left="1580" w:right="9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宋体">
    <w:altName w:val="宋体"/>
    <w:charset w:val="86"/>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88.929993pt;margin-top:796.779968pt;width:17.7pt;height:12pt;mso-position-horizontal-relative:page;mso-position-vertical-relative:page;z-index:-258220032"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w:instrText>
                </w:r>
                <w:r>
                  <w:rPr/>
                  <w:fldChar w:fldCharType="separate"/>
                </w:r>
                <w:r>
                  <w:rPr/>
                  <w:t>100</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89.049988pt;margin-top:796.779968pt;width:17.3pt;height:12pt;mso-position-horizontal-relative:page;mso-position-vertical-relative:page;z-index:-258219008"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w:instrText>
                </w:r>
                <w:r>
                  <w:rPr/>
                  <w:fldChar w:fldCharType="separate"/>
                </w:r>
                <w:r>
                  <w:rPr/>
                  <w:t>110</w:t>
                </w:r>
                <w:r>
                  <w:rPr/>
                  <w:fldChar w:fldCharType="end"/>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88.929993pt;margin-top:796.779968pt;width:17.7pt;height:12pt;mso-position-horizontal-relative:page;mso-position-vertical-relative:page;z-index:-258217984"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w:instrText>
                </w:r>
                <w:r>
                  <w:rPr/>
                  <w:fldChar w:fldCharType="separate"/>
                </w:r>
                <w:r>
                  <w:rPr/>
                  <w:t>120</w:t>
                </w:r>
                <w:r>
                  <w:rPr/>
                  <w:fldChar w:fldCharType="end"/>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89.929993pt;margin-top:796.779968pt;width:15.7pt;height:12pt;mso-position-horizontal-relative:page;mso-position-vertical-relative:page;z-index:-258216960" type="#_x0000_t202" filled="false" stroked="false">
          <v:textbox inset="0,0,0,0">
            <w:txbxContent>
              <w:p>
                <w:pPr>
                  <w:spacing w:before="12"/>
                  <w:ind w:left="20" w:right="0" w:firstLine="0"/>
                  <w:jc w:val="left"/>
                  <w:rPr>
                    <w:rFonts w:ascii="Times New Roman"/>
                    <w:sz w:val="18"/>
                  </w:rPr>
                </w:pPr>
                <w:r>
                  <w:rPr>
                    <w:rFonts w:ascii="Times New Roman"/>
                    <w:sz w:val="18"/>
                  </w:rPr>
                  <w:t>130</w:t>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88.929993pt;margin-top:796.779968pt;width:17.7pt;height:12pt;mso-position-horizontal-relative:page;mso-position-vertical-relative:page;z-index:-258215936"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w:instrText>
                </w:r>
                <w:r>
                  <w:rPr/>
                  <w:fldChar w:fldCharType="separate"/>
                </w:r>
                <w:r>
                  <w:rPr/>
                  <w:t>131</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258222080" from="88.584pt,47.039982pt" to="506.854pt,47.039982pt" stroked="true" strokeweight=".72pt" strokecolor="#000000">
          <v:stroke dashstyle="solid"/>
          <w10:wrap type="none"/>
        </v:line>
      </w:pict>
    </w:r>
    <w:r>
      <w:rPr/>
      <w:pict>
        <v:shapetype id="_x0000_t202" o:spt="202" coordsize="21600,21600" path="m,l,21600r21600,l21600,xe">
          <v:stroke joinstyle="miter"/>
          <v:path gradientshapeok="t" o:connecttype="rect"/>
        </v:shapetype>
        <v:shape style="position:absolute;margin-left:243.369995pt;margin-top:34.225609pt;width:263pt;height:11pt;mso-position-horizontal-relative:page;mso-position-vertical-relative:page;z-index:-258221056" type="#_x0000_t202" filled="false" stroked="false">
          <v:textbox inset="0,0,0,0">
            <w:txbxContent>
              <w:p>
                <w:pPr>
                  <w:spacing w:line="220" w:lineRule="exact" w:before="0"/>
                  <w:ind w:left="20" w:right="0" w:firstLine="0"/>
                  <w:jc w:val="left"/>
                  <w:rPr>
                    <w:sz w:val="18"/>
                  </w:rPr>
                </w:pPr>
                <w:r>
                  <w:rPr>
                    <w:sz w:val="18"/>
                  </w:rPr>
                  <w:t>恒生交易型开放式指数证券投资基金联接基金招募说明书（更新）</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4">
    <w:multiLevelType w:val="hybridMultilevel"/>
    <w:lvl w:ilvl="0">
      <w:start w:val="1"/>
      <w:numFmt w:val="decimal"/>
      <w:lvlText w:val="（%1）"/>
      <w:lvlJc w:val="left"/>
      <w:pPr>
        <w:ind w:left="220" w:hanging="527"/>
        <w:jc w:val="left"/>
      </w:pPr>
      <w:rPr>
        <w:rFonts w:hint="default" w:ascii="宋体" w:hAnsi="宋体" w:eastAsia="宋体" w:cs="宋体"/>
        <w:spacing w:val="-34"/>
        <w:w w:val="100"/>
        <w:sz w:val="19"/>
        <w:szCs w:val="19"/>
        <w:lang w:val="zh-CN" w:eastAsia="zh-CN" w:bidi="zh-CN"/>
      </w:rPr>
    </w:lvl>
    <w:lvl w:ilvl="1">
      <w:start w:val="0"/>
      <w:numFmt w:val="bullet"/>
      <w:lvlText w:val="•"/>
      <w:lvlJc w:val="left"/>
      <w:pPr>
        <w:ind w:left="1138" w:hanging="527"/>
      </w:pPr>
      <w:rPr>
        <w:rFonts w:hint="default"/>
        <w:lang w:val="zh-CN" w:eastAsia="zh-CN" w:bidi="zh-CN"/>
      </w:rPr>
    </w:lvl>
    <w:lvl w:ilvl="2">
      <w:start w:val="0"/>
      <w:numFmt w:val="bullet"/>
      <w:lvlText w:val="•"/>
      <w:lvlJc w:val="left"/>
      <w:pPr>
        <w:ind w:left="2057" w:hanging="527"/>
      </w:pPr>
      <w:rPr>
        <w:rFonts w:hint="default"/>
        <w:lang w:val="zh-CN" w:eastAsia="zh-CN" w:bidi="zh-CN"/>
      </w:rPr>
    </w:lvl>
    <w:lvl w:ilvl="3">
      <w:start w:val="0"/>
      <w:numFmt w:val="bullet"/>
      <w:lvlText w:val="•"/>
      <w:lvlJc w:val="left"/>
      <w:pPr>
        <w:ind w:left="2975" w:hanging="527"/>
      </w:pPr>
      <w:rPr>
        <w:rFonts w:hint="default"/>
        <w:lang w:val="zh-CN" w:eastAsia="zh-CN" w:bidi="zh-CN"/>
      </w:rPr>
    </w:lvl>
    <w:lvl w:ilvl="4">
      <w:start w:val="0"/>
      <w:numFmt w:val="bullet"/>
      <w:lvlText w:val="•"/>
      <w:lvlJc w:val="left"/>
      <w:pPr>
        <w:ind w:left="3894" w:hanging="527"/>
      </w:pPr>
      <w:rPr>
        <w:rFonts w:hint="default"/>
        <w:lang w:val="zh-CN" w:eastAsia="zh-CN" w:bidi="zh-CN"/>
      </w:rPr>
    </w:lvl>
    <w:lvl w:ilvl="5">
      <w:start w:val="0"/>
      <w:numFmt w:val="bullet"/>
      <w:lvlText w:val="•"/>
      <w:lvlJc w:val="left"/>
      <w:pPr>
        <w:ind w:left="4813" w:hanging="527"/>
      </w:pPr>
      <w:rPr>
        <w:rFonts w:hint="default"/>
        <w:lang w:val="zh-CN" w:eastAsia="zh-CN" w:bidi="zh-CN"/>
      </w:rPr>
    </w:lvl>
    <w:lvl w:ilvl="6">
      <w:start w:val="0"/>
      <w:numFmt w:val="bullet"/>
      <w:lvlText w:val="•"/>
      <w:lvlJc w:val="left"/>
      <w:pPr>
        <w:ind w:left="5731" w:hanging="527"/>
      </w:pPr>
      <w:rPr>
        <w:rFonts w:hint="default"/>
        <w:lang w:val="zh-CN" w:eastAsia="zh-CN" w:bidi="zh-CN"/>
      </w:rPr>
    </w:lvl>
    <w:lvl w:ilvl="7">
      <w:start w:val="0"/>
      <w:numFmt w:val="bullet"/>
      <w:lvlText w:val="•"/>
      <w:lvlJc w:val="left"/>
      <w:pPr>
        <w:ind w:left="6650" w:hanging="527"/>
      </w:pPr>
      <w:rPr>
        <w:rFonts w:hint="default"/>
        <w:lang w:val="zh-CN" w:eastAsia="zh-CN" w:bidi="zh-CN"/>
      </w:rPr>
    </w:lvl>
    <w:lvl w:ilvl="8">
      <w:start w:val="0"/>
      <w:numFmt w:val="bullet"/>
      <w:lvlText w:val="•"/>
      <w:lvlJc w:val="left"/>
      <w:pPr>
        <w:ind w:left="7569" w:hanging="527"/>
      </w:pPr>
      <w:rPr>
        <w:rFonts w:hint="default"/>
        <w:lang w:val="zh-CN" w:eastAsia="zh-CN" w:bidi="zh-CN"/>
      </w:rPr>
    </w:lvl>
  </w:abstractNum>
  <w:abstractNum w:abstractNumId="42">
    <w:multiLevelType w:val="hybridMultilevel"/>
    <w:lvl w:ilvl="0">
      <w:start w:val="1"/>
      <w:numFmt w:val="decimal"/>
      <w:lvlText w:val="（%1）"/>
      <w:lvlJc w:val="left"/>
      <w:pPr>
        <w:ind w:left="116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984" w:hanging="529"/>
      </w:pPr>
      <w:rPr>
        <w:rFonts w:hint="default"/>
        <w:lang w:val="zh-CN" w:eastAsia="zh-CN" w:bidi="zh-CN"/>
      </w:rPr>
    </w:lvl>
    <w:lvl w:ilvl="2">
      <w:start w:val="0"/>
      <w:numFmt w:val="bullet"/>
      <w:lvlText w:val="•"/>
      <w:lvlJc w:val="left"/>
      <w:pPr>
        <w:ind w:left="2809" w:hanging="529"/>
      </w:pPr>
      <w:rPr>
        <w:rFonts w:hint="default"/>
        <w:lang w:val="zh-CN" w:eastAsia="zh-CN" w:bidi="zh-CN"/>
      </w:rPr>
    </w:lvl>
    <w:lvl w:ilvl="3">
      <w:start w:val="0"/>
      <w:numFmt w:val="bullet"/>
      <w:lvlText w:val="•"/>
      <w:lvlJc w:val="left"/>
      <w:pPr>
        <w:ind w:left="3633" w:hanging="529"/>
      </w:pPr>
      <w:rPr>
        <w:rFonts w:hint="default"/>
        <w:lang w:val="zh-CN" w:eastAsia="zh-CN" w:bidi="zh-CN"/>
      </w:rPr>
    </w:lvl>
    <w:lvl w:ilvl="4">
      <w:start w:val="0"/>
      <w:numFmt w:val="bullet"/>
      <w:lvlText w:val="•"/>
      <w:lvlJc w:val="left"/>
      <w:pPr>
        <w:ind w:left="4458" w:hanging="529"/>
      </w:pPr>
      <w:rPr>
        <w:rFonts w:hint="default"/>
        <w:lang w:val="zh-CN" w:eastAsia="zh-CN" w:bidi="zh-CN"/>
      </w:rPr>
    </w:lvl>
    <w:lvl w:ilvl="5">
      <w:start w:val="0"/>
      <w:numFmt w:val="bullet"/>
      <w:lvlText w:val="•"/>
      <w:lvlJc w:val="left"/>
      <w:pPr>
        <w:ind w:left="5283" w:hanging="529"/>
      </w:pPr>
      <w:rPr>
        <w:rFonts w:hint="default"/>
        <w:lang w:val="zh-CN" w:eastAsia="zh-CN" w:bidi="zh-CN"/>
      </w:rPr>
    </w:lvl>
    <w:lvl w:ilvl="6">
      <w:start w:val="0"/>
      <w:numFmt w:val="bullet"/>
      <w:lvlText w:val="•"/>
      <w:lvlJc w:val="left"/>
      <w:pPr>
        <w:ind w:left="6107" w:hanging="529"/>
      </w:pPr>
      <w:rPr>
        <w:rFonts w:hint="default"/>
        <w:lang w:val="zh-CN" w:eastAsia="zh-CN" w:bidi="zh-CN"/>
      </w:rPr>
    </w:lvl>
    <w:lvl w:ilvl="7">
      <w:start w:val="0"/>
      <w:numFmt w:val="bullet"/>
      <w:lvlText w:val="•"/>
      <w:lvlJc w:val="left"/>
      <w:pPr>
        <w:ind w:left="6932" w:hanging="529"/>
      </w:pPr>
      <w:rPr>
        <w:rFonts w:hint="default"/>
        <w:lang w:val="zh-CN" w:eastAsia="zh-CN" w:bidi="zh-CN"/>
      </w:rPr>
    </w:lvl>
    <w:lvl w:ilvl="8">
      <w:start w:val="0"/>
      <w:numFmt w:val="bullet"/>
      <w:lvlText w:val="•"/>
      <w:lvlJc w:val="left"/>
      <w:pPr>
        <w:ind w:left="7757" w:hanging="529"/>
      </w:pPr>
      <w:rPr>
        <w:rFonts w:hint="default"/>
        <w:lang w:val="zh-CN" w:eastAsia="zh-CN" w:bidi="zh-CN"/>
      </w:rPr>
    </w:lvl>
  </w:abstractNum>
  <w:abstractNum w:abstractNumId="41">
    <w:multiLevelType w:val="hybridMultilevel"/>
    <w:lvl w:ilvl="0">
      <w:start w:val="1"/>
      <w:numFmt w:val="decimal"/>
      <w:lvlText w:val="（%1）"/>
      <w:lvlJc w:val="left"/>
      <w:pPr>
        <w:ind w:left="116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984" w:hanging="529"/>
      </w:pPr>
      <w:rPr>
        <w:rFonts w:hint="default"/>
        <w:lang w:val="zh-CN" w:eastAsia="zh-CN" w:bidi="zh-CN"/>
      </w:rPr>
    </w:lvl>
    <w:lvl w:ilvl="2">
      <w:start w:val="0"/>
      <w:numFmt w:val="bullet"/>
      <w:lvlText w:val="•"/>
      <w:lvlJc w:val="left"/>
      <w:pPr>
        <w:ind w:left="2809" w:hanging="529"/>
      </w:pPr>
      <w:rPr>
        <w:rFonts w:hint="default"/>
        <w:lang w:val="zh-CN" w:eastAsia="zh-CN" w:bidi="zh-CN"/>
      </w:rPr>
    </w:lvl>
    <w:lvl w:ilvl="3">
      <w:start w:val="0"/>
      <w:numFmt w:val="bullet"/>
      <w:lvlText w:val="•"/>
      <w:lvlJc w:val="left"/>
      <w:pPr>
        <w:ind w:left="3633" w:hanging="529"/>
      </w:pPr>
      <w:rPr>
        <w:rFonts w:hint="default"/>
        <w:lang w:val="zh-CN" w:eastAsia="zh-CN" w:bidi="zh-CN"/>
      </w:rPr>
    </w:lvl>
    <w:lvl w:ilvl="4">
      <w:start w:val="0"/>
      <w:numFmt w:val="bullet"/>
      <w:lvlText w:val="•"/>
      <w:lvlJc w:val="left"/>
      <w:pPr>
        <w:ind w:left="4458" w:hanging="529"/>
      </w:pPr>
      <w:rPr>
        <w:rFonts w:hint="default"/>
        <w:lang w:val="zh-CN" w:eastAsia="zh-CN" w:bidi="zh-CN"/>
      </w:rPr>
    </w:lvl>
    <w:lvl w:ilvl="5">
      <w:start w:val="0"/>
      <w:numFmt w:val="bullet"/>
      <w:lvlText w:val="•"/>
      <w:lvlJc w:val="left"/>
      <w:pPr>
        <w:ind w:left="5283" w:hanging="529"/>
      </w:pPr>
      <w:rPr>
        <w:rFonts w:hint="default"/>
        <w:lang w:val="zh-CN" w:eastAsia="zh-CN" w:bidi="zh-CN"/>
      </w:rPr>
    </w:lvl>
    <w:lvl w:ilvl="6">
      <w:start w:val="0"/>
      <w:numFmt w:val="bullet"/>
      <w:lvlText w:val="•"/>
      <w:lvlJc w:val="left"/>
      <w:pPr>
        <w:ind w:left="6107" w:hanging="529"/>
      </w:pPr>
      <w:rPr>
        <w:rFonts w:hint="default"/>
        <w:lang w:val="zh-CN" w:eastAsia="zh-CN" w:bidi="zh-CN"/>
      </w:rPr>
    </w:lvl>
    <w:lvl w:ilvl="7">
      <w:start w:val="0"/>
      <w:numFmt w:val="bullet"/>
      <w:lvlText w:val="•"/>
      <w:lvlJc w:val="left"/>
      <w:pPr>
        <w:ind w:left="6932" w:hanging="529"/>
      </w:pPr>
      <w:rPr>
        <w:rFonts w:hint="default"/>
        <w:lang w:val="zh-CN" w:eastAsia="zh-CN" w:bidi="zh-CN"/>
      </w:rPr>
    </w:lvl>
    <w:lvl w:ilvl="8">
      <w:start w:val="0"/>
      <w:numFmt w:val="bullet"/>
      <w:lvlText w:val="•"/>
      <w:lvlJc w:val="left"/>
      <w:pPr>
        <w:ind w:left="7757" w:hanging="529"/>
      </w:pPr>
      <w:rPr>
        <w:rFonts w:hint="default"/>
        <w:lang w:val="zh-CN" w:eastAsia="zh-CN" w:bidi="zh-CN"/>
      </w:rPr>
    </w:lvl>
  </w:abstractNum>
  <w:abstractNum w:abstractNumId="40">
    <w:multiLevelType w:val="hybridMultilevel"/>
    <w:lvl w:ilvl="0">
      <w:start w:val="1"/>
      <w:numFmt w:val="decimal"/>
      <w:lvlText w:val="（%1）"/>
      <w:lvlJc w:val="left"/>
      <w:pPr>
        <w:ind w:left="220" w:hanging="527"/>
        <w:jc w:val="left"/>
      </w:pPr>
      <w:rPr>
        <w:rFonts w:hint="default" w:ascii="宋体" w:hAnsi="宋体" w:eastAsia="宋体" w:cs="宋体"/>
        <w:spacing w:val="-104"/>
        <w:w w:val="100"/>
        <w:sz w:val="19"/>
        <w:szCs w:val="19"/>
        <w:lang w:val="zh-CN" w:eastAsia="zh-CN" w:bidi="zh-CN"/>
      </w:rPr>
    </w:lvl>
    <w:lvl w:ilvl="1">
      <w:start w:val="0"/>
      <w:numFmt w:val="bullet"/>
      <w:lvlText w:val="•"/>
      <w:lvlJc w:val="left"/>
      <w:pPr>
        <w:ind w:left="1138" w:hanging="527"/>
      </w:pPr>
      <w:rPr>
        <w:rFonts w:hint="default"/>
        <w:lang w:val="zh-CN" w:eastAsia="zh-CN" w:bidi="zh-CN"/>
      </w:rPr>
    </w:lvl>
    <w:lvl w:ilvl="2">
      <w:start w:val="0"/>
      <w:numFmt w:val="bullet"/>
      <w:lvlText w:val="•"/>
      <w:lvlJc w:val="left"/>
      <w:pPr>
        <w:ind w:left="2057" w:hanging="527"/>
      </w:pPr>
      <w:rPr>
        <w:rFonts w:hint="default"/>
        <w:lang w:val="zh-CN" w:eastAsia="zh-CN" w:bidi="zh-CN"/>
      </w:rPr>
    </w:lvl>
    <w:lvl w:ilvl="3">
      <w:start w:val="0"/>
      <w:numFmt w:val="bullet"/>
      <w:lvlText w:val="•"/>
      <w:lvlJc w:val="left"/>
      <w:pPr>
        <w:ind w:left="2975" w:hanging="527"/>
      </w:pPr>
      <w:rPr>
        <w:rFonts w:hint="default"/>
        <w:lang w:val="zh-CN" w:eastAsia="zh-CN" w:bidi="zh-CN"/>
      </w:rPr>
    </w:lvl>
    <w:lvl w:ilvl="4">
      <w:start w:val="0"/>
      <w:numFmt w:val="bullet"/>
      <w:lvlText w:val="•"/>
      <w:lvlJc w:val="left"/>
      <w:pPr>
        <w:ind w:left="3894" w:hanging="527"/>
      </w:pPr>
      <w:rPr>
        <w:rFonts w:hint="default"/>
        <w:lang w:val="zh-CN" w:eastAsia="zh-CN" w:bidi="zh-CN"/>
      </w:rPr>
    </w:lvl>
    <w:lvl w:ilvl="5">
      <w:start w:val="0"/>
      <w:numFmt w:val="bullet"/>
      <w:lvlText w:val="•"/>
      <w:lvlJc w:val="left"/>
      <w:pPr>
        <w:ind w:left="4813" w:hanging="527"/>
      </w:pPr>
      <w:rPr>
        <w:rFonts w:hint="default"/>
        <w:lang w:val="zh-CN" w:eastAsia="zh-CN" w:bidi="zh-CN"/>
      </w:rPr>
    </w:lvl>
    <w:lvl w:ilvl="6">
      <w:start w:val="0"/>
      <w:numFmt w:val="bullet"/>
      <w:lvlText w:val="•"/>
      <w:lvlJc w:val="left"/>
      <w:pPr>
        <w:ind w:left="5731" w:hanging="527"/>
      </w:pPr>
      <w:rPr>
        <w:rFonts w:hint="default"/>
        <w:lang w:val="zh-CN" w:eastAsia="zh-CN" w:bidi="zh-CN"/>
      </w:rPr>
    </w:lvl>
    <w:lvl w:ilvl="7">
      <w:start w:val="0"/>
      <w:numFmt w:val="bullet"/>
      <w:lvlText w:val="•"/>
      <w:lvlJc w:val="left"/>
      <w:pPr>
        <w:ind w:left="6650" w:hanging="527"/>
      </w:pPr>
      <w:rPr>
        <w:rFonts w:hint="default"/>
        <w:lang w:val="zh-CN" w:eastAsia="zh-CN" w:bidi="zh-CN"/>
      </w:rPr>
    </w:lvl>
    <w:lvl w:ilvl="8">
      <w:start w:val="0"/>
      <w:numFmt w:val="bullet"/>
      <w:lvlText w:val="•"/>
      <w:lvlJc w:val="left"/>
      <w:pPr>
        <w:ind w:left="7569" w:hanging="527"/>
      </w:pPr>
      <w:rPr>
        <w:rFonts w:hint="default"/>
        <w:lang w:val="zh-CN" w:eastAsia="zh-CN" w:bidi="zh-CN"/>
      </w:rPr>
    </w:lvl>
  </w:abstractNum>
  <w:abstractNum w:abstractNumId="39">
    <w:multiLevelType w:val="hybridMultilevel"/>
    <w:lvl w:ilvl="0">
      <w:start w:val="1"/>
      <w:numFmt w:val="decimal"/>
      <w:lvlText w:val="（%1）"/>
      <w:lvlJc w:val="left"/>
      <w:pPr>
        <w:ind w:left="1169" w:hanging="529"/>
        <w:jc w:val="left"/>
      </w:pPr>
      <w:rPr>
        <w:rFonts w:hint="default" w:ascii="宋体" w:hAnsi="宋体" w:eastAsia="宋体" w:cs="宋体"/>
        <w:spacing w:val="-53"/>
        <w:w w:val="100"/>
        <w:sz w:val="19"/>
        <w:szCs w:val="19"/>
        <w:lang w:val="zh-CN" w:eastAsia="zh-CN" w:bidi="zh-CN"/>
      </w:rPr>
    </w:lvl>
    <w:lvl w:ilvl="1">
      <w:start w:val="0"/>
      <w:numFmt w:val="bullet"/>
      <w:lvlText w:val="•"/>
      <w:lvlJc w:val="left"/>
      <w:pPr>
        <w:ind w:left="1984" w:hanging="529"/>
      </w:pPr>
      <w:rPr>
        <w:rFonts w:hint="default"/>
        <w:lang w:val="zh-CN" w:eastAsia="zh-CN" w:bidi="zh-CN"/>
      </w:rPr>
    </w:lvl>
    <w:lvl w:ilvl="2">
      <w:start w:val="0"/>
      <w:numFmt w:val="bullet"/>
      <w:lvlText w:val="•"/>
      <w:lvlJc w:val="left"/>
      <w:pPr>
        <w:ind w:left="2809" w:hanging="529"/>
      </w:pPr>
      <w:rPr>
        <w:rFonts w:hint="default"/>
        <w:lang w:val="zh-CN" w:eastAsia="zh-CN" w:bidi="zh-CN"/>
      </w:rPr>
    </w:lvl>
    <w:lvl w:ilvl="3">
      <w:start w:val="0"/>
      <w:numFmt w:val="bullet"/>
      <w:lvlText w:val="•"/>
      <w:lvlJc w:val="left"/>
      <w:pPr>
        <w:ind w:left="3633" w:hanging="529"/>
      </w:pPr>
      <w:rPr>
        <w:rFonts w:hint="default"/>
        <w:lang w:val="zh-CN" w:eastAsia="zh-CN" w:bidi="zh-CN"/>
      </w:rPr>
    </w:lvl>
    <w:lvl w:ilvl="4">
      <w:start w:val="0"/>
      <w:numFmt w:val="bullet"/>
      <w:lvlText w:val="•"/>
      <w:lvlJc w:val="left"/>
      <w:pPr>
        <w:ind w:left="4458" w:hanging="529"/>
      </w:pPr>
      <w:rPr>
        <w:rFonts w:hint="default"/>
        <w:lang w:val="zh-CN" w:eastAsia="zh-CN" w:bidi="zh-CN"/>
      </w:rPr>
    </w:lvl>
    <w:lvl w:ilvl="5">
      <w:start w:val="0"/>
      <w:numFmt w:val="bullet"/>
      <w:lvlText w:val="•"/>
      <w:lvlJc w:val="left"/>
      <w:pPr>
        <w:ind w:left="5283" w:hanging="529"/>
      </w:pPr>
      <w:rPr>
        <w:rFonts w:hint="default"/>
        <w:lang w:val="zh-CN" w:eastAsia="zh-CN" w:bidi="zh-CN"/>
      </w:rPr>
    </w:lvl>
    <w:lvl w:ilvl="6">
      <w:start w:val="0"/>
      <w:numFmt w:val="bullet"/>
      <w:lvlText w:val="•"/>
      <w:lvlJc w:val="left"/>
      <w:pPr>
        <w:ind w:left="6107" w:hanging="529"/>
      </w:pPr>
      <w:rPr>
        <w:rFonts w:hint="default"/>
        <w:lang w:val="zh-CN" w:eastAsia="zh-CN" w:bidi="zh-CN"/>
      </w:rPr>
    </w:lvl>
    <w:lvl w:ilvl="7">
      <w:start w:val="0"/>
      <w:numFmt w:val="bullet"/>
      <w:lvlText w:val="•"/>
      <w:lvlJc w:val="left"/>
      <w:pPr>
        <w:ind w:left="6932" w:hanging="529"/>
      </w:pPr>
      <w:rPr>
        <w:rFonts w:hint="default"/>
        <w:lang w:val="zh-CN" w:eastAsia="zh-CN" w:bidi="zh-CN"/>
      </w:rPr>
    </w:lvl>
    <w:lvl w:ilvl="8">
      <w:start w:val="0"/>
      <w:numFmt w:val="bullet"/>
      <w:lvlText w:val="•"/>
      <w:lvlJc w:val="left"/>
      <w:pPr>
        <w:ind w:left="7757" w:hanging="529"/>
      </w:pPr>
      <w:rPr>
        <w:rFonts w:hint="default"/>
        <w:lang w:val="zh-CN" w:eastAsia="zh-CN" w:bidi="zh-CN"/>
      </w:rPr>
    </w:lvl>
  </w:abstractNum>
  <w:abstractNum w:abstractNumId="38">
    <w:multiLevelType w:val="hybridMultilevel"/>
    <w:lvl w:ilvl="0">
      <w:start w:val="1"/>
      <w:numFmt w:val="decimal"/>
      <w:lvlText w:val="（%1）"/>
      <w:lvlJc w:val="left"/>
      <w:pPr>
        <w:ind w:left="116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984" w:hanging="529"/>
      </w:pPr>
      <w:rPr>
        <w:rFonts w:hint="default"/>
        <w:lang w:val="zh-CN" w:eastAsia="zh-CN" w:bidi="zh-CN"/>
      </w:rPr>
    </w:lvl>
    <w:lvl w:ilvl="2">
      <w:start w:val="0"/>
      <w:numFmt w:val="bullet"/>
      <w:lvlText w:val="•"/>
      <w:lvlJc w:val="left"/>
      <w:pPr>
        <w:ind w:left="2809" w:hanging="529"/>
      </w:pPr>
      <w:rPr>
        <w:rFonts w:hint="default"/>
        <w:lang w:val="zh-CN" w:eastAsia="zh-CN" w:bidi="zh-CN"/>
      </w:rPr>
    </w:lvl>
    <w:lvl w:ilvl="3">
      <w:start w:val="0"/>
      <w:numFmt w:val="bullet"/>
      <w:lvlText w:val="•"/>
      <w:lvlJc w:val="left"/>
      <w:pPr>
        <w:ind w:left="3633" w:hanging="529"/>
      </w:pPr>
      <w:rPr>
        <w:rFonts w:hint="default"/>
        <w:lang w:val="zh-CN" w:eastAsia="zh-CN" w:bidi="zh-CN"/>
      </w:rPr>
    </w:lvl>
    <w:lvl w:ilvl="4">
      <w:start w:val="0"/>
      <w:numFmt w:val="bullet"/>
      <w:lvlText w:val="•"/>
      <w:lvlJc w:val="left"/>
      <w:pPr>
        <w:ind w:left="4458" w:hanging="529"/>
      </w:pPr>
      <w:rPr>
        <w:rFonts w:hint="default"/>
        <w:lang w:val="zh-CN" w:eastAsia="zh-CN" w:bidi="zh-CN"/>
      </w:rPr>
    </w:lvl>
    <w:lvl w:ilvl="5">
      <w:start w:val="0"/>
      <w:numFmt w:val="bullet"/>
      <w:lvlText w:val="•"/>
      <w:lvlJc w:val="left"/>
      <w:pPr>
        <w:ind w:left="5283" w:hanging="529"/>
      </w:pPr>
      <w:rPr>
        <w:rFonts w:hint="default"/>
        <w:lang w:val="zh-CN" w:eastAsia="zh-CN" w:bidi="zh-CN"/>
      </w:rPr>
    </w:lvl>
    <w:lvl w:ilvl="6">
      <w:start w:val="0"/>
      <w:numFmt w:val="bullet"/>
      <w:lvlText w:val="•"/>
      <w:lvlJc w:val="left"/>
      <w:pPr>
        <w:ind w:left="6107" w:hanging="529"/>
      </w:pPr>
      <w:rPr>
        <w:rFonts w:hint="default"/>
        <w:lang w:val="zh-CN" w:eastAsia="zh-CN" w:bidi="zh-CN"/>
      </w:rPr>
    </w:lvl>
    <w:lvl w:ilvl="7">
      <w:start w:val="0"/>
      <w:numFmt w:val="bullet"/>
      <w:lvlText w:val="•"/>
      <w:lvlJc w:val="left"/>
      <w:pPr>
        <w:ind w:left="6932" w:hanging="529"/>
      </w:pPr>
      <w:rPr>
        <w:rFonts w:hint="default"/>
        <w:lang w:val="zh-CN" w:eastAsia="zh-CN" w:bidi="zh-CN"/>
      </w:rPr>
    </w:lvl>
    <w:lvl w:ilvl="8">
      <w:start w:val="0"/>
      <w:numFmt w:val="bullet"/>
      <w:lvlText w:val="•"/>
      <w:lvlJc w:val="left"/>
      <w:pPr>
        <w:ind w:left="7757" w:hanging="529"/>
      </w:pPr>
      <w:rPr>
        <w:rFonts w:hint="default"/>
        <w:lang w:val="zh-CN" w:eastAsia="zh-CN" w:bidi="zh-CN"/>
      </w:rPr>
    </w:lvl>
  </w:abstractNum>
  <w:abstractNum w:abstractNumId="37">
    <w:multiLevelType w:val="hybridMultilevel"/>
    <w:lvl w:ilvl="0">
      <w:start w:val="1"/>
      <w:numFmt w:val="decimal"/>
      <w:lvlText w:val="（%1）"/>
      <w:lvlJc w:val="left"/>
      <w:pPr>
        <w:ind w:left="1167" w:hanging="527"/>
        <w:jc w:val="left"/>
      </w:pPr>
      <w:rPr>
        <w:rFonts w:hint="default" w:ascii="宋体" w:hAnsi="宋体" w:eastAsia="宋体" w:cs="宋体"/>
        <w:spacing w:val="-34"/>
        <w:w w:val="100"/>
        <w:sz w:val="19"/>
        <w:szCs w:val="19"/>
        <w:lang w:val="zh-CN" w:eastAsia="zh-CN" w:bidi="zh-CN"/>
      </w:rPr>
    </w:lvl>
    <w:lvl w:ilvl="1">
      <w:start w:val="0"/>
      <w:numFmt w:val="bullet"/>
      <w:lvlText w:val="•"/>
      <w:lvlJc w:val="left"/>
      <w:pPr>
        <w:ind w:left="1984" w:hanging="527"/>
      </w:pPr>
      <w:rPr>
        <w:rFonts w:hint="default"/>
        <w:lang w:val="zh-CN" w:eastAsia="zh-CN" w:bidi="zh-CN"/>
      </w:rPr>
    </w:lvl>
    <w:lvl w:ilvl="2">
      <w:start w:val="0"/>
      <w:numFmt w:val="bullet"/>
      <w:lvlText w:val="•"/>
      <w:lvlJc w:val="left"/>
      <w:pPr>
        <w:ind w:left="2809" w:hanging="527"/>
      </w:pPr>
      <w:rPr>
        <w:rFonts w:hint="default"/>
        <w:lang w:val="zh-CN" w:eastAsia="zh-CN" w:bidi="zh-CN"/>
      </w:rPr>
    </w:lvl>
    <w:lvl w:ilvl="3">
      <w:start w:val="0"/>
      <w:numFmt w:val="bullet"/>
      <w:lvlText w:val="•"/>
      <w:lvlJc w:val="left"/>
      <w:pPr>
        <w:ind w:left="3633" w:hanging="527"/>
      </w:pPr>
      <w:rPr>
        <w:rFonts w:hint="default"/>
        <w:lang w:val="zh-CN" w:eastAsia="zh-CN" w:bidi="zh-CN"/>
      </w:rPr>
    </w:lvl>
    <w:lvl w:ilvl="4">
      <w:start w:val="0"/>
      <w:numFmt w:val="bullet"/>
      <w:lvlText w:val="•"/>
      <w:lvlJc w:val="left"/>
      <w:pPr>
        <w:ind w:left="4458" w:hanging="527"/>
      </w:pPr>
      <w:rPr>
        <w:rFonts w:hint="default"/>
        <w:lang w:val="zh-CN" w:eastAsia="zh-CN" w:bidi="zh-CN"/>
      </w:rPr>
    </w:lvl>
    <w:lvl w:ilvl="5">
      <w:start w:val="0"/>
      <w:numFmt w:val="bullet"/>
      <w:lvlText w:val="•"/>
      <w:lvlJc w:val="left"/>
      <w:pPr>
        <w:ind w:left="5283" w:hanging="527"/>
      </w:pPr>
      <w:rPr>
        <w:rFonts w:hint="default"/>
        <w:lang w:val="zh-CN" w:eastAsia="zh-CN" w:bidi="zh-CN"/>
      </w:rPr>
    </w:lvl>
    <w:lvl w:ilvl="6">
      <w:start w:val="0"/>
      <w:numFmt w:val="bullet"/>
      <w:lvlText w:val="•"/>
      <w:lvlJc w:val="left"/>
      <w:pPr>
        <w:ind w:left="6107" w:hanging="527"/>
      </w:pPr>
      <w:rPr>
        <w:rFonts w:hint="default"/>
        <w:lang w:val="zh-CN" w:eastAsia="zh-CN" w:bidi="zh-CN"/>
      </w:rPr>
    </w:lvl>
    <w:lvl w:ilvl="7">
      <w:start w:val="0"/>
      <w:numFmt w:val="bullet"/>
      <w:lvlText w:val="•"/>
      <w:lvlJc w:val="left"/>
      <w:pPr>
        <w:ind w:left="6932" w:hanging="527"/>
      </w:pPr>
      <w:rPr>
        <w:rFonts w:hint="default"/>
        <w:lang w:val="zh-CN" w:eastAsia="zh-CN" w:bidi="zh-CN"/>
      </w:rPr>
    </w:lvl>
    <w:lvl w:ilvl="8">
      <w:start w:val="0"/>
      <w:numFmt w:val="bullet"/>
      <w:lvlText w:val="•"/>
      <w:lvlJc w:val="left"/>
      <w:pPr>
        <w:ind w:left="7757" w:hanging="527"/>
      </w:pPr>
      <w:rPr>
        <w:rFonts w:hint="default"/>
        <w:lang w:val="zh-CN" w:eastAsia="zh-CN" w:bidi="zh-CN"/>
      </w:rPr>
    </w:lvl>
  </w:abstractNum>
  <w:abstractNum w:abstractNumId="36">
    <w:multiLevelType w:val="hybridMultilevel"/>
    <w:lvl w:ilvl="0">
      <w:start w:val="1"/>
      <w:numFmt w:val="decimal"/>
      <w:lvlText w:val="（%1）"/>
      <w:lvlJc w:val="left"/>
      <w:pPr>
        <w:ind w:left="116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984" w:hanging="529"/>
      </w:pPr>
      <w:rPr>
        <w:rFonts w:hint="default"/>
        <w:lang w:val="zh-CN" w:eastAsia="zh-CN" w:bidi="zh-CN"/>
      </w:rPr>
    </w:lvl>
    <w:lvl w:ilvl="2">
      <w:start w:val="0"/>
      <w:numFmt w:val="bullet"/>
      <w:lvlText w:val="•"/>
      <w:lvlJc w:val="left"/>
      <w:pPr>
        <w:ind w:left="2809" w:hanging="529"/>
      </w:pPr>
      <w:rPr>
        <w:rFonts w:hint="default"/>
        <w:lang w:val="zh-CN" w:eastAsia="zh-CN" w:bidi="zh-CN"/>
      </w:rPr>
    </w:lvl>
    <w:lvl w:ilvl="3">
      <w:start w:val="0"/>
      <w:numFmt w:val="bullet"/>
      <w:lvlText w:val="•"/>
      <w:lvlJc w:val="left"/>
      <w:pPr>
        <w:ind w:left="3633" w:hanging="529"/>
      </w:pPr>
      <w:rPr>
        <w:rFonts w:hint="default"/>
        <w:lang w:val="zh-CN" w:eastAsia="zh-CN" w:bidi="zh-CN"/>
      </w:rPr>
    </w:lvl>
    <w:lvl w:ilvl="4">
      <w:start w:val="0"/>
      <w:numFmt w:val="bullet"/>
      <w:lvlText w:val="•"/>
      <w:lvlJc w:val="left"/>
      <w:pPr>
        <w:ind w:left="4458" w:hanging="529"/>
      </w:pPr>
      <w:rPr>
        <w:rFonts w:hint="default"/>
        <w:lang w:val="zh-CN" w:eastAsia="zh-CN" w:bidi="zh-CN"/>
      </w:rPr>
    </w:lvl>
    <w:lvl w:ilvl="5">
      <w:start w:val="0"/>
      <w:numFmt w:val="bullet"/>
      <w:lvlText w:val="•"/>
      <w:lvlJc w:val="left"/>
      <w:pPr>
        <w:ind w:left="5283" w:hanging="529"/>
      </w:pPr>
      <w:rPr>
        <w:rFonts w:hint="default"/>
        <w:lang w:val="zh-CN" w:eastAsia="zh-CN" w:bidi="zh-CN"/>
      </w:rPr>
    </w:lvl>
    <w:lvl w:ilvl="6">
      <w:start w:val="0"/>
      <w:numFmt w:val="bullet"/>
      <w:lvlText w:val="•"/>
      <w:lvlJc w:val="left"/>
      <w:pPr>
        <w:ind w:left="6107" w:hanging="529"/>
      </w:pPr>
      <w:rPr>
        <w:rFonts w:hint="default"/>
        <w:lang w:val="zh-CN" w:eastAsia="zh-CN" w:bidi="zh-CN"/>
      </w:rPr>
    </w:lvl>
    <w:lvl w:ilvl="7">
      <w:start w:val="0"/>
      <w:numFmt w:val="bullet"/>
      <w:lvlText w:val="•"/>
      <w:lvlJc w:val="left"/>
      <w:pPr>
        <w:ind w:left="6932" w:hanging="529"/>
      </w:pPr>
      <w:rPr>
        <w:rFonts w:hint="default"/>
        <w:lang w:val="zh-CN" w:eastAsia="zh-CN" w:bidi="zh-CN"/>
      </w:rPr>
    </w:lvl>
    <w:lvl w:ilvl="8">
      <w:start w:val="0"/>
      <w:numFmt w:val="bullet"/>
      <w:lvlText w:val="•"/>
      <w:lvlJc w:val="left"/>
      <w:pPr>
        <w:ind w:left="7757" w:hanging="529"/>
      </w:pPr>
      <w:rPr>
        <w:rFonts w:hint="default"/>
        <w:lang w:val="zh-CN" w:eastAsia="zh-CN" w:bidi="zh-CN"/>
      </w:rPr>
    </w:lvl>
  </w:abstractNum>
  <w:abstractNum w:abstractNumId="35">
    <w:multiLevelType w:val="hybridMultilevel"/>
    <w:lvl w:ilvl="0">
      <w:start w:val="1"/>
      <w:numFmt w:val="decimal"/>
      <w:lvlText w:val="（%1）"/>
      <w:lvlJc w:val="left"/>
      <w:pPr>
        <w:ind w:left="116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984" w:hanging="529"/>
      </w:pPr>
      <w:rPr>
        <w:rFonts w:hint="default"/>
        <w:lang w:val="zh-CN" w:eastAsia="zh-CN" w:bidi="zh-CN"/>
      </w:rPr>
    </w:lvl>
    <w:lvl w:ilvl="2">
      <w:start w:val="0"/>
      <w:numFmt w:val="bullet"/>
      <w:lvlText w:val="•"/>
      <w:lvlJc w:val="left"/>
      <w:pPr>
        <w:ind w:left="2809" w:hanging="529"/>
      </w:pPr>
      <w:rPr>
        <w:rFonts w:hint="default"/>
        <w:lang w:val="zh-CN" w:eastAsia="zh-CN" w:bidi="zh-CN"/>
      </w:rPr>
    </w:lvl>
    <w:lvl w:ilvl="3">
      <w:start w:val="0"/>
      <w:numFmt w:val="bullet"/>
      <w:lvlText w:val="•"/>
      <w:lvlJc w:val="left"/>
      <w:pPr>
        <w:ind w:left="3633" w:hanging="529"/>
      </w:pPr>
      <w:rPr>
        <w:rFonts w:hint="default"/>
        <w:lang w:val="zh-CN" w:eastAsia="zh-CN" w:bidi="zh-CN"/>
      </w:rPr>
    </w:lvl>
    <w:lvl w:ilvl="4">
      <w:start w:val="0"/>
      <w:numFmt w:val="bullet"/>
      <w:lvlText w:val="•"/>
      <w:lvlJc w:val="left"/>
      <w:pPr>
        <w:ind w:left="4458" w:hanging="529"/>
      </w:pPr>
      <w:rPr>
        <w:rFonts w:hint="default"/>
        <w:lang w:val="zh-CN" w:eastAsia="zh-CN" w:bidi="zh-CN"/>
      </w:rPr>
    </w:lvl>
    <w:lvl w:ilvl="5">
      <w:start w:val="0"/>
      <w:numFmt w:val="bullet"/>
      <w:lvlText w:val="•"/>
      <w:lvlJc w:val="left"/>
      <w:pPr>
        <w:ind w:left="5283" w:hanging="529"/>
      </w:pPr>
      <w:rPr>
        <w:rFonts w:hint="default"/>
        <w:lang w:val="zh-CN" w:eastAsia="zh-CN" w:bidi="zh-CN"/>
      </w:rPr>
    </w:lvl>
    <w:lvl w:ilvl="6">
      <w:start w:val="0"/>
      <w:numFmt w:val="bullet"/>
      <w:lvlText w:val="•"/>
      <w:lvlJc w:val="left"/>
      <w:pPr>
        <w:ind w:left="6107" w:hanging="529"/>
      </w:pPr>
      <w:rPr>
        <w:rFonts w:hint="default"/>
        <w:lang w:val="zh-CN" w:eastAsia="zh-CN" w:bidi="zh-CN"/>
      </w:rPr>
    </w:lvl>
    <w:lvl w:ilvl="7">
      <w:start w:val="0"/>
      <w:numFmt w:val="bullet"/>
      <w:lvlText w:val="•"/>
      <w:lvlJc w:val="left"/>
      <w:pPr>
        <w:ind w:left="6932" w:hanging="529"/>
      </w:pPr>
      <w:rPr>
        <w:rFonts w:hint="default"/>
        <w:lang w:val="zh-CN" w:eastAsia="zh-CN" w:bidi="zh-CN"/>
      </w:rPr>
    </w:lvl>
    <w:lvl w:ilvl="8">
      <w:start w:val="0"/>
      <w:numFmt w:val="bullet"/>
      <w:lvlText w:val="•"/>
      <w:lvlJc w:val="left"/>
      <w:pPr>
        <w:ind w:left="7757" w:hanging="529"/>
      </w:pPr>
      <w:rPr>
        <w:rFonts w:hint="default"/>
        <w:lang w:val="zh-CN" w:eastAsia="zh-CN" w:bidi="zh-CN"/>
      </w:rPr>
    </w:lvl>
  </w:abstractNum>
  <w:abstractNum w:abstractNumId="34">
    <w:multiLevelType w:val="hybridMultilevel"/>
    <w:lvl w:ilvl="0">
      <w:start w:val="1"/>
      <w:numFmt w:val="decimal"/>
      <w:lvlText w:val="（%1）"/>
      <w:lvlJc w:val="left"/>
      <w:pPr>
        <w:ind w:left="220" w:hanging="527"/>
        <w:jc w:val="left"/>
      </w:pPr>
      <w:rPr>
        <w:rFonts w:hint="default" w:ascii="宋体" w:hAnsi="宋体" w:eastAsia="宋体" w:cs="宋体"/>
        <w:spacing w:val="-34"/>
        <w:w w:val="100"/>
        <w:sz w:val="19"/>
        <w:szCs w:val="19"/>
        <w:lang w:val="zh-CN" w:eastAsia="zh-CN" w:bidi="zh-CN"/>
      </w:rPr>
    </w:lvl>
    <w:lvl w:ilvl="1">
      <w:start w:val="0"/>
      <w:numFmt w:val="bullet"/>
      <w:lvlText w:val="•"/>
      <w:lvlJc w:val="left"/>
      <w:pPr>
        <w:ind w:left="1138" w:hanging="527"/>
      </w:pPr>
      <w:rPr>
        <w:rFonts w:hint="default"/>
        <w:lang w:val="zh-CN" w:eastAsia="zh-CN" w:bidi="zh-CN"/>
      </w:rPr>
    </w:lvl>
    <w:lvl w:ilvl="2">
      <w:start w:val="0"/>
      <w:numFmt w:val="bullet"/>
      <w:lvlText w:val="•"/>
      <w:lvlJc w:val="left"/>
      <w:pPr>
        <w:ind w:left="2057" w:hanging="527"/>
      </w:pPr>
      <w:rPr>
        <w:rFonts w:hint="default"/>
        <w:lang w:val="zh-CN" w:eastAsia="zh-CN" w:bidi="zh-CN"/>
      </w:rPr>
    </w:lvl>
    <w:lvl w:ilvl="3">
      <w:start w:val="0"/>
      <w:numFmt w:val="bullet"/>
      <w:lvlText w:val="•"/>
      <w:lvlJc w:val="left"/>
      <w:pPr>
        <w:ind w:left="2975" w:hanging="527"/>
      </w:pPr>
      <w:rPr>
        <w:rFonts w:hint="default"/>
        <w:lang w:val="zh-CN" w:eastAsia="zh-CN" w:bidi="zh-CN"/>
      </w:rPr>
    </w:lvl>
    <w:lvl w:ilvl="4">
      <w:start w:val="0"/>
      <w:numFmt w:val="bullet"/>
      <w:lvlText w:val="•"/>
      <w:lvlJc w:val="left"/>
      <w:pPr>
        <w:ind w:left="3894" w:hanging="527"/>
      </w:pPr>
      <w:rPr>
        <w:rFonts w:hint="default"/>
        <w:lang w:val="zh-CN" w:eastAsia="zh-CN" w:bidi="zh-CN"/>
      </w:rPr>
    </w:lvl>
    <w:lvl w:ilvl="5">
      <w:start w:val="0"/>
      <w:numFmt w:val="bullet"/>
      <w:lvlText w:val="•"/>
      <w:lvlJc w:val="left"/>
      <w:pPr>
        <w:ind w:left="4813" w:hanging="527"/>
      </w:pPr>
      <w:rPr>
        <w:rFonts w:hint="default"/>
        <w:lang w:val="zh-CN" w:eastAsia="zh-CN" w:bidi="zh-CN"/>
      </w:rPr>
    </w:lvl>
    <w:lvl w:ilvl="6">
      <w:start w:val="0"/>
      <w:numFmt w:val="bullet"/>
      <w:lvlText w:val="•"/>
      <w:lvlJc w:val="left"/>
      <w:pPr>
        <w:ind w:left="5731" w:hanging="527"/>
      </w:pPr>
      <w:rPr>
        <w:rFonts w:hint="default"/>
        <w:lang w:val="zh-CN" w:eastAsia="zh-CN" w:bidi="zh-CN"/>
      </w:rPr>
    </w:lvl>
    <w:lvl w:ilvl="7">
      <w:start w:val="0"/>
      <w:numFmt w:val="bullet"/>
      <w:lvlText w:val="•"/>
      <w:lvlJc w:val="left"/>
      <w:pPr>
        <w:ind w:left="6650" w:hanging="527"/>
      </w:pPr>
      <w:rPr>
        <w:rFonts w:hint="default"/>
        <w:lang w:val="zh-CN" w:eastAsia="zh-CN" w:bidi="zh-CN"/>
      </w:rPr>
    </w:lvl>
    <w:lvl w:ilvl="8">
      <w:start w:val="0"/>
      <w:numFmt w:val="bullet"/>
      <w:lvlText w:val="•"/>
      <w:lvlJc w:val="left"/>
      <w:pPr>
        <w:ind w:left="7569" w:hanging="527"/>
      </w:pPr>
      <w:rPr>
        <w:rFonts w:hint="default"/>
        <w:lang w:val="zh-CN" w:eastAsia="zh-CN" w:bidi="zh-CN"/>
      </w:rPr>
    </w:lvl>
  </w:abstractNum>
  <w:abstractNum w:abstractNumId="33">
    <w:multiLevelType w:val="hybridMultilevel"/>
    <w:lvl w:ilvl="0">
      <w:start w:val="1"/>
      <w:numFmt w:val="decimal"/>
      <w:lvlText w:val="（%1）"/>
      <w:lvlJc w:val="left"/>
      <w:pPr>
        <w:ind w:left="116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984" w:hanging="529"/>
      </w:pPr>
      <w:rPr>
        <w:rFonts w:hint="default"/>
        <w:lang w:val="zh-CN" w:eastAsia="zh-CN" w:bidi="zh-CN"/>
      </w:rPr>
    </w:lvl>
    <w:lvl w:ilvl="2">
      <w:start w:val="0"/>
      <w:numFmt w:val="bullet"/>
      <w:lvlText w:val="•"/>
      <w:lvlJc w:val="left"/>
      <w:pPr>
        <w:ind w:left="2809" w:hanging="529"/>
      </w:pPr>
      <w:rPr>
        <w:rFonts w:hint="default"/>
        <w:lang w:val="zh-CN" w:eastAsia="zh-CN" w:bidi="zh-CN"/>
      </w:rPr>
    </w:lvl>
    <w:lvl w:ilvl="3">
      <w:start w:val="0"/>
      <w:numFmt w:val="bullet"/>
      <w:lvlText w:val="•"/>
      <w:lvlJc w:val="left"/>
      <w:pPr>
        <w:ind w:left="3633" w:hanging="529"/>
      </w:pPr>
      <w:rPr>
        <w:rFonts w:hint="default"/>
        <w:lang w:val="zh-CN" w:eastAsia="zh-CN" w:bidi="zh-CN"/>
      </w:rPr>
    </w:lvl>
    <w:lvl w:ilvl="4">
      <w:start w:val="0"/>
      <w:numFmt w:val="bullet"/>
      <w:lvlText w:val="•"/>
      <w:lvlJc w:val="left"/>
      <w:pPr>
        <w:ind w:left="4458" w:hanging="529"/>
      </w:pPr>
      <w:rPr>
        <w:rFonts w:hint="default"/>
        <w:lang w:val="zh-CN" w:eastAsia="zh-CN" w:bidi="zh-CN"/>
      </w:rPr>
    </w:lvl>
    <w:lvl w:ilvl="5">
      <w:start w:val="0"/>
      <w:numFmt w:val="bullet"/>
      <w:lvlText w:val="•"/>
      <w:lvlJc w:val="left"/>
      <w:pPr>
        <w:ind w:left="5283" w:hanging="529"/>
      </w:pPr>
      <w:rPr>
        <w:rFonts w:hint="default"/>
        <w:lang w:val="zh-CN" w:eastAsia="zh-CN" w:bidi="zh-CN"/>
      </w:rPr>
    </w:lvl>
    <w:lvl w:ilvl="6">
      <w:start w:val="0"/>
      <w:numFmt w:val="bullet"/>
      <w:lvlText w:val="•"/>
      <w:lvlJc w:val="left"/>
      <w:pPr>
        <w:ind w:left="6107" w:hanging="529"/>
      </w:pPr>
      <w:rPr>
        <w:rFonts w:hint="default"/>
        <w:lang w:val="zh-CN" w:eastAsia="zh-CN" w:bidi="zh-CN"/>
      </w:rPr>
    </w:lvl>
    <w:lvl w:ilvl="7">
      <w:start w:val="0"/>
      <w:numFmt w:val="bullet"/>
      <w:lvlText w:val="•"/>
      <w:lvlJc w:val="left"/>
      <w:pPr>
        <w:ind w:left="6932" w:hanging="529"/>
      </w:pPr>
      <w:rPr>
        <w:rFonts w:hint="default"/>
        <w:lang w:val="zh-CN" w:eastAsia="zh-CN" w:bidi="zh-CN"/>
      </w:rPr>
    </w:lvl>
    <w:lvl w:ilvl="8">
      <w:start w:val="0"/>
      <w:numFmt w:val="bullet"/>
      <w:lvlText w:val="•"/>
      <w:lvlJc w:val="left"/>
      <w:pPr>
        <w:ind w:left="7757" w:hanging="529"/>
      </w:pPr>
      <w:rPr>
        <w:rFonts w:hint="default"/>
        <w:lang w:val="zh-CN" w:eastAsia="zh-CN" w:bidi="zh-CN"/>
      </w:rPr>
    </w:lvl>
  </w:abstractNum>
  <w:abstractNum w:abstractNumId="32">
    <w:multiLevelType w:val="hybridMultilevel"/>
    <w:lvl w:ilvl="0">
      <w:start w:val="1"/>
      <w:numFmt w:val="decimal"/>
      <w:lvlText w:val="（%1）"/>
      <w:lvlJc w:val="left"/>
      <w:pPr>
        <w:ind w:left="220" w:hanging="529"/>
        <w:jc w:val="left"/>
      </w:pPr>
      <w:rPr>
        <w:rFonts w:hint="default" w:ascii="宋体" w:hAnsi="宋体" w:eastAsia="宋体" w:cs="宋体"/>
        <w:spacing w:val="-53"/>
        <w:w w:val="100"/>
        <w:sz w:val="19"/>
        <w:szCs w:val="19"/>
        <w:lang w:val="zh-CN" w:eastAsia="zh-CN" w:bidi="zh-CN"/>
      </w:rPr>
    </w:lvl>
    <w:lvl w:ilvl="1">
      <w:start w:val="0"/>
      <w:numFmt w:val="bullet"/>
      <w:lvlText w:val="•"/>
      <w:lvlJc w:val="left"/>
      <w:pPr>
        <w:ind w:left="1138" w:hanging="529"/>
      </w:pPr>
      <w:rPr>
        <w:rFonts w:hint="default"/>
        <w:lang w:val="zh-CN" w:eastAsia="zh-CN" w:bidi="zh-CN"/>
      </w:rPr>
    </w:lvl>
    <w:lvl w:ilvl="2">
      <w:start w:val="0"/>
      <w:numFmt w:val="bullet"/>
      <w:lvlText w:val="•"/>
      <w:lvlJc w:val="left"/>
      <w:pPr>
        <w:ind w:left="2057" w:hanging="529"/>
      </w:pPr>
      <w:rPr>
        <w:rFonts w:hint="default"/>
        <w:lang w:val="zh-CN" w:eastAsia="zh-CN" w:bidi="zh-CN"/>
      </w:rPr>
    </w:lvl>
    <w:lvl w:ilvl="3">
      <w:start w:val="0"/>
      <w:numFmt w:val="bullet"/>
      <w:lvlText w:val="•"/>
      <w:lvlJc w:val="left"/>
      <w:pPr>
        <w:ind w:left="2975" w:hanging="529"/>
      </w:pPr>
      <w:rPr>
        <w:rFonts w:hint="default"/>
        <w:lang w:val="zh-CN" w:eastAsia="zh-CN" w:bidi="zh-CN"/>
      </w:rPr>
    </w:lvl>
    <w:lvl w:ilvl="4">
      <w:start w:val="0"/>
      <w:numFmt w:val="bullet"/>
      <w:lvlText w:val="•"/>
      <w:lvlJc w:val="left"/>
      <w:pPr>
        <w:ind w:left="3894" w:hanging="529"/>
      </w:pPr>
      <w:rPr>
        <w:rFonts w:hint="default"/>
        <w:lang w:val="zh-CN" w:eastAsia="zh-CN" w:bidi="zh-CN"/>
      </w:rPr>
    </w:lvl>
    <w:lvl w:ilvl="5">
      <w:start w:val="0"/>
      <w:numFmt w:val="bullet"/>
      <w:lvlText w:val="•"/>
      <w:lvlJc w:val="left"/>
      <w:pPr>
        <w:ind w:left="4813" w:hanging="529"/>
      </w:pPr>
      <w:rPr>
        <w:rFonts w:hint="default"/>
        <w:lang w:val="zh-CN" w:eastAsia="zh-CN" w:bidi="zh-CN"/>
      </w:rPr>
    </w:lvl>
    <w:lvl w:ilvl="6">
      <w:start w:val="0"/>
      <w:numFmt w:val="bullet"/>
      <w:lvlText w:val="•"/>
      <w:lvlJc w:val="left"/>
      <w:pPr>
        <w:ind w:left="5731" w:hanging="529"/>
      </w:pPr>
      <w:rPr>
        <w:rFonts w:hint="default"/>
        <w:lang w:val="zh-CN" w:eastAsia="zh-CN" w:bidi="zh-CN"/>
      </w:rPr>
    </w:lvl>
    <w:lvl w:ilvl="7">
      <w:start w:val="0"/>
      <w:numFmt w:val="bullet"/>
      <w:lvlText w:val="•"/>
      <w:lvlJc w:val="left"/>
      <w:pPr>
        <w:ind w:left="6650" w:hanging="529"/>
      </w:pPr>
      <w:rPr>
        <w:rFonts w:hint="default"/>
        <w:lang w:val="zh-CN" w:eastAsia="zh-CN" w:bidi="zh-CN"/>
      </w:rPr>
    </w:lvl>
    <w:lvl w:ilvl="8">
      <w:start w:val="0"/>
      <w:numFmt w:val="bullet"/>
      <w:lvlText w:val="•"/>
      <w:lvlJc w:val="left"/>
      <w:pPr>
        <w:ind w:left="7569" w:hanging="529"/>
      </w:pPr>
      <w:rPr>
        <w:rFonts w:hint="default"/>
        <w:lang w:val="zh-CN" w:eastAsia="zh-CN" w:bidi="zh-CN"/>
      </w:rPr>
    </w:lvl>
  </w:abstractNum>
  <w:abstractNum w:abstractNumId="31">
    <w:multiLevelType w:val="hybridMultilevel"/>
    <w:lvl w:ilvl="0">
      <w:start w:val="1"/>
      <w:numFmt w:val="decimal"/>
      <w:lvlText w:val="（%1）"/>
      <w:lvlJc w:val="left"/>
      <w:pPr>
        <w:ind w:left="116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984" w:hanging="529"/>
      </w:pPr>
      <w:rPr>
        <w:rFonts w:hint="default"/>
        <w:lang w:val="zh-CN" w:eastAsia="zh-CN" w:bidi="zh-CN"/>
      </w:rPr>
    </w:lvl>
    <w:lvl w:ilvl="2">
      <w:start w:val="0"/>
      <w:numFmt w:val="bullet"/>
      <w:lvlText w:val="•"/>
      <w:lvlJc w:val="left"/>
      <w:pPr>
        <w:ind w:left="2809" w:hanging="529"/>
      </w:pPr>
      <w:rPr>
        <w:rFonts w:hint="default"/>
        <w:lang w:val="zh-CN" w:eastAsia="zh-CN" w:bidi="zh-CN"/>
      </w:rPr>
    </w:lvl>
    <w:lvl w:ilvl="3">
      <w:start w:val="0"/>
      <w:numFmt w:val="bullet"/>
      <w:lvlText w:val="•"/>
      <w:lvlJc w:val="left"/>
      <w:pPr>
        <w:ind w:left="3633" w:hanging="529"/>
      </w:pPr>
      <w:rPr>
        <w:rFonts w:hint="default"/>
        <w:lang w:val="zh-CN" w:eastAsia="zh-CN" w:bidi="zh-CN"/>
      </w:rPr>
    </w:lvl>
    <w:lvl w:ilvl="4">
      <w:start w:val="0"/>
      <w:numFmt w:val="bullet"/>
      <w:lvlText w:val="•"/>
      <w:lvlJc w:val="left"/>
      <w:pPr>
        <w:ind w:left="4458" w:hanging="529"/>
      </w:pPr>
      <w:rPr>
        <w:rFonts w:hint="default"/>
        <w:lang w:val="zh-CN" w:eastAsia="zh-CN" w:bidi="zh-CN"/>
      </w:rPr>
    </w:lvl>
    <w:lvl w:ilvl="5">
      <w:start w:val="0"/>
      <w:numFmt w:val="bullet"/>
      <w:lvlText w:val="•"/>
      <w:lvlJc w:val="left"/>
      <w:pPr>
        <w:ind w:left="5283" w:hanging="529"/>
      </w:pPr>
      <w:rPr>
        <w:rFonts w:hint="default"/>
        <w:lang w:val="zh-CN" w:eastAsia="zh-CN" w:bidi="zh-CN"/>
      </w:rPr>
    </w:lvl>
    <w:lvl w:ilvl="6">
      <w:start w:val="0"/>
      <w:numFmt w:val="bullet"/>
      <w:lvlText w:val="•"/>
      <w:lvlJc w:val="left"/>
      <w:pPr>
        <w:ind w:left="6107" w:hanging="529"/>
      </w:pPr>
      <w:rPr>
        <w:rFonts w:hint="default"/>
        <w:lang w:val="zh-CN" w:eastAsia="zh-CN" w:bidi="zh-CN"/>
      </w:rPr>
    </w:lvl>
    <w:lvl w:ilvl="7">
      <w:start w:val="0"/>
      <w:numFmt w:val="bullet"/>
      <w:lvlText w:val="•"/>
      <w:lvlJc w:val="left"/>
      <w:pPr>
        <w:ind w:left="6932" w:hanging="529"/>
      </w:pPr>
      <w:rPr>
        <w:rFonts w:hint="default"/>
        <w:lang w:val="zh-CN" w:eastAsia="zh-CN" w:bidi="zh-CN"/>
      </w:rPr>
    </w:lvl>
    <w:lvl w:ilvl="8">
      <w:start w:val="0"/>
      <w:numFmt w:val="bullet"/>
      <w:lvlText w:val="•"/>
      <w:lvlJc w:val="left"/>
      <w:pPr>
        <w:ind w:left="7757" w:hanging="529"/>
      </w:pPr>
      <w:rPr>
        <w:rFonts w:hint="default"/>
        <w:lang w:val="zh-CN" w:eastAsia="zh-CN" w:bidi="zh-CN"/>
      </w:rPr>
    </w:lvl>
  </w:abstractNum>
  <w:abstractNum w:abstractNumId="30">
    <w:multiLevelType w:val="hybridMultilevel"/>
    <w:lvl w:ilvl="0">
      <w:start w:val="1"/>
      <w:numFmt w:val="decimal"/>
      <w:lvlText w:val="（%1）"/>
      <w:lvlJc w:val="left"/>
      <w:pPr>
        <w:ind w:left="116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984" w:hanging="529"/>
      </w:pPr>
      <w:rPr>
        <w:rFonts w:hint="default"/>
        <w:lang w:val="zh-CN" w:eastAsia="zh-CN" w:bidi="zh-CN"/>
      </w:rPr>
    </w:lvl>
    <w:lvl w:ilvl="2">
      <w:start w:val="0"/>
      <w:numFmt w:val="bullet"/>
      <w:lvlText w:val="•"/>
      <w:lvlJc w:val="left"/>
      <w:pPr>
        <w:ind w:left="2809" w:hanging="529"/>
      </w:pPr>
      <w:rPr>
        <w:rFonts w:hint="default"/>
        <w:lang w:val="zh-CN" w:eastAsia="zh-CN" w:bidi="zh-CN"/>
      </w:rPr>
    </w:lvl>
    <w:lvl w:ilvl="3">
      <w:start w:val="0"/>
      <w:numFmt w:val="bullet"/>
      <w:lvlText w:val="•"/>
      <w:lvlJc w:val="left"/>
      <w:pPr>
        <w:ind w:left="3633" w:hanging="529"/>
      </w:pPr>
      <w:rPr>
        <w:rFonts w:hint="default"/>
        <w:lang w:val="zh-CN" w:eastAsia="zh-CN" w:bidi="zh-CN"/>
      </w:rPr>
    </w:lvl>
    <w:lvl w:ilvl="4">
      <w:start w:val="0"/>
      <w:numFmt w:val="bullet"/>
      <w:lvlText w:val="•"/>
      <w:lvlJc w:val="left"/>
      <w:pPr>
        <w:ind w:left="4458" w:hanging="529"/>
      </w:pPr>
      <w:rPr>
        <w:rFonts w:hint="default"/>
        <w:lang w:val="zh-CN" w:eastAsia="zh-CN" w:bidi="zh-CN"/>
      </w:rPr>
    </w:lvl>
    <w:lvl w:ilvl="5">
      <w:start w:val="0"/>
      <w:numFmt w:val="bullet"/>
      <w:lvlText w:val="•"/>
      <w:lvlJc w:val="left"/>
      <w:pPr>
        <w:ind w:left="5283" w:hanging="529"/>
      </w:pPr>
      <w:rPr>
        <w:rFonts w:hint="default"/>
        <w:lang w:val="zh-CN" w:eastAsia="zh-CN" w:bidi="zh-CN"/>
      </w:rPr>
    </w:lvl>
    <w:lvl w:ilvl="6">
      <w:start w:val="0"/>
      <w:numFmt w:val="bullet"/>
      <w:lvlText w:val="•"/>
      <w:lvlJc w:val="left"/>
      <w:pPr>
        <w:ind w:left="6107" w:hanging="529"/>
      </w:pPr>
      <w:rPr>
        <w:rFonts w:hint="default"/>
        <w:lang w:val="zh-CN" w:eastAsia="zh-CN" w:bidi="zh-CN"/>
      </w:rPr>
    </w:lvl>
    <w:lvl w:ilvl="7">
      <w:start w:val="0"/>
      <w:numFmt w:val="bullet"/>
      <w:lvlText w:val="•"/>
      <w:lvlJc w:val="left"/>
      <w:pPr>
        <w:ind w:left="6932" w:hanging="529"/>
      </w:pPr>
      <w:rPr>
        <w:rFonts w:hint="default"/>
        <w:lang w:val="zh-CN" w:eastAsia="zh-CN" w:bidi="zh-CN"/>
      </w:rPr>
    </w:lvl>
    <w:lvl w:ilvl="8">
      <w:start w:val="0"/>
      <w:numFmt w:val="bullet"/>
      <w:lvlText w:val="•"/>
      <w:lvlJc w:val="left"/>
      <w:pPr>
        <w:ind w:left="7757" w:hanging="529"/>
      </w:pPr>
      <w:rPr>
        <w:rFonts w:hint="default"/>
        <w:lang w:val="zh-CN" w:eastAsia="zh-CN" w:bidi="zh-CN"/>
      </w:rPr>
    </w:lvl>
  </w:abstractNum>
  <w:abstractNum w:abstractNumId="29">
    <w:multiLevelType w:val="hybridMultilevel"/>
    <w:lvl w:ilvl="0">
      <w:start w:val="1"/>
      <w:numFmt w:val="decimal"/>
      <w:lvlText w:val="（%1）"/>
      <w:lvlJc w:val="left"/>
      <w:pPr>
        <w:ind w:left="116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984" w:hanging="529"/>
      </w:pPr>
      <w:rPr>
        <w:rFonts w:hint="default"/>
        <w:lang w:val="zh-CN" w:eastAsia="zh-CN" w:bidi="zh-CN"/>
      </w:rPr>
    </w:lvl>
    <w:lvl w:ilvl="2">
      <w:start w:val="0"/>
      <w:numFmt w:val="bullet"/>
      <w:lvlText w:val="•"/>
      <w:lvlJc w:val="left"/>
      <w:pPr>
        <w:ind w:left="2809" w:hanging="529"/>
      </w:pPr>
      <w:rPr>
        <w:rFonts w:hint="default"/>
        <w:lang w:val="zh-CN" w:eastAsia="zh-CN" w:bidi="zh-CN"/>
      </w:rPr>
    </w:lvl>
    <w:lvl w:ilvl="3">
      <w:start w:val="0"/>
      <w:numFmt w:val="bullet"/>
      <w:lvlText w:val="•"/>
      <w:lvlJc w:val="left"/>
      <w:pPr>
        <w:ind w:left="3633" w:hanging="529"/>
      </w:pPr>
      <w:rPr>
        <w:rFonts w:hint="default"/>
        <w:lang w:val="zh-CN" w:eastAsia="zh-CN" w:bidi="zh-CN"/>
      </w:rPr>
    </w:lvl>
    <w:lvl w:ilvl="4">
      <w:start w:val="0"/>
      <w:numFmt w:val="bullet"/>
      <w:lvlText w:val="•"/>
      <w:lvlJc w:val="left"/>
      <w:pPr>
        <w:ind w:left="4458" w:hanging="529"/>
      </w:pPr>
      <w:rPr>
        <w:rFonts w:hint="default"/>
        <w:lang w:val="zh-CN" w:eastAsia="zh-CN" w:bidi="zh-CN"/>
      </w:rPr>
    </w:lvl>
    <w:lvl w:ilvl="5">
      <w:start w:val="0"/>
      <w:numFmt w:val="bullet"/>
      <w:lvlText w:val="•"/>
      <w:lvlJc w:val="left"/>
      <w:pPr>
        <w:ind w:left="5283" w:hanging="529"/>
      </w:pPr>
      <w:rPr>
        <w:rFonts w:hint="default"/>
        <w:lang w:val="zh-CN" w:eastAsia="zh-CN" w:bidi="zh-CN"/>
      </w:rPr>
    </w:lvl>
    <w:lvl w:ilvl="6">
      <w:start w:val="0"/>
      <w:numFmt w:val="bullet"/>
      <w:lvlText w:val="•"/>
      <w:lvlJc w:val="left"/>
      <w:pPr>
        <w:ind w:left="6107" w:hanging="529"/>
      </w:pPr>
      <w:rPr>
        <w:rFonts w:hint="default"/>
        <w:lang w:val="zh-CN" w:eastAsia="zh-CN" w:bidi="zh-CN"/>
      </w:rPr>
    </w:lvl>
    <w:lvl w:ilvl="7">
      <w:start w:val="0"/>
      <w:numFmt w:val="bullet"/>
      <w:lvlText w:val="•"/>
      <w:lvlJc w:val="left"/>
      <w:pPr>
        <w:ind w:left="6932" w:hanging="529"/>
      </w:pPr>
      <w:rPr>
        <w:rFonts w:hint="default"/>
        <w:lang w:val="zh-CN" w:eastAsia="zh-CN" w:bidi="zh-CN"/>
      </w:rPr>
    </w:lvl>
    <w:lvl w:ilvl="8">
      <w:start w:val="0"/>
      <w:numFmt w:val="bullet"/>
      <w:lvlText w:val="•"/>
      <w:lvlJc w:val="left"/>
      <w:pPr>
        <w:ind w:left="7757" w:hanging="529"/>
      </w:pPr>
      <w:rPr>
        <w:rFonts w:hint="default"/>
        <w:lang w:val="zh-CN" w:eastAsia="zh-CN" w:bidi="zh-CN"/>
      </w:rPr>
    </w:lvl>
  </w:abstractNum>
  <w:abstractNum w:abstractNumId="28">
    <w:multiLevelType w:val="hybridMultilevel"/>
    <w:lvl w:ilvl="0">
      <w:start w:val="1"/>
      <w:numFmt w:val="decimal"/>
      <w:lvlText w:val="（%1）"/>
      <w:lvlJc w:val="left"/>
      <w:pPr>
        <w:ind w:left="116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984" w:hanging="529"/>
      </w:pPr>
      <w:rPr>
        <w:rFonts w:hint="default"/>
        <w:lang w:val="zh-CN" w:eastAsia="zh-CN" w:bidi="zh-CN"/>
      </w:rPr>
    </w:lvl>
    <w:lvl w:ilvl="2">
      <w:start w:val="0"/>
      <w:numFmt w:val="bullet"/>
      <w:lvlText w:val="•"/>
      <w:lvlJc w:val="left"/>
      <w:pPr>
        <w:ind w:left="2809" w:hanging="529"/>
      </w:pPr>
      <w:rPr>
        <w:rFonts w:hint="default"/>
        <w:lang w:val="zh-CN" w:eastAsia="zh-CN" w:bidi="zh-CN"/>
      </w:rPr>
    </w:lvl>
    <w:lvl w:ilvl="3">
      <w:start w:val="0"/>
      <w:numFmt w:val="bullet"/>
      <w:lvlText w:val="•"/>
      <w:lvlJc w:val="left"/>
      <w:pPr>
        <w:ind w:left="3633" w:hanging="529"/>
      </w:pPr>
      <w:rPr>
        <w:rFonts w:hint="default"/>
        <w:lang w:val="zh-CN" w:eastAsia="zh-CN" w:bidi="zh-CN"/>
      </w:rPr>
    </w:lvl>
    <w:lvl w:ilvl="4">
      <w:start w:val="0"/>
      <w:numFmt w:val="bullet"/>
      <w:lvlText w:val="•"/>
      <w:lvlJc w:val="left"/>
      <w:pPr>
        <w:ind w:left="4458" w:hanging="529"/>
      </w:pPr>
      <w:rPr>
        <w:rFonts w:hint="default"/>
        <w:lang w:val="zh-CN" w:eastAsia="zh-CN" w:bidi="zh-CN"/>
      </w:rPr>
    </w:lvl>
    <w:lvl w:ilvl="5">
      <w:start w:val="0"/>
      <w:numFmt w:val="bullet"/>
      <w:lvlText w:val="•"/>
      <w:lvlJc w:val="left"/>
      <w:pPr>
        <w:ind w:left="5283" w:hanging="529"/>
      </w:pPr>
      <w:rPr>
        <w:rFonts w:hint="default"/>
        <w:lang w:val="zh-CN" w:eastAsia="zh-CN" w:bidi="zh-CN"/>
      </w:rPr>
    </w:lvl>
    <w:lvl w:ilvl="6">
      <w:start w:val="0"/>
      <w:numFmt w:val="bullet"/>
      <w:lvlText w:val="•"/>
      <w:lvlJc w:val="left"/>
      <w:pPr>
        <w:ind w:left="6107" w:hanging="529"/>
      </w:pPr>
      <w:rPr>
        <w:rFonts w:hint="default"/>
        <w:lang w:val="zh-CN" w:eastAsia="zh-CN" w:bidi="zh-CN"/>
      </w:rPr>
    </w:lvl>
    <w:lvl w:ilvl="7">
      <w:start w:val="0"/>
      <w:numFmt w:val="bullet"/>
      <w:lvlText w:val="•"/>
      <w:lvlJc w:val="left"/>
      <w:pPr>
        <w:ind w:left="6932" w:hanging="529"/>
      </w:pPr>
      <w:rPr>
        <w:rFonts w:hint="default"/>
        <w:lang w:val="zh-CN" w:eastAsia="zh-CN" w:bidi="zh-CN"/>
      </w:rPr>
    </w:lvl>
    <w:lvl w:ilvl="8">
      <w:start w:val="0"/>
      <w:numFmt w:val="bullet"/>
      <w:lvlText w:val="•"/>
      <w:lvlJc w:val="left"/>
      <w:pPr>
        <w:ind w:left="7757" w:hanging="529"/>
      </w:pPr>
      <w:rPr>
        <w:rFonts w:hint="default"/>
        <w:lang w:val="zh-CN" w:eastAsia="zh-CN" w:bidi="zh-CN"/>
      </w:rPr>
    </w:lvl>
  </w:abstractNum>
  <w:abstractNum w:abstractNumId="27">
    <w:multiLevelType w:val="hybridMultilevel"/>
    <w:lvl w:ilvl="0">
      <w:start w:val="1"/>
      <w:numFmt w:val="decimal"/>
      <w:lvlText w:val="（%1）"/>
      <w:lvlJc w:val="left"/>
      <w:pPr>
        <w:ind w:left="220" w:hanging="527"/>
        <w:jc w:val="left"/>
      </w:pPr>
      <w:rPr>
        <w:rFonts w:hint="default" w:ascii="宋体" w:hAnsi="宋体" w:eastAsia="宋体" w:cs="宋体"/>
        <w:spacing w:val="-104"/>
        <w:w w:val="100"/>
        <w:sz w:val="19"/>
        <w:szCs w:val="19"/>
        <w:lang w:val="zh-CN" w:eastAsia="zh-CN" w:bidi="zh-CN"/>
      </w:rPr>
    </w:lvl>
    <w:lvl w:ilvl="1">
      <w:start w:val="0"/>
      <w:numFmt w:val="bullet"/>
      <w:lvlText w:val="•"/>
      <w:lvlJc w:val="left"/>
      <w:pPr>
        <w:ind w:left="1138" w:hanging="527"/>
      </w:pPr>
      <w:rPr>
        <w:rFonts w:hint="default"/>
        <w:lang w:val="zh-CN" w:eastAsia="zh-CN" w:bidi="zh-CN"/>
      </w:rPr>
    </w:lvl>
    <w:lvl w:ilvl="2">
      <w:start w:val="0"/>
      <w:numFmt w:val="bullet"/>
      <w:lvlText w:val="•"/>
      <w:lvlJc w:val="left"/>
      <w:pPr>
        <w:ind w:left="2057" w:hanging="527"/>
      </w:pPr>
      <w:rPr>
        <w:rFonts w:hint="default"/>
        <w:lang w:val="zh-CN" w:eastAsia="zh-CN" w:bidi="zh-CN"/>
      </w:rPr>
    </w:lvl>
    <w:lvl w:ilvl="3">
      <w:start w:val="0"/>
      <w:numFmt w:val="bullet"/>
      <w:lvlText w:val="•"/>
      <w:lvlJc w:val="left"/>
      <w:pPr>
        <w:ind w:left="2975" w:hanging="527"/>
      </w:pPr>
      <w:rPr>
        <w:rFonts w:hint="default"/>
        <w:lang w:val="zh-CN" w:eastAsia="zh-CN" w:bidi="zh-CN"/>
      </w:rPr>
    </w:lvl>
    <w:lvl w:ilvl="4">
      <w:start w:val="0"/>
      <w:numFmt w:val="bullet"/>
      <w:lvlText w:val="•"/>
      <w:lvlJc w:val="left"/>
      <w:pPr>
        <w:ind w:left="3894" w:hanging="527"/>
      </w:pPr>
      <w:rPr>
        <w:rFonts w:hint="default"/>
        <w:lang w:val="zh-CN" w:eastAsia="zh-CN" w:bidi="zh-CN"/>
      </w:rPr>
    </w:lvl>
    <w:lvl w:ilvl="5">
      <w:start w:val="0"/>
      <w:numFmt w:val="bullet"/>
      <w:lvlText w:val="•"/>
      <w:lvlJc w:val="left"/>
      <w:pPr>
        <w:ind w:left="4813" w:hanging="527"/>
      </w:pPr>
      <w:rPr>
        <w:rFonts w:hint="default"/>
        <w:lang w:val="zh-CN" w:eastAsia="zh-CN" w:bidi="zh-CN"/>
      </w:rPr>
    </w:lvl>
    <w:lvl w:ilvl="6">
      <w:start w:val="0"/>
      <w:numFmt w:val="bullet"/>
      <w:lvlText w:val="•"/>
      <w:lvlJc w:val="left"/>
      <w:pPr>
        <w:ind w:left="5731" w:hanging="527"/>
      </w:pPr>
      <w:rPr>
        <w:rFonts w:hint="default"/>
        <w:lang w:val="zh-CN" w:eastAsia="zh-CN" w:bidi="zh-CN"/>
      </w:rPr>
    </w:lvl>
    <w:lvl w:ilvl="7">
      <w:start w:val="0"/>
      <w:numFmt w:val="bullet"/>
      <w:lvlText w:val="•"/>
      <w:lvlJc w:val="left"/>
      <w:pPr>
        <w:ind w:left="6650" w:hanging="527"/>
      </w:pPr>
      <w:rPr>
        <w:rFonts w:hint="default"/>
        <w:lang w:val="zh-CN" w:eastAsia="zh-CN" w:bidi="zh-CN"/>
      </w:rPr>
    </w:lvl>
    <w:lvl w:ilvl="8">
      <w:start w:val="0"/>
      <w:numFmt w:val="bullet"/>
      <w:lvlText w:val="•"/>
      <w:lvlJc w:val="left"/>
      <w:pPr>
        <w:ind w:left="7569" w:hanging="527"/>
      </w:pPr>
      <w:rPr>
        <w:rFonts w:hint="default"/>
        <w:lang w:val="zh-CN" w:eastAsia="zh-CN" w:bidi="zh-CN"/>
      </w:rPr>
    </w:lvl>
  </w:abstractNum>
  <w:abstractNum w:abstractNumId="26">
    <w:multiLevelType w:val="hybridMultilevel"/>
    <w:lvl w:ilvl="0">
      <w:start w:val="1"/>
      <w:numFmt w:val="decimal"/>
      <w:lvlText w:val="（%1）"/>
      <w:lvlJc w:val="left"/>
      <w:pPr>
        <w:ind w:left="116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984" w:hanging="529"/>
      </w:pPr>
      <w:rPr>
        <w:rFonts w:hint="default"/>
        <w:lang w:val="zh-CN" w:eastAsia="zh-CN" w:bidi="zh-CN"/>
      </w:rPr>
    </w:lvl>
    <w:lvl w:ilvl="2">
      <w:start w:val="0"/>
      <w:numFmt w:val="bullet"/>
      <w:lvlText w:val="•"/>
      <w:lvlJc w:val="left"/>
      <w:pPr>
        <w:ind w:left="2809" w:hanging="529"/>
      </w:pPr>
      <w:rPr>
        <w:rFonts w:hint="default"/>
        <w:lang w:val="zh-CN" w:eastAsia="zh-CN" w:bidi="zh-CN"/>
      </w:rPr>
    </w:lvl>
    <w:lvl w:ilvl="3">
      <w:start w:val="0"/>
      <w:numFmt w:val="bullet"/>
      <w:lvlText w:val="•"/>
      <w:lvlJc w:val="left"/>
      <w:pPr>
        <w:ind w:left="3633" w:hanging="529"/>
      </w:pPr>
      <w:rPr>
        <w:rFonts w:hint="default"/>
        <w:lang w:val="zh-CN" w:eastAsia="zh-CN" w:bidi="zh-CN"/>
      </w:rPr>
    </w:lvl>
    <w:lvl w:ilvl="4">
      <w:start w:val="0"/>
      <w:numFmt w:val="bullet"/>
      <w:lvlText w:val="•"/>
      <w:lvlJc w:val="left"/>
      <w:pPr>
        <w:ind w:left="4458" w:hanging="529"/>
      </w:pPr>
      <w:rPr>
        <w:rFonts w:hint="default"/>
        <w:lang w:val="zh-CN" w:eastAsia="zh-CN" w:bidi="zh-CN"/>
      </w:rPr>
    </w:lvl>
    <w:lvl w:ilvl="5">
      <w:start w:val="0"/>
      <w:numFmt w:val="bullet"/>
      <w:lvlText w:val="•"/>
      <w:lvlJc w:val="left"/>
      <w:pPr>
        <w:ind w:left="5283" w:hanging="529"/>
      </w:pPr>
      <w:rPr>
        <w:rFonts w:hint="default"/>
        <w:lang w:val="zh-CN" w:eastAsia="zh-CN" w:bidi="zh-CN"/>
      </w:rPr>
    </w:lvl>
    <w:lvl w:ilvl="6">
      <w:start w:val="0"/>
      <w:numFmt w:val="bullet"/>
      <w:lvlText w:val="•"/>
      <w:lvlJc w:val="left"/>
      <w:pPr>
        <w:ind w:left="6107" w:hanging="529"/>
      </w:pPr>
      <w:rPr>
        <w:rFonts w:hint="default"/>
        <w:lang w:val="zh-CN" w:eastAsia="zh-CN" w:bidi="zh-CN"/>
      </w:rPr>
    </w:lvl>
    <w:lvl w:ilvl="7">
      <w:start w:val="0"/>
      <w:numFmt w:val="bullet"/>
      <w:lvlText w:val="•"/>
      <w:lvlJc w:val="left"/>
      <w:pPr>
        <w:ind w:left="6932" w:hanging="529"/>
      </w:pPr>
      <w:rPr>
        <w:rFonts w:hint="default"/>
        <w:lang w:val="zh-CN" w:eastAsia="zh-CN" w:bidi="zh-CN"/>
      </w:rPr>
    </w:lvl>
    <w:lvl w:ilvl="8">
      <w:start w:val="0"/>
      <w:numFmt w:val="bullet"/>
      <w:lvlText w:val="•"/>
      <w:lvlJc w:val="left"/>
      <w:pPr>
        <w:ind w:left="7757" w:hanging="529"/>
      </w:pPr>
      <w:rPr>
        <w:rFonts w:hint="default"/>
        <w:lang w:val="zh-CN" w:eastAsia="zh-CN" w:bidi="zh-CN"/>
      </w:rPr>
    </w:lvl>
  </w:abstractNum>
  <w:abstractNum w:abstractNumId="25">
    <w:multiLevelType w:val="hybridMultilevel"/>
    <w:lvl w:ilvl="0">
      <w:start w:val="1"/>
      <w:numFmt w:val="decimal"/>
      <w:lvlText w:val="（%1）"/>
      <w:lvlJc w:val="left"/>
      <w:pPr>
        <w:ind w:left="220" w:hanging="529"/>
        <w:jc w:val="left"/>
      </w:pPr>
      <w:rPr>
        <w:rFonts w:hint="default" w:ascii="宋体" w:hAnsi="宋体" w:eastAsia="宋体" w:cs="宋体"/>
        <w:spacing w:val="-106"/>
        <w:w w:val="100"/>
        <w:sz w:val="19"/>
        <w:szCs w:val="19"/>
        <w:lang w:val="zh-CN" w:eastAsia="zh-CN" w:bidi="zh-CN"/>
      </w:rPr>
    </w:lvl>
    <w:lvl w:ilvl="1">
      <w:start w:val="0"/>
      <w:numFmt w:val="bullet"/>
      <w:lvlText w:val="•"/>
      <w:lvlJc w:val="left"/>
      <w:pPr>
        <w:ind w:left="1138" w:hanging="529"/>
      </w:pPr>
      <w:rPr>
        <w:rFonts w:hint="default"/>
        <w:lang w:val="zh-CN" w:eastAsia="zh-CN" w:bidi="zh-CN"/>
      </w:rPr>
    </w:lvl>
    <w:lvl w:ilvl="2">
      <w:start w:val="0"/>
      <w:numFmt w:val="bullet"/>
      <w:lvlText w:val="•"/>
      <w:lvlJc w:val="left"/>
      <w:pPr>
        <w:ind w:left="2057" w:hanging="529"/>
      </w:pPr>
      <w:rPr>
        <w:rFonts w:hint="default"/>
        <w:lang w:val="zh-CN" w:eastAsia="zh-CN" w:bidi="zh-CN"/>
      </w:rPr>
    </w:lvl>
    <w:lvl w:ilvl="3">
      <w:start w:val="0"/>
      <w:numFmt w:val="bullet"/>
      <w:lvlText w:val="•"/>
      <w:lvlJc w:val="left"/>
      <w:pPr>
        <w:ind w:left="2975" w:hanging="529"/>
      </w:pPr>
      <w:rPr>
        <w:rFonts w:hint="default"/>
        <w:lang w:val="zh-CN" w:eastAsia="zh-CN" w:bidi="zh-CN"/>
      </w:rPr>
    </w:lvl>
    <w:lvl w:ilvl="4">
      <w:start w:val="0"/>
      <w:numFmt w:val="bullet"/>
      <w:lvlText w:val="•"/>
      <w:lvlJc w:val="left"/>
      <w:pPr>
        <w:ind w:left="3894" w:hanging="529"/>
      </w:pPr>
      <w:rPr>
        <w:rFonts w:hint="default"/>
        <w:lang w:val="zh-CN" w:eastAsia="zh-CN" w:bidi="zh-CN"/>
      </w:rPr>
    </w:lvl>
    <w:lvl w:ilvl="5">
      <w:start w:val="0"/>
      <w:numFmt w:val="bullet"/>
      <w:lvlText w:val="•"/>
      <w:lvlJc w:val="left"/>
      <w:pPr>
        <w:ind w:left="4813" w:hanging="529"/>
      </w:pPr>
      <w:rPr>
        <w:rFonts w:hint="default"/>
        <w:lang w:val="zh-CN" w:eastAsia="zh-CN" w:bidi="zh-CN"/>
      </w:rPr>
    </w:lvl>
    <w:lvl w:ilvl="6">
      <w:start w:val="0"/>
      <w:numFmt w:val="bullet"/>
      <w:lvlText w:val="•"/>
      <w:lvlJc w:val="left"/>
      <w:pPr>
        <w:ind w:left="5731" w:hanging="529"/>
      </w:pPr>
      <w:rPr>
        <w:rFonts w:hint="default"/>
        <w:lang w:val="zh-CN" w:eastAsia="zh-CN" w:bidi="zh-CN"/>
      </w:rPr>
    </w:lvl>
    <w:lvl w:ilvl="7">
      <w:start w:val="0"/>
      <w:numFmt w:val="bullet"/>
      <w:lvlText w:val="•"/>
      <w:lvlJc w:val="left"/>
      <w:pPr>
        <w:ind w:left="6650" w:hanging="529"/>
      </w:pPr>
      <w:rPr>
        <w:rFonts w:hint="default"/>
        <w:lang w:val="zh-CN" w:eastAsia="zh-CN" w:bidi="zh-CN"/>
      </w:rPr>
    </w:lvl>
    <w:lvl w:ilvl="8">
      <w:start w:val="0"/>
      <w:numFmt w:val="bullet"/>
      <w:lvlText w:val="•"/>
      <w:lvlJc w:val="left"/>
      <w:pPr>
        <w:ind w:left="7569" w:hanging="529"/>
      </w:pPr>
      <w:rPr>
        <w:rFonts w:hint="default"/>
        <w:lang w:val="zh-CN" w:eastAsia="zh-CN" w:bidi="zh-CN"/>
      </w:rPr>
    </w:lvl>
  </w:abstractNum>
  <w:abstractNum w:abstractNumId="24">
    <w:multiLevelType w:val="hybridMultilevel"/>
    <w:lvl w:ilvl="0">
      <w:start w:val="1"/>
      <w:numFmt w:val="decimal"/>
      <w:lvlText w:val="（%1）"/>
      <w:lvlJc w:val="left"/>
      <w:pPr>
        <w:ind w:left="220" w:hanging="527"/>
        <w:jc w:val="left"/>
      </w:pPr>
      <w:rPr>
        <w:rFonts w:hint="default" w:ascii="宋体" w:hAnsi="宋体" w:eastAsia="宋体" w:cs="宋体"/>
        <w:spacing w:val="-34"/>
        <w:w w:val="100"/>
        <w:sz w:val="19"/>
        <w:szCs w:val="19"/>
        <w:lang w:val="zh-CN" w:eastAsia="zh-CN" w:bidi="zh-CN"/>
      </w:rPr>
    </w:lvl>
    <w:lvl w:ilvl="1">
      <w:start w:val="0"/>
      <w:numFmt w:val="bullet"/>
      <w:lvlText w:val="•"/>
      <w:lvlJc w:val="left"/>
      <w:pPr>
        <w:ind w:left="1138" w:hanging="527"/>
      </w:pPr>
      <w:rPr>
        <w:rFonts w:hint="default"/>
        <w:lang w:val="zh-CN" w:eastAsia="zh-CN" w:bidi="zh-CN"/>
      </w:rPr>
    </w:lvl>
    <w:lvl w:ilvl="2">
      <w:start w:val="0"/>
      <w:numFmt w:val="bullet"/>
      <w:lvlText w:val="•"/>
      <w:lvlJc w:val="left"/>
      <w:pPr>
        <w:ind w:left="2057" w:hanging="527"/>
      </w:pPr>
      <w:rPr>
        <w:rFonts w:hint="default"/>
        <w:lang w:val="zh-CN" w:eastAsia="zh-CN" w:bidi="zh-CN"/>
      </w:rPr>
    </w:lvl>
    <w:lvl w:ilvl="3">
      <w:start w:val="0"/>
      <w:numFmt w:val="bullet"/>
      <w:lvlText w:val="•"/>
      <w:lvlJc w:val="left"/>
      <w:pPr>
        <w:ind w:left="2975" w:hanging="527"/>
      </w:pPr>
      <w:rPr>
        <w:rFonts w:hint="default"/>
        <w:lang w:val="zh-CN" w:eastAsia="zh-CN" w:bidi="zh-CN"/>
      </w:rPr>
    </w:lvl>
    <w:lvl w:ilvl="4">
      <w:start w:val="0"/>
      <w:numFmt w:val="bullet"/>
      <w:lvlText w:val="•"/>
      <w:lvlJc w:val="left"/>
      <w:pPr>
        <w:ind w:left="3894" w:hanging="527"/>
      </w:pPr>
      <w:rPr>
        <w:rFonts w:hint="default"/>
        <w:lang w:val="zh-CN" w:eastAsia="zh-CN" w:bidi="zh-CN"/>
      </w:rPr>
    </w:lvl>
    <w:lvl w:ilvl="5">
      <w:start w:val="0"/>
      <w:numFmt w:val="bullet"/>
      <w:lvlText w:val="•"/>
      <w:lvlJc w:val="left"/>
      <w:pPr>
        <w:ind w:left="4813" w:hanging="527"/>
      </w:pPr>
      <w:rPr>
        <w:rFonts w:hint="default"/>
        <w:lang w:val="zh-CN" w:eastAsia="zh-CN" w:bidi="zh-CN"/>
      </w:rPr>
    </w:lvl>
    <w:lvl w:ilvl="6">
      <w:start w:val="0"/>
      <w:numFmt w:val="bullet"/>
      <w:lvlText w:val="•"/>
      <w:lvlJc w:val="left"/>
      <w:pPr>
        <w:ind w:left="5731" w:hanging="527"/>
      </w:pPr>
      <w:rPr>
        <w:rFonts w:hint="default"/>
        <w:lang w:val="zh-CN" w:eastAsia="zh-CN" w:bidi="zh-CN"/>
      </w:rPr>
    </w:lvl>
    <w:lvl w:ilvl="7">
      <w:start w:val="0"/>
      <w:numFmt w:val="bullet"/>
      <w:lvlText w:val="•"/>
      <w:lvlJc w:val="left"/>
      <w:pPr>
        <w:ind w:left="6650" w:hanging="527"/>
      </w:pPr>
      <w:rPr>
        <w:rFonts w:hint="default"/>
        <w:lang w:val="zh-CN" w:eastAsia="zh-CN" w:bidi="zh-CN"/>
      </w:rPr>
    </w:lvl>
    <w:lvl w:ilvl="8">
      <w:start w:val="0"/>
      <w:numFmt w:val="bullet"/>
      <w:lvlText w:val="•"/>
      <w:lvlJc w:val="left"/>
      <w:pPr>
        <w:ind w:left="7569" w:hanging="527"/>
      </w:pPr>
      <w:rPr>
        <w:rFonts w:hint="default"/>
        <w:lang w:val="zh-CN" w:eastAsia="zh-CN" w:bidi="zh-CN"/>
      </w:rPr>
    </w:lvl>
  </w:abstractNum>
  <w:abstractNum w:abstractNumId="23">
    <w:multiLevelType w:val="hybridMultilevel"/>
    <w:lvl w:ilvl="0">
      <w:start w:val="1"/>
      <w:numFmt w:val="decimal"/>
      <w:lvlText w:val="（%1）"/>
      <w:lvlJc w:val="left"/>
      <w:pPr>
        <w:ind w:left="220" w:hanging="527"/>
        <w:jc w:val="left"/>
      </w:pPr>
      <w:rPr>
        <w:rFonts w:hint="default" w:ascii="宋体" w:hAnsi="宋体" w:eastAsia="宋体" w:cs="宋体"/>
        <w:spacing w:val="-34"/>
        <w:w w:val="100"/>
        <w:sz w:val="19"/>
        <w:szCs w:val="19"/>
        <w:lang w:val="zh-CN" w:eastAsia="zh-CN" w:bidi="zh-CN"/>
      </w:rPr>
    </w:lvl>
    <w:lvl w:ilvl="1">
      <w:start w:val="0"/>
      <w:numFmt w:val="bullet"/>
      <w:lvlText w:val="•"/>
      <w:lvlJc w:val="left"/>
      <w:pPr>
        <w:ind w:left="1138" w:hanging="527"/>
      </w:pPr>
      <w:rPr>
        <w:rFonts w:hint="default"/>
        <w:lang w:val="zh-CN" w:eastAsia="zh-CN" w:bidi="zh-CN"/>
      </w:rPr>
    </w:lvl>
    <w:lvl w:ilvl="2">
      <w:start w:val="0"/>
      <w:numFmt w:val="bullet"/>
      <w:lvlText w:val="•"/>
      <w:lvlJc w:val="left"/>
      <w:pPr>
        <w:ind w:left="2057" w:hanging="527"/>
      </w:pPr>
      <w:rPr>
        <w:rFonts w:hint="default"/>
        <w:lang w:val="zh-CN" w:eastAsia="zh-CN" w:bidi="zh-CN"/>
      </w:rPr>
    </w:lvl>
    <w:lvl w:ilvl="3">
      <w:start w:val="0"/>
      <w:numFmt w:val="bullet"/>
      <w:lvlText w:val="•"/>
      <w:lvlJc w:val="left"/>
      <w:pPr>
        <w:ind w:left="2975" w:hanging="527"/>
      </w:pPr>
      <w:rPr>
        <w:rFonts w:hint="default"/>
        <w:lang w:val="zh-CN" w:eastAsia="zh-CN" w:bidi="zh-CN"/>
      </w:rPr>
    </w:lvl>
    <w:lvl w:ilvl="4">
      <w:start w:val="0"/>
      <w:numFmt w:val="bullet"/>
      <w:lvlText w:val="•"/>
      <w:lvlJc w:val="left"/>
      <w:pPr>
        <w:ind w:left="3894" w:hanging="527"/>
      </w:pPr>
      <w:rPr>
        <w:rFonts w:hint="default"/>
        <w:lang w:val="zh-CN" w:eastAsia="zh-CN" w:bidi="zh-CN"/>
      </w:rPr>
    </w:lvl>
    <w:lvl w:ilvl="5">
      <w:start w:val="0"/>
      <w:numFmt w:val="bullet"/>
      <w:lvlText w:val="•"/>
      <w:lvlJc w:val="left"/>
      <w:pPr>
        <w:ind w:left="4813" w:hanging="527"/>
      </w:pPr>
      <w:rPr>
        <w:rFonts w:hint="default"/>
        <w:lang w:val="zh-CN" w:eastAsia="zh-CN" w:bidi="zh-CN"/>
      </w:rPr>
    </w:lvl>
    <w:lvl w:ilvl="6">
      <w:start w:val="0"/>
      <w:numFmt w:val="bullet"/>
      <w:lvlText w:val="•"/>
      <w:lvlJc w:val="left"/>
      <w:pPr>
        <w:ind w:left="5731" w:hanging="527"/>
      </w:pPr>
      <w:rPr>
        <w:rFonts w:hint="default"/>
        <w:lang w:val="zh-CN" w:eastAsia="zh-CN" w:bidi="zh-CN"/>
      </w:rPr>
    </w:lvl>
    <w:lvl w:ilvl="7">
      <w:start w:val="0"/>
      <w:numFmt w:val="bullet"/>
      <w:lvlText w:val="•"/>
      <w:lvlJc w:val="left"/>
      <w:pPr>
        <w:ind w:left="6650" w:hanging="527"/>
      </w:pPr>
      <w:rPr>
        <w:rFonts w:hint="default"/>
        <w:lang w:val="zh-CN" w:eastAsia="zh-CN" w:bidi="zh-CN"/>
      </w:rPr>
    </w:lvl>
    <w:lvl w:ilvl="8">
      <w:start w:val="0"/>
      <w:numFmt w:val="bullet"/>
      <w:lvlText w:val="•"/>
      <w:lvlJc w:val="left"/>
      <w:pPr>
        <w:ind w:left="7569" w:hanging="527"/>
      </w:pPr>
      <w:rPr>
        <w:rFonts w:hint="default"/>
        <w:lang w:val="zh-CN" w:eastAsia="zh-CN" w:bidi="zh-CN"/>
      </w:rPr>
    </w:lvl>
  </w:abstractNum>
  <w:abstractNum w:abstractNumId="22">
    <w:multiLevelType w:val="hybridMultilevel"/>
    <w:lvl w:ilvl="0">
      <w:start w:val="1"/>
      <w:numFmt w:val="decimal"/>
      <w:lvlText w:val="（%1）"/>
      <w:lvlJc w:val="left"/>
      <w:pPr>
        <w:ind w:left="220" w:hanging="529"/>
        <w:jc w:val="left"/>
      </w:pPr>
      <w:rPr>
        <w:rFonts w:hint="default" w:ascii="宋体" w:hAnsi="宋体" w:eastAsia="宋体" w:cs="宋体"/>
        <w:spacing w:val="-53"/>
        <w:w w:val="100"/>
        <w:sz w:val="19"/>
        <w:szCs w:val="19"/>
        <w:lang w:val="zh-CN" w:eastAsia="zh-CN" w:bidi="zh-CN"/>
      </w:rPr>
    </w:lvl>
    <w:lvl w:ilvl="1">
      <w:start w:val="0"/>
      <w:numFmt w:val="bullet"/>
      <w:lvlText w:val="•"/>
      <w:lvlJc w:val="left"/>
      <w:pPr>
        <w:ind w:left="1138" w:hanging="529"/>
      </w:pPr>
      <w:rPr>
        <w:rFonts w:hint="default"/>
        <w:lang w:val="zh-CN" w:eastAsia="zh-CN" w:bidi="zh-CN"/>
      </w:rPr>
    </w:lvl>
    <w:lvl w:ilvl="2">
      <w:start w:val="0"/>
      <w:numFmt w:val="bullet"/>
      <w:lvlText w:val="•"/>
      <w:lvlJc w:val="left"/>
      <w:pPr>
        <w:ind w:left="2057" w:hanging="529"/>
      </w:pPr>
      <w:rPr>
        <w:rFonts w:hint="default"/>
        <w:lang w:val="zh-CN" w:eastAsia="zh-CN" w:bidi="zh-CN"/>
      </w:rPr>
    </w:lvl>
    <w:lvl w:ilvl="3">
      <w:start w:val="0"/>
      <w:numFmt w:val="bullet"/>
      <w:lvlText w:val="•"/>
      <w:lvlJc w:val="left"/>
      <w:pPr>
        <w:ind w:left="2975" w:hanging="529"/>
      </w:pPr>
      <w:rPr>
        <w:rFonts w:hint="default"/>
        <w:lang w:val="zh-CN" w:eastAsia="zh-CN" w:bidi="zh-CN"/>
      </w:rPr>
    </w:lvl>
    <w:lvl w:ilvl="4">
      <w:start w:val="0"/>
      <w:numFmt w:val="bullet"/>
      <w:lvlText w:val="•"/>
      <w:lvlJc w:val="left"/>
      <w:pPr>
        <w:ind w:left="3894" w:hanging="529"/>
      </w:pPr>
      <w:rPr>
        <w:rFonts w:hint="default"/>
        <w:lang w:val="zh-CN" w:eastAsia="zh-CN" w:bidi="zh-CN"/>
      </w:rPr>
    </w:lvl>
    <w:lvl w:ilvl="5">
      <w:start w:val="0"/>
      <w:numFmt w:val="bullet"/>
      <w:lvlText w:val="•"/>
      <w:lvlJc w:val="left"/>
      <w:pPr>
        <w:ind w:left="4813" w:hanging="529"/>
      </w:pPr>
      <w:rPr>
        <w:rFonts w:hint="default"/>
        <w:lang w:val="zh-CN" w:eastAsia="zh-CN" w:bidi="zh-CN"/>
      </w:rPr>
    </w:lvl>
    <w:lvl w:ilvl="6">
      <w:start w:val="0"/>
      <w:numFmt w:val="bullet"/>
      <w:lvlText w:val="•"/>
      <w:lvlJc w:val="left"/>
      <w:pPr>
        <w:ind w:left="5731" w:hanging="529"/>
      </w:pPr>
      <w:rPr>
        <w:rFonts w:hint="default"/>
        <w:lang w:val="zh-CN" w:eastAsia="zh-CN" w:bidi="zh-CN"/>
      </w:rPr>
    </w:lvl>
    <w:lvl w:ilvl="7">
      <w:start w:val="0"/>
      <w:numFmt w:val="bullet"/>
      <w:lvlText w:val="•"/>
      <w:lvlJc w:val="left"/>
      <w:pPr>
        <w:ind w:left="6650" w:hanging="529"/>
      </w:pPr>
      <w:rPr>
        <w:rFonts w:hint="default"/>
        <w:lang w:val="zh-CN" w:eastAsia="zh-CN" w:bidi="zh-CN"/>
      </w:rPr>
    </w:lvl>
    <w:lvl w:ilvl="8">
      <w:start w:val="0"/>
      <w:numFmt w:val="bullet"/>
      <w:lvlText w:val="•"/>
      <w:lvlJc w:val="left"/>
      <w:pPr>
        <w:ind w:left="7569" w:hanging="529"/>
      </w:pPr>
      <w:rPr>
        <w:rFonts w:hint="default"/>
        <w:lang w:val="zh-CN" w:eastAsia="zh-CN" w:bidi="zh-CN"/>
      </w:rPr>
    </w:lvl>
  </w:abstractNum>
  <w:abstractNum w:abstractNumId="21">
    <w:multiLevelType w:val="hybridMultilevel"/>
    <w:lvl w:ilvl="0">
      <w:start w:val="1"/>
      <w:numFmt w:val="decimal"/>
      <w:lvlText w:val="（%1）"/>
      <w:lvlJc w:val="left"/>
      <w:pPr>
        <w:ind w:left="220" w:hanging="527"/>
        <w:jc w:val="left"/>
      </w:pPr>
      <w:rPr>
        <w:rFonts w:hint="default" w:ascii="宋体" w:hAnsi="宋体" w:eastAsia="宋体" w:cs="宋体"/>
        <w:spacing w:val="-34"/>
        <w:w w:val="100"/>
        <w:sz w:val="19"/>
        <w:szCs w:val="19"/>
        <w:lang w:val="zh-CN" w:eastAsia="zh-CN" w:bidi="zh-CN"/>
      </w:rPr>
    </w:lvl>
    <w:lvl w:ilvl="1">
      <w:start w:val="0"/>
      <w:numFmt w:val="bullet"/>
      <w:lvlText w:val="•"/>
      <w:lvlJc w:val="left"/>
      <w:pPr>
        <w:ind w:left="1138" w:hanging="527"/>
      </w:pPr>
      <w:rPr>
        <w:rFonts w:hint="default"/>
        <w:lang w:val="zh-CN" w:eastAsia="zh-CN" w:bidi="zh-CN"/>
      </w:rPr>
    </w:lvl>
    <w:lvl w:ilvl="2">
      <w:start w:val="0"/>
      <w:numFmt w:val="bullet"/>
      <w:lvlText w:val="•"/>
      <w:lvlJc w:val="left"/>
      <w:pPr>
        <w:ind w:left="2057" w:hanging="527"/>
      </w:pPr>
      <w:rPr>
        <w:rFonts w:hint="default"/>
        <w:lang w:val="zh-CN" w:eastAsia="zh-CN" w:bidi="zh-CN"/>
      </w:rPr>
    </w:lvl>
    <w:lvl w:ilvl="3">
      <w:start w:val="0"/>
      <w:numFmt w:val="bullet"/>
      <w:lvlText w:val="•"/>
      <w:lvlJc w:val="left"/>
      <w:pPr>
        <w:ind w:left="2975" w:hanging="527"/>
      </w:pPr>
      <w:rPr>
        <w:rFonts w:hint="default"/>
        <w:lang w:val="zh-CN" w:eastAsia="zh-CN" w:bidi="zh-CN"/>
      </w:rPr>
    </w:lvl>
    <w:lvl w:ilvl="4">
      <w:start w:val="0"/>
      <w:numFmt w:val="bullet"/>
      <w:lvlText w:val="•"/>
      <w:lvlJc w:val="left"/>
      <w:pPr>
        <w:ind w:left="3894" w:hanging="527"/>
      </w:pPr>
      <w:rPr>
        <w:rFonts w:hint="default"/>
        <w:lang w:val="zh-CN" w:eastAsia="zh-CN" w:bidi="zh-CN"/>
      </w:rPr>
    </w:lvl>
    <w:lvl w:ilvl="5">
      <w:start w:val="0"/>
      <w:numFmt w:val="bullet"/>
      <w:lvlText w:val="•"/>
      <w:lvlJc w:val="left"/>
      <w:pPr>
        <w:ind w:left="4813" w:hanging="527"/>
      </w:pPr>
      <w:rPr>
        <w:rFonts w:hint="default"/>
        <w:lang w:val="zh-CN" w:eastAsia="zh-CN" w:bidi="zh-CN"/>
      </w:rPr>
    </w:lvl>
    <w:lvl w:ilvl="6">
      <w:start w:val="0"/>
      <w:numFmt w:val="bullet"/>
      <w:lvlText w:val="•"/>
      <w:lvlJc w:val="left"/>
      <w:pPr>
        <w:ind w:left="5731" w:hanging="527"/>
      </w:pPr>
      <w:rPr>
        <w:rFonts w:hint="default"/>
        <w:lang w:val="zh-CN" w:eastAsia="zh-CN" w:bidi="zh-CN"/>
      </w:rPr>
    </w:lvl>
    <w:lvl w:ilvl="7">
      <w:start w:val="0"/>
      <w:numFmt w:val="bullet"/>
      <w:lvlText w:val="•"/>
      <w:lvlJc w:val="left"/>
      <w:pPr>
        <w:ind w:left="6650" w:hanging="527"/>
      </w:pPr>
      <w:rPr>
        <w:rFonts w:hint="default"/>
        <w:lang w:val="zh-CN" w:eastAsia="zh-CN" w:bidi="zh-CN"/>
      </w:rPr>
    </w:lvl>
    <w:lvl w:ilvl="8">
      <w:start w:val="0"/>
      <w:numFmt w:val="bullet"/>
      <w:lvlText w:val="•"/>
      <w:lvlJc w:val="left"/>
      <w:pPr>
        <w:ind w:left="7569" w:hanging="527"/>
      </w:pPr>
      <w:rPr>
        <w:rFonts w:hint="default"/>
        <w:lang w:val="zh-CN" w:eastAsia="zh-CN" w:bidi="zh-CN"/>
      </w:rPr>
    </w:lvl>
  </w:abstractNum>
  <w:abstractNum w:abstractNumId="20">
    <w:multiLevelType w:val="hybridMultilevel"/>
    <w:lvl w:ilvl="0">
      <w:start w:val="1"/>
      <w:numFmt w:val="decimal"/>
      <w:lvlText w:val="（%1）"/>
      <w:lvlJc w:val="left"/>
      <w:pPr>
        <w:ind w:left="116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984" w:hanging="529"/>
      </w:pPr>
      <w:rPr>
        <w:rFonts w:hint="default"/>
        <w:lang w:val="zh-CN" w:eastAsia="zh-CN" w:bidi="zh-CN"/>
      </w:rPr>
    </w:lvl>
    <w:lvl w:ilvl="2">
      <w:start w:val="0"/>
      <w:numFmt w:val="bullet"/>
      <w:lvlText w:val="•"/>
      <w:lvlJc w:val="left"/>
      <w:pPr>
        <w:ind w:left="2809" w:hanging="529"/>
      </w:pPr>
      <w:rPr>
        <w:rFonts w:hint="default"/>
        <w:lang w:val="zh-CN" w:eastAsia="zh-CN" w:bidi="zh-CN"/>
      </w:rPr>
    </w:lvl>
    <w:lvl w:ilvl="3">
      <w:start w:val="0"/>
      <w:numFmt w:val="bullet"/>
      <w:lvlText w:val="•"/>
      <w:lvlJc w:val="left"/>
      <w:pPr>
        <w:ind w:left="3633" w:hanging="529"/>
      </w:pPr>
      <w:rPr>
        <w:rFonts w:hint="default"/>
        <w:lang w:val="zh-CN" w:eastAsia="zh-CN" w:bidi="zh-CN"/>
      </w:rPr>
    </w:lvl>
    <w:lvl w:ilvl="4">
      <w:start w:val="0"/>
      <w:numFmt w:val="bullet"/>
      <w:lvlText w:val="•"/>
      <w:lvlJc w:val="left"/>
      <w:pPr>
        <w:ind w:left="4458" w:hanging="529"/>
      </w:pPr>
      <w:rPr>
        <w:rFonts w:hint="default"/>
        <w:lang w:val="zh-CN" w:eastAsia="zh-CN" w:bidi="zh-CN"/>
      </w:rPr>
    </w:lvl>
    <w:lvl w:ilvl="5">
      <w:start w:val="0"/>
      <w:numFmt w:val="bullet"/>
      <w:lvlText w:val="•"/>
      <w:lvlJc w:val="left"/>
      <w:pPr>
        <w:ind w:left="5283" w:hanging="529"/>
      </w:pPr>
      <w:rPr>
        <w:rFonts w:hint="default"/>
        <w:lang w:val="zh-CN" w:eastAsia="zh-CN" w:bidi="zh-CN"/>
      </w:rPr>
    </w:lvl>
    <w:lvl w:ilvl="6">
      <w:start w:val="0"/>
      <w:numFmt w:val="bullet"/>
      <w:lvlText w:val="•"/>
      <w:lvlJc w:val="left"/>
      <w:pPr>
        <w:ind w:left="6107" w:hanging="529"/>
      </w:pPr>
      <w:rPr>
        <w:rFonts w:hint="default"/>
        <w:lang w:val="zh-CN" w:eastAsia="zh-CN" w:bidi="zh-CN"/>
      </w:rPr>
    </w:lvl>
    <w:lvl w:ilvl="7">
      <w:start w:val="0"/>
      <w:numFmt w:val="bullet"/>
      <w:lvlText w:val="•"/>
      <w:lvlJc w:val="left"/>
      <w:pPr>
        <w:ind w:left="6932" w:hanging="529"/>
      </w:pPr>
      <w:rPr>
        <w:rFonts w:hint="default"/>
        <w:lang w:val="zh-CN" w:eastAsia="zh-CN" w:bidi="zh-CN"/>
      </w:rPr>
    </w:lvl>
    <w:lvl w:ilvl="8">
      <w:start w:val="0"/>
      <w:numFmt w:val="bullet"/>
      <w:lvlText w:val="•"/>
      <w:lvlJc w:val="left"/>
      <w:pPr>
        <w:ind w:left="7757" w:hanging="529"/>
      </w:pPr>
      <w:rPr>
        <w:rFonts w:hint="default"/>
        <w:lang w:val="zh-CN" w:eastAsia="zh-CN" w:bidi="zh-CN"/>
      </w:rPr>
    </w:lvl>
  </w:abstractNum>
  <w:abstractNum w:abstractNumId="19">
    <w:multiLevelType w:val="hybridMultilevel"/>
    <w:lvl w:ilvl="0">
      <w:start w:val="1"/>
      <w:numFmt w:val="decimal"/>
      <w:lvlText w:val="（%1）"/>
      <w:lvlJc w:val="left"/>
      <w:pPr>
        <w:ind w:left="116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984" w:hanging="529"/>
      </w:pPr>
      <w:rPr>
        <w:rFonts w:hint="default"/>
        <w:lang w:val="zh-CN" w:eastAsia="zh-CN" w:bidi="zh-CN"/>
      </w:rPr>
    </w:lvl>
    <w:lvl w:ilvl="2">
      <w:start w:val="0"/>
      <w:numFmt w:val="bullet"/>
      <w:lvlText w:val="•"/>
      <w:lvlJc w:val="left"/>
      <w:pPr>
        <w:ind w:left="2809" w:hanging="529"/>
      </w:pPr>
      <w:rPr>
        <w:rFonts w:hint="default"/>
        <w:lang w:val="zh-CN" w:eastAsia="zh-CN" w:bidi="zh-CN"/>
      </w:rPr>
    </w:lvl>
    <w:lvl w:ilvl="3">
      <w:start w:val="0"/>
      <w:numFmt w:val="bullet"/>
      <w:lvlText w:val="•"/>
      <w:lvlJc w:val="left"/>
      <w:pPr>
        <w:ind w:left="3633" w:hanging="529"/>
      </w:pPr>
      <w:rPr>
        <w:rFonts w:hint="default"/>
        <w:lang w:val="zh-CN" w:eastAsia="zh-CN" w:bidi="zh-CN"/>
      </w:rPr>
    </w:lvl>
    <w:lvl w:ilvl="4">
      <w:start w:val="0"/>
      <w:numFmt w:val="bullet"/>
      <w:lvlText w:val="•"/>
      <w:lvlJc w:val="left"/>
      <w:pPr>
        <w:ind w:left="4458" w:hanging="529"/>
      </w:pPr>
      <w:rPr>
        <w:rFonts w:hint="default"/>
        <w:lang w:val="zh-CN" w:eastAsia="zh-CN" w:bidi="zh-CN"/>
      </w:rPr>
    </w:lvl>
    <w:lvl w:ilvl="5">
      <w:start w:val="0"/>
      <w:numFmt w:val="bullet"/>
      <w:lvlText w:val="•"/>
      <w:lvlJc w:val="left"/>
      <w:pPr>
        <w:ind w:left="5283" w:hanging="529"/>
      </w:pPr>
      <w:rPr>
        <w:rFonts w:hint="default"/>
        <w:lang w:val="zh-CN" w:eastAsia="zh-CN" w:bidi="zh-CN"/>
      </w:rPr>
    </w:lvl>
    <w:lvl w:ilvl="6">
      <w:start w:val="0"/>
      <w:numFmt w:val="bullet"/>
      <w:lvlText w:val="•"/>
      <w:lvlJc w:val="left"/>
      <w:pPr>
        <w:ind w:left="6107" w:hanging="529"/>
      </w:pPr>
      <w:rPr>
        <w:rFonts w:hint="default"/>
        <w:lang w:val="zh-CN" w:eastAsia="zh-CN" w:bidi="zh-CN"/>
      </w:rPr>
    </w:lvl>
    <w:lvl w:ilvl="7">
      <w:start w:val="0"/>
      <w:numFmt w:val="bullet"/>
      <w:lvlText w:val="•"/>
      <w:lvlJc w:val="left"/>
      <w:pPr>
        <w:ind w:left="6932" w:hanging="529"/>
      </w:pPr>
      <w:rPr>
        <w:rFonts w:hint="default"/>
        <w:lang w:val="zh-CN" w:eastAsia="zh-CN" w:bidi="zh-CN"/>
      </w:rPr>
    </w:lvl>
    <w:lvl w:ilvl="8">
      <w:start w:val="0"/>
      <w:numFmt w:val="bullet"/>
      <w:lvlText w:val="•"/>
      <w:lvlJc w:val="left"/>
      <w:pPr>
        <w:ind w:left="7757" w:hanging="529"/>
      </w:pPr>
      <w:rPr>
        <w:rFonts w:hint="default"/>
        <w:lang w:val="zh-CN" w:eastAsia="zh-CN" w:bidi="zh-CN"/>
      </w:rPr>
    </w:lvl>
  </w:abstractNum>
  <w:abstractNum w:abstractNumId="18">
    <w:multiLevelType w:val="hybridMultilevel"/>
    <w:lvl w:ilvl="0">
      <w:start w:val="1"/>
      <w:numFmt w:val="decimal"/>
      <w:lvlText w:val="（%1）"/>
      <w:lvlJc w:val="left"/>
      <w:pPr>
        <w:ind w:left="116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984" w:hanging="529"/>
      </w:pPr>
      <w:rPr>
        <w:rFonts w:hint="default"/>
        <w:lang w:val="zh-CN" w:eastAsia="zh-CN" w:bidi="zh-CN"/>
      </w:rPr>
    </w:lvl>
    <w:lvl w:ilvl="2">
      <w:start w:val="0"/>
      <w:numFmt w:val="bullet"/>
      <w:lvlText w:val="•"/>
      <w:lvlJc w:val="left"/>
      <w:pPr>
        <w:ind w:left="2809" w:hanging="529"/>
      </w:pPr>
      <w:rPr>
        <w:rFonts w:hint="default"/>
        <w:lang w:val="zh-CN" w:eastAsia="zh-CN" w:bidi="zh-CN"/>
      </w:rPr>
    </w:lvl>
    <w:lvl w:ilvl="3">
      <w:start w:val="0"/>
      <w:numFmt w:val="bullet"/>
      <w:lvlText w:val="•"/>
      <w:lvlJc w:val="left"/>
      <w:pPr>
        <w:ind w:left="3633" w:hanging="529"/>
      </w:pPr>
      <w:rPr>
        <w:rFonts w:hint="default"/>
        <w:lang w:val="zh-CN" w:eastAsia="zh-CN" w:bidi="zh-CN"/>
      </w:rPr>
    </w:lvl>
    <w:lvl w:ilvl="4">
      <w:start w:val="0"/>
      <w:numFmt w:val="bullet"/>
      <w:lvlText w:val="•"/>
      <w:lvlJc w:val="left"/>
      <w:pPr>
        <w:ind w:left="4458" w:hanging="529"/>
      </w:pPr>
      <w:rPr>
        <w:rFonts w:hint="default"/>
        <w:lang w:val="zh-CN" w:eastAsia="zh-CN" w:bidi="zh-CN"/>
      </w:rPr>
    </w:lvl>
    <w:lvl w:ilvl="5">
      <w:start w:val="0"/>
      <w:numFmt w:val="bullet"/>
      <w:lvlText w:val="•"/>
      <w:lvlJc w:val="left"/>
      <w:pPr>
        <w:ind w:left="5283" w:hanging="529"/>
      </w:pPr>
      <w:rPr>
        <w:rFonts w:hint="default"/>
        <w:lang w:val="zh-CN" w:eastAsia="zh-CN" w:bidi="zh-CN"/>
      </w:rPr>
    </w:lvl>
    <w:lvl w:ilvl="6">
      <w:start w:val="0"/>
      <w:numFmt w:val="bullet"/>
      <w:lvlText w:val="•"/>
      <w:lvlJc w:val="left"/>
      <w:pPr>
        <w:ind w:left="6107" w:hanging="529"/>
      </w:pPr>
      <w:rPr>
        <w:rFonts w:hint="default"/>
        <w:lang w:val="zh-CN" w:eastAsia="zh-CN" w:bidi="zh-CN"/>
      </w:rPr>
    </w:lvl>
    <w:lvl w:ilvl="7">
      <w:start w:val="0"/>
      <w:numFmt w:val="bullet"/>
      <w:lvlText w:val="•"/>
      <w:lvlJc w:val="left"/>
      <w:pPr>
        <w:ind w:left="6932" w:hanging="529"/>
      </w:pPr>
      <w:rPr>
        <w:rFonts w:hint="default"/>
        <w:lang w:val="zh-CN" w:eastAsia="zh-CN" w:bidi="zh-CN"/>
      </w:rPr>
    </w:lvl>
    <w:lvl w:ilvl="8">
      <w:start w:val="0"/>
      <w:numFmt w:val="bullet"/>
      <w:lvlText w:val="•"/>
      <w:lvlJc w:val="left"/>
      <w:pPr>
        <w:ind w:left="7757" w:hanging="529"/>
      </w:pPr>
      <w:rPr>
        <w:rFonts w:hint="default"/>
        <w:lang w:val="zh-CN" w:eastAsia="zh-CN" w:bidi="zh-CN"/>
      </w:rPr>
    </w:lvl>
  </w:abstractNum>
  <w:abstractNum w:abstractNumId="17">
    <w:multiLevelType w:val="hybridMultilevel"/>
    <w:lvl w:ilvl="0">
      <w:start w:val="1"/>
      <w:numFmt w:val="decimal"/>
      <w:lvlText w:val="（%1）"/>
      <w:lvlJc w:val="left"/>
      <w:pPr>
        <w:ind w:left="1167" w:hanging="527"/>
        <w:jc w:val="left"/>
      </w:pPr>
      <w:rPr>
        <w:rFonts w:hint="default" w:ascii="宋体" w:hAnsi="宋体" w:eastAsia="宋体" w:cs="宋体"/>
        <w:spacing w:val="-34"/>
        <w:w w:val="100"/>
        <w:sz w:val="19"/>
        <w:szCs w:val="19"/>
        <w:lang w:val="zh-CN" w:eastAsia="zh-CN" w:bidi="zh-CN"/>
      </w:rPr>
    </w:lvl>
    <w:lvl w:ilvl="1">
      <w:start w:val="0"/>
      <w:numFmt w:val="bullet"/>
      <w:lvlText w:val="•"/>
      <w:lvlJc w:val="left"/>
      <w:pPr>
        <w:ind w:left="1984" w:hanging="527"/>
      </w:pPr>
      <w:rPr>
        <w:rFonts w:hint="default"/>
        <w:lang w:val="zh-CN" w:eastAsia="zh-CN" w:bidi="zh-CN"/>
      </w:rPr>
    </w:lvl>
    <w:lvl w:ilvl="2">
      <w:start w:val="0"/>
      <w:numFmt w:val="bullet"/>
      <w:lvlText w:val="•"/>
      <w:lvlJc w:val="left"/>
      <w:pPr>
        <w:ind w:left="2809" w:hanging="527"/>
      </w:pPr>
      <w:rPr>
        <w:rFonts w:hint="default"/>
        <w:lang w:val="zh-CN" w:eastAsia="zh-CN" w:bidi="zh-CN"/>
      </w:rPr>
    </w:lvl>
    <w:lvl w:ilvl="3">
      <w:start w:val="0"/>
      <w:numFmt w:val="bullet"/>
      <w:lvlText w:val="•"/>
      <w:lvlJc w:val="left"/>
      <w:pPr>
        <w:ind w:left="3633" w:hanging="527"/>
      </w:pPr>
      <w:rPr>
        <w:rFonts w:hint="default"/>
        <w:lang w:val="zh-CN" w:eastAsia="zh-CN" w:bidi="zh-CN"/>
      </w:rPr>
    </w:lvl>
    <w:lvl w:ilvl="4">
      <w:start w:val="0"/>
      <w:numFmt w:val="bullet"/>
      <w:lvlText w:val="•"/>
      <w:lvlJc w:val="left"/>
      <w:pPr>
        <w:ind w:left="4458" w:hanging="527"/>
      </w:pPr>
      <w:rPr>
        <w:rFonts w:hint="default"/>
        <w:lang w:val="zh-CN" w:eastAsia="zh-CN" w:bidi="zh-CN"/>
      </w:rPr>
    </w:lvl>
    <w:lvl w:ilvl="5">
      <w:start w:val="0"/>
      <w:numFmt w:val="bullet"/>
      <w:lvlText w:val="•"/>
      <w:lvlJc w:val="left"/>
      <w:pPr>
        <w:ind w:left="5283" w:hanging="527"/>
      </w:pPr>
      <w:rPr>
        <w:rFonts w:hint="default"/>
        <w:lang w:val="zh-CN" w:eastAsia="zh-CN" w:bidi="zh-CN"/>
      </w:rPr>
    </w:lvl>
    <w:lvl w:ilvl="6">
      <w:start w:val="0"/>
      <w:numFmt w:val="bullet"/>
      <w:lvlText w:val="•"/>
      <w:lvlJc w:val="left"/>
      <w:pPr>
        <w:ind w:left="6107" w:hanging="527"/>
      </w:pPr>
      <w:rPr>
        <w:rFonts w:hint="default"/>
        <w:lang w:val="zh-CN" w:eastAsia="zh-CN" w:bidi="zh-CN"/>
      </w:rPr>
    </w:lvl>
    <w:lvl w:ilvl="7">
      <w:start w:val="0"/>
      <w:numFmt w:val="bullet"/>
      <w:lvlText w:val="•"/>
      <w:lvlJc w:val="left"/>
      <w:pPr>
        <w:ind w:left="6932" w:hanging="527"/>
      </w:pPr>
      <w:rPr>
        <w:rFonts w:hint="default"/>
        <w:lang w:val="zh-CN" w:eastAsia="zh-CN" w:bidi="zh-CN"/>
      </w:rPr>
    </w:lvl>
    <w:lvl w:ilvl="8">
      <w:start w:val="0"/>
      <w:numFmt w:val="bullet"/>
      <w:lvlText w:val="•"/>
      <w:lvlJc w:val="left"/>
      <w:pPr>
        <w:ind w:left="7757" w:hanging="527"/>
      </w:pPr>
      <w:rPr>
        <w:rFonts w:hint="default"/>
        <w:lang w:val="zh-CN" w:eastAsia="zh-CN" w:bidi="zh-CN"/>
      </w:rPr>
    </w:lvl>
  </w:abstractNum>
  <w:abstractNum w:abstractNumId="16">
    <w:multiLevelType w:val="hybridMultilevel"/>
    <w:lvl w:ilvl="0">
      <w:start w:val="1"/>
      <w:numFmt w:val="decimal"/>
      <w:lvlText w:val="（%1）"/>
      <w:lvlJc w:val="left"/>
      <w:pPr>
        <w:ind w:left="116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984" w:hanging="529"/>
      </w:pPr>
      <w:rPr>
        <w:rFonts w:hint="default"/>
        <w:lang w:val="zh-CN" w:eastAsia="zh-CN" w:bidi="zh-CN"/>
      </w:rPr>
    </w:lvl>
    <w:lvl w:ilvl="2">
      <w:start w:val="0"/>
      <w:numFmt w:val="bullet"/>
      <w:lvlText w:val="•"/>
      <w:lvlJc w:val="left"/>
      <w:pPr>
        <w:ind w:left="2809" w:hanging="529"/>
      </w:pPr>
      <w:rPr>
        <w:rFonts w:hint="default"/>
        <w:lang w:val="zh-CN" w:eastAsia="zh-CN" w:bidi="zh-CN"/>
      </w:rPr>
    </w:lvl>
    <w:lvl w:ilvl="3">
      <w:start w:val="0"/>
      <w:numFmt w:val="bullet"/>
      <w:lvlText w:val="•"/>
      <w:lvlJc w:val="left"/>
      <w:pPr>
        <w:ind w:left="3633" w:hanging="529"/>
      </w:pPr>
      <w:rPr>
        <w:rFonts w:hint="default"/>
        <w:lang w:val="zh-CN" w:eastAsia="zh-CN" w:bidi="zh-CN"/>
      </w:rPr>
    </w:lvl>
    <w:lvl w:ilvl="4">
      <w:start w:val="0"/>
      <w:numFmt w:val="bullet"/>
      <w:lvlText w:val="•"/>
      <w:lvlJc w:val="left"/>
      <w:pPr>
        <w:ind w:left="4458" w:hanging="529"/>
      </w:pPr>
      <w:rPr>
        <w:rFonts w:hint="default"/>
        <w:lang w:val="zh-CN" w:eastAsia="zh-CN" w:bidi="zh-CN"/>
      </w:rPr>
    </w:lvl>
    <w:lvl w:ilvl="5">
      <w:start w:val="0"/>
      <w:numFmt w:val="bullet"/>
      <w:lvlText w:val="•"/>
      <w:lvlJc w:val="left"/>
      <w:pPr>
        <w:ind w:left="5283" w:hanging="529"/>
      </w:pPr>
      <w:rPr>
        <w:rFonts w:hint="default"/>
        <w:lang w:val="zh-CN" w:eastAsia="zh-CN" w:bidi="zh-CN"/>
      </w:rPr>
    </w:lvl>
    <w:lvl w:ilvl="6">
      <w:start w:val="0"/>
      <w:numFmt w:val="bullet"/>
      <w:lvlText w:val="•"/>
      <w:lvlJc w:val="left"/>
      <w:pPr>
        <w:ind w:left="6107" w:hanging="529"/>
      </w:pPr>
      <w:rPr>
        <w:rFonts w:hint="default"/>
        <w:lang w:val="zh-CN" w:eastAsia="zh-CN" w:bidi="zh-CN"/>
      </w:rPr>
    </w:lvl>
    <w:lvl w:ilvl="7">
      <w:start w:val="0"/>
      <w:numFmt w:val="bullet"/>
      <w:lvlText w:val="•"/>
      <w:lvlJc w:val="left"/>
      <w:pPr>
        <w:ind w:left="6932" w:hanging="529"/>
      </w:pPr>
      <w:rPr>
        <w:rFonts w:hint="default"/>
        <w:lang w:val="zh-CN" w:eastAsia="zh-CN" w:bidi="zh-CN"/>
      </w:rPr>
    </w:lvl>
    <w:lvl w:ilvl="8">
      <w:start w:val="0"/>
      <w:numFmt w:val="bullet"/>
      <w:lvlText w:val="•"/>
      <w:lvlJc w:val="left"/>
      <w:pPr>
        <w:ind w:left="7757" w:hanging="529"/>
      </w:pPr>
      <w:rPr>
        <w:rFonts w:hint="default"/>
        <w:lang w:val="zh-CN" w:eastAsia="zh-CN" w:bidi="zh-CN"/>
      </w:rPr>
    </w:lvl>
  </w:abstractNum>
  <w:abstractNum w:abstractNumId="15">
    <w:multiLevelType w:val="hybridMultilevel"/>
    <w:lvl w:ilvl="0">
      <w:start w:val="1"/>
      <w:numFmt w:val="decimal"/>
      <w:lvlText w:val="（%1）"/>
      <w:lvlJc w:val="left"/>
      <w:pPr>
        <w:ind w:left="116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984" w:hanging="529"/>
      </w:pPr>
      <w:rPr>
        <w:rFonts w:hint="default"/>
        <w:lang w:val="zh-CN" w:eastAsia="zh-CN" w:bidi="zh-CN"/>
      </w:rPr>
    </w:lvl>
    <w:lvl w:ilvl="2">
      <w:start w:val="0"/>
      <w:numFmt w:val="bullet"/>
      <w:lvlText w:val="•"/>
      <w:lvlJc w:val="left"/>
      <w:pPr>
        <w:ind w:left="2809" w:hanging="529"/>
      </w:pPr>
      <w:rPr>
        <w:rFonts w:hint="default"/>
        <w:lang w:val="zh-CN" w:eastAsia="zh-CN" w:bidi="zh-CN"/>
      </w:rPr>
    </w:lvl>
    <w:lvl w:ilvl="3">
      <w:start w:val="0"/>
      <w:numFmt w:val="bullet"/>
      <w:lvlText w:val="•"/>
      <w:lvlJc w:val="left"/>
      <w:pPr>
        <w:ind w:left="3633" w:hanging="529"/>
      </w:pPr>
      <w:rPr>
        <w:rFonts w:hint="default"/>
        <w:lang w:val="zh-CN" w:eastAsia="zh-CN" w:bidi="zh-CN"/>
      </w:rPr>
    </w:lvl>
    <w:lvl w:ilvl="4">
      <w:start w:val="0"/>
      <w:numFmt w:val="bullet"/>
      <w:lvlText w:val="•"/>
      <w:lvlJc w:val="left"/>
      <w:pPr>
        <w:ind w:left="4458" w:hanging="529"/>
      </w:pPr>
      <w:rPr>
        <w:rFonts w:hint="default"/>
        <w:lang w:val="zh-CN" w:eastAsia="zh-CN" w:bidi="zh-CN"/>
      </w:rPr>
    </w:lvl>
    <w:lvl w:ilvl="5">
      <w:start w:val="0"/>
      <w:numFmt w:val="bullet"/>
      <w:lvlText w:val="•"/>
      <w:lvlJc w:val="left"/>
      <w:pPr>
        <w:ind w:left="5283" w:hanging="529"/>
      </w:pPr>
      <w:rPr>
        <w:rFonts w:hint="default"/>
        <w:lang w:val="zh-CN" w:eastAsia="zh-CN" w:bidi="zh-CN"/>
      </w:rPr>
    </w:lvl>
    <w:lvl w:ilvl="6">
      <w:start w:val="0"/>
      <w:numFmt w:val="bullet"/>
      <w:lvlText w:val="•"/>
      <w:lvlJc w:val="left"/>
      <w:pPr>
        <w:ind w:left="6107" w:hanging="529"/>
      </w:pPr>
      <w:rPr>
        <w:rFonts w:hint="default"/>
        <w:lang w:val="zh-CN" w:eastAsia="zh-CN" w:bidi="zh-CN"/>
      </w:rPr>
    </w:lvl>
    <w:lvl w:ilvl="7">
      <w:start w:val="0"/>
      <w:numFmt w:val="bullet"/>
      <w:lvlText w:val="•"/>
      <w:lvlJc w:val="left"/>
      <w:pPr>
        <w:ind w:left="6932" w:hanging="529"/>
      </w:pPr>
      <w:rPr>
        <w:rFonts w:hint="default"/>
        <w:lang w:val="zh-CN" w:eastAsia="zh-CN" w:bidi="zh-CN"/>
      </w:rPr>
    </w:lvl>
    <w:lvl w:ilvl="8">
      <w:start w:val="0"/>
      <w:numFmt w:val="bullet"/>
      <w:lvlText w:val="•"/>
      <w:lvlJc w:val="left"/>
      <w:pPr>
        <w:ind w:left="7757" w:hanging="529"/>
      </w:pPr>
      <w:rPr>
        <w:rFonts w:hint="default"/>
        <w:lang w:val="zh-CN" w:eastAsia="zh-CN" w:bidi="zh-CN"/>
      </w:rPr>
    </w:lvl>
  </w:abstractNum>
  <w:abstractNum w:abstractNumId="13">
    <w:multiLevelType w:val="hybridMultilevel"/>
    <w:lvl w:ilvl="0">
      <w:start w:val="2"/>
      <w:numFmt w:val="decimal"/>
      <w:lvlText w:val="（%1）"/>
      <w:lvlJc w:val="left"/>
      <w:pPr>
        <w:ind w:left="1063" w:hanging="529"/>
        <w:jc w:val="left"/>
      </w:pPr>
      <w:rPr>
        <w:rFonts w:hint="default" w:ascii="宋体" w:hAnsi="宋体" w:eastAsia="宋体" w:cs="宋体"/>
        <w:spacing w:val="-3"/>
        <w:w w:val="100"/>
        <w:sz w:val="19"/>
        <w:szCs w:val="19"/>
        <w:lang w:val="zh-CN" w:eastAsia="zh-CN" w:bidi="zh-CN"/>
      </w:rPr>
    </w:lvl>
    <w:lvl w:ilvl="1">
      <w:start w:val="154"/>
      <w:numFmt w:val="decimal"/>
      <w:lvlText w:val="（%2）"/>
      <w:lvlJc w:val="left"/>
      <w:pPr>
        <w:ind w:left="1378" w:hanging="738"/>
        <w:jc w:val="left"/>
      </w:pPr>
      <w:rPr>
        <w:rFonts w:hint="default" w:ascii="宋体" w:hAnsi="宋体" w:eastAsia="宋体" w:cs="宋体"/>
        <w:spacing w:val="-3"/>
        <w:w w:val="100"/>
        <w:sz w:val="19"/>
        <w:szCs w:val="19"/>
        <w:lang w:val="zh-CN" w:eastAsia="zh-CN" w:bidi="zh-CN"/>
      </w:rPr>
    </w:lvl>
    <w:lvl w:ilvl="2">
      <w:start w:val="0"/>
      <w:numFmt w:val="bullet"/>
      <w:lvlText w:val="•"/>
      <w:lvlJc w:val="left"/>
      <w:pPr>
        <w:ind w:left="2271" w:hanging="738"/>
      </w:pPr>
      <w:rPr>
        <w:rFonts w:hint="default"/>
        <w:lang w:val="zh-CN" w:eastAsia="zh-CN" w:bidi="zh-CN"/>
      </w:rPr>
    </w:lvl>
    <w:lvl w:ilvl="3">
      <w:start w:val="0"/>
      <w:numFmt w:val="bullet"/>
      <w:lvlText w:val="•"/>
      <w:lvlJc w:val="left"/>
      <w:pPr>
        <w:ind w:left="3163" w:hanging="738"/>
      </w:pPr>
      <w:rPr>
        <w:rFonts w:hint="default"/>
        <w:lang w:val="zh-CN" w:eastAsia="zh-CN" w:bidi="zh-CN"/>
      </w:rPr>
    </w:lvl>
    <w:lvl w:ilvl="4">
      <w:start w:val="0"/>
      <w:numFmt w:val="bullet"/>
      <w:lvlText w:val="•"/>
      <w:lvlJc w:val="left"/>
      <w:pPr>
        <w:ind w:left="4055" w:hanging="738"/>
      </w:pPr>
      <w:rPr>
        <w:rFonts w:hint="default"/>
        <w:lang w:val="zh-CN" w:eastAsia="zh-CN" w:bidi="zh-CN"/>
      </w:rPr>
    </w:lvl>
    <w:lvl w:ilvl="5">
      <w:start w:val="0"/>
      <w:numFmt w:val="bullet"/>
      <w:lvlText w:val="•"/>
      <w:lvlJc w:val="left"/>
      <w:pPr>
        <w:ind w:left="4947" w:hanging="738"/>
      </w:pPr>
      <w:rPr>
        <w:rFonts w:hint="default"/>
        <w:lang w:val="zh-CN" w:eastAsia="zh-CN" w:bidi="zh-CN"/>
      </w:rPr>
    </w:lvl>
    <w:lvl w:ilvl="6">
      <w:start w:val="0"/>
      <w:numFmt w:val="bullet"/>
      <w:lvlText w:val="•"/>
      <w:lvlJc w:val="left"/>
      <w:pPr>
        <w:ind w:left="5839" w:hanging="738"/>
      </w:pPr>
      <w:rPr>
        <w:rFonts w:hint="default"/>
        <w:lang w:val="zh-CN" w:eastAsia="zh-CN" w:bidi="zh-CN"/>
      </w:rPr>
    </w:lvl>
    <w:lvl w:ilvl="7">
      <w:start w:val="0"/>
      <w:numFmt w:val="bullet"/>
      <w:lvlText w:val="•"/>
      <w:lvlJc w:val="left"/>
      <w:pPr>
        <w:ind w:left="6730" w:hanging="738"/>
      </w:pPr>
      <w:rPr>
        <w:rFonts w:hint="default"/>
        <w:lang w:val="zh-CN" w:eastAsia="zh-CN" w:bidi="zh-CN"/>
      </w:rPr>
    </w:lvl>
    <w:lvl w:ilvl="8">
      <w:start w:val="0"/>
      <w:numFmt w:val="bullet"/>
      <w:lvlText w:val="•"/>
      <w:lvlJc w:val="left"/>
      <w:pPr>
        <w:ind w:left="7622" w:hanging="738"/>
      </w:pPr>
      <w:rPr>
        <w:rFonts w:hint="default"/>
        <w:lang w:val="zh-CN" w:eastAsia="zh-CN" w:bidi="zh-CN"/>
      </w:rPr>
    </w:lvl>
  </w:abstractNum>
  <w:abstractNum w:abstractNumId="12">
    <w:multiLevelType w:val="hybridMultilevel"/>
    <w:lvl w:ilvl="0">
      <w:start w:val="1"/>
      <w:numFmt w:val="decimal"/>
      <w:lvlText w:val="（%1）"/>
      <w:lvlJc w:val="left"/>
      <w:pPr>
        <w:ind w:left="116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984" w:hanging="529"/>
      </w:pPr>
      <w:rPr>
        <w:rFonts w:hint="default"/>
        <w:lang w:val="zh-CN" w:eastAsia="zh-CN" w:bidi="zh-CN"/>
      </w:rPr>
    </w:lvl>
    <w:lvl w:ilvl="2">
      <w:start w:val="0"/>
      <w:numFmt w:val="bullet"/>
      <w:lvlText w:val="•"/>
      <w:lvlJc w:val="left"/>
      <w:pPr>
        <w:ind w:left="2809" w:hanging="529"/>
      </w:pPr>
      <w:rPr>
        <w:rFonts w:hint="default"/>
        <w:lang w:val="zh-CN" w:eastAsia="zh-CN" w:bidi="zh-CN"/>
      </w:rPr>
    </w:lvl>
    <w:lvl w:ilvl="3">
      <w:start w:val="0"/>
      <w:numFmt w:val="bullet"/>
      <w:lvlText w:val="•"/>
      <w:lvlJc w:val="left"/>
      <w:pPr>
        <w:ind w:left="3633" w:hanging="529"/>
      </w:pPr>
      <w:rPr>
        <w:rFonts w:hint="default"/>
        <w:lang w:val="zh-CN" w:eastAsia="zh-CN" w:bidi="zh-CN"/>
      </w:rPr>
    </w:lvl>
    <w:lvl w:ilvl="4">
      <w:start w:val="0"/>
      <w:numFmt w:val="bullet"/>
      <w:lvlText w:val="•"/>
      <w:lvlJc w:val="left"/>
      <w:pPr>
        <w:ind w:left="4458" w:hanging="529"/>
      </w:pPr>
      <w:rPr>
        <w:rFonts w:hint="default"/>
        <w:lang w:val="zh-CN" w:eastAsia="zh-CN" w:bidi="zh-CN"/>
      </w:rPr>
    </w:lvl>
    <w:lvl w:ilvl="5">
      <w:start w:val="0"/>
      <w:numFmt w:val="bullet"/>
      <w:lvlText w:val="•"/>
      <w:lvlJc w:val="left"/>
      <w:pPr>
        <w:ind w:left="5283" w:hanging="529"/>
      </w:pPr>
      <w:rPr>
        <w:rFonts w:hint="default"/>
        <w:lang w:val="zh-CN" w:eastAsia="zh-CN" w:bidi="zh-CN"/>
      </w:rPr>
    </w:lvl>
    <w:lvl w:ilvl="6">
      <w:start w:val="0"/>
      <w:numFmt w:val="bullet"/>
      <w:lvlText w:val="•"/>
      <w:lvlJc w:val="left"/>
      <w:pPr>
        <w:ind w:left="6107" w:hanging="529"/>
      </w:pPr>
      <w:rPr>
        <w:rFonts w:hint="default"/>
        <w:lang w:val="zh-CN" w:eastAsia="zh-CN" w:bidi="zh-CN"/>
      </w:rPr>
    </w:lvl>
    <w:lvl w:ilvl="7">
      <w:start w:val="0"/>
      <w:numFmt w:val="bullet"/>
      <w:lvlText w:val="•"/>
      <w:lvlJc w:val="left"/>
      <w:pPr>
        <w:ind w:left="6932" w:hanging="529"/>
      </w:pPr>
      <w:rPr>
        <w:rFonts w:hint="default"/>
        <w:lang w:val="zh-CN" w:eastAsia="zh-CN" w:bidi="zh-CN"/>
      </w:rPr>
    </w:lvl>
    <w:lvl w:ilvl="8">
      <w:start w:val="0"/>
      <w:numFmt w:val="bullet"/>
      <w:lvlText w:val="•"/>
      <w:lvlJc w:val="left"/>
      <w:pPr>
        <w:ind w:left="7757" w:hanging="529"/>
      </w:pPr>
      <w:rPr>
        <w:rFonts w:hint="default"/>
        <w:lang w:val="zh-CN" w:eastAsia="zh-CN" w:bidi="zh-CN"/>
      </w:rPr>
    </w:lvl>
  </w:abstractNum>
  <w:abstractNum w:abstractNumId="11">
    <w:multiLevelType w:val="hybridMultilevel"/>
    <w:lvl w:ilvl="0">
      <w:start w:val="1"/>
      <w:numFmt w:val="decimal"/>
      <w:lvlText w:val="（%1）"/>
      <w:lvlJc w:val="left"/>
      <w:pPr>
        <w:ind w:left="116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984" w:hanging="529"/>
      </w:pPr>
      <w:rPr>
        <w:rFonts w:hint="default"/>
        <w:lang w:val="zh-CN" w:eastAsia="zh-CN" w:bidi="zh-CN"/>
      </w:rPr>
    </w:lvl>
    <w:lvl w:ilvl="2">
      <w:start w:val="0"/>
      <w:numFmt w:val="bullet"/>
      <w:lvlText w:val="•"/>
      <w:lvlJc w:val="left"/>
      <w:pPr>
        <w:ind w:left="2809" w:hanging="529"/>
      </w:pPr>
      <w:rPr>
        <w:rFonts w:hint="default"/>
        <w:lang w:val="zh-CN" w:eastAsia="zh-CN" w:bidi="zh-CN"/>
      </w:rPr>
    </w:lvl>
    <w:lvl w:ilvl="3">
      <w:start w:val="0"/>
      <w:numFmt w:val="bullet"/>
      <w:lvlText w:val="•"/>
      <w:lvlJc w:val="left"/>
      <w:pPr>
        <w:ind w:left="3633" w:hanging="529"/>
      </w:pPr>
      <w:rPr>
        <w:rFonts w:hint="default"/>
        <w:lang w:val="zh-CN" w:eastAsia="zh-CN" w:bidi="zh-CN"/>
      </w:rPr>
    </w:lvl>
    <w:lvl w:ilvl="4">
      <w:start w:val="0"/>
      <w:numFmt w:val="bullet"/>
      <w:lvlText w:val="•"/>
      <w:lvlJc w:val="left"/>
      <w:pPr>
        <w:ind w:left="4458" w:hanging="529"/>
      </w:pPr>
      <w:rPr>
        <w:rFonts w:hint="default"/>
        <w:lang w:val="zh-CN" w:eastAsia="zh-CN" w:bidi="zh-CN"/>
      </w:rPr>
    </w:lvl>
    <w:lvl w:ilvl="5">
      <w:start w:val="0"/>
      <w:numFmt w:val="bullet"/>
      <w:lvlText w:val="•"/>
      <w:lvlJc w:val="left"/>
      <w:pPr>
        <w:ind w:left="5283" w:hanging="529"/>
      </w:pPr>
      <w:rPr>
        <w:rFonts w:hint="default"/>
        <w:lang w:val="zh-CN" w:eastAsia="zh-CN" w:bidi="zh-CN"/>
      </w:rPr>
    </w:lvl>
    <w:lvl w:ilvl="6">
      <w:start w:val="0"/>
      <w:numFmt w:val="bullet"/>
      <w:lvlText w:val="•"/>
      <w:lvlJc w:val="left"/>
      <w:pPr>
        <w:ind w:left="6107" w:hanging="529"/>
      </w:pPr>
      <w:rPr>
        <w:rFonts w:hint="default"/>
        <w:lang w:val="zh-CN" w:eastAsia="zh-CN" w:bidi="zh-CN"/>
      </w:rPr>
    </w:lvl>
    <w:lvl w:ilvl="7">
      <w:start w:val="0"/>
      <w:numFmt w:val="bullet"/>
      <w:lvlText w:val="•"/>
      <w:lvlJc w:val="left"/>
      <w:pPr>
        <w:ind w:left="6932" w:hanging="529"/>
      </w:pPr>
      <w:rPr>
        <w:rFonts w:hint="default"/>
        <w:lang w:val="zh-CN" w:eastAsia="zh-CN" w:bidi="zh-CN"/>
      </w:rPr>
    </w:lvl>
    <w:lvl w:ilvl="8">
      <w:start w:val="0"/>
      <w:numFmt w:val="bullet"/>
      <w:lvlText w:val="•"/>
      <w:lvlJc w:val="left"/>
      <w:pPr>
        <w:ind w:left="7757" w:hanging="529"/>
      </w:pPr>
      <w:rPr>
        <w:rFonts w:hint="default"/>
        <w:lang w:val="zh-CN" w:eastAsia="zh-CN" w:bidi="zh-CN"/>
      </w:rPr>
    </w:lvl>
  </w:abstractNum>
  <w:abstractNum w:abstractNumId="10">
    <w:multiLevelType w:val="hybridMultilevel"/>
    <w:lvl w:ilvl="0">
      <w:start w:val="1"/>
      <w:numFmt w:val="decimal"/>
      <w:lvlText w:val="（%1）"/>
      <w:lvlJc w:val="left"/>
      <w:pPr>
        <w:ind w:left="116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984" w:hanging="529"/>
      </w:pPr>
      <w:rPr>
        <w:rFonts w:hint="default"/>
        <w:lang w:val="zh-CN" w:eastAsia="zh-CN" w:bidi="zh-CN"/>
      </w:rPr>
    </w:lvl>
    <w:lvl w:ilvl="2">
      <w:start w:val="0"/>
      <w:numFmt w:val="bullet"/>
      <w:lvlText w:val="•"/>
      <w:lvlJc w:val="left"/>
      <w:pPr>
        <w:ind w:left="2809" w:hanging="529"/>
      </w:pPr>
      <w:rPr>
        <w:rFonts w:hint="default"/>
        <w:lang w:val="zh-CN" w:eastAsia="zh-CN" w:bidi="zh-CN"/>
      </w:rPr>
    </w:lvl>
    <w:lvl w:ilvl="3">
      <w:start w:val="0"/>
      <w:numFmt w:val="bullet"/>
      <w:lvlText w:val="•"/>
      <w:lvlJc w:val="left"/>
      <w:pPr>
        <w:ind w:left="3633" w:hanging="529"/>
      </w:pPr>
      <w:rPr>
        <w:rFonts w:hint="default"/>
        <w:lang w:val="zh-CN" w:eastAsia="zh-CN" w:bidi="zh-CN"/>
      </w:rPr>
    </w:lvl>
    <w:lvl w:ilvl="4">
      <w:start w:val="0"/>
      <w:numFmt w:val="bullet"/>
      <w:lvlText w:val="•"/>
      <w:lvlJc w:val="left"/>
      <w:pPr>
        <w:ind w:left="4458" w:hanging="529"/>
      </w:pPr>
      <w:rPr>
        <w:rFonts w:hint="default"/>
        <w:lang w:val="zh-CN" w:eastAsia="zh-CN" w:bidi="zh-CN"/>
      </w:rPr>
    </w:lvl>
    <w:lvl w:ilvl="5">
      <w:start w:val="0"/>
      <w:numFmt w:val="bullet"/>
      <w:lvlText w:val="•"/>
      <w:lvlJc w:val="left"/>
      <w:pPr>
        <w:ind w:left="5283" w:hanging="529"/>
      </w:pPr>
      <w:rPr>
        <w:rFonts w:hint="default"/>
        <w:lang w:val="zh-CN" w:eastAsia="zh-CN" w:bidi="zh-CN"/>
      </w:rPr>
    </w:lvl>
    <w:lvl w:ilvl="6">
      <w:start w:val="0"/>
      <w:numFmt w:val="bullet"/>
      <w:lvlText w:val="•"/>
      <w:lvlJc w:val="left"/>
      <w:pPr>
        <w:ind w:left="6107" w:hanging="529"/>
      </w:pPr>
      <w:rPr>
        <w:rFonts w:hint="default"/>
        <w:lang w:val="zh-CN" w:eastAsia="zh-CN" w:bidi="zh-CN"/>
      </w:rPr>
    </w:lvl>
    <w:lvl w:ilvl="7">
      <w:start w:val="0"/>
      <w:numFmt w:val="bullet"/>
      <w:lvlText w:val="•"/>
      <w:lvlJc w:val="left"/>
      <w:pPr>
        <w:ind w:left="6932" w:hanging="529"/>
      </w:pPr>
      <w:rPr>
        <w:rFonts w:hint="default"/>
        <w:lang w:val="zh-CN" w:eastAsia="zh-CN" w:bidi="zh-CN"/>
      </w:rPr>
    </w:lvl>
    <w:lvl w:ilvl="8">
      <w:start w:val="0"/>
      <w:numFmt w:val="bullet"/>
      <w:lvlText w:val="•"/>
      <w:lvlJc w:val="left"/>
      <w:pPr>
        <w:ind w:left="7757" w:hanging="529"/>
      </w:pPr>
      <w:rPr>
        <w:rFonts w:hint="default"/>
        <w:lang w:val="zh-CN" w:eastAsia="zh-CN" w:bidi="zh-CN"/>
      </w:rPr>
    </w:lvl>
  </w:abstractNum>
  <w:abstractNum w:abstractNumId="9">
    <w:multiLevelType w:val="hybridMultilevel"/>
    <w:lvl w:ilvl="0">
      <w:start w:val="1"/>
      <w:numFmt w:val="decimal"/>
      <w:lvlText w:val="（%1）"/>
      <w:lvlJc w:val="left"/>
      <w:pPr>
        <w:ind w:left="116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984" w:hanging="529"/>
      </w:pPr>
      <w:rPr>
        <w:rFonts w:hint="default"/>
        <w:lang w:val="zh-CN" w:eastAsia="zh-CN" w:bidi="zh-CN"/>
      </w:rPr>
    </w:lvl>
    <w:lvl w:ilvl="2">
      <w:start w:val="0"/>
      <w:numFmt w:val="bullet"/>
      <w:lvlText w:val="•"/>
      <w:lvlJc w:val="left"/>
      <w:pPr>
        <w:ind w:left="2809" w:hanging="529"/>
      </w:pPr>
      <w:rPr>
        <w:rFonts w:hint="default"/>
        <w:lang w:val="zh-CN" w:eastAsia="zh-CN" w:bidi="zh-CN"/>
      </w:rPr>
    </w:lvl>
    <w:lvl w:ilvl="3">
      <w:start w:val="0"/>
      <w:numFmt w:val="bullet"/>
      <w:lvlText w:val="•"/>
      <w:lvlJc w:val="left"/>
      <w:pPr>
        <w:ind w:left="3633" w:hanging="529"/>
      </w:pPr>
      <w:rPr>
        <w:rFonts w:hint="default"/>
        <w:lang w:val="zh-CN" w:eastAsia="zh-CN" w:bidi="zh-CN"/>
      </w:rPr>
    </w:lvl>
    <w:lvl w:ilvl="4">
      <w:start w:val="0"/>
      <w:numFmt w:val="bullet"/>
      <w:lvlText w:val="•"/>
      <w:lvlJc w:val="left"/>
      <w:pPr>
        <w:ind w:left="4458" w:hanging="529"/>
      </w:pPr>
      <w:rPr>
        <w:rFonts w:hint="default"/>
        <w:lang w:val="zh-CN" w:eastAsia="zh-CN" w:bidi="zh-CN"/>
      </w:rPr>
    </w:lvl>
    <w:lvl w:ilvl="5">
      <w:start w:val="0"/>
      <w:numFmt w:val="bullet"/>
      <w:lvlText w:val="•"/>
      <w:lvlJc w:val="left"/>
      <w:pPr>
        <w:ind w:left="5283" w:hanging="529"/>
      </w:pPr>
      <w:rPr>
        <w:rFonts w:hint="default"/>
        <w:lang w:val="zh-CN" w:eastAsia="zh-CN" w:bidi="zh-CN"/>
      </w:rPr>
    </w:lvl>
    <w:lvl w:ilvl="6">
      <w:start w:val="0"/>
      <w:numFmt w:val="bullet"/>
      <w:lvlText w:val="•"/>
      <w:lvlJc w:val="left"/>
      <w:pPr>
        <w:ind w:left="6107" w:hanging="529"/>
      </w:pPr>
      <w:rPr>
        <w:rFonts w:hint="default"/>
        <w:lang w:val="zh-CN" w:eastAsia="zh-CN" w:bidi="zh-CN"/>
      </w:rPr>
    </w:lvl>
    <w:lvl w:ilvl="7">
      <w:start w:val="0"/>
      <w:numFmt w:val="bullet"/>
      <w:lvlText w:val="•"/>
      <w:lvlJc w:val="left"/>
      <w:pPr>
        <w:ind w:left="6932" w:hanging="529"/>
      </w:pPr>
      <w:rPr>
        <w:rFonts w:hint="default"/>
        <w:lang w:val="zh-CN" w:eastAsia="zh-CN" w:bidi="zh-CN"/>
      </w:rPr>
    </w:lvl>
    <w:lvl w:ilvl="8">
      <w:start w:val="0"/>
      <w:numFmt w:val="bullet"/>
      <w:lvlText w:val="•"/>
      <w:lvlJc w:val="left"/>
      <w:pPr>
        <w:ind w:left="7757" w:hanging="529"/>
      </w:pPr>
      <w:rPr>
        <w:rFonts w:hint="default"/>
        <w:lang w:val="zh-CN" w:eastAsia="zh-CN" w:bidi="zh-CN"/>
      </w:rPr>
    </w:lvl>
  </w:abstractNum>
  <w:abstractNum w:abstractNumId="8">
    <w:multiLevelType w:val="hybridMultilevel"/>
    <w:lvl w:ilvl="0">
      <w:start w:val="1"/>
      <w:numFmt w:val="decimal"/>
      <w:lvlText w:val="（%1）"/>
      <w:lvlJc w:val="left"/>
      <w:pPr>
        <w:ind w:left="116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984" w:hanging="529"/>
      </w:pPr>
      <w:rPr>
        <w:rFonts w:hint="default"/>
        <w:lang w:val="zh-CN" w:eastAsia="zh-CN" w:bidi="zh-CN"/>
      </w:rPr>
    </w:lvl>
    <w:lvl w:ilvl="2">
      <w:start w:val="0"/>
      <w:numFmt w:val="bullet"/>
      <w:lvlText w:val="•"/>
      <w:lvlJc w:val="left"/>
      <w:pPr>
        <w:ind w:left="2809" w:hanging="529"/>
      </w:pPr>
      <w:rPr>
        <w:rFonts w:hint="default"/>
        <w:lang w:val="zh-CN" w:eastAsia="zh-CN" w:bidi="zh-CN"/>
      </w:rPr>
    </w:lvl>
    <w:lvl w:ilvl="3">
      <w:start w:val="0"/>
      <w:numFmt w:val="bullet"/>
      <w:lvlText w:val="•"/>
      <w:lvlJc w:val="left"/>
      <w:pPr>
        <w:ind w:left="3633" w:hanging="529"/>
      </w:pPr>
      <w:rPr>
        <w:rFonts w:hint="default"/>
        <w:lang w:val="zh-CN" w:eastAsia="zh-CN" w:bidi="zh-CN"/>
      </w:rPr>
    </w:lvl>
    <w:lvl w:ilvl="4">
      <w:start w:val="0"/>
      <w:numFmt w:val="bullet"/>
      <w:lvlText w:val="•"/>
      <w:lvlJc w:val="left"/>
      <w:pPr>
        <w:ind w:left="4458" w:hanging="529"/>
      </w:pPr>
      <w:rPr>
        <w:rFonts w:hint="default"/>
        <w:lang w:val="zh-CN" w:eastAsia="zh-CN" w:bidi="zh-CN"/>
      </w:rPr>
    </w:lvl>
    <w:lvl w:ilvl="5">
      <w:start w:val="0"/>
      <w:numFmt w:val="bullet"/>
      <w:lvlText w:val="•"/>
      <w:lvlJc w:val="left"/>
      <w:pPr>
        <w:ind w:left="5283" w:hanging="529"/>
      </w:pPr>
      <w:rPr>
        <w:rFonts w:hint="default"/>
        <w:lang w:val="zh-CN" w:eastAsia="zh-CN" w:bidi="zh-CN"/>
      </w:rPr>
    </w:lvl>
    <w:lvl w:ilvl="6">
      <w:start w:val="0"/>
      <w:numFmt w:val="bullet"/>
      <w:lvlText w:val="•"/>
      <w:lvlJc w:val="left"/>
      <w:pPr>
        <w:ind w:left="6107" w:hanging="529"/>
      </w:pPr>
      <w:rPr>
        <w:rFonts w:hint="default"/>
        <w:lang w:val="zh-CN" w:eastAsia="zh-CN" w:bidi="zh-CN"/>
      </w:rPr>
    </w:lvl>
    <w:lvl w:ilvl="7">
      <w:start w:val="0"/>
      <w:numFmt w:val="bullet"/>
      <w:lvlText w:val="•"/>
      <w:lvlJc w:val="left"/>
      <w:pPr>
        <w:ind w:left="6932" w:hanging="529"/>
      </w:pPr>
      <w:rPr>
        <w:rFonts w:hint="default"/>
        <w:lang w:val="zh-CN" w:eastAsia="zh-CN" w:bidi="zh-CN"/>
      </w:rPr>
    </w:lvl>
    <w:lvl w:ilvl="8">
      <w:start w:val="0"/>
      <w:numFmt w:val="bullet"/>
      <w:lvlText w:val="•"/>
      <w:lvlJc w:val="left"/>
      <w:pPr>
        <w:ind w:left="7757" w:hanging="529"/>
      </w:pPr>
      <w:rPr>
        <w:rFonts w:hint="default"/>
        <w:lang w:val="zh-CN" w:eastAsia="zh-CN" w:bidi="zh-CN"/>
      </w:rPr>
    </w:lvl>
  </w:abstractNum>
  <w:abstractNum w:abstractNumId="7">
    <w:multiLevelType w:val="hybridMultilevel"/>
    <w:lvl w:ilvl="0">
      <w:start w:val="1"/>
      <w:numFmt w:val="decimal"/>
      <w:lvlText w:val="（%1）"/>
      <w:lvlJc w:val="left"/>
      <w:pPr>
        <w:ind w:left="220" w:hanging="527"/>
        <w:jc w:val="left"/>
      </w:pPr>
      <w:rPr>
        <w:rFonts w:hint="default" w:ascii="宋体" w:hAnsi="宋体" w:eastAsia="宋体" w:cs="宋体"/>
        <w:spacing w:val="-34"/>
        <w:w w:val="100"/>
        <w:sz w:val="19"/>
        <w:szCs w:val="19"/>
        <w:lang w:val="zh-CN" w:eastAsia="zh-CN" w:bidi="zh-CN"/>
      </w:rPr>
    </w:lvl>
    <w:lvl w:ilvl="1">
      <w:start w:val="0"/>
      <w:numFmt w:val="bullet"/>
      <w:lvlText w:val="•"/>
      <w:lvlJc w:val="left"/>
      <w:pPr>
        <w:ind w:left="1138" w:hanging="527"/>
      </w:pPr>
      <w:rPr>
        <w:rFonts w:hint="default"/>
        <w:lang w:val="zh-CN" w:eastAsia="zh-CN" w:bidi="zh-CN"/>
      </w:rPr>
    </w:lvl>
    <w:lvl w:ilvl="2">
      <w:start w:val="0"/>
      <w:numFmt w:val="bullet"/>
      <w:lvlText w:val="•"/>
      <w:lvlJc w:val="left"/>
      <w:pPr>
        <w:ind w:left="2057" w:hanging="527"/>
      </w:pPr>
      <w:rPr>
        <w:rFonts w:hint="default"/>
        <w:lang w:val="zh-CN" w:eastAsia="zh-CN" w:bidi="zh-CN"/>
      </w:rPr>
    </w:lvl>
    <w:lvl w:ilvl="3">
      <w:start w:val="0"/>
      <w:numFmt w:val="bullet"/>
      <w:lvlText w:val="•"/>
      <w:lvlJc w:val="left"/>
      <w:pPr>
        <w:ind w:left="2975" w:hanging="527"/>
      </w:pPr>
      <w:rPr>
        <w:rFonts w:hint="default"/>
        <w:lang w:val="zh-CN" w:eastAsia="zh-CN" w:bidi="zh-CN"/>
      </w:rPr>
    </w:lvl>
    <w:lvl w:ilvl="4">
      <w:start w:val="0"/>
      <w:numFmt w:val="bullet"/>
      <w:lvlText w:val="•"/>
      <w:lvlJc w:val="left"/>
      <w:pPr>
        <w:ind w:left="3894" w:hanging="527"/>
      </w:pPr>
      <w:rPr>
        <w:rFonts w:hint="default"/>
        <w:lang w:val="zh-CN" w:eastAsia="zh-CN" w:bidi="zh-CN"/>
      </w:rPr>
    </w:lvl>
    <w:lvl w:ilvl="5">
      <w:start w:val="0"/>
      <w:numFmt w:val="bullet"/>
      <w:lvlText w:val="•"/>
      <w:lvlJc w:val="left"/>
      <w:pPr>
        <w:ind w:left="4813" w:hanging="527"/>
      </w:pPr>
      <w:rPr>
        <w:rFonts w:hint="default"/>
        <w:lang w:val="zh-CN" w:eastAsia="zh-CN" w:bidi="zh-CN"/>
      </w:rPr>
    </w:lvl>
    <w:lvl w:ilvl="6">
      <w:start w:val="0"/>
      <w:numFmt w:val="bullet"/>
      <w:lvlText w:val="•"/>
      <w:lvlJc w:val="left"/>
      <w:pPr>
        <w:ind w:left="5731" w:hanging="527"/>
      </w:pPr>
      <w:rPr>
        <w:rFonts w:hint="default"/>
        <w:lang w:val="zh-CN" w:eastAsia="zh-CN" w:bidi="zh-CN"/>
      </w:rPr>
    </w:lvl>
    <w:lvl w:ilvl="7">
      <w:start w:val="0"/>
      <w:numFmt w:val="bullet"/>
      <w:lvlText w:val="•"/>
      <w:lvlJc w:val="left"/>
      <w:pPr>
        <w:ind w:left="6650" w:hanging="527"/>
      </w:pPr>
      <w:rPr>
        <w:rFonts w:hint="default"/>
        <w:lang w:val="zh-CN" w:eastAsia="zh-CN" w:bidi="zh-CN"/>
      </w:rPr>
    </w:lvl>
    <w:lvl w:ilvl="8">
      <w:start w:val="0"/>
      <w:numFmt w:val="bullet"/>
      <w:lvlText w:val="•"/>
      <w:lvlJc w:val="left"/>
      <w:pPr>
        <w:ind w:left="7569" w:hanging="527"/>
      </w:pPr>
      <w:rPr>
        <w:rFonts w:hint="default"/>
        <w:lang w:val="zh-CN" w:eastAsia="zh-CN" w:bidi="zh-CN"/>
      </w:rPr>
    </w:lvl>
  </w:abstractNum>
  <w:abstractNum w:abstractNumId="6">
    <w:multiLevelType w:val="hybridMultilevel"/>
    <w:lvl w:ilvl="0">
      <w:start w:val="1"/>
      <w:numFmt w:val="decimal"/>
      <w:lvlText w:val="（%1）"/>
      <w:lvlJc w:val="left"/>
      <w:pPr>
        <w:ind w:left="220" w:hanging="529"/>
        <w:jc w:val="left"/>
      </w:pPr>
      <w:rPr>
        <w:rFonts w:hint="default" w:ascii="宋体" w:hAnsi="宋体" w:eastAsia="宋体" w:cs="宋体"/>
        <w:w w:val="100"/>
        <w:sz w:val="19"/>
        <w:szCs w:val="19"/>
        <w:lang w:val="zh-CN" w:eastAsia="zh-CN" w:bidi="zh-CN"/>
      </w:rPr>
    </w:lvl>
    <w:lvl w:ilvl="1">
      <w:start w:val="0"/>
      <w:numFmt w:val="bullet"/>
      <w:lvlText w:val="•"/>
      <w:lvlJc w:val="left"/>
      <w:pPr>
        <w:ind w:left="1138" w:hanging="529"/>
      </w:pPr>
      <w:rPr>
        <w:rFonts w:hint="default"/>
        <w:lang w:val="zh-CN" w:eastAsia="zh-CN" w:bidi="zh-CN"/>
      </w:rPr>
    </w:lvl>
    <w:lvl w:ilvl="2">
      <w:start w:val="0"/>
      <w:numFmt w:val="bullet"/>
      <w:lvlText w:val="•"/>
      <w:lvlJc w:val="left"/>
      <w:pPr>
        <w:ind w:left="2057" w:hanging="529"/>
      </w:pPr>
      <w:rPr>
        <w:rFonts w:hint="default"/>
        <w:lang w:val="zh-CN" w:eastAsia="zh-CN" w:bidi="zh-CN"/>
      </w:rPr>
    </w:lvl>
    <w:lvl w:ilvl="3">
      <w:start w:val="0"/>
      <w:numFmt w:val="bullet"/>
      <w:lvlText w:val="•"/>
      <w:lvlJc w:val="left"/>
      <w:pPr>
        <w:ind w:left="2975" w:hanging="529"/>
      </w:pPr>
      <w:rPr>
        <w:rFonts w:hint="default"/>
        <w:lang w:val="zh-CN" w:eastAsia="zh-CN" w:bidi="zh-CN"/>
      </w:rPr>
    </w:lvl>
    <w:lvl w:ilvl="4">
      <w:start w:val="0"/>
      <w:numFmt w:val="bullet"/>
      <w:lvlText w:val="•"/>
      <w:lvlJc w:val="left"/>
      <w:pPr>
        <w:ind w:left="3894" w:hanging="529"/>
      </w:pPr>
      <w:rPr>
        <w:rFonts w:hint="default"/>
        <w:lang w:val="zh-CN" w:eastAsia="zh-CN" w:bidi="zh-CN"/>
      </w:rPr>
    </w:lvl>
    <w:lvl w:ilvl="5">
      <w:start w:val="0"/>
      <w:numFmt w:val="bullet"/>
      <w:lvlText w:val="•"/>
      <w:lvlJc w:val="left"/>
      <w:pPr>
        <w:ind w:left="4813" w:hanging="529"/>
      </w:pPr>
      <w:rPr>
        <w:rFonts w:hint="default"/>
        <w:lang w:val="zh-CN" w:eastAsia="zh-CN" w:bidi="zh-CN"/>
      </w:rPr>
    </w:lvl>
    <w:lvl w:ilvl="6">
      <w:start w:val="0"/>
      <w:numFmt w:val="bullet"/>
      <w:lvlText w:val="•"/>
      <w:lvlJc w:val="left"/>
      <w:pPr>
        <w:ind w:left="5731" w:hanging="529"/>
      </w:pPr>
      <w:rPr>
        <w:rFonts w:hint="default"/>
        <w:lang w:val="zh-CN" w:eastAsia="zh-CN" w:bidi="zh-CN"/>
      </w:rPr>
    </w:lvl>
    <w:lvl w:ilvl="7">
      <w:start w:val="0"/>
      <w:numFmt w:val="bullet"/>
      <w:lvlText w:val="•"/>
      <w:lvlJc w:val="left"/>
      <w:pPr>
        <w:ind w:left="6650" w:hanging="529"/>
      </w:pPr>
      <w:rPr>
        <w:rFonts w:hint="default"/>
        <w:lang w:val="zh-CN" w:eastAsia="zh-CN" w:bidi="zh-CN"/>
      </w:rPr>
    </w:lvl>
    <w:lvl w:ilvl="8">
      <w:start w:val="0"/>
      <w:numFmt w:val="bullet"/>
      <w:lvlText w:val="•"/>
      <w:lvlJc w:val="left"/>
      <w:pPr>
        <w:ind w:left="7569" w:hanging="529"/>
      </w:pPr>
      <w:rPr>
        <w:rFonts w:hint="default"/>
        <w:lang w:val="zh-CN" w:eastAsia="zh-CN" w:bidi="zh-CN"/>
      </w:rPr>
    </w:lvl>
  </w:abstractNum>
  <w:abstractNum w:abstractNumId="5">
    <w:multiLevelType w:val="hybridMultilevel"/>
    <w:lvl w:ilvl="0">
      <w:start w:val="1"/>
      <w:numFmt w:val="decimal"/>
      <w:lvlText w:val="（%1）"/>
      <w:lvlJc w:val="left"/>
      <w:pPr>
        <w:ind w:left="116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984" w:hanging="529"/>
      </w:pPr>
      <w:rPr>
        <w:rFonts w:hint="default"/>
        <w:lang w:val="zh-CN" w:eastAsia="zh-CN" w:bidi="zh-CN"/>
      </w:rPr>
    </w:lvl>
    <w:lvl w:ilvl="2">
      <w:start w:val="0"/>
      <w:numFmt w:val="bullet"/>
      <w:lvlText w:val="•"/>
      <w:lvlJc w:val="left"/>
      <w:pPr>
        <w:ind w:left="2809" w:hanging="529"/>
      </w:pPr>
      <w:rPr>
        <w:rFonts w:hint="default"/>
        <w:lang w:val="zh-CN" w:eastAsia="zh-CN" w:bidi="zh-CN"/>
      </w:rPr>
    </w:lvl>
    <w:lvl w:ilvl="3">
      <w:start w:val="0"/>
      <w:numFmt w:val="bullet"/>
      <w:lvlText w:val="•"/>
      <w:lvlJc w:val="left"/>
      <w:pPr>
        <w:ind w:left="3633" w:hanging="529"/>
      </w:pPr>
      <w:rPr>
        <w:rFonts w:hint="default"/>
        <w:lang w:val="zh-CN" w:eastAsia="zh-CN" w:bidi="zh-CN"/>
      </w:rPr>
    </w:lvl>
    <w:lvl w:ilvl="4">
      <w:start w:val="0"/>
      <w:numFmt w:val="bullet"/>
      <w:lvlText w:val="•"/>
      <w:lvlJc w:val="left"/>
      <w:pPr>
        <w:ind w:left="4458" w:hanging="529"/>
      </w:pPr>
      <w:rPr>
        <w:rFonts w:hint="default"/>
        <w:lang w:val="zh-CN" w:eastAsia="zh-CN" w:bidi="zh-CN"/>
      </w:rPr>
    </w:lvl>
    <w:lvl w:ilvl="5">
      <w:start w:val="0"/>
      <w:numFmt w:val="bullet"/>
      <w:lvlText w:val="•"/>
      <w:lvlJc w:val="left"/>
      <w:pPr>
        <w:ind w:left="5283" w:hanging="529"/>
      </w:pPr>
      <w:rPr>
        <w:rFonts w:hint="default"/>
        <w:lang w:val="zh-CN" w:eastAsia="zh-CN" w:bidi="zh-CN"/>
      </w:rPr>
    </w:lvl>
    <w:lvl w:ilvl="6">
      <w:start w:val="0"/>
      <w:numFmt w:val="bullet"/>
      <w:lvlText w:val="•"/>
      <w:lvlJc w:val="left"/>
      <w:pPr>
        <w:ind w:left="6107" w:hanging="529"/>
      </w:pPr>
      <w:rPr>
        <w:rFonts w:hint="default"/>
        <w:lang w:val="zh-CN" w:eastAsia="zh-CN" w:bidi="zh-CN"/>
      </w:rPr>
    </w:lvl>
    <w:lvl w:ilvl="7">
      <w:start w:val="0"/>
      <w:numFmt w:val="bullet"/>
      <w:lvlText w:val="•"/>
      <w:lvlJc w:val="left"/>
      <w:pPr>
        <w:ind w:left="6932" w:hanging="529"/>
      </w:pPr>
      <w:rPr>
        <w:rFonts w:hint="default"/>
        <w:lang w:val="zh-CN" w:eastAsia="zh-CN" w:bidi="zh-CN"/>
      </w:rPr>
    </w:lvl>
    <w:lvl w:ilvl="8">
      <w:start w:val="0"/>
      <w:numFmt w:val="bullet"/>
      <w:lvlText w:val="•"/>
      <w:lvlJc w:val="left"/>
      <w:pPr>
        <w:ind w:left="7757" w:hanging="529"/>
      </w:pPr>
      <w:rPr>
        <w:rFonts w:hint="default"/>
        <w:lang w:val="zh-CN" w:eastAsia="zh-CN" w:bidi="zh-CN"/>
      </w:rPr>
    </w:lvl>
  </w:abstractNum>
  <w:abstractNum w:abstractNumId="4">
    <w:multiLevelType w:val="hybridMultilevel"/>
    <w:lvl w:ilvl="0">
      <w:start w:val="5"/>
      <w:numFmt w:val="decimal"/>
      <w:lvlText w:val="%1"/>
      <w:lvlJc w:val="left"/>
      <w:pPr>
        <w:ind w:left="590" w:hanging="370"/>
        <w:jc w:val="left"/>
      </w:pPr>
      <w:rPr>
        <w:rFonts w:hint="default"/>
        <w:lang w:val="zh-CN" w:eastAsia="zh-CN" w:bidi="zh-CN"/>
      </w:rPr>
    </w:lvl>
    <w:lvl w:ilvl="1">
      <w:start w:val="1"/>
      <w:numFmt w:val="decimal"/>
      <w:lvlText w:val="%1.%2"/>
      <w:lvlJc w:val="left"/>
      <w:pPr>
        <w:ind w:left="590" w:hanging="370"/>
        <w:jc w:val="left"/>
      </w:pPr>
      <w:rPr>
        <w:rFonts w:hint="default" w:ascii="Times New Roman" w:hAnsi="Times New Roman" w:eastAsia="Times New Roman" w:cs="Times New Roman"/>
        <w:w w:val="100"/>
        <w:sz w:val="21"/>
        <w:szCs w:val="21"/>
        <w:lang w:val="zh-CN" w:eastAsia="zh-CN" w:bidi="zh-CN"/>
      </w:rPr>
    </w:lvl>
    <w:lvl w:ilvl="2">
      <w:start w:val="1"/>
      <w:numFmt w:val="decimal"/>
      <w:lvlText w:val="%1.%2.%3"/>
      <w:lvlJc w:val="left"/>
      <w:pPr>
        <w:ind w:left="220" w:hanging="579"/>
        <w:jc w:val="left"/>
      </w:pPr>
      <w:rPr>
        <w:rFonts w:hint="default" w:ascii="Times New Roman" w:hAnsi="Times New Roman" w:eastAsia="Times New Roman" w:cs="Times New Roman"/>
        <w:w w:val="100"/>
        <w:sz w:val="21"/>
        <w:szCs w:val="21"/>
        <w:lang w:val="zh-CN" w:eastAsia="zh-CN" w:bidi="zh-CN"/>
      </w:rPr>
    </w:lvl>
    <w:lvl w:ilvl="3">
      <w:start w:val="1"/>
      <w:numFmt w:val="decimal"/>
      <w:lvlText w:val="（%4）"/>
      <w:lvlJc w:val="left"/>
      <w:pPr>
        <w:ind w:left="1169" w:hanging="529"/>
        <w:jc w:val="left"/>
      </w:pPr>
      <w:rPr>
        <w:rFonts w:hint="default" w:ascii="宋体" w:hAnsi="宋体" w:eastAsia="宋体" w:cs="宋体"/>
        <w:spacing w:val="-3"/>
        <w:w w:val="100"/>
        <w:sz w:val="19"/>
        <w:szCs w:val="19"/>
        <w:lang w:val="zh-CN" w:eastAsia="zh-CN" w:bidi="zh-CN"/>
      </w:rPr>
    </w:lvl>
    <w:lvl w:ilvl="4">
      <w:start w:val="0"/>
      <w:numFmt w:val="bullet"/>
      <w:lvlText w:val="•"/>
      <w:lvlJc w:val="left"/>
      <w:pPr>
        <w:ind w:left="3221" w:hanging="529"/>
      </w:pPr>
      <w:rPr>
        <w:rFonts w:hint="default"/>
        <w:lang w:val="zh-CN" w:eastAsia="zh-CN" w:bidi="zh-CN"/>
      </w:rPr>
    </w:lvl>
    <w:lvl w:ilvl="5">
      <w:start w:val="0"/>
      <w:numFmt w:val="bullet"/>
      <w:lvlText w:val="•"/>
      <w:lvlJc w:val="left"/>
      <w:pPr>
        <w:ind w:left="4252" w:hanging="529"/>
      </w:pPr>
      <w:rPr>
        <w:rFonts w:hint="default"/>
        <w:lang w:val="zh-CN" w:eastAsia="zh-CN" w:bidi="zh-CN"/>
      </w:rPr>
    </w:lvl>
    <w:lvl w:ilvl="6">
      <w:start w:val="0"/>
      <w:numFmt w:val="bullet"/>
      <w:lvlText w:val="•"/>
      <w:lvlJc w:val="left"/>
      <w:pPr>
        <w:ind w:left="5283" w:hanging="529"/>
      </w:pPr>
      <w:rPr>
        <w:rFonts w:hint="default"/>
        <w:lang w:val="zh-CN" w:eastAsia="zh-CN" w:bidi="zh-CN"/>
      </w:rPr>
    </w:lvl>
    <w:lvl w:ilvl="7">
      <w:start w:val="0"/>
      <w:numFmt w:val="bullet"/>
      <w:lvlText w:val="•"/>
      <w:lvlJc w:val="left"/>
      <w:pPr>
        <w:ind w:left="6314" w:hanging="529"/>
      </w:pPr>
      <w:rPr>
        <w:rFonts w:hint="default"/>
        <w:lang w:val="zh-CN" w:eastAsia="zh-CN" w:bidi="zh-CN"/>
      </w:rPr>
    </w:lvl>
    <w:lvl w:ilvl="8">
      <w:start w:val="0"/>
      <w:numFmt w:val="bullet"/>
      <w:lvlText w:val="•"/>
      <w:lvlJc w:val="left"/>
      <w:pPr>
        <w:ind w:left="7344" w:hanging="529"/>
      </w:pPr>
      <w:rPr>
        <w:rFonts w:hint="default"/>
        <w:lang w:val="zh-CN" w:eastAsia="zh-CN" w:bidi="zh-CN"/>
      </w:rPr>
    </w:lvl>
  </w:abstractNum>
  <w:abstractNum w:abstractNumId="3">
    <w:multiLevelType w:val="hybridMultilevel"/>
    <w:lvl w:ilvl="0">
      <w:start w:val="1"/>
      <w:numFmt w:val="decimal"/>
      <w:lvlText w:val="（%1）"/>
      <w:lvlJc w:val="left"/>
      <w:pPr>
        <w:ind w:left="220"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138" w:hanging="529"/>
      </w:pPr>
      <w:rPr>
        <w:rFonts w:hint="default"/>
        <w:lang w:val="zh-CN" w:eastAsia="zh-CN" w:bidi="zh-CN"/>
      </w:rPr>
    </w:lvl>
    <w:lvl w:ilvl="2">
      <w:start w:val="0"/>
      <w:numFmt w:val="bullet"/>
      <w:lvlText w:val="•"/>
      <w:lvlJc w:val="left"/>
      <w:pPr>
        <w:ind w:left="2057" w:hanging="529"/>
      </w:pPr>
      <w:rPr>
        <w:rFonts w:hint="default"/>
        <w:lang w:val="zh-CN" w:eastAsia="zh-CN" w:bidi="zh-CN"/>
      </w:rPr>
    </w:lvl>
    <w:lvl w:ilvl="3">
      <w:start w:val="0"/>
      <w:numFmt w:val="bullet"/>
      <w:lvlText w:val="•"/>
      <w:lvlJc w:val="left"/>
      <w:pPr>
        <w:ind w:left="2975" w:hanging="529"/>
      </w:pPr>
      <w:rPr>
        <w:rFonts w:hint="default"/>
        <w:lang w:val="zh-CN" w:eastAsia="zh-CN" w:bidi="zh-CN"/>
      </w:rPr>
    </w:lvl>
    <w:lvl w:ilvl="4">
      <w:start w:val="0"/>
      <w:numFmt w:val="bullet"/>
      <w:lvlText w:val="•"/>
      <w:lvlJc w:val="left"/>
      <w:pPr>
        <w:ind w:left="3894" w:hanging="529"/>
      </w:pPr>
      <w:rPr>
        <w:rFonts w:hint="default"/>
        <w:lang w:val="zh-CN" w:eastAsia="zh-CN" w:bidi="zh-CN"/>
      </w:rPr>
    </w:lvl>
    <w:lvl w:ilvl="5">
      <w:start w:val="0"/>
      <w:numFmt w:val="bullet"/>
      <w:lvlText w:val="•"/>
      <w:lvlJc w:val="left"/>
      <w:pPr>
        <w:ind w:left="4813" w:hanging="529"/>
      </w:pPr>
      <w:rPr>
        <w:rFonts w:hint="default"/>
        <w:lang w:val="zh-CN" w:eastAsia="zh-CN" w:bidi="zh-CN"/>
      </w:rPr>
    </w:lvl>
    <w:lvl w:ilvl="6">
      <w:start w:val="0"/>
      <w:numFmt w:val="bullet"/>
      <w:lvlText w:val="•"/>
      <w:lvlJc w:val="left"/>
      <w:pPr>
        <w:ind w:left="5731" w:hanging="529"/>
      </w:pPr>
      <w:rPr>
        <w:rFonts w:hint="default"/>
        <w:lang w:val="zh-CN" w:eastAsia="zh-CN" w:bidi="zh-CN"/>
      </w:rPr>
    </w:lvl>
    <w:lvl w:ilvl="7">
      <w:start w:val="0"/>
      <w:numFmt w:val="bullet"/>
      <w:lvlText w:val="•"/>
      <w:lvlJc w:val="left"/>
      <w:pPr>
        <w:ind w:left="6650" w:hanging="529"/>
      </w:pPr>
      <w:rPr>
        <w:rFonts w:hint="default"/>
        <w:lang w:val="zh-CN" w:eastAsia="zh-CN" w:bidi="zh-CN"/>
      </w:rPr>
    </w:lvl>
    <w:lvl w:ilvl="8">
      <w:start w:val="0"/>
      <w:numFmt w:val="bullet"/>
      <w:lvlText w:val="•"/>
      <w:lvlJc w:val="left"/>
      <w:pPr>
        <w:ind w:left="7569" w:hanging="529"/>
      </w:pPr>
      <w:rPr>
        <w:rFonts w:hint="default"/>
        <w:lang w:val="zh-CN" w:eastAsia="zh-CN" w:bidi="zh-CN"/>
      </w:rPr>
    </w:lvl>
  </w:abstractNum>
  <w:abstractNum w:abstractNumId="2">
    <w:multiLevelType w:val="hybridMultilevel"/>
    <w:lvl w:ilvl="0">
      <w:start w:val="1"/>
      <w:numFmt w:val="decimal"/>
      <w:lvlText w:val="（%1）"/>
      <w:lvlJc w:val="left"/>
      <w:pPr>
        <w:ind w:left="116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984" w:hanging="529"/>
      </w:pPr>
      <w:rPr>
        <w:rFonts w:hint="default"/>
        <w:lang w:val="zh-CN" w:eastAsia="zh-CN" w:bidi="zh-CN"/>
      </w:rPr>
    </w:lvl>
    <w:lvl w:ilvl="2">
      <w:start w:val="0"/>
      <w:numFmt w:val="bullet"/>
      <w:lvlText w:val="•"/>
      <w:lvlJc w:val="left"/>
      <w:pPr>
        <w:ind w:left="2809" w:hanging="529"/>
      </w:pPr>
      <w:rPr>
        <w:rFonts w:hint="default"/>
        <w:lang w:val="zh-CN" w:eastAsia="zh-CN" w:bidi="zh-CN"/>
      </w:rPr>
    </w:lvl>
    <w:lvl w:ilvl="3">
      <w:start w:val="0"/>
      <w:numFmt w:val="bullet"/>
      <w:lvlText w:val="•"/>
      <w:lvlJc w:val="left"/>
      <w:pPr>
        <w:ind w:left="3633" w:hanging="529"/>
      </w:pPr>
      <w:rPr>
        <w:rFonts w:hint="default"/>
        <w:lang w:val="zh-CN" w:eastAsia="zh-CN" w:bidi="zh-CN"/>
      </w:rPr>
    </w:lvl>
    <w:lvl w:ilvl="4">
      <w:start w:val="0"/>
      <w:numFmt w:val="bullet"/>
      <w:lvlText w:val="•"/>
      <w:lvlJc w:val="left"/>
      <w:pPr>
        <w:ind w:left="4458" w:hanging="529"/>
      </w:pPr>
      <w:rPr>
        <w:rFonts w:hint="default"/>
        <w:lang w:val="zh-CN" w:eastAsia="zh-CN" w:bidi="zh-CN"/>
      </w:rPr>
    </w:lvl>
    <w:lvl w:ilvl="5">
      <w:start w:val="0"/>
      <w:numFmt w:val="bullet"/>
      <w:lvlText w:val="•"/>
      <w:lvlJc w:val="left"/>
      <w:pPr>
        <w:ind w:left="5283" w:hanging="529"/>
      </w:pPr>
      <w:rPr>
        <w:rFonts w:hint="default"/>
        <w:lang w:val="zh-CN" w:eastAsia="zh-CN" w:bidi="zh-CN"/>
      </w:rPr>
    </w:lvl>
    <w:lvl w:ilvl="6">
      <w:start w:val="0"/>
      <w:numFmt w:val="bullet"/>
      <w:lvlText w:val="•"/>
      <w:lvlJc w:val="left"/>
      <w:pPr>
        <w:ind w:left="6107" w:hanging="529"/>
      </w:pPr>
      <w:rPr>
        <w:rFonts w:hint="default"/>
        <w:lang w:val="zh-CN" w:eastAsia="zh-CN" w:bidi="zh-CN"/>
      </w:rPr>
    </w:lvl>
    <w:lvl w:ilvl="7">
      <w:start w:val="0"/>
      <w:numFmt w:val="bullet"/>
      <w:lvlText w:val="•"/>
      <w:lvlJc w:val="left"/>
      <w:pPr>
        <w:ind w:left="6932" w:hanging="529"/>
      </w:pPr>
      <w:rPr>
        <w:rFonts w:hint="default"/>
        <w:lang w:val="zh-CN" w:eastAsia="zh-CN" w:bidi="zh-CN"/>
      </w:rPr>
    </w:lvl>
    <w:lvl w:ilvl="8">
      <w:start w:val="0"/>
      <w:numFmt w:val="bullet"/>
      <w:lvlText w:val="•"/>
      <w:lvlJc w:val="left"/>
      <w:pPr>
        <w:ind w:left="7757" w:hanging="529"/>
      </w:pPr>
      <w:rPr>
        <w:rFonts w:hint="default"/>
        <w:lang w:val="zh-CN" w:eastAsia="zh-CN" w:bidi="zh-CN"/>
      </w:rPr>
    </w:lvl>
  </w:abstractNum>
  <w:abstractNum w:abstractNumId="1">
    <w:multiLevelType w:val="hybridMultilevel"/>
    <w:lvl w:ilvl="0">
      <w:start w:val="3"/>
      <w:numFmt w:val="lowerRoman"/>
      <w:lvlText w:val="（%1）"/>
      <w:lvlJc w:val="left"/>
      <w:pPr>
        <w:ind w:left="816" w:hanging="597"/>
        <w:jc w:val="left"/>
      </w:pPr>
      <w:rPr>
        <w:rFonts w:hint="default" w:ascii="宋体" w:hAnsi="宋体" w:eastAsia="宋体" w:cs="宋体"/>
        <w:spacing w:val="-3"/>
        <w:w w:val="100"/>
        <w:sz w:val="19"/>
        <w:szCs w:val="19"/>
        <w:lang w:val="zh-CN" w:eastAsia="zh-CN" w:bidi="zh-CN"/>
      </w:rPr>
    </w:lvl>
    <w:lvl w:ilvl="1">
      <w:start w:val="1"/>
      <w:numFmt w:val="decimal"/>
      <w:lvlText w:val="（%2）"/>
      <w:lvlJc w:val="left"/>
      <w:pPr>
        <w:ind w:left="220" w:hanging="529"/>
        <w:jc w:val="left"/>
      </w:pPr>
      <w:rPr>
        <w:rFonts w:hint="default" w:ascii="宋体" w:hAnsi="宋体" w:eastAsia="宋体" w:cs="宋体"/>
        <w:spacing w:val="-3"/>
        <w:w w:val="100"/>
        <w:sz w:val="19"/>
        <w:szCs w:val="19"/>
        <w:lang w:val="zh-CN" w:eastAsia="zh-CN" w:bidi="zh-CN"/>
      </w:rPr>
    </w:lvl>
    <w:lvl w:ilvl="2">
      <w:start w:val="0"/>
      <w:numFmt w:val="bullet"/>
      <w:lvlText w:val="•"/>
      <w:lvlJc w:val="left"/>
      <w:pPr>
        <w:ind w:left="1774" w:hanging="529"/>
      </w:pPr>
      <w:rPr>
        <w:rFonts w:hint="default"/>
        <w:lang w:val="zh-CN" w:eastAsia="zh-CN" w:bidi="zh-CN"/>
      </w:rPr>
    </w:lvl>
    <w:lvl w:ilvl="3">
      <w:start w:val="0"/>
      <w:numFmt w:val="bullet"/>
      <w:lvlText w:val="•"/>
      <w:lvlJc w:val="left"/>
      <w:pPr>
        <w:ind w:left="2728" w:hanging="529"/>
      </w:pPr>
      <w:rPr>
        <w:rFonts w:hint="default"/>
        <w:lang w:val="zh-CN" w:eastAsia="zh-CN" w:bidi="zh-CN"/>
      </w:rPr>
    </w:lvl>
    <w:lvl w:ilvl="4">
      <w:start w:val="0"/>
      <w:numFmt w:val="bullet"/>
      <w:lvlText w:val="•"/>
      <w:lvlJc w:val="left"/>
      <w:pPr>
        <w:ind w:left="3682" w:hanging="529"/>
      </w:pPr>
      <w:rPr>
        <w:rFonts w:hint="default"/>
        <w:lang w:val="zh-CN" w:eastAsia="zh-CN" w:bidi="zh-CN"/>
      </w:rPr>
    </w:lvl>
    <w:lvl w:ilvl="5">
      <w:start w:val="0"/>
      <w:numFmt w:val="bullet"/>
      <w:lvlText w:val="•"/>
      <w:lvlJc w:val="left"/>
      <w:pPr>
        <w:ind w:left="4636" w:hanging="529"/>
      </w:pPr>
      <w:rPr>
        <w:rFonts w:hint="default"/>
        <w:lang w:val="zh-CN" w:eastAsia="zh-CN" w:bidi="zh-CN"/>
      </w:rPr>
    </w:lvl>
    <w:lvl w:ilvl="6">
      <w:start w:val="0"/>
      <w:numFmt w:val="bullet"/>
      <w:lvlText w:val="•"/>
      <w:lvlJc w:val="left"/>
      <w:pPr>
        <w:ind w:left="5590" w:hanging="529"/>
      </w:pPr>
      <w:rPr>
        <w:rFonts w:hint="default"/>
        <w:lang w:val="zh-CN" w:eastAsia="zh-CN" w:bidi="zh-CN"/>
      </w:rPr>
    </w:lvl>
    <w:lvl w:ilvl="7">
      <w:start w:val="0"/>
      <w:numFmt w:val="bullet"/>
      <w:lvlText w:val="•"/>
      <w:lvlJc w:val="left"/>
      <w:pPr>
        <w:ind w:left="6544" w:hanging="529"/>
      </w:pPr>
      <w:rPr>
        <w:rFonts w:hint="default"/>
        <w:lang w:val="zh-CN" w:eastAsia="zh-CN" w:bidi="zh-CN"/>
      </w:rPr>
    </w:lvl>
    <w:lvl w:ilvl="8">
      <w:start w:val="0"/>
      <w:numFmt w:val="bullet"/>
      <w:lvlText w:val="•"/>
      <w:lvlJc w:val="left"/>
      <w:pPr>
        <w:ind w:left="7498" w:hanging="529"/>
      </w:pPr>
      <w:rPr>
        <w:rFonts w:hint="default"/>
        <w:lang w:val="zh-CN" w:eastAsia="zh-CN" w:bidi="zh-CN"/>
      </w:rPr>
    </w:lvl>
  </w:abstractNum>
  <w:abstractNum w:abstractNumId="0">
    <w:multiLevelType w:val="hybridMultilevel"/>
    <w:lvl w:ilvl="0">
      <w:start w:val="1"/>
      <w:numFmt w:val="decimal"/>
      <w:lvlText w:val="（%1）"/>
      <w:lvlJc w:val="left"/>
      <w:pPr>
        <w:ind w:left="116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984" w:hanging="529"/>
      </w:pPr>
      <w:rPr>
        <w:rFonts w:hint="default"/>
        <w:lang w:val="zh-CN" w:eastAsia="zh-CN" w:bidi="zh-CN"/>
      </w:rPr>
    </w:lvl>
    <w:lvl w:ilvl="2">
      <w:start w:val="0"/>
      <w:numFmt w:val="bullet"/>
      <w:lvlText w:val="•"/>
      <w:lvlJc w:val="left"/>
      <w:pPr>
        <w:ind w:left="2809" w:hanging="529"/>
      </w:pPr>
      <w:rPr>
        <w:rFonts w:hint="default"/>
        <w:lang w:val="zh-CN" w:eastAsia="zh-CN" w:bidi="zh-CN"/>
      </w:rPr>
    </w:lvl>
    <w:lvl w:ilvl="3">
      <w:start w:val="0"/>
      <w:numFmt w:val="bullet"/>
      <w:lvlText w:val="•"/>
      <w:lvlJc w:val="left"/>
      <w:pPr>
        <w:ind w:left="3633" w:hanging="529"/>
      </w:pPr>
      <w:rPr>
        <w:rFonts w:hint="default"/>
        <w:lang w:val="zh-CN" w:eastAsia="zh-CN" w:bidi="zh-CN"/>
      </w:rPr>
    </w:lvl>
    <w:lvl w:ilvl="4">
      <w:start w:val="0"/>
      <w:numFmt w:val="bullet"/>
      <w:lvlText w:val="•"/>
      <w:lvlJc w:val="left"/>
      <w:pPr>
        <w:ind w:left="4458" w:hanging="529"/>
      </w:pPr>
      <w:rPr>
        <w:rFonts w:hint="default"/>
        <w:lang w:val="zh-CN" w:eastAsia="zh-CN" w:bidi="zh-CN"/>
      </w:rPr>
    </w:lvl>
    <w:lvl w:ilvl="5">
      <w:start w:val="0"/>
      <w:numFmt w:val="bullet"/>
      <w:lvlText w:val="•"/>
      <w:lvlJc w:val="left"/>
      <w:pPr>
        <w:ind w:left="5283" w:hanging="529"/>
      </w:pPr>
      <w:rPr>
        <w:rFonts w:hint="default"/>
        <w:lang w:val="zh-CN" w:eastAsia="zh-CN" w:bidi="zh-CN"/>
      </w:rPr>
    </w:lvl>
    <w:lvl w:ilvl="6">
      <w:start w:val="0"/>
      <w:numFmt w:val="bullet"/>
      <w:lvlText w:val="•"/>
      <w:lvlJc w:val="left"/>
      <w:pPr>
        <w:ind w:left="6107" w:hanging="529"/>
      </w:pPr>
      <w:rPr>
        <w:rFonts w:hint="default"/>
        <w:lang w:val="zh-CN" w:eastAsia="zh-CN" w:bidi="zh-CN"/>
      </w:rPr>
    </w:lvl>
    <w:lvl w:ilvl="7">
      <w:start w:val="0"/>
      <w:numFmt w:val="bullet"/>
      <w:lvlText w:val="•"/>
      <w:lvlJc w:val="left"/>
      <w:pPr>
        <w:ind w:left="6932" w:hanging="529"/>
      </w:pPr>
      <w:rPr>
        <w:rFonts w:hint="default"/>
        <w:lang w:val="zh-CN" w:eastAsia="zh-CN" w:bidi="zh-CN"/>
      </w:rPr>
    </w:lvl>
    <w:lvl w:ilvl="8">
      <w:start w:val="0"/>
      <w:numFmt w:val="bullet"/>
      <w:lvlText w:val="•"/>
      <w:lvlJc w:val="left"/>
      <w:pPr>
        <w:ind w:left="7757" w:hanging="529"/>
      </w:pPr>
      <w:rPr>
        <w:rFonts w:hint="default"/>
        <w:lang w:val="zh-CN" w:eastAsia="zh-CN" w:bidi="zh-CN"/>
      </w:rPr>
    </w:lvl>
  </w:abstractNum>
  <w:num w:numId="15">
    <w:abstractNumId w:val="14"/>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lang w:val="zh-CN" w:eastAsia="zh-CN" w:bidi="zh-CN"/>
    </w:rPr>
  </w:style>
  <w:style w:styleId="TOC1" w:type="paragraph">
    <w:name w:val="TOC 1"/>
    <w:basedOn w:val="Normal"/>
    <w:uiPriority w:val="1"/>
    <w:qFormat/>
    <w:pPr>
      <w:spacing w:before="199"/>
      <w:ind w:left="220"/>
    </w:pPr>
    <w:rPr>
      <w:rFonts w:ascii="宋体" w:hAnsi="宋体" w:eastAsia="宋体" w:cs="宋体"/>
      <w:sz w:val="21"/>
      <w:szCs w:val="21"/>
      <w:lang w:val="zh-CN" w:eastAsia="zh-CN" w:bidi="zh-CN"/>
    </w:rPr>
  </w:style>
  <w:style w:styleId="BodyText" w:type="paragraph">
    <w:name w:val="Body Text"/>
    <w:basedOn w:val="Normal"/>
    <w:uiPriority w:val="1"/>
    <w:qFormat/>
    <w:pPr>
      <w:ind w:left="640"/>
    </w:pPr>
    <w:rPr>
      <w:rFonts w:ascii="宋体" w:hAnsi="宋体" w:eastAsia="宋体" w:cs="宋体"/>
      <w:sz w:val="21"/>
      <w:szCs w:val="21"/>
      <w:lang w:val="zh-CN" w:eastAsia="zh-CN" w:bidi="zh-CN"/>
    </w:rPr>
  </w:style>
  <w:style w:styleId="Heading1" w:type="paragraph">
    <w:name w:val="Heading 1"/>
    <w:basedOn w:val="Normal"/>
    <w:uiPriority w:val="1"/>
    <w:qFormat/>
    <w:pPr>
      <w:ind w:left="1353" w:right="2121"/>
      <w:jc w:val="center"/>
      <w:outlineLvl w:val="1"/>
    </w:pPr>
    <w:rPr>
      <w:rFonts w:ascii="宋体" w:hAnsi="宋体" w:eastAsia="宋体" w:cs="宋体"/>
      <w:b/>
      <w:bCs/>
      <w:sz w:val="21"/>
      <w:szCs w:val="21"/>
      <w:lang w:val="zh-CN" w:eastAsia="zh-CN" w:bidi="zh-CN"/>
    </w:rPr>
  </w:style>
  <w:style w:styleId="ListParagraph" w:type="paragraph">
    <w:name w:val="List Paragraph"/>
    <w:basedOn w:val="Normal"/>
    <w:uiPriority w:val="1"/>
    <w:qFormat/>
    <w:pPr>
      <w:ind w:left="1169" w:hanging="530"/>
    </w:pPr>
    <w:rPr>
      <w:rFonts w:ascii="宋体" w:hAnsi="宋体" w:eastAsia="宋体" w:cs="宋体"/>
      <w:lang w:val="zh-CN" w:eastAsia="zh-CN" w:bidi="zh-CN"/>
    </w:rPr>
  </w:style>
  <w:style w:styleId="TableParagraph" w:type="paragraph">
    <w:name w:val="Table Paragraph"/>
    <w:basedOn w:val="Normal"/>
    <w:uiPriority w:val="1"/>
    <w:qFormat/>
    <w:pPr/>
    <w:rPr>
      <w:rFonts w:ascii="Times New Roman" w:hAnsi="Times New Roman" w:eastAsia="Times New Roman" w:cs="Times New Roman"/>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image" Target="media/image3.png"/><Relationship Id="rId10" Type="http://schemas.openxmlformats.org/officeDocument/2006/relationships/image" Target="media/image4.png"/><Relationship Id="rId11" Type="http://schemas.openxmlformats.org/officeDocument/2006/relationships/hyperlink" Target="http://www.ChinaAMC.com/" TargetMode="External"/><Relationship Id="rId12" Type="http://schemas.openxmlformats.org/officeDocument/2006/relationships/image" Target="media/image5.png"/><Relationship Id="rId13" Type="http://schemas.openxmlformats.org/officeDocument/2006/relationships/image" Target="media/image6.png"/><Relationship Id="rId14" Type="http://schemas.openxmlformats.org/officeDocument/2006/relationships/image" Target="media/image7.png"/><Relationship Id="rId15" Type="http://schemas.openxmlformats.org/officeDocument/2006/relationships/image" Target="media/image8.png"/><Relationship Id="rId16" Type="http://schemas.openxmlformats.org/officeDocument/2006/relationships/image" Target="media/image9.png"/><Relationship Id="rId17" Type="http://schemas.openxmlformats.org/officeDocument/2006/relationships/image" Target="media/image10.png"/><Relationship Id="rId18" Type="http://schemas.openxmlformats.org/officeDocument/2006/relationships/image" Target="media/image11.png"/><Relationship Id="rId19" Type="http://schemas.openxmlformats.org/officeDocument/2006/relationships/image" Target="media/image12.png"/><Relationship Id="rId20" Type="http://schemas.openxmlformats.org/officeDocument/2006/relationships/image" Target="media/image13.png"/><Relationship Id="rId21" Type="http://schemas.openxmlformats.org/officeDocument/2006/relationships/image" Target="media/image14.png"/><Relationship Id="rId22" Type="http://schemas.openxmlformats.org/officeDocument/2006/relationships/image" Target="media/image15.png"/><Relationship Id="rId23" Type="http://schemas.openxmlformats.org/officeDocument/2006/relationships/image" Target="media/image16.png"/><Relationship Id="rId24" Type="http://schemas.openxmlformats.org/officeDocument/2006/relationships/image" Target="media/image17.png"/><Relationship Id="rId25" Type="http://schemas.openxmlformats.org/officeDocument/2006/relationships/image" Target="media/image18.png"/><Relationship Id="rId26" Type="http://schemas.openxmlformats.org/officeDocument/2006/relationships/image" Target="media/image19.png"/><Relationship Id="rId27" Type="http://schemas.openxmlformats.org/officeDocument/2006/relationships/image" Target="media/image20.png"/><Relationship Id="rId28" Type="http://schemas.openxmlformats.org/officeDocument/2006/relationships/image" Target="media/image21.png"/><Relationship Id="rId29" Type="http://schemas.openxmlformats.org/officeDocument/2006/relationships/image" Target="media/image22.png"/><Relationship Id="rId30" Type="http://schemas.openxmlformats.org/officeDocument/2006/relationships/image" Target="media/image23.png"/><Relationship Id="rId31" Type="http://schemas.openxmlformats.org/officeDocument/2006/relationships/image" Target="media/image24.png"/><Relationship Id="rId32" Type="http://schemas.openxmlformats.org/officeDocument/2006/relationships/image" Target="media/image25.png"/><Relationship Id="rId33" Type="http://schemas.openxmlformats.org/officeDocument/2006/relationships/image" Target="media/image26.png"/><Relationship Id="rId34" Type="http://schemas.openxmlformats.org/officeDocument/2006/relationships/image" Target="media/image27.png"/><Relationship Id="rId35" Type="http://schemas.openxmlformats.org/officeDocument/2006/relationships/image" Target="media/image28.png"/><Relationship Id="rId36" Type="http://schemas.openxmlformats.org/officeDocument/2006/relationships/image" Target="media/image29.png"/><Relationship Id="rId37" Type="http://schemas.openxmlformats.org/officeDocument/2006/relationships/image" Target="media/image30.png"/><Relationship Id="rId38" Type="http://schemas.openxmlformats.org/officeDocument/2006/relationships/image" Target="media/image31.png"/><Relationship Id="rId39" Type="http://schemas.openxmlformats.org/officeDocument/2006/relationships/image" Target="media/image32.png"/><Relationship Id="rId40" Type="http://schemas.openxmlformats.org/officeDocument/2006/relationships/image" Target="media/image33.png"/><Relationship Id="rId41" Type="http://schemas.openxmlformats.org/officeDocument/2006/relationships/image" Target="media/image34.png"/><Relationship Id="rId42" Type="http://schemas.openxmlformats.org/officeDocument/2006/relationships/image" Target="media/image35.png"/><Relationship Id="rId43" Type="http://schemas.openxmlformats.org/officeDocument/2006/relationships/image" Target="media/image36.png"/><Relationship Id="rId44" Type="http://schemas.openxmlformats.org/officeDocument/2006/relationships/hyperlink" Target="http://www.icbc.com.cn/" TargetMode="External"/><Relationship Id="rId45" Type="http://schemas.openxmlformats.org/officeDocument/2006/relationships/hyperlink" Target="http://www.abchina.com/" TargetMode="External"/><Relationship Id="rId46" Type="http://schemas.openxmlformats.org/officeDocument/2006/relationships/hyperlink" Target="http://www.boc.cn/" TargetMode="External"/><Relationship Id="rId47" Type="http://schemas.openxmlformats.org/officeDocument/2006/relationships/hyperlink" Target="http://www.ccb.com/" TargetMode="External"/><Relationship Id="rId48" Type="http://schemas.openxmlformats.org/officeDocument/2006/relationships/hyperlink" Target="http://www.bankcomm.com/" TargetMode="External"/><Relationship Id="rId49" Type="http://schemas.openxmlformats.org/officeDocument/2006/relationships/hyperlink" Target="http://www.cmbchina.com/" TargetMode="External"/><Relationship Id="rId50" Type="http://schemas.openxmlformats.org/officeDocument/2006/relationships/hyperlink" Target="http://www.spdb.com.cn/" TargetMode="External"/><Relationship Id="rId51" Type="http://schemas.openxmlformats.org/officeDocument/2006/relationships/hyperlink" Target="http://www.cmbc.com.cn/" TargetMode="External"/><Relationship Id="rId52" Type="http://schemas.openxmlformats.org/officeDocument/2006/relationships/hyperlink" Target="http://www.hxb.com.cn/" TargetMode="External"/><Relationship Id="rId53" Type="http://schemas.openxmlformats.org/officeDocument/2006/relationships/hyperlink" Target="http://www.bosc.cn/" TargetMode="External"/><Relationship Id="rId54" Type="http://schemas.openxmlformats.org/officeDocument/2006/relationships/hyperlink" Target="http://www.nbcb.cn/" TargetMode="External"/><Relationship Id="rId55" Type="http://schemas.openxmlformats.org/officeDocument/2006/relationships/hyperlink" Target="http://www.srcb.com/" TargetMode="External"/><Relationship Id="rId56" Type="http://schemas.openxmlformats.org/officeDocument/2006/relationships/hyperlink" Target="http://www.bjrcb.com/" TargetMode="External"/><Relationship Id="rId57" Type="http://schemas.openxmlformats.org/officeDocument/2006/relationships/hyperlink" Target="http://www.qdccb.com/" TargetMode="External"/><Relationship Id="rId58" Type="http://schemas.openxmlformats.org/officeDocument/2006/relationships/hyperlink" Target="http://www.hzbank.com.cn/" TargetMode="External"/><Relationship Id="rId59" Type="http://schemas.openxmlformats.org/officeDocument/2006/relationships/hyperlink" Target="http://www.njcb.com.cn/" TargetMode="External"/><Relationship Id="rId60" Type="http://schemas.openxmlformats.org/officeDocument/2006/relationships/hyperlink" Target="http://www.lsbchina.com/" TargetMode="External"/><Relationship Id="rId61" Type="http://schemas.openxmlformats.org/officeDocument/2006/relationships/hyperlink" Target="http://www.wzbank.cn/" TargetMode="External"/><Relationship Id="rId62" Type="http://schemas.openxmlformats.org/officeDocument/2006/relationships/hyperlink" Target="http://www.jsbchina.cn/" TargetMode="External"/><Relationship Id="rId63" Type="http://schemas.openxmlformats.org/officeDocument/2006/relationships/hyperlink" Target="http://www.cbhb.com.cn/" TargetMode="External"/><Relationship Id="rId64" Type="http://schemas.openxmlformats.org/officeDocument/2006/relationships/hyperlink" Target="http://www.bankofluoyang.com.cn/" TargetMode="External"/><Relationship Id="rId65" Type="http://schemas.openxmlformats.org/officeDocument/2006/relationships/hyperlink" Target="http://www.uccb.com.cn/" TargetMode="External"/><Relationship Id="rId66" Type="http://schemas.openxmlformats.org/officeDocument/2006/relationships/hyperlink" Target="http://www.yantaibank.net/" TargetMode="External"/><Relationship Id="rId67" Type="http://schemas.openxmlformats.org/officeDocument/2006/relationships/hyperlink" Target="http://www.bankofdl.com/" TargetMode="External"/><Relationship Id="rId68" Type="http://schemas.openxmlformats.org/officeDocument/2006/relationships/hyperlink" Target="http://www.drcbank.com/" TargetMode="External"/><Relationship Id="rId69" Type="http://schemas.openxmlformats.org/officeDocument/2006/relationships/hyperlink" Target="http://www.hebbank.com/" TargetMode="External"/><Relationship Id="rId70" Type="http://schemas.openxmlformats.org/officeDocument/2006/relationships/hyperlink" Target="http://www.szrcb.com/" TargetMode="External"/><Relationship Id="rId71" Type="http://schemas.openxmlformats.org/officeDocument/2006/relationships/hyperlink" Target="http://www.xacbank.com/" TargetMode="External"/><Relationship Id="rId72" Type="http://schemas.openxmlformats.org/officeDocument/2006/relationships/hyperlink" Target="http://www.jnbank.com.cn/" TargetMode="External"/><Relationship Id="rId73" Type="http://schemas.openxmlformats.org/officeDocument/2006/relationships/hyperlink" Target="http://www.bsb.com.cn/" TargetMode="External"/><Relationship Id="rId74" Type="http://schemas.openxmlformats.org/officeDocument/2006/relationships/hyperlink" Target="http://www.xmccb.com/" TargetMode="External"/><Relationship Id="rId75" Type="http://schemas.openxmlformats.org/officeDocument/2006/relationships/hyperlink" Target="http://www.jlbank.com.cn/" TargetMode="External"/><Relationship Id="rId76" Type="http://schemas.openxmlformats.org/officeDocument/2006/relationships/hyperlink" Target="http://www.suzhoubank.com/" TargetMode="External"/><Relationship Id="rId77" Type="http://schemas.openxmlformats.org/officeDocument/2006/relationships/hyperlink" Target="http://www/" TargetMode="External"/><Relationship Id="rId78" Type="http://schemas.openxmlformats.org/officeDocument/2006/relationships/hyperlink" Target="http://www.hrxjbank.com.cn/" TargetMode="External"/><Relationship Id="rId79" Type="http://schemas.openxmlformats.org/officeDocument/2006/relationships/hyperlink" Target="http://www.qrcb.com.cn/" TargetMode="External"/><Relationship Id="rId80" Type="http://schemas.openxmlformats.org/officeDocument/2006/relationships/hyperlink" Target="http://www.zybank.com.cn/" TargetMode="External"/><Relationship Id="rId81" Type="http://schemas.openxmlformats.org/officeDocument/2006/relationships/hyperlink" Target="http://www.txsec.com/" TargetMode="External"/><Relationship Id="rId82" Type="http://schemas.openxmlformats.org/officeDocument/2006/relationships/hyperlink" Target="http://www.9ifund.com/" TargetMode="External"/><Relationship Id="rId83" Type="http://schemas.openxmlformats.org/officeDocument/2006/relationships/hyperlink" Target="http://8.jrj.com.cn/" TargetMode="External"/><Relationship Id="rId84" Type="http://schemas.openxmlformats.org/officeDocument/2006/relationships/hyperlink" Target="http://www.huilinbd.com/" TargetMode="External"/><Relationship Id="rId85" Type="http://schemas.openxmlformats.org/officeDocument/2006/relationships/hyperlink" Target="http://www.wacaijijin.com/" TargetMode="External"/><Relationship Id="rId86" Type="http://schemas.openxmlformats.org/officeDocument/2006/relationships/hyperlink" Target="http://www.xiquefund.com/" TargetMode="External"/><Relationship Id="rId87" Type="http://schemas.openxmlformats.org/officeDocument/2006/relationships/hyperlink" Target="http://www.baiyingfund.com/" TargetMode="External"/><Relationship Id="rId88" Type="http://schemas.openxmlformats.org/officeDocument/2006/relationships/hyperlink" Target="http://www.noah-fund.com/" TargetMode="External"/><Relationship Id="rId89" Type="http://schemas.openxmlformats.org/officeDocument/2006/relationships/hyperlink" Target="http://www.zlfund.cn/" TargetMode="External"/><Relationship Id="rId90" Type="http://schemas.openxmlformats.org/officeDocument/2006/relationships/hyperlink" Target="http://www.1234567.com.cn/" TargetMode="External"/><Relationship Id="rId91" Type="http://schemas.openxmlformats.org/officeDocument/2006/relationships/hyperlink" Target="http://www.ehowbuy.com/" TargetMode="External"/><Relationship Id="rId92" Type="http://schemas.openxmlformats.org/officeDocument/2006/relationships/hyperlink" Target="http://www.fund123.cn/" TargetMode="External"/><Relationship Id="rId93" Type="http://schemas.openxmlformats.org/officeDocument/2006/relationships/hyperlink" Target="http://www.erichfund.com/" TargetMode="External"/><Relationship Id="rId94" Type="http://schemas.openxmlformats.org/officeDocument/2006/relationships/hyperlink" Target="http://www.5ifund.com/" TargetMode="External"/><Relationship Id="rId95" Type="http://schemas.openxmlformats.org/officeDocument/2006/relationships/hyperlink" Target="http://www.myfund.com/" TargetMode="External"/><Relationship Id="rId96" Type="http://schemas.openxmlformats.org/officeDocument/2006/relationships/hyperlink" Target="http://www.leadfund.com.cn/" TargetMode="External"/><Relationship Id="rId97" Type="http://schemas.openxmlformats.org/officeDocument/2006/relationships/hyperlink" Target="http://www.jincheng-fund.com/" TargetMode="External"/><Relationship Id="rId98" Type="http://schemas.openxmlformats.org/officeDocument/2006/relationships/hyperlink" Target="http://www.harvestwm.cn/" TargetMode="External"/><Relationship Id="rId99" Type="http://schemas.openxmlformats.org/officeDocument/2006/relationships/hyperlink" Target="http://www.qiandaojr.com/" TargetMode="External"/><Relationship Id="rId100" Type="http://schemas.openxmlformats.org/officeDocument/2006/relationships/hyperlink" Target="http://www.5irich.com/" TargetMode="External"/><Relationship Id="rId101" Type="http://schemas.openxmlformats.org/officeDocument/2006/relationships/hyperlink" Target="http://www.puyifund.com/" TargetMode="External"/><Relationship Id="rId102" Type="http://schemas.openxmlformats.org/officeDocument/2006/relationships/hyperlink" Target="http://www.yixinfund.com/" TargetMode="External"/><Relationship Id="rId103" Type="http://schemas.openxmlformats.org/officeDocument/2006/relationships/hyperlink" Target="http://www.snjijin.com/" TargetMode="External"/><Relationship Id="rId104" Type="http://schemas.openxmlformats.org/officeDocument/2006/relationships/hyperlink" Target="http://www.zscffund.com/" TargetMode="External"/><Relationship Id="rId105" Type="http://schemas.openxmlformats.org/officeDocument/2006/relationships/hyperlink" Target="http://www.tenyuanfund.com/" TargetMode="External"/><Relationship Id="rId106" Type="http://schemas.openxmlformats.org/officeDocument/2006/relationships/hyperlink" Target="http://www.tonghuafund.com/" TargetMode="External"/><Relationship Id="rId107" Type="http://schemas.openxmlformats.org/officeDocument/2006/relationships/hyperlink" Target="http://www.chtwm.com/" TargetMode="External"/><Relationship Id="rId108" Type="http://schemas.openxmlformats.org/officeDocument/2006/relationships/hyperlink" Target="http://www.yitfund.com/" TargetMode="External"/><Relationship Id="rId109" Type="http://schemas.openxmlformats.org/officeDocument/2006/relationships/hyperlink" Target="http://www.hcjijin.com/" TargetMode="External"/><Relationship Id="rId110" Type="http://schemas.openxmlformats.org/officeDocument/2006/relationships/hyperlink" Target="http://www.shengshiview.com.cn/" TargetMode="External"/><Relationship Id="rId111" Type="http://schemas.openxmlformats.org/officeDocument/2006/relationships/hyperlink" Target="http://www.niuji.net/" TargetMode="External"/><Relationship Id="rId112" Type="http://schemas.openxmlformats.org/officeDocument/2006/relationships/hyperlink" Target="http://www.zhixin-inv.com/" TargetMode="External"/><Relationship Id="rId113" Type="http://schemas.openxmlformats.org/officeDocument/2006/relationships/hyperlink" Target="http://www.fundhaiyin.com/" TargetMode="External"/><Relationship Id="rId114" Type="http://schemas.openxmlformats.org/officeDocument/2006/relationships/hyperlink" Target="http://www.jfcta.com/" TargetMode="External"/><Relationship Id="rId115" Type="http://schemas.openxmlformats.org/officeDocument/2006/relationships/hyperlink" Target="http://www.gomefund.com/" TargetMode="External"/><Relationship Id="rId116" Type="http://schemas.openxmlformats.org/officeDocument/2006/relationships/hyperlink" Target="http://www.wg.com.cn/" TargetMode="External"/><Relationship Id="rId117" Type="http://schemas.openxmlformats.org/officeDocument/2006/relationships/hyperlink" Target="http://www.xincai.com/" TargetMode="External"/><Relationship Id="rId118" Type="http://schemas.openxmlformats.org/officeDocument/2006/relationships/hyperlink" Target="http://www.htfund.com/" TargetMode="External"/><Relationship Id="rId119" Type="http://schemas.openxmlformats.org/officeDocument/2006/relationships/hyperlink" Target="http://www.jianfortune.com/" TargetMode="External"/><Relationship Id="rId120" Type="http://schemas.openxmlformats.org/officeDocument/2006/relationships/hyperlink" Target="http://www.520fund.com.cn/" TargetMode="External"/><Relationship Id="rId121" Type="http://schemas.openxmlformats.org/officeDocument/2006/relationships/hyperlink" Target="http://www.fengfd.com/" TargetMode="External"/><Relationship Id="rId122" Type="http://schemas.openxmlformats.org/officeDocument/2006/relationships/hyperlink" Target="http://www.66liantai.com/" TargetMode="External"/><Relationship Id="rId123" Type="http://schemas.openxmlformats.org/officeDocument/2006/relationships/hyperlink" Target="http://www.jhjzfund.com/" TargetMode="External"/><Relationship Id="rId124" Type="http://schemas.openxmlformats.org/officeDocument/2006/relationships/hyperlink" Target="http://www.haojiyoujijin.com/" TargetMode="External"/><Relationship Id="rId125" Type="http://schemas.openxmlformats.org/officeDocument/2006/relationships/hyperlink" Target="http://www.hotjijin.com/" TargetMode="External"/><Relationship Id="rId126" Type="http://schemas.openxmlformats.org/officeDocument/2006/relationships/hyperlink" Target="http://www.jiyufund.com.cn/" TargetMode="External"/><Relationship Id="rId127" Type="http://schemas.openxmlformats.org/officeDocument/2006/relationships/hyperlink" Target="http://www.zhongzhengfund.com/" TargetMode="External"/><Relationship Id="rId128" Type="http://schemas.openxmlformats.org/officeDocument/2006/relationships/hyperlink" Target="http://www.hongdianfund.com/" TargetMode="External"/><Relationship Id="rId129" Type="http://schemas.openxmlformats.org/officeDocument/2006/relationships/hyperlink" Target="http://www.fujifund.cn/" TargetMode="External"/><Relationship Id="rId130" Type="http://schemas.openxmlformats.org/officeDocument/2006/relationships/hyperlink" Target="http://www.lufunds.com/" TargetMode="External"/><Relationship Id="rId131" Type="http://schemas.openxmlformats.org/officeDocument/2006/relationships/hyperlink" Target="http://www.dtfunds.com/" TargetMode="External"/><Relationship Id="rId132" Type="http://schemas.openxmlformats.org/officeDocument/2006/relationships/hyperlink" Target="http://www.yingmi.cn/" TargetMode="External"/><Relationship Id="rId133" Type="http://schemas.openxmlformats.org/officeDocument/2006/relationships/hyperlink" Target="http://www.hgccpb.com/" TargetMode="External"/><Relationship Id="rId134" Type="http://schemas.openxmlformats.org/officeDocument/2006/relationships/hyperlink" Target="http://www.ifastps.com.cn/" TargetMode="External"/><Relationship Id="rId135" Type="http://schemas.openxmlformats.org/officeDocument/2006/relationships/hyperlink" Target="http://www.jnlc.com/" TargetMode="External"/><Relationship Id="rId136" Type="http://schemas.openxmlformats.org/officeDocument/2006/relationships/hyperlink" Target="http://fund.jd.com/" TargetMode="External"/><Relationship Id="rId137" Type="http://schemas.openxmlformats.org/officeDocument/2006/relationships/hyperlink" Target="http://www.yibaijin.com/" TargetMode="External"/><Relationship Id="rId138" Type="http://schemas.openxmlformats.org/officeDocument/2006/relationships/hyperlink" Target="http://www.cmiwm.com/" TargetMode="External"/><Relationship Id="rId139" Type="http://schemas.openxmlformats.org/officeDocument/2006/relationships/hyperlink" Target="http://www.jfzinv.com/" TargetMode="External"/><Relationship Id="rId140" Type="http://schemas.openxmlformats.org/officeDocument/2006/relationships/hyperlink" Target="http://www.qiangungun.com/" TargetMode="External"/><Relationship Id="rId141" Type="http://schemas.openxmlformats.org/officeDocument/2006/relationships/hyperlink" Target="http://www.wanjiawealth.com/" TargetMode="External"/><Relationship Id="rId142" Type="http://schemas.openxmlformats.org/officeDocument/2006/relationships/hyperlink" Target="http://www.amcfortune.com/" TargetMode="External"/><Relationship Id="rId143" Type="http://schemas.openxmlformats.org/officeDocument/2006/relationships/hyperlink" Target="http://www.citicsf.com/" TargetMode="External"/><Relationship Id="rId144" Type="http://schemas.openxmlformats.org/officeDocument/2006/relationships/hyperlink" Target="http://www.ftol.com.cn/" TargetMode="External"/><Relationship Id="rId145" Type="http://schemas.openxmlformats.org/officeDocument/2006/relationships/hyperlink" Target="http://www.gtja.com/" TargetMode="External"/><Relationship Id="rId146" Type="http://schemas.openxmlformats.org/officeDocument/2006/relationships/hyperlink" Target="http://www.csc108.com/" TargetMode="External"/><Relationship Id="rId147" Type="http://schemas.openxmlformats.org/officeDocument/2006/relationships/hyperlink" Target="http://www.guosen.com.cn/" TargetMode="External"/><Relationship Id="rId148" Type="http://schemas.openxmlformats.org/officeDocument/2006/relationships/hyperlink" Target="http://www.newone.com.cn/" TargetMode="External"/><Relationship Id="rId149" Type="http://schemas.openxmlformats.org/officeDocument/2006/relationships/hyperlink" Target="http://www.gf.com.cn/" TargetMode="External"/><Relationship Id="rId150" Type="http://schemas.openxmlformats.org/officeDocument/2006/relationships/hyperlink" Target="http://www.cs.ecitic.com/" TargetMode="External"/><Relationship Id="rId151" Type="http://schemas.openxmlformats.org/officeDocument/2006/relationships/hyperlink" Target="http://www.chinastock.com.cn/" TargetMode="External"/><Relationship Id="rId152" Type="http://schemas.openxmlformats.org/officeDocument/2006/relationships/hyperlink" Target="http://www.htsec.com/" TargetMode="External"/><Relationship Id="rId153" Type="http://schemas.openxmlformats.org/officeDocument/2006/relationships/hyperlink" Target="http://www.swhysc.com/" TargetMode="External"/><Relationship Id="rId154" Type="http://schemas.openxmlformats.org/officeDocument/2006/relationships/hyperlink" Target="http://www.xyzq.com.cn/" TargetMode="External"/><Relationship Id="rId155" Type="http://schemas.openxmlformats.org/officeDocument/2006/relationships/hyperlink" Target="http://www.95579.com/" TargetMode="External"/><Relationship Id="rId156" Type="http://schemas.openxmlformats.org/officeDocument/2006/relationships/hyperlink" Target="http://www.essence.com.cn/" TargetMode="External"/><Relationship Id="rId157" Type="http://schemas.openxmlformats.org/officeDocument/2006/relationships/hyperlink" Target="http://www.swsc.com.cn/" TargetMode="External"/><Relationship Id="rId158" Type="http://schemas.openxmlformats.org/officeDocument/2006/relationships/hyperlink" Target="http://www.xcsc.com/" TargetMode="External"/><Relationship Id="rId159" Type="http://schemas.openxmlformats.org/officeDocument/2006/relationships/hyperlink" Target="http://www.wlzq.com.cn/" TargetMode="External"/><Relationship Id="rId160" Type="http://schemas.openxmlformats.org/officeDocument/2006/relationships/hyperlink" Target="http://www.mszq.com/" TargetMode="External"/><Relationship Id="rId161" Type="http://schemas.openxmlformats.org/officeDocument/2006/relationships/hyperlink" Target="http://www.gyzq.com.cn/" TargetMode="External"/><Relationship Id="rId162" Type="http://schemas.openxmlformats.org/officeDocument/2006/relationships/hyperlink" Target="http://www.ewww.com.cn/" TargetMode="External"/><Relationship Id="rId163" Type="http://schemas.openxmlformats.org/officeDocument/2006/relationships/hyperlink" Target="http://www.htsc.com.cn/" TargetMode="External"/><Relationship Id="rId164" Type="http://schemas.openxmlformats.org/officeDocument/2006/relationships/hyperlink" Target="http://www.i618.com.cn/" TargetMode="External"/><Relationship Id="rId165" Type="http://schemas.openxmlformats.org/officeDocument/2006/relationships/hyperlink" Target="http://sd.citics.com/" TargetMode="External"/><Relationship Id="rId166" Type="http://schemas.openxmlformats.org/officeDocument/2006/relationships/hyperlink" Target="http://www.dxzq.net.cn/" TargetMode="External"/><Relationship Id="rId167" Type="http://schemas.openxmlformats.org/officeDocument/2006/relationships/hyperlink" Target="http://www.dwzq.com.cn/" TargetMode="External"/><Relationship Id="rId168" Type="http://schemas.openxmlformats.org/officeDocument/2006/relationships/hyperlink" Target="http://www.cindasc.com/" TargetMode="External"/><Relationship Id="rId169" Type="http://schemas.openxmlformats.org/officeDocument/2006/relationships/hyperlink" Target="http://www.foundersc.com/" TargetMode="External"/><Relationship Id="rId170" Type="http://schemas.openxmlformats.org/officeDocument/2006/relationships/hyperlink" Target="http://www.cgws.com/" TargetMode="External"/><Relationship Id="rId171" Type="http://schemas.openxmlformats.org/officeDocument/2006/relationships/hyperlink" Target="http://www.ebscn.com/" TargetMode="External"/><Relationship Id="rId172" Type="http://schemas.openxmlformats.org/officeDocument/2006/relationships/hyperlink" Target="http://www.gzs.com.cn/" TargetMode="External"/><Relationship Id="rId173" Type="http://schemas.openxmlformats.org/officeDocument/2006/relationships/hyperlink" Target="http://www.nesc.cn/" TargetMode="External"/><Relationship Id="rId174" Type="http://schemas.openxmlformats.org/officeDocument/2006/relationships/hyperlink" Target="http://www.njzq.com.cn/" TargetMode="External"/><Relationship Id="rId175" Type="http://schemas.openxmlformats.org/officeDocument/2006/relationships/hyperlink" Target="http://www.962518.com/" TargetMode="External"/><Relationship Id="rId176" Type="http://schemas.openxmlformats.org/officeDocument/2006/relationships/hyperlink" Target="http://www.xsdzq.cn/" TargetMode="External"/><Relationship Id="rId177" Type="http://schemas.openxmlformats.org/officeDocument/2006/relationships/hyperlink" Target="http://www.dtsbc.com.cn/" TargetMode="External"/><Relationship Id="rId178" Type="http://schemas.openxmlformats.org/officeDocument/2006/relationships/hyperlink" Target="http://www.glsc.com.cn/" TargetMode="External"/><Relationship Id="rId179" Type="http://schemas.openxmlformats.org/officeDocument/2006/relationships/hyperlink" Target="http://www.stocke.com.cn/" TargetMode="External"/><Relationship Id="rId180" Type="http://schemas.openxmlformats.org/officeDocument/2006/relationships/hyperlink" Target="http://www.pingan.com/" TargetMode="External"/><Relationship Id="rId181" Type="http://schemas.openxmlformats.org/officeDocument/2006/relationships/hyperlink" Target="http://www.hazq.com/" TargetMode="External"/><Relationship Id="rId182" Type="http://schemas.openxmlformats.org/officeDocument/2006/relationships/hyperlink" Target="http://www.ghzq.com.cn/" TargetMode="External"/><Relationship Id="rId183" Type="http://schemas.openxmlformats.org/officeDocument/2006/relationships/hyperlink" Target="http://www.cfzq.com/" TargetMode="External"/><Relationship Id="rId184" Type="http://schemas.openxmlformats.org/officeDocument/2006/relationships/hyperlink" Target="http://www.dgzq.com.cn/" TargetMode="External"/><Relationship Id="rId185" Type="http://schemas.openxmlformats.org/officeDocument/2006/relationships/hyperlink" Target="http://www.ccnew.com/" TargetMode="External"/><Relationship Id="rId186" Type="http://schemas.openxmlformats.org/officeDocument/2006/relationships/hyperlink" Target="http://www.guodu.com/" TargetMode="External"/><Relationship Id="rId187" Type="http://schemas.openxmlformats.org/officeDocument/2006/relationships/hyperlink" Target="http://www.longone.com.cn/" TargetMode="External"/><Relationship Id="rId188" Type="http://schemas.openxmlformats.org/officeDocument/2006/relationships/hyperlink" Target="http://www.bocichina.com.cn/" TargetMode="External"/><Relationship Id="rId189" Type="http://schemas.openxmlformats.org/officeDocument/2006/relationships/hyperlink" Target="http://www.cnht.com.cn/" TargetMode="External"/><Relationship Id="rId190" Type="http://schemas.openxmlformats.org/officeDocument/2006/relationships/hyperlink" Target="http://www.gszq.com/" TargetMode="External"/><Relationship Id="rId191" Type="http://schemas.openxmlformats.org/officeDocument/2006/relationships/hyperlink" Target="http://www.hx168.com.cn/" TargetMode="External"/><Relationship Id="rId192" Type="http://schemas.openxmlformats.org/officeDocument/2006/relationships/hyperlink" Target="http://www.hysec.com/" TargetMode="External"/><Relationship Id="rId193" Type="http://schemas.openxmlformats.org/officeDocument/2006/relationships/hyperlink" Target="http://www.zts.com.cn/" TargetMode="External"/><Relationship Id="rId194" Type="http://schemas.openxmlformats.org/officeDocument/2006/relationships/hyperlink" Target="http://www.csco.com.cn/" TargetMode="External"/><Relationship Id="rId195" Type="http://schemas.openxmlformats.org/officeDocument/2006/relationships/hyperlink" Target="http://www.firstcapital.com.cn/" TargetMode="External"/><Relationship Id="rId196" Type="http://schemas.openxmlformats.org/officeDocument/2006/relationships/hyperlink" Target="http://www.avicsec.com/" TargetMode="External"/><Relationship Id="rId197" Type="http://schemas.openxmlformats.org/officeDocument/2006/relationships/hyperlink" Target="http://www.tebon.com.cn/" TargetMode="External"/><Relationship Id="rId198" Type="http://schemas.openxmlformats.org/officeDocument/2006/relationships/hyperlink" Target="http://www.westsecu.com/" TargetMode="External"/><Relationship Id="rId199" Type="http://schemas.openxmlformats.org/officeDocument/2006/relationships/hyperlink" Target="http://www.hlzqgs.com/" TargetMode="External"/><Relationship Id="rId200" Type="http://schemas.openxmlformats.org/officeDocument/2006/relationships/hyperlink" Target="http://www.cicc.com.cn/" TargetMode="External"/><Relationship Id="rId201" Type="http://schemas.openxmlformats.org/officeDocument/2006/relationships/hyperlink" Target="http://www.ctsec.com/" TargetMode="External"/><Relationship Id="rId202" Type="http://schemas.openxmlformats.org/officeDocument/2006/relationships/hyperlink" Target="http://www.shhxzq.com/" TargetMode="External"/><Relationship Id="rId203" Type="http://schemas.openxmlformats.org/officeDocument/2006/relationships/hyperlink" Target="http://www.cfsc.com.cn/" TargetMode="External"/><Relationship Id="rId204" Type="http://schemas.openxmlformats.org/officeDocument/2006/relationships/hyperlink" Target="http://www.ubssecurities.com/" TargetMode="External"/><Relationship Id="rId205" Type="http://schemas.openxmlformats.org/officeDocument/2006/relationships/hyperlink" Target="http://www.china-invs.cn/" TargetMode="External"/><Relationship Id="rId206" Type="http://schemas.openxmlformats.org/officeDocument/2006/relationships/hyperlink" Target="http://www.zszq.com/" TargetMode="External"/><Relationship Id="rId207" Type="http://schemas.openxmlformats.org/officeDocument/2006/relationships/hyperlink" Target="http://www.18.cn/" TargetMode="External"/><Relationship Id="rId208" Type="http://schemas.openxmlformats.org/officeDocument/2006/relationships/hyperlink" Target="http://www.grzq.com/" TargetMode="External"/><Relationship Id="rId209" Type="http://schemas.openxmlformats.org/officeDocument/2006/relationships/hyperlink" Target="http://www.ykzq.com/" TargetMode="External"/><Relationship Id="rId210" Type="http://schemas.openxmlformats.org/officeDocument/2006/relationships/hyperlink" Target="http://www.jhzq.com.cn/" TargetMode="External"/><Relationship Id="rId211" Type="http://schemas.openxmlformats.org/officeDocument/2006/relationships/footer" Target="footer2.xml"/><Relationship Id="rId212" Type="http://schemas.openxmlformats.org/officeDocument/2006/relationships/hyperlink" Target="http://www.gjzq.com.cn/" TargetMode="External"/><Relationship Id="rId213" Type="http://schemas.openxmlformats.org/officeDocument/2006/relationships/hyperlink" Target="http://www.cnhbstock.com/" TargetMode="External"/><Relationship Id="rId214" Type="http://schemas.openxmlformats.org/officeDocument/2006/relationships/hyperlink" Target="http://www.gwgsc.com/" TargetMode="External"/><Relationship Id="rId215" Type="http://schemas.openxmlformats.org/officeDocument/2006/relationships/hyperlink" Target="http://www.ajzq.com/" TargetMode="External"/><Relationship Id="rId216" Type="http://schemas.openxmlformats.org/officeDocument/2006/relationships/hyperlink" Target="http://www.ydsc.com.cn/" TargetMode="External"/><Relationship Id="rId217" Type="http://schemas.openxmlformats.org/officeDocument/2006/relationships/hyperlink" Target="http://www.hrsec.com.cn/" TargetMode="External"/><Relationship Id="rId218" Type="http://schemas.openxmlformats.org/officeDocument/2006/relationships/hyperlink" Target="http://www.tfzq.com/" TargetMode="External"/><Relationship Id="rId219" Type="http://schemas.openxmlformats.org/officeDocument/2006/relationships/hyperlink" Target="http://www.wanhesec.com.cn/" TargetMode="External"/><Relationship Id="rId220" Type="http://schemas.openxmlformats.org/officeDocument/2006/relationships/hyperlink" Target="http://www.hxzq.cn/" TargetMode="External"/><Relationship Id="rId221" Type="http://schemas.openxmlformats.org/officeDocument/2006/relationships/hyperlink" Target="http://www.tpyzq.com/" TargetMode="External"/><Relationship Id="rId222" Type="http://schemas.openxmlformats.org/officeDocument/2006/relationships/hyperlink" Target="http://www.kysec.cn/" TargetMode="External"/><Relationship Id="rId223" Type="http://schemas.openxmlformats.org/officeDocument/2006/relationships/hyperlink" Target="http://www.cczp.com/" TargetMode="External"/><Relationship Id="rId224" Type="http://schemas.openxmlformats.org/officeDocument/2006/relationships/hyperlink" Target="http://www.huajinsc.cn/" TargetMode="External"/><Relationship Id="rId225" Type="http://schemas.openxmlformats.org/officeDocument/2006/relationships/hyperlink" Target="http://www.lczq.com/" TargetMode="External"/><Relationship Id="rId226" Type="http://schemas.openxmlformats.org/officeDocument/2006/relationships/hyperlink" Target="http://www.huaruisales.com/" TargetMode="External"/><Relationship Id="rId227" Type="http://schemas.openxmlformats.org/officeDocument/2006/relationships/hyperlink" Target="http://fund.sinosig.com/" TargetMode="External"/><Relationship Id="rId228" Type="http://schemas.openxmlformats.org/officeDocument/2006/relationships/hyperlink" Target="http://www.e-chinalife.com/" TargetMode="External"/><Relationship Id="rId229" Type="http://schemas.openxmlformats.org/officeDocument/2006/relationships/footer" Target="footer3.xml"/><Relationship Id="rId230" Type="http://schemas.openxmlformats.org/officeDocument/2006/relationships/footer" Target="footer4.xml"/><Relationship Id="rId231" Type="http://schemas.openxmlformats.org/officeDocument/2006/relationships/footer" Target="footer5.xml"/><Relationship Id="rId232" Type="http://schemas.openxmlformats.org/officeDocument/2006/relationships/hyperlink" Target="http://www.chinaamc.com/" TargetMode="External"/><Relationship Id="rId233" Type="http://schemas.openxmlformats.org/officeDocument/2006/relationships/hyperlink" Target="mailto:service@ChinaAMC.com" TargetMode="External"/><Relationship Id="rId23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lidk</dc:creator>
  <dc:title>上证50交易型开放式指数证券投资基金（ETF）</dc:title>
  <dcterms:created xsi:type="dcterms:W3CDTF">2020-11-22T13:54:03Z</dcterms:created>
  <dcterms:modified xsi:type="dcterms:W3CDTF">2020-11-22T13:54:03Z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2020-09-29T00:00:00Z</vt:filetime>
  </property>
  <property fmtid="{D5CDD505-2E9C-101B-9397-08002B2CF9AE}" pid="3" name="Creator">
    <vt:lpwstr>Microsoft® Office Word 2007</vt:lpwstr>
  </property>
  <property fmtid="{D5CDD505-2E9C-101B-9397-08002B2CF9AE}" pid="4" name="LastSaved">
    <vt:filetime>2020-11-22T00:00:00Z</vt:filetime>
  </property>
</Properties>
</file>