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4"/>
        </w:rPr>
      </w:pPr>
    </w:p>
    <w:p>
      <w:pPr>
        <w:spacing w:line="328" w:lineRule="auto" w:before="61"/>
        <w:ind w:left="300" w:right="877" w:firstLine="0"/>
        <w:jc w:val="center"/>
        <w:rPr>
          <w:b/>
          <w:sz w:val="36"/>
        </w:rPr>
      </w:pPr>
      <w:r>
        <w:rPr>
          <w:b/>
          <w:spacing w:val="-19"/>
          <w:sz w:val="36"/>
        </w:rPr>
        <w:t>华夏沪深 </w:t>
      </w:r>
      <w:r>
        <w:rPr>
          <w:rFonts w:ascii="Times New Roman" w:eastAsia="Times New Roman"/>
          <w:b/>
          <w:sz w:val="36"/>
        </w:rPr>
        <w:t>300 </w:t>
      </w:r>
      <w:r>
        <w:rPr>
          <w:b/>
          <w:spacing w:val="-1"/>
          <w:sz w:val="36"/>
        </w:rPr>
        <w:t>交易型开放式指数证券投资基金联接基</w:t>
      </w:r>
      <w:r>
        <w:rPr>
          <w:b/>
          <w:sz w:val="36"/>
        </w:rPr>
        <w:t>金招募说明书（更新）</w:t>
      </w:r>
    </w:p>
    <w:p>
      <w:pPr>
        <w:pStyle w:val="BodyText"/>
        <w:spacing w:before="9"/>
        <w:rPr>
          <w:b/>
          <w:sz w:val="49"/>
        </w:rPr>
      </w:pPr>
    </w:p>
    <w:p>
      <w:pPr>
        <w:spacing w:before="1"/>
        <w:ind w:left="300" w:right="875" w:firstLine="0"/>
        <w:jc w:val="center"/>
        <w:rPr>
          <w:b/>
          <w:sz w:val="36"/>
        </w:rPr>
      </w:pPr>
      <w:r>
        <w:rPr>
          <w:rFonts w:ascii="Times New Roman" w:eastAsia="Times New Roman"/>
          <w:b/>
          <w:sz w:val="36"/>
        </w:rPr>
        <w:t>2020 </w:t>
      </w:r>
      <w:r>
        <w:rPr>
          <w:b/>
          <w:sz w:val="36"/>
        </w:rPr>
        <w:t>年 </w:t>
      </w:r>
      <w:r>
        <w:rPr>
          <w:rFonts w:ascii="Times New Roman" w:eastAsia="Times New Roman"/>
          <w:b/>
          <w:sz w:val="36"/>
        </w:rPr>
        <w:t>11 </w:t>
      </w:r>
      <w:r>
        <w:rPr>
          <w:b/>
          <w:sz w:val="36"/>
        </w:rPr>
        <w:t>月 </w:t>
      </w:r>
      <w:r>
        <w:rPr>
          <w:rFonts w:ascii="Times New Roman" w:eastAsia="Times New Roman"/>
          <w:b/>
          <w:sz w:val="36"/>
        </w:rPr>
        <w:t>6 </w:t>
      </w:r>
      <w:r>
        <w:rPr>
          <w:b/>
          <w:sz w:val="36"/>
        </w:rPr>
        <w:t>日公告</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8"/>
        <w:rPr>
          <w:b/>
          <w:sz w:val="53"/>
        </w:rPr>
      </w:pPr>
    </w:p>
    <w:p>
      <w:pPr>
        <w:spacing w:before="1"/>
        <w:ind w:left="2213" w:right="0" w:firstLine="0"/>
        <w:jc w:val="left"/>
        <w:rPr>
          <w:sz w:val="28"/>
        </w:rPr>
      </w:pPr>
      <w:r>
        <w:rPr>
          <w:sz w:val="28"/>
        </w:rPr>
        <w:t>基金管理人：华夏基金管理有限公司</w:t>
      </w:r>
    </w:p>
    <w:p>
      <w:pPr>
        <w:pStyle w:val="BodyText"/>
        <w:spacing w:before="5"/>
      </w:pPr>
    </w:p>
    <w:p>
      <w:pPr>
        <w:spacing w:before="0"/>
        <w:ind w:left="2179" w:right="0" w:firstLine="0"/>
        <w:jc w:val="left"/>
        <w:rPr>
          <w:sz w:val="28"/>
        </w:rPr>
      </w:pPr>
      <w:r>
        <w:rPr>
          <w:sz w:val="28"/>
        </w:rPr>
        <w:t>基金托管人：中国工商银行股份有限公司</w:t>
      </w:r>
    </w:p>
    <w:p>
      <w:pPr>
        <w:spacing w:after="0"/>
        <w:jc w:val="left"/>
        <w:rPr>
          <w:sz w:val="28"/>
        </w:rPr>
        <w:sectPr>
          <w:type w:val="continuous"/>
          <w:pgSz w:w="11910" w:h="16840"/>
          <w:pgMar w:top="1580" w:bottom="280" w:left="1500" w:right="920"/>
        </w:sectPr>
      </w:pPr>
    </w:p>
    <w:p>
      <w:pPr>
        <w:spacing w:before="94"/>
        <w:ind w:left="299" w:right="877" w:firstLine="0"/>
        <w:jc w:val="center"/>
        <w:rPr>
          <w:b/>
          <w:sz w:val="24"/>
        </w:rPr>
      </w:pPr>
      <w:r>
        <w:rPr>
          <w:b/>
          <w:sz w:val="24"/>
        </w:rPr>
        <w:t>重要提示</w:t>
      </w:r>
    </w:p>
    <w:p>
      <w:pPr>
        <w:pStyle w:val="BodyText"/>
        <w:rPr>
          <w:b/>
          <w:sz w:val="24"/>
        </w:rPr>
      </w:pPr>
    </w:p>
    <w:p>
      <w:pPr>
        <w:pStyle w:val="BodyText"/>
        <w:spacing w:before="10"/>
        <w:rPr>
          <w:b/>
          <w:sz w:val="27"/>
        </w:rPr>
      </w:pPr>
    </w:p>
    <w:p>
      <w:pPr>
        <w:pStyle w:val="BodyText"/>
        <w:spacing w:line="424" w:lineRule="auto"/>
        <w:ind w:left="300" w:right="868" w:firstLine="419"/>
        <w:jc w:val="both"/>
      </w:pPr>
      <w:r>
        <w:rPr/>
        <w:t>华夏沪深</w:t>
      </w:r>
      <w:r>
        <w:rPr>
          <w:rFonts w:ascii="Times New Roman" w:hAnsi="Times New Roman" w:eastAsia="Times New Roman"/>
        </w:rPr>
        <w:t>300</w:t>
      </w:r>
      <w:r>
        <w:rPr/>
        <w:t>指数证券投资基金经中国证监会</w:t>
      </w:r>
      <w:r>
        <w:rPr>
          <w:rFonts w:ascii="Times New Roman" w:hAnsi="Times New Roman" w:eastAsia="Times New Roman"/>
        </w:rPr>
        <w:t>2009</w:t>
      </w:r>
      <w:r>
        <w:rPr/>
        <w:t>年</w:t>
      </w:r>
      <w:r>
        <w:rPr>
          <w:rFonts w:ascii="Times New Roman" w:hAnsi="Times New Roman" w:eastAsia="Times New Roman"/>
        </w:rPr>
        <w:t>6</w:t>
      </w:r>
      <w:r>
        <w:rPr/>
        <w:t>月</w:t>
      </w:r>
      <w:r>
        <w:rPr>
          <w:rFonts w:ascii="Times New Roman" w:hAnsi="Times New Roman" w:eastAsia="Times New Roman"/>
        </w:rPr>
        <w:t>18</w:t>
      </w:r>
      <w:r>
        <w:rPr/>
        <w:t>日证监许可</w:t>
      </w:r>
      <w:r>
        <w:rPr>
          <w:rFonts w:ascii="Times New Roman" w:hAnsi="Times New Roman" w:eastAsia="Times New Roman"/>
        </w:rPr>
        <w:t>[2009]531</w:t>
      </w:r>
      <w:r>
        <w:rPr/>
        <w:t>号文核</w:t>
      </w:r>
      <w:r>
        <w:rPr>
          <w:spacing w:val="-3"/>
        </w:rPr>
        <w:t>准募集，基金合同于</w:t>
      </w:r>
      <w:r>
        <w:rPr>
          <w:rFonts w:ascii="Times New Roman" w:hAnsi="Times New Roman" w:eastAsia="Times New Roman"/>
        </w:rPr>
        <w:t>2009</w:t>
      </w:r>
      <w:r>
        <w:rPr/>
        <w:t>年</w:t>
      </w:r>
      <w:r>
        <w:rPr>
          <w:rFonts w:ascii="Times New Roman" w:hAnsi="Times New Roman" w:eastAsia="Times New Roman"/>
        </w:rPr>
        <w:t>7</w:t>
      </w:r>
      <w:r>
        <w:rPr/>
        <w:t>月</w:t>
      </w:r>
      <w:r>
        <w:rPr>
          <w:rFonts w:ascii="Times New Roman" w:hAnsi="Times New Roman" w:eastAsia="Times New Roman"/>
        </w:rPr>
        <w:t>10</w:t>
      </w:r>
      <w:r>
        <w:rPr>
          <w:spacing w:val="-3"/>
        </w:rPr>
        <w:t>日正式生效。根据基金管理人</w:t>
      </w:r>
      <w:r>
        <w:rPr>
          <w:rFonts w:ascii="Times New Roman" w:hAnsi="Times New Roman" w:eastAsia="Times New Roman"/>
        </w:rPr>
        <w:t>2012</w:t>
      </w:r>
      <w:r>
        <w:rPr/>
        <w:t>年</w:t>
      </w:r>
      <w:r>
        <w:rPr>
          <w:rFonts w:ascii="Times New Roman" w:hAnsi="Times New Roman" w:eastAsia="Times New Roman"/>
        </w:rPr>
        <w:t>12</w:t>
      </w:r>
      <w:r>
        <w:rPr/>
        <w:t>月</w:t>
      </w:r>
      <w:r>
        <w:rPr>
          <w:rFonts w:ascii="Times New Roman" w:hAnsi="Times New Roman" w:eastAsia="Times New Roman"/>
        </w:rPr>
        <w:t>21</w:t>
      </w:r>
      <w:r>
        <w:rPr>
          <w:spacing w:val="-1"/>
        </w:rPr>
        <w:t>日刊登的《华</w:t>
      </w:r>
      <w:r>
        <w:rPr>
          <w:spacing w:val="-3"/>
        </w:rPr>
        <w:t>夏基金管理有限公司关于华夏沪深</w:t>
      </w:r>
      <w:r>
        <w:rPr>
          <w:rFonts w:ascii="Times New Roman" w:hAnsi="Times New Roman" w:eastAsia="Times New Roman"/>
        </w:rPr>
        <w:t>300</w:t>
      </w:r>
      <w:r>
        <w:rPr>
          <w:spacing w:val="-12"/>
        </w:rPr>
        <w:t>指数证券投资基金修订基金合同部分条款的公告》，华夏沪深</w:t>
      </w:r>
      <w:r>
        <w:rPr>
          <w:rFonts w:ascii="Times New Roman" w:hAnsi="Times New Roman" w:eastAsia="Times New Roman"/>
          <w:spacing w:val="-12"/>
        </w:rPr>
        <w:t>300</w:t>
      </w:r>
      <w:r>
        <w:rPr>
          <w:spacing w:val="-11"/>
        </w:rPr>
        <w:t>指数证券投资基金自</w:t>
      </w:r>
      <w:r>
        <w:rPr>
          <w:rFonts w:ascii="Times New Roman" w:hAnsi="Times New Roman" w:eastAsia="Times New Roman"/>
        </w:rPr>
        <w:t>2012</w:t>
      </w:r>
      <w:r>
        <w:rPr/>
        <w:t>年</w:t>
      </w:r>
      <w:r>
        <w:rPr>
          <w:rFonts w:ascii="Times New Roman" w:hAnsi="Times New Roman" w:eastAsia="Times New Roman"/>
        </w:rPr>
        <w:t>12</w:t>
      </w:r>
      <w:r>
        <w:rPr/>
        <w:t>月</w:t>
      </w:r>
      <w:r>
        <w:rPr>
          <w:rFonts w:ascii="Times New Roman" w:hAnsi="Times New Roman" w:eastAsia="Times New Roman"/>
        </w:rPr>
        <w:t>25</w:t>
      </w:r>
      <w:r>
        <w:rPr/>
        <w:t>日转为华夏沪深</w:t>
      </w:r>
      <w:r>
        <w:rPr>
          <w:rFonts w:ascii="Times New Roman" w:hAnsi="Times New Roman" w:eastAsia="Times New Roman"/>
        </w:rPr>
        <w:t>300</w:t>
      </w:r>
      <w:r>
        <w:rPr/>
        <w:t>交易型开放式指数证券投</w:t>
      </w:r>
      <w:r>
        <w:rPr>
          <w:spacing w:val="1"/>
          <w:w w:val="100"/>
        </w:rPr>
        <w:t>资基金联接基金</w:t>
      </w:r>
      <w:r>
        <w:rPr>
          <w:spacing w:val="2"/>
          <w:w w:val="100"/>
        </w:rPr>
        <w:t>（</w:t>
      </w:r>
      <w:r>
        <w:rPr>
          <w:spacing w:val="-12"/>
          <w:w w:val="100"/>
        </w:rPr>
        <w:t>以下简称“本基金”</w:t>
      </w:r>
      <w:r>
        <w:rPr>
          <w:spacing w:val="-101"/>
          <w:w w:val="100"/>
        </w:rPr>
        <w:t>）</w:t>
      </w:r>
      <w:r>
        <w:rPr>
          <w:w w:val="100"/>
        </w:rPr>
        <w:t>，并相应修订基金合同条款。根据基金管理人</w:t>
      </w:r>
      <w:r>
        <w:rPr>
          <w:rFonts w:ascii="Times New Roman" w:hAnsi="Times New Roman" w:eastAsia="Times New Roman"/>
          <w:w w:val="100"/>
        </w:rPr>
        <w:t>2</w:t>
      </w:r>
      <w:r>
        <w:rPr>
          <w:rFonts w:ascii="Times New Roman" w:hAnsi="Times New Roman" w:eastAsia="Times New Roman"/>
          <w:spacing w:val="-3"/>
          <w:w w:val="100"/>
        </w:rPr>
        <w:t>0</w:t>
      </w:r>
      <w:r>
        <w:rPr>
          <w:rFonts w:ascii="Times New Roman" w:hAnsi="Times New Roman" w:eastAsia="Times New Roman"/>
          <w:w w:val="100"/>
        </w:rPr>
        <w:t>18</w:t>
      </w:r>
      <w:r>
        <w:rPr/>
        <w:t>年</w:t>
      </w:r>
      <w:r>
        <w:rPr>
          <w:rFonts w:ascii="Times New Roman" w:hAnsi="Times New Roman" w:eastAsia="Times New Roman"/>
        </w:rPr>
        <w:t>1</w:t>
      </w:r>
      <w:r>
        <w:rPr/>
        <w:t>月</w:t>
      </w:r>
      <w:r>
        <w:rPr>
          <w:rFonts w:ascii="Times New Roman" w:hAnsi="Times New Roman" w:eastAsia="Times New Roman"/>
        </w:rPr>
        <w:t>31</w:t>
      </w:r>
      <w:r>
        <w:rPr>
          <w:spacing w:val="-12"/>
        </w:rPr>
        <w:t>日刊登的《华夏基金管理有限公司关于修订华夏沪深</w:t>
      </w:r>
      <w:r>
        <w:rPr>
          <w:rFonts w:ascii="Times New Roman" w:hAnsi="Times New Roman" w:eastAsia="Times New Roman"/>
        </w:rPr>
        <w:t>300</w:t>
      </w:r>
      <w:r>
        <w:rPr>
          <w:spacing w:val="-3"/>
        </w:rPr>
        <w:t>交易型开放式指数证券投资基金联接基金基金合同的公告》及《关于华夏沪深</w:t>
      </w:r>
      <w:r>
        <w:rPr>
          <w:rFonts w:ascii="Times New Roman" w:hAnsi="Times New Roman" w:eastAsia="Times New Roman"/>
        </w:rPr>
        <w:t>300</w:t>
      </w:r>
      <w:r>
        <w:rPr>
          <w:spacing w:val="-3"/>
        </w:rPr>
        <w:t>交易型开放式指数证券投资基金联接基金增加</w:t>
      </w:r>
      <w:r>
        <w:rPr>
          <w:rFonts w:ascii="Times New Roman" w:hAnsi="Times New Roman" w:eastAsia="Times New Roman"/>
        </w:rPr>
        <w:t>C</w:t>
      </w:r>
      <w:r>
        <w:rPr>
          <w:spacing w:val="-12"/>
        </w:rPr>
        <w:t>类基金份额类别的公告》，本基金自</w:t>
      </w:r>
      <w:r>
        <w:rPr>
          <w:rFonts w:ascii="Times New Roman" w:hAnsi="Times New Roman" w:eastAsia="Times New Roman"/>
        </w:rPr>
        <w:t>2018</w:t>
      </w:r>
      <w:r>
        <w:rPr>
          <w:spacing w:val="-3"/>
        </w:rPr>
        <w:t>年</w:t>
      </w:r>
      <w:r>
        <w:rPr>
          <w:rFonts w:ascii="Times New Roman" w:hAnsi="Times New Roman" w:eastAsia="Times New Roman"/>
        </w:rPr>
        <w:t>2</w:t>
      </w:r>
      <w:r>
        <w:rPr/>
        <w:t>月</w:t>
      </w:r>
      <w:r>
        <w:rPr>
          <w:rFonts w:ascii="Times New Roman" w:hAnsi="Times New Roman" w:eastAsia="Times New Roman"/>
        </w:rPr>
        <w:t>2</w:t>
      </w:r>
      <w:r>
        <w:rPr>
          <w:spacing w:val="-3"/>
        </w:rPr>
        <w:t>日起增加</w:t>
      </w:r>
      <w:r>
        <w:rPr>
          <w:rFonts w:ascii="Times New Roman" w:hAnsi="Times New Roman" w:eastAsia="Times New Roman"/>
        </w:rPr>
        <w:t>C</w:t>
      </w:r>
      <w:r>
        <w:rPr>
          <w:spacing w:val="-3"/>
        </w:rPr>
        <w:t>类基金份额类别。</w:t>
      </w:r>
    </w:p>
    <w:p>
      <w:pPr>
        <w:pStyle w:val="BodyText"/>
        <w:spacing w:line="424" w:lineRule="auto"/>
        <w:ind w:left="300" w:right="871" w:firstLine="419"/>
        <w:jc w:val="both"/>
      </w:pPr>
      <w:r>
        <w:rPr>
          <w:spacing w:val="-8"/>
        </w:rPr>
        <w:t>基金管理人保证本招募说明书的内容真实、准确、完整。本招募说明书经中国证监会核</w:t>
      </w:r>
      <w:r>
        <w:rPr>
          <w:spacing w:val="-12"/>
        </w:rPr>
        <w:t>准，但中国证监会对本基金募集的核准，并不表明其对本基金的价值和收益作出实质性判断</w:t>
      </w:r>
      <w:r>
        <w:rPr>
          <w:spacing w:val="-6"/>
        </w:rPr>
        <w:t>或保证，也不表明投资于本基金没有风险。</w:t>
      </w:r>
    </w:p>
    <w:p>
      <w:pPr>
        <w:pStyle w:val="BodyText"/>
        <w:spacing w:line="415" w:lineRule="auto"/>
        <w:ind w:left="300" w:right="770"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体政治、经济、社会等环境因素对证券市场价格产生影响而形成的系统性风险，个别证券特有的非系统性风险，由于基金份额持有人连续大量赎回基金产生的流动性风险，本基金的特</w:t>
      </w:r>
      <w:r>
        <w:rPr>
          <w:spacing w:val="4"/>
        </w:rPr>
        <w:t>定风险等。本基金为华夏沪深 </w:t>
      </w:r>
      <w:r>
        <w:rPr>
          <w:rFonts w:ascii="Times New Roman" w:eastAsia="Times New Roman"/>
        </w:rPr>
        <w:t>300 </w:t>
      </w:r>
      <w:r>
        <w:rPr>
          <w:spacing w:val="4"/>
        </w:rPr>
        <w:t>交易型开放式指数证券投资基金（</w:t>
      </w:r>
      <w:r>
        <w:rPr>
          <w:spacing w:val="3"/>
        </w:rPr>
        <w:t>以下简称华夏沪深</w:t>
      </w:r>
      <w:r>
        <w:rPr>
          <w:rFonts w:ascii="Times New Roman" w:eastAsia="Times New Roman"/>
          <w:spacing w:val="3"/>
        </w:rPr>
        <w:t>300ETF</w:t>
      </w:r>
      <w:r>
        <w:rPr>
          <w:spacing w:val="3"/>
        </w:rPr>
        <w:t>）</w:t>
      </w:r>
      <w:r>
        <w:rPr>
          <w:spacing w:val="-3"/>
        </w:rPr>
        <w:t>的联接基金，主要通过投资华夏沪深 </w:t>
      </w:r>
      <w:r>
        <w:rPr>
          <w:rFonts w:ascii="Times New Roman" w:eastAsia="Times New Roman"/>
        </w:rPr>
        <w:t>300ETF </w:t>
      </w:r>
      <w:r>
        <w:rPr>
          <w:spacing w:val="-3"/>
        </w:rPr>
        <w:t>紧密跟踪标的指数的表现，因此本</w:t>
      </w:r>
      <w:r>
        <w:rPr>
          <w:spacing w:val="-1"/>
        </w:rPr>
        <w:t>基金的净值会因华夏沪深</w:t>
      </w:r>
      <w:r>
        <w:rPr>
          <w:rFonts w:ascii="Times New Roman" w:eastAsia="Times New Roman"/>
          <w:spacing w:val="3"/>
        </w:rPr>
        <w:t>300ETF</w:t>
      </w:r>
      <w:r>
        <w:rPr>
          <w:spacing w:val="-12"/>
        </w:rPr>
        <w:t>净值波动而产生波动。本基金的风险与收益高于混合基金、</w:t>
      </w:r>
      <w:r>
        <w:rPr>
          <w:spacing w:val="-11"/>
        </w:rPr>
        <w:t>债券基金与货币市场基金。根据</w:t>
      </w:r>
      <w:r>
        <w:rPr>
          <w:rFonts w:ascii="Times New Roman" w:eastAsia="Times New Roman"/>
        </w:rPr>
        <w:t>2017 </w:t>
      </w:r>
      <w:r>
        <w:rPr>
          <w:spacing w:val="36"/>
        </w:rPr>
        <w:t>年</w:t>
      </w:r>
      <w:r>
        <w:rPr>
          <w:rFonts w:ascii="Times New Roman" w:eastAsia="Times New Roman"/>
        </w:rPr>
        <w:t>7 </w:t>
      </w:r>
      <w:r>
        <w:rPr>
          <w:spacing w:val="36"/>
        </w:rPr>
        <w:t>月</w:t>
      </w:r>
      <w:r>
        <w:rPr>
          <w:rFonts w:ascii="Times New Roman" w:eastAsia="Times New Roman"/>
        </w:rPr>
        <w:t>1 </w:t>
      </w:r>
      <w:r>
        <w:rPr>
          <w:spacing w:val="-18"/>
        </w:rPr>
        <w:t>日施行的《证券期货投资者适当性管理办法》， </w:t>
      </w:r>
      <w:r>
        <w:rPr>
          <w:spacing w:val="-11"/>
        </w:rPr>
        <w:t>基金管理人和销售机构已对本基金重新进行风险评级，风险评级行为不改变基金的实质性风</w:t>
      </w:r>
      <w:r>
        <w:rPr>
          <w:spacing w:val="-12"/>
        </w:rPr>
        <w:t>险收益特征，但由于风险分类标准的变化，本基金的风险等级表述可能有相应变化，具体风</w:t>
      </w:r>
      <w:r>
        <w:rPr>
          <w:spacing w:val="-6"/>
        </w:rPr>
        <w:t>险评级结果应以基金管理人和销售机构提供的评级结果为准。</w:t>
      </w:r>
    </w:p>
    <w:p>
      <w:pPr>
        <w:pStyle w:val="BodyText"/>
        <w:spacing w:line="415" w:lineRule="auto"/>
        <w:ind w:left="300" w:right="768" w:firstLine="419"/>
      </w:pPr>
      <w:r>
        <w:rPr>
          <w:spacing w:val="-10"/>
        </w:rPr>
        <w:t>投资有风险，投资人申购基金时，应认真阅读本招募说明书、基金产品资料概要，全面</w:t>
      </w:r>
      <w:r>
        <w:rPr>
          <w:spacing w:val="-5"/>
        </w:rPr>
        <w:t>认识本基金的风险收益特征和产品特性，并充分考虑自身的风险承受能力，理性判断市场， </w:t>
      </w:r>
      <w:r>
        <w:rPr>
          <w:spacing w:val="-4"/>
        </w:rPr>
        <w:t>谨慎做出投资决策。</w:t>
      </w:r>
    </w:p>
    <w:p>
      <w:pPr>
        <w:pStyle w:val="BodyText"/>
        <w:spacing w:line="417" w:lineRule="auto"/>
        <w:ind w:left="300" w:right="871" w:firstLine="419"/>
      </w:pPr>
      <w:r>
        <w:rPr>
          <w:spacing w:val="-9"/>
        </w:rPr>
        <w:t>基金产品资料概要编制、披露与更新要求，自《信息披露办法》实施之日起一年后开始执行。</w:t>
      </w:r>
    </w:p>
    <w:p>
      <w:pPr>
        <w:spacing w:after="0" w:line="417" w:lineRule="auto"/>
        <w:sectPr>
          <w:headerReference w:type="default" r:id="rId5"/>
          <w:pgSz w:w="11910" w:h="16840"/>
          <w:pgMar w:header="701" w:footer="0" w:top="1420" w:bottom="280" w:left="1500" w:right="920"/>
        </w:sectPr>
      </w:pPr>
    </w:p>
    <w:p>
      <w:pPr>
        <w:pStyle w:val="BodyText"/>
        <w:spacing w:before="115"/>
        <w:ind w:left="720"/>
      </w:pPr>
      <w:r>
        <w:rPr/>
        <w:t>基金的过往业绩并不预示其未来表现。</w:t>
      </w:r>
    </w:p>
    <w:p>
      <w:pPr>
        <w:pStyle w:val="BodyText"/>
        <w:rPr>
          <w:sz w:val="16"/>
        </w:rPr>
      </w:pPr>
    </w:p>
    <w:p>
      <w:pPr>
        <w:pStyle w:val="BodyText"/>
        <w:spacing w:line="424" w:lineRule="auto" w:before="1"/>
        <w:ind w:left="300" w:right="87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7" w:lineRule="exact"/>
        <w:ind w:left="720"/>
      </w:pPr>
      <w:r>
        <w:rPr/>
        <w:t>投资者应当认真阅读并完全理解基金合同规定的免责条款和规定的争议处理方式。</w:t>
      </w:r>
    </w:p>
    <w:p>
      <w:pPr>
        <w:pStyle w:val="BodyText"/>
        <w:spacing w:before="1"/>
        <w:rPr>
          <w:sz w:val="16"/>
        </w:rPr>
      </w:pPr>
    </w:p>
    <w:p>
      <w:pPr>
        <w:pStyle w:val="BodyText"/>
        <w:spacing w:line="427" w:lineRule="auto"/>
        <w:ind w:left="300" w:right="873" w:firstLine="419"/>
      </w:pPr>
      <w:r>
        <w:rPr>
          <w:spacing w:val="-3"/>
        </w:rPr>
        <w:t>本招募说明书所载内容更新截止日为</w:t>
      </w:r>
      <w:r>
        <w:rPr>
          <w:rFonts w:ascii="Times New Roman" w:eastAsia="Times New Roman"/>
        </w:rPr>
        <w:t>2020</w:t>
      </w:r>
      <w:r>
        <w:rPr>
          <w:spacing w:val="-3"/>
        </w:rPr>
        <w:t>年</w:t>
      </w:r>
      <w:r>
        <w:rPr>
          <w:rFonts w:ascii="Times New Roman" w:eastAsia="Times New Roman"/>
          <w:spacing w:val="-4"/>
        </w:rPr>
        <w:t>11</w:t>
      </w:r>
      <w:r>
        <w:rPr/>
        <w:t>月</w:t>
      </w:r>
      <w:r>
        <w:rPr>
          <w:rFonts w:ascii="Times New Roman" w:eastAsia="Times New Roman"/>
          <w:spacing w:val="-3"/>
        </w:rPr>
        <w:t>6</w:t>
      </w:r>
      <w:r>
        <w:rPr>
          <w:spacing w:val="-3"/>
        </w:rPr>
        <w:t>日，有关财务数据和净值表现数据截止日为</w:t>
      </w:r>
      <w:r>
        <w:rPr>
          <w:rFonts w:ascii="Times New Roman" w:eastAsia="Times New Roman"/>
        </w:rPr>
        <w:t>2020</w:t>
      </w:r>
      <w:r>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27" w:lineRule="auto"/>
        <w:sectPr>
          <w:pgSz w:w="11910" w:h="16840"/>
          <w:pgMar w:header="701" w:footer="0" w:top="1420" w:bottom="280" w:left="1500" w:right="920"/>
        </w:sectPr>
      </w:pPr>
    </w:p>
    <w:p>
      <w:pPr>
        <w:spacing w:before="94"/>
        <w:ind w:left="300" w:right="873" w:firstLine="0"/>
        <w:jc w:val="center"/>
        <w:rPr>
          <w:b/>
          <w:sz w:val="24"/>
        </w:rPr>
      </w:pPr>
      <w:r>
        <w:rPr>
          <w:b/>
          <w:sz w:val="24"/>
        </w:rPr>
        <w:t>目录</w:t>
      </w:r>
    </w:p>
    <w:sdt>
      <w:sdtPr>
        <w:docPartObj>
          <w:docPartGallery w:val="Table of Contents"/>
          <w:docPartUnique/>
        </w:docPartObj>
      </w:sdtPr>
      <w:sdtEndPr/>
      <w:sdtContent>
        <w:p>
          <w:pPr>
            <w:pStyle w:val="TOC1"/>
            <w:tabs>
              <w:tab w:pos="8298" w:val="right" w:leader="dot"/>
            </w:tabs>
            <w:spacing w:before="188"/>
            <w:ind w:right="585"/>
            <w:rPr>
              <w:rFonts w:ascii="Times New Roman" w:eastAsia="Times New Roman"/>
            </w:rPr>
          </w:pPr>
          <w:hyperlink w:history="true" w:anchor="_bookmark0">
            <w:r>
              <w:rPr/>
              <w:t>一、</w:t>
            </w:r>
            <w:r>
              <w:rPr>
                <w:spacing w:val="-3"/>
              </w:rPr>
              <w:t>绪</w:t>
            </w:r>
            <w:r>
              <w:rPr/>
              <w:t>言</w:t>
              <w:tab/>
            </w:r>
            <w:r>
              <w:rPr>
                <w:rFonts w:ascii="Times New Roman" w:eastAsia="Times New Roman"/>
              </w:rPr>
              <w:t>1</w:t>
            </w:r>
          </w:hyperlink>
        </w:p>
        <w:p>
          <w:pPr>
            <w:pStyle w:val="TOC1"/>
            <w:tabs>
              <w:tab w:pos="8298" w:val="right" w:leader="dot"/>
            </w:tabs>
            <w:ind w:right="585"/>
            <w:rPr>
              <w:rFonts w:ascii="Times New Roman" w:eastAsia="Times New Roman"/>
            </w:rPr>
          </w:pPr>
          <w:hyperlink w:history="true" w:anchor="_bookmark1">
            <w:r>
              <w:rPr/>
              <w:t>二、</w:t>
            </w:r>
            <w:r>
              <w:rPr>
                <w:spacing w:val="-3"/>
              </w:rPr>
              <w:t>释</w:t>
            </w:r>
            <w:r>
              <w:rPr/>
              <w:t>义</w:t>
              <w:tab/>
            </w:r>
            <w:r>
              <w:rPr>
                <w:rFonts w:ascii="Times New Roman" w:eastAsia="Times New Roman"/>
              </w:rPr>
              <w:t>1</w:t>
            </w:r>
          </w:hyperlink>
        </w:p>
        <w:p>
          <w:pPr>
            <w:pStyle w:val="TOC1"/>
            <w:tabs>
              <w:tab w:pos="8298" w:val="right" w:leader="dot"/>
            </w:tabs>
            <w:ind w:right="585"/>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6</w:t>
            </w:r>
          </w:hyperlink>
        </w:p>
        <w:p>
          <w:pPr>
            <w:pStyle w:val="TOC1"/>
            <w:tabs>
              <w:tab w:pos="8298" w:val="right" w:leader="dot"/>
            </w:tabs>
            <w:spacing w:before="207"/>
            <w:ind w:right="585"/>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14</w:t>
            </w:r>
          </w:hyperlink>
        </w:p>
        <w:p>
          <w:pPr>
            <w:pStyle w:val="TOC1"/>
            <w:tabs>
              <w:tab w:pos="8298" w:val="right" w:leader="dot"/>
            </w:tabs>
            <w:spacing w:before="208"/>
            <w:ind w:right="585"/>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18</w:t>
            </w:r>
          </w:hyperlink>
        </w:p>
        <w:p>
          <w:pPr>
            <w:pStyle w:val="TOC1"/>
            <w:tabs>
              <w:tab w:pos="8298" w:val="right" w:leader="dot"/>
            </w:tabs>
            <w:ind w:right="585"/>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83</w:t>
            </w:r>
          </w:hyperlink>
        </w:p>
        <w:p>
          <w:pPr>
            <w:pStyle w:val="TOC1"/>
            <w:tabs>
              <w:tab w:pos="8298" w:val="right" w:leader="dot"/>
            </w:tabs>
            <w:spacing w:before="207"/>
            <w:ind w:right="585"/>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83</w:t>
            </w:r>
          </w:hyperlink>
        </w:p>
        <w:p>
          <w:pPr>
            <w:pStyle w:val="TOC1"/>
            <w:tabs>
              <w:tab w:pos="8298" w:val="right" w:leader="dot"/>
            </w:tabs>
            <w:ind w:right="585"/>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83</w:t>
            </w:r>
          </w:hyperlink>
        </w:p>
        <w:p>
          <w:pPr>
            <w:pStyle w:val="TOC1"/>
            <w:tabs>
              <w:tab w:pos="8293" w:val="right" w:leader="dot"/>
            </w:tabs>
            <w:ind w:right="589"/>
            <w:rPr>
              <w:rFonts w:ascii="Times New Roman" w:eastAsia="Times New Roman"/>
            </w:rPr>
          </w:pPr>
          <w:hyperlink w:history="true" w:anchor="_bookmark8">
            <w:r>
              <w:rPr/>
              <w:t>九、</w:t>
            </w:r>
            <w:r>
              <w:rPr>
                <w:spacing w:val="-3"/>
              </w:rPr>
              <w:t>基</w:t>
            </w:r>
            <w:r>
              <w:rPr/>
              <w:t>金</w:t>
            </w:r>
            <w:r>
              <w:rPr>
                <w:spacing w:val="-3"/>
              </w:rPr>
              <w:t>份</w:t>
            </w:r>
            <w:r>
              <w:rPr/>
              <w:t>额</w:t>
            </w:r>
            <w:r>
              <w:rPr>
                <w:spacing w:val="-3"/>
              </w:rPr>
              <w:t>的</w:t>
            </w:r>
            <w:r>
              <w:rPr/>
              <w:t>非</w:t>
            </w:r>
            <w:r>
              <w:rPr>
                <w:spacing w:val="-3"/>
              </w:rPr>
              <w:t>交</w:t>
            </w:r>
            <w:r>
              <w:rPr/>
              <w:t>易</w:t>
            </w:r>
            <w:r>
              <w:rPr>
                <w:spacing w:val="-3"/>
              </w:rPr>
              <w:t>过</w:t>
            </w:r>
            <w:r>
              <w:rPr/>
              <w:t>户与</w:t>
            </w:r>
            <w:r>
              <w:rPr>
                <w:spacing w:val="-3"/>
              </w:rPr>
              <w:t>转</w:t>
            </w:r>
            <w:r>
              <w:rPr/>
              <w:t>托</w:t>
            </w:r>
            <w:r>
              <w:rPr>
                <w:spacing w:val="-3"/>
              </w:rPr>
              <w:t>管</w:t>
            </w:r>
            <w:r>
              <w:rPr/>
              <w:t>等</w:t>
            </w:r>
            <w:r>
              <w:rPr>
                <w:spacing w:val="-3"/>
              </w:rPr>
              <w:t>业</w:t>
            </w:r>
            <w:r>
              <w:rPr/>
              <w:t>务</w:t>
              <w:tab/>
            </w:r>
            <w:r>
              <w:rPr>
                <w:rFonts w:ascii="Times New Roman" w:eastAsia="Times New Roman"/>
                <w:spacing w:val="-8"/>
              </w:rPr>
              <w:t>111</w:t>
            </w:r>
          </w:hyperlink>
        </w:p>
        <w:p>
          <w:pPr>
            <w:pStyle w:val="TOC1"/>
            <w:tabs>
              <w:tab w:pos="8293" w:val="right" w:leader="dot"/>
            </w:tabs>
            <w:ind w:right="589"/>
            <w:rPr>
              <w:rFonts w:ascii="Times New Roman" w:eastAsia="Times New Roman"/>
            </w:rPr>
          </w:pPr>
          <w:hyperlink w:history="true" w:anchor="_bookmark9">
            <w:r>
              <w:rPr/>
              <w:t>十、</w:t>
            </w:r>
            <w:r>
              <w:rPr>
                <w:spacing w:val="-3"/>
              </w:rPr>
              <w:t>基</w:t>
            </w:r>
            <w:r>
              <w:rPr/>
              <w:t>金</w:t>
            </w:r>
            <w:r>
              <w:rPr>
                <w:spacing w:val="-3"/>
              </w:rPr>
              <w:t>的</w:t>
            </w:r>
            <w:r>
              <w:rPr/>
              <w:t>投资</w:t>
              <w:tab/>
            </w:r>
            <w:r>
              <w:rPr>
                <w:rFonts w:ascii="Times New Roman" w:eastAsia="Times New Roman"/>
                <w:spacing w:val="-8"/>
              </w:rPr>
              <w:t>111</w:t>
            </w:r>
          </w:hyperlink>
        </w:p>
        <w:p>
          <w:pPr>
            <w:pStyle w:val="TOC1"/>
            <w:tabs>
              <w:tab w:pos="8300" w:val="right" w:leader="dot"/>
            </w:tabs>
            <w:spacing w:before="207"/>
            <w:rPr>
              <w:rFonts w:ascii="Times New Roman" w:eastAsia="Times New Roman"/>
            </w:rPr>
          </w:pPr>
          <w:hyperlink w:history="true" w:anchor="_bookmark10">
            <w:r>
              <w:rPr/>
              <w:t>十一</w:t>
            </w:r>
            <w:r>
              <w:rPr>
                <w:spacing w:val="-3"/>
              </w:rPr>
              <w:t>、</w:t>
            </w:r>
            <w:r>
              <w:rPr/>
              <w:t>基</w:t>
            </w:r>
            <w:r>
              <w:rPr>
                <w:spacing w:val="-3"/>
              </w:rPr>
              <w:t>金</w:t>
            </w:r>
            <w:r>
              <w:rPr/>
              <w:t>的</w:t>
            </w:r>
            <w:r>
              <w:rPr>
                <w:spacing w:val="-3"/>
              </w:rPr>
              <w:t>业</w:t>
            </w:r>
            <w:r>
              <w:rPr/>
              <w:t>绩</w:t>
              <w:tab/>
            </w:r>
            <w:r>
              <w:rPr>
                <w:rFonts w:ascii="Times New Roman" w:eastAsia="Times New Roman"/>
              </w:rPr>
              <w:t>122</w:t>
            </w:r>
          </w:hyperlink>
        </w:p>
        <w:p>
          <w:pPr>
            <w:pStyle w:val="TOC1"/>
            <w:tabs>
              <w:tab w:pos="8300" w:val="right" w:leader="dot"/>
            </w:tabs>
            <w:rPr>
              <w:rFonts w:ascii="Times New Roman" w:eastAsia="Times New Roman"/>
            </w:rPr>
          </w:pPr>
          <w:hyperlink w:history="true" w:anchor="_bookmark11">
            <w:r>
              <w:rPr/>
              <w:t>十二</w:t>
            </w:r>
            <w:r>
              <w:rPr>
                <w:spacing w:val="-3"/>
              </w:rPr>
              <w:t>、</w:t>
            </w:r>
            <w:r>
              <w:rPr/>
              <w:t>基</w:t>
            </w:r>
            <w:r>
              <w:rPr>
                <w:spacing w:val="-3"/>
              </w:rPr>
              <w:t>金</w:t>
            </w:r>
            <w:r>
              <w:rPr/>
              <w:t>的</w:t>
            </w:r>
            <w:r>
              <w:rPr>
                <w:spacing w:val="-3"/>
              </w:rPr>
              <w:t>财</w:t>
            </w:r>
            <w:r>
              <w:rPr/>
              <w:t>产</w:t>
              <w:tab/>
            </w:r>
            <w:r>
              <w:rPr>
                <w:rFonts w:ascii="Times New Roman" w:eastAsia="Times New Roman"/>
              </w:rPr>
              <w:t>123</w:t>
            </w:r>
          </w:hyperlink>
        </w:p>
        <w:p>
          <w:pPr>
            <w:pStyle w:val="TOC1"/>
            <w:tabs>
              <w:tab w:pos="8300" w:val="right" w:leader="dot"/>
            </w:tabs>
            <w:spacing w:before="208"/>
            <w:rPr>
              <w:rFonts w:ascii="Times New Roman" w:eastAsia="Times New Roman"/>
            </w:rPr>
          </w:pPr>
          <w:hyperlink w:history="true" w:anchor="_bookmark12">
            <w:r>
              <w:rPr/>
              <w:t>十三</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124</w:t>
            </w:r>
          </w:hyperlink>
        </w:p>
        <w:p>
          <w:pPr>
            <w:pStyle w:val="TOC1"/>
            <w:tabs>
              <w:tab w:pos="8300" w:val="right" w:leader="dot"/>
            </w:tabs>
            <w:spacing w:before="207"/>
            <w:rPr>
              <w:rFonts w:ascii="Times New Roman" w:eastAsia="Times New Roman"/>
            </w:rPr>
          </w:pPr>
          <w:hyperlink w:history="true" w:anchor="_bookmark13">
            <w:r>
              <w:rPr/>
              <w:t>十四</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130</w:t>
            </w:r>
          </w:hyperlink>
        </w:p>
        <w:p>
          <w:pPr>
            <w:pStyle w:val="TOC1"/>
            <w:tabs>
              <w:tab w:pos="8300"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131</w:t>
            </w:r>
          </w:hyperlink>
        </w:p>
        <w:p>
          <w:pPr>
            <w:pStyle w:val="TOC1"/>
            <w:tabs>
              <w:tab w:pos="8300"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133</w:t>
            </w:r>
          </w:hyperlink>
        </w:p>
        <w:p>
          <w:pPr>
            <w:pStyle w:val="TOC1"/>
            <w:tabs>
              <w:tab w:pos="8300" w:val="right" w:leader="dot"/>
            </w:tabs>
            <w:rPr>
              <w:rFonts w:ascii="Times New Roman" w:eastAsia="Times New Roman"/>
            </w:rPr>
          </w:pPr>
          <w:hyperlink w:history="true" w:anchor="_bookmark16">
            <w:r>
              <w:rPr/>
              <w:t>十七</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134</w:t>
            </w:r>
          </w:hyperlink>
        </w:p>
        <w:p>
          <w:pPr>
            <w:pStyle w:val="TOC1"/>
            <w:tabs>
              <w:tab w:pos="8300" w:val="right" w:leader="dot"/>
            </w:tabs>
            <w:rPr>
              <w:rFonts w:ascii="Times New Roman" w:eastAsia="Times New Roman"/>
            </w:rPr>
          </w:pPr>
          <w:hyperlink w:history="true" w:anchor="_bookmark17">
            <w:r>
              <w:rPr/>
              <w:t>十八</w:t>
            </w:r>
            <w:r>
              <w:rPr>
                <w:spacing w:val="-3"/>
              </w:rPr>
              <w:t>、</w:t>
            </w:r>
            <w:r>
              <w:rPr/>
              <w:t>风</w:t>
            </w:r>
            <w:r>
              <w:rPr>
                <w:spacing w:val="-3"/>
              </w:rPr>
              <w:t>险</w:t>
            </w:r>
            <w:r>
              <w:rPr/>
              <w:t>揭示</w:t>
              <w:tab/>
            </w:r>
            <w:r>
              <w:rPr>
                <w:rFonts w:ascii="Times New Roman" w:eastAsia="Times New Roman"/>
              </w:rPr>
              <w:t>140</w:t>
            </w:r>
          </w:hyperlink>
        </w:p>
        <w:p>
          <w:pPr>
            <w:pStyle w:val="TOC1"/>
            <w:tabs>
              <w:tab w:pos="8300" w:val="right" w:leader="dot"/>
            </w:tabs>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145</w:t>
            </w:r>
          </w:hyperlink>
        </w:p>
        <w:p>
          <w:pPr>
            <w:pStyle w:val="TOC1"/>
            <w:tabs>
              <w:tab w:pos="8300" w:val="right" w:leader="dot"/>
            </w:tabs>
            <w:spacing w:before="207"/>
            <w:rPr>
              <w:rFonts w:ascii="Times New Roman" w:eastAsia="Times New Roman"/>
            </w:rPr>
          </w:pPr>
          <w:hyperlink w:history="true" w:anchor="_bookmark19">
            <w:r>
              <w:rPr/>
              <w:t>二十</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147</w:t>
            </w:r>
          </w:hyperlink>
        </w:p>
        <w:p>
          <w:pPr>
            <w:pStyle w:val="TOC1"/>
            <w:tabs>
              <w:tab w:pos="8300" w:val="right" w:leader="dot"/>
            </w:tabs>
            <w:spacing w:before="209"/>
            <w:rPr>
              <w:rFonts w:ascii="Times New Roman" w:eastAsia="Times New Roman"/>
            </w:rPr>
          </w:pPr>
          <w:hyperlink w:history="true" w:anchor="_bookmark20">
            <w:r>
              <w:rPr/>
              <w:t>二十</w:t>
            </w:r>
            <w:r>
              <w:rPr>
                <w:spacing w:val="-3"/>
              </w:rPr>
              <w:t>一</w:t>
            </w:r>
            <w:r>
              <w:rPr/>
              <w:t>、</w:t>
            </w:r>
            <w:r>
              <w:rPr>
                <w:spacing w:val="-3"/>
              </w:rPr>
              <w:t>基</w:t>
            </w:r>
            <w:r>
              <w:rPr/>
              <w:t>金</w:t>
            </w:r>
            <w:r>
              <w:rPr>
                <w:spacing w:val="-3"/>
              </w:rPr>
              <w:t>托</w:t>
            </w:r>
            <w:r>
              <w:rPr/>
              <w:t>管</w:t>
            </w:r>
            <w:r>
              <w:rPr>
                <w:spacing w:val="-3"/>
              </w:rPr>
              <w:t>协</w:t>
            </w:r>
            <w:r>
              <w:rPr/>
              <w:t>议</w:t>
            </w:r>
            <w:r>
              <w:rPr>
                <w:spacing w:val="-3"/>
              </w:rPr>
              <w:t>的</w:t>
            </w:r>
            <w:r>
              <w:rPr/>
              <w:t>内容</w:t>
            </w:r>
            <w:r>
              <w:rPr>
                <w:spacing w:val="-3"/>
              </w:rPr>
              <w:t>摘</w:t>
            </w:r>
            <w:r>
              <w:rPr/>
              <w:t>要</w:t>
              <w:tab/>
            </w:r>
            <w:r>
              <w:rPr>
                <w:rFonts w:ascii="Times New Roman" w:eastAsia="Times New Roman"/>
              </w:rPr>
              <w:t>163</w:t>
            </w:r>
          </w:hyperlink>
        </w:p>
        <w:p>
          <w:pPr>
            <w:pStyle w:val="TOC1"/>
            <w:tabs>
              <w:tab w:pos="8300" w:val="right" w:leader="dot"/>
            </w:tabs>
            <w:rPr>
              <w:rFonts w:ascii="Times New Roman" w:eastAsia="Times New Roman"/>
            </w:rPr>
          </w:pPr>
          <w:hyperlink w:history="true" w:anchor="_bookmark21">
            <w:r>
              <w:rPr/>
              <w:t>二十</w:t>
            </w:r>
            <w:r>
              <w:rPr>
                <w:spacing w:val="-3"/>
              </w:rPr>
              <w:t>二</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176</w:t>
            </w:r>
          </w:hyperlink>
        </w:p>
        <w:p>
          <w:pPr>
            <w:pStyle w:val="TOC1"/>
            <w:tabs>
              <w:tab w:pos="8300" w:val="right" w:leader="dot"/>
            </w:tabs>
            <w:rPr>
              <w:rFonts w:ascii="Times New Roman" w:eastAsia="Times New Roman"/>
            </w:rPr>
          </w:pPr>
          <w:hyperlink w:history="true" w:anchor="_bookmark22">
            <w:r>
              <w:rPr/>
              <w:t>二十</w:t>
            </w:r>
            <w:r>
              <w:rPr>
                <w:spacing w:val="-3"/>
              </w:rPr>
              <w:t>三</w:t>
            </w:r>
            <w:r>
              <w:rPr/>
              <w:t>、</w:t>
            </w:r>
            <w:r>
              <w:rPr>
                <w:spacing w:val="-3"/>
              </w:rPr>
              <w:t>其</w:t>
            </w:r>
            <w:r>
              <w:rPr/>
              <w:t>他</w:t>
            </w:r>
            <w:r>
              <w:rPr>
                <w:spacing w:val="-3"/>
              </w:rPr>
              <w:t>应</w:t>
            </w:r>
            <w:r>
              <w:rPr/>
              <w:t>披</w:t>
            </w:r>
            <w:r>
              <w:rPr>
                <w:spacing w:val="-3"/>
              </w:rPr>
              <w:t>露</w:t>
            </w:r>
            <w:r>
              <w:rPr/>
              <w:t>事项</w:t>
              <w:tab/>
            </w:r>
            <w:r>
              <w:rPr>
                <w:rFonts w:ascii="Times New Roman" w:eastAsia="Times New Roman"/>
              </w:rPr>
              <w:t>178</w:t>
            </w:r>
          </w:hyperlink>
        </w:p>
        <w:p>
          <w:pPr>
            <w:pStyle w:val="TOC1"/>
            <w:tabs>
              <w:tab w:pos="8300" w:val="right" w:leader="dot"/>
            </w:tabs>
            <w:rPr>
              <w:rFonts w:ascii="Times New Roman" w:eastAsia="Times New Roman"/>
            </w:rPr>
          </w:pPr>
          <w:hyperlink w:history="true" w:anchor="_bookmark22">
            <w:r>
              <w:rPr/>
              <w:t>二十</w:t>
            </w:r>
            <w:r>
              <w:rPr>
                <w:spacing w:val="-3"/>
              </w:rPr>
              <w:t>四</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178</w:t>
            </w:r>
          </w:hyperlink>
        </w:p>
        <w:p>
          <w:pPr>
            <w:pStyle w:val="TOC1"/>
            <w:tabs>
              <w:tab w:pos="8300" w:val="right" w:leader="dot"/>
            </w:tabs>
            <w:rPr>
              <w:rFonts w:ascii="Times New Roman" w:eastAsia="Times New Roman"/>
            </w:rPr>
          </w:pPr>
          <w:hyperlink w:history="true" w:anchor="_bookmark23">
            <w:r>
              <w:rPr/>
              <w:t>二十</w:t>
            </w:r>
            <w:r>
              <w:rPr>
                <w:spacing w:val="-3"/>
              </w:rPr>
              <w:t>五</w:t>
            </w:r>
            <w:r>
              <w:rPr/>
              <w:t>、</w:t>
            </w:r>
            <w:r>
              <w:rPr>
                <w:spacing w:val="-3"/>
              </w:rPr>
              <w:t>备</w:t>
            </w:r>
            <w:r>
              <w:rPr/>
              <w:t>查</w:t>
            </w:r>
            <w:r>
              <w:rPr>
                <w:spacing w:val="-3"/>
              </w:rPr>
              <w:t>文</w:t>
            </w:r>
            <w:r>
              <w:rPr/>
              <w:t>件</w:t>
              <w:tab/>
            </w:r>
            <w:r>
              <w:rPr>
                <w:rFonts w:ascii="Times New Roman" w:eastAsia="Times New Roman"/>
              </w:rPr>
              <w:t>178</w:t>
            </w:r>
          </w:hyperlink>
        </w:p>
      </w:sdtContent>
    </w:sdt>
    <w:p>
      <w:pPr>
        <w:spacing w:after="0"/>
        <w:rPr>
          <w:rFonts w:ascii="Times New Roman" w:eastAsia="Times New Roman"/>
        </w:rPr>
        <w:sectPr>
          <w:pgSz w:w="11910" w:h="16840"/>
          <w:pgMar w:header="701" w:footer="0" w:top="1420" w:bottom="280" w:left="1500" w:right="920"/>
        </w:sectPr>
      </w:pPr>
    </w:p>
    <w:p>
      <w:pPr>
        <w:pStyle w:val="BodyText"/>
        <w:rPr>
          <w:rFonts w:ascii="Times New Roman"/>
          <w:sz w:val="24"/>
        </w:rPr>
      </w:pPr>
    </w:p>
    <w:p>
      <w:pPr>
        <w:pStyle w:val="Heading1"/>
        <w:spacing w:before="157"/>
        <w:ind w:left="299"/>
      </w:pPr>
      <w:bookmarkStart w:name="_bookmark0" w:id="1"/>
      <w:bookmarkEnd w:id="1"/>
      <w:r>
        <w:rPr>
          <w:b w:val="0"/>
        </w:rPr>
      </w:r>
      <w:r>
        <w:rPr/>
        <w:t>一、绪言</w:t>
      </w:r>
    </w:p>
    <w:p>
      <w:pPr>
        <w:pStyle w:val="BodyText"/>
        <w:rPr>
          <w:b/>
          <w:sz w:val="24"/>
        </w:rPr>
      </w:pPr>
    </w:p>
    <w:p>
      <w:pPr>
        <w:pStyle w:val="BodyText"/>
        <w:spacing w:line="424" w:lineRule="auto" w:before="211"/>
        <w:ind w:left="300" w:right="768" w:firstLine="419"/>
        <w:jc w:val="both"/>
      </w:pPr>
      <w:r>
        <w:rPr>
          <w:spacing w:val="-9"/>
        </w:rPr>
        <w:t>《华夏沪深 </w:t>
      </w:r>
      <w:r>
        <w:rPr>
          <w:rFonts w:ascii="Times New Roman" w:hAnsi="Times New Roman" w:eastAsia="Times New Roman"/>
        </w:rPr>
        <w:t>300 </w:t>
      </w:r>
      <w:r>
        <w:rPr>
          <w:spacing w:val="-5"/>
        </w:rPr>
        <w:t>交易型开放式指数证券投资基金联接基金招募说明书</w:t>
      </w:r>
      <w:r>
        <w:rPr>
          <w:spacing w:val="-3"/>
        </w:rPr>
        <w:t>（</w:t>
      </w:r>
      <w:r>
        <w:rPr/>
        <w:t>更新</w:t>
      </w:r>
      <w:r>
        <w:rPr>
          <w:spacing w:val="-108"/>
        </w:rPr>
        <w:t>）</w:t>
      </w:r>
      <w:r>
        <w:rPr>
          <w:spacing w:val="-154"/>
        </w:rPr>
        <w:t>》</w:t>
      </w:r>
      <w:r>
        <w:rPr/>
        <w:t>（</w:t>
      </w:r>
      <w:r>
        <w:rPr>
          <w:spacing w:val="-2"/>
        </w:rPr>
        <w:t>以下简</w:t>
      </w:r>
      <w:r>
        <w:rPr>
          <w:spacing w:val="-3"/>
          <w:w w:val="100"/>
        </w:rPr>
        <w:t>称“本招募说明书”</w:t>
      </w:r>
      <w:r>
        <w:rPr>
          <w:spacing w:val="-41"/>
          <w:w w:val="100"/>
        </w:rPr>
        <w:t>）</w:t>
      </w:r>
      <w:r>
        <w:rPr>
          <w:spacing w:val="-8"/>
          <w:w w:val="100"/>
        </w:rPr>
        <w:t>依据《中华人民共和国证券投资基金法</w:t>
      </w:r>
      <w:r>
        <w:rPr>
          <w:spacing w:val="-147"/>
          <w:w w:val="100"/>
        </w:rPr>
        <w:t>》</w:t>
      </w:r>
      <w:r>
        <w:rPr>
          <w:w w:val="100"/>
        </w:rPr>
        <w:t>（</w:t>
      </w:r>
      <w:r>
        <w:rPr>
          <w:spacing w:val="-11"/>
          <w:w w:val="100"/>
        </w:rPr>
        <w:t>以下简称“《基金法》”</w:t>
      </w:r>
      <w:r>
        <w:rPr>
          <w:spacing w:val="-108"/>
          <w:w w:val="100"/>
        </w:rPr>
        <w:t>）</w:t>
      </w:r>
      <w:r>
        <w:rPr>
          <w:w w:val="100"/>
        </w:rPr>
        <w:t>、</w:t>
      </w:r>
    </w:p>
    <w:p>
      <w:pPr>
        <w:pStyle w:val="BodyText"/>
        <w:spacing w:line="424" w:lineRule="auto" w:before="1"/>
        <w:ind w:left="300" w:right="871"/>
        <w:jc w:val="both"/>
      </w:pPr>
      <w:r>
        <w:rPr>
          <w:spacing w:val="-11"/>
          <w:w w:val="100"/>
        </w:rPr>
        <w:t>《证券投资基金销售管理办法》</w:t>
      </w:r>
      <w:r>
        <w:rPr>
          <w:spacing w:val="-3"/>
          <w:w w:val="100"/>
        </w:rPr>
        <w:t>（以下简称“《销售办法》”</w:t>
      </w:r>
      <w:r>
        <w:rPr>
          <w:spacing w:val="-106"/>
          <w:w w:val="100"/>
        </w:rPr>
        <w:t>）</w:t>
      </w:r>
      <w:r>
        <w:rPr>
          <w:spacing w:val="-12"/>
          <w:w w:val="100"/>
        </w:rPr>
        <w:t>、《证券投资基金运作管理办</w:t>
      </w:r>
      <w:r>
        <w:rPr>
          <w:spacing w:val="-69"/>
          <w:w w:val="100"/>
        </w:rPr>
        <w:t>法》</w:t>
      </w:r>
      <w:r>
        <w:rPr>
          <w:spacing w:val="-3"/>
          <w:w w:val="100"/>
        </w:rPr>
        <w:t>（</w:t>
      </w:r>
      <w:r>
        <w:rPr>
          <w:spacing w:val="-8"/>
          <w:w w:val="100"/>
        </w:rPr>
        <w:t>以下简称“《运作办法》”</w:t>
      </w:r>
      <w:r>
        <w:rPr>
          <w:spacing w:val="-106"/>
          <w:w w:val="100"/>
        </w:rPr>
        <w:t>）</w:t>
      </w:r>
      <w:r>
        <w:rPr>
          <w:spacing w:val="-13"/>
          <w:w w:val="100"/>
        </w:rPr>
        <w:t>、《公开募集证券投资基金信息披露管理办法</w:t>
      </w:r>
      <w:r>
        <w:rPr>
          <w:spacing w:val="-125"/>
          <w:w w:val="100"/>
        </w:rPr>
        <w:t>》</w:t>
      </w:r>
      <w:r>
        <w:rPr>
          <w:spacing w:val="-3"/>
          <w:w w:val="100"/>
        </w:rPr>
        <w:t>（</w:t>
      </w:r>
      <w:r>
        <w:rPr>
          <w:spacing w:val="-2"/>
          <w:w w:val="100"/>
        </w:rPr>
        <w:t>以下简称 </w:t>
      </w:r>
      <w:r>
        <w:rPr>
          <w:spacing w:val="-1"/>
          <w:w w:val="100"/>
        </w:rPr>
        <w:t>“《信息披露办法》”</w:t>
      </w:r>
      <w:r>
        <w:rPr>
          <w:spacing w:val="-106"/>
          <w:w w:val="100"/>
        </w:rPr>
        <w:t>）</w:t>
      </w:r>
      <w:r>
        <w:rPr>
          <w:spacing w:val="-11"/>
          <w:w w:val="100"/>
        </w:rPr>
        <w:t>、《公开募集开放式证券投资基金流动性风险管理规定》</w:t>
      </w:r>
      <w:r>
        <w:rPr>
          <w:rFonts w:ascii="Times New Roman" w:hAnsi="Times New Roman" w:eastAsia="Times New Roman"/>
          <w:spacing w:val="-1"/>
          <w:w w:val="100"/>
        </w:rPr>
        <w:t>(</w:t>
      </w:r>
      <w:r>
        <w:rPr>
          <w:w w:val="100"/>
        </w:rPr>
        <w:t>以下简称 </w:t>
      </w:r>
      <w:r>
        <w:rPr>
          <w:spacing w:val="-3"/>
        </w:rPr>
        <w:t>“《流动性风险管理规定》”</w:t>
      </w:r>
      <w:r>
        <w:rPr>
          <w:rFonts w:ascii="Times New Roman" w:hAnsi="Times New Roman" w:eastAsia="Times New Roman"/>
        </w:rPr>
        <w:t>)</w:t>
      </w:r>
      <w:r>
        <w:rPr>
          <w:spacing w:val="-4"/>
        </w:rPr>
        <w:t>及其他有关规定以及《华夏沪深 </w:t>
      </w:r>
      <w:r>
        <w:rPr>
          <w:rFonts w:ascii="Times New Roman" w:hAnsi="Times New Roman" w:eastAsia="Times New Roman"/>
        </w:rPr>
        <w:t>300 </w:t>
      </w:r>
      <w:r>
        <w:rPr>
          <w:spacing w:val="-3"/>
        </w:rPr>
        <w:t>交易型开放式指数证券</w:t>
      </w:r>
    </w:p>
    <w:p>
      <w:pPr>
        <w:pStyle w:val="BodyText"/>
        <w:spacing w:line="424" w:lineRule="auto"/>
        <w:ind w:left="300" w:right="871"/>
        <w:jc w:val="both"/>
      </w:pPr>
      <w:r>
        <w:rPr>
          <w:spacing w:val="-3"/>
        </w:rPr>
        <w:t>投资基金联接基金基金合同》（</w:t>
      </w:r>
      <w:r>
        <w:rPr>
          <w:spacing w:val="-8"/>
        </w:rPr>
        <w:t>原《华夏沪深 </w:t>
      </w:r>
      <w:r>
        <w:rPr>
          <w:rFonts w:ascii="Times New Roman" w:hAnsi="Times New Roman" w:eastAsia="Times New Roman"/>
        </w:rPr>
        <w:t>300 </w:t>
      </w:r>
      <w:r>
        <w:rPr>
          <w:spacing w:val="-11"/>
        </w:rPr>
        <w:t>指数证券投资基金基金合同》，以下简称</w:t>
      </w:r>
      <w:r>
        <w:rPr>
          <w:spacing w:val="-6"/>
        </w:rPr>
        <w:t>“基金合同”</w:t>
      </w:r>
      <w:r>
        <w:rPr/>
        <w:t>）</w:t>
      </w:r>
      <w:r>
        <w:rPr>
          <w:spacing w:val="-2"/>
        </w:rPr>
        <w:t>编写。</w:t>
      </w:r>
    </w:p>
    <w:p>
      <w:pPr>
        <w:pStyle w:val="BodyText"/>
        <w:spacing w:line="424" w:lineRule="auto"/>
        <w:ind w:left="300" w:right="87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24" w:lineRule="auto"/>
        <w:ind w:left="300" w:right="871" w:firstLine="419"/>
        <w:jc w:val="both"/>
      </w:pPr>
      <w:r>
        <w:rPr>
          <w:spacing w:val="-8"/>
        </w:rPr>
        <w:t>本招募说明书根据本基金的基金合同编写，并经中国证监会核准。基金合同是约定基金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BodyText"/>
        <w:spacing w:before="10"/>
        <w:rPr>
          <w:sz w:val="23"/>
        </w:rPr>
      </w:pPr>
    </w:p>
    <w:p>
      <w:pPr>
        <w:pStyle w:val="Heading1"/>
        <w:spacing w:before="1"/>
        <w:ind w:left="299"/>
      </w:pPr>
      <w:bookmarkStart w:name="_bookmark1" w:id="2"/>
      <w:bookmarkEnd w:id="2"/>
      <w:r>
        <w:rPr>
          <w:b w:val="0"/>
        </w:rPr>
      </w:r>
      <w:r>
        <w:rPr/>
        <w:t>二、释义</w:t>
      </w:r>
    </w:p>
    <w:p>
      <w:pPr>
        <w:pStyle w:val="BodyText"/>
        <w:rPr>
          <w:b/>
          <w:sz w:val="24"/>
        </w:rPr>
      </w:pPr>
    </w:p>
    <w:p>
      <w:pPr>
        <w:pStyle w:val="BodyText"/>
        <w:spacing w:before="211"/>
        <w:ind w:left="720"/>
      </w:pPr>
      <w:r>
        <w:rPr/>
        <w:t>本招募说明书中，除非文意另有所指，下列词语或简称具有如下含义：</w:t>
      </w:r>
    </w:p>
    <w:p>
      <w:pPr>
        <w:pStyle w:val="BodyText"/>
        <w:spacing w:before="10" w:after="1"/>
        <w:rPr>
          <w:sz w:val="1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4"/>
        <w:gridCol w:w="6139"/>
      </w:tblGrid>
      <w:tr>
        <w:trPr>
          <w:trHeight w:val="1184" w:hRule="atLeast"/>
        </w:trPr>
        <w:tc>
          <w:tcPr>
            <w:tcW w:w="2664" w:type="dxa"/>
          </w:tcPr>
          <w:p>
            <w:pPr>
              <w:pStyle w:val="TableParagraph"/>
              <w:spacing w:line="247" w:lineRule="exact" w:before="0"/>
              <w:ind w:left="200"/>
              <w:rPr>
                <w:sz w:val="21"/>
              </w:rPr>
            </w:pPr>
            <w:r>
              <w:rPr>
                <w:spacing w:val="-13"/>
                <w:sz w:val="21"/>
              </w:rPr>
              <w:t>《基金合同》、基金合同：</w:t>
            </w:r>
          </w:p>
        </w:tc>
        <w:tc>
          <w:tcPr>
            <w:tcW w:w="6139" w:type="dxa"/>
          </w:tcPr>
          <w:p>
            <w:pPr>
              <w:pStyle w:val="TableParagraph"/>
              <w:spacing w:line="247" w:lineRule="exact" w:before="0"/>
              <w:ind w:left="54"/>
              <w:rPr>
                <w:sz w:val="21"/>
              </w:rPr>
            </w:pPr>
            <w:r>
              <w:rPr>
                <w:sz w:val="21"/>
              </w:rPr>
              <w:t>《华夏沪深 </w:t>
            </w:r>
            <w:r>
              <w:rPr>
                <w:rFonts w:ascii="Times New Roman" w:eastAsia="Times New Roman"/>
                <w:sz w:val="21"/>
              </w:rPr>
              <w:t>300 </w:t>
            </w:r>
            <w:r>
              <w:rPr>
                <w:sz w:val="21"/>
              </w:rPr>
              <w:t>交易型开放式指数证券投资基金联接基金基金</w:t>
            </w:r>
          </w:p>
          <w:p>
            <w:pPr>
              <w:pStyle w:val="TableParagraph"/>
              <w:spacing w:line="476" w:lineRule="exact" w:before="35"/>
              <w:ind w:left="54" w:right="197"/>
              <w:rPr>
                <w:sz w:val="21"/>
              </w:rPr>
            </w:pPr>
            <w:r>
              <w:rPr>
                <w:spacing w:val="-10"/>
                <w:sz w:val="21"/>
              </w:rPr>
              <w:t>合同》及对其的任何有效的修订和补充。与基金募集、基金合同</w:t>
            </w:r>
            <w:r>
              <w:rPr>
                <w:spacing w:val="-7"/>
                <w:sz w:val="21"/>
              </w:rPr>
              <w:t>生效等相关的内容仅适用于原华夏沪深 </w:t>
            </w:r>
            <w:r>
              <w:rPr>
                <w:rFonts w:ascii="Times New Roman" w:eastAsia="Times New Roman"/>
                <w:sz w:val="21"/>
              </w:rPr>
              <w:t>300 </w:t>
            </w:r>
            <w:r>
              <w:rPr>
                <w:spacing w:val="-3"/>
                <w:sz w:val="21"/>
              </w:rPr>
              <w:t>指数证券投资基金，</w:t>
            </w:r>
          </w:p>
        </w:tc>
      </w:tr>
    </w:tbl>
    <w:p>
      <w:pPr>
        <w:spacing w:after="0" w:line="476" w:lineRule="exact"/>
        <w:rPr>
          <w:sz w:val="21"/>
        </w:rPr>
        <w:sectPr>
          <w:footerReference w:type="default" r:id="rId6"/>
          <w:pgSz w:w="11910" w:h="16840"/>
          <w:pgMar w:footer="683" w:header="701" w:top="1420" w:bottom="880" w:left="1500" w:right="920"/>
          <w:pgNumType w:start="1"/>
        </w:sectPr>
      </w:pPr>
    </w:p>
    <w:p>
      <w:pPr>
        <w:pStyle w:val="BodyText"/>
        <w:spacing w:before="10"/>
        <w:rPr>
          <w:rFonts w:ascii="Times New Roman"/>
          <w:sz w:val="11"/>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6"/>
        <w:gridCol w:w="6410"/>
      </w:tblGrid>
      <w:tr>
        <w:trPr>
          <w:trHeight w:val="821" w:hRule="atLeast"/>
        </w:trPr>
        <w:tc>
          <w:tcPr>
            <w:tcW w:w="2406" w:type="dxa"/>
          </w:tcPr>
          <w:p>
            <w:pPr>
              <w:pStyle w:val="TableParagraph"/>
              <w:spacing w:before="0"/>
              <w:rPr>
                <w:rFonts w:ascii="Times New Roman"/>
                <w:sz w:val="20"/>
              </w:rPr>
            </w:pPr>
          </w:p>
        </w:tc>
        <w:tc>
          <w:tcPr>
            <w:tcW w:w="6410" w:type="dxa"/>
          </w:tcPr>
          <w:p>
            <w:pPr>
              <w:pStyle w:val="TableParagraph"/>
              <w:spacing w:line="247" w:lineRule="exact" w:before="0"/>
              <w:ind w:left="312"/>
              <w:rPr>
                <w:sz w:val="21"/>
              </w:rPr>
            </w:pPr>
            <w:r>
              <w:rPr>
                <w:sz w:val="21"/>
              </w:rPr>
              <w:t>对变更后的华夏沪深 </w:t>
            </w:r>
            <w:r>
              <w:rPr>
                <w:rFonts w:ascii="Times New Roman" w:eastAsia="Times New Roman"/>
                <w:sz w:val="21"/>
              </w:rPr>
              <w:t>300 </w:t>
            </w:r>
            <w:r>
              <w:rPr>
                <w:sz w:val="21"/>
              </w:rPr>
              <w:t>交易型开放式指数证券投资基金联接</w:t>
            </w:r>
          </w:p>
          <w:p>
            <w:pPr>
              <w:pStyle w:val="TableParagraph"/>
              <w:spacing w:before="10"/>
              <w:rPr>
                <w:rFonts w:ascii="Times New Roman"/>
                <w:sz w:val="17"/>
              </w:rPr>
            </w:pPr>
          </w:p>
          <w:p>
            <w:pPr>
              <w:pStyle w:val="TableParagraph"/>
              <w:spacing w:before="0"/>
              <w:ind w:left="312"/>
              <w:rPr>
                <w:sz w:val="21"/>
              </w:rPr>
            </w:pPr>
            <w:r>
              <w:rPr>
                <w:sz w:val="21"/>
              </w:rPr>
              <w:t>基金不适用。</w:t>
            </w:r>
          </w:p>
        </w:tc>
      </w:tr>
      <w:tr>
        <w:trPr>
          <w:trHeight w:val="2386" w:hRule="atLeast"/>
        </w:trPr>
        <w:tc>
          <w:tcPr>
            <w:tcW w:w="2406" w:type="dxa"/>
          </w:tcPr>
          <w:p>
            <w:pPr>
              <w:pStyle w:val="TableParagraph"/>
              <w:spacing w:before="107"/>
              <w:ind w:left="200"/>
              <w:rPr>
                <w:sz w:val="21"/>
              </w:rPr>
            </w:pPr>
            <w:r>
              <w:rPr>
                <w:sz w:val="21"/>
              </w:rPr>
              <w:t>目标</w:t>
            </w:r>
            <w:r>
              <w:rPr>
                <w:rFonts w:ascii="Times New Roman" w:eastAsia="Times New Roman"/>
                <w:sz w:val="21"/>
              </w:rPr>
              <w:t>ETF</w:t>
            </w:r>
            <w:r>
              <w:rPr>
                <w:sz w:val="21"/>
              </w:rPr>
              <w:t>：</w:t>
            </w:r>
          </w:p>
        </w:tc>
        <w:tc>
          <w:tcPr>
            <w:tcW w:w="6410" w:type="dxa"/>
          </w:tcPr>
          <w:p>
            <w:pPr>
              <w:pStyle w:val="TableParagraph"/>
              <w:spacing w:line="424" w:lineRule="auto" w:before="107"/>
              <w:ind w:left="312" w:right="300"/>
              <w:jc w:val="both"/>
              <w:rPr>
                <w:sz w:val="21"/>
              </w:rPr>
            </w:pPr>
            <w:r>
              <w:rPr>
                <w:spacing w:val="-7"/>
                <w:sz w:val="21"/>
              </w:rPr>
              <w:t>另一获中国证监会核准的交易型开放式指数证券投资基金</w:t>
            </w:r>
            <w:r>
              <w:rPr>
                <w:spacing w:val="-3"/>
                <w:sz w:val="21"/>
              </w:rPr>
              <w:t>（</w:t>
            </w:r>
            <w:r>
              <w:rPr>
                <w:sz w:val="21"/>
              </w:rPr>
              <w:t>简称</w:t>
            </w:r>
            <w:r>
              <w:rPr>
                <w:rFonts w:ascii="Times New Roman" w:eastAsia="Times New Roman"/>
                <w:w w:val="100"/>
                <w:sz w:val="21"/>
              </w:rPr>
              <w:t>ET</w:t>
            </w:r>
            <w:r>
              <w:rPr>
                <w:rFonts w:ascii="Times New Roman" w:eastAsia="Times New Roman"/>
                <w:spacing w:val="-5"/>
                <w:w w:val="100"/>
                <w:sz w:val="21"/>
              </w:rPr>
              <w:t>F</w:t>
            </w:r>
            <w:r>
              <w:rPr>
                <w:spacing w:val="-106"/>
                <w:w w:val="100"/>
                <w:sz w:val="21"/>
              </w:rPr>
              <w:t>）</w:t>
            </w:r>
            <w:r>
              <w:rPr>
                <w:spacing w:val="-2"/>
                <w:w w:val="100"/>
                <w:sz w:val="21"/>
              </w:rPr>
              <w:t>，该</w:t>
            </w:r>
            <w:r>
              <w:rPr>
                <w:spacing w:val="-53"/>
                <w:sz w:val="21"/>
              </w:rPr>
              <w:t> </w:t>
            </w:r>
            <w:r>
              <w:rPr>
                <w:rFonts w:ascii="Times New Roman" w:eastAsia="Times New Roman"/>
                <w:spacing w:val="-2"/>
                <w:w w:val="100"/>
                <w:sz w:val="21"/>
              </w:rPr>
              <w:t>E</w:t>
            </w:r>
            <w:r>
              <w:rPr>
                <w:rFonts w:ascii="Times New Roman" w:eastAsia="Times New Roman"/>
                <w:w w:val="100"/>
                <w:sz w:val="21"/>
              </w:rPr>
              <w:t>TF</w:t>
            </w:r>
            <w:r>
              <w:rPr>
                <w:rFonts w:ascii="Times New Roman" w:eastAsia="Times New Roman"/>
                <w:sz w:val="21"/>
              </w:rPr>
              <w:t> </w:t>
            </w:r>
            <w:r>
              <w:rPr>
                <w:spacing w:val="-1"/>
                <w:w w:val="100"/>
                <w:sz w:val="21"/>
              </w:rPr>
              <w:t>和本基金所跟踪的标的指数相同，并且，该</w:t>
            </w:r>
            <w:r>
              <w:rPr>
                <w:rFonts w:ascii="Times New Roman" w:eastAsia="Times New Roman"/>
                <w:w w:val="100"/>
                <w:sz w:val="21"/>
              </w:rPr>
              <w:t>ETF</w:t>
            </w:r>
            <w:r>
              <w:rPr>
                <w:spacing w:val="-10"/>
                <w:sz w:val="21"/>
              </w:rPr>
              <w:t>的投资目标和本基金的投资目标类似，本基金主要投资于该 </w:t>
            </w:r>
            <w:r>
              <w:rPr>
                <w:rFonts w:ascii="Times New Roman" w:eastAsia="Times New Roman"/>
                <w:sz w:val="21"/>
              </w:rPr>
              <w:t>ETF </w:t>
            </w:r>
            <w:r>
              <w:rPr>
                <w:spacing w:val="-13"/>
                <w:sz w:val="21"/>
              </w:rPr>
              <w:t>以求达到投资目标。本基金以华夏沪深 </w:t>
            </w:r>
            <w:r>
              <w:rPr>
                <w:rFonts w:ascii="Times New Roman" w:eastAsia="Times New Roman"/>
                <w:sz w:val="21"/>
              </w:rPr>
              <w:t>300 </w:t>
            </w:r>
            <w:r>
              <w:rPr>
                <w:spacing w:val="-3"/>
                <w:sz w:val="21"/>
              </w:rPr>
              <w:t>交易型开放式指数证</w:t>
            </w:r>
          </w:p>
          <w:p>
            <w:pPr>
              <w:pStyle w:val="TableParagraph"/>
              <w:spacing w:line="267" w:lineRule="exact" w:before="0"/>
              <w:ind w:left="312"/>
              <w:jc w:val="both"/>
              <w:rPr>
                <w:sz w:val="21"/>
              </w:rPr>
            </w:pPr>
            <w:r>
              <w:rPr>
                <w:sz w:val="21"/>
              </w:rPr>
              <w:t>券投资基金为目标</w:t>
            </w:r>
            <w:r>
              <w:rPr>
                <w:rFonts w:ascii="Times New Roman" w:eastAsia="Times New Roman"/>
                <w:sz w:val="21"/>
              </w:rPr>
              <w:t>ETF</w:t>
            </w:r>
            <w:r>
              <w:rPr>
                <w:sz w:val="21"/>
              </w:rPr>
              <w:t>。</w:t>
            </w:r>
          </w:p>
        </w:tc>
      </w:tr>
      <w:tr>
        <w:trPr>
          <w:trHeight w:val="1421" w:hRule="atLeast"/>
        </w:trPr>
        <w:tc>
          <w:tcPr>
            <w:tcW w:w="2406" w:type="dxa"/>
          </w:tcPr>
          <w:p>
            <w:pPr>
              <w:pStyle w:val="TableParagraph"/>
              <w:spacing w:before="99"/>
              <w:ind w:left="200"/>
              <w:rPr>
                <w:sz w:val="21"/>
              </w:rPr>
            </w:pPr>
            <w:r>
              <w:rPr>
                <w:rFonts w:ascii="Times New Roman" w:eastAsia="Times New Roman"/>
                <w:sz w:val="21"/>
              </w:rPr>
              <w:t>ETF </w:t>
            </w:r>
            <w:r>
              <w:rPr>
                <w:sz w:val="21"/>
              </w:rPr>
              <w:t>联接基金：</w:t>
            </w:r>
          </w:p>
        </w:tc>
        <w:tc>
          <w:tcPr>
            <w:tcW w:w="6410" w:type="dxa"/>
          </w:tcPr>
          <w:p>
            <w:pPr>
              <w:pStyle w:val="TableParagraph"/>
              <w:spacing w:line="424" w:lineRule="auto" w:before="99"/>
              <w:ind w:left="312" w:right="143"/>
              <w:rPr>
                <w:sz w:val="21"/>
              </w:rPr>
            </w:pPr>
            <w:r>
              <w:rPr>
                <w:sz w:val="21"/>
              </w:rPr>
              <w:t>是指将绝大多数基金财产投资于跟踪同一标的指数的目标 </w:t>
            </w:r>
            <w:r>
              <w:rPr>
                <w:rFonts w:ascii="Times New Roman" w:eastAsia="Times New Roman"/>
                <w:sz w:val="21"/>
              </w:rPr>
              <w:t>ETF</w:t>
            </w:r>
            <w:r>
              <w:rPr>
                <w:sz w:val="21"/>
              </w:rPr>
              <w:t>， 紧密跟踪标的指数表现，追求跟踪偏离度和跟踪误差最小化，采</w:t>
            </w:r>
          </w:p>
          <w:p>
            <w:pPr>
              <w:pStyle w:val="TableParagraph"/>
              <w:spacing w:line="267" w:lineRule="exact" w:before="0"/>
              <w:ind w:left="312"/>
              <w:rPr>
                <w:sz w:val="21"/>
              </w:rPr>
            </w:pPr>
            <w:r>
              <w:rPr>
                <w:sz w:val="21"/>
              </w:rPr>
              <w:t>用开放式运作方式的基金，简称联接基金。</w:t>
            </w:r>
          </w:p>
        </w:tc>
      </w:tr>
      <w:tr>
        <w:trPr>
          <w:trHeight w:val="950" w:hRule="atLeast"/>
        </w:trPr>
        <w:tc>
          <w:tcPr>
            <w:tcW w:w="2406" w:type="dxa"/>
          </w:tcPr>
          <w:p>
            <w:pPr>
              <w:pStyle w:val="TableParagraph"/>
              <w:spacing w:before="103"/>
              <w:ind w:left="200"/>
              <w:rPr>
                <w:sz w:val="21"/>
              </w:rPr>
            </w:pPr>
            <w:r>
              <w:rPr>
                <w:sz w:val="21"/>
              </w:rPr>
              <w:t>中国：</w:t>
            </w:r>
          </w:p>
        </w:tc>
        <w:tc>
          <w:tcPr>
            <w:tcW w:w="6410" w:type="dxa"/>
          </w:tcPr>
          <w:p>
            <w:pPr>
              <w:pStyle w:val="TableParagraph"/>
              <w:spacing w:before="103"/>
              <w:ind w:left="312"/>
              <w:rPr>
                <w:sz w:val="21"/>
              </w:rPr>
            </w:pPr>
            <w:r>
              <w:rPr>
                <w:sz w:val="21"/>
              </w:rPr>
              <w:t>中华人民共和国（仅为《基金合同》目的不包括香港特别行政区、</w:t>
            </w:r>
          </w:p>
          <w:p>
            <w:pPr>
              <w:pStyle w:val="TableParagraph"/>
              <w:spacing w:before="11"/>
              <w:rPr>
                <w:rFonts w:ascii="Times New Roman"/>
                <w:sz w:val="17"/>
              </w:rPr>
            </w:pPr>
          </w:p>
          <w:p>
            <w:pPr>
              <w:pStyle w:val="TableParagraph"/>
              <w:spacing w:before="0"/>
              <w:ind w:left="312"/>
              <w:rPr>
                <w:sz w:val="21"/>
              </w:rPr>
            </w:pPr>
            <w:r>
              <w:rPr>
                <w:sz w:val="21"/>
              </w:rPr>
              <w:t>澳门特别行政区及台湾地区）。</w:t>
            </w:r>
          </w:p>
        </w:tc>
      </w:tr>
      <w:tr>
        <w:trPr>
          <w:trHeight w:val="953" w:hRule="atLeast"/>
        </w:trPr>
        <w:tc>
          <w:tcPr>
            <w:tcW w:w="2406" w:type="dxa"/>
          </w:tcPr>
          <w:p>
            <w:pPr>
              <w:pStyle w:val="TableParagraph"/>
              <w:spacing w:before="103"/>
              <w:ind w:left="200"/>
              <w:rPr>
                <w:sz w:val="21"/>
              </w:rPr>
            </w:pPr>
            <w:r>
              <w:rPr>
                <w:sz w:val="21"/>
              </w:rPr>
              <w:t>法律法规：</w:t>
            </w:r>
          </w:p>
        </w:tc>
        <w:tc>
          <w:tcPr>
            <w:tcW w:w="6410" w:type="dxa"/>
          </w:tcPr>
          <w:p>
            <w:pPr>
              <w:pStyle w:val="TableParagraph"/>
              <w:spacing w:before="103"/>
              <w:ind w:left="312"/>
              <w:rPr>
                <w:sz w:val="21"/>
              </w:rPr>
            </w:pPr>
            <w:r>
              <w:rPr>
                <w:sz w:val="21"/>
              </w:rPr>
              <w:t>中国现时有效并公布实施的法律、行政法规、部门规章及规范性</w:t>
            </w:r>
          </w:p>
          <w:p>
            <w:pPr>
              <w:pStyle w:val="TableParagraph"/>
              <w:spacing w:before="2"/>
              <w:rPr>
                <w:rFonts w:ascii="Times New Roman"/>
                <w:sz w:val="18"/>
              </w:rPr>
            </w:pPr>
          </w:p>
          <w:p>
            <w:pPr>
              <w:pStyle w:val="TableParagraph"/>
              <w:spacing w:before="0"/>
              <w:ind w:left="312"/>
              <w:rPr>
                <w:sz w:val="21"/>
              </w:rPr>
            </w:pPr>
            <w:r>
              <w:rPr>
                <w:sz w:val="21"/>
              </w:rPr>
              <w:t>文件。</w:t>
            </w:r>
          </w:p>
        </w:tc>
      </w:tr>
      <w:tr>
        <w:trPr>
          <w:trHeight w:val="487" w:hRule="atLeast"/>
        </w:trPr>
        <w:tc>
          <w:tcPr>
            <w:tcW w:w="2406" w:type="dxa"/>
          </w:tcPr>
          <w:p>
            <w:pPr>
              <w:pStyle w:val="TableParagraph"/>
              <w:spacing w:before="103"/>
              <w:ind w:left="200"/>
              <w:rPr>
                <w:sz w:val="21"/>
              </w:rPr>
            </w:pPr>
            <w:r>
              <w:rPr>
                <w:sz w:val="21"/>
              </w:rPr>
              <w:t>《基金法》：</w:t>
            </w:r>
          </w:p>
        </w:tc>
        <w:tc>
          <w:tcPr>
            <w:tcW w:w="6410" w:type="dxa"/>
          </w:tcPr>
          <w:p>
            <w:pPr>
              <w:pStyle w:val="TableParagraph"/>
              <w:spacing w:before="103"/>
              <w:ind w:left="312"/>
              <w:rPr>
                <w:sz w:val="21"/>
              </w:rPr>
            </w:pPr>
            <w:r>
              <w:rPr>
                <w:sz w:val="21"/>
              </w:rPr>
              <w:t>《中华人民共和国证券投资基金法》及其不时做出的修订。</w:t>
            </w:r>
          </w:p>
        </w:tc>
      </w:tr>
      <w:tr>
        <w:trPr>
          <w:trHeight w:val="499" w:hRule="atLeast"/>
        </w:trPr>
        <w:tc>
          <w:tcPr>
            <w:tcW w:w="2406" w:type="dxa"/>
          </w:tcPr>
          <w:p>
            <w:pPr>
              <w:pStyle w:val="TableParagraph"/>
              <w:spacing w:before="115"/>
              <w:ind w:left="200"/>
              <w:rPr>
                <w:sz w:val="21"/>
              </w:rPr>
            </w:pPr>
            <w:r>
              <w:rPr>
                <w:sz w:val="21"/>
              </w:rPr>
              <w:t>《销售办法》：</w:t>
            </w:r>
          </w:p>
        </w:tc>
        <w:tc>
          <w:tcPr>
            <w:tcW w:w="6410" w:type="dxa"/>
          </w:tcPr>
          <w:p>
            <w:pPr>
              <w:pStyle w:val="TableParagraph"/>
              <w:spacing w:before="115"/>
              <w:ind w:left="312"/>
              <w:rPr>
                <w:sz w:val="21"/>
              </w:rPr>
            </w:pPr>
            <w:r>
              <w:rPr>
                <w:sz w:val="21"/>
              </w:rPr>
              <w:t>《证券投资基金销售管理办法》及其不时做出的修订。</w:t>
            </w:r>
          </w:p>
        </w:tc>
      </w:tr>
      <w:tr>
        <w:trPr>
          <w:trHeight w:val="498" w:hRule="atLeast"/>
        </w:trPr>
        <w:tc>
          <w:tcPr>
            <w:tcW w:w="2406" w:type="dxa"/>
          </w:tcPr>
          <w:p>
            <w:pPr>
              <w:pStyle w:val="TableParagraph"/>
              <w:spacing w:before="115"/>
              <w:ind w:left="200"/>
              <w:rPr>
                <w:sz w:val="21"/>
              </w:rPr>
            </w:pPr>
            <w:r>
              <w:rPr>
                <w:sz w:val="21"/>
              </w:rPr>
              <w:t>《运作办法》：</w:t>
            </w:r>
          </w:p>
        </w:tc>
        <w:tc>
          <w:tcPr>
            <w:tcW w:w="6410" w:type="dxa"/>
          </w:tcPr>
          <w:p>
            <w:pPr>
              <w:pStyle w:val="TableParagraph"/>
              <w:spacing w:before="115"/>
              <w:ind w:left="312"/>
              <w:rPr>
                <w:sz w:val="21"/>
              </w:rPr>
            </w:pPr>
            <w:r>
              <w:rPr>
                <w:sz w:val="21"/>
              </w:rPr>
              <w:t>《证券投资基金运作管理办法》及其不时做出的修订。</w:t>
            </w:r>
          </w:p>
        </w:tc>
      </w:tr>
      <w:tr>
        <w:trPr>
          <w:trHeight w:val="963" w:hRule="atLeast"/>
        </w:trPr>
        <w:tc>
          <w:tcPr>
            <w:tcW w:w="2406" w:type="dxa"/>
          </w:tcPr>
          <w:p>
            <w:pPr>
              <w:pStyle w:val="TableParagraph"/>
              <w:spacing w:before="114"/>
              <w:ind w:left="200"/>
              <w:rPr>
                <w:sz w:val="21"/>
              </w:rPr>
            </w:pPr>
            <w:r>
              <w:rPr>
                <w:sz w:val="21"/>
              </w:rPr>
              <w:t>《信息披露办法》：</w:t>
            </w:r>
          </w:p>
        </w:tc>
        <w:tc>
          <w:tcPr>
            <w:tcW w:w="6410" w:type="dxa"/>
          </w:tcPr>
          <w:p>
            <w:pPr>
              <w:pStyle w:val="TableParagraph"/>
              <w:spacing w:before="114"/>
              <w:ind w:left="312"/>
              <w:rPr>
                <w:sz w:val="21"/>
              </w:rPr>
            </w:pPr>
            <w:r>
              <w:rPr>
                <w:sz w:val="21"/>
              </w:rPr>
              <w:t>《公开募集证券投资基金信息披露管理办法》及颁布机关对其不</w:t>
            </w:r>
          </w:p>
          <w:p>
            <w:pPr>
              <w:pStyle w:val="TableParagraph"/>
              <w:spacing w:before="1"/>
              <w:rPr>
                <w:rFonts w:ascii="Times New Roman"/>
                <w:sz w:val="18"/>
              </w:rPr>
            </w:pPr>
          </w:p>
          <w:p>
            <w:pPr>
              <w:pStyle w:val="TableParagraph"/>
              <w:spacing w:before="1"/>
              <w:ind w:left="312"/>
              <w:rPr>
                <w:sz w:val="21"/>
              </w:rPr>
            </w:pPr>
            <w:r>
              <w:rPr>
                <w:sz w:val="21"/>
              </w:rPr>
              <w:t>时做出的修订。</w:t>
            </w:r>
          </w:p>
        </w:tc>
      </w:tr>
      <w:tr>
        <w:trPr>
          <w:trHeight w:val="484" w:hRule="atLeast"/>
        </w:trPr>
        <w:tc>
          <w:tcPr>
            <w:tcW w:w="2406" w:type="dxa"/>
          </w:tcPr>
          <w:p>
            <w:pPr>
              <w:pStyle w:val="TableParagraph"/>
              <w:spacing w:before="103"/>
              <w:ind w:left="200"/>
              <w:rPr>
                <w:sz w:val="21"/>
              </w:rPr>
            </w:pPr>
            <w:r>
              <w:rPr>
                <w:sz w:val="21"/>
              </w:rPr>
              <w:t>《证券法》：</w:t>
            </w:r>
          </w:p>
        </w:tc>
        <w:tc>
          <w:tcPr>
            <w:tcW w:w="6410" w:type="dxa"/>
          </w:tcPr>
          <w:p>
            <w:pPr>
              <w:pStyle w:val="TableParagraph"/>
              <w:spacing w:before="103"/>
              <w:ind w:left="312"/>
              <w:rPr>
                <w:sz w:val="21"/>
              </w:rPr>
            </w:pPr>
            <w:r>
              <w:rPr>
                <w:sz w:val="21"/>
              </w:rPr>
              <w:t>《中华人民共和国证券法》及其不时做出的修订。</w:t>
            </w:r>
          </w:p>
        </w:tc>
      </w:tr>
      <w:tr>
        <w:trPr>
          <w:trHeight w:val="1441" w:hRule="atLeast"/>
        </w:trPr>
        <w:tc>
          <w:tcPr>
            <w:tcW w:w="2406" w:type="dxa"/>
          </w:tcPr>
          <w:p>
            <w:pPr>
              <w:pStyle w:val="TableParagraph"/>
              <w:spacing w:line="424" w:lineRule="auto" w:before="119"/>
              <w:ind w:left="200" w:right="310"/>
              <w:rPr>
                <w:sz w:val="21"/>
              </w:rPr>
            </w:pPr>
            <w:r>
              <w:rPr>
                <w:sz w:val="21"/>
              </w:rPr>
              <w:t>《流动性风险管理规定》：</w:t>
            </w:r>
          </w:p>
        </w:tc>
        <w:tc>
          <w:tcPr>
            <w:tcW w:w="6410" w:type="dxa"/>
          </w:tcPr>
          <w:p>
            <w:pPr>
              <w:pStyle w:val="TableParagraph"/>
              <w:spacing w:line="424" w:lineRule="auto" w:before="119"/>
              <w:ind w:left="312" w:right="301"/>
              <w:rPr>
                <w:sz w:val="21"/>
              </w:rPr>
            </w:pPr>
            <w:r>
              <w:rPr>
                <w:spacing w:val="-9"/>
                <w:sz w:val="21"/>
              </w:rPr>
              <w:t>指中国证监会 </w:t>
            </w:r>
            <w:r>
              <w:rPr>
                <w:rFonts w:ascii="Times New Roman" w:eastAsia="Times New Roman"/>
                <w:sz w:val="21"/>
              </w:rPr>
              <w:t>2017 </w:t>
            </w:r>
            <w:r>
              <w:rPr>
                <w:spacing w:val="-25"/>
                <w:sz w:val="21"/>
              </w:rPr>
              <w:t>年 </w:t>
            </w:r>
            <w:r>
              <w:rPr>
                <w:rFonts w:ascii="Times New Roman" w:eastAsia="Times New Roman"/>
                <w:sz w:val="21"/>
              </w:rPr>
              <w:t>8 </w:t>
            </w:r>
            <w:r>
              <w:rPr>
                <w:spacing w:val="-26"/>
                <w:sz w:val="21"/>
              </w:rPr>
              <w:t>月 </w:t>
            </w:r>
            <w:r>
              <w:rPr>
                <w:rFonts w:ascii="Times New Roman" w:eastAsia="Times New Roman"/>
                <w:sz w:val="21"/>
              </w:rPr>
              <w:t>31 </w:t>
            </w:r>
            <w:r>
              <w:rPr>
                <w:spacing w:val="-24"/>
                <w:sz w:val="21"/>
              </w:rPr>
              <w:t>日颁布、同年 </w:t>
            </w:r>
            <w:r>
              <w:rPr>
                <w:rFonts w:ascii="Times New Roman" w:eastAsia="Times New Roman"/>
                <w:sz w:val="21"/>
              </w:rPr>
              <w:t>10 </w:t>
            </w:r>
            <w:r>
              <w:rPr>
                <w:spacing w:val="-25"/>
                <w:sz w:val="21"/>
              </w:rPr>
              <w:t>月 </w:t>
            </w:r>
            <w:r>
              <w:rPr>
                <w:rFonts w:ascii="Times New Roman" w:eastAsia="Times New Roman"/>
                <w:sz w:val="21"/>
              </w:rPr>
              <w:t>1 </w:t>
            </w:r>
            <w:r>
              <w:rPr>
                <w:spacing w:val="-18"/>
                <w:sz w:val="21"/>
              </w:rPr>
              <w:t>日实施的《公</w:t>
            </w:r>
            <w:r>
              <w:rPr>
                <w:spacing w:val="-11"/>
                <w:sz w:val="21"/>
              </w:rPr>
              <w:t>开募集开放式证券投资基金流动性风险管理规定》及颁布机关对</w:t>
            </w:r>
          </w:p>
          <w:p>
            <w:pPr>
              <w:pStyle w:val="TableParagraph"/>
              <w:spacing w:line="267" w:lineRule="exact" w:before="0"/>
              <w:ind w:left="312"/>
              <w:rPr>
                <w:sz w:val="21"/>
              </w:rPr>
            </w:pPr>
            <w:r>
              <w:rPr>
                <w:sz w:val="21"/>
              </w:rPr>
              <w:t>其不时做出的修订。</w:t>
            </w:r>
          </w:p>
        </w:tc>
      </w:tr>
      <w:tr>
        <w:trPr>
          <w:trHeight w:val="483" w:hRule="atLeast"/>
        </w:trPr>
        <w:tc>
          <w:tcPr>
            <w:tcW w:w="2406" w:type="dxa"/>
          </w:tcPr>
          <w:p>
            <w:pPr>
              <w:pStyle w:val="TableParagraph"/>
              <w:spacing w:before="103"/>
              <w:ind w:left="200"/>
              <w:rPr>
                <w:sz w:val="21"/>
              </w:rPr>
            </w:pPr>
            <w:r>
              <w:rPr>
                <w:sz w:val="21"/>
              </w:rPr>
              <w:t>元：</w:t>
            </w:r>
          </w:p>
        </w:tc>
        <w:tc>
          <w:tcPr>
            <w:tcW w:w="6410" w:type="dxa"/>
          </w:tcPr>
          <w:p>
            <w:pPr>
              <w:pStyle w:val="TableParagraph"/>
              <w:spacing w:before="103"/>
              <w:ind w:left="312"/>
              <w:rPr>
                <w:sz w:val="21"/>
              </w:rPr>
            </w:pPr>
            <w:r>
              <w:rPr>
                <w:sz w:val="21"/>
              </w:rPr>
              <w:t>中国法定货币人民币元。</w:t>
            </w:r>
          </w:p>
        </w:tc>
      </w:tr>
      <w:tr>
        <w:trPr>
          <w:trHeight w:val="507" w:hRule="atLeast"/>
        </w:trPr>
        <w:tc>
          <w:tcPr>
            <w:tcW w:w="2406" w:type="dxa"/>
          </w:tcPr>
          <w:p>
            <w:pPr>
              <w:pStyle w:val="TableParagraph"/>
              <w:spacing w:before="119"/>
              <w:ind w:left="200"/>
              <w:rPr>
                <w:sz w:val="21"/>
              </w:rPr>
            </w:pPr>
            <w:r>
              <w:rPr>
                <w:sz w:val="21"/>
              </w:rPr>
              <w:t>基金或本基金：</w:t>
            </w:r>
          </w:p>
        </w:tc>
        <w:tc>
          <w:tcPr>
            <w:tcW w:w="6410" w:type="dxa"/>
          </w:tcPr>
          <w:p>
            <w:pPr>
              <w:pStyle w:val="TableParagraph"/>
              <w:spacing w:before="119"/>
              <w:ind w:left="312"/>
              <w:rPr>
                <w:sz w:val="21"/>
              </w:rPr>
            </w:pPr>
            <w:r>
              <w:rPr>
                <w:sz w:val="21"/>
              </w:rPr>
              <w:t>华夏沪深 </w:t>
            </w:r>
            <w:r>
              <w:rPr>
                <w:rFonts w:ascii="Times New Roman" w:eastAsia="Times New Roman"/>
                <w:sz w:val="21"/>
              </w:rPr>
              <w:t>300 </w:t>
            </w:r>
            <w:r>
              <w:rPr>
                <w:sz w:val="21"/>
              </w:rPr>
              <w:t>交易型开放式指数证券投资基金联接基金。</w:t>
            </w:r>
          </w:p>
        </w:tc>
      </w:tr>
      <w:tr>
        <w:trPr>
          <w:trHeight w:val="954" w:hRule="atLeast"/>
        </w:trPr>
        <w:tc>
          <w:tcPr>
            <w:tcW w:w="2406" w:type="dxa"/>
          </w:tcPr>
          <w:p>
            <w:pPr>
              <w:pStyle w:val="TableParagraph"/>
              <w:spacing w:before="111"/>
              <w:ind w:left="200"/>
              <w:rPr>
                <w:sz w:val="21"/>
              </w:rPr>
            </w:pPr>
            <w:r>
              <w:rPr>
                <w:sz w:val="21"/>
              </w:rPr>
              <w:t>招募说明书：</w:t>
            </w:r>
          </w:p>
        </w:tc>
        <w:tc>
          <w:tcPr>
            <w:tcW w:w="6410" w:type="dxa"/>
          </w:tcPr>
          <w:p>
            <w:pPr>
              <w:pStyle w:val="TableParagraph"/>
              <w:spacing w:before="111"/>
              <w:ind w:left="312"/>
              <w:rPr>
                <w:sz w:val="21"/>
              </w:rPr>
            </w:pPr>
            <w:r>
              <w:rPr>
                <w:sz w:val="21"/>
              </w:rPr>
              <w:t>《华夏沪深 </w:t>
            </w:r>
            <w:r>
              <w:rPr>
                <w:rFonts w:ascii="Times New Roman" w:eastAsia="Times New Roman"/>
                <w:sz w:val="21"/>
              </w:rPr>
              <w:t>300 </w:t>
            </w:r>
            <w:r>
              <w:rPr>
                <w:sz w:val="21"/>
              </w:rPr>
              <w:t>交易型开放式指数证券投资基金联接基金招募</w:t>
            </w:r>
          </w:p>
          <w:p>
            <w:pPr>
              <w:pStyle w:val="TableParagraph"/>
              <w:spacing w:before="10"/>
              <w:rPr>
                <w:rFonts w:ascii="Times New Roman"/>
                <w:sz w:val="17"/>
              </w:rPr>
            </w:pPr>
          </w:p>
          <w:p>
            <w:pPr>
              <w:pStyle w:val="TableParagraph"/>
              <w:spacing w:before="0"/>
              <w:ind w:left="312"/>
              <w:rPr>
                <w:sz w:val="21"/>
              </w:rPr>
            </w:pPr>
            <w:r>
              <w:rPr>
                <w:sz w:val="21"/>
              </w:rPr>
              <w:t>说明书》及其更新。</w:t>
            </w:r>
          </w:p>
        </w:tc>
      </w:tr>
      <w:tr>
        <w:trPr>
          <w:trHeight w:val="821" w:hRule="atLeast"/>
        </w:trPr>
        <w:tc>
          <w:tcPr>
            <w:tcW w:w="2406" w:type="dxa"/>
          </w:tcPr>
          <w:p>
            <w:pPr>
              <w:pStyle w:val="TableParagraph"/>
              <w:spacing w:before="107"/>
              <w:ind w:left="200"/>
              <w:rPr>
                <w:sz w:val="21"/>
              </w:rPr>
            </w:pPr>
            <w:r>
              <w:rPr>
                <w:sz w:val="21"/>
              </w:rPr>
              <w:t>基金产品资料概要：</w:t>
            </w:r>
          </w:p>
        </w:tc>
        <w:tc>
          <w:tcPr>
            <w:tcW w:w="6410" w:type="dxa"/>
          </w:tcPr>
          <w:p>
            <w:pPr>
              <w:pStyle w:val="TableParagraph"/>
              <w:spacing w:before="107"/>
              <w:ind w:left="312"/>
              <w:rPr>
                <w:sz w:val="21"/>
              </w:rPr>
            </w:pPr>
            <w:r>
              <w:rPr>
                <w:sz w:val="21"/>
              </w:rPr>
              <w:t>指《华夏沪深 </w:t>
            </w:r>
            <w:r>
              <w:rPr>
                <w:rFonts w:ascii="Times New Roman" w:eastAsia="Times New Roman"/>
                <w:sz w:val="21"/>
              </w:rPr>
              <w:t>300 </w:t>
            </w:r>
            <w:r>
              <w:rPr>
                <w:sz w:val="21"/>
              </w:rPr>
              <w:t>交易型开放式指数证券投资基金联接基金基金</w:t>
            </w:r>
          </w:p>
          <w:p>
            <w:pPr>
              <w:pStyle w:val="TableParagraph"/>
              <w:spacing w:before="10"/>
              <w:rPr>
                <w:rFonts w:ascii="Times New Roman"/>
                <w:sz w:val="17"/>
              </w:rPr>
            </w:pPr>
          </w:p>
          <w:p>
            <w:pPr>
              <w:pStyle w:val="TableParagraph"/>
              <w:spacing w:line="220" w:lineRule="exact" w:before="0"/>
              <w:ind w:left="312"/>
              <w:rPr>
                <w:sz w:val="21"/>
              </w:rPr>
            </w:pPr>
            <w:r>
              <w:rPr>
                <w:sz w:val="21"/>
              </w:rPr>
              <w:t>产品资料概要》及其更新。</w:t>
            </w:r>
          </w:p>
        </w:tc>
      </w:tr>
    </w:tbl>
    <w:p>
      <w:pPr>
        <w:spacing w:after="0" w:line="220" w:lineRule="exact"/>
        <w:rPr>
          <w:sz w:val="21"/>
        </w:rPr>
        <w:sectPr>
          <w:pgSz w:w="11910" w:h="16840"/>
          <w:pgMar w:header="701" w:footer="683" w:top="1420" w:bottom="880" w:left="1500" w:right="920"/>
        </w:sectPr>
      </w:pPr>
    </w:p>
    <w:p>
      <w:pPr>
        <w:pStyle w:val="BodyText"/>
        <w:spacing w:before="10"/>
        <w:rPr>
          <w:rFonts w:ascii="Times New Roman"/>
          <w:sz w:val="11"/>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0"/>
        <w:gridCol w:w="6305"/>
      </w:tblGrid>
      <w:tr>
        <w:trPr>
          <w:trHeight w:val="821" w:hRule="atLeast"/>
        </w:trPr>
        <w:tc>
          <w:tcPr>
            <w:tcW w:w="2510" w:type="dxa"/>
          </w:tcPr>
          <w:p>
            <w:pPr>
              <w:pStyle w:val="TableParagraph"/>
              <w:spacing w:line="247" w:lineRule="exact" w:before="0"/>
              <w:ind w:left="200"/>
              <w:rPr>
                <w:sz w:val="21"/>
              </w:rPr>
            </w:pPr>
            <w:r>
              <w:rPr>
                <w:sz w:val="21"/>
              </w:rPr>
              <w:t>托管协议：</w:t>
            </w:r>
          </w:p>
        </w:tc>
        <w:tc>
          <w:tcPr>
            <w:tcW w:w="6305" w:type="dxa"/>
          </w:tcPr>
          <w:p>
            <w:pPr>
              <w:pStyle w:val="TableParagraph"/>
              <w:spacing w:line="247" w:lineRule="exact" w:before="0"/>
              <w:ind w:left="208"/>
              <w:rPr>
                <w:sz w:val="21"/>
              </w:rPr>
            </w:pPr>
            <w:r>
              <w:rPr>
                <w:sz w:val="21"/>
              </w:rPr>
              <w:t>基金管理人与基金托管人签订的《华夏沪深 </w:t>
            </w:r>
            <w:r>
              <w:rPr>
                <w:rFonts w:ascii="Times New Roman" w:eastAsia="Times New Roman"/>
                <w:sz w:val="21"/>
              </w:rPr>
              <w:t>300 </w:t>
            </w:r>
            <w:r>
              <w:rPr>
                <w:sz w:val="21"/>
              </w:rPr>
              <w:t>交易型开放式指</w:t>
            </w:r>
          </w:p>
          <w:p>
            <w:pPr>
              <w:pStyle w:val="TableParagraph"/>
              <w:spacing w:before="10"/>
              <w:rPr>
                <w:rFonts w:ascii="Times New Roman"/>
                <w:sz w:val="17"/>
              </w:rPr>
            </w:pPr>
          </w:p>
          <w:p>
            <w:pPr>
              <w:pStyle w:val="TableParagraph"/>
              <w:spacing w:before="0"/>
              <w:ind w:left="208"/>
              <w:rPr>
                <w:sz w:val="21"/>
              </w:rPr>
            </w:pPr>
            <w:r>
              <w:rPr>
                <w:sz w:val="21"/>
              </w:rPr>
              <w:t>数证券投资基金联接基金托管协议》及其任何有效修订和补充。</w:t>
            </w:r>
          </w:p>
        </w:tc>
      </w:tr>
      <w:tr>
        <w:trPr>
          <w:trHeight w:val="498" w:hRule="atLeast"/>
        </w:trPr>
        <w:tc>
          <w:tcPr>
            <w:tcW w:w="2510" w:type="dxa"/>
          </w:tcPr>
          <w:p>
            <w:pPr>
              <w:pStyle w:val="TableParagraph"/>
              <w:spacing w:before="107"/>
              <w:ind w:left="200"/>
              <w:rPr>
                <w:sz w:val="21"/>
              </w:rPr>
            </w:pPr>
            <w:r>
              <w:rPr>
                <w:sz w:val="21"/>
              </w:rPr>
              <w:t>发售公告：</w:t>
            </w:r>
          </w:p>
        </w:tc>
        <w:tc>
          <w:tcPr>
            <w:tcW w:w="6305" w:type="dxa"/>
          </w:tcPr>
          <w:p>
            <w:pPr>
              <w:pStyle w:val="TableParagraph"/>
              <w:spacing w:before="107"/>
              <w:ind w:left="208"/>
              <w:rPr>
                <w:sz w:val="21"/>
              </w:rPr>
            </w:pPr>
            <w:r>
              <w:rPr>
                <w:sz w:val="21"/>
              </w:rPr>
              <w:t>《华夏沪深 </w:t>
            </w:r>
            <w:r>
              <w:rPr>
                <w:rFonts w:ascii="Times New Roman" w:eastAsia="Times New Roman"/>
                <w:sz w:val="21"/>
              </w:rPr>
              <w:t>300 </w:t>
            </w:r>
            <w:r>
              <w:rPr>
                <w:sz w:val="21"/>
              </w:rPr>
              <w:t>指数证券投资基金基金份额发售公告》。</w:t>
            </w:r>
          </w:p>
        </w:tc>
      </w:tr>
      <w:tr>
        <w:trPr>
          <w:trHeight w:val="491" w:hRule="atLeast"/>
        </w:trPr>
        <w:tc>
          <w:tcPr>
            <w:tcW w:w="2510" w:type="dxa"/>
          </w:tcPr>
          <w:p>
            <w:pPr>
              <w:pStyle w:val="TableParagraph"/>
              <w:spacing w:before="107"/>
              <w:ind w:left="200"/>
              <w:rPr>
                <w:sz w:val="21"/>
              </w:rPr>
            </w:pPr>
            <w:r>
              <w:rPr>
                <w:sz w:val="21"/>
              </w:rPr>
              <w:t>《业务规则》：</w:t>
            </w:r>
          </w:p>
        </w:tc>
        <w:tc>
          <w:tcPr>
            <w:tcW w:w="6305" w:type="dxa"/>
          </w:tcPr>
          <w:p>
            <w:pPr>
              <w:pStyle w:val="TableParagraph"/>
              <w:spacing w:before="107"/>
              <w:ind w:left="208"/>
              <w:rPr>
                <w:sz w:val="21"/>
              </w:rPr>
            </w:pPr>
            <w:r>
              <w:rPr>
                <w:sz w:val="21"/>
              </w:rPr>
              <w:t>《华夏基金管理有限公司开放式基金业务规则》。</w:t>
            </w:r>
          </w:p>
        </w:tc>
      </w:tr>
      <w:tr>
        <w:trPr>
          <w:trHeight w:val="499" w:hRule="atLeast"/>
        </w:trPr>
        <w:tc>
          <w:tcPr>
            <w:tcW w:w="2510" w:type="dxa"/>
          </w:tcPr>
          <w:p>
            <w:pPr>
              <w:pStyle w:val="TableParagraph"/>
              <w:spacing w:before="115"/>
              <w:ind w:left="200"/>
              <w:rPr>
                <w:sz w:val="21"/>
              </w:rPr>
            </w:pPr>
            <w:r>
              <w:rPr>
                <w:sz w:val="21"/>
              </w:rPr>
              <w:t>中国证监会：</w:t>
            </w:r>
          </w:p>
        </w:tc>
        <w:tc>
          <w:tcPr>
            <w:tcW w:w="6305" w:type="dxa"/>
          </w:tcPr>
          <w:p>
            <w:pPr>
              <w:pStyle w:val="TableParagraph"/>
              <w:spacing w:before="115"/>
              <w:ind w:left="208"/>
              <w:rPr>
                <w:sz w:val="21"/>
              </w:rPr>
            </w:pPr>
            <w:r>
              <w:rPr>
                <w:sz w:val="21"/>
              </w:rPr>
              <w:t>中国证券监督管理委员会。</w:t>
            </w:r>
          </w:p>
        </w:tc>
      </w:tr>
      <w:tr>
        <w:trPr>
          <w:trHeight w:val="499" w:hRule="atLeast"/>
        </w:trPr>
        <w:tc>
          <w:tcPr>
            <w:tcW w:w="2510" w:type="dxa"/>
          </w:tcPr>
          <w:p>
            <w:pPr>
              <w:pStyle w:val="TableParagraph"/>
              <w:spacing w:before="115"/>
              <w:ind w:left="200"/>
              <w:rPr>
                <w:sz w:val="21"/>
              </w:rPr>
            </w:pPr>
            <w:r>
              <w:rPr>
                <w:sz w:val="21"/>
              </w:rPr>
              <w:t>银行监管机构：</w:t>
            </w:r>
          </w:p>
        </w:tc>
        <w:tc>
          <w:tcPr>
            <w:tcW w:w="6305" w:type="dxa"/>
          </w:tcPr>
          <w:p>
            <w:pPr>
              <w:pStyle w:val="TableParagraph"/>
              <w:spacing w:before="115"/>
              <w:ind w:left="208"/>
              <w:rPr>
                <w:sz w:val="21"/>
              </w:rPr>
            </w:pPr>
            <w:r>
              <w:rPr>
                <w:sz w:val="21"/>
              </w:rPr>
              <w:t>中国银行保险监督管理委员会或其他经国务院授权的机构。</w:t>
            </w:r>
          </w:p>
        </w:tc>
      </w:tr>
      <w:tr>
        <w:trPr>
          <w:trHeight w:val="499" w:hRule="atLeast"/>
        </w:trPr>
        <w:tc>
          <w:tcPr>
            <w:tcW w:w="2510" w:type="dxa"/>
          </w:tcPr>
          <w:p>
            <w:pPr>
              <w:pStyle w:val="TableParagraph"/>
              <w:spacing w:before="115"/>
              <w:ind w:left="200"/>
              <w:rPr>
                <w:sz w:val="21"/>
              </w:rPr>
            </w:pPr>
            <w:r>
              <w:rPr>
                <w:sz w:val="21"/>
              </w:rPr>
              <w:t>基金管理人：</w:t>
            </w:r>
          </w:p>
        </w:tc>
        <w:tc>
          <w:tcPr>
            <w:tcW w:w="6305" w:type="dxa"/>
          </w:tcPr>
          <w:p>
            <w:pPr>
              <w:pStyle w:val="TableParagraph"/>
              <w:spacing w:before="115"/>
              <w:ind w:left="208"/>
              <w:rPr>
                <w:sz w:val="21"/>
              </w:rPr>
            </w:pPr>
            <w:r>
              <w:rPr>
                <w:sz w:val="21"/>
              </w:rPr>
              <w:t>华夏基金管理有限公司。</w:t>
            </w:r>
          </w:p>
        </w:tc>
      </w:tr>
      <w:tr>
        <w:trPr>
          <w:trHeight w:val="499" w:hRule="atLeast"/>
        </w:trPr>
        <w:tc>
          <w:tcPr>
            <w:tcW w:w="2510" w:type="dxa"/>
          </w:tcPr>
          <w:p>
            <w:pPr>
              <w:pStyle w:val="TableParagraph"/>
              <w:spacing w:before="115"/>
              <w:ind w:left="200"/>
              <w:rPr>
                <w:sz w:val="21"/>
              </w:rPr>
            </w:pPr>
            <w:r>
              <w:rPr>
                <w:sz w:val="21"/>
              </w:rPr>
              <w:t>基金托管人：</w:t>
            </w:r>
          </w:p>
        </w:tc>
        <w:tc>
          <w:tcPr>
            <w:tcW w:w="6305" w:type="dxa"/>
          </w:tcPr>
          <w:p>
            <w:pPr>
              <w:pStyle w:val="TableParagraph"/>
              <w:spacing w:before="115"/>
              <w:ind w:left="208"/>
              <w:rPr>
                <w:sz w:val="21"/>
              </w:rPr>
            </w:pPr>
            <w:r>
              <w:rPr>
                <w:sz w:val="21"/>
              </w:rPr>
              <w:t>中国工商银行股份有限公司。</w:t>
            </w:r>
          </w:p>
        </w:tc>
      </w:tr>
      <w:tr>
        <w:trPr>
          <w:trHeight w:val="499" w:hRule="atLeast"/>
        </w:trPr>
        <w:tc>
          <w:tcPr>
            <w:tcW w:w="2510" w:type="dxa"/>
          </w:tcPr>
          <w:p>
            <w:pPr>
              <w:pStyle w:val="TableParagraph"/>
              <w:spacing w:before="115"/>
              <w:ind w:left="200"/>
              <w:rPr>
                <w:sz w:val="21"/>
              </w:rPr>
            </w:pPr>
            <w:r>
              <w:rPr>
                <w:sz w:val="21"/>
              </w:rPr>
              <w:t>基金份额持有人：</w:t>
            </w:r>
          </w:p>
        </w:tc>
        <w:tc>
          <w:tcPr>
            <w:tcW w:w="6305" w:type="dxa"/>
          </w:tcPr>
          <w:p>
            <w:pPr>
              <w:pStyle w:val="TableParagraph"/>
              <w:spacing w:before="115"/>
              <w:ind w:left="208"/>
              <w:rPr>
                <w:sz w:val="21"/>
              </w:rPr>
            </w:pPr>
            <w:r>
              <w:rPr>
                <w:sz w:val="21"/>
              </w:rPr>
              <w:t>根据《基金合同》及相关文件合法取得本基金基金份额的投资者。</w:t>
            </w:r>
          </w:p>
        </w:tc>
      </w:tr>
      <w:tr>
        <w:trPr>
          <w:trHeight w:val="1437" w:hRule="atLeast"/>
        </w:trPr>
        <w:tc>
          <w:tcPr>
            <w:tcW w:w="2510" w:type="dxa"/>
          </w:tcPr>
          <w:p>
            <w:pPr>
              <w:pStyle w:val="TableParagraph"/>
              <w:spacing w:before="115"/>
              <w:ind w:left="200"/>
              <w:rPr>
                <w:sz w:val="21"/>
              </w:rPr>
            </w:pPr>
            <w:r>
              <w:rPr>
                <w:sz w:val="21"/>
              </w:rPr>
              <w:t>基金代销机构：</w:t>
            </w:r>
          </w:p>
        </w:tc>
        <w:tc>
          <w:tcPr>
            <w:tcW w:w="6305" w:type="dxa"/>
          </w:tcPr>
          <w:p>
            <w:pPr>
              <w:pStyle w:val="TableParagraph"/>
              <w:spacing w:line="424" w:lineRule="auto" w:before="115"/>
              <w:ind w:left="208" w:right="302"/>
              <w:rPr>
                <w:sz w:val="21"/>
              </w:rPr>
            </w:pPr>
            <w:r>
              <w:rPr>
                <w:spacing w:val="-12"/>
                <w:sz w:val="21"/>
              </w:rPr>
              <w:t>符合《销售办法》和中国证监会规定的其他条件，取得基金代销业务资格，并与基金管理人签订基金销售与服务代理协议，代为</w:t>
            </w:r>
          </w:p>
          <w:p>
            <w:pPr>
              <w:pStyle w:val="TableParagraph"/>
              <w:spacing w:line="267" w:lineRule="exact" w:before="0"/>
              <w:ind w:left="208"/>
              <w:rPr>
                <w:sz w:val="21"/>
              </w:rPr>
            </w:pPr>
            <w:r>
              <w:rPr>
                <w:sz w:val="21"/>
              </w:rPr>
              <w:t>办理本基金发售、申购、赎回和其他基金业务的代理机构。</w:t>
            </w:r>
          </w:p>
        </w:tc>
      </w:tr>
      <w:tr>
        <w:trPr>
          <w:trHeight w:val="487" w:hRule="atLeast"/>
        </w:trPr>
        <w:tc>
          <w:tcPr>
            <w:tcW w:w="2510" w:type="dxa"/>
          </w:tcPr>
          <w:p>
            <w:pPr>
              <w:pStyle w:val="TableParagraph"/>
              <w:spacing w:before="103"/>
              <w:ind w:left="200"/>
              <w:rPr>
                <w:sz w:val="21"/>
              </w:rPr>
            </w:pPr>
            <w:r>
              <w:rPr>
                <w:sz w:val="21"/>
              </w:rPr>
              <w:t>销售机构：</w:t>
            </w:r>
          </w:p>
        </w:tc>
        <w:tc>
          <w:tcPr>
            <w:tcW w:w="6305" w:type="dxa"/>
          </w:tcPr>
          <w:p>
            <w:pPr>
              <w:pStyle w:val="TableParagraph"/>
              <w:spacing w:before="103"/>
              <w:ind w:left="208"/>
              <w:rPr>
                <w:sz w:val="21"/>
              </w:rPr>
            </w:pPr>
            <w:r>
              <w:rPr>
                <w:sz w:val="21"/>
              </w:rPr>
              <w:t>基金管理人及基金代销机构。</w:t>
            </w:r>
          </w:p>
        </w:tc>
      </w:tr>
      <w:tr>
        <w:trPr>
          <w:trHeight w:val="499" w:hRule="atLeast"/>
        </w:trPr>
        <w:tc>
          <w:tcPr>
            <w:tcW w:w="2510" w:type="dxa"/>
          </w:tcPr>
          <w:p>
            <w:pPr>
              <w:pStyle w:val="TableParagraph"/>
              <w:spacing w:before="115"/>
              <w:ind w:left="200"/>
              <w:rPr>
                <w:sz w:val="21"/>
              </w:rPr>
            </w:pPr>
            <w:r>
              <w:rPr>
                <w:sz w:val="21"/>
              </w:rPr>
              <w:t>基金销售网点：</w:t>
            </w:r>
          </w:p>
        </w:tc>
        <w:tc>
          <w:tcPr>
            <w:tcW w:w="6305" w:type="dxa"/>
          </w:tcPr>
          <w:p>
            <w:pPr>
              <w:pStyle w:val="TableParagraph"/>
              <w:spacing w:before="115"/>
              <w:ind w:left="208"/>
              <w:rPr>
                <w:sz w:val="21"/>
              </w:rPr>
            </w:pPr>
            <w:r>
              <w:rPr>
                <w:sz w:val="21"/>
              </w:rPr>
              <w:t>基金管理人的直销网点及基金代销机构的代销网点。</w:t>
            </w:r>
          </w:p>
        </w:tc>
      </w:tr>
      <w:tr>
        <w:trPr>
          <w:trHeight w:val="1437" w:hRule="atLeast"/>
        </w:trPr>
        <w:tc>
          <w:tcPr>
            <w:tcW w:w="2510" w:type="dxa"/>
          </w:tcPr>
          <w:p>
            <w:pPr>
              <w:pStyle w:val="TableParagraph"/>
              <w:spacing w:before="115"/>
              <w:ind w:left="200"/>
              <w:rPr>
                <w:sz w:val="21"/>
              </w:rPr>
            </w:pPr>
            <w:r>
              <w:rPr>
                <w:sz w:val="21"/>
              </w:rPr>
              <w:t>登记结算业务：</w:t>
            </w:r>
          </w:p>
        </w:tc>
        <w:tc>
          <w:tcPr>
            <w:tcW w:w="6305" w:type="dxa"/>
          </w:tcPr>
          <w:p>
            <w:pPr>
              <w:pStyle w:val="TableParagraph"/>
              <w:spacing w:before="115"/>
              <w:ind w:left="208"/>
              <w:rPr>
                <w:sz w:val="21"/>
              </w:rPr>
            </w:pPr>
            <w:r>
              <w:rPr>
                <w:sz w:val="21"/>
              </w:rPr>
              <w:t>基金登记、存管、清算和交收业务，具体内容包括投资者基金账</w:t>
            </w:r>
          </w:p>
          <w:p>
            <w:pPr>
              <w:pStyle w:val="TableParagraph"/>
              <w:spacing w:line="470" w:lineRule="atLeast" w:before="5"/>
              <w:ind w:left="208" w:right="305"/>
              <w:rPr>
                <w:sz w:val="21"/>
              </w:rPr>
            </w:pPr>
            <w:r>
              <w:rPr>
                <w:spacing w:val="-10"/>
                <w:sz w:val="21"/>
              </w:rPr>
              <w:t>户管理、基金份额登记、清算及基金交易确认、发放红利、建立</w:t>
            </w:r>
            <w:r>
              <w:rPr>
                <w:spacing w:val="-5"/>
                <w:sz w:val="21"/>
              </w:rPr>
              <w:t>并保管基金份额持有人名册等。</w:t>
            </w:r>
          </w:p>
        </w:tc>
      </w:tr>
      <w:tr>
        <w:trPr>
          <w:trHeight w:val="950" w:hRule="atLeast"/>
        </w:trPr>
        <w:tc>
          <w:tcPr>
            <w:tcW w:w="2510" w:type="dxa"/>
          </w:tcPr>
          <w:p>
            <w:pPr>
              <w:pStyle w:val="TableParagraph"/>
              <w:spacing w:before="103"/>
              <w:ind w:left="200"/>
              <w:rPr>
                <w:sz w:val="21"/>
              </w:rPr>
            </w:pPr>
            <w:r>
              <w:rPr>
                <w:sz w:val="21"/>
              </w:rPr>
              <w:t>基金登记结算机构：</w:t>
            </w:r>
          </w:p>
        </w:tc>
        <w:tc>
          <w:tcPr>
            <w:tcW w:w="6305" w:type="dxa"/>
          </w:tcPr>
          <w:p>
            <w:pPr>
              <w:pStyle w:val="TableParagraph"/>
              <w:spacing w:before="103"/>
              <w:ind w:left="208"/>
              <w:rPr>
                <w:sz w:val="21"/>
              </w:rPr>
            </w:pPr>
            <w:r>
              <w:rPr>
                <w:sz w:val="21"/>
              </w:rPr>
              <w:t>华夏基金管理有限公司或其委托的其他符合条件的办理基金登</w:t>
            </w:r>
          </w:p>
          <w:p>
            <w:pPr>
              <w:pStyle w:val="TableParagraph"/>
              <w:spacing w:before="11"/>
              <w:rPr>
                <w:rFonts w:ascii="Times New Roman"/>
                <w:sz w:val="17"/>
              </w:rPr>
            </w:pPr>
          </w:p>
          <w:p>
            <w:pPr>
              <w:pStyle w:val="TableParagraph"/>
              <w:spacing w:before="0"/>
              <w:ind w:left="208"/>
              <w:rPr>
                <w:sz w:val="21"/>
              </w:rPr>
            </w:pPr>
            <w:r>
              <w:rPr>
                <w:sz w:val="21"/>
              </w:rPr>
              <w:t>记结算业务的机构。</w:t>
            </w:r>
          </w:p>
        </w:tc>
      </w:tr>
      <w:tr>
        <w:trPr>
          <w:trHeight w:val="953" w:hRule="atLeast"/>
        </w:trPr>
        <w:tc>
          <w:tcPr>
            <w:tcW w:w="2510" w:type="dxa"/>
          </w:tcPr>
          <w:p>
            <w:pPr>
              <w:pStyle w:val="TableParagraph"/>
              <w:spacing w:before="103"/>
              <w:ind w:left="200"/>
              <w:rPr>
                <w:sz w:val="21"/>
              </w:rPr>
            </w:pPr>
            <w:r>
              <w:rPr>
                <w:sz w:val="21"/>
              </w:rPr>
              <w:t>《基金合同》当事人：</w:t>
            </w:r>
          </w:p>
        </w:tc>
        <w:tc>
          <w:tcPr>
            <w:tcW w:w="6305" w:type="dxa"/>
          </w:tcPr>
          <w:p>
            <w:pPr>
              <w:pStyle w:val="TableParagraph"/>
              <w:spacing w:before="103"/>
              <w:ind w:left="208"/>
              <w:rPr>
                <w:sz w:val="21"/>
              </w:rPr>
            </w:pPr>
            <w:r>
              <w:rPr>
                <w:sz w:val="21"/>
              </w:rPr>
              <w:t>受《基金合同》约束，根据《基金合同》享受权利并承担义务的</w:t>
            </w:r>
          </w:p>
          <w:p>
            <w:pPr>
              <w:pStyle w:val="TableParagraph"/>
              <w:spacing w:before="2"/>
              <w:rPr>
                <w:rFonts w:ascii="Times New Roman"/>
                <w:sz w:val="18"/>
              </w:rPr>
            </w:pPr>
          </w:p>
          <w:p>
            <w:pPr>
              <w:pStyle w:val="TableParagraph"/>
              <w:spacing w:before="0"/>
              <w:ind w:left="208"/>
              <w:rPr>
                <w:sz w:val="21"/>
              </w:rPr>
            </w:pPr>
            <w:r>
              <w:rPr>
                <w:sz w:val="21"/>
              </w:rPr>
              <w:t>法律主体，包括基金管理人、基金托管人和基金份额持有人。</w:t>
            </w:r>
          </w:p>
        </w:tc>
      </w:tr>
      <w:tr>
        <w:trPr>
          <w:trHeight w:val="950" w:hRule="atLeast"/>
        </w:trPr>
        <w:tc>
          <w:tcPr>
            <w:tcW w:w="2510" w:type="dxa"/>
          </w:tcPr>
          <w:p>
            <w:pPr>
              <w:pStyle w:val="TableParagraph"/>
              <w:spacing w:before="103"/>
              <w:ind w:left="200"/>
              <w:rPr>
                <w:sz w:val="21"/>
              </w:rPr>
            </w:pPr>
            <w:r>
              <w:rPr>
                <w:sz w:val="21"/>
              </w:rPr>
              <w:t>个人投资者：</w:t>
            </w:r>
          </w:p>
        </w:tc>
        <w:tc>
          <w:tcPr>
            <w:tcW w:w="6305" w:type="dxa"/>
          </w:tcPr>
          <w:p>
            <w:pPr>
              <w:pStyle w:val="TableParagraph"/>
              <w:spacing w:before="103"/>
              <w:ind w:left="208"/>
              <w:rPr>
                <w:sz w:val="21"/>
              </w:rPr>
            </w:pPr>
            <w:r>
              <w:rPr>
                <w:sz w:val="21"/>
              </w:rPr>
              <w:t>符合法律法规规定的条件可以投资开放式证券投资基金的自然</w:t>
            </w:r>
          </w:p>
          <w:p>
            <w:pPr>
              <w:pStyle w:val="TableParagraph"/>
              <w:spacing w:before="11"/>
              <w:rPr>
                <w:rFonts w:ascii="Times New Roman"/>
                <w:sz w:val="17"/>
              </w:rPr>
            </w:pPr>
          </w:p>
          <w:p>
            <w:pPr>
              <w:pStyle w:val="TableParagraph"/>
              <w:spacing w:before="0"/>
              <w:ind w:left="208"/>
              <w:rPr>
                <w:sz w:val="21"/>
              </w:rPr>
            </w:pPr>
            <w:r>
              <w:rPr>
                <w:sz w:val="21"/>
              </w:rPr>
              <w:t>人。</w:t>
            </w:r>
          </w:p>
        </w:tc>
      </w:tr>
      <w:tr>
        <w:trPr>
          <w:trHeight w:val="1425" w:hRule="atLeast"/>
        </w:trPr>
        <w:tc>
          <w:tcPr>
            <w:tcW w:w="2510" w:type="dxa"/>
          </w:tcPr>
          <w:p>
            <w:pPr>
              <w:pStyle w:val="TableParagraph"/>
              <w:spacing w:before="103"/>
              <w:ind w:left="200"/>
              <w:rPr>
                <w:sz w:val="21"/>
              </w:rPr>
            </w:pPr>
            <w:r>
              <w:rPr>
                <w:sz w:val="21"/>
              </w:rPr>
              <w:t>机构投资者：</w:t>
            </w:r>
          </w:p>
        </w:tc>
        <w:tc>
          <w:tcPr>
            <w:tcW w:w="6305" w:type="dxa"/>
          </w:tcPr>
          <w:p>
            <w:pPr>
              <w:pStyle w:val="TableParagraph"/>
              <w:spacing w:line="424" w:lineRule="auto" w:before="103"/>
              <w:ind w:left="208" w:right="209"/>
              <w:rPr>
                <w:sz w:val="21"/>
              </w:rPr>
            </w:pPr>
            <w:r>
              <w:rPr>
                <w:spacing w:val="-3"/>
                <w:sz w:val="21"/>
              </w:rPr>
              <w:t>符合法律法规规定可以投资开放式证券投资基金的在中国合法 注册登记并存续或经政府有关部门批准设立并存续的企业法人、</w:t>
            </w:r>
          </w:p>
          <w:p>
            <w:pPr>
              <w:pStyle w:val="TableParagraph"/>
              <w:spacing w:line="267" w:lineRule="exact" w:before="0"/>
              <w:ind w:left="208"/>
              <w:rPr>
                <w:sz w:val="21"/>
              </w:rPr>
            </w:pPr>
            <w:r>
              <w:rPr>
                <w:sz w:val="21"/>
              </w:rPr>
              <w:t>事业法人、社会团体和其他组织。</w:t>
            </w:r>
          </w:p>
        </w:tc>
      </w:tr>
      <w:tr>
        <w:trPr>
          <w:trHeight w:val="818" w:hRule="atLeast"/>
        </w:trPr>
        <w:tc>
          <w:tcPr>
            <w:tcW w:w="2510" w:type="dxa"/>
          </w:tcPr>
          <w:p>
            <w:pPr>
              <w:pStyle w:val="TableParagraph"/>
              <w:spacing w:before="103"/>
              <w:ind w:left="200"/>
              <w:rPr>
                <w:sz w:val="21"/>
              </w:rPr>
            </w:pPr>
            <w:r>
              <w:rPr>
                <w:sz w:val="21"/>
              </w:rPr>
              <w:t>合格境外机构投资者：</w:t>
            </w:r>
          </w:p>
        </w:tc>
        <w:tc>
          <w:tcPr>
            <w:tcW w:w="6305" w:type="dxa"/>
          </w:tcPr>
          <w:p>
            <w:pPr>
              <w:pStyle w:val="TableParagraph"/>
              <w:spacing w:before="103"/>
              <w:ind w:left="208"/>
              <w:rPr>
                <w:sz w:val="21"/>
              </w:rPr>
            </w:pPr>
            <w:r>
              <w:rPr>
                <w:sz w:val="21"/>
              </w:rPr>
              <w:t>符合《合格境外机构投资者境内证券投资管理办法》及相关法律</w:t>
            </w:r>
          </w:p>
          <w:p>
            <w:pPr>
              <w:pStyle w:val="TableParagraph"/>
              <w:spacing w:before="0"/>
              <w:rPr>
                <w:rFonts w:ascii="Times New Roman"/>
                <w:sz w:val="18"/>
              </w:rPr>
            </w:pPr>
          </w:p>
          <w:p>
            <w:pPr>
              <w:pStyle w:val="TableParagraph"/>
              <w:spacing w:line="220" w:lineRule="exact" w:before="0"/>
              <w:ind w:left="208"/>
              <w:rPr>
                <w:sz w:val="21"/>
              </w:rPr>
            </w:pPr>
            <w:r>
              <w:rPr>
                <w:sz w:val="21"/>
              </w:rPr>
              <w:t>法规规定的可投资于中国境内合法募集的证券投资基金的中国</w:t>
            </w:r>
          </w:p>
        </w:tc>
      </w:tr>
    </w:tbl>
    <w:p>
      <w:pPr>
        <w:spacing w:after="0" w:line="220" w:lineRule="exact"/>
        <w:rPr>
          <w:sz w:val="21"/>
        </w:rPr>
        <w:sectPr>
          <w:pgSz w:w="11910" w:h="16840"/>
          <w:pgMar w:header="701" w:footer="683" w:top="1420" w:bottom="880" w:left="1500" w:right="920"/>
        </w:sectPr>
      </w:pPr>
    </w:p>
    <w:p>
      <w:pPr>
        <w:pStyle w:val="BodyText"/>
        <w:spacing w:before="5"/>
        <w:rPr>
          <w:rFonts w:ascii="Times New Roman"/>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0"/>
        <w:gridCol w:w="6503"/>
      </w:tblGrid>
      <w:tr>
        <w:trPr>
          <w:trHeight w:val="844" w:hRule="atLeast"/>
        </w:trPr>
        <w:tc>
          <w:tcPr>
            <w:tcW w:w="2300" w:type="dxa"/>
          </w:tcPr>
          <w:p>
            <w:pPr>
              <w:pStyle w:val="TableParagraph"/>
              <w:spacing w:before="0"/>
              <w:rPr>
                <w:rFonts w:ascii="Times New Roman"/>
                <w:sz w:val="20"/>
              </w:rPr>
            </w:pPr>
          </w:p>
        </w:tc>
        <w:tc>
          <w:tcPr>
            <w:tcW w:w="6503" w:type="dxa"/>
          </w:tcPr>
          <w:p>
            <w:pPr>
              <w:pStyle w:val="TableParagraph"/>
              <w:spacing w:line="241" w:lineRule="exact" w:before="0"/>
              <w:ind w:left="418"/>
              <w:rPr>
                <w:sz w:val="21"/>
              </w:rPr>
            </w:pPr>
            <w:r>
              <w:rPr>
                <w:sz w:val="21"/>
              </w:rPr>
              <w:t>境外的基金管理机构、保险公司、证券公司以及其他资产管理机</w:t>
            </w:r>
          </w:p>
          <w:p>
            <w:pPr>
              <w:pStyle w:val="TableParagraph"/>
              <w:spacing w:before="10"/>
              <w:rPr>
                <w:rFonts w:ascii="Times New Roman"/>
                <w:sz w:val="17"/>
              </w:rPr>
            </w:pPr>
          </w:p>
          <w:p>
            <w:pPr>
              <w:pStyle w:val="TableParagraph"/>
              <w:spacing w:before="0"/>
              <w:ind w:left="418"/>
              <w:rPr>
                <w:sz w:val="21"/>
              </w:rPr>
            </w:pPr>
            <w:r>
              <w:rPr>
                <w:sz w:val="21"/>
              </w:rPr>
              <w:t>构。</w:t>
            </w:r>
          </w:p>
        </w:tc>
      </w:tr>
      <w:tr>
        <w:trPr>
          <w:trHeight w:val="976" w:hRule="atLeast"/>
        </w:trPr>
        <w:tc>
          <w:tcPr>
            <w:tcW w:w="2300" w:type="dxa"/>
          </w:tcPr>
          <w:p>
            <w:pPr>
              <w:pStyle w:val="TableParagraph"/>
              <w:spacing w:before="130"/>
              <w:ind w:left="200"/>
              <w:rPr>
                <w:sz w:val="21"/>
              </w:rPr>
            </w:pPr>
            <w:r>
              <w:rPr>
                <w:sz w:val="21"/>
              </w:rPr>
              <w:t>投资者：</w:t>
            </w:r>
          </w:p>
        </w:tc>
        <w:tc>
          <w:tcPr>
            <w:tcW w:w="6503" w:type="dxa"/>
          </w:tcPr>
          <w:p>
            <w:pPr>
              <w:pStyle w:val="TableParagraph"/>
              <w:spacing w:before="130"/>
              <w:ind w:left="418"/>
              <w:rPr>
                <w:sz w:val="21"/>
              </w:rPr>
            </w:pPr>
            <w:r>
              <w:rPr>
                <w:sz w:val="21"/>
              </w:rPr>
              <w:t>个人投资者、机构投资者、合格境外机构投资者和法律法规或中</w:t>
            </w:r>
          </w:p>
          <w:p>
            <w:pPr>
              <w:pStyle w:val="TableParagraph"/>
              <w:spacing w:before="10"/>
              <w:rPr>
                <w:rFonts w:ascii="Times New Roman"/>
                <w:sz w:val="17"/>
              </w:rPr>
            </w:pPr>
          </w:p>
          <w:p>
            <w:pPr>
              <w:pStyle w:val="TableParagraph"/>
              <w:spacing w:before="0"/>
              <w:ind w:left="418"/>
              <w:rPr>
                <w:sz w:val="21"/>
              </w:rPr>
            </w:pPr>
            <w:r>
              <w:rPr>
                <w:sz w:val="21"/>
              </w:rPr>
              <w:t>国证监会允许购买开放式证券投资基金的其他投资者的总称。</w:t>
            </w:r>
          </w:p>
        </w:tc>
      </w:tr>
      <w:tr>
        <w:trPr>
          <w:trHeight w:val="1422" w:hRule="atLeast"/>
        </w:trPr>
        <w:tc>
          <w:tcPr>
            <w:tcW w:w="2300" w:type="dxa"/>
          </w:tcPr>
          <w:p>
            <w:pPr>
              <w:pStyle w:val="TableParagraph"/>
              <w:spacing w:before="103"/>
              <w:ind w:left="200"/>
              <w:rPr>
                <w:sz w:val="21"/>
              </w:rPr>
            </w:pPr>
            <w:r>
              <w:rPr>
                <w:sz w:val="21"/>
              </w:rPr>
              <w:t>基金合同生效日：</w:t>
            </w:r>
          </w:p>
        </w:tc>
        <w:tc>
          <w:tcPr>
            <w:tcW w:w="6503" w:type="dxa"/>
          </w:tcPr>
          <w:p>
            <w:pPr>
              <w:pStyle w:val="TableParagraph"/>
              <w:spacing w:line="424" w:lineRule="auto" w:before="103"/>
              <w:ind w:left="418" w:right="288"/>
              <w:rPr>
                <w:sz w:val="21"/>
              </w:rPr>
            </w:pPr>
            <w:r>
              <w:rPr>
                <w:spacing w:val="-8"/>
                <w:sz w:val="21"/>
              </w:rPr>
              <w:t>基金募集达到法律规定及基金合同约定的条件，基金管理人聘请</w:t>
            </w:r>
            <w:r>
              <w:rPr>
                <w:spacing w:val="-10"/>
                <w:sz w:val="21"/>
              </w:rPr>
              <w:t>法定机构验资并办理完毕基金备案手续，获得中国证监会书面确</w:t>
            </w:r>
          </w:p>
          <w:p>
            <w:pPr>
              <w:pStyle w:val="TableParagraph"/>
              <w:spacing w:line="267" w:lineRule="exact" w:before="0"/>
              <w:ind w:left="418"/>
              <w:rPr>
                <w:sz w:val="21"/>
              </w:rPr>
            </w:pPr>
            <w:r>
              <w:rPr>
                <w:sz w:val="21"/>
              </w:rPr>
              <w:t>认之日。</w:t>
            </w:r>
          </w:p>
        </w:tc>
      </w:tr>
      <w:tr>
        <w:trPr>
          <w:trHeight w:val="498" w:hRule="atLeast"/>
        </w:trPr>
        <w:tc>
          <w:tcPr>
            <w:tcW w:w="2300" w:type="dxa"/>
          </w:tcPr>
          <w:p>
            <w:pPr>
              <w:pStyle w:val="TableParagraph"/>
              <w:spacing w:before="107"/>
              <w:ind w:left="200"/>
              <w:rPr>
                <w:sz w:val="21"/>
              </w:rPr>
            </w:pPr>
            <w:r>
              <w:rPr>
                <w:sz w:val="21"/>
              </w:rPr>
              <w:t>募集期：</w:t>
            </w:r>
          </w:p>
        </w:tc>
        <w:tc>
          <w:tcPr>
            <w:tcW w:w="6503" w:type="dxa"/>
          </w:tcPr>
          <w:p>
            <w:pPr>
              <w:pStyle w:val="TableParagraph"/>
              <w:spacing w:before="107"/>
              <w:ind w:left="418"/>
              <w:rPr>
                <w:sz w:val="21"/>
              </w:rPr>
            </w:pPr>
            <w:r>
              <w:rPr>
                <w:sz w:val="21"/>
              </w:rPr>
              <w:t>自基金份额发售之日起不超过 </w:t>
            </w:r>
            <w:r>
              <w:rPr>
                <w:rFonts w:ascii="Times New Roman" w:eastAsia="Times New Roman"/>
                <w:sz w:val="21"/>
              </w:rPr>
              <w:t>3 </w:t>
            </w:r>
            <w:r>
              <w:rPr>
                <w:sz w:val="21"/>
              </w:rPr>
              <w:t>个月的期限。</w:t>
            </w:r>
          </w:p>
        </w:tc>
      </w:tr>
      <w:tr>
        <w:trPr>
          <w:trHeight w:val="487" w:hRule="atLeast"/>
        </w:trPr>
        <w:tc>
          <w:tcPr>
            <w:tcW w:w="2300" w:type="dxa"/>
          </w:tcPr>
          <w:p>
            <w:pPr>
              <w:pStyle w:val="TableParagraph"/>
              <w:spacing w:before="107"/>
              <w:ind w:left="200"/>
              <w:rPr>
                <w:sz w:val="21"/>
              </w:rPr>
            </w:pPr>
            <w:r>
              <w:rPr>
                <w:sz w:val="21"/>
              </w:rPr>
              <w:t>基金存续期：</w:t>
            </w:r>
          </w:p>
        </w:tc>
        <w:tc>
          <w:tcPr>
            <w:tcW w:w="6503" w:type="dxa"/>
          </w:tcPr>
          <w:p>
            <w:pPr>
              <w:pStyle w:val="TableParagraph"/>
              <w:spacing w:before="107"/>
              <w:ind w:left="418"/>
              <w:rPr>
                <w:sz w:val="21"/>
              </w:rPr>
            </w:pPr>
            <w:r>
              <w:rPr>
                <w:sz w:val="21"/>
              </w:rPr>
              <w:t>《基金合同》生效后合法存续的不定期之期间。</w:t>
            </w:r>
          </w:p>
        </w:tc>
      </w:tr>
      <w:tr>
        <w:trPr>
          <w:trHeight w:val="510" w:hRule="atLeast"/>
        </w:trPr>
        <w:tc>
          <w:tcPr>
            <w:tcW w:w="2300" w:type="dxa"/>
          </w:tcPr>
          <w:p>
            <w:pPr>
              <w:pStyle w:val="TableParagraph"/>
              <w:spacing w:before="119"/>
              <w:ind w:left="200"/>
              <w:rPr>
                <w:sz w:val="21"/>
              </w:rPr>
            </w:pPr>
            <w:r>
              <w:rPr>
                <w:sz w:val="21"/>
              </w:rPr>
              <w:t>日</w:t>
            </w:r>
            <w:r>
              <w:rPr>
                <w:rFonts w:ascii="Times New Roman" w:eastAsia="Times New Roman"/>
                <w:sz w:val="21"/>
              </w:rPr>
              <w:t>/</w:t>
            </w:r>
            <w:r>
              <w:rPr>
                <w:sz w:val="21"/>
              </w:rPr>
              <w:t>天：</w:t>
            </w:r>
          </w:p>
        </w:tc>
        <w:tc>
          <w:tcPr>
            <w:tcW w:w="6503" w:type="dxa"/>
          </w:tcPr>
          <w:p>
            <w:pPr>
              <w:pStyle w:val="TableParagraph"/>
              <w:spacing w:before="119"/>
              <w:ind w:left="418"/>
              <w:rPr>
                <w:sz w:val="21"/>
              </w:rPr>
            </w:pPr>
            <w:r>
              <w:rPr>
                <w:sz w:val="21"/>
              </w:rPr>
              <w:t>公历日。</w:t>
            </w:r>
          </w:p>
        </w:tc>
      </w:tr>
      <w:tr>
        <w:trPr>
          <w:trHeight w:val="491" w:hRule="atLeast"/>
        </w:trPr>
        <w:tc>
          <w:tcPr>
            <w:tcW w:w="2300" w:type="dxa"/>
          </w:tcPr>
          <w:p>
            <w:pPr>
              <w:pStyle w:val="TableParagraph"/>
              <w:spacing w:before="107"/>
              <w:ind w:left="200"/>
              <w:rPr>
                <w:sz w:val="21"/>
              </w:rPr>
            </w:pPr>
            <w:r>
              <w:rPr>
                <w:sz w:val="21"/>
              </w:rPr>
              <w:t>月：</w:t>
            </w:r>
          </w:p>
        </w:tc>
        <w:tc>
          <w:tcPr>
            <w:tcW w:w="6503" w:type="dxa"/>
          </w:tcPr>
          <w:p>
            <w:pPr>
              <w:pStyle w:val="TableParagraph"/>
              <w:spacing w:before="107"/>
              <w:ind w:left="418"/>
              <w:rPr>
                <w:sz w:val="21"/>
              </w:rPr>
            </w:pPr>
            <w:r>
              <w:rPr>
                <w:sz w:val="21"/>
              </w:rPr>
              <w:t>公历月。</w:t>
            </w:r>
          </w:p>
        </w:tc>
      </w:tr>
      <w:tr>
        <w:trPr>
          <w:trHeight w:val="499" w:hRule="atLeast"/>
        </w:trPr>
        <w:tc>
          <w:tcPr>
            <w:tcW w:w="2300" w:type="dxa"/>
          </w:tcPr>
          <w:p>
            <w:pPr>
              <w:pStyle w:val="TableParagraph"/>
              <w:spacing w:before="115"/>
              <w:ind w:left="200"/>
              <w:rPr>
                <w:sz w:val="21"/>
              </w:rPr>
            </w:pPr>
            <w:r>
              <w:rPr>
                <w:sz w:val="21"/>
              </w:rPr>
              <w:t>工作日：</w:t>
            </w:r>
          </w:p>
        </w:tc>
        <w:tc>
          <w:tcPr>
            <w:tcW w:w="6503" w:type="dxa"/>
          </w:tcPr>
          <w:p>
            <w:pPr>
              <w:pStyle w:val="TableParagraph"/>
              <w:spacing w:before="115"/>
              <w:ind w:left="418"/>
              <w:rPr>
                <w:sz w:val="21"/>
              </w:rPr>
            </w:pPr>
            <w:r>
              <w:rPr>
                <w:sz w:val="21"/>
              </w:rPr>
              <w:t>上海证券交易所和深圳证券交易所的正常交易日。</w:t>
            </w:r>
          </w:p>
        </w:tc>
      </w:tr>
      <w:tr>
        <w:trPr>
          <w:trHeight w:val="496" w:hRule="atLeast"/>
        </w:trPr>
        <w:tc>
          <w:tcPr>
            <w:tcW w:w="2300" w:type="dxa"/>
          </w:tcPr>
          <w:p>
            <w:pPr>
              <w:pStyle w:val="TableParagraph"/>
              <w:spacing w:before="115"/>
              <w:ind w:left="200"/>
              <w:rPr>
                <w:sz w:val="21"/>
              </w:rPr>
            </w:pPr>
            <w:r>
              <w:rPr>
                <w:sz w:val="21"/>
              </w:rPr>
              <w:t>开放日：</w:t>
            </w:r>
          </w:p>
        </w:tc>
        <w:tc>
          <w:tcPr>
            <w:tcW w:w="6503" w:type="dxa"/>
          </w:tcPr>
          <w:p>
            <w:pPr>
              <w:pStyle w:val="TableParagraph"/>
              <w:spacing w:before="115"/>
              <w:ind w:left="418"/>
              <w:rPr>
                <w:sz w:val="21"/>
              </w:rPr>
            </w:pPr>
            <w:r>
              <w:rPr>
                <w:sz w:val="21"/>
              </w:rPr>
              <w:t>销售机构办理本基金份额申购、赎回等业务的工作日。</w:t>
            </w:r>
          </w:p>
        </w:tc>
      </w:tr>
      <w:tr>
        <w:trPr>
          <w:trHeight w:val="507" w:hRule="atLeast"/>
        </w:trPr>
        <w:tc>
          <w:tcPr>
            <w:tcW w:w="2300" w:type="dxa"/>
          </w:tcPr>
          <w:p>
            <w:pPr>
              <w:pStyle w:val="TableParagraph"/>
              <w:spacing w:before="119"/>
              <w:ind w:left="200"/>
              <w:rPr>
                <w:sz w:val="21"/>
              </w:rPr>
            </w:pPr>
            <w:r>
              <w:rPr>
                <w:rFonts w:ascii="Times New Roman" w:eastAsia="Times New Roman"/>
                <w:sz w:val="21"/>
              </w:rPr>
              <w:t>T </w:t>
            </w:r>
            <w:r>
              <w:rPr>
                <w:sz w:val="21"/>
              </w:rPr>
              <w:t>日：</w:t>
            </w:r>
          </w:p>
        </w:tc>
        <w:tc>
          <w:tcPr>
            <w:tcW w:w="6503" w:type="dxa"/>
          </w:tcPr>
          <w:p>
            <w:pPr>
              <w:pStyle w:val="TableParagraph"/>
              <w:spacing w:before="119"/>
              <w:ind w:left="418"/>
              <w:rPr>
                <w:sz w:val="21"/>
              </w:rPr>
            </w:pPr>
            <w:r>
              <w:rPr>
                <w:sz w:val="21"/>
              </w:rPr>
              <w:t>申购、赎回或办理其他基金业务的申请日。</w:t>
            </w:r>
          </w:p>
        </w:tc>
      </w:tr>
      <w:tr>
        <w:trPr>
          <w:trHeight w:val="501" w:hRule="atLeast"/>
        </w:trPr>
        <w:tc>
          <w:tcPr>
            <w:tcW w:w="2300" w:type="dxa"/>
          </w:tcPr>
          <w:p>
            <w:pPr>
              <w:pStyle w:val="TableParagraph"/>
              <w:spacing w:before="111"/>
              <w:ind w:left="200"/>
              <w:rPr>
                <w:sz w:val="21"/>
              </w:rPr>
            </w:pPr>
            <w:r>
              <w:rPr>
                <w:rFonts w:ascii="Times New Roman" w:eastAsia="Times New Roman"/>
                <w:sz w:val="21"/>
              </w:rPr>
              <w:t>T+n </w:t>
            </w:r>
            <w:r>
              <w:rPr>
                <w:sz w:val="21"/>
              </w:rPr>
              <w:t>日：</w:t>
            </w:r>
          </w:p>
        </w:tc>
        <w:tc>
          <w:tcPr>
            <w:tcW w:w="6503" w:type="dxa"/>
          </w:tcPr>
          <w:p>
            <w:pPr>
              <w:pStyle w:val="TableParagraph"/>
              <w:spacing w:before="111"/>
              <w:ind w:left="418"/>
              <w:rPr>
                <w:sz w:val="21"/>
              </w:rPr>
            </w:pPr>
            <w:r>
              <w:rPr>
                <w:sz w:val="21"/>
              </w:rPr>
              <w:t>自 </w:t>
            </w:r>
            <w:r>
              <w:rPr>
                <w:rFonts w:ascii="Times New Roman" w:eastAsia="Times New Roman"/>
                <w:sz w:val="21"/>
              </w:rPr>
              <w:t>T </w:t>
            </w:r>
            <w:r>
              <w:rPr>
                <w:sz w:val="21"/>
              </w:rPr>
              <w:t>日起第 </w:t>
            </w:r>
            <w:r>
              <w:rPr>
                <w:rFonts w:ascii="Times New Roman" w:eastAsia="Times New Roman"/>
                <w:sz w:val="21"/>
              </w:rPr>
              <w:t>n </w:t>
            </w:r>
            <w:r>
              <w:rPr>
                <w:sz w:val="21"/>
              </w:rPr>
              <w:t>个工作日（不包含 </w:t>
            </w:r>
            <w:r>
              <w:rPr>
                <w:rFonts w:ascii="Times New Roman" w:eastAsia="Times New Roman"/>
                <w:sz w:val="21"/>
              </w:rPr>
              <w:t>T </w:t>
            </w:r>
            <w:r>
              <w:rPr>
                <w:sz w:val="21"/>
              </w:rPr>
              <w:t>日）。</w:t>
            </w:r>
          </w:p>
        </w:tc>
      </w:tr>
      <w:tr>
        <w:trPr>
          <w:trHeight w:val="490" w:hRule="atLeast"/>
        </w:trPr>
        <w:tc>
          <w:tcPr>
            <w:tcW w:w="2300" w:type="dxa"/>
          </w:tcPr>
          <w:p>
            <w:pPr>
              <w:pStyle w:val="TableParagraph"/>
              <w:spacing w:before="106"/>
              <w:ind w:left="200"/>
              <w:rPr>
                <w:sz w:val="21"/>
              </w:rPr>
            </w:pPr>
            <w:r>
              <w:rPr>
                <w:sz w:val="21"/>
              </w:rPr>
              <w:t>认购：</w:t>
            </w:r>
          </w:p>
        </w:tc>
        <w:tc>
          <w:tcPr>
            <w:tcW w:w="6503" w:type="dxa"/>
          </w:tcPr>
          <w:p>
            <w:pPr>
              <w:pStyle w:val="TableParagraph"/>
              <w:spacing w:before="106"/>
              <w:ind w:left="418"/>
              <w:rPr>
                <w:sz w:val="21"/>
              </w:rPr>
            </w:pPr>
            <w:r>
              <w:rPr>
                <w:sz w:val="21"/>
              </w:rPr>
              <w:t>在本基金募集期内投资者购买本基金基金份额的行为。</w:t>
            </w:r>
          </w:p>
        </w:tc>
      </w:tr>
      <w:tr>
        <w:trPr>
          <w:trHeight w:val="499" w:hRule="atLeast"/>
        </w:trPr>
        <w:tc>
          <w:tcPr>
            <w:tcW w:w="2300" w:type="dxa"/>
          </w:tcPr>
          <w:p>
            <w:pPr>
              <w:pStyle w:val="TableParagraph"/>
              <w:spacing w:before="115"/>
              <w:ind w:left="200"/>
              <w:rPr>
                <w:sz w:val="21"/>
              </w:rPr>
            </w:pPr>
            <w:r>
              <w:rPr>
                <w:sz w:val="21"/>
              </w:rPr>
              <w:t>发售：</w:t>
            </w:r>
          </w:p>
        </w:tc>
        <w:tc>
          <w:tcPr>
            <w:tcW w:w="6503" w:type="dxa"/>
          </w:tcPr>
          <w:p>
            <w:pPr>
              <w:pStyle w:val="TableParagraph"/>
              <w:spacing w:before="115"/>
              <w:ind w:left="418"/>
              <w:rPr>
                <w:sz w:val="21"/>
              </w:rPr>
            </w:pPr>
            <w:r>
              <w:rPr>
                <w:sz w:val="21"/>
              </w:rPr>
              <w:t>在本基金募集期内，销售机构向投资者销售本基金份额的行为。</w:t>
            </w:r>
          </w:p>
        </w:tc>
      </w:tr>
      <w:tr>
        <w:trPr>
          <w:trHeight w:val="963" w:hRule="atLeast"/>
        </w:trPr>
        <w:tc>
          <w:tcPr>
            <w:tcW w:w="2300" w:type="dxa"/>
          </w:tcPr>
          <w:p>
            <w:pPr>
              <w:pStyle w:val="TableParagraph"/>
              <w:spacing w:before="115"/>
              <w:ind w:left="200"/>
              <w:rPr>
                <w:sz w:val="21"/>
              </w:rPr>
            </w:pPr>
            <w:r>
              <w:rPr>
                <w:sz w:val="21"/>
              </w:rPr>
              <w:t>申购：</w:t>
            </w:r>
          </w:p>
        </w:tc>
        <w:tc>
          <w:tcPr>
            <w:tcW w:w="6503" w:type="dxa"/>
          </w:tcPr>
          <w:p>
            <w:pPr>
              <w:pStyle w:val="TableParagraph"/>
              <w:spacing w:before="115"/>
              <w:ind w:left="418"/>
              <w:rPr>
                <w:sz w:val="21"/>
              </w:rPr>
            </w:pPr>
            <w:r>
              <w:rPr>
                <w:sz w:val="21"/>
              </w:rPr>
              <w:t>基金投资者根据基金销售网点规定的手续，向基金管理人购买基</w:t>
            </w:r>
          </w:p>
          <w:p>
            <w:pPr>
              <w:pStyle w:val="TableParagraph"/>
              <w:spacing w:before="11"/>
              <w:rPr>
                <w:rFonts w:ascii="Times New Roman"/>
                <w:sz w:val="17"/>
              </w:rPr>
            </w:pPr>
          </w:p>
          <w:p>
            <w:pPr>
              <w:pStyle w:val="TableParagraph"/>
              <w:spacing w:before="0"/>
              <w:ind w:left="418"/>
              <w:rPr>
                <w:sz w:val="21"/>
              </w:rPr>
            </w:pPr>
            <w:r>
              <w:rPr>
                <w:sz w:val="21"/>
              </w:rPr>
              <w:t>金份额的行为。</w:t>
            </w:r>
          </w:p>
        </w:tc>
      </w:tr>
      <w:tr>
        <w:trPr>
          <w:trHeight w:val="954" w:hRule="atLeast"/>
        </w:trPr>
        <w:tc>
          <w:tcPr>
            <w:tcW w:w="2300" w:type="dxa"/>
          </w:tcPr>
          <w:p>
            <w:pPr>
              <w:pStyle w:val="TableParagraph"/>
              <w:spacing w:before="104"/>
              <w:ind w:left="200"/>
              <w:rPr>
                <w:sz w:val="21"/>
              </w:rPr>
            </w:pPr>
            <w:r>
              <w:rPr>
                <w:sz w:val="21"/>
              </w:rPr>
              <w:t>赎回：</w:t>
            </w:r>
          </w:p>
        </w:tc>
        <w:tc>
          <w:tcPr>
            <w:tcW w:w="6503" w:type="dxa"/>
          </w:tcPr>
          <w:p>
            <w:pPr>
              <w:pStyle w:val="TableParagraph"/>
              <w:spacing w:before="104"/>
              <w:ind w:left="418"/>
              <w:rPr>
                <w:sz w:val="21"/>
              </w:rPr>
            </w:pPr>
            <w:r>
              <w:rPr>
                <w:sz w:val="21"/>
              </w:rPr>
              <w:t>基金投资者根据基金销售网点规定的手续，要求基金管理人购回</w:t>
            </w:r>
          </w:p>
          <w:p>
            <w:pPr>
              <w:pStyle w:val="TableParagraph"/>
              <w:spacing w:before="0"/>
              <w:rPr>
                <w:rFonts w:ascii="Times New Roman"/>
                <w:sz w:val="18"/>
              </w:rPr>
            </w:pPr>
          </w:p>
          <w:p>
            <w:pPr>
              <w:pStyle w:val="TableParagraph"/>
              <w:spacing w:before="0"/>
              <w:ind w:left="418"/>
              <w:rPr>
                <w:sz w:val="21"/>
              </w:rPr>
            </w:pPr>
            <w:r>
              <w:rPr>
                <w:sz w:val="21"/>
              </w:rPr>
              <w:t>基金份额的行为。</w:t>
            </w:r>
          </w:p>
        </w:tc>
      </w:tr>
      <w:tr>
        <w:trPr>
          <w:trHeight w:val="1911" w:hRule="atLeast"/>
        </w:trPr>
        <w:tc>
          <w:tcPr>
            <w:tcW w:w="2300" w:type="dxa"/>
          </w:tcPr>
          <w:p>
            <w:pPr>
              <w:pStyle w:val="TableParagraph"/>
              <w:spacing w:before="106"/>
              <w:ind w:left="200"/>
              <w:rPr>
                <w:sz w:val="21"/>
              </w:rPr>
            </w:pPr>
            <w:r>
              <w:rPr>
                <w:sz w:val="21"/>
              </w:rPr>
              <w:t>巨额赎回：</w:t>
            </w:r>
          </w:p>
        </w:tc>
        <w:tc>
          <w:tcPr>
            <w:tcW w:w="6503" w:type="dxa"/>
          </w:tcPr>
          <w:p>
            <w:pPr>
              <w:pStyle w:val="TableParagraph"/>
              <w:spacing w:line="424" w:lineRule="auto" w:before="106"/>
              <w:ind w:left="418" w:right="293"/>
              <w:rPr>
                <w:sz w:val="21"/>
              </w:rPr>
            </w:pPr>
            <w:r>
              <w:rPr>
                <w:spacing w:val="-11"/>
                <w:sz w:val="21"/>
              </w:rPr>
              <w:t>在单个开放日，本基金的基金份额净赎回申请</w:t>
            </w:r>
            <w:r>
              <w:rPr>
                <w:spacing w:val="-3"/>
                <w:sz w:val="21"/>
              </w:rPr>
              <w:t>（赎回申请总数加上基金转换中转出申请份额总数后扣除申购申请总数及基金转换中转入申请份额总数后的余额</w:t>
            </w:r>
            <w:r>
              <w:rPr>
                <w:sz w:val="21"/>
              </w:rPr>
              <w:t>）</w:t>
            </w:r>
            <w:r>
              <w:rPr>
                <w:spacing w:val="-3"/>
                <w:sz w:val="21"/>
              </w:rPr>
              <w:t>超过上一日本基金总份额的</w:t>
            </w:r>
          </w:p>
          <w:p>
            <w:pPr>
              <w:pStyle w:val="TableParagraph"/>
              <w:spacing w:line="266" w:lineRule="exact" w:before="0"/>
              <w:ind w:left="418"/>
              <w:rPr>
                <w:sz w:val="21"/>
              </w:rPr>
            </w:pPr>
            <w:r>
              <w:rPr>
                <w:rFonts w:ascii="Times New Roman" w:eastAsia="Times New Roman"/>
                <w:sz w:val="21"/>
              </w:rPr>
              <w:t>10%</w:t>
            </w:r>
            <w:r>
              <w:rPr>
                <w:sz w:val="21"/>
              </w:rPr>
              <w:t>时的情形。</w:t>
            </w:r>
          </w:p>
        </w:tc>
      </w:tr>
      <w:tr>
        <w:trPr>
          <w:trHeight w:val="943" w:hRule="atLeast"/>
        </w:trPr>
        <w:tc>
          <w:tcPr>
            <w:tcW w:w="2300" w:type="dxa"/>
          </w:tcPr>
          <w:p>
            <w:pPr>
              <w:pStyle w:val="TableParagraph"/>
              <w:spacing w:before="95"/>
              <w:ind w:left="200"/>
              <w:rPr>
                <w:sz w:val="21"/>
              </w:rPr>
            </w:pPr>
            <w:r>
              <w:rPr>
                <w:sz w:val="21"/>
              </w:rPr>
              <w:t>基金账户：</w:t>
            </w:r>
          </w:p>
        </w:tc>
        <w:tc>
          <w:tcPr>
            <w:tcW w:w="6503" w:type="dxa"/>
          </w:tcPr>
          <w:p>
            <w:pPr>
              <w:pStyle w:val="TableParagraph"/>
              <w:spacing w:before="95"/>
              <w:ind w:left="418"/>
              <w:rPr>
                <w:sz w:val="21"/>
              </w:rPr>
            </w:pPr>
            <w:r>
              <w:rPr>
                <w:sz w:val="21"/>
              </w:rPr>
              <w:t>基金登记结算机构给投资者开立的用于记录投资者持有的由该</w:t>
            </w:r>
          </w:p>
          <w:p>
            <w:pPr>
              <w:pStyle w:val="TableParagraph"/>
              <w:spacing w:before="11"/>
              <w:rPr>
                <w:rFonts w:ascii="Times New Roman"/>
                <w:sz w:val="17"/>
              </w:rPr>
            </w:pPr>
          </w:p>
          <w:p>
            <w:pPr>
              <w:pStyle w:val="TableParagraph"/>
              <w:spacing w:before="0"/>
              <w:ind w:left="418"/>
              <w:rPr>
                <w:sz w:val="21"/>
              </w:rPr>
            </w:pPr>
            <w:r>
              <w:rPr>
                <w:sz w:val="21"/>
              </w:rPr>
              <w:t>登记结算机构办理登记结算的开放式基金份额情况的账户。</w:t>
            </w:r>
          </w:p>
        </w:tc>
      </w:tr>
      <w:tr>
        <w:trPr>
          <w:trHeight w:val="344" w:hRule="atLeast"/>
        </w:trPr>
        <w:tc>
          <w:tcPr>
            <w:tcW w:w="2300" w:type="dxa"/>
          </w:tcPr>
          <w:p>
            <w:pPr>
              <w:pStyle w:val="TableParagraph"/>
              <w:spacing w:line="220" w:lineRule="exact" w:before="105"/>
              <w:ind w:left="200"/>
              <w:rPr>
                <w:sz w:val="21"/>
              </w:rPr>
            </w:pPr>
            <w:r>
              <w:rPr>
                <w:sz w:val="21"/>
              </w:rPr>
              <w:t>交易账户：</w:t>
            </w:r>
          </w:p>
        </w:tc>
        <w:tc>
          <w:tcPr>
            <w:tcW w:w="6503" w:type="dxa"/>
          </w:tcPr>
          <w:p>
            <w:pPr>
              <w:pStyle w:val="TableParagraph"/>
              <w:spacing w:line="220" w:lineRule="exact" w:before="105"/>
              <w:ind w:left="418"/>
              <w:rPr>
                <w:sz w:val="21"/>
              </w:rPr>
            </w:pPr>
            <w:r>
              <w:rPr>
                <w:sz w:val="21"/>
              </w:rPr>
              <w:t>各销售机构为投资者开立的记录投资者通过该销售机构办理基</w:t>
            </w:r>
          </w:p>
        </w:tc>
      </w:tr>
    </w:tbl>
    <w:p>
      <w:pPr>
        <w:spacing w:after="0" w:line="220" w:lineRule="exact"/>
        <w:rPr>
          <w:sz w:val="21"/>
        </w:rPr>
        <w:sectPr>
          <w:pgSz w:w="11910" w:h="16840"/>
          <w:pgMar w:header="701" w:footer="683" w:top="1420" w:bottom="880" w:left="1500" w:right="920"/>
        </w:sectPr>
      </w:pPr>
    </w:p>
    <w:p>
      <w:pPr>
        <w:pStyle w:val="BodyText"/>
        <w:spacing w:before="5"/>
        <w:rPr>
          <w:rFonts w:ascii="Times New Roman"/>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0"/>
        <w:gridCol w:w="6305"/>
      </w:tblGrid>
      <w:tr>
        <w:trPr>
          <w:trHeight w:val="457" w:hRule="atLeast"/>
        </w:trPr>
        <w:tc>
          <w:tcPr>
            <w:tcW w:w="2510" w:type="dxa"/>
          </w:tcPr>
          <w:p>
            <w:pPr>
              <w:pStyle w:val="TableParagraph"/>
              <w:spacing w:before="0"/>
              <w:rPr>
                <w:rFonts w:ascii="Times New Roman"/>
                <w:sz w:val="20"/>
              </w:rPr>
            </w:pPr>
          </w:p>
        </w:tc>
        <w:tc>
          <w:tcPr>
            <w:tcW w:w="6305" w:type="dxa"/>
          </w:tcPr>
          <w:p>
            <w:pPr>
              <w:pStyle w:val="TableParagraph"/>
              <w:spacing w:line="241" w:lineRule="exact" w:before="0"/>
              <w:ind w:left="208"/>
              <w:rPr>
                <w:sz w:val="21"/>
              </w:rPr>
            </w:pPr>
            <w:r>
              <w:rPr>
                <w:sz w:val="21"/>
              </w:rPr>
              <w:t>金交易所引起的基金份额的变动及结余情况的账户。</w:t>
            </w:r>
          </w:p>
        </w:tc>
      </w:tr>
      <w:tr>
        <w:trPr>
          <w:trHeight w:val="1064" w:hRule="atLeast"/>
        </w:trPr>
        <w:tc>
          <w:tcPr>
            <w:tcW w:w="2510" w:type="dxa"/>
          </w:tcPr>
          <w:p>
            <w:pPr>
              <w:pStyle w:val="TableParagraph"/>
              <w:spacing w:before="10"/>
              <w:rPr>
                <w:rFonts w:ascii="Times New Roman"/>
                <w:sz w:val="18"/>
              </w:rPr>
            </w:pPr>
          </w:p>
          <w:p>
            <w:pPr>
              <w:pStyle w:val="TableParagraph"/>
              <w:spacing w:before="0"/>
              <w:ind w:left="200"/>
              <w:rPr>
                <w:sz w:val="21"/>
              </w:rPr>
            </w:pPr>
            <w:r>
              <w:rPr>
                <w:sz w:val="21"/>
              </w:rPr>
              <w:t>转托管：</w:t>
            </w:r>
          </w:p>
        </w:tc>
        <w:tc>
          <w:tcPr>
            <w:tcW w:w="6305" w:type="dxa"/>
          </w:tcPr>
          <w:p>
            <w:pPr>
              <w:pStyle w:val="TableParagraph"/>
              <w:spacing w:line="470" w:lineRule="atLeast" w:before="16"/>
              <w:ind w:left="208" w:right="418"/>
              <w:rPr>
                <w:sz w:val="21"/>
              </w:rPr>
            </w:pPr>
            <w:r>
              <w:rPr>
                <w:sz w:val="21"/>
              </w:rPr>
              <w:t>指基金份额持有人将其持有的同一基金账户下的基金份额从某一交易账户转入另一交易账户的行为。</w:t>
            </w:r>
          </w:p>
        </w:tc>
      </w:tr>
      <w:tr>
        <w:trPr>
          <w:trHeight w:val="1901" w:hRule="atLeast"/>
        </w:trPr>
        <w:tc>
          <w:tcPr>
            <w:tcW w:w="2510" w:type="dxa"/>
          </w:tcPr>
          <w:p>
            <w:pPr>
              <w:pStyle w:val="TableParagraph"/>
              <w:spacing w:before="103"/>
              <w:ind w:left="200"/>
              <w:rPr>
                <w:sz w:val="21"/>
              </w:rPr>
            </w:pPr>
            <w:r>
              <w:rPr>
                <w:sz w:val="21"/>
              </w:rPr>
              <w:t>基金转换：</w:t>
            </w:r>
          </w:p>
        </w:tc>
        <w:tc>
          <w:tcPr>
            <w:tcW w:w="6305" w:type="dxa"/>
          </w:tcPr>
          <w:p>
            <w:pPr>
              <w:pStyle w:val="TableParagraph"/>
              <w:spacing w:line="424" w:lineRule="auto" w:before="103"/>
              <w:ind w:left="208" w:right="300"/>
              <w:rPr>
                <w:sz w:val="21"/>
              </w:rPr>
            </w:pPr>
            <w:r>
              <w:rPr>
                <w:spacing w:val="-3"/>
                <w:sz w:val="21"/>
              </w:rPr>
              <w:t>基金份额持有人按照基金合同和基金管理人届时有效的公告规</w:t>
            </w:r>
            <w:r>
              <w:rPr>
                <w:spacing w:val="-12"/>
                <w:sz w:val="21"/>
              </w:rPr>
              <w:t>定的条件，向基金管理人提出申请将其所持有的基金管理人管理的某一开放式基金</w:t>
            </w:r>
            <w:r>
              <w:rPr>
                <w:sz w:val="21"/>
              </w:rPr>
              <w:t>（</w:t>
            </w:r>
            <w:r>
              <w:rPr>
                <w:spacing w:val="-3"/>
                <w:sz w:val="21"/>
              </w:rPr>
              <w:t>转出基金</w:t>
            </w:r>
            <w:r>
              <w:rPr>
                <w:spacing w:val="-46"/>
                <w:sz w:val="21"/>
              </w:rPr>
              <w:t>）</w:t>
            </w:r>
            <w:r>
              <w:rPr>
                <w:spacing w:val="-3"/>
                <w:sz w:val="21"/>
              </w:rPr>
              <w:t>的全部或部分基金份额转换为基</w:t>
            </w:r>
          </w:p>
          <w:p>
            <w:pPr>
              <w:pStyle w:val="TableParagraph"/>
              <w:spacing w:line="267" w:lineRule="exact" w:before="0"/>
              <w:ind w:left="208"/>
              <w:rPr>
                <w:sz w:val="21"/>
              </w:rPr>
            </w:pPr>
            <w:r>
              <w:rPr>
                <w:spacing w:val="-10"/>
                <w:sz w:val="21"/>
              </w:rPr>
              <w:t>金管理人管理的其他开放式基金</w:t>
            </w:r>
            <w:r>
              <w:rPr>
                <w:spacing w:val="-3"/>
                <w:sz w:val="21"/>
              </w:rPr>
              <w:t>（</w:t>
            </w:r>
            <w:r>
              <w:rPr>
                <w:spacing w:val="-2"/>
                <w:sz w:val="21"/>
              </w:rPr>
              <w:t>转入基金</w:t>
            </w:r>
            <w:r>
              <w:rPr>
                <w:spacing w:val="-99"/>
                <w:sz w:val="21"/>
              </w:rPr>
              <w:t>）</w:t>
            </w:r>
            <w:r>
              <w:rPr>
                <w:spacing w:val="-3"/>
                <w:sz w:val="21"/>
              </w:rPr>
              <w:t>的基金份额的行为。</w:t>
            </w:r>
          </w:p>
        </w:tc>
      </w:tr>
      <w:tr>
        <w:trPr>
          <w:trHeight w:val="1426" w:hRule="atLeast"/>
        </w:trPr>
        <w:tc>
          <w:tcPr>
            <w:tcW w:w="2510" w:type="dxa"/>
          </w:tcPr>
          <w:p>
            <w:pPr>
              <w:pStyle w:val="TableParagraph"/>
              <w:spacing w:before="103"/>
              <w:ind w:left="200"/>
              <w:rPr>
                <w:sz w:val="21"/>
              </w:rPr>
            </w:pPr>
            <w:r>
              <w:rPr>
                <w:sz w:val="21"/>
              </w:rPr>
              <w:t>定期定额投资计划：</w:t>
            </w:r>
          </w:p>
        </w:tc>
        <w:tc>
          <w:tcPr>
            <w:tcW w:w="6305" w:type="dxa"/>
          </w:tcPr>
          <w:p>
            <w:pPr>
              <w:pStyle w:val="TableParagraph"/>
              <w:spacing w:line="424" w:lineRule="auto" w:before="103"/>
              <w:ind w:left="208" w:right="300"/>
              <w:rPr>
                <w:sz w:val="21"/>
              </w:rPr>
            </w:pPr>
            <w:r>
              <w:rPr>
                <w:spacing w:val="-8"/>
                <w:sz w:val="21"/>
              </w:rPr>
              <w:t>投资者通过有关销售机构提出申请，约定每期扣款日、扣款金额</w:t>
            </w:r>
            <w:r>
              <w:rPr>
                <w:spacing w:val="-13"/>
                <w:sz w:val="21"/>
              </w:rPr>
              <w:t>及扣款方式，由销售机构于每期约定扣款日在投资者指定银行账</w:t>
            </w:r>
          </w:p>
          <w:p>
            <w:pPr>
              <w:pStyle w:val="TableParagraph"/>
              <w:spacing w:line="267" w:lineRule="exact" w:before="0"/>
              <w:ind w:left="208"/>
              <w:rPr>
                <w:sz w:val="21"/>
              </w:rPr>
            </w:pPr>
            <w:r>
              <w:rPr>
                <w:sz w:val="21"/>
              </w:rPr>
              <w:t>户内自动完成扣款及基金申购申请的一种投资方式。</w:t>
            </w:r>
          </w:p>
        </w:tc>
      </w:tr>
      <w:tr>
        <w:trPr>
          <w:trHeight w:val="951" w:hRule="atLeast"/>
        </w:trPr>
        <w:tc>
          <w:tcPr>
            <w:tcW w:w="2510" w:type="dxa"/>
          </w:tcPr>
          <w:p>
            <w:pPr>
              <w:pStyle w:val="TableParagraph"/>
              <w:spacing w:before="104"/>
              <w:ind w:left="200"/>
              <w:rPr>
                <w:sz w:val="21"/>
              </w:rPr>
            </w:pPr>
            <w:r>
              <w:rPr>
                <w:sz w:val="21"/>
              </w:rPr>
              <w:t>基金收益：</w:t>
            </w:r>
          </w:p>
        </w:tc>
        <w:tc>
          <w:tcPr>
            <w:tcW w:w="6305" w:type="dxa"/>
          </w:tcPr>
          <w:p>
            <w:pPr>
              <w:pStyle w:val="TableParagraph"/>
              <w:spacing w:before="104"/>
              <w:ind w:left="208"/>
              <w:rPr>
                <w:sz w:val="21"/>
              </w:rPr>
            </w:pPr>
            <w:r>
              <w:rPr>
                <w:sz w:val="21"/>
              </w:rPr>
              <w:t>基金投资所得红利、股息、债券利息、证券投资收益、证券持有</w:t>
            </w:r>
          </w:p>
          <w:p>
            <w:pPr>
              <w:pStyle w:val="TableParagraph"/>
              <w:spacing w:before="11"/>
              <w:rPr>
                <w:rFonts w:ascii="Times New Roman"/>
                <w:sz w:val="17"/>
              </w:rPr>
            </w:pPr>
          </w:p>
          <w:p>
            <w:pPr>
              <w:pStyle w:val="TableParagraph"/>
              <w:spacing w:before="0"/>
              <w:ind w:left="208"/>
              <w:rPr>
                <w:sz w:val="21"/>
              </w:rPr>
            </w:pPr>
            <w:r>
              <w:rPr>
                <w:sz w:val="21"/>
              </w:rPr>
              <w:t>期间的公允价值变动、银行存款利息以及其他收入。</w:t>
            </w:r>
          </w:p>
        </w:tc>
      </w:tr>
      <w:tr>
        <w:trPr>
          <w:trHeight w:val="950" w:hRule="atLeast"/>
        </w:trPr>
        <w:tc>
          <w:tcPr>
            <w:tcW w:w="2510" w:type="dxa"/>
          </w:tcPr>
          <w:p>
            <w:pPr>
              <w:pStyle w:val="TableParagraph"/>
              <w:spacing w:before="103"/>
              <w:ind w:left="200"/>
              <w:rPr>
                <w:sz w:val="21"/>
              </w:rPr>
            </w:pPr>
            <w:r>
              <w:rPr>
                <w:sz w:val="21"/>
              </w:rPr>
              <w:t>基金资产总值：</w:t>
            </w:r>
          </w:p>
        </w:tc>
        <w:tc>
          <w:tcPr>
            <w:tcW w:w="6305" w:type="dxa"/>
          </w:tcPr>
          <w:p>
            <w:pPr>
              <w:pStyle w:val="TableParagraph"/>
              <w:spacing w:before="103"/>
              <w:ind w:left="208"/>
              <w:rPr>
                <w:sz w:val="21"/>
              </w:rPr>
            </w:pPr>
            <w:r>
              <w:rPr>
                <w:sz w:val="21"/>
              </w:rPr>
              <w:t>基金所拥有的各类证券及票据价值、银行存款本息和本基金应收</w:t>
            </w:r>
          </w:p>
          <w:p>
            <w:pPr>
              <w:pStyle w:val="TableParagraph"/>
              <w:spacing w:before="0"/>
              <w:rPr>
                <w:rFonts w:ascii="Times New Roman"/>
                <w:sz w:val="18"/>
              </w:rPr>
            </w:pPr>
          </w:p>
          <w:p>
            <w:pPr>
              <w:pStyle w:val="TableParagraph"/>
              <w:spacing w:before="0"/>
              <w:ind w:left="208"/>
              <w:rPr>
                <w:sz w:val="21"/>
              </w:rPr>
            </w:pPr>
            <w:r>
              <w:rPr>
                <w:sz w:val="21"/>
              </w:rPr>
              <w:t>的申购基金款以及其他投资所形成的价值总和。</w:t>
            </w:r>
          </w:p>
        </w:tc>
      </w:tr>
      <w:tr>
        <w:trPr>
          <w:trHeight w:val="487" w:hRule="atLeast"/>
        </w:trPr>
        <w:tc>
          <w:tcPr>
            <w:tcW w:w="2510" w:type="dxa"/>
          </w:tcPr>
          <w:p>
            <w:pPr>
              <w:pStyle w:val="TableParagraph"/>
              <w:spacing w:before="103"/>
              <w:ind w:left="200"/>
              <w:rPr>
                <w:sz w:val="21"/>
              </w:rPr>
            </w:pPr>
            <w:r>
              <w:rPr>
                <w:sz w:val="21"/>
              </w:rPr>
              <w:t>基金资产净值：</w:t>
            </w:r>
          </w:p>
        </w:tc>
        <w:tc>
          <w:tcPr>
            <w:tcW w:w="6305" w:type="dxa"/>
          </w:tcPr>
          <w:p>
            <w:pPr>
              <w:pStyle w:val="TableParagraph"/>
              <w:spacing w:before="103"/>
              <w:ind w:left="208"/>
              <w:rPr>
                <w:sz w:val="21"/>
              </w:rPr>
            </w:pPr>
            <w:r>
              <w:rPr>
                <w:sz w:val="21"/>
              </w:rPr>
              <w:t>基金资产总值扣除负债后的净资产值。</w:t>
            </w:r>
          </w:p>
        </w:tc>
      </w:tr>
      <w:tr>
        <w:trPr>
          <w:trHeight w:val="499" w:hRule="atLeast"/>
        </w:trPr>
        <w:tc>
          <w:tcPr>
            <w:tcW w:w="2510" w:type="dxa"/>
          </w:tcPr>
          <w:p>
            <w:pPr>
              <w:pStyle w:val="TableParagraph"/>
              <w:spacing w:before="115"/>
              <w:ind w:left="200"/>
              <w:rPr>
                <w:sz w:val="21"/>
              </w:rPr>
            </w:pPr>
            <w:r>
              <w:rPr>
                <w:sz w:val="21"/>
              </w:rPr>
              <w:t>基金资产估值：</w:t>
            </w:r>
          </w:p>
        </w:tc>
        <w:tc>
          <w:tcPr>
            <w:tcW w:w="6305" w:type="dxa"/>
          </w:tcPr>
          <w:p>
            <w:pPr>
              <w:pStyle w:val="TableParagraph"/>
              <w:spacing w:before="115"/>
              <w:ind w:left="208"/>
              <w:rPr>
                <w:sz w:val="21"/>
              </w:rPr>
            </w:pPr>
            <w:r>
              <w:rPr>
                <w:sz w:val="21"/>
              </w:rPr>
              <w:t>计算评估基金资产和负债的价值，以确定基金资产净值的过程。</w:t>
            </w:r>
          </w:p>
        </w:tc>
      </w:tr>
      <w:tr>
        <w:trPr>
          <w:trHeight w:val="962" w:hRule="atLeast"/>
        </w:trPr>
        <w:tc>
          <w:tcPr>
            <w:tcW w:w="2510" w:type="dxa"/>
          </w:tcPr>
          <w:p>
            <w:pPr>
              <w:pStyle w:val="TableParagraph"/>
              <w:spacing w:before="115"/>
              <w:ind w:left="200"/>
              <w:rPr>
                <w:sz w:val="21"/>
              </w:rPr>
            </w:pPr>
            <w:r>
              <w:rPr>
                <w:sz w:val="21"/>
              </w:rPr>
              <w:t>规定媒介：</w:t>
            </w:r>
          </w:p>
        </w:tc>
        <w:tc>
          <w:tcPr>
            <w:tcW w:w="6305" w:type="dxa"/>
          </w:tcPr>
          <w:p>
            <w:pPr>
              <w:pStyle w:val="TableParagraph"/>
              <w:spacing w:before="115"/>
              <w:ind w:left="208"/>
              <w:rPr>
                <w:sz w:val="21"/>
              </w:rPr>
            </w:pPr>
            <w:r>
              <w:rPr>
                <w:sz w:val="21"/>
              </w:rPr>
              <w:t>符合中国证监会规定条件的用以进行信息披露的报刊和互联网</w:t>
            </w:r>
          </w:p>
          <w:p>
            <w:pPr>
              <w:pStyle w:val="TableParagraph"/>
              <w:spacing w:before="11"/>
              <w:rPr>
                <w:rFonts w:ascii="Times New Roman"/>
                <w:sz w:val="17"/>
              </w:rPr>
            </w:pPr>
          </w:p>
          <w:p>
            <w:pPr>
              <w:pStyle w:val="TableParagraph"/>
              <w:spacing w:before="0"/>
              <w:ind w:left="208"/>
              <w:rPr>
                <w:sz w:val="21"/>
              </w:rPr>
            </w:pPr>
            <w:r>
              <w:rPr>
                <w:sz w:val="21"/>
              </w:rPr>
              <w:t>网站。</w:t>
            </w:r>
          </w:p>
        </w:tc>
      </w:tr>
      <w:tr>
        <w:trPr>
          <w:trHeight w:val="2379" w:hRule="atLeast"/>
        </w:trPr>
        <w:tc>
          <w:tcPr>
            <w:tcW w:w="2510" w:type="dxa"/>
          </w:tcPr>
          <w:p>
            <w:pPr>
              <w:pStyle w:val="TableParagraph"/>
              <w:spacing w:before="103"/>
              <w:ind w:left="200"/>
              <w:rPr>
                <w:sz w:val="21"/>
              </w:rPr>
            </w:pPr>
            <w:r>
              <w:rPr>
                <w:sz w:val="21"/>
              </w:rPr>
              <w:t>流动性受限资产：</w:t>
            </w:r>
          </w:p>
        </w:tc>
        <w:tc>
          <w:tcPr>
            <w:tcW w:w="6305" w:type="dxa"/>
          </w:tcPr>
          <w:p>
            <w:pPr>
              <w:pStyle w:val="TableParagraph"/>
              <w:spacing w:line="424" w:lineRule="auto" w:before="103"/>
              <w:ind w:left="208" w:right="197"/>
              <w:rPr>
                <w:sz w:val="21"/>
              </w:rPr>
            </w:pPr>
            <w:r>
              <w:rPr>
                <w:spacing w:val="-12"/>
                <w:sz w:val="21"/>
              </w:rPr>
              <w:t>指由于法律法规、监管、合同或操作障碍等原因无法以合理价格</w:t>
            </w:r>
            <w:r>
              <w:rPr>
                <w:spacing w:val="-9"/>
                <w:sz w:val="21"/>
              </w:rPr>
              <w:t>予以变现的资产，包括但不限于到期日在 </w:t>
            </w:r>
            <w:r>
              <w:rPr>
                <w:rFonts w:ascii="Times New Roman" w:eastAsia="Times New Roman"/>
                <w:sz w:val="21"/>
              </w:rPr>
              <w:t>10 </w:t>
            </w:r>
            <w:r>
              <w:rPr>
                <w:spacing w:val="-3"/>
                <w:sz w:val="21"/>
              </w:rPr>
              <w:t>个交易日以上的逆</w:t>
            </w:r>
            <w:r>
              <w:rPr>
                <w:spacing w:val="-14"/>
                <w:sz w:val="21"/>
              </w:rPr>
              <w:t>回购与银行定期存款</w:t>
            </w:r>
            <w:r>
              <w:rPr>
                <w:sz w:val="21"/>
              </w:rPr>
              <w:t>（</w:t>
            </w:r>
            <w:r>
              <w:rPr>
                <w:spacing w:val="-3"/>
                <w:sz w:val="21"/>
              </w:rPr>
              <w:t>含协议约定有条件提前支取的银行存款</w:t>
            </w:r>
            <w:r>
              <w:rPr>
                <w:spacing w:val="-99"/>
                <w:sz w:val="21"/>
              </w:rPr>
              <w:t>）</w:t>
            </w:r>
            <w:r>
              <w:rPr>
                <w:sz w:val="21"/>
              </w:rPr>
              <w:t>、</w:t>
            </w:r>
            <w:r>
              <w:rPr>
                <w:spacing w:val="-3"/>
                <w:sz w:val="21"/>
              </w:rPr>
              <w:t>停牌股票、流通受限的新股及非公开发行股票、资产支持证券、</w:t>
            </w:r>
          </w:p>
          <w:p>
            <w:pPr>
              <w:pStyle w:val="TableParagraph"/>
              <w:spacing w:line="268" w:lineRule="exact" w:before="0"/>
              <w:ind w:left="208"/>
              <w:rPr>
                <w:sz w:val="21"/>
              </w:rPr>
            </w:pPr>
            <w:r>
              <w:rPr>
                <w:sz w:val="21"/>
              </w:rPr>
              <w:t>因发行人债务违约无法进行转让或交易的债券等。</w:t>
            </w:r>
          </w:p>
        </w:tc>
      </w:tr>
      <w:tr>
        <w:trPr>
          <w:trHeight w:val="1901" w:hRule="atLeast"/>
        </w:trPr>
        <w:tc>
          <w:tcPr>
            <w:tcW w:w="2510" w:type="dxa"/>
          </w:tcPr>
          <w:p>
            <w:pPr>
              <w:pStyle w:val="TableParagraph"/>
              <w:spacing w:before="103"/>
              <w:ind w:left="200"/>
              <w:rPr>
                <w:sz w:val="21"/>
              </w:rPr>
            </w:pPr>
            <w:r>
              <w:rPr>
                <w:sz w:val="21"/>
              </w:rPr>
              <w:t>摆动定价机制：</w:t>
            </w:r>
          </w:p>
        </w:tc>
        <w:tc>
          <w:tcPr>
            <w:tcW w:w="6305" w:type="dxa"/>
          </w:tcPr>
          <w:p>
            <w:pPr>
              <w:pStyle w:val="TableParagraph"/>
              <w:spacing w:line="424" w:lineRule="auto" w:before="103"/>
              <w:ind w:left="208" w:right="209"/>
              <w:jc w:val="both"/>
              <w:rPr>
                <w:sz w:val="21"/>
              </w:rPr>
            </w:pPr>
            <w:r>
              <w:rPr>
                <w:spacing w:val="-9"/>
                <w:sz w:val="21"/>
              </w:rPr>
              <w:t>指当开放式基金遭遇大额申购赎回时，通过调整基金份额净值的</w:t>
            </w:r>
            <w:r>
              <w:rPr>
                <w:spacing w:val="-11"/>
                <w:sz w:val="21"/>
              </w:rPr>
              <w:t>方式，将基金调整投资组合的市场冲击成本分配给实际申购、赎</w:t>
            </w:r>
            <w:r>
              <w:rPr>
                <w:spacing w:val="-6"/>
                <w:sz w:val="21"/>
              </w:rPr>
              <w:t>回的投资者，从而减少对存量基金份额持有人利益的不利影响，</w:t>
            </w:r>
          </w:p>
          <w:p>
            <w:pPr>
              <w:pStyle w:val="TableParagraph"/>
              <w:spacing w:line="266" w:lineRule="exact" w:before="0"/>
              <w:ind w:left="208"/>
              <w:rPr>
                <w:sz w:val="21"/>
              </w:rPr>
            </w:pPr>
            <w:r>
              <w:rPr>
                <w:sz w:val="21"/>
              </w:rPr>
              <w:t>确保投资者的合法权益不受损害并得到公平对待。</w:t>
            </w:r>
          </w:p>
        </w:tc>
      </w:tr>
      <w:tr>
        <w:trPr>
          <w:trHeight w:val="343" w:hRule="atLeast"/>
        </w:trPr>
        <w:tc>
          <w:tcPr>
            <w:tcW w:w="2510" w:type="dxa"/>
          </w:tcPr>
          <w:p>
            <w:pPr>
              <w:pStyle w:val="TableParagraph"/>
              <w:spacing w:line="220" w:lineRule="exact" w:before="103"/>
              <w:ind w:left="200"/>
              <w:rPr>
                <w:sz w:val="21"/>
              </w:rPr>
            </w:pPr>
            <w:r>
              <w:rPr>
                <w:sz w:val="21"/>
              </w:rPr>
              <w:t>转融通证券出借业务：</w:t>
            </w:r>
          </w:p>
        </w:tc>
        <w:tc>
          <w:tcPr>
            <w:tcW w:w="6305" w:type="dxa"/>
          </w:tcPr>
          <w:p>
            <w:pPr>
              <w:pStyle w:val="TableParagraph"/>
              <w:spacing w:line="220" w:lineRule="exact" w:before="103"/>
              <w:ind w:left="208"/>
              <w:rPr>
                <w:sz w:val="21"/>
              </w:rPr>
            </w:pPr>
            <w:r>
              <w:rPr>
                <w:sz w:val="21"/>
              </w:rPr>
              <w:t>指基金以一定的费率通过证券交易所综合业务平台向中国证券</w:t>
            </w:r>
          </w:p>
        </w:tc>
      </w:tr>
    </w:tbl>
    <w:p>
      <w:pPr>
        <w:spacing w:after="0" w:line="220" w:lineRule="exact"/>
        <w:rPr>
          <w:sz w:val="21"/>
        </w:rPr>
        <w:sectPr>
          <w:pgSz w:w="11910" w:h="16840"/>
          <w:pgMar w:header="701" w:footer="683" w:top="1420" w:bottom="880" w:left="1500" w:right="920"/>
        </w:sectPr>
      </w:pPr>
    </w:p>
    <w:p>
      <w:pPr>
        <w:pStyle w:val="BodyText"/>
        <w:spacing w:before="5"/>
        <w:rPr>
          <w:rFonts w:ascii="Times New Roman"/>
          <w:sz w:val="1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6"/>
        <w:gridCol w:w="6724"/>
      </w:tblGrid>
      <w:tr>
        <w:trPr>
          <w:trHeight w:val="818" w:hRule="atLeast"/>
        </w:trPr>
        <w:tc>
          <w:tcPr>
            <w:tcW w:w="1986" w:type="dxa"/>
          </w:tcPr>
          <w:p>
            <w:pPr>
              <w:pStyle w:val="TableParagraph"/>
              <w:spacing w:before="0"/>
              <w:rPr>
                <w:rFonts w:ascii="Times New Roman"/>
                <w:sz w:val="20"/>
              </w:rPr>
            </w:pPr>
          </w:p>
        </w:tc>
        <w:tc>
          <w:tcPr>
            <w:tcW w:w="6724" w:type="dxa"/>
          </w:tcPr>
          <w:p>
            <w:pPr>
              <w:pStyle w:val="TableParagraph"/>
              <w:spacing w:line="241" w:lineRule="exact" w:before="0"/>
              <w:ind w:left="732"/>
              <w:rPr>
                <w:sz w:val="21"/>
              </w:rPr>
            </w:pPr>
            <w:r>
              <w:rPr>
                <w:sz w:val="21"/>
              </w:rPr>
              <w:t>金融股份有限公司（以下简称证券金融公司）出借证券，证券金</w:t>
            </w:r>
          </w:p>
          <w:p>
            <w:pPr>
              <w:pStyle w:val="TableParagraph"/>
              <w:spacing w:before="10"/>
              <w:rPr>
                <w:rFonts w:ascii="Times New Roman"/>
                <w:sz w:val="17"/>
              </w:rPr>
            </w:pPr>
          </w:p>
          <w:p>
            <w:pPr>
              <w:pStyle w:val="TableParagraph"/>
              <w:spacing w:before="0"/>
              <w:ind w:left="732"/>
              <w:rPr>
                <w:sz w:val="21"/>
              </w:rPr>
            </w:pPr>
            <w:r>
              <w:rPr>
                <w:sz w:val="21"/>
              </w:rPr>
              <w:t>融公司到期归还所借证券及相应权益补偿并支付费用的业务。</w:t>
            </w:r>
          </w:p>
        </w:tc>
      </w:tr>
      <w:tr>
        <w:trPr>
          <w:trHeight w:val="343" w:hRule="atLeast"/>
        </w:trPr>
        <w:tc>
          <w:tcPr>
            <w:tcW w:w="1986" w:type="dxa"/>
          </w:tcPr>
          <w:p>
            <w:pPr>
              <w:pStyle w:val="TableParagraph"/>
              <w:spacing w:line="220" w:lineRule="exact" w:before="103"/>
              <w:ind w:left="200"/>
              <w:rPr>
                <w:sz w:val="21"/>
              </w:rPr>
            </w:pPr>
            <w:r>
              <w:rPr>
                <w:sz w:val="21"/>
              </w:rPr>
              <w:t>不可抗力：</w:t>
            </w:r>
          </w:p>
        </w:tc>
        <w:tc>
          <w:tcPr>
            <w:tcW w:w="6724" w:type="dxa"/>
          </w:tcPr>
          <w:p>
            <w:pPr>
              <w:pStyle w:val="TableParagraph"/>
              <w:spacing w:line="220" w:lineRule="exact" w:before="103"/>
              <w:ind w:left="732"/>
              <w:rPr>
                <w:sz w:val="21"/>
              </w:rPr>
            </w:pPr>
            <w:r>
              <w:rPr>
                <w:sz w:val="21"/>
              </w:rPr>
              <w:t>合同当事人不能预见、不能避免且不能克服的客观事件。</w:t>
            </w:r>
          </w:p>
        </w:tc>
      </w:tr>
    </w:tbl>
    <w:p>
      <w:pPr>
        <w:pStyle w:val="BodyText"/>
        <w:rPr>
          <w:rFonts w:ascii="Times New Roman"/>
          <w:sz w:val="20"/>
        </w:rPr>
      </w:pPr>
    </w:p>
    <w:p>
      <w:pPr>
        <w:pStyle w:val="BodyText"/>
        <w:spacing w:before="5"/>
        <w:rPr>
          <w:rFonts w:ascii="Times New Roman"/>
          <w:sz w:val="24"/>
        </w:rPr>
      </w:pPr>
    </w:p>
    <w:p>
      <w:pPr>
        <w:pStyle w:val="Heading1"/>
        <w:spacing w:before="66"/>
        <w:ind w:right="876"/>
      </w:pPr>
      <w:bookmarkStart w:name="_bookmark2" w:id="3"/>
      <w:bookmarkEnd w:id="3"/>
      <w:r>
        <w:rPr>
          <w:b w:val="0"/>
        </w:rPr>
      </w:r>
      <w:r>
        <w:rPr/>
        <w:t>三、基金管理人</w:t>
      </w:r>
    </w:p>
    <w:p>
      <w:pPr>
        <w:pStyle w:val="BodyText"/>
        <w:rPr>
          <w:b/>
          <w:sz w:val="20"/>
        </w:rPr>
      </w:pPr>
    </w:p>
    <w:p>
      <w:pPr>
        <w:pStyle w:val="BodyText"/>
        <w:spacing w:before="12"/>
        <w:rPr>
          <w:b/>
          <w:sz w:val="14"/>
        </w:rPr>
      </w:pPr>
    </w:p>
    <w:p>
      <w:pPr>
        <w:pStyle w:val="BodyText"/>
        <w:spacing w:before="72"/>
        <w:ind w:left="720"/>
      </w:pPr>
      <w:r>
        <w:rPr/>
        <w:t>（一）基金管理人概况</w:t>
      </w:r>
    </w:p>
    <w:p>
      <w:pPr>
        <w:pStyle w:val="BodyText"/>
        <w:spacing w:before="4"/>
        <w:rPr>
          <w:sz w:val="16"/>
        </w:rPr>
      </w:pPr>
    </w:p>
    <w:p>
      <w:pPr>
        <w:pStyle w:val="BodyText"/>
        <w:ind w:left="720"/>
      </w:pPr>
      <w:r>
        <w:rPr/>
        <w:t>名称：华夏基金管理有限公司</w:t>
      </w:r>
    </w:p>
    <w:p>
      <w:pPr>
        <w:pStyle w:val="BodyText"/>
        <w:spacing w:before="1"/>
        <w:rPr>
          <w:sz w:val="16"/>
        </w:rPr>
      </w:pPr>
    </w:p>
    <w:p>
      <w:pPr>
        <w:pStyle w:val="BodyText"/>
        <w:ind w:left="720"/>
      </w:pPr>
      <w:r>
        <w:rPr/>
        <w:t>住所：北京市顺义区安庆大街甲 </w:t>
      </w:r>
      <w:r>
        <w:rPr>
          <w:rFonts w:ascii="Times New Roman" w:eastAsia="Times New Roman"/>
        </w:rPr>
        <w:t>3 </w:t>
      </w:r>
      <w:r>
        <w:rPr/>
        <w:t>号院</w:t>
      </w:r>
    </w:p>
    <w:p>
      <w:pPr>
        <w:pStyle w:val="BodyText"/>
        <w:spacing w:before="1"/>
        <w:rPr>
          <w:sz w:val="16"/>
        </w:rPr>
      </w:pPr>
    </w:p>
    <w:p>
      <w:pPr>
        <w:pStyle w:val="BodyText"/>
        <w:spacing w:line="424" w:lineRule="auto"/>
        <w:ind w:left="720" w:right="330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24" w:lineRule="auto"/>
        <w:ind w:left="720" w:right="6870"/>
      </w:pPr>
      <w:r>
        <w:rPr/>
        <w:t>法定代表人：杨明辉联系人：邱曦</w:t>
      </w:r>
    </w:p>
    <w:p>
      <w:pPr>
        <w:pStyle w:val="BodyText"/>
        <w:spacing w:line="424" w:lineRule="auto"/>
        <w:ind w:left="720" w:right="610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ind w:left="720"/>
      </w:pPr>
      <w:r>
        <w:rPr/>
        <w:pict>
          <v:group style="position:absolute;margin-left:137.899994pt;margin-top:19.979986pt;width:319.55pt;height:114.5pt;mso-position-horizontal-relative:page;mso-position-vertical-relative:paragraph;z-index:-261688320" coordorigin="2758,400" coordsize="6391,2290">
            <v:shape style="position:absolute;left:6536;top:399;width:10;height:3" type="#_x0000_t75" stroked="false">
              <v:imagedata r:id="rId7" o:title=""/>
            </v:shape>
            <v:shape style="position:absolute;left:2758;top:402;width:6391;height:2288" type="#_x0000_t75" stroked="false">
              <v:imagedata r:id="rId8" o:title=""/>
            </v:shape>
            <w10:wrap type="none"/>
          </v:group>
        </w:pict>
      </w:r>
      <w:r>
        <w:rPr/>
        <w:t>华夏基金管理有限公司注册资本为 </w:t>
      </w:r>
      <w:r>
        <w:rPr>
          <w:rFonts w:ascii="Times New Roman" w:eastAsia="Times New Roman"/>
        </w:rPr>
        <w:t>23800 </w:t>
      </w:r>
      <w:r>
        <w:rPr/>
        <w:t>万元，公司股权结构如下：</w:t>
      </w:r>
    </w:p>
    <w:p>
      <w:pPr>
        <w:pStyle w:val="BodyText"/>
        <w:spacing w:before="9"/>
        <w:rPr>
          <w:sz w:val="7"/>
        </w:rPr>
      </w:pPr>
    </w:p>
    <w:tbl>
      <w:tblPr>
        <w:tblW w:w="0" w:type="auto"/>
        <w:jc w:val="left"/>
        <w:tblInd w:w="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7"/>
        <w:gridCol w:w="2450"/>
      </w:tblGrid>
      <w:tr>
        <w:trPr>
          <w:trHeight w:val="446" w:hRule="atLeast"/>
        </w:trPr>
        <w:tc>
          <w:tcPr>
            <w:tcW w:w="3947" w:type="dxa"/>
            <w:tcBorders>
              <w:top w:val="single" w:sz="12" w:space="0" w:color="000000"/>
            </w:tcBorders>
          </w:tcPr>
          <w:p>
            <w:pPr>
              <w:pStyle w:val="TableParagraph"/>
              <w:spacing w:before="103"/>
              <w:ind w:left="1457" w:right="1605"/>
              <w:jc w:val="center"/>
              <w:rPr>
                <w:b/>
                <w:sz w:val="21"/>
              </w:rPr>
            </w:pPr>
            <w:r>
              <w:rPr>
                <w:b/>
                <w:sz w:val="21"/>
              </w:rPr>
              <w:t>持股单位</w:t>
            </w:r>
          </w:p>
        </w:tc>
        <w:tc>
          <w:tcPr>
            <w:tcW w:w="2450" w:type="dxa"/>
            <w:tcBorders>
              <w:top w:val="single" w:sz="12" w:space="0" w:color="000000"/>
            </w:tcBorders>
          </w:tcPr>
          <w:p>
            <w:pPr>
              <w:pStyle w:val="TableParagraph"/>
              <w:spacing w:before="103"/>
              <w:ind w:left="284" w:right="438"/>
              <w:jc w:val="center"/>
              <w:rPr>
                <w:b/>
                <w:sz w:val="21"/>
              </w:rPr>
            </w:pPr>
            <w:r>
              <w:rPr>
                <w:b/>
                <w:sz w:val="21"/>
              </w:rPr>
              <w:t>持股占总股本比例</w:t>
            </w:r>
          </w:p>
        </w:tc>
      </w:tr>
      <w:tr>
        <w:trPr>
          <w:trHeight w:val="383" w:hRule="atLeast"/>
        </w:trPr>
        <w:tc>
          <w:tcPr>
            <w:tcW w:w="3947" w:type="dxa"/>
          </w:tcPr>
          <w:p>
            <w:pPr>
              <w:pStyle w:val="TableParagraph"/>
              <w:spacing w:before="84"/>
              <w:ind w:left="115"/>
              <w:rPr>
                <w:sz w:val="21"/>
              </w:rPr>
            </w:pPr>
            <w:r>
              <w:rPr>
                <w:sz w:val="21"/>
              </w:rPr>
              <w:t>中信证券股份有限公司</w:t>
            </w:r>
          </w:p>
        </w:tc>
        <w:tc>
          <w:tcPr>
            <w:tcW w:w="2450" w:type="dxa"/>
          </w:tcPr>
          <w:p>
            <w:pPr>
              <w:pStyle w:val="TableParagraph"/>
              <w:spacing w:before="95"/>
              <w:ind w:left="284" w:right="435"/>
              <w:jc w:val="center"/>
              <w:rPr>
                <w:rFonts w:ascii="Times New Roman"/>
                <w:sz w:val="21"/>
              </w:rPr>
            </w:pPr>
            <w:r>
              <w:rPr>
                <w:rFonts w:ascii="Times New Roman"/>
                <w:sz w:val="21"/>
              </w:rPr>
              <w:t>62.2%</w:t>
            </w:r>
          </w:p>
        </w:tc>
      </w:tr>
      <w:tr>
        <w:trPr>
          <w:trHeight w:val="326" w:hRule="atLeast"/>
        </w:trPr>
        <w:tc>
          <w:tcPr>
            <w:tcW w:w="3947" w:type="dxa"/>
          </w:tcPr>
          <w:p>
            <w:pPr>
              <w:pStyle w:val="TableParagraph"/>
              <w:spacing w:before="38"/>
              <w:ind w:left="115"/>
              <w:rPr>
                <w:rFonts w:ascii="Times New Roman"/>
                <w:sz w:val="21"/>
              </w:rPr>
            </w:pPr>
            <w:r>
              <w:rPr>
                <w:rFonts w:ascii="Times New Roman"/>
                <w:sz w:val="21"/>
              </w:rPr>
              <w:t>POWER CORPORATION OF CANADA</w:t>
            </w:r>
          </w:p>
        </w:tc>
        <w:tc>
          <w:tcPr>
            <w:tcW w:w="2450" w:type="dxa"/>
          </w:tcPr>
          <w:p>
            <w:pPr>
              <w:pStyle w:val="TableParagraph"/>
              <w:spacing w:before="38"/>
              <w:ind w:left="284" w:right="435"/>
              <w:jc w:val="center"/>
              <w:rPr>
                <w:rFonts w:ascii="Times New Roman"/>
                <w:sz w:val="21"/>
              </w:rPr>
            </w:pPr>
            <w:r>
              <w:rPr>
                <w:rFonts w:ascii="Times New Roman"/>
                <w:sz w:val="21"/>
              </w:rPr>
              <w:t>13.9%</w:t>
            </w:r>
          </w:p>
        </w:tc>
      </w:tr>
      <w:tr>
        <w:trPr>
          <w:trHeight w:val="327" w:hRule="atLeast"/>
        </w:trPr>
        <w:tc>
          <w:tcPr>
            <w:tcW w:w="3947" w:type="dxa"/>
          </w:tcPr>
          <w:p>
            <w:pPr>
              <w:pStyle w:val="TableParagraph"/>
              <w:spacing w:before="54"/>
              <w:ind w:left="115"/>
              <w:rPr>
                <w:rFonts w:ascii="Times New Roman"/>
                <w:sz w:val="18"/>
              </w:rPr>
            </w:pPr>
            <w:r>
              <w:rPr>
                <w:rFonts w:ascii="Times New Roman"/>
                <w:sz w:val="18"/>
              </w:rPr>
              <w:t>MACKENZIE FINANCIAL CORPORATION</w:t>
            </w:r>
          </w:p>
        </w:tc>
        <w:tc>
          <w:tcPr>
            <w:tcW w:w="2450" w:type="dxa"/>
          </w:tcPr>
          <w:p>
            <w:pPr>
              <w:pStyle w:val="TableParagraph"/>
              <w:spacing w:before="38"/>
              <w:ind w:left="284" w:right="435"/>
              <w:jc w:val="center"/>
              <w:rPr>
                <w:rFonts w:ascii="Times New Roman"/>
                <w:sz w:val="21"/>
              </w:rPr>
            </w:pPr>
            <w:r>
              <w:rPr>
                <w:rFonts w:ascii="Times New Roman"/>
                <w:sz w:val="21"/>
              </w:rPr>
              <w:t>13.9%</w:t>
            </w:r>
          </w:p>
        </w:tc>
      </w:tr>
      <w:tr>
        <w:trPr>
          <w:trHeight w:val="369" w:hRule="atLeast"/>
        </w:trPr>
        <w:tc>
          <w:tcPr>
            <w:tcW w:w="3947" w:type="dxa"/>
          </w:tcPr>
          <w:p>
            <w:pPr>
              <w:pStyle w:val="TableParagraph"/>
              <w:spacing w:before="28"/>
              <w:ind w:left="115"/>
              <w:rPr>
                <w:sz w:val="21"/>
              </w:rPr>
            </w:pPr>
            <w:r>
              <w:rPr>
                <w:sz w:val="21"/>
              </w:rPr>
              <w:t>天津海鹏科技咨询有限公司</w:t>
            </w:r>
          </w:p>
        </w:tc>
        <w:tc>
          <w:tcPr>
            <w:tcW w:w="2450" w:type="dxa"/>
          </w:tcPr>
          <w:p>
            <w:pPr>
              <w:pStyle w:val="TableParagraph"/>
              <w:spacing w:before="39"/>
              <w:ind w:left="284" w:right="435"/>
              <w:jc w:val="center"/>
              <w:rPr>
                <w:rFonts w:ascii="Times New Roman"/>
                <w:sz w:val="21"/>
              </w:rPr>
            </w:pPr>
            <w:r>
              <w:rPr>
                <w:rFonts w:ascii="Times New Roman"/>
                <w:sz w:val="21"/>
              </w:rPr>
              <w:t>10%</w:t>
            </w:r>
          </w:p>
        </w:tc>
      </w:tr>
      <w:tr>
        <w:trPr>
          <w:trHeight w:val="434" w:hRule="atLeast"/>
        </w:trPr>
        <w:tc>
          <w:tcPr>
            <w:tcW w:w="3947" w:type="dxa"/>
            <w:tcBorders>
              <w:bottom w:val="single" w:sz="12" w:space="0" w:color="000000"/>
            </w:tcBorders>
          </w:tcPr>
          <w:p>
            <w:pPr>
              <w:pStyle w:val="TableParagraph"/>
              <w:spacing w:before="64"/>
              <w:ind w:left="1457" w:right="1605"/>
              <w:jc w:val="center"/>
              <w:rPr>
                <w:b/>
                <w:sz w:val="21"/>
              </w:rPr>
            </w:pPr>
            <w:r>
              <w:rPr>
                <w:b/>
                <w:sz w:val="21"/>
              </w:rPr>
              <w:t>合计</w:t>
            </w:r>
          </w:p>
        </w:tc>
        <w:tc>
          <w:tcPr>
            <w:tcW w:w="2450" w:type="dxa"/>
            <w:tcBorders>
              <w:bottom w:val="single" w:sz="12" w:space="0" w:color="000000"/>
            </w:tcBorders>
          </w:tcPr>
          <w:p>
            <w:pPr>
              <w:pStyle w:val="TableParagraph"/>
              <w:spacing w:before="80"/>
              <w:ind w:left="284" w:right="438"/>
              <w:jc w:val="center"/>
              <w:rPr>
                <w:rFonts w:ascii="Times New Roman"/>
                <w:b/>
                <w:sz w:val="21"/>
              </w:rPr>
            </w:pPr>
            <w:r>
              <w:rPr>
                <w:rFonts w:ascii="Times New Roman"/>
                <w:b/>
                <w:sz w:val="21"/>
              </w:rPr>
              <w:t>100%</w:t>
            </w:r>
          </w:p>
        </w:tc>
      </w:tr>
    </w:tbl>
    <w:p>
      <w:pPr>
        <w:pStyle w:val="BodyText"/>
        <w:spacing w:before="105"/>
        <w:ind w:left="720"/>
      </w:pPr>
      <w:r>
        <w:rPr/>
        <w:t>（二）主要人员情况</w:t>
      </w:r>
    </w:p>
    <w:p>
      <w:pPr>
        <w:pStyle w:val="BodyText"/>
        <w:spacing w:before="3"/>
        <w:rPr>
          <w:sz w:val="16"/>
        </w:rPr>
      </w:pPr>
    </w:p>
    <w:p>
      <w:pPr>
        <w:pStyle w:val="BodyText"/>
        <w:ind w:left="720"/>
      </w:pPr>
      <w:r>
        <w:rPr>
          <w:rFonts w:ascii="Times New Roman" w:eastAsia="Times New Roman"/>
        </w:rPr>
        <w:t>1</w:t>
      </w:r>
      <w:r>
        <w:rPr/>
        <w:t>、基金管理人董事、监事、经理及其他高级管理人员基本情况</w:t>
      </w:r>
    </w:p>
    <w:p>
      <w:pPr>
        <w:pStyle w:val="BodyText"/>
        <w:spacing w:before="1"/>
        <w:rPr>
          <w:sz w:val="16"/>
        </w:rPr>
      </w:pPr>
    </w:p>
    <w:p>
      <w:pPr>
        <w:pStyle w:val="BodyText"/>
        <w:spacing w:line="424" w:lineRule="auto" w:before="1"/>
        <w:ind w:left="300" w:right="87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24" w:lineRule="auto"/>
        <w:ind w:left="300" w:right="87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267" w:lineRule="exact"/>
        <w:ind w:left="720"/>
      </w:pPr>
      <w:r>
        <w:rPr/>
        <w:t>翟海涛先生：董事，硕士。现任春华资本集团总裁、合伙人，兼任中国光大国际有限公</w:t>
      </w:r>
    </w:p>
    <w:p>
      <w:pPr>
        <w:spacing w:after="0" w:line="267" w:lineRule="exact"/>
        <w:sectPr>
          <w:pgSz w:w="11910" w:h="16840"/>
          <w:pgMar w:header="701" w:footer="683" w:top="1420" w:bottom="880" w:left="1500" w:right="920"/>
        </w:sectPr>
      </w:pPr>
    </w:p>
    <w:p>
      <w:pPr>
        <w:pStyle w:val="BodyText"/>
        <w:spacing w:line="424" w:lineRule="auto" w:before="115"/>
        <w:ind w:left="300" w:right="871"/>
        <w:jc w:val="both"/>
      </w:pPr>
      <w:r>
        <w:rPr>
          <w:spacing w:val="-12"/>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24" w:lineRule="auto"/>
        <w:ind w:left="300" w:right="87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24" w:lineRule="auto"/>
        <w:ind w:left="300" w:right="76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24" w:lineRule="auto"/>
        <w:ind w:left="300" w:right="87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24" w:lineRule="auto"/>
        <w:ind w:left="300" w:right="87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24" w:lineRule="auto"/>
        <w:ind w:left="300" w:right="87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24" w:lineRule="auto"/>
        <w:ind w:left="300" w:right="76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5" w:lineRule="exact"/>
        <w:ind w:left="720"/>
      </w:pPr>
      <w:r>
        <w:rPr/>
        <w:t>杨一夫先生：监事长，硕士。现任鲍尔太平有限公司总裁，负责总部加拿大鲍尔公司</w:t>
      </w:r>
    </w:p>
    <w:p>
      <w:pPr>
        <w:spacing w:after="0" w:line="265" w:lineRule="exact"/>
        <w:sectPr>
          <w:pgSz w:w="11910" w:h="16840"/>
          <w:pgMar w:header="701" w:footer="683" w:top="1420" w:bottom="880" w:left="1500" w:right="920"/>
        </w:sectPr>
      </w:pPr>
    </w:p>
    <w:p>
      <w:pPr>
        <w:pStyle w:val="BodyText"/>
        <w:spacing w:line="424" w:lineRule="auto" w:before="115"/>
        <w:ind w:left="300" w:right="87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24" w:lineRule="auto"/>
        <w:ind w:left="300" w:right="87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24" w:lineRule="auto"/>
        <w:ind w:left="300" w:right="87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24" w:lineRule="auto"/>
        <w:ind w:left="300" w:right="87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24" w:lineRule="auto"/>
        <w:ind w:left="300" w:right="76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27" w:lineRule="auto"/>
        <w:ind w:left="300" w:right="87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24" w:lineRule="auto"/>
        <w:ind w:left="300" w:right="87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24" w:lineRule="auto"/>
        <w:ind w:left="300" w:right="767"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24" w:lineRule="auto"/>
        <w:ind w:left="300" w:right="76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24" w:lineRule="auto"/>
        <w:ind w:left="300" w:right="76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6" w:lineRule="exact"/>
        <w:ind w:left="720"/>
      </w:pPr>
      <w:r>
        <w:rPr>
          <w:rFonts w:ascii="Times New Roman" w:eastAsia="Times New Roman"/>
        </w:rPr>
        <w:t>2</w:t>
      </w:r>
      <w:r>
        <w:rPr/>
        <w:t>、本基金基金经理</w:t>
      </w:r>
    </w:p>
    <w:p>
      <w:pPr>
        <w:spacing w:after="0" w:line="266" w:lineRule="exact"/>
        <w:sectPr>
          <w:pgSz w:w="11910" w:h="16840"/>
          <w:pgMar w:header="701" w:footer="683" w:top="1420" w:bottom="880" w:left="1500" w:right="920"/>
        </w:sectPr>
      </w:pPr>
    </w:p>
    <w:p>
      <w:pPr>
        <w:pStyle w:val="BodyText"/>
        <w:spacing w:line="424" w:lineRule="auto" w:before="115"/>
        <w:ind w:left="300" w:right="662" w:firstLine="482"/>
      </w:pPr>
      <w:r>
        <w:rPr/>
        <w:t>张弘弢先生，硕士。</w:t>
      </w:r>
      <w:r>
        <w:rPr>
          <w:rFonts w:ascii="Times New Roman" w:eastAsia="Times New Roman"/>
        </w:rPr>
        <w:t>2000</w:t>
      </w:r>
      <w:r>
        <w:rPr/>
        <w:t>年</w:t>
      </w:r>
      <w:r>
        <w:rPr>
          <w:rFonts w:ascii="Times New Roman" w:eastAsia="Times New Roman"/>
        </w:rPr>
        <w:t>4</w:t>
      </w:r>
      <w:r>
        <w:rPr/>
        <w:t>月加入华夏基金管理有限公司，曾任研究发展部总经理、</w:t>
      </w:r>
      <w:r>
        <w:rPr>
          <w:spacing w:val="-3"/>
        </w:rPr>
        <w:t>数量投资部副总经理、上证能源交易型开放式指数发起式证券投资基金基金经理</w:t>
      </w:r>
      <w:r>
        <w:rPr/>
        <w:t>（</w:t>
      </w:r>
      <w:r>
        <w:rPr>
          <w:rFonts w:ascii="Times New Roman" w:eastAsia="Times New Roman"/>
        </w:rPr>
        <w:t>2013</w:t>
      </w:r>
      <w:r>
        <w:rPr>
          <w:spacing w:val="-3"/>
        </w:rPr>
        <w:t>年</w:t>
      </w:r>
      <w:r>
        <w:rPr>
          <w:rFonts w:ascii="Times New Roman" w:eastAsia="Times New Roman"/>
        </w:rPr>
        <w:t>3  </w:t>
      </w:r>
      <w:r>
        <w:rPr/>
        <w:t>月</w:t>
      </w:r>
      <w:r>
        <w:rPr>
          <w:rFonts w:ascii="Times New Roman" w:eastAsia="Times New Roman"/>
        </w:rPr>
        <w:t>28</w:t>
      </w:r>
      <w:r>
        <w:rPr>
          <w:spacing w:val="-2"/>
        </w:rPr>
        <w:t>日至</w:t>
      </w:r>
      <w:r>
        <w:rPr>
          <w:rFonts w:ascii="Times New Roman" w:eastAsia="Times New Roman"/>
        </w:rPr>
        <w:t>2016</w:t>
      </w:r>
      <w:r>
        <w:rPr>
          <w:spacing w:val="-3"/>
        </w:rPr>
        <w:t>年</w:t>
      </w:r>
      <w:r>
        <w:rPr>
          <w:rFonts w:ascii="Times New Roman" w:eastAsia="Times New Roman"/>
        </w:rPr>
        <w:t>3</w:t>
      </w:r>
      <w:r>
        <w:rPr/>
        <w:t>月</w:t>
      </w:r>
      <w:r>
        <w:rPr>
          <w:rFonts w:ascii="Times New Roman" w:eastAsia="Times New Roman"/>
        </w:rPr>
        <w:t>28</w:t>
      </w:r>
      <w:r>
        <w:rPr>
          <w:spacing w:val="-2"/>
        </w:rPr>
        <w:t>日期间</w:t>
      </w:r>
      <w:r>
        <w:rPr>
          <w:spacing w:val="-106"/>
        </w:rPr>
        <w:t>）</w:t>
      </w:r>
      <w:r>
        <w:rPr>
          <w:spacing w:val="-11"/>
        </w:rPr>
        <w:t>、恒生交易型开放式指数证券投资基金基金经理</w:t>
      </w:r>
      <w:r>
        <w:rPr/>
        <w:t>（</w:t>
      </w:r>
      <w:r>
        <w:rPr>
          <w:rFonts w:ascii="Times New Roman" w:eastAsia="Times New Roman"/>
        </w:rPr>
        <w:t>2012</w:t>
      </w:r>
      <w:r>
        <w:rPr/>
        <w:t>年</w:t>
      </w:r>
      <w:r>
        <w:rPr>
          <w:rFonts w:ascii="Times New Roman" w:eastAsia="Times New Roman"/>
        </w:rPr>
        <w:t>8</w:t>
      </w:r>
      <w:r>
        <w:rPr>
          <w:spacing w:val="-3"/>
        </w:rPr>
        <w:t>月</w:t>
      </w:r>
      <w:r>
        <w:rPr>
          <w:rFonts w:ascii="Times New Roman" w:eastAsia="Times New Roman"/>
        </w:rPr>
        <w:t>9  </w:t>
      </w:r>
      <w:r>
        <w:rPr/>
        <w:t>日至</w:t>
      </w:r>
      <w:r>
        <w:rPr>
          <w:rFonts w:ascii="Times New Roman" w:eastAsia="Times New Roman"/>
        </w:rPr>
        <w:t>2017</w:t>
      </w:r>
      <w:r>
        <w:rPr/>
        <w:t>年</w:t>
      </w:r>
      <w:r>
        <w:rPr>
          <w:rFonts w:ascii="Times New Roman" w:eastAsia="Times New Roman"/>
          <w:spacing w:val="-4"/>
        </w:rPr>
        <w:t>11</w:t>
      </w:r>
      <w:r>
        <w:rPr>
          <w:spacing w:val="-3"/>
        </w:rPr>
        <w:t>月</w:t>
      </w:r>
      <w:r>
        <w:rPr>
          <w:rFonts w:ascii="Times New Roman" w:eastAsia="Times New Roman"/>
        </w:rPr>
        <w:t>10</w:t>
      </w:r>
      <w:r>
        <w:rPr>
          <w:spacing w:val="-2"/>
        </w:rPr>
        <w:t>日期间</w:t>
      </w:r>
      <w:r>
        <w:rPr>
          <w:spacing w:val="-108"/>
        </w:rPr>
        <w:t>）</w:t>
      </w:r>
      <w:r>
        <w:rPr>
          <w:spacing w:val="-3"/>
        </w:rPr>
        <w:t>、恒生交易型开放式指数证券投资基金联接基金基金经理</w:t>
      </w:r>
      <w:r>
        <w:rPr/>
        <w:t>（</w:t>
      </w:r>
      <w:r>
        <w:rPr>
          <w:rFonts w:ascii="Times New Roman" w:eastAsia="Times New Roman"/>
        </w:rPr>
        <w:t>2012  </w:t>
      </w:r>
      <w:r>
        <w:rPr/>
        <w:t>年</w:t>
      </w:r>
      <w:r>
        <w:rPr>
          <w:rFonts w:ascii="Times New Roman" w:eastAsia="Times New Roman"/>
        </w:rPr>
        <w:t>8</w:t>
      </w:r>
      <w:r>
        <w:rPr/>
        <w:t>月</w:t>
      </w:r>
      <w:r>
        <w:rPr>
          <w:rFonts w:ascii="Times New Roman" w:eastAsia="Times New Roman"/>
        </w:rPr>
        <w:t>21</w:t>
      </w:r>
      <w:r>
        <w:rPr>
          <w:spacing w:val="-2"/>
        </w:rPr>
        <w:t>日至</w:t>
      </w:r>
      <w:r>
        <w:rPr>
          <w:rFonts w:ascii="Times New Roman" w:eastAsia="Times New Roman"/>
        </w:rPr>
        <w:t>2017</w:t>
      </w:r>
      <w:r>
        <w:rPr>
          <w:spacing w:val="-3"/>
        </w:rPr>
        <w:t>年</w:t>
      </w:r>
      <w:r>
        <w:rPr>
          <w:rFonts w:ascii="Times New Roman" w:eastAsia="Times New Roman"/>
          <w:spacing w:val="-4"/>
        </w:rPr>
        <w:t>11</w:t>
      </w:r>
      <w:r>
        <w:rPr>
          <w:spacing w:val="-3"/>
        </w:rPr>
        <w:t>月</w:t>
      </w:r>
      <w:r>
        <w:rPr>
          <w:rFonts w:ascii="Times New Roman" w:eastAsia="Times New Roman"/>
        </w:rPr>
        <w:t>10</w:t>
      </w:r>
      <w:r>
        <w:rPr>
          <w:spacing w:val="-1"/>
        </w:rPr>
        <w:t>日期间</w:t>
      </w:r>
      <w:r>
        <w:rPr>
          <w:spacing w:val="-106"/>
        </w:rPr>
        <w:t>）</w:t>
      </w:r>
      <w:r>
        <w:rPr>
          <w:spacing w:val="-11"/>
        </w:rPr>
        <w:t>、华夏沪港通恒生交易型开放式指数证券投资基金基金经 理（</w:t>
      </w:r>
      <w:r>
        <w:rPr>
          <w:rFonts w:ascii="Times New Roman" w:eastAsia="Times New Roman"/>
          <w:spacing w:val="-11"/>
        </w:rPr>
        <w:t>2014</w:t>
      </w:r>
      <w:r>
        <w:rPr>
          <w:spacing w:val="-11"/>
        </w:rPr>
        <w:t>年</w:t>
      </w:r>
      <w:r>
        <w:rPr>
          <w:rFonts w:ascii="Times New Roman" w:eastAsia="Times New Roman"/>
          <w:spacing w:val="-11"/>
        </w:rPr>
        <w:t>12</w:t>
      </w:r>
      <w:r>
        <w:rPr>
          <w:spacing w:val="-11"/>
        </w:rPr>
        <w:t>月</w:t>
      </w:r>
      <w:r>
        <w:rPr>
          <w:rFonts w:ascii="Times New Roman" w:eastAsia="Times New Roman"/>
          <w:spacing w:val="-11"/>
        </w:rPr>
        <w:t>23</w:t>
      </w:r>
      <w:r>
        <w:rPr>
          <w:spacing w:val="-11"/>
        </w:rPr>
        <w:t>日至</w:t>
      </w:r>
      <w:r>
        <w:rPr>
          <w:rFonts w:ascii="Times New Roman" w:eastAsia="Times New Roman"/>
          <w:spacing w:val="-11"/>
        </w:rPr>
        <w:t>2017</w:t>
      </w:r>
      <w:r>
        <w:rPr>
          <w:spacing w:val="-11"/>
        </w:rPr>
        <w:t>年</w:t>
      </w:r>
      <w:r>
        <w:rPr>
          <w:rFonts w:ascii="Times New Roman" w:eastAsia="Times New Roman"/>
          <w:spacing w:val="-4"/>
        </w:rPr>
        <w:t>11</w:t>
      </w:r>
      <w:r>
        <w:rPr/>
        <w:t>月</w:t>
      </w:r>
      <w:r>
        <w:rPr>
          <w:rFonts w:ascii="Times New Roman" w:eastAsia="Times New Roman"/>
        </w:rPr>
        <w:t>10</w:t>
      </w:r>
      <w:r>
        <w:rPr/>
        <w:t>日期间</w:t>
      </w:r>
      <w:r>
        <w:rPr>
          <w:spacing w:val="-108"/>
        </w:rPr>
        <w:t>）</w:t>
      </w:r>
      <w:r>
        <w:rPr>
          <w:spacing w:val="-3"/>
        </w:rPr>
        <w:t>、华夏沪港通恒生交易型开放式指数证券投资 基金联接基金基金经理（</w:t>
      </w:r>
      <w:r>
        <w:rPr>
          <w:rFonts w:ascii="Times New Roman" w:eastAsia="Times New Roman"/>
          <w:spacing w:val="-3"/>
        </w:rPr>
        <w:t>2015</w:t>
      </w:r>
      <w:r>
        <w:rPr>
          <w:spacing w:val="-3"/>
        </w:rPr>
        <w:t>年</w:t>
      </w:r>
      <w:r>
        <w:rPr>
          <w:rFonts w:ascii="Times New Roman" w:eastAsia="Times New Roman"/>
          <w:spacing w:val="-3"/>
        </w:rPr>
        <w:t>1</w:t>
      </w:r>
      <w:r>
        <w:rPr>
          <w:spacing w:val="-3"/>
        </w:rPr>
        <w:t>月</w:t>
      </w:r>
      <w:r>
        <w:rPr>
          <w:rFonts w:ascii="Times New Roman" w:eastAsia="Times New Roman"/>
          <w:spacing w:val="-3"/>
        </w:rPr>
        <w:t>13</w:t>
      </w:r>
      <w:r>
        <w:rPr>
          <w:spacing w:val="-3"/>
        </w:rPr>
        <w:t>日至</w:t>
      </w:r>
      <w:r>
        <w:rPr>
          <w:rFonts w:ascii="Times New Roman" w:eastAsia="Times New Roman"/>
          <w:spacing w:val="-3"/>
        </w:rPr>
        <w:t>2017</w:t>
      </w:r>
      <w:r>
        <w:rPr>
          <w:spacing w:val="-3"/>
        </w:rPr>
        <w:t>年</w:t>
      </w:r>
      <w:r>
        <w:rPr>
          <w:rFonts w:ascii="Times New Roman" w:eastAsia="Times New Roman"/>
          <w:spacing w:val="-4"/>
        </w:rPr>
        <w:t>11</w:t>
      </w:r>
      <w:r>
        <w:rPr/>
        <w:t>月</w:t>
      </w:r>
      <w:r>
        <w:rPr>
          <w:rFonts w:ascii="Times New Roman" w:eastAsia="Times New Roman"/>
        </w:rPr>
        <w:t>10</w:t>
      </w:r>
      <w:r>
        <w:rPr/>
        <w:t>日期间</w:t>
      </w:r>
      <w:r>
        <w:rPr>
          <w:spacing w:val="-104"/>
        </w:rPr>
        <w:t>）</w:t>
      </w:r>
      <w:r>
        <w:rPr/>
        <w:t>、</w:t>
      </w:r>
      <w:r>
        <w:rPr>
          <w:rFonts w:ascii="Times New Roman" w:eastAsia="Times New Roman"/>
        </w:rPr>
        <w:t>MSCI</w:t>
      </w:r>
      <w:r>
        <w:rPr/>
        <w:t>中国</w:t>
      </w:r>
      <w:r>
        <w:rPr>
          <w:rFonts w:ascii="Times New Roman" w:eastAsia="Times New Roman"/>
          <w:spacing w:val="3"/>
        </w:rPr>
        <w:t>A</w:t>
      </w:r>
      <w:r>
        <w:rPr/>
        <w:t>股交易型开 放式指数证券投资基金基金经理（</w:t>
      </w:r>
      <w:r>
        <w:rPr>
          <w:rFonts w:ascii="Times New Roman" w:eastAsia="Times New Roman"/>
        </w:rPr>
        <w:t>2015</w:t>
      </w:r>
      <w:r>
        <w:rPr/>
        <w:t>年</w:t>
      </w:r>
      <w:r>
        <w:rPr>
          <w:rFonts w:ascii="Times New Roman" w:eastAsia="Times New Roman"/>
        </w:rPr>
        <w:t>2</w:t>
      </w:r>
      <w:r>
        <w:rPr/>
        <w:t>月</w:t>
      </w:r>
      <w:r>
        <w:rPr>
          <w:rFonts w:ascii="Times New Roman" w:eastAsia="Times New Roman"/>
        </w:rPr>
        <w:t>12</w:t>
      </w:r>
      <w:r>
        <w:rPr/>
        <w:t>日至</w:t>
      </w:r>
      <w:r>
        <w:rPr>
          <w:rFonts w:ascii="Times New Roman" w:eastAsia="Times New Roman"/>
        </w:rPr>
        <w:t>2017</w:t>
      </w:r>
      <w:r>
        <w:rPr/>
        <w:t>年</w:t>
      </w:r>
      <w:r>
        <w:rPr>
          <w:rFonts w:ascii="Times New Roman" w:eastAsia="Times New Roman"/>
          <w:spacing w:val="-4"/>
        </w:rPr>
        <w:t>11</w:t>
      </w:r>
      <w:r>
        <w:rPr/>
        <w:t>月</w:t>
      </w:r>
      <w:r>
        <w:rPr>
          <w:rFonts w:ascii="Times New Roman" w:eastAsia="Times New Roman"/>
        </w:rPr>
        <w:t>10</w:t>
      </w:r>
      <w:r>
        <w:rPr/>
        <w:t>日期间</w:t>
      </w:r>
      <w:r>
        <w:rPr>
          <w:spacing w:val="-104"/>
        </w:rPr>
        <w:t>）</w:t>
      </w:r>
      <w:r>
        <w:rPr>
          <w:spacing w:val="3"/>
        </w:rPr>
        <w:t>、</w:t>
      </w:r>
      <w:r>
        <w:rPr>
          <w:rFonts w:ascii="Times New Roman" w:eastAsia="Times New Roman"/>
        </w:rPr>
        <w:t>MSCI</w:t>
      </w:r>
      <w:r>
        <w:rPr/>
        <w:t>中国</w:t>
      </w:r>
      <w:r>
        <w:rPr>
          <w:rFonts w:ascii="Times New Roman" w:eastAsia="Times New Roman"/>
          <w:spacing w:val="3"/>
        </w:rPr>
        <w:t>A</w:t>
      </w:r>
      <w:r>
        <w:rPr/>
        <w:t>股 </w:t>
      </w:r>
      <w:r>
        <w:rPr>
          <w:spacing w:val="-7"/>
        </w:rPr>
        <w:t>交易型开放式指数证券投资基金联接基金基金经理</w:t>
      </w:r>
      <w:r>
        <w:rPr/>
        <w:t>（</w:t>
      </w:r>
      <w:r>
        <w:rPr>
          <w:rFonts w:ascii="Times New Roman" w:eastAsia="Times New Roman"/>
        </w:rPr>
        <w:t>2015</w:t>
      </w:r>
      <w:r>
        <w:rPr>
          <w:spacing w:val="-3"/>
        </w:rPr>
        <w:t>年</w:t>
      </w:r>
      <w:r>
        <w:rPr>
          <w:rFonts w:ascii="Times New Roman" w:eastAsia="Times New Roman"/>
        </w:rPr>
        <w:t>2</w:t>
      </w:r>
      <w:r>
        <w:rPr/>
        <w:t>月</w:t>
      </w:r>
      <w:r>
        <w:rPr>
          <w:rFonts w:ascii="Times New Roman" w:eastAsia="Times New Roman"/>
        </w:rPr>
        <w:t>12</w:t>
      </w:r>
      <w:r>
        <w:rPr>
          <w:spacing w:val="-2"/>
        </w:rPr>
        <w:t>日至</w:t>
      </w:r>
      <w:r>
        <w:rPr>
          <w:rFonts w:ascii="Times New Roman" w:eastAsia="Times New Roman"/>
        </w:rPr>
        <w:t>2017</w:t>
      </w:r>
      <w:r>
        <w:rPr>
          <w:spacing w:val="-3"/>
        </w:rPr>
        <w:t>年</w:t>
      </w:r>
      <w:r>
        <w:rPr>
          <w:rFonts w:ascii="Times New Roman" w:eastAsia="Times New Roman"/>
          <w:spacing w:val="-5"/>
        </w:rPr>
        <w:t>11</w:t>
      </w:r>
      <w:r>
        <w:rPr/>
        <w:t>月</w:t>
      </w:r>
      <w:r>
        <w:rPr>
          <w:rFonts w:ascii="Times New Roman" w:eastAsia="Times New Roman"/>
        </w:rPr>
        <w:t>10</w:t>
      </w:r>
      <w:r>
        <w:rPr>
          <w:spacing w:val="-3"/>
        </w:rPr>
        <w:t>日期间</w:t>
      </w:r>
      <w:r>
        <w:rPr>
          <w:spacing w:val="-106"/>
        </w:rPr>
        <w:t>）</w:t>
      </w:r>
      <w:r>
        <w:rPr/>
        <w:t>、</w:t>
      </w:r>
      <w:r>
        <w:rPr>
          <w:spacing w:val="-3"/>
        </w:rPr>
        <w:t>华夏睿磐泰利六个月定期开放混合型证券投资基金基金经理</w:t>
      </w:r>
      <w:r>
        <w:rPr/>
        <w:t>（</w:t>
      </w:r>
      <w:r>
        <w:rPr>
          <w:rFonts w:ascii="Times New Roman" w:eastAsia="Times New Roman"/>
        </w:rPr>
        <w:t>2017</w:t>
      </w:r>
      <w:r>
        <w:rPr/>
        <w:t>年</w:t>
      </w:r>
      <w:r>
        <w:rPr>
          <w:rFonts w:ascii="Times New Roman" w:eastAsia="Times New Roman"/>
        </w:rPr>
        <w:t>12</w:t>
      </w:r>
      <w:r>
        <w:rPr/>
        <w:t>月</w:t>
      </w:r>
      <w:r>
        <w:rPr>
          <w:rFonts w:ascii="Times New Roman" w:eastAsia="Times New Roman"/>
        </w:rPr>
        <w:t>27</w:t>
      </w:r>
      <w:r>
        <w:rPr/>
        <w:t>日至</w:t>
      </w:r>
      <w:r>
        <w:rPr>
          <w:rFonts w:ascii="Times New Roman" w:eastAsia="Times New Roman"/>
        </w:rPr>
        <w:t>2019</w:t>
      </w:r>
      <w:r>
        <w:rPr/>
        <w:t>年</w:t>
      </w:r>
      <w:r>
        <w:rPr>
          <w:rFonts w:ascii="Times New Roman" w:eastAsia="Times New Roman"/>
          <w:spacing w:val="-3"/>
        </w:rPr>
        <w:t>2</w:t>
      </w:r>
      <w:r>
        <w:rPr/>
        <w:t>月 </w:t>
      </w:r>
      <w:r>
        <w:rPr>
          <w:rFonts w:ascii="Times New Roman" w:eastAsia="Times New Roman"/>
        </w:rPr>
        <w:t>26</w:t>
      </w:r>
      <w:r>
        <w:rPr>
          <w:spacing w:val="-1"/>
        </w:rPr>
        <w:t>日期间</w:t>
      </w:r>
      <w:r>
        <w:rPr/>
        <w:t>）</w:t>
      </w:r>
      <w:r>
        <w:rPr>
          <w:spacing w:val="-3"/>
        </w:rPr>
        <w:t>等，现任华夏基金管理有限公司董事总经理，华夏沪深</w:t>
      </w:r>
      <w:r>
        <w:rPr>
          <w:rFonts w:ascii="Times New Roman" w:eastAsia="Times New Roman"/>
        </w:rPr>
        <w:t>300</w:t>
      </w:r>
      <w:r>
        <w:rPr>
          <w:spacing w:val="-2"/>
        </w:rPr>
        <w:t>交易型开放式指数证 </w:t>
      </w:r>
      <w:r>
        <w:rPr>
          <w:spacing w:val="-3"/>
        </w:rPr>
        <w:t>券投资基金联接基金基金经理</w:t>
      </w:r>
      <w:r>
        <w:rPr/>
        <w:t>（</w:t>
      </w:r>
      <w:r>
        <w:rPr>
          <w:rFonts w:ascii="Times New Roman" w:eastAsia="Times New Roman"/>
        </w:rPr>
        <w:t>2009</w:t>
      </w:r>
      <w:r>
        <w:rPr/>
        <w:t>年</w:t>
      </w:r>
      <w:r>
        <w:rPr>
          <w:rFonts w:ascii="Times New Roman" w:eastAsia="Times New Roman"/>
          <w:spacing w:val="-3"/>
        </w:rPr>
        <w:t>7</w:t>
      </w:r>
      <w:r>
        <w:rPr/>
        <w:t>月</w:t>
      </w:r>
      <w:r>
        <w:rPr>
          <w:rFonts w:ascii="Times New Roman" w:eastAsia="Times New Roman"/>
        </w:rPr>
        <w:t>10</w:t>
      </w:r>
      <w:r>
        <w:rPr>
          <w:spacing w:val="-1"/>
        </w:rPr>
        <w:t>日起任职</w:t>
      </w:r>
      <w:r>
        <w:rPr>
          <w:spacing w:val="-106"/>
        </w:rPr>
        <w:t>）</w:t>
      </w:r>
      <w:r>
        <w:rPr>
          <w:spacing w:val="-3"/>
        </w:rPr>
        <w:t>、华夏沪深</w:t>
      </w:r>
      <w:r>
        <w:rPr>
          <w:rFonts w:ascii="Times New Roman" w:eastAsia="Times New Roman"/>
        </w:rPr>
        <w:t>300</w:t>
      </w:r>
      <w:r>
        <w:rPr>
          <w:spacing w:val="-3"/>
        </w:rPr>
        <w:t>交易型开放式指数证 券投资基金基金经理</w:t>
      </w:r>
      <w:r>
        <w:rPr/>
        <w:t>（</w:t>
      </w:r>
      <w:r>
        <w:rPr>
          <w:rFonts w:ascii="Times New Roman" w:eastAsia="Times New Roman"/>
        </w:rPr>
        <w:t>2012</w:t>
      </w:r>
      <w:r>
        <w:rPr/>
        <w:t>年</w:t>
      </w:r>
      <w:r>
        <w:rPr>
          <w:rFonts w:ascii="Times New Roman" w:eastAsia="Times New Roman"/>
        </w:rPr>
        <w:t>12</w:t>
      </w:r>
      <w:r>
        <w:rPr/>
        <w:t>月</w:t>
      </w:r>
      <w:r>
        <w:rPr>
          <w:rFonts w:ascii="Times New Roman" w:eastAsia="Times New Roman"/>
        </w:rPr>
        <w:t>25</w:t>
      </w:r>
      <w:r>
        <w:rPr>
          <w:spacing w:val="-2"/>
        </w:rPr>
        <w:t>日起任职</w:t>
      </w:r>
      <w:r>
        <w:rPr>
          <w:spacing w:val="-108"/>
        </w:rPr>
        <w:t>）</w:t>
      </w:r>
      <w:r>
        <w:rPr>
          <w:spacing w:val="-3"/>
        </w:rPr>
        <w:t>、上证医药卫生交易型开放式指数发起式证 </w:t>
      </w:r>
      <w:r>
        <w:rPr>
          <w:spacing w:val="-9"/>
        </w:rPr>
        <w:t>券投资基金基金经理</w:t>
      </w:r>
      <w:r>
        <w:rPr/>
        <w:t>（</w:t>
      </w:r>
      <w:r>
        <w:rPr>
          <w:rFonts w:ascii="Times New Roman" w:eastAsia="Times New Roman"/>
        </w:rPr>
        <w:t>2013</w:t>
      </w:r>
      <w:r>
        <w:rPr/>
        <w:t>年</w:t>
      </w:r>
      <w:r>
        <w:rPr>
          <w:rFonts w:ascii="Times New Roman" w:eastAsia="Times New Roman"/>
        </w:rPr>
        <w:t>3</w:t>
      </w:r>
      <w:r>
        <w:rPr>
          <w:spacing w:val="-3"/>
        </w:rPr>
        <w:t>月</w:t>
      </w:r>
      <w:r>
        <w:rPr>
          <w:rFonts w:ascii="Times New Roman" w:eastAsia="Times New Roman"/>
        </w:rPr>
        <w:t>28</w:t>
      </w:r>
      <w:r>
        <w:rPr>
          <w:spacing w:val="-3"/>
        </w:rPr>
        <w:t>日起任职</w:t>
      </w:r>
      <w:r>
        <w:rPr>
          <w:spacing w:val="-106"/>
        </w:rPr>
        <w:t>）</w:t>
      </w:r>
      <w:r>
        <w:rPr>
          <w:spacing w:val="-9"/>
        </w:rPr>
        <w:t>、华夏网购精选灵活配置混合型证券投资基金 </w:t>
      </w:r>
      <w:r>
        <w:rPr>
          <w:spacing w:val="-14"/>
        </w:rPr>
        <w:t>基金经理</w:t>
      </w:r>
      <w:r>
        <w:rPr/>
        <w:t>（</w:t>
      </w:r>
      <w:r>
        <w:rPr>
          <w:rFonts w:ascii="Times New Roman" w:eastAsia="Times New Roman"/>
        </w:rPr>
        <w:t>2016</w:t>
      </w:r>
      <w:r>
        <w:rPr/>
        <w:t>年</w:t>
      </w:r>
      <w:r>
        <w:rPr>
          <w:rFonts w:ascii="Times New Roman" w:eastAsia="Times New Roman"/>
          <w:spacing w:val="-5"/>
        </w:rPr>
        <w:t>11</w:t>
      </w:r>
      <w:r>
        <w:rPr/>
        <w:t>月</w:t>
      </w:r>
      <w:r>
        <w:rPr>
          <w:rFonts w:ascii="Times New Roman" w:eastAsia="Times New Roman"/>
          <w:spacing w:val="-3"/>
        </w:rPr>
        <w:t>2</w:t>
      </w:r>
      <w:r>
        <w:rPr>
          <w:spacing w:val="-3"/>
        </w:rPr>
        <w:t>日起任职</w:t>
      </w:r>
      <w:r>
        <w:rPr>
          <w:spacing w:val="-106"/>
        </w:rPr>
        <w:t>）</w:t>
      </w:r>
      <w:r>
        <w:rPr>
          <w:spacing w:val="-11"/>
        </w:rPr>
        <w:t>、上证</w:t>
      </w:r>
      <w:r>
        <w:rPr>
          <w:rFonts w:ascii="Times New Roman" w:eastAsia="Times New Roman"/>
        </w:rPr>
        <w:t>50</w:t>
      </w:r>
      <w:r>
        <w:rPr>
          <w:spacing w:val="-5"/>
        </w:rPr>
        <w:t>交易型开放式指数证券投资基金基金经理</w:t>
      </w:r>
      <w:r>
        <w:rPr/>
        <w:t>（</w:t>
      </w:r>
      <w:r>
        <w:rPr>
          <w:rFonts w:ascii="Times New Roman" w:eastAsia="Times New Roman"/>
        </w:rPr>
        <w:t>2016  </w:t>
      </w:r>
      <w:r>
        <w:rPr/>
        <w:t>年</w:t>
      </w:r>
      <w:r>
        <w:rPr>
          <w:rFonts w:ascii="Times New Roman" w:eastAsia="Times New Roman"/>
          <w:spacing w:val="-6"/>
        </w:rPr>
        <w:t>11</w:t>
      </w:r>
      <w:r>
        <w:rPr/>
        <w:t>月</w:t>
      </w:r>
      <w:r>
        <w:rPr>
          <w:rFonts w:ascii="Times New Roman" w:eastAsia="Times New Roman"/>
        </w:rPr>
        <w:t>18</w:t>
      </w:r>
      <w:r>
        <w:rPr>
          <w:spacing w:val="-2"/>
        </w:rPr>
        <w:t>日起任职</w:t>
      </w:r>
      <w:r>
        <w:rPr>
          <w:spacing w:val="-108"/>
        </w:rPr>
        <w:t>）</w:t>
      </w:r>
      <w:r>
        <w:rPr>
          <w:spacing w:val="-9"/>
        </w:rPr>
        <w:t>、华夏鼎融债券型证券投资基金基金经理</w:t>
      </w:r>
      <w:r>
        <w:rPr/>
        <w:t>（</w:t>
      </w:r>
      <w:r>
        <w:rPr>
          <w:rFonts w:ascii="Times New Roman" w:eastAsia="Times New Roman"/>
        </w:rPr>
        <w:t>2016</w:t>
      </w:r>
      <w:r>
        <w:rPr/>
        <w:t>年</w:t>
      </w:r>
      <w:r>
        <w:rPr>
          <w:rFonts w:ascii="Times New Roman" w:eastAsia="Times New Roman"/>
        </w:rPr>
        <w:t>12</w:t>
      </w:r>
      <w:r>
        <w:rPr/>
        <w:t>月</w:t>
      </w:r>
      <w:r>
        <w:rPr>
          <w:rFonts w:ascii="Times New Roman" w:eastAsia="Times New Roman"/>
        </w:rPr>
        <w:t>29</w:t>
      </w:r>
      <w:r>
        <w:rPr>
          <w:spacing w:val="-1"/>
        </w:rPr>
        <w:t>日起任职</w:t>
      </w:r>
      <w:r>
        <w:rPr>
          <w:spacing w:val="-108"/>
        </w:rPr>
        <w:t>）</w:t>
      </w:r>
      <w:r>
        <w:rPr>
          <w:spacing w:val="-15"/>
        </w:rPr>
        <w:t>、华 </w:t>
      </w:r>
      <w:r>
        <w:rPr>
          <w:spacing w:val="-9"/>
        </w:rPr>
        <w:t>夏睿磐泰盛六个月定期开放混合型证券投资基金基金经理</w:t>
      </w:r>
      <w:r>
        <w:rPr/>
        <w:t>（</w:t>
      </w:r>
      <w:r>
        <w:rPr>
          <w:rFonts w:ascii="Times New Roman" w:eastAsia="Times New Roman"/>
        </w:rPr>
        <w:t>2017</w:t>
      </w:r>
      <w:r>
        <w:rPr/>
        <w:t>年</w:t>
      </w:r>
      <w:r>
        <w:rPr>
          <w:rFonts w:ascii="Times New Roman" w:eastAsia="Times New Roman"/>
          <w:spacing w:val="-3"/>
        </w:rPr>
        <w:t>3</w:t>
      </w:r>
      <w:r>
        <w:rPr/>
        <w:t>月</w:t>
      </w:r>
      <w:r>
        <w:rPr>
          <w:rFonts w:ascii="Times New Roman" w:eastAsia="Times New Roman"/>
        </w:rPr>
        <w:t>15</w:t>
      </w:r>
      <w:r>
        <w:rPr>
          <w:spacing w:val="-2"/>
        </w:rPr>
        <w:t>日起任职</w:t>
      </w:r>
      <w:r>
        <w:rPr>
          <w:spacing w:val="-106"/>
        </w:rPr>
        <w:t>）</w:t>
      </w:r>
      <w:r>
        <w:rPr>
          <w:spacing w:val="-15"/>
        </w:rPr>
        <w:t>、华夏睿 </w:t>
      </w:r>
      <w:r>
        <w:rPr>
          <w:spacing w:val="-10"/>
        </w:rPr>
        <w:t>磐泰兴混合型证券投资基金基金经理</w:t>
      </w:r>
      <w:r>
        <w:rPr/>
        <w:t>（</w:t>
      </w:r>
      <w:r>
        <w:rPr>
          <w:rFonts w:ascii="Times New Roman" w:eastAsia="Times New Roman"/>
        </w:rPr>
        <w:t>2017</w:t>
      </w:r>
      <w:r>
        <w:rPr/>
        <w:t>年</w:t>
      </w:r>
      <w:r>
        <w:rPr>
          <w:rFonts w:ascii="Times New Roman" w:eastAsia="Times New Roman"/>
          <w:spacing w:val="-3"/>
        </w:rPr>
        <w:t>7</w:t>
      </w:r>
      <w:r>
        <w:rPr/>
        <w:t>月</w:t>
      </w:r>
      <w:r>
        <w:rPr>
          <w:rFonts w:ascii="Times New Roman" w:eastAsia="Times New Roman"/>
        </w:rPr>
        <w:t>14</w:t>
      </w:r>
      <w:r>
        <w:rPr>
          <w:spacing w:val="-1"/>
        </w:rPr>
        <w:t>日起任职</w:t>
      </w:r>
      <w:r>
        <w:rPr>
          <w:spacing w:val="-106"/>
        </w:rPr>
        <w:t>）</w:t>
      </w:r>
      <w:r>
        <w:rPr>
          <w:spacing w:val="-8"/>
        </w:rPr>
        <w:t>、华夏睿磐泰茂混合型证券投 </w:t>
      </w:r>
      <w:r>
        <w:rPr>
          <w:spacing w:val="-20"/>
        </w:rPr>
        <w:t>资基金基金经理</w:t>
      </w:r>
      <w:r>
        <w:rPr/>
        <w:t>（</w:t>
      </w:r>
      <w:r>
        <w:rPr>
          <w:rFonts w:ascii="Times New Roman" w:eastAsia="Times New Roman"/>
        </w:rPr>
        <w:t>2017</w:t>
      </w:r>
      <w:r>
        <w:rPr/>
        <w:t>年</w:t>
      </w:r>
      <w:r>
        <w:rPr>
          <w:rFonts w:ascii="Times New Roman" w:eastAsia="Times New Roman"/>
        </w:rPr>
        <w:t>12</w:t>
      </w:r>
      <w:r>
        <w:rPr/>
        <w:t>月</w:t>
      </w:r>
      <w:r>
        <w:rPr>
          <w:rFonts w:ascii="Times New Roman" w:eastAsia="Times New Roman"/>
        </w:rPr>
        <w:t>6</w:t>
      </w:r>
      <w:r>
        <w:rPr>
          <w:spacing w:val="-3"/>
        </w:rPr>
        <w:t>日起任职</w:t>
      </w:r>
      <w:r>
        <w:rPr>
          <w:spacing w:val="-108"/>
        </w:rPr>
        <w:t>）</w:t>
      </w:r>
      <w:r>
        <w:rPr>
          <w:spacing w:val="-17"/>
        </w:rPr>
        <w:t>、华夏睿磐泰荣混合型证券投资基金基金经理</w:t>
      </w:r>
      <w:r>
        <w:rPr/>
        <w:t>（</w:t>
      </w:r>
      <w:r>
        <w:rPr>
          <w:rFonts w:ascii="Times New Roman" w:eastAsia="Times New Roman"/>
        </w:rPr>
        <w:t>2017  </w:t>
      </w:r>
      <w:r>
        <w:rPr/>
        <w:t>年</w:t>
      </w:r>
      <w:r>
        <w:rPr>
          <w:rFonts w:ascii="Times New Roman" w:eastAsia="Times New Roman"/>
        </w:rPr>
        <w:t>12</w:t>
      </w:r>
      <w:r>
        <w:rPr>
          <w:spacing w:val="-3"/>
        </w:rPr>
        <w:t>月</w:t>
      </w:r>
      <w:r>
        <w:rPr>
          <w:rFonts w:ascii="Times New Roman" w:eastAsia="Times New Roman"/>
        </w:rPr>
        <w:t>27</w:t>
      </w:r>
      <w:r>
        <w:rPr>
          <w:spacing w:val="-3"/>
        </w:rPr>
        <w:t>日起任职</w:t>
      </w:r>
      <w:r>
        <w:rPr>
          <w:spacing w:val="-108"/>
        </w:rPr>
        <w:t>）</w:t>
      </w:r>
      <w:r>
        <w:rPr>
          <w:spacing w:val="-17"/>
        </w:rPr>
        <w:t>、华夏睿磐泰利混合型证券投资基金基金经理</w:t>
      </w:r>
      <w:r>
        <w:rPr/>
        <w:t>（</w:t>
      </w:r>
      <w:r>
        <w:rPr>
          <w:rFonts w:ascii="Times New Roman" w:eastAsia="Times New Roman"/>
        </w:rPr>
        <w:t>2019</w:t>
      </w:r>
      <w:r>
        <w:rPr>
          <w:spacing w:val="-3"/>
        </w:rPr>
        <w:t>年</w:t>
      </w:r>
      <w:r>
        <w:rPr>
          <w:rFonts w:ascii="Times New Roman" w:eastAsia="Times New Roman"/>
        </w:rPr>
        <w:t>2</w:t>
      </w:r>
      <w:r>
        <w:rPr/>
        <w:t>月</w:t>
      </w:r>
      <w:r>
        <w:rPr>
          <w:rFonts w:ascii="Times New Roman" w:eastAsia="Times New Roman"/>
        </w:rPr>
        <w:t>27</w:t>
      </w:r>
      <w:r>
        <w:rPr>
          <w:spacing w:val="-2"/>
        </w:rPr>
        <w:t>日起任职</w:t>
      </w:r>
      <w:r>
        <w:rPr>
          <w:spacing w:val="-108"/>
        </w:rPr>
        <w:t>）</w:t>
      </w:r>
      <w:r>
        <w:rPr/>
        <w:t>、 </w:t>
      </w:r>
      <w:r>
        <w:rPr>
          <w:spacing w:val="-1"/>
        </w:rPr>
        <w:t>华夏中证</w:t>
      </w:r>
      <w:r>
        <w:rPr>
          <w:rFonts w:ascii="Times New Roman" w:eastAsia="Times New Roman"/>
        </w:rPr>
        <w:t>500</w:t>
      </w:r>
      <w:r>
        <w:rPr>
          <w:spacing w:val="-3"/>
        </w:rPr>
        <w:t>指数增强型证券投资基金基金经理</w:t>
      </w:r>
      <w:r>
        <w:rPr/>
        <w:t>（</w:t>
      </w:r>
      <w:r>
        <w:rPr>
          <w:rFonts w:ascii="Times New Roman" w:eastAsia="Times New Roman"/>
        </w:rPr>
        <w:t>2020</w:t>
      </w:r>
      <w:r>
        <w:rPr/>
        <w:t>年</w:t>
      </w:r>
      <w:r>
        <w:rPr>
          <w:rFonts w:ascii="Times New Roman" w:eastAsia="Times New Roman"/>
        </w:rPr>
        <w:t>3</w:t>
      </w:r>
      <w:r>
        <w:rPr/>
        <w:t>月</w:t>
      </w:r>
      <w:r>
        <w:rPr>
          <w:rFonts w:ascii="Times New Roman" w:eastAsia="Times New Roman"/>
        </w:rPr>
        <w:t>25</w:t>
      </w:r>
      <w:r>
        <w:rPr>
          <w:spacing w:val="-1"/>
        </w:rPr>
        <w:t>日起任职</w:t>
      </w:r>
      <w:r>
        <w:rPr>
          <w:spacing w:val="-106"/>
        </w:rPr>
        <w:t>）</w:t>
      </w:r>
      <w:r>
        <w:rPr>
          <w:spacing w:val="-3"/>
        </w:rPr>
        <w:t>、华夏上证科创板 </w:t>
      </w:r>
      <w:r>
        <w:rPr>
          <w:rFonts w:ascii="Times New Roman" w:eastAsia="Times New Roman"/>
          <w:spacing w:val="-3"/>
        </w:rPr>
        <w:t>50</w:t>
      </w:r>
      <w:r>
        <w:rPr>
          <w:spacing w:val="-3"/>
        </w:rPr>
        <w:t>成份交易型开放式指数证券投资基金基金经理</w:t>
      </w:r>
      <w:r>
        <w:rPr/>
        <w:t>（</w:t>
      </w:r>
      <w:r>
        <w:rPr>
          <w:rFonts w:ascii="Times New Roman" w:eastAsia="Times New Roman"/>
        </w:rPr>
        <w:t>2020</w:t>
      </w:r>
      <w:r>
        <w:rPr/>
        <w:t>年</w:t>
      </w:r>
      <w:r>
        <w:rPr>
          <w:rFonts w:ascii="Times New Roman" w:eastAsia="Times New Roman"/>
          <w:spacing w:val="-3"/>
        </w:rPr>
        <w:t>9</w:t>
      </w:r>
      <w:r>
        <w:rPr/>
        <w:t>月</w:t>
      </w:r>
      <w:r>
        <w:rPr>
          <w:rFonts w:ascii="Times New Roman" w:eastAsia="Times New Roman"/>
        </w:rPr>
        <w:t>28</w:t>
      </w:r>
      <w:r>
        <w:rPr>
          <w:spacing w:val="-3"/>
        </w:rPr>
        <w:t>日起任职</w:t>
      </w:r>
      <w:r>
        <w:rPr>
          <w:spacing w:val="-106"/>
        </w:rPr>
        <w:t>）</w:t>
      </w:r>
      <w:r>
        <w:rPr/>
        <w:t>。</w:t>
      </w:r>
    </w:p>
    <w:p>
      <w:pPr>
        <w:pStyle w:val="BodyText"/>
        <w:spacing w:line="255" w:lineRule="exact"/>
        <w:ind w:left="782"/>
      </w:pPr>
      <w:r>
        <w:rPr/>
        <w:t>赵宗庭先生，对外经济贸易大学经济学硕士。曾任华夏基金管理有限公司研究发展部</w:t>
      </w:r>
    </w:p>
    <w:p>
      <w:pPr>
        <w:pStyle w:val="BodyText"/>
        <w:rPr>
          <w:sz w:val="16"/>
        </w:rPr>
      </w:pPr>
    </w:p>
    <w:p>
      <w:pPr>
        <w:pStyle w:val="BodyText"/>
        <w:spacing w:line="424" w:lineRule="auto" w:before="1"/>
        <w:ind w:left="300" w:right="871"/>
        <w:jc w:val="both"/>
      </w:pPr>
      <w:r>
        <w:rPr>
          <w:spacing w:val="-10"/>
        </w:rPr>
        <w:t>产品经理、数量投资部研究员，嘉实基金管理有限公司指数投资部基金经理助理，嘉实国际</w:t>
      </w:r>
      <w:r>
        <w:rPr>
          <w:spacing w:val="-8"/>
        </w:rPr>
        <w:t>资产管理有限公司基金经理。</w:t>
      </w:r>
      <w:r>
        <w:rPr>
          <w:rFonts w:ascii="Times New Roman" w:eastAsia="Times New Roman"/>
        </w:rPr>
        <w:t>2016</w:t>
      </w:r>
      <w:r>
        <w:rPr>
          <w:spacing w:val="-3"/>
        </w:rPr>
        <w:t>年</w:t>
      </w:r>
      <w:r>
        <w:rPr>
          <w:rFonts w:ascii="Times New Roman" w:eastAsia="Times New Roman"/>
          <w:spacing w:val="-6"/>
        </w:rPr>
        <w:t>11</w:t>
      </w:r>
      <w:r>
        <w:rPr>
          <w:spacing w:val="-7"/>
        </w:rPr>
        <w:t>月加入华夏基金管理有限公司，现任数量投资部高级</w:t>
      </w:r>
      <w:r>
        <w:rPr>
          <w:spacing w:val="-11"/>
        </w:rPr>
        <w:t>副总裁，华夏沪深</w:t>
      </w:r>
      <w:r>
        <w:rPr>
          <w:rFonts w:ascii="Times New Roman" w:eastAsia="Times New Roman"/>
        </w:rPr>
        <w:t>300</w:t>
      </w:r>
      <w:r>
        <w:rPr>
          <w:spacing w:val="-6"/>
        </w:rPr>
        <w:t>交易型开放式指数证券投资基金联接基金基金经理</w:t>
      </w:r>
      <w:r>
        <w:rPr/>
        <w:t>（</w:t>
      </w:r>
      <w:r>
        <w:rPr>
          <w:rFonts w:ascii="Times New Roman" w:eastAsia="Times New Roman"/>
        </w:rPr>
        <w:t>2017</w:t>
      </w:r>
      <w:r>
        <w:rPr/>
        <w:t>年</w:t>
      </w:r>
      <w:r>
        <w:rPr>
          <w:rFonts w:ascii="Times New Roman" w:eastAsia="Times New Roman"/>
        </w:rPr>
        <w:t>4</w:t>
      </w:r>
      <w:r>
        <w:rPr>
          <w:spacing w:val="-3"/>
        </w:rPr>
        <w:t>月</w:t>
      </w:r>
      <w:r>
        <w:rPr>
          <w:rFonts w:ascii="Times New Roman" w:eastAsia="Times New Roman"/>
        </w:rPr>
        <w:t>17</w:t>
      </w:r>
      <w:r>
        <w:rPr>
          <w:spacing w:val="-3"/>
        </w:rPr>
        <w:t>日起</w:t>
      </w:r>
      <w:r>
        <w:rPr/>
        <w:t>任职</w:t>
      </w:r>
      <w:r>
        <w:rPr>
          <w:spacing w:val="-108"/>
        </w:rPr>
        <w:t>）</w:t>
      </w:r>
      <w:r>
        <w:rPr>
          <w:spacing w:val="-8"/>
        </w:rPr>
        <w:t>、华夏沪深</w:t>
      </w:r>
      <w:r>
        <w:rPr>
          <w:rFonts w:ascii="Times New Roman" w:eastAsia="Times New Roman"/>
        </w:rPr>
        <w:t>300</w:t>
      </w:r>
      <w:r>
        <w:rPr>
          <w:spacing w:val="-5"/>
        </w:rPr>
        <w:t>交易型开放式指数证券投资基金基金经理</w:t>
      </w:r>
      <w:r>
        <w:rPr/>
        <w:t>（</w:t>
      </w:r>
      <w:r>
        <w:rPr>
          <w:rFonts w:ascii="Times New Roman" w:eastAsia="Times New Roman"/>
        </w:rPr>
        <w:t>2017</w:t>
      </w:r>
      <w:r>
        <w:rPr>
          <w:spacing w:val="-3"/>
        </w:rPr>
        <w:t>年</w:t>
      </w:r>
      <w:r>
        <w:rPr>
          <w:rFonts w:ascii="Times New Roman" w:eastAsia="Times New Roman"/>
        </w:rPr>
        <w:t>4</w:t>
      </w:r>
      <w:r>
        <w:rPr/>
        <w:t>月</w:t>
      </w:r>
      <w:r>
        <w:rPr>
          <w:rFonts w:ascii="Times New Roman" w:eastAsia="Times New Roman"/>
          <w:spacing w:val="-3"/>
        </w:rPr>
        <w:t>17</w:t>
      </w:r>
      <w:r>
        <w:rPr>
          <w:spacing w:val="-1"/>
        </w:rPr>
        <w:t>日起任职</w:t>
      </w:r>
      <w:r>
        <w:rPr>
          <w:spacing w:val="-108"/>
        </w:rPr>
        <w:t>）</w:t>
      </w:r>
      <w:r>
        <w:rPr>
          <w:spacing w:val="-16"/>
        </w:rPr>
        <w:t>、华</w:t>
      </w:r>
      <w:r>
        <w:rPr>
          <w:spacing w:val="-8"/>
        </w:rPr>
        <w:t>夏野村日经</w:t>
      </w:r>
      <w:r>
        <w:rPr>
          <w:rFonts w:ascii="Times New Roman" w:eastAsia="Times New Roman"/>
        </w:rPr>
        <w:t>225</w:t>
      </w:r>
      <w:r>
        <w:rPr>
          <w:spacing w:val="-9"/>
        </w:rPr>
        <w:t>交易型开放式指数证券投资基金</w:t>
      </w:r>
      <w:r>
        <w:rPr>
          <w:spacing w:val="-15"/>
        </w:rPr>
        <w:t>（</w:t>
      </w:r>
      <w:r>
        <w:rPr>
          <w:rFonts w:ascii="Times New Roman" w:eastAsia="Times New Roman"/>
          <w:spacing w:val="-15"/>
        </w:rPr>
        <w:t>QDII</w:t>
      </w:r>
      <w:r>
        <w:rPr>
          <w:spacing w:val="-15"/>
        </w:rPr>
        <w:t>）</w:t>
      </w:r>
      <w:r>
        <w:rPr>
          <w:spacing w:val="-20"/>
        </w:rPr>
        <w:t>基金经理</w:t>
      </w:r>
      <w:r>
        <w:rPr/>
        <w:t>（</w:t>
      </w:r>
      <w:r>
        <w:rPr>
          <w:rFonts w:ascii="Times New Roman" w:eastAsia="Times New Roman"/>
        </w:rPr>
        <w:t>2019</w:t>
      </w:r>
      <w:r>
        <w:rPr/>
        <w:t>年</w:t>
      </w:r>
      <w:r>
        <w:rPr>
          <w:rFonts w:ascii="Times New Roman" w:eastAsia="Times New Roman"/>
          <w:spacing w:val="-3"/>
        </w:rPr>
        <w:t>6</w:t>
      </w:r>
      <w:r>
        <w:rPr/>
        <w:t>月</w:t>
      </w:r>
      <w:r>
        <w:rPr>
          <w:rFonts w:ascii="Times New Roman" w:eastAsia="Times New Roman"/>
        </w:rPr>
        <w:t>12</w:t>
      </w:r>
      <w:r>
        <w:rPr>
          <w:spacing w:val="-1"/>
        </w:rPr>
        <w:t>日起任职</w:t>
      </w:r>
      <w:r>
        <w:rPr>
          <w:spacing w:val="-108"/>
        </w:rPr>
        <w:t>）</w:t>
      </w:r>
      <w:r>
        <w:rPr/>
        <w:t>、</w:t>
      </w:r>
      <w:r>
        <w:rPr>
          <w:spacing w:val="-5"/>
        </w:rPr>
        <w:t>华夏国证半导体芯片交易型开放式指数证券投资基金基金经理</w:t>
      </w:r>
      <w:r>
        <w:rPr/>
        <w:t>（</w:t>
      </w:r>
      <w:r>
        <w:rPr>
          <w:rFonts w:ascii="Times New Roman" w:eastAsia="Times New Roman"/>
        </w:rPr>
        <w:t>2020</w:t>
      </w:r>
      <w:r>
        <w:rPr/>
        <w:t>年</w:t>
      </w:r>
      <w:r>
        <w:rPr>
          <w:rFonts w:ascii="Times New Roman" w:eastAsia="Times New Roman"/>
          <w:spacing w:val="-3"/>
        </w:rPr>
        <w:t>1</w:t>
      </w:r>
      <w:r>
        <w:rPr/>
        <w:t>月</w:t>
      </w:r>
      <w:r>
        <w:rPr>
          <w:rFonts w:ascii="Times New Roman" w:eastAsia="Times New Roman"/>
        </w:rPr>
        <w:t>20</w:t>
      </w:r>
      <w:r>
        <w:rPr>
          <w:spacing w:val="-1"/>
        </w:rPr>
        <w:t>日起任职</w:t>
      </w:r>
      <w:r>
        <w:rPr>
          <w:spacing w:val="-106"/>
        </w:rPr>
        <w:t>）</w:t>
      </w:r>
      <w:r>
        <w:rPr>
          <w:spacing w:val="-26"/>
        </w:rPr>
        <w:t>、上</w:t>
      </w:r>
    </w:p>
    <w:p>
      <w:pPr>
        <w:spacing w:after="0" w:line="424" w:lineRule="auto"/>
        <w:jc w:val="both"/>
        <w:sectPr>
          <w:pgSz w:w="11910" w:h="16840"/>
          <w:pgMar w:header="701" w:footer="683" w:top="1420" w:bottom="880" w:left="1500" w:right="920"/>
        </w:sectPr>
      </w:pPr>
    </w:p>
    <w:p>
      <w:pPr>
        <w:pStyle w:val="BodyText"/>
        <w:spacing w:line="424" w:lineRule="auto" w:before="115"/>
        <w:ind w:left="300" w:right="871"/>
        <w:jc w:val="both"/>
      </w:pPr>
      <w:r>
        <w:rPr>
          <w:spacing w:val="-5"/>
        </w:rPr>
        <w:t>证主要消费交易型开放式指数发起式证券投资基金基金经理</w:t>
      </w:r>
      <w:r>
        <w:rPr/>
        <w:t>（</w:t>
      </w:r>
      <w:r>
        <w:rPr>
          <w:rFonts w:ascii="Times New Roman" w:eastAsia="Times New Roman"/>
        </w:rPr>
        <w:t>2020</w:t>
      </w:r>
      <w:r>
        <w:rPr/>
        <w:t>年</w:t>
      </w:r>
      <w:r>
        <w:rPr>
          <w:rFonts w:ascii="Times New Roman" w:eastAsia="Times New Roman"/>
        </w:rPr>
        <w:t>2</w:t>
      </w:r>
      <w:r>
        <w:rPr>
          <w:spacing w:val="-3"/>
        </w:rPr>
        <w:t>月</w:t>
      </w:r>
      <w:r>
        <w:rPr>
          <w:rFonts w:ascii="Times New Roman" w:eastAsia="Times New Roman"/>
        </w:rPr>
        <w:t>12</w:t>
      </w:r>
      <w:r>
        <w:rPr>
          <w:spacing w:val="-3"/>
        </w:rPr>
        <w:t>日起任职</w:t>
      </w:r>
      <w:r>
        <w:rPr>
          <w:spacing w:val="-106"/>
        </w:rPr>
        <w:t>）</w:t>
      </w:r>
      <w:r>
        <w:rPr>
          <w:spacing w:val="-18"/>
        </w:rPr>
        <w:t>、华夏</w:t>
      </w:r>
      <w:r>
        <w:rPr>
          <w:spacing w:val="-10"/>
        </w:rPr>
        <w:t>国证半导体芯片交易型开放式指数证券投资基金发起式联接基金基金经理</w:t>
      </w:r>
      <w:r>
        <w:rPr/>
        <w:t>（</w:t>
      </w:r>
      <w:r>
        <w:rPr>
          <w:rFonts w:ascii="Times New Roman" w:eastAsia="Times New Roman"/>
        </w:rPr>
        <w:t>2020</w:t>
      </w:r>
      <w:r>
        <w:rPr/>
        <w:t>年</w:t>
      </w:r>
      <w:r>
        <w:rPr>
          <w:rFonts w:ascii="Times New Roman" w:eastAsia="Times New Roman"/>
          <w:spacing w:val="-3"/>
        </w:rPr>
        <w:t>6</w:t>
      </w:r>
      <w:r>
        <w:rPr/>
        <w:t>月</w:t>
      </w:r>
      <w:r>
        <w:rPr>
          <w:rFonts w:ascii="Times New Roman" w:eastAsia="Times New Roman"/>
        </w:rPr>
        <w:t>2</w:t>
      </w:r>
      <w:r>
        <w:rPr>
          <w:spacing w:val="-3"/>
        </w:rPr>
        <w:t>日起</w:t>
      </w:r>
      <w:r>
        <w:rPr/>
        <w:t>任职</w:t>
      </w:r>
      <w:r>
        <w:rPr>
          <w:spacing w:val="-104"/>
        </w:rPr>
        <w:t>）</w:t>
      </w:r>
      <w:r>
        <w:rPr/>
        <w:t>、华夏纳斯达克</w:t>
      </w:r>
      <w:r>
        <w:rPr>
          <w:rFonts w:ascii="Times New Roman" w:eastAsia="Times New Roman"/>
        </w:rPr>
        <w:t>100</w:t>
      </w:r>
      <w:r>
        <w:rPr/>
        <w:t>交易型开放式指数证券投资基金（</w:t>
      </w:r>
      <w:r>
        <w:rPr>
          <w:rFonts w:ascii="Times New Roman" w:eastAsia="Times New Roman"/>
        </w:rPr>
        <w:t>QDII</w:t>
      </w:r>
      <w:r>
        <w:rPr/>
        <w:t>）基金经理（</w:t>
      </w:r>
      <w:r>
        <w:rPr>
          <w:rFonts w:ascii="Times New Roman" w:eastAsia="Times New Roman"/>
        </w:rPr>
        <w:t>2020</w:t>
      </w:r>
      <w:r>
        <w:rPr/>
        <w:t>年</w:t>
      </w:r>
      <w:r>
        <w:rPr>
          <w:rFonts w:ascii="Times New Roman" w:eastAsia="Times New Roman"/>
        </w:rPr>
        <w:t>10</w:t>
      </w:r>
      <w:r>
        <w:rPr/>
        <w:t>月</w:t>
      </w:r>
      <w:r>
        <w:rPr>
          <w:rFonts w:ascii="Times New Roman" w:eastAsia="Times New Roman"/>
        </w:rPr>
        <w:t>22</w:t>
      </w:r>
      <w:r>
        <w:rPr>
          <w:spacing w:val="-3"/>
        </w:rPr>
        <w:t>日起任职</w:t>
      </w:r>
      <w:r>
        <w:rPr>
          <w:spacing w:val="-106"/>
        </w:rPr>
        <w:t>）</w:t>
      </w:r>
      <w:r>
        <w:rPr/>
        <w:t>。</w:t>
      </w:r>
    </w:p>
    <w:p>
      <w:pPr>
        <w:pStyle w:val="BodyText"/>
        <w:spacing w:line="265" w:lineRule="exact"/>
        <w:ind w:left="720"/>
      </w:pPr>
      <w:r>
        <w:rPr/>
        <w:t>历任基金经理：</w:t>
      </w:r>
      <w:r>
        <w:rPr>
          <w:rFonts w:ascii="Times New Roman" w:eastAsia="Times New Roman"/>
        </w:rPr>
        <w:t>2009</w:t>
      </w:r>
      <w:r>
        <w:rPr/>
        <w:t>年</w:t>
      </w:r>
      <w:r>
        <w:rPr>
          <w:rFonts w:ascii="Times New Roman" w:eastAsia="Times New Roman"/>
        </w:rPr>
        <w:t>7</w:t>
      </w:r>
      <w:r>
        <w:rPr/>
        <w:t>月</w:t>
      </w:r>
      <w:r>
        <w:rPr>
          <w:rFonts w:ascii="Times New Roman" w:eastAsia="Times New Roman"/>
        </w:rPr>
        <w:t>10</w:t>
      </w:r>
      <w:r>
        <w:rPr/>
        <w:t>日至</w:t>
      </w:r>
      <w:r>
        <w:rPr>
          <w:rFonts w:ascii="Times New Roman" w:eastAsia="Times New Roman"/>
        </w:rPr>
        <w:t>2017</w:t>
      </w:r>
      <w:r>
        <w:rPr/>
        <w:t>年</w:t>
      </w:r>
      <w:r>
        <w:rPr>
          <w:rFonts w:ascii="Times New Roman" w:eastAsia="Times New Roman"/>
        </w:rPr>
        <w:t>3</w:t>
      </w:r>
      <w:r>
        <w:rPr/>
        <w:t>月</w:t>
      </w:r>
      <w:r>
        <w:rPr>
          <w:rFonts w:ascii="Times New Roman" w:eastAsia="Times New Roman"/>
        </w:rPr>
        <w:t>24</w:t>
      </w:r>
      <w:r>
        <w:rPr/>
        <w:t>日期间，方军先生任基金经理。</w:t>
      </w:r>
    </w:p>
    <w:p>
      <w:pPr>
        <w:pStyle w:val="BodyText"/>
        <w:spacing w:before="3"/>
        <w:rPr>
          <w:sz w:val="16"/>
        </w:rPr>
      </w:pPr>
    </w:p>
    <w:p>
      <w:pPr>
        <w:pStyle w:val="BodyText"/>
        <w:ind w:left="720"/>
      </w:pPr>
      <w:r>
        <w:rPr>
          <w:rFonts w:ascii="Times New Roman" w:eastAsia="Times New Roman"/>
        </w:rPr>
        <w:t>3</w:t>
      </w:r>
      <w:r>
        <w:rPr/>
        <w:t>、本公司量化投资决策委员会</w:t>
      </w:r>
    </w:p>
    <w:p>
      <w:pPr>
        <w:pStyle w:val="BodyText"/>
        <w:spacing w:before="1"/>
        <w:rPr>
          <w:sz w:val="16"/>
        </w:rPr>
      </w:pPr>
    </w:p>
    <w:p>
      <w:pPr>
        <w:pStyle w:val="BodyText"/>
        <w:ind w:left="720"/>
      </w:pPr>
      <w:r>
        <w:rPr/>
        <w:t>主任：张弘弢先生，华夏基金管理有限公司董事总经理，基金经理。</w:t>
      </w:r>
    </w:p>
    <w:p>
      <w:pPr>
        <w:pStyle w:val="BodyText"/>
        <w:spacing w:before="2"/>
        <w:rPr>
          <w:sz w:val="16"/>
        </w:rPr>
      </w:pPr>
    </w:p>
    <w:p>
      <w:pPr>
        <w:pStyle w:val="BodyText"/>
        <w:spacing w:line="424" w:lineRule="auto"/>
        <w:ind w:left="720" w:right="1826"/>
      </w:pPr>
      <w:r>
        <w:rPr/>
        <w:t>成员：阳琨先生，华夏基金管理有限公司副总经理、投资总监，基金经理。徐猛先生，华夏基金管理有限公司数量投资部总监，基金经理。</w:t>
      </w:r>
    </w:p>
    <w:p>
      <w:pPr>
        <w:pStyle w:val="BodyText"/>
        <w:spacing w:line="267" w:lineRule="exact"/>
        <w:ind w:left="720"/>
      </w:pPr>
      <w:r>
        <w:rPr/>
        <w:t>袁英杰先生，华夏基金管理有限公司数量投资部投资经理。</w:t>
      </w:r>
    </w:p>
    <w:p>
      <w:pPr>
        <w:pStyle w:val="BodyText"/>
        <w:spacing w:before="1"/>
        <w:rPr>
          <w:sz w:val="16"/>
        </w:rPr>
      </w:pPr>
    </w:p>
    <w:p>
      <w:pPr>
        <w:pStyle w:val="BodyText"/>
        <w:ind w:left="720"/>
      </w:pPr>
      <w:r>
        <w:rPr/>
        <w:t>庞亚平先生，华夏基金管理有限公司数量投资部总监，基金经理。</w:t>
      </w:r>
    </w:p>
    <w:p>
      <w:pPr>
        <w:pStyle w:val="BodyText"/>
        <w:spacing w:before="1"/>
        <w:rPr>
          <w:sz w:val="16"/>
        </w:rPr>
      </w:pPr>
    </w:p>
    <w:p>
      <w:pPr>
        <w:pStyle w:val="BodyText"/>
        <w:ind w:left="720"/>
      </w:pPr>
      <w:r>
        <w:rPr/>
        <w:t>荣膺女士，华夏基金管理有限公司数量投资部高级副总裁，基金经理。</w:t>
      </w:r>
    </w:p>
    <w:p>
      <w:pPr>
        <w:pStyle w:val="BodyText"/>
        <w:spacing w:before="1"/>
        <w:rPr>
          <w:sz w:val="16"/>
        </w:rPr>
      </w:pPr>
    </w:p>
    <w:p>
      <w:pPr>
        <w:pStyle w:val="BodyText"/>
        <w:ind w:left="720"/>
      </w:pPr>
      <w:r>
        <w:rPr>
          <w:rFonts w:ascii="Times New Roman" w:eastAsia="Times New Roman"/>
        </w:rPr>
        <w:t>4</w:t>
      </w:r>
      <w:r>
        <w:rPr/>
        <w:t>、上述人员之间不存在近亲属关系。</w:t>
      </w:r>
    </w:p>
    <w:p>
      <w:pPr>
        <w:pStyle w:val="BodyText"/>
        <w:spacing w:before="4"/>
        <w:rPr>
          <w:sz w:val="16"/>
        </w:rPr>
      </w:pPr>
    </w:p>
    <w:p>
      <w:pPr>
        <w:pStyle w:val="BodyText"/>
        <w:ind w:left="720"/>
      </w:pPr>
      <w:r>
        <w:rPr/>
        <w:t>（三）基金管理人的职责</w:t>
      </w:r>
    </w:p>
    <w:p>
      <w:pPr>
        <w:pStyle w:val="BodyText"/>
        <w:spacing w:before="1"/>
        <w:rPr>
          <w:sz w:val="16"/>
        </w:rPr>
      </w:pPr>
    </w:p>
    <w:p>
      <w:pPr>
        <w:pStyle w:val="BodyText"/>
        <w:spacing w:line="424" w:lineRule="auto"/>
        <w:ind w:left="300" w:right="873" w:firstLine="419"/>
      </w:pPr>
      <w:r>
        <w:rPr>
          <w:rFonts w:ascii="Times New Roman" w:eastAsia="Times New Roman"/>
        </w:rPr>
        <w:t>1</w:t>
      </w:r>
      <w:r>
        <w:rPr/>
        <w:t>、依法募集基金，办理或者委托经国务院证券监督管理机构认定的其他机构代为办理基金份额的发售、申购、赎回和登记事宜。</w:t>
      </w:r>
    </w:p>
    <w:p>
      <w:pPr>
        <w:pStyle w:val="BodyText"/>
        <w:spacing w:line="267" w:lineRule="exact"/>
        <w:ind w:left="720"/>
      </w:pPr>
      <w:r>
        <w:rPr>
          <w:rFonts w:ascii="Times New Roman" w:eastAsia="Times New Roman"/>
        </w:rPr>
        <w:t>2</w:t>
      </w:r>
      <w:r>
        <w:rPr/>
        <w:t>、办理基金备案手续。</w:t>
      </w:r>
    </w:p>
    <w:p>
      <w:pPr>
        <w:pStyle w:val="BodyText"/>
        <w:spacing w:before="1"/>
        <w:rPr>
          <w:sz w:val="16"/>
        </w:rPr>
      </w:pPr>
    </w:p>
    <w:p>
      <w:pPr>
        <w:pStyle w:val="BodyText"/>
        <w:spacing w:before="1"/>
        <w:ind w:left="720"/>
      </w:pPr>
      <w:r>
        <w:rPr>
          <w:rFonts w:ascii="Times New Roman" w:eastAsia="Times New Roman"/>
        </w:rPr>
        <w:t>3</w:t>
      </w:r>
      <w:r>
        <w:rPr/>
        <w:t>、对所管理的不同基金财产分别管理、分别记账，进行证券投资。</w:t>
      </w:r>
    </w:p>
    <w:p>
      <w:pPr>
        <w:pStyle w:val="BodyText"/>
        <w:rPr>
          <w:sz w:val="16"/>
        </w:rPr>
      </w:pPr>
    </w:p>
    <w:p>
      <w:pPr>
        <w:pStyle w:val="BodyText"/>
        <w:spacing w:before="1"/>
        <w:ind w:left="720"/>
      </w:pPr>
      <w:r>
        <w:rPr>
          <w:rFonts w:ascii="Times New Roman" w:eastAsia="Times New Roman"/>
        </w:rPr>
        <w:t>4</w:t>
      </w:r>
      <w:r>
        <w:rPr/>
        <w:t>、按照基金合同的约定确定基金收益分配方案，及时向基金份额持有人分配收益。</w:t>
      </w:r>
    </w:p>
    <w:p>
      <w:pPr>
        <w:pStyle w:val="BodyText"/>
        <w:spacing w:before="1"/>
        <w:rPr>
          <w:sz w:val="16"/>
        </w:rPr>
      </w:pPr>
    </w:p>
    <w:p>
      <w:pPr>
        <w:pStyle w:val="BodyText"/>
        <w:ind w:left="720"/>
      </w:pPr>
      <w:r>
        <w:rPr>
          <w:rFonts w:ascii="Times New Roman" w:eastAsia="Times New Roman"/>
        </w:rPr>
        <w:t>5</w:t>
      </w:r>
      <w:r>
        <w:rPr/>
        <w:t>、进行基金会计核算并编制基金财务会计报告。</w:t>
      </w:r>
    </w:p>
    <w:p>
      <w:pPr>
        <w:pStyle w:val="BodyText"/>
        <w:spacing w:before="1"/>
        <w:rPr>
          <w:sz w:val="16"/>
        </w:rPr>
      </w:pPr>
    </w:p>
    <w:p>
      <w:pPr>
        <w:pStyle w:val="BodyText"/>
        <w:ind w:left="720"/>
      </w:pPr>
      <w:r>
        <w:rPr>
          <w:rFonts w:ascii="Times New Roman" w:eastAsia="Times New Roman"/>
        </w:rPr>
        <w:t>6</w:t>
      </w:r>
      <w:r>
        <w:rPr/>
        <w:t>、编制中期和年度基金报告。</w:t>
      </w:r>
    </w:p>
    <w:p>
      <w:pPr>
        <w:pStyle w:val="BodyText"/>
        <w:spacing w:before="4"/>
        <w:rPr>
          <w:sz w:val="16"/>
        </w:rPr>
      </w:pPr>
    </w:p>
    <w:p>
      <w:pPr>
        <w:pStyle w:val="BodyText"/>
        <w:ind w:left="720"/>
      </w:pPr>
      <w:r>
        <w:rPr>
          <w:rFonts w:ascii="Times New Roman" w:eastAsia="Times New Roman"/>
        </w:rPr>
        <w:t>7</w:t>
      </w:r>
      <w:r>
        <w:rPr/>
        <w:t>、计算并公告基金净值信息，确定基金份额申购、赎回价格。</w:t>
      </w:r>
    </w:p>
    <w:p>
      <w:pPr>
        <w:pStyle w:val="BodyText"/>
        <w:spacing w:before="1"/>
        <w:rPr>
          <w:sz w:val="16"/>
        </w:rPr>
      </w:pPr>
    </w:p>
    <w:p>
      <w:pPr>
        <w:pStyle w:val="BodyText"/>
        <w:ind w:left="720"/>
      </w:pPr>
      <w:r>
        <w:rPr>
          <w:rFonts w:ascii="Times New Roman" w:eastAsia="Times New Roman"/>
        </w:rPr>
        <w:t>8</w:t>
      </w:r>
      <w:r>
        <w:rPr/>
        <w:t>、办理与基金财产管理业务活动有关的信息披露事项。</w:t>
      </w:r>
    </w:p>
    <w:p>
      <w:pPr>
        <w:pStyle w:val="BodyText"/>
        <w:spacing w:before="1"/>
        <w:rPr>
          <w:sz w:val="16"/>
        </w:rPr>
      </w:pPr>
    </w:p>
    <w:p>
      <w:pPr>
        <w:pStyle w:val="BodyText"/>
        <w:ind w:left="720"/>
      </w:pPr>
      <w:r>
        <w:rPr>
          <w:rFonts w:ascii="Times New Roman" w:eastAsia="Times New Roman"/>
        </w:rPr>
        <w:t>9</w:t>
      </w:r>
      <w:r>
        <w:rPr/>
        <w:t>、召集基金份额持有人大会。</w:t>
      </w:r>
    </w:p>
    <w:p>
      <w:pPr>
        <w:pStyle w:val="BodyText"/>
        <w:spacing w:before="1"/>
        <w:rPr>
          <w:sz w:val="16"/>
        </w:rPr>
      </w:pPr>
    </w:p>
    <w:p>
      <w:pPr>
        <w:pStyle w:val="BodyText"/>
        <w:spacing w:before="1"/>
        <w:ind w:left="720"/>
      </w:pPr>
      <w:r>
        <w:rPr>
          <w:rFonts w:ascii="Times New Roman" w:eastAsia="Times New Roman"/>
        </w:rPr>
        <w:t>10</w:t>
      </w:r>
      <w:r>
        <w:rPr/>
        <w:t>、保存基金财产管理业务活动的记录、账册、报表和其他相关资料。</w:t>
      </w:r>
    </w:p>
    <w:p>
      <w:pPr>
        <w:pStyle w:val="BodyText"/>
        <w:rPr>
          <w:sz w:val="16"/>
        </w:rPr>
      </w:pPr>
    </w:p>
    <w:p>
      <w:pPr>
        <w:pStyle w:val="BodyText"/>
        <w:spacing w:before="1"/>
        <w:ind w:left="720"/>
      </w:pPr>
      <w:r>
        <w:rPr>
          <w:rFonts w:ascii="Times New Roman" w:eastAsia="Times New Roman"/>
        </w:rPr>
        <w:t>11</w:t>
      </w:r>
      <w:r>
        <w:rPr/>
        <w:t>、以基金管理人名义，代表基金份额持有人利益行使诉讼权利或者实施其他法律行为。</w:t>
      </w:r>
    </w:p>
    <w:p>
      <w:pPr>
        <w:pStyle w:val="BodyText"/>
        <w:spacing w:before="1"/>
        <w:rPr>
          <w:sz w:val="16"/>
        </w:rPr>
      </w:pPr>
    </w:p>
    <w:p>
      <w:pPr>
        <w:pStyle w:val="BodyText"/>
        <w:ind w:left="720"/>
      </w:pPr>
      <w:r>
        <w:rPr>
          <w:rFonts w:ascii="Times New Roman" w:eastAsia="Times New Roman"/>
        </w:rPr>
        <w:t>12</w:t>
      </w:r>
      <w:r>
        <w:rPr/>
        <w:t>、国务院证券监督管理机构规定的其他职责。</w:t>
      </w:r>
    </w:p>
    <w:p>
      <w:pPr>
        <w:pStyle w:val="BodyText"/>
        <w:spacing w:before="1"/>
        <w:rPr>
          <w:sz w:val="16"/>
        </w:rPr>
      </w:pPr>
    </w:p>
    <w:p>
      <w:pPr>
        <w:pStyle w:val="BodyText"/>
        <w:ind w:left="720"/>
      </w:pPr>
      <w:r>
        <w:rPr/>
        <w:t>（四）基金管理人承诺</w:t>
      </w:r>
    </w:p>
    <w:p>
      <w:pPr>
        <w:pStyle w:val="BodyText"/>
        <w:spacing w:before="1"/>
        <w:rPr>
          <w:sz w:val="16"/>
        </w:rPr>
      </w:pPr>
    </w:p>
    <w:p>
      <w:pPr>
        <w:pStyle w:val="BodyText"/>
        <w:ind w:left="720"/>
      </w:pPr>
      <w:r>
        <w:rPr>
          <w:rFonts w:ascii="Times New Roman" w:eastAsia="Times New Roman"/>
        </w:rPr>
        <w:t>1</w:t>
      </w:r>
      <w:r>
        <w:rPr/>
        <w:t>、本基金管理人将根据基金合同的规定，按照招募说明书列明的投资目标、策略及限</w:t>
      </w:r>
    </w:p>
    <w:p>
      <w:pPr>
        <w:spacing w:after="0"/>
        <w:sectPr>
          <w:pgSz w:w="11910" w:h="16840"/>
          <w:pgMar w:header="701" w:footer="683" w:top="1420" w:bottom="880" w:left="1500" w:right="920"/>
        </w:sectPr>
      </w:pPr>
    </w:p>
    <w:p>
      <w:pPr>
        <w:pStyle w:val="BodyText"/>
        <w:spacing w:before="115"/>
        <w:ind w:left="300"/>
      </w:pPr>
      <w:r>
        <w:rPr/>
        <w:t>制等全权处理本基金的投资。</w:t>
      </w:r>
    </w:p>
    <w:p>
      <w:pPr>
        <w:pStyle w:val="BodyText"/>
        <w:rPr>
          <w:sz w:val="16"/>
        </w:rPr>
      </w:pPr>
    </w:p>
    <w:p>
      <w:pPr>
        <w:pStyle w:val="BodyText"/>
        <w:spacing w:line="424" w:lineRule="auto" w:before="1"/>
        <w:ind w:left="300" w:right="874" w:firstLine="419"/>
      </w:pPr>
      <w:r>
        <w:rPr>
          <w:rFonts w:ascii="Times New Roman" w:eastAsia="Times New Roman"/>
        </w:rPr>
        <w:t>2</w:t>
      </w:r>
      <w:r>
        <w:rPr/>
        <w:t>、本基金管理人不从事违反《证券法》的行为，并建立健全内部控制制度，采取有效措施，防止违反《证券法》行为的发生。</w:t>
      </w:r>
    </w:p>
    <w:p>
      <w:pPr>
        <w:pStyle w:val="BodyText"/>
        <w:spacing w:line="424" w:lineRule="auto"/>
        <w:ind w:left="300" w:right="87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承销证券；</w:t>
      </w:r>
    </w:p>
    <w:p>
      <w:pPr>
        <w:pStyle w:val="BodyText"/>
        <w:spacing w:before="12"/>
        <w:rPr>
          <w:sz w:val="15"/>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违反规定向他人贷款或提供担保；</w:t>
      </w:r>
    </w:p>
    <w:p>
      <w:pPr>
        <w:pStyle w:val="BodyText"/>
        <w:spacing w:before="1"/>
        <w:rPr>
          <w:sz w:val="16"/>
        </w:rPr>
      </w:pPr>
    </w:p>
    <w:p>
      <w:pPr>
        <w:pStyle w:val="ListParagraph"/>
        <w:numPr>
          <w:ilvl w:val="0"/>
          <w:numId w:val="1"/>
        </w:numPr>
        <w:tabs>
          <w:tab w:pos="1250" w:val="left" w:leader="none"/>
        </w:tabs>
        <w:spacing w:line="240" w:lineRule="auto" w:before="1" w:after="0"/>
        <w:ind w:left="1249" w:right="0" w:hanging="530"/>
        <w:jc w:val="left"/>
        <w:rPr>
          <w:sz w:val="21"/>
        </w:rPr>
      </w:pPr>
      <w:r>
        <w:rPr>
          <w:spacing w:val="-3"/>
          <w:sz w:val="21"/>
        </w:rPr>
        <w:t>从事承担无限责任的投资；</w:t>
      </w:r>
    </w:p>
    <w:p>
      <w:pPr>
        <w:pStyle w:val="BodyText"/>
        <w:spacing w:before="1"/>
        <w:rPr>
          <w:sz w:val="16"/>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买卖其他基金份额，但是国务院证券监督管理机构另有规定的除外；</w:t>
      </w:r>
    </w:p>
    <w:p>
      <w:pPr>
        <w:pStyle w:val="BodyText"/>
        <w:spacing w:before="1"/>
        <w:rPr>
          <w:sz w:val="16"/>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向基金管理人、基金托管人出资；</w:t>
      </w:r>
    </w:p>
    <w:p>
      <w:pPr>
        <w:pStyle w:val="BodyText"/>
        <w:spacing w:before="1"/>
        <w:rPr>
          <w:sz w:val="16"/>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从事内幕交易、操纵证券价格及其他不正当的证券交易活动；</w:t>
      </w:r>
    </w:p>
    <w:p>
      <w:pPr>
        <w:pStyle w:val="BodyText"/>
        <w:spacing w:before="1"/>
        <w:rPr>
          <w:sz w:val="16"/>
        </w:rPr>
      </w:pPr>
    </w:p>
    <w:p>
      <w:pPr>
        <w:pStyle w:val="ListParagraph"/>
        <w:numPr>
          <w:ilvl w:val="0"/>
          <w:numId w:val="1"/>
        </w:numPr>
        <w:tabs>
          <w:tab w:pos="1250" w:val="left" w:leader="none"/>
        </w:tabs>
        <w:spacing w:line="240" w:lineRule="auto" w:before="0" w:after="0"/>
        <w:ind w:left="1249" w:right="0" w:hanging="530"/>
        <w:jc w:val="left"/>
        <w:rPr>
          <w:sz w:val="21"/>
        </w:rPr>
      </w:pPr>
      <w:r>
        <w:rPr>
          <w:spacing w:val="-3"/>
          <w:sz w:val="21"/>
        </w:rPr>
        <w:t>法律、行政法规和国务院证券监督管理机构规定禁止从事的其他行为。</w:t>
      </w:r>
    </w:p>
    <w:p>
      <w:pPr>
        <w:pStyle w:val="BodyText"/>
        <w:spacing w:before="1"/>
        <w:rPr>
          <w:sz w:val="16"/>
        </w:rPr>
      </w:pPr>
    </w:p>
    <w:p>
      <w:pPr>
        <w:pStyle w:val="BodyText"/>
        <w:spacing w:line="427" w:lineRule="auto"/>
        <w:ind w:left="300" w:right="87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250" w:val="left" w:leader="none"/>
        </w:tabs>
        <w:spacing w:line="264" w:lineRule="exact" w:before="0" w:after="0"/>
        <w:ind w:left="1249" w:right="0" w:hanging="530"/>
        <w:jc w:val="left"/>
        <w:rPr>
          <w:sz w:val="21"/>
        </w:rPr>
      </w:pPr>
      <w:r>
        <w:rPr>
          <w:spacing w:val="-3"/>
          <w:sz w:val="21"/>
        </w:rPr>
        <w:t>将其固有财产或者他人财产混同于基金财产从事证券投资。</w:t>
      </w:r>
    </w:p>
    <w:p>
      <w:pPr>
        <w:pStyle w:val="BodyText"/>
        <w:spacing w:before="1"/>
        <w:rPr>
          <w:sz w:val="16"/>
        </w:rPr>
      </w:pPr>
    </w:p>
    <w:p>
      <w:pPr>
        <w:pStyle w:val="ListParagraph"/>
        <w:numPr>
          <w:ilvl w:val="0"/>
          <w:numId w:val="2"/>
        </w:numPr>
        <w:tabs>
          <w:tab w:pos="1250" w:val="left" w:leader="none"/>
        </w:tabs>
        <w:spacing w:line="240" w:lineRule="auto" w:before="0" w:after="0"/>
        <w:ind w:left="1249" w:right="0" w:hanging="530"/>
        <w:jc w:val="left"/>
        <w:rPr>
          <w:sz w:val="21"/>
        </w:rPr>
      </w:pPr>
      <w:r>
        <w:rPr>
          <w:spacing w:val="-3"/>
          <w:sz w:val="21"/>
        </w:rPr>
        <w:t>不公平地对待其管理的不同基金财产。</w:t>
      </w:r>
    </w:p>
    <w:p>
      <w:pPr>
        <w:pStyle w:val="BodyText"/>
        <w:spacing w:before="1"/>
        <w:rPr>
          <w:sz w:val="16"/>
        </w:rPr>
      </w:pPr>
    </w:p>
    <w:p>
      <w:pPr>
        <w:pStyle w:val="ListParagraph"/>
        <w:numPr>
          <w:ilvl w:val="0"/>
          <w:numId w:val="2"/>
        </w:numPr>
        <w:tabs>
          <w:tab w:pos="1250" w:val="left" w:leader="none"/>
        </w:tabs>
        <w:spacing w:line="240" w:lineRule="auto" w:before="1" w:after="0"/>
        <w:ind w:left="1249" w:right="0" w:hanging="530"/>
        <w:jc w:val="left"/>
        <w:rPr>
          <w:sz w:val="21"/>
        </w:rPr>
      </w:pPr>
      <w:r>
        <w:rPr>
          <w:spacing w:val="-3"/>
          <w:sz w:val="21"/>
        </w:rPr>
        <w:t>利用基金财产为基金份额持有人以外的第三人牟取利益。</w:t>
      </w:r>
    </w:p>
    <w:p>
      <w:pPr>
        <w:pStyle w:val="BodyText"/>
        <w:rPr>
          <w:sz w:val="16"/>
        </w:rPr>
      </w:pPr>
    </w:p>
    <w:p>
      <w:pPr>
        <w:pStyle w:val="ListParagraph"/>
        <w:numPr>
          <w:ilvl w:val="0"/>
          <w:numId w:val="2"/>
        </w:numPr>
        <w:tabs>
          <w:tab w:pos="1250" w:val="left" w:leader="none"/>
        </w:tabs>
        <w:spacing w:line="240" w:lineRule="auto" w:before="1" w:after="0"/>
        <w:ind w:left="1249" w:right="0" w:hanging="530"/>
        <w:jc w:val="left"/>
        <w:rPr>
          <w:sz w:val="21"/>
        </w:rPr>
      </w:pPr>
      <w:r>
        <w:rPr>
          <w:spacing w:val="-3"/>
          <w:sz w:val="21"/>
        </w:rPr>
        <w:t>向基金份额持有人违规承诺收益或者承担损失。</w:t>
      </w:r>
    </w:p>
    <w:p>
      <w:pPr>
        <w:pStyle w:val="BodyText"/>
        <w:spacing w:before="1"/>
        <w:rPr>
          <w:sz w:val="16"/>
        </w:rPr>
      </w:pPr>
    </w:p>
    <w:p>
      <w:pPr>
        <w:pStyle w:val="ListParagraph"/>
        <w:numPr>
          <w:ilvl w:val="0"/>
          <w:numId w:val="2"/>
        </w:numPr>
        <w:tabs>
          <w:tab w:pos="1250" w:val="left" w:leader="none"/>
        </w:tabs>
        <w:spacing w:line="240" w:lineRule="auto" w:before="0" w:after="0"/>
        <w:ind w:left="1249" w:right="0" w:hanging="530"/>
        <w:jc w:val="left"/>
        <w:rPr>
          <w:sz w:val="21"/>
        </w:rPr>
      </w:pPr>
      <w:r>
        <w:rPr>
          <w:spacing w:val="-14"/>
          <w:sz w:val="21"/>
        </w:rPr>
        <w:t>依照法律、行政法规有关规定，由国务院证券监督管理机构规定禁止的其他行为。</w:t>
      </w:r>
    </w:p>
    <w:p>
      <w:pPr>
        <w:pStyle w:val="BodyText"/>
        <w:spacing w:before="1"/>
        <w:rPr>
          <w:sz w:val="16"/>
        </w:rPr>
      </w:pPr>
    </w:p>
    <w:p>
      <w:pPr>
        <w:pStyle w:val="BodyText"/>
        <w:ind w:left="720"/>
      </w:pPr>
      <w:r>
        <w:rPr>
          <w:rFonts w:ascii="Times New Roman" w:eastAsia="Times New Roman"/>
        </w:rPr>
        <w:t>5</w:t>
      </w:r>
      <w:r>
        <w:rPr/>
        <w:t>、基金经理承诺</w:t>
      </w:r>
    </w:p>
    <w:p>
      <w:pPr>
        <w:pStyle w:val="BodyText"/>
        <w:spacing w:before="1"/>
        <w:rPr>
          <w:sz w:val="16"/>
        </w:rPr>
      </w:pPr>
    </w:p>
    <w:p>
      <w:pPr>
        <w:pStyle w:val="ListParagraph"/>
        <w:numPr>
          <w:ilvl w:val="0"/>
          <w:numId w:val="3"/>
        </w:numPr>
        <w:tabs>
          <w:tab w:pos="1250" w:val="left" w:leader="none"/>
        </w:tabs>
        <w:spacing w:line="427" w:lineRule="auto" w:before="0" w:after="0"/>
        <w:ind w:left="300" w:right="87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250" w:val="left" w:leader="none"/>
        </w:tabs>
        <w:spacing w:line="424" w:lineRule="auto" w:before="0" w:after="0"/>
        <w:ind w:left="300" w:right="87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250" w:val="left" w:leader="none"/>
        </w:tabs>
        <w:spacing w:line="439" w:lineRule="auto" w:before="3" w:after="0"/>
        <w:ind w:left="300" w:right="874" w:firstLine="419"/>
        <w:jc w:val="left"/>
        <w:rPr>
          <w:sz w:val="21"/>
        </w:rPr>
      </w:pPr>
      <w:r>
        <w:rPr>
          <w:spacing w:val="-3"/>
          <w:sz w:val="21"/>
        </w:rPr>
        <w:t>不泄漏在任职期间知悉的有关证券、基金的商业秘密，尚未依法公开的基金投资内容、基金投资计划等信息。</w:t>
      </w:r>
    </w:p>
    <w:p>
      <w:pPr>
        <w:pStyle w:val="BodyText"/>
        <w:spacing w:line="266" w:lineRule="exact"/>
        <w:ind w:left="734"/>
      </w:pPr>
      <w:r>
        <w:rPr/>
        <w:t>（五）基金管理人的内部控制制度</w:t>
      </w:r>
    </w:p>
    <w:p>
      <w:pPr>
        <w:pStyle w:val="BodyText"/>
        <w:spacing w:before="5"/>
        <w:rPr>
          <w:sz w:val="17"/>
        </w:rPr>
      </w:pPr>
    </w:p>
    <w:p>
      <w:pPr>
        <w:pStyle w:val="BodyText"/>
        <w:spacing w:line="439" w:lineRule="auto" w:before="1"/>
        <w:ind w:left="300" w:right="871" w:firstLine="419"/>
      </w:pPr>
      <w:r>
        <w:rPr>
          <w:spacing w:val="-9"/>
        </w:rPr>
        <w:t>基金管理人根据全面性原则、有效性原则、独立性原则、相互制约原则、防火墙原则和成本收益原则建立了一套比较完整的内部控制体系。该内部控制体系由一系列业务管理制度</w:t>
      </w:r>
    </w:p>
    <w:p>
      <w:pPr>
        <w:spacing w:after="0" w:line="439" w:lineRule="auto"/>
        <w:sectPr>
          <w:pgSz w:w="11910" w:h="16840"/>
          <w:pgMar w:header="701" w:footer="683" w:top="1420" w:bottom="880" w:left="1500" w:right="920"/>
        </w:sectPr>
      </w:pPr>
    </w:p>
    <w:p>
      <w:pPr>
        <w:pStyle w:val="BodyText"/>
        <w:spacing w:line="436" w:lineRule="auto" w:before="124"/>
        <w:ind w:left="300" w:right="767"/>
      </w:pPr>
      <w:r>
        <w:rPr>
          <w:spacing w:val="-3"/>
        </w:rPr>
        <w:t>及相应的业务处理、控制程序组成，具体包括控制环境、风险评估、控制活动、信息沟通、</w:t>
      </w:r>
      <w:r>
        <w:rPr>
          <w:spacing w:val="-6"/>
          <w:w w:val="100"/>
        </w:rPr>
        <w:t>内部监控等要素。公司已经通过了</w:t>
      </w:r>
      <w:r>
        <w:rPr>
          <w:spacing w:val="-52"/>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before="5"/>
        <w:ind w:left="720"/>
      </w:pPr>
      <w:r>
        <w:rPr>
          <w:rFonts w:ascii="Times New Roman" w:eastAsia="Times New Roman"/>
        </w:rPr>
        <w:t>1</w:t>
      </w:r>
      <w:r>
        <w:rPr/>
        <w:t>、控制环境</w:t>
      </w:r>
    </w:p>
    <w:p>
      <w:pPr>
        <w:pStyle w:val="BodyText"/>
        <w:spacing w:before="5"/>
        <w:rPr>
          <w:sz w:val="17"/>
        </w:rPr>
      </w:pPr>
    </w:p>
    <w:p>
      <w:pPr>
        <w:pStyle w:val="BodyText"/>
        <w:spacing w:line="439" w:lineRule="auto"/>
        <w:ind w:left="300" w:right="884" w:firstLine="434"/>
      </w:pPr>
      <w:r>
        <w:rPr/>
        <w:t>良好的控制环境包括科学的公司治理、有效的监督管理、合理的组织结构和有力的控制文化。</w:t>
      </w:r>
    </w:p>
    <w:p>
      <w:pPr>
        <w:pStyle w:val="ListParagraph"/>
        <w:numPr>
          <w:ilvl w:val="0"/>
          <w:numId w:val="4"/>
        </w:numPr>
        <w:tabs>
          <w:tab w:pos="1264" w:val="left" w:leader="none"/>
        </w:tabs>
        <w:spacing w:line="439" w:lineRule="auto" w:before="0" w:after="0"/>
        <w:ind w:left="300" w:right="87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262" w:val="left" w:leader="none"/>
        </w:tabs>
        <w:spacing w:line="439" w:lineRule="auto" w:before="0" w:after="0"/>
        <w:ind w:left="300" w:right="87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264" w:val="left" w:leader="none"/>
        </w:tabs>
        <w:spacing w:line="439" w:lineRule="auto" w:before="0" w:after="0"/>
        <w:ind w:left="300" w:right="87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734"/>
      </w:pPr>
      <w:r>
        <w:rPr>
          <w:rFonts w:ascii="Times New Roman" w:eastAsia="Times New Roman"/>
        </w:rPr>
        <w:t>2</w:t>
      </w:r>
      <w:r>
        <w:rPr/>
        <w:t>、风险评估</w:t>
      </w:r>
    </w:p>
    <w:p>
      <w:pPr>
        <w:pStyle w:val="BodyText"/>
        <w:spacing w:before="9"/>
        <w:rPr>
          <w:sz w:val="16"/>
        </w:rPr>
      </w:pPr>
    </w:p>
    <w:p>
      <w:pPr>
        <w:pStyle w:val="BodyText"/>
        <w:spacing w:line="439" w:lineRule="auto"/>
        <w:ind w:left="300" w:right="76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5" w:lineRule="exact"/>
        <w:ind w:left="734"/>
      </w:pPr>
      <w:r>
        <w:rPr>
          <w:rFonts w:ascii="Times New Roman" w:eastAsia="Times New Roman"/>
        </w:rPr>
        <w:t>3</w:t>
      </w:r>
      <w:r>
        <w:rPr/>
        <w:t>、控制活动</w:t>
      </w:r>
    </w:p>
    <w:p>
      <w:pPr>
        <w:pStyle w:val="BodyText"/>
        <w:spacing w:before="5"/>
        <w:rPr>
          <w:sz w:val="17"/>
        </w:rPr>
      </w:pPr>
    </w:p>
    <w:p>
      <w:pPr>
        <w:pStyle w:val="BodyText"/>
        <w:spacing w:line="439" w:lineRule="auto"/>
        <w:ind w:left="300" w:right="87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264" w:val="left" w:leader="none"/>
        </w:tabs>
        <w:spacing w:line="266" w:lineRule="exact" w:before="0" w:after="0"/>
        <w:ind w:left="1263" w:right="0" w:hanging="530"/>
        <w:jc w:val="left"/>
        <w:rPr>
          <w:sz w:val="21"/>
        </w:rPr>
      </w:pPr>
      <w:r>
        <w:rPr>
          <w:spacing w:val="-3"/>
          <w:sz w:val="21"/>
        </w:rPr>
        <w:t>投资控制制度</w:t>
      </w:r>
    </w:p>
    <w:p>
      <w:pPr>
        <w:pStyle w:val="BodyText"/>
        <w:spacing w:before="3"/>
        <w:rPr>
          <w:sz w:val="17"/>
        </w:rPr>
      </w:pPr>
    </w:p>
    <w:p>
      <w:pPr>
        <w:pStyle w:val="BodyText"/>
        <w:spacing w:line="439" w:lineRule="auto"/>
        <w:ind w:left="300" w:right="662"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268" w:lineRule="exact"/>
        <w:ind w:left="734"/>
      </w:pPr>
      <w:r>
        <w:rPr/>
        <w:t>①投资决策与执行相分离。投资管理决策职能和交易执行职能严格隔离，实行集中交</w:t>
      </w:r>
    </w:p>
    <w:p>
      <w:pPr>
        <w:spacing w:after="0" w:line="268" w:lineRule="exact"/>
        <w:sectPr>
          <w:pgSz w:w="11910" w:h="16840"/>
          <w:pgMar w:header="701" w:footer="683" w:top="1420" w:bottom="880" w:left="1500" w:right="920"/>
        </w:sectPr>
      </w:pPr>
    </w:p>
    <w:p>
      <w:pPr>
        <w:pStyle w:val="BodyText"/>
        <w:spacing w:before="124"/>
        <w:ind w:left="300"/>
      </w:pPr>
      <w:r>
        <w:rPr/>
        <w:t>易制度，建立和完善公平的交易分配制度，确保各投资组合享有公平的交易执行机会。</w:t>
      </w:r>
    </w:p>
    <w:p>
      <w:pPr>
        <w:pStyle w:val="BodyText"/>
        <w:spacing w:before="8"/>
        <w:rPr>
          <w:sz w:val="16"/>
        </w:rPr>
      </w:pPr>
    </w:p>
    <w:p>
      <w:pPr>
        <w:pStyle w:val="BodyText"/>
        <w:spacing w:line="424" w:lineRule="auto"/>
        <w:ind w:left="300" w:right="87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424" w:lineRule="auto"/>
        <w:ind w:left="300" w:right="876" w:firstLine="434"/>
      </w:pPr>
      <w:r>
        <w:rPr/>
        <w:t>③警示性控制。按照法规或公司规定设置各类资产投资比例的预警线，交易系统在投资比例达到接近限制比例前的某一数值时自动预警。</w:t>
      </w:r>
    </w:p>
    <w:p>
      <w:pPr>
        <w:pStyle w:val="BodyText"/>
        <w:spacing w:line="424" w:lineRule="auto"/>
        <w:ind w:left="300" w:right="87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24" w:lineRule="auto"/>
        <w:ind w:left="300" w:right="878"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264" w:val="left" w:leader="none"/>
        </w:tabs>
        <w:spacing w:line="267" w:lineRule="exact" w:before="0" w:after="0"/>
        <w:ind w:left="1263" w:right="0" w:hanging="530"/>
        <w:jc w:val="left"/>
        <w:rPr>
          <w:sz w:val="21"/>
        </w:rPr>
      </w:pPr>
      <w:r>
        <w:rPr>
          <w:spacing w:val="-3"/>
          <w:sz w:val="21"/>
        </w:rPr>
        <w:t>会计控制制度</w:t>
      </w:r>
    </w:p>
    <w:p>
      <w:pPr>
        <w:pStyle w:val="BodyText"/>
        <w:spacing w:before="8"/>
        <w:rPr>
          <w:sz w:val="15"/>
        </w:rPr>
      </w:pPr>
    </w:p>
    <w:p>
      <w:pPr>
        <w:pStyle w:val="BodyText"/>
        <w:ind w:left="720"/>
      </w:pPr>
      <w:r>
        <w:rPr/>
        <w:t>①建立了基金会计的工作制度及相应的操作和控制规程，确保会计业务有章可循。</w:t>
      </w:r>
    </w:p>
    <w:p>
      <w:pPr>
        <w:pStyle w:val="BodyText"/>
        <w:spacing w:before="1"/>
        <w:rPr>
          <w:sz w:val="16"/>
        </w:rPr>
      </w:pPr>
    </w:p>
    <w:p>
      <w:pPr>
        <w:pStyle w:val="BodyText"/>
        <w:spacing w:line="424" w:lineRule="auto" w:before="1"/>
        <w:ind w:left="300" w:right="871" w:firstLine="419"/>
      </w:pPr>
      <w:r>
        <w:rPr>
          <w:spacing w:val="-12"/>
        </w:rPr>
        <w:t>②按照相互制约原则，建立了基金会计业务的复核制度以及与托管人相关业务的相互核</w:t>
      </w:r>
      <w:r>
        <w:rPr>
          <w:spacing w:val="-6"/>
        </w:rPr>
        <w:t>查监督制度。</w:t>
      </w:r>
    </w:p>
    <w:p>
      <w:pPr>
        <w:pStyle w:val="BodyText"/>
        <w:ind w:left="720"/>
      </w:pPr>
      <w:r>
        <w:rPr/>
        <w:t>③为了防范基金会计在资金头寸管理上出现透支风险，制定了资金头寸管理制度。</w:t>
      </w:r>
    </w:p>
    <w:p>
      <w:pPr>
        <w:pStyle w:val="BodyText"/>
        <w:spacing w:before="1"/>
        <w:rPr>
          <w:sz w:val="16"/>
        </w:rPr>
      </w:pPr>
    </w:p>
    <w:p>
      <w:pPr>
        <w:pStyle w:val="BodyText"/>
        <w:ind w:left="734"/>
      </w:pPr>
      <w:r>
        <w:rPr/>
        <w:t>④制定了完善的档案保管和财务交接制度。</w:t>
      </w:r>
    </w:p>
    <w:p>
      <w:pPr>
        <w:pStyle w:val="BodyText"/>
        <w:spacing w:before="1"/>
        <w:rPr>
          <w:sz w:val="16"/>
        </w:rPr>
      </w:pPr>
    </w:p>
    <w:p>
      <w:pPr>
        <w:pStyle w:val="ListParagraph"/>
        <w:numPr>
          <w:ilvl w:val="0"/>
          <w:numId w:val="5"/>
        </w:numPr>
        <w:tabs>
          <w:tab w:pos="1264" w:val="left" w:leader="none"/>
        </w:tabs>
        <w:spacing w:line="240" w:lineRule="auto" w:before="0" w:after="0"/>
        <w:ind w:left="1263" w:right="0" w:hanging="530"/>
        <w:jc w:val="left"/>
        <w:rPr>
          <w:sz w:val="21"/>
        </w:rPr>
      </w:pPr>
      <w:r>
        <w:rPr>
          <w:spacing w:val="-3"/>
          <w:sz w:val="21"/>
        </w:rPr>
        <w:t>技术系统控制制度</w:t>
      </w:r>
    </w:p>
    <w:p>
      <w:pPr>
        <w:pStyle w:val="BodyText"/>
        <w:spacing w:before="1"/>
        <w:rPr>
          <w:sz w:val="16"/>
        </w:rPr>
      </w:pPr>
    </w:p>
    <w:p>
      <w:pPr>
        <w:pStyle w:val="BodyText"/>
        <w:spacing w:line="424" w:lineRule="auto"/>
        <w:ind w:left="300" w:right="87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264" w:val="left" w:leader="none"/>
        </w:tabs>
        <w:spacing w:line="267" w:lineRule="exact" w:before="0" w:after="0"/>
        <w:ind w:left="1263" w:right="0" w:hanging="530"/>
        <w:jc w:val="left"/>
        <w:rPr>
          <w:sz w:val="21"/>
        </w:rPr>
      </w:pPr>
      <w:r>
        <w:rPr>
          <w:spacing w:val="-3"/>
          <w:sz w:val="21"/>
        </w:rPr>
        <w:t>人力资源管理制度</w:t>
      </w:r>
    </w:p>
    <w:p>
      <w:pPr>
        <w:pStyle w:val="BodyText"/>
        <w:spacing w:before="5"/>
        <w:rPr>
          <w:sz w:val="17"/>
        </w:rPr>
      </w:pPr>
    </w:p>
    <w:p>
      <w:pPr>
        <w:pStyle w:val="BodyText"/>
        <w:spacing w:line="453" w:lineRule="auto"/>
        <w:ind w:left="300" w:right="884" w:firstLine="434"/>
      </w:pPr>
      <w:r>
        <w:rPr/>
        <w:t>公司建立了科学的招聘解聘制度、培训制度、考核制度、薪酬制度等人事管理制度， 确保人力资源的有效管理。</w:t>
      </w:r>
    </w:p>
    <w:p>
      <w:pPr>
        <w:pStyle w:val="ListParagraph"/>
        <w:numPr>
          <w:ilvl w:val="0"/>
          <w:numId w:val="5"/>
        </w:numPr>
        <w:tabs>
          <w:tab w:pos="1264" w:val="left" w:leader="none"/>
        </w:tabs>
        <w:spacing w:line="267" w:lineRule="exact" w:before="0" w:after="0"/>
        <w:ind w:left="1263" w:right="0" w:hanging="530"/>
        <w:jc w:val="left"/>
        <w:rPr>
          <w:sz w:val="21"/>
        </w:rPr>
      </w:pPr>
      <w:r>
        <w:rPr>
          <w:spacing w:val="-2"/>
          <w:sz w:val="21"/>
        </w:rPr>
        <w:t>监察制度</w:t>
      </w:r>
    </w:p>
    <w:p>
      <w:pPr>
        <w:pStyle w:val="BodyText"/>
        <w:spacing w:before="7"/>
        <w:rPr>
          <w:sz w:val="18"/>
        </w:rPr>
      </w:pPr>
    </w:p>
    <w:p>
      <w:pPr>
        <w:pStyle w:val="BodyText"/>
        <w:spacing w:line="453" w:lineRule="auto"/>
        <w:ind w:left="300" w:right="88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264" w:val="left" w:leader="none"/>
        </w:tabs>
        <w:spacing w:line="251" w:lineRule="exact" w:before="0" w:after="0"/>
        <w:ind w:left="1263" w:right="0" w:hanging="530"/>
        <w:jc w:val="left"/>
        <w:rPr>
          <w:sz w:val="21"/>
        </w:rPr>
      </w:pPr>
      <w:r>
        <w:rPr>
          <w:spacing w:val="-3"/>
          <w:sz w:val="21"/>
        </w:rPr>
        <w:t>反洗钱制度</w:t>
      </w:r>
    </w:p>
    <w:p>
      <w:pPr>
        <w:spacing w:after="0" w:line="251" w:lineRule="exact"/>
        <w:jc w:val="left"/>
        <w:rPr>
          <w:sz w:val="21"/>
        </w:rPr>
        <w:sectPr>
          <w:pgSz w:w="11910" w:h="16840"/>
          <w:pgMar w:header="701" w:footer="683" w:top="1420" w:bottom="880" w:left="1500" w:right="920"/>
        </w:sectPr>
      </w:pPr>
    </w:p>
    <w:p>
      <w:pPr>
        <w:pStyle w:val="BodyText"/>
        <w:spacing w:line="424" w:lineRule="auto" w:before="115"/>
        <w:ind w:left="300" w:right="87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2"/>
        <w:ind w:left="734"/>
      </w:pPr>
      <w:r>
        <w:rPr>
          <w:rFonts w:ascii="Times New Roman" w:eastAsia="Times New Roman"/>
        </w:rPr>
        <w:t>4</w:t>
      </w:r>
      <w:r>
        <w:rPr/>
        <w:t>、信息沟通</w:t>
      </w:r>
    </w:p>
    <w:p>
      <w:pPr>
        <w:pStyle w:val="BodyText"/>
        <w:spacing w:before="9"/>
        <w:rPr>
          <w:sz w:val="18"/>
        </w:rPr>
      </w:pPr>
    </w:p>
    <w:p>
      <w:pPr>
        <w:pStyle w:val="BodyText"/>
        <w:spacing w:line="453" w:lineRule="auto"/>
        <w:ind w:left="300" w:right="89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4" w:lineRule="exact"/>
        <w:ind w:left="734"/>
      </w:pPr>
      <w:r>
        <w:rPr>
          <w:rFonts w:ascii="Times New Roman" w:eastAsia="Times New Roman"/>
        </w:rPr>
        <w:t>5</w:t>
      </w:r>
      <w:r>
        <w:rPr/>
        <w:t>、内部监控</w:t>
      </w:r>
    </w:p>
    <w:p>
      <w:pPr>
        <w:pStyle w:val="BodyText"/>
        <w:spacing w:before="7"/>
        <w:rPr>
          <w:sz w:val="18"/>
        </w:rPr>
      </w:pPr>
    </w:p>
    <w:p>
      <w:pPr>
        <w:pStyle w:val="BodyText"/>
        <w:spacing w:line="453" w:lineRule="auto"/>
        <w:ind w:left="300" w:right="87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720"/>
      </w:pPr>
      <w:r>
        <w:rPr>
          <w:rFonts w:ascii="Times New Roman" w:eastAsia="Times New Roman"/>
        </w:rPr>
        <w:t>6</w:t>
      </w:r>
      <w:r>
        <w:rPr/>
        <w:t>、基金管理人关于内部控制的声明</w:t>
      </w:r>
    </w:p>
    <w:p>
      <w:pPr>
        <w:pStyle w:val="BodyText"/>
        <w:spacing w:before="9"/>
        <w:rPr>
          <w:sz w:val="18"/>
        </w:rPr>
      </w:pPr>
    </w:p>
    <w:p>
      <w:pPr>
        <w:pStyle w:val="ListParagraph"/>
        <w:numPr>
          <w:ilvl w:val="0"/>
          <w:numId w:val="6"/>
        </w:numPr>
        <w:tabs>
          <w:tab w:pos="1250" w:val="left" w:leader="none"/>
        </w:tabs>
        <w:spacing w:line="240" w:lineRule="auto" w:before="0" w:after="0"/>
        <w:ind w:left="1249" w:right="0" w:hanging="530"/>
        <w:jc w:val="left"/>
        <w:rPr>
          <w:sz w:val="21"/>
        </w:rPr>
      </w:pPr>
      <w:r>
        <w:rPr>
          <w:spacing w:val="-3"/>
          <w:sz w:val="21"/>
        </w:rPr>
        <w:t>本公司确知建立、实施和维持内部控制制度是本公司董事会及管理层的责任。</w:t>
      </w:r>
    </w:p>
    <w:p>
      <w:pPr>
        <w:pStyle w:val="BodyText"/>
        <w:spacing w:before="7"/>
        <w:rPr>
          <w:sz w:val="18"/>
        </w:rPr>
      </w:pPr>
    </w:p>
    <w:p>
      <w:pPr>
        <w:pStyle w:val="ListParagraph"/>
        <w:numPr>
          <w:ilvl w:val="0"/>
          <w:numId w:val="6"/>
        </w:numPr>
        <w:tabs>
          <w:tab w:pos="1250" w:val="left" w:leader="none"/>
        </w:tabs>
        <w:spacing w:line="240" w:lineRule="auto" w:before="0" w:after="0"/>
        <w:ind w:left="1249" w:right="0" w:hanging="530"/>
        <w:jc w:val="left"/>
        <w:rPr>
          <w:sz w:val="21"/>
        </w:rPr>
      </w:pPr>
      <w:r>
        <w:rPr>
          <w:spacing w:val="-3"/>
          <w:sz w:val="21"/>
        </w:rPr>
        <w:t>上述关于内部控制的披露真实、准确。</w:t>
      </w:r>
    </w:p>
    <w:p>
      <w:pPr>
        <w:pStyle w:val="BodyText"/>
        <w:spacing w:before="6"/>
        <w:rPr>
          <w:sz w:val="18"/>
        </w:rPr>
      </w:pPr>
    </w:p>
    <w:p>
      <w:pPr>
        <w:pStyle w:val="ListParagraph"/>
        <w:numPr>
          <w:ilvl w:val="0"/>
          <w:numId w:val="6"/>
        </w:numPr>
        <w:tabs>
          <w:tab w:pos="1250" w:val="left" w:leader="none"/>
        </w:tabs>
        <w:spacing w:line="240" w:lineRule="auto" w:before="1" w:after="0"/>
        <w:ind w:left="124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6"/>
      </w:pPr>
    </w:p>
    <w:p>
      <w:pPr>
        <w:pStyle w:val="Heading1"/>
        <w:ind w:right="876"/>
      </w:pPr>
      <w:bookmarkStart w:name="_bookmark3" w:id="4"/>
      <w:bookmarkEnd w:id="4"/>
      <w:r>
        <w:rPr>
          <w:b w:val="0"/>
        </w:rPr>
      </w:r>
      <w:r>
        <w:rPr/>
        <w:t>四、基金托管人</w:t>
      </w:r>
    </w:p>
    <w:p>
      <w:pPr>
        <w:pStyle w:val="BodyText"/>
        <w:rPr>
          <w:b/>
          <w:sz w:val="24"/>
        </w:rPr>
      </w:pPr>
    </w:p>
    <w:p>
      <w:pPr>
        <w:pStyle w:val="BodyText"/>
        <w:spacing w:before="9"/>
        <w:rPr>
          <w:b/>
          <w:sz w:val="17"/>
        </w:rPr>
      </w:pPr>
    </w:p>
    <w:p>
      <w:pPr>
        <w:pStyle w:val="BodyText"/>
        <w:ind w:left="720"/>
      </w:pPr>
      <w:r>
        <w:rPr/>
        <w:t>（一）基金托管人基本情况</w:t>
      </w:r>
    </w:p>
    <w:p>
      <w:pPr>
        <w:pStyle w:val="BodyText"/>
        <w:spacing w:before="1"/>
        <w:rPr>
          <w:sz w:val="16"/>
        </w:rPr>
      </w:pPr>
    </w:p>
    <w:p>
      <w:pPr>
        <w:pStyle w:val="BodyText"/>
        <w:ind w:left="720"/>
      </w:pPr>
      <w:r>
        <w:rPr/>
        <w:t>名称：中国工商银行股份有限公司</w:t>
      </w:r>
    </w:p>
    <w:p>
      <w:pPr>
        <w:pStyle w:val="BodyText"/>
        <w:spacing w:before="4"/>
        <w:rPr>
          <w:sz w:val="16"/>
        </w:rPr>
      </w:pPr>
    </w:p>
    <w:p>
      <w:pPr>
        <w:pStyle w:val="BodyText"/>
        <w:ind w:left="720"/>
      </w:pPr>
      <w:r>
        <w:rPr/>
        <w:t>注册地址：北京市西城区复兴门内大街 </w:t>
      </w:r>
      <w:r>
        <w:rPr>
          <w:rFonts w:ascii="Times New Roman" w:eastAsia="Times New Roman"/>
        </w:rPr>
        <w:t>55 </w:t>
      </w:r>
      <w:r>
        <w:rPr/>
        <w:t>号</w:t>
      </w:r>
    </w:p>
    <w:p>
      <w:pPr>
        <w:pStyle w:val="BodyText"/>
        <w:spacing w:before="1"/>
        <w:rPr>
          <w:sz w:val="16"/>
        </w:rPr>
      </w:pPr>
    </w:p>
    <w:p>
      <w:pPr>
        <w:pStyle w:val="BodyText"/>
        <w:spacing w:line="424" w:lineRule="auto"/>
        <w:ind w:left="720" w:right="6190"/>
      </w:pPr>
      <w:r>
        <w:rPr>
          <w:spacing w:val="-1"/>
        </w:rPr>
        <w:t>成立时间：</w:t>
      </w:r>
      <w:r>
        <w:rPr>
          <w:rFonts w:ascii="Times New Roman" w:eastAsia="Times New Roman"/>
        </w:rPr>
        <w:t>1984 </w:t>
      </w:r>
      <w:r>
        <w:rPr>
          <w:spacing w:val="-27"/>
        </w:rPr>
        <w:t>年 </w:t>
      </w:r>
      <w:r>
        <w:rPr>
          <w:rFonts w:ascii="Times New Roman" w:eastAsia="Times New Roman"/>
        </w:rPr>
        <w:t>1 </w:t>
      </w:r>
      <w:r>
        <w:rPr>
          <w:spacing w:val="-27"/>
        </w:rPr>
        <w:t>月 </w:t>
      </w:r>
      <w:r>
        <w:rPr>
          <w:rFonts w:ascii="Times New Roman" w:eastAsia="Times New Roman"/>
        </w:rPr>
        <w:t>1 </w:t>
      </w:r>
      <w:r>
        <w:rPr>
          <w:spacing w:val="-13"/>
        </w:rPr>
        <w:t>日</w:t>
      </w:r>
      <w:r>
        <w:rPr>
          <w:spacing w:val="-3"/>
        </w:rPr>
        <w:t>法定代表人：陈四清</w:t>
      </w:r>
    </w:p>
    <w:p>
      <w:pPr>
        <w:pStyle w:val="BodyText"/>
        <w:spacing w:line="424" w:lineRule="auto"/>
        <w:ind w:left="720" w:right="5078"/>
        <w:rPr>
          <w:rFonts w:ascii="Times New Roman" w:eastAsia="Times New Roman"/>
        </w:rPr>
      </w:pPr>
      <w:r>
        <w:rPr/>
        <w:t>注册资本：人民币 </w:t>
      </w:r>
      <w:r>
        <w:rPr>
          <w:rFonts w:ascii="Times New Roman" w:eastAsia="Times New Roman"/>
        </w:rPr>
        <w:t>35,640,625.7089 </w:t>
      </w:r>
      <w:r>
        <w:rPr/>
        <w:t>万元联系电话：</w:t>
      </w:r>
      <w:r>
        <w:rPr>
          <w:rFonts w:ascii="Times New Roman" w:eastAsia="Times New Roman"/>
        </w:rPr>
        <w:t>010-66105799</w:t>
      </w:r>
    </w:p>
    <w:p>
      <w:pPr>
        <w:pStyle w:val="BodyText"/>
        <w:spacing w:line="267" w:lineRule="exact"/>
        <w:ind w:left="720"/>
      </w:pPr>
      <w:r>
        <w:rPr/>
        <w:t>联系人：郭明</w:t>
      </w:r>
    </w:p>
    <w:p>
      <w:pPr>
        <w:pStyle w:val="BodyText"/>
        <w:spacing w:before="12"/>
        <w:rPr>
          <w:sz w:val="15"/>
        </w:rPr>
      </w:pPr>
    </w:p>
    <w:p>
      <w:pPr>
        <w:pStyle w:val="BodyText"/>
        <w:ind w:left="720"/>
      </w:pPr>
      <w:r>
        <w:rPr/>
        <w:t>（二）主要人员情况</w:t>
      </w:r>
    </w:p>
    <w:p>
      <w:pPr>
        <w:spacing w:after="0"/>
        <w:sectPr>
          <w:pgSz w:w="11910" w:h="16840"/>
          <w:pgMar w:header="701" w:footer="683" w:top="1420" w:bottom="880" w:left="1500" w:right="920"/>
        </w:sectPr>
      </w:pPr>
    </w:p>
    <w:p>
      <w:pPr>
        <w:pStyle w:val="BodyText"/>
        <w:spacing w:line="424" w:lineRule="auto" w:before="115"/>
        <w:ind w:left="300" w:right="873" w:firstLine="419"/>
      </w:pPr>
      <w:r>
        <w:rPr>
          <w:spacing w:val="-17"/>
        </w:rPr>
        <w:t>截至 </w:t>
      </w:r>
      <w:r>
        <w:rPr>
          <w:rFonts w:ascii="Times New Roman" w:eastAsia="Times New Roman"/>
        </w:rPr>
        <w:t>2020 </w:t>
      </w:r>
      <w:r>
        <w:rPr>
          <w:spacing w:val="-24"/>
        </w:rPr>
        <w:t>年 </w:t>
      </w:r>
      <w:r>
        <w:rPr>
          <w:rFonts w:ascii="Times New Roman" w:eastAsia="Times New Roman"/>
        </w:rPr>
        <w:t>6 </w:t>
      </w:r>
      <w:r>
        <w:rPr>
          <w:spacing w:val="-9"/>
        </w:rPr>
        <w:t>月，中国工商银行资产托管部共有员工 </w:t>
      </w:r>
      <w:r>
        <w:rPr>
          <w:rFonts w:ascii="Times New Roman" w:eastAsia="Times New Roman"/>
        </w:rPr>
        <w:t>212 </w:t>
      </w:r>
      <w:r>
        <w:rPr>
          <w:spacing w:val="-12"/>
        </w:rPr>
        <w:t>人，平均年龄 </w:t>
      </w:r>
      <w:r>
        <w:rPr>
          <w:rFonts w:ascii="Times New Roman" w:eastAsia="Times New Roman"/>
        </w:rPr>
        <w:t>33 </w:t>
      </w:r>
      <w:r>
        <w:rPr>
          <w:spacing w:val="-5"/>
        </w:rPr>
        <w:t>岁，</w:t>
      </w:r>
      <w:r>
        <w:rPr>
          <w:rFonts w:ascii="Times New Roman" w:eastAsia="Times New Roman"/>
          <w:spacing w:val="-6"/>
        </w:rPr>
        <w:t>95%</w:t>
      </w:r>
      <w:r>
        <w:rPr/>
        <w:t>以</w:t>
      </w:r>
      <w:r>
        <w:rPr>
          <w:spacing w:val="-3"/>
        </w:rPr>
        <w:t>上员工拥有大学本科以上学历，高管人员均拥有研究生以上学历或高级技术职称。</w:t>
      </w:r>
    </w:p>
    <w:p>
      <w:pPr>
        <w:pStyle w:val="BodyText"/>
        <w:spacing w:line="267" w:lineRule="exact"/>
        <w:ind w:left="720"/>
      </w:pPr>
      <w:r>
        <w:rPr/>
        <w:t>（三）基金托管业务经营情况</w:t>
      </w:r>
    </w:p>
    <w:p>
      <w:pPr>
        <w:pStyle w:val="BodyText"/>
        <w:rPr>
          <w:sz w:val="16"/>
        </w:rPr>
      </w:pPr>
    </w:p>
    <w:p>
      <w:pPr>
        <w:pStyle w:val="BodyText"/>
        <w:spacing w:line="424" w:lineRule="auto" w:before="1"/>
        <w:ind w:left="300" w:right="768" w:firstLine="419"/>
      </w:pPr>
      <w:r>
        <w:rPr>
          <w:spacing w:val="-5"/>
        </w:rPr>
        <w:t>作为中国大陆托管服务的先行者，中国工商银行自 </w:t>
      </w:r>
      <w:r>
        <w:rPr>
          <w:rFonts w:ascii="Times New Roman" w:hAnsi="Times New Roman" w:eastAsia="Times New Roman"/>
        </w:rPr>
        <w:t>1998 </w:t>
      </w:r>
      <w:r>
        <w:rPr>
          <w:spacing w:val="-3"/>
        </w:rPr>
        <w:t>年在国内首家提供托管服务以</w:t>
      </w:r>
      <w:r>
        <w:rPr>
          <w:spacing w:val="-11"/>
        </w:rPr>
        <w:t>来，秉承“诚实信用、勤勉尽责”的宗旨，依靠严密科学的风险管理和内部控制体系、规范</w:t>
      </w:r>
      <w:r>
        <w:rPr>
          <w:spacing w:val="-12"/>
        </w:rPr>
        <w:t>的管理模式、先进的营运系统和专业的服务团队，严格履行资产托管人职责，为境内外广大</w:t>
      </w:r>
      <w:r>
        <w:rPr>
          <w:spacing w:val="-11"/>
        </w:rPr>
        <w:t>投资者、金融资产管理机构和企业客户提供安全、高效、专业的托管服务，展现优异的市场</w:t>
      </w:r>
      <w:r>
        <w:rPr>
          <w:spacing w:val="-6"/>
        </w:rPr>
        <w:t>形象和影响力。建立了国内托管银行中最丰富、最成熟的产品线。拥有包括证券投资基金、</w:t>
      </w:r>
      <w:r>
        <w:rPr>
          <w:spacing w:val="-4"/>
        </w:rPr>
        <w:t>信托资产、保险资产、社会保障基金、基本养老保险、企业年金基金、</w:t>
      </w:r>
      <w:r>
        <w:rPr>
          <w:rFonts w:ascii="Times New Roman" w:hAnsi="Times New Roman" w:eastAsia="Times New Roman"/>
        </w:rPr>
        <w:t>QFII </w:t>
      </w:r>
      <w:r>
        <w:rPr>
          <w:spacing w:val="-2"/>
        </w:rPr>
        <w:t>资产、</w:t>
      </w:r>
      <w:r>
        <w:rPr>
          <w:rFonts w:ascii="Times New Roman" w:hAnsi="Times New Roman" w:eastAsia="Times New Roman"/>
        </w:rPr>
        <w:t>QDII </w:t>
      </w:r>
      <w:r>
        <w:rPr/>
        <w:t>资</w:t>
      </w:r>
      <w:r>
        <w:rPr>
          <w:spacing w:val="-11"/>
        </w:rPr>
        <w:t>产、股权投资基金、证券公司集合资产管理计划、证券公司定向资产管理计划、商业银行信</w:t>
      </w:r>
      <w:r>
        <w:rPr>
          <w:spacing w:val="-8"/>
        </w:rPr>
        <w:t>贷资产证券化、基金公司特定客户资产管理、</w:t>
      </w:r>
      <w:r>
        <w:rPr>
          <w:rFonts w:ascii="Times New Roman" w:hAnsi="Times New Roman" w:eastAsia="Times New Roman"/>
        </w:rPr>
        <w:t>QDII </w:t>
      </w:r>
      <w:r>
        <w:rPr>
          <w:spacing w:val="-5"/>
        </w:rPr>
        <w:t>专户资产、</w:t>
      </w:r>
      <w:r>
        <w:rPr>
          <w:rFonts w:ascii="Times New Roman" w:hAnsi="Times New Roman" w:eastAsia="Times New Roman"/>
        </w:rPr>
        <w:t>ESCROW </w:t>
      </w:r>
      <w:r>
        <w:rPr>
          <w:spacing w:val="-3"/>
        </w:rPr>
        <w:t>等门类齐全的托管</w:t>
      </w:r>
      <w:r>
        <w:rPr>
          <w:spacing w:val="-10"/>
        </w:rPr>
        <w:t>产品体系，同时在国内率先开展绩效评估、风险管理等增值服务，可以为各类客户提供个性化的托管服务。截至 </w:t>
      </w:r>
      <w:r>
        <w:rPr>
          <w:rFonts w:ascii="Times New Roman" w:hAnsi="Times New Roman" w:eastAsia="Times New Roman"/>
        </w:rPr>
        <w:t>2020 </w:t>
      </w:r>
      <w:r>
        <w:rPr>
          <w:spacing w:val="-25"/>
        </w:rPr>
        <w:t>年 </w:t>
      </w:r>
      <w:r>
        <w:rPr>
          <w:rFonts w:ascii="Times New Roman" w:hAnsi="Times New Roman" w:eastAsia="Times New Roman"/>
        </w:rPr>
        <w:t>6</w:t>
      </w:r>
      <w:r>
        <w:rPr>
          <w:rFonts w:ascii="Times New Roman" w:hAnsi="Times New Roman" w:eastAsia="Times New Roman"/>
          <w:spacing w:val="4"/>
        </w:rPr>
        <w:t> </w:t>
      </w:r>
      <w:r>
        <w:rPr>
          <w:spacing w:val="-6"/>
        </w:rPr>
        <w:t>月，中国工商银行共托管证券投资基金 </w:t>
      </w:r>
      <w:r>
        <w:rPr>
          <w:rFonts w:ascii="Times New Roman" w:hAnsi="Times New Roman" w:eastAsia="Times New Roman"/>
        </w:rPr>
        <w:t>1094 </w:t>
      </w:r>
      <w:r>
        <w:rPr>
          <w:spacing w:val="-14"/>
        </w:rPr>
        <w:t>只。自 </w:t>
      </w:r>
      <w:r>
        <w:rPr>
          <w:rFonts w:ascii="Times New Roman" w:hAnsi="Times New Roman" w:eastAsia="Times New Roman"/>
        </w:rPr>
        <w:t>2003 </w:t>
      </w:r>
      <w:r>
        <w:rPr/>
        <w:t>年</w:t>
      </w:r>
      <w:r>
        <w:rPr>
          <w:spacing w:val="-25"/>
        </w:rPr>
        <w:t>以来，本行连续十七年获得香港《亚洲货币》、英国《全球托管人》、香港《财资》、美国《环</w:t>
      </w:r>
      <w:r>
        <w:rPr>
          <w:spacing w:val="-26"/>
        </w:rPr>
        <w:t>球金融》、内地《证券时报》、《上海证券报》等境内外权威财经媒体评选的 </w:t>
      </w:r>
      <w:r>
        <w:rPr>
          <w:rFonts w:ascii="Times New Roman" w:hAnsi="Times New Roman" w:eastAsia="Times New Roman"/>
        </w:rPr>
        <w:t>73 </w:t>
      </w:r>
      <w:r>
        <w:rPr>
          <w:spacing w:val="-2"/>
        </w:rPr>
        <w:t>项最佳托管银</w:t>
      </w:r>
      <w:r>
        <w:rPr>
          <w:spacing w:val="-12"/>
        </w:rPr>
        <w:t>行大奖；是获得奖项最多的国内托管银行，优良的服务品质获得国内外金融领域的持续认可</w:t>
      </w:r>
      <w:r>
        <w:rPr>
          <w:spacing w:val="-6"/>
        </w:rPr>
        <w:t>和广泛好评。</w:t>
      </w:r>
    </w:p>
    <w:p>
      <w:pPr>
        <w:pStyle w:val="BodyText"/>
        <w:spacing w:line="260" w:lineRule="exact"/>
        <w:ind w:left="720"/>
      </w:pPr>
      <w:r>
        <w:rPr/>
        <w:t>（四）基金托管人的内部控制制度</w:t>
      </w:r>
    </w:p>
    <w:p>
      <w:pPr>
        <w:pStyle w:val="BodyText"/>
        <w:spacing w:before="1"/>
        <w:rPr>
          <w:sz w:val="16"/>
        </w:rPr>
      </w:pPr>
    </w:p>
    <w:p>
      <w:pPr>
        <w:pStyle w:val="BodyText"/>
        <w:spacing w:line="424" w:lineRule="auto"/>
        <w:ind w:left="300" w:right="871" w:firstLine="419"/>
        <w:jc w:val="both"/>
      </w:pPr>
      <w:r>
        <w:rPr>
          <w:spacing w:val="-8"/>
        </w:rPr>
        <w:t>中国工商银行资产托管部自成立以来，各项业务飞速发展，始终保持在资产托管行业的</w:t>
      </w:r>
      <w:r>
        <w:rPr>
          <w:spacing w:val="-12"/>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8"/>
        </w:rPr>
        <w:t>项目全过程风险管理作为重要工作来做。从 </w:t>
      </w:r>
      <w:r>
        <w:rPr>
          <w:rFonts w:ascii="Times New Roman" w:hAnsi="Times New Roman" w:eastAsia="Times New Roman"/>
        </w:rPr>
        <w:t>2005 </w:t>
      </w:r>
      <w:r>
        <w:rPr>
          <w:spacing w:val="-3"/>
        </w:rPr>
        <w:t>年至今共十三次顺利通过评估组织内部控</w:t>
      </w:r>
      <w:r>
        <w:rPr>
          <w:spacing w:val="-6"/>
        </w:rPr>
        <w:t>制和安全措施最权威的 </w:t>
      </w:r>
      <w:r>
        <w:rPr>
          <w:rFonts w:ascii="Times New Roman" w:hAnsi="Times New Roman" w:eastAsia="Times New Roman"/>
        </w:rPr>
        <w:t>ISAE3402 </w:t>
      </w:r>
      <w:r>
        <w:rPr>
          <w:spacing w:val="-6"/>
        </w:rPr>
        <w:t>审阅，全部获得无保留意见的控制及有效性报告。充分表明独立第三方对我行托管服务在风险管理、内部控制方面的健全性和有效性的全面认可</w:t>
      </w:r>
      <w:r>
        <w:rPr>
          <w:rFonts w:ascii="Times New Roman" w:hAnsi="Times New Roman" w:eastAsia="Times New Roman"/>
          <w:spacing w:val="-6"/>
        </w:rPr>
        <w:t>,</w:t>
      </w:r>
      <w:r>
        <w:rPr>
          <w:spacing w:val="-14"/>
        </w:rPr>
        <w:t>也</w:t>
      </w:r>
      <w:r>
        <w:rPr>
          <w:spacing w:val="-6"/>
        </w:rPr>
        <w:t>证明中国工商银行托管服务的风险控制能力已经与国际大型托管银行接轨，达到国际先进水</w:t>
      </w:r>
      <w:r>
        <w:rPr>
          <w:spacing w:val="-4"/>
        </w:rPr>
        <w:t>平。目前，</w:t>
      </w:r>
      <w:r>
        <w:rPr>
          <w:rFonts w:ascii="Times New Roman" w:hAnsi="Times New Roman" w:eastAsia="Times New Roman"/>
        </w:rPr>
        <w:t>ISAE3402 </w:t>
      </w:r>
      <w:r>
        <w:rPr>
          <w:spacing w:val="-8"/>
        </w:rPr>
        <w:t>审阅已经成为年度化、常规化的内控工作手段。”</w:t>
      </w:r>
    </w:p>
    <w:p>
      <w:pPr>
        <w:pStyle w:val="BodyText"/>
        <w:spacing w:line="263" w:lineRule="exact"/>
        <w:ind w:left="720"/>
      </w:pPr>
      <w:r>
        <w:rPr>
          <w:rFonts w:ascii="Times New Roman" w:eastAsia="Times New Roman"/>
        </w:rPr>
        <w:t>1</w:t>
      </w:r>
      <w:r>
        <w:rPr/>
        <w:t>、内部风险控制目标</w:t>
      </w:r>
    </w:p>
    <w:p>
      <w:pPr>
        <w:pStyle w:val="BodyText"/>
        <w:spacing w:before="1"/>
        <w:rPr>
          <w:sz w:val="16"/>
        </w:rPr>
      </w:pPr>
    </w:p>
    <w:p>
      <w:pPr>
        <w:pStyle w:val="BodyText"/>
        <w:ind w:left="720"/>
      </w:pPr>
      <w:r>
        <w:rPr/>
        <w:t>保证业务运作严格遵守国家有关法律法规和行业监管规则，强化和建立守法经营、规范</w:t>
      </w:r>
    </w:p>
    <w:p>
      <w:pPr>
        <w:spacing w:after="0"/>
        <w:sectPr>
          <w:pgSz w:w="11910" w:h="16840"/>
          <w:pgMar w:header="701" w:footer="683" w:top="1420" w:bottom="880" w:left="1500" w:right="920"/>
        </w:sectPr>
      </w:pPr>
    </w:p>
    <w:p>
      <w:pPr>
        <w:pStyle w:val="BodyText"/>
        <w:spacing w:line="424" w:lineRule="auto" w:before="115"/>
        <w:ind w:left="300" w:right="768"/>
      </w:pPr>
      <w:r>
        <w:rPr>
          <w:spacing w:val="-3"/>
        </w:rPr>
        <w:t>运作的经营思想和经营风格，形成一个运作规范化、管理科学化、监控制度化的内控体系； </w:t>
      </w:r>
      <w:r>
        <w:rPr>
          <w:spacing w:val="-9"/>
        </w:rPr>
        <w:t>防范和化解经营风险，保证托管资产的安全完整；维护持有人的权益；保障资产托管业务安</w:t>
      </w:r>
      <w:r>
        <w:rPr>
          <w:spacing w:val="-5"/>
        </w:rPr>
        <w:t>全、有效、稳健运行。</w:t>
      </w:r>
    </w:p>
    <w:p>
      <w:pPr>
        <w:pStyle w:val="BodyText"/>
        <w:spacing w:line="266" w:lineRule="exact"/>
        <w:ind w:left="720"/>
      </w:pPr>
      <w:r>
        <w:rPr>
          <w:rFonts w:ascii="Times New Roman" w:eastAsia="Times New Roman"/>
        </w:rPr>
        <w:t>2</w:t>
      </w:r>
      <w:r>
        <w:rPr/>
        <w:t>、内部风险控制组织结构</w:t>
      </w:r>
    </w:p>
    <w:p>
      <w:pPr>
        <w:pStyle w:val="BodyText"/>
        <w:rPr>
          <w:sz w:val="16"/>
        </w:rPr>
      </w:pPr>
    </w:p>
    <w:p>
      <w:pPr>
        <w:pStyle w:val="BodyText"/>
        <w:spacing w:line="424" w:lineRule="auto" w:before="1"/>
        <w:ind w:left="300" w:right="768" w:firstLine="419"/>
      </w:pPr>
      <w:r>
        <w:rPr>
          <w:spacing w:val="-6"/>
        </w:rPr>
        <w:t>中国工商银行资产托管业务内部风险控制组织结构由中国工商银行稽核监察部门</w:t>
      </w:r>
      <w:r>
        <w:rPr/>
        <w:t>（</w:t>
      </w:r>
      <w:r>
        <w:rPr>
          <w:spacing w:val="-2"/>
        </w:rPr>
        <w:t>内控</w:t>
      </w:r>
      <w:r>
        <w:rPr>
          <w:spacing w:val="-3"/>
        </w:rPr>
        <w:t>合规部、内部审计局</w:t>
      </w:r>
      <w:r>
        <w:rPr>
          <w:spacing w:val="-106"/>
        </w:rPr>
        <w:t>）</w:t>
      </w:r>
      <w:r>
        <w:rPr>
          <w:spacing w:val="-3"/>
        </w:rPr>
        <w:t>、资产托管部内设风险控制处及资产托管部各业务处室共同组成。总行稽核监察部门负责制定全行风险管理政策，对各业务部门风险控制工作进行指导、监督。</w:t>
      </w:r>
      <w:r>
        <w:rPr>
          <w:spacing w:val="-7"/>
        </w:rPr>
        <w:t>资产托管部内部设置专门负责稽核监察工作的内部风险控制处，配备专职稽核监察人员，在</w:t>
      </w:r>
      <w:r>
        <w:rPr>
          <w:spacing w:val="-11"/>
        </w:rPr>
        <w:t>总经理的直接领导下，依照有关法律规章，对业务的运行独立行使稽核监察职权。各业务处</w:t>
      </w:r>
      <w:r>
        <w:rPr>
          <w:spacing w:val="-6"/>
        </w:rPr>
        <w:t>室在各自职责范围内实施具体的风险控制措施。</w:t>
      </w:r>
    </w:p>
    <w:p>
      <w:pPr>
        <w:pStyle w:val="BodyText"/>
        <w:spacing w:line="266" w:lineRule="exact"/>
        <w:ind w:left="720"/>
      </w:pPr>
      <w:r>
        <w:rPr>
          <w:rFonts w:ascii="Times New Roman" w:eastAsia="Times New Roman"/>
        </w:rPr>
        <w:t>3</w:t>
      </w:r>
      <w:r>
        <w:rPr/>
        <w:t>、内部风险控制原则</w:t>
      </w:r>
    </w:p>
    <w:p>
      <w:pPr>
        <w:pStyle w:val="BodyText"/>
        <w:spacing w:before="1"/>
        <w:rPr>
          <w:sz w:val="16"/>
        </w:rPr>
      </w:pPr>
    </w:p>
    <w:p>
      <w:pPr>
        <w:pStyle w:val="ListParagraph"/>
        <w:numPr>
          <w:ilvl w:val="0"/>
          <w:numId w:val="7"/>
        </w:numPr>
        <w:tabs>
          <w:tab w:pos="1250" w:val="left" w:leader="none"/>
        </w:tabs>
        <w:spacing w:line="424" w:lineRule="auto" w:before="0" w:after="0"/>
        <w:ind w:left="300" w:right="873" w:firstLine="419"/>
        <w:jc w:val="left"/>
        <w:rPr>
          <w:sz w:val="21"/>
        </w:rPr>
      </w:pPr>
      <w:r>
        <w:rPr>
          <w:spacing w:val="-3"/>
          <w:sz w:val="21"/>
        </w:rPr>
        <w:t>合法性原则。内控制度应当符合国家法律法规及监管机构的监管要求，并贯穿于托管业务经营管理活动的始终。</w:t>
      </w:r>
    </w:p>
    <w:p>
      <w:pPr>
        <w:pStyle w:val="ListParagraph"/>
        <w:numPr>
          <w:ilvl w:val="0"/>
          <w:numId w:val="7"/>
        </w:numPr>
        <w:tabs>
          <w:tab w:pos="1247" w:val="left" w:leader="none"/>
        </w:tabs>
        <w:spacing w:line="424" w:lineRule="auto" w:before="0" w:after="0"/>
        <w:ind w:left="300" w:right="871" w:firstLine="419"/>
        <w:jc w:val="left"/>
        <w:rPr>
          <w:sz w:val="21"/>
        </w:rPr>
      </w:pPr>
      <w:r>
        <w:rPr>
          <w:spacing w:val="-13"/>
          <w:sz w:val="21"/>
        </w:rPr>
        <w:t>完整性原则。托管业务的各项经营管理活动都必须有相应的规范程序和监督制约</w:t>
      </w:r>
      <w:r>
        <w:rPr>
          <w:spacing w:val="-3"/>
          <w:sz w:val="21"/>
        </w:rPr>
        <w:t>；监督制约应渗透到托管业务的全过程和各个操作环节，覆盖所有的部门、岗位和人员。</w:t>
      </w:r>
    </w:p>
    <w:p>
      <w:pPr>
        <w:pStyle w:val="ListParagraph"/>
        <w:numPr>
          <w:ilvl w:val="0"/>
          <w:numId w:val="7"/>
        </w:numPr>
        <w:tabs>
          <w:tab w:pos="1250" w:val="left" w:leader="none"/>
        </w:tabs>
        <w:spacing w:line="424" w:lineRule="auto" w:before="0" w:after="0"/>
        <w:ind w:left="300" w:right="874" w:firstLine="419"/>
        <w:jc w:val="left"/>
        <w:rPr>
          <w:sz w:val="21"/>
        </w:rPr>
      </w:pPr>
      <w:r>
        <w:rPr>
          <w:spacing w:val="-3"/>
          <w:sz w:val="21"/>
        </w:rPr>
        <w:t>及时性原则。托管业务经营活动必须在发生时能准确及时地记录；按照“内控优先”的原则，新设机构或新增业务品种时，必须做到已建立相关的规章制度。</w:t>
      </w:r>
    </w:p>
    <w:p>
      <w:pPr>
        <w:pStyle w:val="ListParagraph"/>
        <w:numPr>
          <w:ilvl w:val="0"/>
          <w:numId w:val="7"/>
        </w:numPr>
        <w:tabs>
          <w:tab w:pos="1250" w:val="left" w:leader="none"/>
        </w:tabs>
        <w:spacing w:line="424" w:lineRule="auto" w:before="0" w:after="0"/>
        <w:ind w:left="300" w:right="874" w:firstLine="419"/>
        <w:jc w:val="left"/>
        <w:rPr>
          <w:sz w:val="21"/>
        </w:rPr>
      </w:pPr>
      <w:r>
        <w:rPr>
          <w:spacing w:val="-3"/>
          <w:sz w:val="21"/>
        </w:rPr>
        <w:t>审慎性原则。各项业务经营活动必须防范风险，审慎经营，保证基金资产和其他委托资产的安全与完整。</w:t>
      </w:r>
    </w:p>
    <w:p>
      <w:pPr>
        <w:pStyle w:val="ListParagraph"/>
        <w:numPr>
          <w:ilvl w:val="0"/>
          <w:numId w:val="7"/>
        </w:numPr>
        <w:tabs>
          <w:tab w:pos="1250" w:val="left" w:leader="none"/>
        </w:tabs>
        <w:spacing w:line="424" w:lineRule="auto" w:before="0" w:after="0"/>
        <w:ind w:left="300" w:right="873" w:firstLine="419"/>
        <w:jc w:val="left"/>
        <w:rPr>
          <w:sz w:val="21"/>
        </w:rPr>
      </w:pPr>
      <w:r>
        <w:rPr>
          <w:spacing w:val="-3"/>
          <w:sz w:val="21"/>
        </w:rPr>
        <w:t>有效性原则。内控制度应根据国家政策、法律及经营管理的需要适时修改完善， 并保证得到全面落实执行，不得有任何空间、时限及人员的例外。</w:t>
      </w:r>
    </w:p>
    <w:p>
      <w:pPr>
        <w:pStyle w:val="ListParagraph"/>
        <w:numPr>
          <w:ilvl w:val="0"/>
          <w:numId w:val="7"/>
        </w:numPr>
        <w:tabs>
          <w:tab w:pos="1250" w:val="left" w:leader="none"/>
        </w:tabs>
        <w:spacing w:line="424" w:lineRule="auto" w:before="0" w:after="0"/>
        <w:ind w:left="300" w:right="871" w:firstLine="419"/>
        <w:jc w:val="left"/>
        <w:rPr>
          <w:sz w:val="21"/>
        </w:rPr>
      </w:pPr>
      <w:r>
        <w:rPr>
          <w:spacing w:val="-3"/>
          <w:sz w:val="21"/>
        </w:rPr>
        <w:t>独立性原则。设立专门履行托管人职责的管理部门；直接操作人员和控制人员必</w:t>
      </w:r>
      <w:r>
        <w:rPr>
          <w:spacing w:val="-21"/>
          <w:sz w:val="21"/>
        </w:rPr>
        <w:t>须相对独立，适当分离；内控制度的检查、评价部门必须独立于内控制度的制定和执行部门。</w:t>
      </w:r>
    </w:p>
    <w:p>
      <w:pPr>
        <w:pStyle w:val="BodyText"/>
        <w:spacing w:line="267" w:lineRule="exact"/>
        <w:ind w:left="720"/>
      </w:pPr>
      <w:r>
        <w:rPr>
          <w:rFonts w:ascii="Times New Roman" w:eastAsia="Times New Roman"/>
        </w:rPr>
        <w:t>4</w:t>
      </w:r>
      <w:r>
        <w:rPr/>
        <w:t>、内部风险控制措施实施</w:t>
      </w:r>
    </w:p>
    <w:p>
      <w:pPr>
        <w:pStyle w:val="BodyText"/>
        <w:spacing w:before="9"/>
        <w:rPr>
          <w:sz w:val="15"/>
        </w:rPr>
      </w:pPr>
    </w:p>
    <w:p>
      <w:pPr>
        <w:pStyle w:val="ListParagraph"/>
        <w:numPr>
          <w:ilvl w:val="0"/>
          <w:numId w:val="8"/>
        </w:numPr>
        <w:tabs>
          <w:tab w:pos="1250" w:val="left" w:leader="none"/>
        </w:tabs>
        <w:spacing w:line="424" w:lineRule="auto" w:before="0" w:after="0"/>
        <w:ind w:left="300" w:right="768" w:firstLine="419"/>
        <w:jc w:val="left"/>
        <w:rPr>
          <w:sz w:val="21"/>
        </w:rPr>
      </w:pPr>
      <w:r>
        <w:rPr>
          <w:spacing w:val="-3"/>
          <w:sz w:val="21"/>
        </w:rPr>
        <w:t>严格的隔离制度。资产托管业务与传统业务实行严格分离，建立了明确的岗位职</w:t>
      </w:r>
      <w:r>
        <w:rPr>
          <w:spacing w:val="-11"/>
          <w:sz w:val="21"/>
        </w:rPr>
        <w:t>责、科学的业务流程、详细的操作手册、严格的人员行为规范等一系列规章制度，并采取了</w:t>
      </w:r>
      <w:r>
        <w:rPr>
          <w:spacing w:val="-6"/>
          <w:sz w:val="21"/>
        </w:rPr>
        <w:t>良好的防火墙隔离制度，能够确保资产独立、环境独立、人员独立、业务制度和管理独立、</w:t>
      </w:r>
      <w:r>
        <w:rPr>
          <w:spacing w:val="-4"/>
          <w:sz w:val="21"/>
        </w:rPr>
        <w:t>网络独立。</w:t>
      </w:r>
    </w:p>
    <w:p>
      <w:pPr>
        <w:pStyle w:val="ListParagraph"/>
        <w:numPr>
          <w:ilvl w:val="0"/>
          <w:numId w:val="8"/>
        </w:numPr>
        <w:tabs>
          <w:tab w:pos="1250" w:val="left" w:leader="none"/>
        </w:tabs>
        <w:spacing w:line="265" w:lineRule="exact" w:before="0" w:after="0"/>
        <w:ind w:left="1249" w:right="0" w:hanging="530"/>
        <w:jc w:val="left"/>
        <w:rPr>
          <w:sz w:val="21"/>
        </w:rPr>
      </w:pPr>
      <w:r>
        <w:rPr>
          <w:spacing w:val="-3"/>
          <w:sz w:val="21"/>
        </w:rPr>
        <w:t>高层检查。主管行领导与部门高级管理层作为工行托管业务政策和策略的制定者</w:t>
      </w:r>
    </w:p>
    <w:p>
      <w:pPr>
        <w:spacing w:after="0" w:line="265" w:lineRule="exact"/>
        <w:jc w:val="left"/>
        <w:rPr>
          <w:sz w:val="21"/>
        </w:rPr>
        <w:sectPr>
          <w:pgSz w:w="11910" w:h="16840"/>
          <w:pgMar w:header="701" w:footer="683" w:top="1420" w:bottom="880" w:left="1500" w:right="920"/>
        </w:sectPr>
      </w:pPr>
    </w:p>
    <w:p>
      <w:pPr>
        <w:pStyle w:val="BodyText"/>
        <w:spacing w:line="424" w:lineRule="auto" w:before="115"/>
        <w:ind w:left="300" w:right="871"/>
      </w:pPr>
      <w:r>
        <w:rPr>
          <w:spacing w:val="-10"/>
        </w:rPr>
        <w:t>和管理者，要求下级部门及时报告经营管理情况和特别情况，以检查资产托管部在实现内部</w:t>
      </w:r>
      <w:r>
        <w:rPr>
          <w:spacing w:val="-5"/>
        </w:rPr>
        <w:t>控制目标方面的进展，并根据检查情况提出内部控制措施，督促职能管理部门改进。</w:t>
      </w:r>
    </w:p>
    <w:p>
      <w:pPr>
        <w:pStyle w:val="ListParagraph"/>
        <w:numPr>
          <w:ilvl w:val="0"/>
          <w:numId w:val="8"/>
        </w:numPr>
        <w:tabs>
          <w:tab w:pos="1250" w:val="left" w:leader="none"/>
        </w:tabs>
        <w:spacing w:line="424" w:lineRule="auto" w:before="0" w:after="0"/>
        <w:ind w:left="300" w:right="871" w:firstLine="419"/>
        <w:jc w:val="both"/>
        <w:rPr>
          <w:sz w:val="21"/>
        </w:rPr>
      </w:pPr>
      <w:r>
        <w:rPr>
          <w:spacing w:val="-15"/>
          <w:sz w:val="21"/>
        </w:rPr>
        <w:t>人事控制。资产托管部严格落实岗位责任制，建立“自控防线”</w:t>
      </w:r>
      <w:r>
        <w:rPr>
          <w:spacing w:val="-46"/>
          <w:sz w:val="21"/>
        </w:rPr>
        <w:t>、“互控防线”、“ </w:t>
      </w:r>
      <w:r>
        <w:rPr>
          <w:spacing w:val="-11"/>
          <w:sz w:val="21"/>
        </w:rPr>
        <w:t>监控防线”三道控制防线，健全绩效考核和激励机制，树立“以人为本”的内控文化，增强</w:t>
      </w:r>
      <w:r>
        <w:rPr>
          <w:spacing w:val="-9"/>
          <w:sz w:val="21"/>
        </w:rPr>
        <w:t>员工的责任心和荣誉感，培育团队精神和核心竞争力。并通过进行定期、定向的业务与职业</w:t>
      </w:r>
      <w:r>
        <w:rPr>
          <w:spacing w:val="-6"/>
          <w:sz w:val="21"/>
        </w:rPr>
        <w:t>道德培训、签订承诺书，使员工树立风险防范与控制理念。</w:t>
      </w:r>
    </w:p>
    <w:p>
      <w:pPr>
        <w:pStyle w:val="ListParagraph"/>
        <w:numPr>
          <w:ilvl w:val="0"/>
          <w:numId w:val="8"/>
        </w:numPr>
        <w:tabs>
          <w:tab w:pos="1250" w:val="left" w:leader="none"/>
        </w:tabs>
        <w:spacing w:line="424" w:lineRule="auto" w:before="0" w:after="0"/>
        <w:ind w:left="300" w:right="874" w:firstLine="419"/>
        <w:jc w:val="left"/>
        <w:rPr>
          <w:sz w:val="21"/>
        </w:rPr>
      </w:pPr>
      <w:r>
        <w:rPr>
          <w:spacing w:val="-3"/>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8"/>
        </w:numPr>
        <w:tabs>
          <w:tab w:pos="1250" w:val="left" w:leader="none"/>
        </w:tabs>
        <w:spacing w:line="424" w:lineRule="auto" w:before="0" w:after="0"/>
        <w:ind w:left="300" w:right="871" w:firstLine="419"/>
        <w:jc w:val="both"/>
        <w:rPr>
          <w:sz w:val="21"/>
        </w:rPr>
      </w:pPr>
      <w:r>
        <w:rPr>
          <w:spacing w:val="-3"/>
          <w:sz w:val="21"/>
        </w:rPr>
        <w:t>内部风险管理。资产托管部通过稽核监察、风险评估等方式加强内部风险管理， </w:t>
      </w:r>
      <w:r>
        <w:rPr>
          <w:spacing w:val="-8"/>
          <w:sz w:val="21"/>
        </w:rPr>
        <w:t>定期或不定期地对业务运作状况进行检查、监控，指导业务部门进行风险识别、评估，制定</w:t>
      </w:r>
      <w:r>
        <w:rPr>
          <w:spacing w:val="-5"/>
          <w:sz w:val="21"/>
        </w:rPr>
        <w:t>并实施风险控制措施，排查风险隐患。</w:t>
      </w:r>
    </w:p>
    <w:p>
      <w:pPr>
        <w:pStyle w:val="ListParagraph"/>
        <w:numPr>
          <w:ilvl w:val="0"/>
          <w:numId w:val="8"/>
        </w:numPr>
        <w:tabs>
          <w:tab w:pos="1250" w:val="left" w:leader="none"/>
        </w:tabs>
        <w:spacing w:line="424" w:lineRule="auto" w:before="0" w:after="0"/>
        <w:ind w:left="300" w:right="874" w:firstLine="419"/>
        <w:jc w:val="left"/>
        <w:rPr>
          <w:sz w:val="21"/>
        </w:rPr>
      </w:pPr>
      <w:r>
        <w:rPr>
          <w:spacing w:val="-3"/>
          <w:sz w:val="21"/>
        </w:rPr>
        <w:t>数据安全控制。我们通过业务操作区相对独立、数据和传真加密、数据传输线路的冗余备份、监控设施的运用和保障等措施来保障数据安全。</w:t>
      </w:r>
    </w:p>
    <w:p>
      <w:pPr>
        <w:pStyle w:val="ListParagraph"/>
        <w:numPr>
          <w:ilvl w:val="0"/>
          <w:numId w:val="8"/>
        </w:numPr>
        <w:tabs>
          <w:tab w:pos="1250" w:val="left" w:leader="none"/>
        </w:tabs>
        <w:spacing w:line="424" w:lineRule="auto" w:before="0" w:after="0"/>
        <w:ind w:left="300" w:right="765" w:firstLine="419"/>
        <w:jc w:val="left"/>
        <w:rPr>
          <w:sz w:val="21"/>
        </w:rPr>
      </w:pPr>
      <w:r>
        <w:rPr>
          <w:spacing w:val="-3"/>
          <w:sz w:val="21"/>
        </w:rPr>
        <w:t>应急准备与响应。资产托管业务建立专门的灾难恢复中心，制定了基于数据、应</w:t>
      </w:r>
      <w:r>
        <w:rPr>
          <w:spacing w:val="-11"/>
          <w:sz w:val="21"/>
        </w:rPr>
        <w:t>用、操作、环境四个层面的完备的灾难恢复方案，并组织员工定期演练。为使演练更加接近</w:t>
      </w:r>
      <w:r>
        <w:rPr>
          <w:spacing w:val="-24"/>
          <w:sz w:val="21"/>
        </w:rPr>
        <w:t>实战，资产托管部不断提高演练标准，从最初的按照预订时间演练发展到现在的“随机演练”。</w:t>
      </w:r>
      <w:r>
        <w:rPr>
          <w:spacing w:val="-8"/>
          <w:sz w:val="21"/>
        </w:rPr>
        <w:t>从演练结果看，资产托管部完全有能力在发生灾难的情况下两个小时内恢复业务。</w:t>
      </w:r>
    </w:p>
    <w:p>
      <w:pPr>
        <w:pStyle w:val="BodyText"/>
        <w:spacing w:line="265" w:lineRule="exact"/>
        <w:ind w:left="720"/>
      </w:pPr>
      <w:r>
        <w:rPr>
          <w:rFonts w:ascii="Times New Roman" w:eastAsia="Times New Roman"/>
        </w:rPr>
        <w:t>5</w:t>
      </w:r>
      <w:r>
        <w:rPr/>
        <w:t>、资产托管部内部风险控制情况</w:t>
      </w:r>
    </w:p>
    <w:p>
      <w:pPr>
        <w:pStyle w:val="ListParagraph"/>
        <w:numPr>
          <w:ilvl w:val="0"/>
          <w:numId w:val="9"/>
        </w:numPr>
        <w:tabs>
          <w:tab w:pos="1250" w:val="left" w:leader="none"/>
        </w:tabs>
        <w:spacing w:line="424" w:lineRule="auto" w:before="198" w:after="0"/>
        <w:ind w:left="300" w:right="871" w:firstLine="419"/>
        <w:jc w:val="both"/>
        <w:rPr>
          <w:sz w:val="21"/>
        </w:rPr>
      </w:pPr>
      <w:r>
        <w:rPr>
          <w:spacing w:val="-3"/>
          <w:sz w:val="21"/>
        </w:rPr>
        <w:t>资产托管部内部设置专职稽核监察部门，配备专职稽核监察人员，在总经理的直</w:t>
      </w:r>
      <w:r>
        <w:rPr>
          <w:spacing w:val="-11"/>
          <w:sz w:val="21"/>
        </w:rPr>
        <w:t>接领导下，依照有关法律规章，全面贯彻落实全程监控思想，确保资产托管业务健康、稳定</w:t>
      </w:r>
      <w:r>
        <w:rPr>
          <w:spacing w:val="-7"/>
          <w:sz w:val="21"/>
        </w:rPr>
        <w:t>地发展。</w:t>
      </w:r>
    </w:p>
    <w:p>
      <w:pPr>
        <w:pStyle w:val="ListParagraph"/>
        <w:numPr>
          <w:ilvl w:val="0"/>
          <w:numId w:val="9"/>
        </w:numPr>
        <w:tabs>
          <w:tab w:pos="1250" w:val="left" w:leader="none"/>
        </w:tabs>
        <w:spacing w:line="424" w:lineRule="auto" w:before="0" w:after="0"/>
        <w:ind w:left="300" w:right="871" w:firstLine="419"/>
        <w:jc w:val="both"/>
        <w:rPr>
          <w:sz w:val="21"/>
        </w:rPr>
      </w:pPr>
      <w:r>
        <w:rPr>
          <w:spacing w:val="-3"/>
          <w:sz w:val="21"/>
        </w:rPr>
        <w:t>完善组织结构，实施全员风险管理。完善的风险管理体系需要从上至下每个员工</w:t>
      </w:r>
      <w:r>
        <w:rPr>
          <w:spacing w:val="-11"/>
          <w:sz w:val="21"/>
        </w:rPr>
        <w:t>的共同参与，只有这样，风险控制制度和措施才会全面、有效。资产托管部实施全员风险管理，将风险控制责任落实到具体业务部门和业务岗位，每位员工对自己岗位职责范围内的风</w:t>
      </w:r>
      <w:r>
        <w:rPr>
          <w:spacing w:val="-12"/>
          <w:sz w:val="21"/>
        </w:rPr>
        <w:t>险负责，通过建立纵向双人制、横向多部门制的内部组织结构，形成不同部门、不同岗位相</w:t>
      </w:r>
      <w:r>
        <w:rPr>
          <w:spacing w:val="-6"/>
          <w:sz w:val="21"/>
        </w:rPr>
        <w:t>互制衡的组织结构。</w:t>
      </w:r>
    </w:p>
    <w:p>
      <w:pPr>
        <w:pStyle w:val="ListParagraph"/>
        <w:numPr>
          <w:ilvl w:val="0"/>
          <w:numId w:val="9"/>
        </w:numPr>
        <w:tabs>
          <w:tab w:pos="1250" w:val="left" w:leader="none"/>
        </w:tabs>
        <w:spacing w:line="424" w:lineRule="auto" w:before="0" w:after="0"/>
        <w:ind w:left="300" w:right="871" w:firstLine="419"/>
        <w:jc w:val="both"/>
        <w:rPr>
          <w:sz w:val="21"/>
        </w:rPr>
      </w:pPr>
      <w:r>
        <w:rPr>
          <w:spacing w:val="-3"/>
          <w:sz w:val="21"/>
        </w:rPr>
        <w:t>建立健全规章制度。资产托管部十分重视内控制度的建设，一贯坚持把风险防范</w:t>
      </w:r>
      <w:r>
        <w:rPr>
          <w:spacing w:val="-7"/>
          <w:sz w:val="21"/>
        </w:rPr>
        <w:t>和控制的理念和方法融入岗位职责、制度建设和工作流程中。经过多年努力，资产托管部已</w:t>
      </w:r>
      <w:r>
        <w:rPr>
          <w:spacing w:val="-11"/>
          <w:sz w:val="21"/>
        </w:rPr>
        <w:t>经建立了一整套内部风险控制制度，包括：岗位职责、业务操作流程、稽核监察制度、信息</w:t>
      </w:r>
    </w:p>
    <w:p>
      <w:pPr>
        <w:spacing w:after="0" w:line="424" w:lineRule="auto"/>
        <w:jc w:val="both"/>
        <w:rPr>
          <w:sz w:val="21"/>
        </w:rPr>
        <w:sectPr>
          <w:pgSz w:w="11910" w:h="16840"/>
          <w:pgMar w:header="701" w:footer="683" w:top="1420" w:bottom="880" w:left="1500" w:right="920"/>
        </w:sectPr>
      </w:pPr>
    </w:p>
    <w:p>
      <w:pPr>
        <w:pStyle w:val="BodyText"/>
        <w:spacing w:line="424" w:lineRule="auto" w:before="115"/>
        <w:ind w:left="300" w:right="871"/>
      </w:pPr>
      <w:r>
        <w:rPr>
          <w:spacing w:val="-10"/>
        </w:rPr>
        <w:t>披露制度等，覆盖所有部门和岗位，渗透各项业务过程，形成各个业务环节之间的相互制约机制。</w:t>
      </w:r>
    </w:p>
    <w:p>
      <w:pPr>
        <w:pStyle w:val="ListParagraph"/>
        <w:numPr>
          <w:ilvl w:val="0"/>
          <w:numId w:val="9"/>
        </w:numPr>
        <w:tabs>
          <w:tab w:pos="1250" w:val="left" w:leader="none"/>
        </w:tabs>
        <w:spacing w:line="424" w:lineRule="auto" w:before="0" w:after="0"/>
        <w:ind w:left="300" w:right="871" w:firstLine="419"/>
        <w:jc w:val="both"/>
        <w:rPr>
          <w:sz w:val="21"/>
        </w:rPr>
      </w:pPr>
      <w:r>
        <w:rPr>
          <w:spacing w:val="-3"/>
          <w:sz w:val="21"/>
        </w:rPr>
        <w:t>内部风险控制始终是托管部工作重点之一，保持与业务发展同等地位。资产托管</w:t>
      </w:r>
      <w:r>
        <w:rPr>
          <w:spacing w:val="-8"/>
          <w:sz w:val="21"/>
        </w:rPr>
        <w:t>业务是商业银行新兴的中间业务，资产托管部从成立之日起就特别强调规范运作，一直将建</w:t>
      </w:r>
      <w:r>
        <w:rPr>
          <w:spacing w:val="-12"/>
          <w:sz w:val="21"/>
        </w:rPr>
        <w:t>立一个系统、高效的风险防范和控制体系作为工作重点。随着市场环境的变化和托管业务的</w:t>
      </w:r>
      <w:r>
        <w:rPr>
          <w:spacing w:val="-13"/>
          <w:sz w:val="21"/>
        </w:rPr>
        <w:t>快速发展，新问题、新情况不断出现，资产托管部始终将风险管理放在与业务发展同等重要</w:t>
      </w:r>
      <w:r>
        <w:rPr>
          <w:spacing w:val="-6"/>
          <w:sz w:val="21"/>
        </w:rPr>
        <w:t>的位置，视风险防范和控制为托管业务生存和发展的生命线。</w:t>
      </w:r>
    </w:p>
    <w:p>
      <w:pPr>
        <w:pStyle w:val="BodyText"/>
        <w:spacing w:line="267" w:lineRule="exact"/>
        <w:ind w:left="720"/>
      </w:pPr>
      <w:r>
        <w:rPr/>
        <w:t>（五）基金托管人对基金管理人运作基金进行监督的方法和程序</w:t>
      </w:r>
    </w:p>
    <w:p>
      <w:pPr>
        <w:pStyle w:val="BodyText"/>
        <w:spacing w:before="11"/>
        <w:rPr>
          <w:sz w:val="15"/>
        </w:rPr>
      </w:pPr>
    </w:p>
    <w:p>
      <w:pPr>
        <w:pStyle w:val="BodyText"/>
        <w:spacing w:line="424" w:lineRule="auto"/>
        <w:ind w:left="300" w:right="871" w:firstLine="419"/>
        <w:jc w:val="both"/>
      </w:pPr>
      <w:r>
        <w:rPr>
          <w:spacing w:val="-12"/>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w:t>
      </w:r>
      <w:r>
        <w:rPr>
          <w:spacing w:val="-6"/>
        </w:rPr>
        <w:t>对基金的投资比例的监督和核查自基金合同生效之后六个月开始。</w:t>
      </w:r>
    </w:p>
    <w:p>
      <w:pPr>
        <w:pStyle w:val="BodyText"/>
        <w:spacing w:line="424" w:lineRule="auto"/>
        <w:ind w:left="300" w:right="871" w:firstLine="419"/>
        <w:jc w:val="both"/>
      </w:pPr>
      <w:r>
        <w:rPr>
          <w:spacing w:val="-9"/>
        </w:rPr>
        <w:t>基金托管人发现基金管理人违反《基金法》、基金合同、基金托管协议或有关基金法律</w:t>
      </w:r>
      <w:r>
        <w:rPr>
          <w:spacing w:val="-12"/>
        </w:rPr>
        <w:t>法规规定的行为，应及时以书面形式通知基金管理人限期纠正，基金管理人收到通知后应及</w:t>
      </w:r>
      <w:r>
        <w:rPr>
          <w:spacing w:val="-11"/>
        </w:rPr>
        <w:t>时核对，并以书面形式对基金托管人发出回函确认。在限期内，基金托管人有权随时对通知</w:t>
      </w:r>
      <w:r>
        <w:rPr>
          <w:spacing w:val="-13"/>
        </w:rPr>
        <w:t>事项进行复查，督促基金管理人改正。基金管理人对基金托管人通知的违规事项未能在限期</w:t>
      </w:r>
      <w:r>
        <w:rPr>
          <w:spacing w:val="-6"/>
        </w:rPr>
        <w:t>内纠正的，基金托管人应报告中国证监会。</w:t>
      </w:r>
    </w:p>
    <w:p>
      <w:pPr>
        <w:pStyle w:val="BodyText"/>
        <w:spacing w:line="424" w:lineRule="auto"/>
        <w:ind w:left="300" w:right="871" w:firstLine="419"/>
      </w:pPr>
      <w:r>
        <w:rPr>
          <w:spacing w:val="-8"/>
        </w:rPr>
        <w:t>基金托管人发现基金管理人有重大违规行为，应立即报告中国证监会，同时通知基金管</w:t>
      </w:r>
      <w:r>
        <w:rPr>
          <w:spacing w:val="-5"/>
        </w:rPr>
        <w:t>理人限期纠正。</w:t>
      </w:r>
    </w:p>
    <w:p>
      <w:pPr>
        <w:pStyle w:val="BodyText"/>
        <w:rPr>
          <w:sz w:val="20"/>
        </w:rPr>
      </w:pPr>
    </w:p>
    <w:p>
      <w:pPr>
        <w:pStyle w:val="BodyText"/>
        <w:rPr>
          <w:sz w:val="20"/>
        </w:rPr>
      </w:pPr>
    </w:p>
    <w:p>
      <w:pPr>
        <w:pStyle w:val="BodyText"/>
        <w:spacing w:before="5"/>
      </w:pPr>
    </w:p>
    <w:p>
      <w:pPr>
        <w:pStyle w:val="Heading1"/>
        <w:ind w:right="876"/>
      </w:pPr>
      <w:bookmarkStart w:name="_bookmark4" w:id="5"/>
      <w:bookmarkEnd w:id="5"/>
      <w:r>
        <w:rPr>
          <w:b w:val="0"/>
        </w:rPr>
      </w:r>
      <w:r>
        <w:rPr/>
        <w:t>五、相关服务机构</w:t>
      </w:r>
    </w:p>
    <w:p>
      <w:pPr>
        <w:pStyle w:val="BodyText"/>
        <w:rPr>
          <w:b/>
          <w:sz w:val="24"/>
        </w:rPr>
      </w:pPr>
    </w:p>
    <w:p>
      <w:pPr>
        <w:pStyle w:val="BodyText"/>
        <w:spacing w:before="212"/>
        <w:ind w:left="720"/>
      </w:pPr>
      <w:r>
        <w:rPr/>
        <w:t>（一）销售机构</w:t>
      </w:r>
    </w:p>
    <w:p>
      <w:pPr>
        <w:pStyle w:val="BodyText"/>
        <w:spacing w:before="1"/>
        <w:rPr>
          <w:sz w:val="16"/>
        </w:rPr>
      </w:pPr>
    </w:p>
    <w:p>
      <w:pPr>
        <w:pStyle w:val="BodyText"/>
        <w:spacing w:line="424" w:lineRule="auto"/>
        <w:ind w:left="720" w:right="5192"/>
      </w:pPr>
      <w:r>
        <w:rPr>
          <w:rFonts w:ascii="Times New Roman" w:eastAsia="Times New Roman"/>
        </w:rPr>
        <w:t>1</w:t>
      </w:r>
      <w:r>
        <w:rPr>
          <w:spacing w:val="-3"/>
        </w:rPr>
        <w:t>、直销机构：华夏基金管理有限公司</w:t>
      </w:r>
      <w:r>
        <w:rPr>
          <w:spacing w:val="-6"/>
        </w:rPr>
        <w:t>住所：北京市顺义区安庆大街甲 </w:t>
      </w:r>
      <w:r>
        <w:rPr>
          <w:rFonts w:ascii="Times New Roman" w:eastAsia="Times New Roman"/>
        </w:rPr>
        <w:t>3 </w:t>
      </w:r>
      <w:r>
        <w:rPr>
          <w:spacing w:val="-9"/>
        </w:rPr>
        <w:t>号院</w:t>
      </w:r>
    </w:p>
    <w:p>
      <w:pPr>
        <w:pStyle w:val="BodyText"/>
        <w:spacing w:line="424" w:lineRule="auto"/>
        <w:ind w:left="720" w:right="330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层法定代表人：杨明辉</w:t>
      </w:r>
    </w:p>
    <w:p>
      <w:pPr>
        <w:pStyle w:val="BodyText"/>
        <w:spacing w:line="267" w:lineRule="exact"/>
        <w:ind w:left="720"/>
        <w:rPr>
          <w:rFonts w:ascii="Times New Roman" w:eastAsia="Times New Roman"/>
        </w:rPr>
      </w:pPr>
      <w:r>
        <w:rPr/>
        <w:t>客户服务电话：</w:t>
      </w:r>
      <w:r>
        <w:rPr>
          <w:rFonts w:ascii="Times New Roman" w:eastAsia="Times New Roman"/>
        </w:rPr>
        <w:t>400-818-6666</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010-63136700</w:t>
      </w:r>
    </w:p>
    <w:p>
      <w:pPr>
        <w:pStyle w:val="BodyText"/>
        <w:spacing w:before="10"/>
        <w:rPr>
          <w:rFonts w:ascii="Times New Roman"/>
          <w:sz w:val="17"/>
        </w:rPr>
      </w:pPr>
    </w:p>
    <w:p>
      <w:pPr>
        <w:pStyle w:val="BodyText"/>
        <w:ind w:left="720"/>
      </w:pPr>
      <w:r>
        <w:rPr/>
        <w:t>联系人：张德根</w:t>
      </w:r>
    </w:p>
    <w:p>
      <w:pPr>
        <w:pStyle w:val="BodyText"/>
        <w:spacing w:before="1"/>
        <w:rPr>
          <w:sz w:val="16"/>
        </w:rPr>
      </w:pPr>
    </w:p>
    <w:p>
      <w:pPr>
        <w:pStyle w:val="BodyText"/>
        <w:spacing w:line="424" w:lineRule="auto"/>
        <w:ind w:left="720" w:right="6211"/>
      </w:pPr>
      <w:r>
        <w:rPr/>
        <w:t>网址：</w:t>
      </w:r>
      <w:hyperlink r:id="rId9">
        <w:r>
          <w:rPr>
            <w:rFonts w:ascii="Times New Roman" w:eastAsia="Times New Roman"/>
          </w:rPr>
          <w:t>www.ChinaAMC.com</w:t>
        </w:r>
      </w:hyperlink>
      <w:r>
        <w:rPr>
          <w:rFonts w:ascii="Times New Roman" w:eastAsia="Times New Roman"/>
        </w:rPr>
        <w:t> 2</w:t>
      </w:r>
      <w:r>
        <w:rPr/>
        <w:t>、代销机构</w:t>
      </w:r>
    </w:p>
    <w:p>
      <w:pPr>
        <w:pStyle w:val="ListParagraph"/>
        <w:numPr>
          <w:ilvl w:val="0"/>
          <w:numId w:val="10"/>
        </w:numPr>
        <w:tabs>
          <w:tab w:pos="1250" w:val="left" w:leader="none"/>
        </w:tabs>
        <w:spacing w:line="267" w:lineRule="exact" w:before="0" w:after="0"/>
        <w:ind w:left="1249" w:right="0" w:hanging="530"/>
        <w:jc w:val="left"/>
        <w:rPr>
          <w:sz w:val="21"/>
        </w:rPr>
      </w:pPr>
      <w:r>
        <w:rPr>
          <w:spacing w:val="-3"/>
          <w:sz w:val="21"/>
        </w:rPr>
        <w:t>中国工商银行股份有限公司</w:t>
      </w:r>
    </w:p>
    <w:p>
      <w:pPr>
        <w:pStyle w:val="BodyText"/>
        <w:spacing w:before="4"/>
        <w:rPr>
          <w:sz w:val="16"/>
        </w:rPr>
      </w:pPr>
    </w:p>
    <w:p>
      <w:pPr>
        <w:pStyle w:val="BodyText"/>
        <w:ind w:left="720"/>
      </w:pPr>
      <w:r>
        <w:rPr/>
        <w:t>住所：北京市西城区复兴门内大街 </w:t>
      </w:r>
      <w:r>
        <w:rPr>
          <w:rFonts w:ascii="Times New Roman" w:eastAsia="Times New Roman"/>
        </w:rPr>
        <w:t>55 </w:t>
      </w:r>
      <w:r>
        <w:rPr/>
        <w:t>号</w:t>
      </w:r>
    </w:p>
    <w:p>
      <w:pPr>
        <w:pStyle w:val="BodyText"/>
        <w:spacing w:before="1"/>
        <w:rPr>
          <w:sz w:val="16"/>
        </w:rPr>
      </w:pPr>
    </w:p>
    <w:p>
      <w:pPr>
        <w:pStyle w:val="BodyText"/>
        <w:spacing w:line="424" w:lineRule="auto"/>
        <w:ind w:left="720" w:right="466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24" w:lineRule="auto"/>
        <w:ind w:left="720" w:right="676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7" w:lineRule="exact"/>
        <w:ind w:left="720"/>
      </w:pPr>
      <w:r>
        <w:rPr/>
        <w:t>联系人：王佺</w:t>
      </w:r>
    </w:p>
    <w:p>
      <w:pPr>
        <w:pStyle w:val="BodyText"/>
        <w:spacing w:before="12"/>
        <w:rPr>
          <w:sz w:val="15"/>
        </w:rPr>
      </w:pPr>
    </w:p>
    <w:p>
      <w:pPr>
        <w:pStyle w:val="BodyText"/>
        <w:ind w:left="720"/>
        <w:rPr>
          <w:rFonts w:ascii="Times New Roman" w:eastAsia="Times New Roman"/>
        </w:rPr>
      </w:pPr>
      <w:r>
        <w:rPr/>
        <w:t>网址：</w:t>
      </w:r>
      <w:hyperlink r:id="rId10">
        <w:r>
          <w:rPr>
            <w:rFonts w:ascii="Times New Roman" w:eastAsia="Times New Roman"/>
          </w:rPr>
          <w:t>www.icbc.com.cn</w:t>
        </w:r>
      </w:hyperlink>
    </w:p>
    <w:p>
      <w:pPr>
        <w:pStyle w:val="BodyText"/>
        <w:spacing w:before="11"/>
        <w:rPr>
          <w:rFonts w:ascii="Times New Roman"/>
          <w:sz w:val="17"/>
        </w:rPr>
      </w:pPr>
    </w:p>
    <w:p>
      <w:pPr>
        <w:pStyle w:val="ListParagraph"/>
        <w:numPr>
          <w:ilvl w:val="0"/>
          <w:numId w:val="10"/>
        </w:numPr>
        <w:tabs>
          <w:tab w:pos="1250" w:val="left" w:leader="none"/>
        </w:tabs>
        <w:spacing w:line="240" w:lineRule="auto" w:before="0" w:after="0"/>
        <w:ind w:left="1249" w:right="0" w:hanging="530"/>
        <w:jc w:val="left"/>
        <w:rPr>
          <w:sz w:val="21"/>
        </w:rPr>
      </w:pPr>
      <w:r>
        <w:rPr>
          <w:spacing w:val="-3"/>
          <w:sz w:val="21"/>
        </w:rPr>
        <w:t>中国农业银行股份有限公司</w:t>
      </w:r>
    </w:p>
    <w:p>
      <w:pPr>
        <w:pStyle w:val="BodyText"/>
        <w:spacing w:before="3"/>
        <w:rPr>
          <w:sz w:val="16"/>
        </w:rPr>
      </w:pPr>
    </w:p>
    <w:p>
      <w:pPr>
        <w:pStyle w:val="BodyText"/>
        <w:spacing w:before="1"/>
        <w:ind w:left="720"/>
      </w:pPr>
      <w:r>
        <w:rPr/>
        <w:t>住所：北京市东城区建国门内大街 </w:t>
      </w:r>
      <w:r>
        <w:rPr>
          <w:rFonts w:ascii="Times New Roman" w:eastAsia="Times New Roman"/>
        </w:rPr>
        <w:t>69 </w:t>
      </w:r>
      <w:r>
        <w:rPr/>
        <w:t>号</w:t>
      </w:r>
    </w:p>
    <w:p>
      <w:pPr>
        <w:pStyle w:val="BodyText"/>
        <w:spacing w:before="1"/>
        <w:rPr>
          <w:sz w:val="16"/>
        </w:rPr>
      </w:pPr>
    </w:p>
    <w:p>
      <w:pPr>
        <w:pStyle w:val="BodyText"/>
        <w:spacing w:line="424" w:lineRule="auto"/>
        <w:ind w:left="720" w:right="4603"/>
      </w:pPr>
      <w:r>
        <w:rPr/>
        <w:t>办公地址：北京市东城区建国门内大街 </w:t>
      </w:r>
      <w:r>
        <w:rPr>
          <w:rFonts w:ascii="Times New Roman" w:eastAsia="Times New Roman"/>
        </w:rPr>
        <w:t>69 </w:t>
      </w:r>
      <w:r>
        <w:rPr/>
        <w:t>号法定代表人：周慕冰</w:t>
      </w:r>
    </w:p>
    <w:p>
      <w:pPr>
        <w:pStyle w:val="BodyText"/>
        <w:spacing w:line="424" w:lineRule="auto"/>
        <w:ind w:left="720" w:right="656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11">
        <w:r>
          <w:rPr>
            <w:rFonts w:ascii="Times New Roman" w:eastAsia="Times New Roman"/>
            <w:spacing w:val="-3"/>
          </w:rPr>
          <w:t>www.abchina.com</w:t>
        </w:r>
      </w:hyperlink>
    </w:p>
    <w:p>
      <w:pPr>
        <w:pStyle w:val="ListParagraph"/>
        <w:numPr>
          <w:ilvl w:val="0"/>
          <w:numId w:val="10"/>
        </w:numPr>
        <w:tabs>
          <w:tab w:pos="1250" w:val="left" w:leader="none"/>
        </w:tabs>
        <w:spacing w:line="266" w:lineRule="exact" w:before="0" w:after="0"/>
        <w:ind w:left="1249" w:right="0" w:hanging="530"/>
        <w:jc w:val="left"/>
        <w:rPr>
          <w:sz w:val="21"/>
        </w:rPr>
      </w:pPr>
      <w:r>
        <w:rPr>
          <w:spacing w:val="-3"/>
          <w:sz w:val="21"/>
        </w:rPr>
        <w:t>中国银行股份有限公司</w:t>
      </w:r>
    </w:p>
    <w:p>
      <w:pPr>
        <w:pStyle w:val="BodyText"/>
        <w:spacing w:before="12"/>
        <w:rPr>
          <w:sz w:val="15"/>
        </w:rPr>
      </w:pPr>
    </w:p>
    <w:p>
      <w:pPr>
        <w:pStyle w:val="BodyText"/>
        <w:ind w:left="720"/>
      </w:pPr>
      <w:r>
        <w:rPr/>
        <w:t>住所：北京市西城区复兴门内大街 </w:t>
      </w:r>
      <w:r>
        <w:rPr>
          <w:rFonts w:ascii="Times New Roman" w:eastAsia="Times New Roman"/>
        </w:rPr>
        <w:t>1 </w:t>
      </w:r>
      <w:r>
        <w:rPr/>
        <w:t>号</w:t>
      </w:r>
    </w:p>
    <w:p>
      <w:pPr>
        <w:pStyle w:val="BodyText"/>
        <w:spacing w:before="4"/>
        <w:rPr>
          <w:sz w:val="16"/>
        </w:rPr>
      </w:pPr>
    </w:p>
    <w:p>
      <w:pPr>
        <w:pStyle w:val="BodyText"/>
        <w:spacing w:line="424" w:lineRule="auto"/>
        <w:ind w:left="720" w:right="4708"/>
      </w:pPr>
      <w:r>
        <w:rPr/>
        <w:t>办公地址：北京市西城区复兴门内大街 </w:t>
      </w:r>
      <w:r>
        <w:rPr>
          <w:rFonts w:ascii="Times New Roman" w:eastAsia="Times New Roman"/>
        </w:rPr>
        <w:t>1 </w:t>
      </w:r>
      <w:r>
        <w:rPr/>
        <w:t>号法定代表人：刘连舸</w:t>
      </w:r>
    </w:p>
    <w:p>
      <w:pPr>
        <w:pStyle w:val="BodyText"/>
        <w:spacing w:line="424" w:lineRule="auto"/>
        <w:ind w:left="720" w:right="690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24" w:lineRule="auto"/>
        <w:ind w:left="720" w:right="6661"/>
        <w:rPr>
          <w:rFonts w:ascii="Times New Roman" w:eastAsia="Times New Roman"/>
        </w:rPr>
      </w:pPr>
      <w:r>
        <w:rPr/>
        <w:t>联系人：客户服务中心网址：</w:t>
      </w:r>
      <w:hyperlink r:id="rId12">
        <w:r>
          <w:rPr>
            <w:rFonts w:ascii="Times New Roman" w:eastAsia="Times New Roman"/>
          </w:rPr>
          <w:t>www.boc.cn</w:t>
        </w:r>
      </w:hyperlink>
    </w:p>
    <w:p>
      <w:pPr>
        <w:pStyle w:val="BodyText"/>
        <w:spacing w:line="267" w:lineRule="exact"/>
        <w:ind w:left="720"/>
        <w:rPr>
          <w:rFonts w:ascii="Times New Roman" w:eastAsia="Times New Roman"/>
        </w:rPr>
      </w:pPr>
      <w:r>
        <w:rPr/>
        <w:t>客户服务电话：</w:t>
      </w:r>
      <w:r>
        <w:rPr>
          <w:rFonts w:ascii="Times New Roman" w:eastAsia="Times New Roman"/>
        </w:rPr>
        <w:t>95566</w:t>
      </w:r>
    </w:p>
    <w:p>
      <w:pPr>
        <w:pStyle w:val="BodyText"/>
        <w:spacing w:before="7"/>
        <w:rPr>
          <w:rFonts w:ascii="Times New Roman"/>
          <w:sz w:val="17"/>
        </w:rPr>
      </w:pPr>
    </w:p>
    <w:p>
      <w:pPr>
        <w:pStyle w:val="ListParagraph"/>
        <w:numPr>
          <w:ilvl w:val="0"/>
          <w:numId w:val="10"/>
        </w:numPr>
        <w:tabs>
          <w:tab w:pos="1250" w:val="left" w:leader="none"/>
        </w:tabs>
        <w:spacing w:line="240" w:lineRule="auto" w:before="0" w:after="0"/>
        <w:ind w:left="1249" w:right="0" w:hanging="530"/>
        <w:jc w:val="left"/>
        <w:rPr>
          <w:sz w:val="21"/>
        </w:rPr>
      </w:pPr>
      <w:r>
        <w:rPr>
          <w:spacing w:val="-3"/>
          <w:sz w:val="21"/>
        </w:rPr>
        <w:t>中国建设银行股份有限公司</w:t>
      </w:r>
    </w:p>
    <w:p>
      <w:pPr>
        <w:spacing w:after="0" w:line="240" w:lineRule="auto"/>
        <w:jc w:val="left"/>
        <w:rPr>
          <w:sz w:val="21"/>
        </w:rPr>
        <w:sectPr>
          <w:pgSz w:w="11910" w:h="16840"/>
          <w:pgMar w:header="701" w:footer="683" w:top="1420" w:bottom="880" w:left="1500" w:right="920"/>
        </w:sectPr>
      </w:pPr>
    </w:p>
    <w:p>
      <w:pPr>
        <w:pStyle w:val="BodyText"/>
        <w:spacing w:before="115"/>
        <w:ind w:left="720"/>
      </w:pPr>
      <w:r>
        <w:rPr/>
        <w:t>住所：北京市西城区金融大街 </w:t>
      </w:r>
      <w:r>
        <w:rPr>
          <w:rFonts w:ascii="Times New Roman" w:eastAsia="Times New Roman"/>
        </w:rPr>
        <w:t>25 </w:t>
      </w:r>
      <w:r>
        <w:rPr/>
        <w:t>号</w:t>
      </w:r>
    </w:p>
    <w:p>
      <w:pPr>
        <w:pStyle w:val="BodyText"/>
        <w:rPr>
          <w:sz w:val="16"/>
        </w:rPr>
      </w:pPr>
    </w:p>
    <w:p>
      <w:pPr>
        <w:pStyle w:val="BodyText"/>
        <w:spacing w:line="424" w:lineRule="auto" w:before="1"/>
        <w:ind w:left="720" w:right="413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3"/>
        </w:rPr>
        <w:t> </w:t>
      </w:r>
      <w:r>
        <w:rPr/>
        <w:t>号楼</w:t>
      </w:r>
      <w:r>
        <w:rPr>
          <w:spacing w:val="-3"/>
        </w:rPr>
        <w:t>法定代表人：田国立</w:t>
      </w:r>
    </w:p>
    <w:p>
      <w:pPr>
        <w:pStyle w:val="BodyText"/>
        <w:spacing w:line="424" w:lineRule="auto"/>
        <w:ind w:left="720" w:right="676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pStyle w:val="BodyText"/>
        <w:ind w:left="720"/>
      </w:pPr>
      <w:r>
        <w:rPr/>
        <w:t>联系人：王嘉朔</w:t>
      </w:r>
    </w:p>
    <w:p>
      <w:pPr>
        <w:pStyle w:val="BodyText"/>
        <w:spacing w:before="12"/>
        <w:rPr>
          <w:sz w:val="15"/>
        </w:rPr>
      </w:pPr>
    </w:p>
    <w:p>
      <w:pPr>
        <w:pStyle w:val="BodyText"/>
        <w:ind w:left="720"/>
        <w:rPr>
          <w:rFonts w:ascii="Times New Roman" w:eastAsia="Times New Roman"/>
        </w:rPr>
      </w:pPr>
      <w:r>
        <w:rPr/>
        <w:t>网址：</w:t>
      </w:r>
      <w:hyperlink r:id="rId13">
        <w:r>
          <w:rPr>
            <w:rFonts w:ascii="Times New Roman" w:eastAsia="Times New Roman"/>
          </w:rPr>
          <w:t>www.ccb.com</w:t>
        </w:r>
      </w:hyperlink>
    </w:p>
    <w:p>
      <w:pPr>
        <w:pStyle w:val="BodyText"/>
        <w:spacing w:before="11"/>
        <w:rPr>
          <w:rFonts w:ascii="Times New Roman"/>
          <w:sz w:val="17"/>
        </w:rPr>
      </w:pPr>
    </w:p>
    <w:p>
      <w:pPr>
        <w:pStyle w:val="ListParagraph"/>
        <w:numPr>
          <w:ilvl w:val="0"/>
          <w:numId w:val="10"/>
        </w:numPr>
        <w:tabs>
          <w:tab w:pos="1250" w:val="left" w:leader="none"/>
        </w:tabs>
        <w:spacing w:line="240" w:lineRule="auto" w:before="0" w:after="0"/>
        <w:ind w:left="1249" w:right="0" w:hanging="530"/>
        <w:jc w:val="left"/>
        <w:rPr>
          <w:sz w:val="21"/>
        </w:rPr>
      </w:pPr>
      <w:r>
        <w:rPr>
          <w:spacing w:val="-3"/>
          <w:sz w:val="21"/>
        </w:rPr>
        <w:t>交通银行股份有限公司</w:t>
      </w:r>
    </w:p>
    <w:p>
      <w:pPr>
        <w:pStyle w:val="BodyText"/>
        <w:spacing w:before="1"/>
        <w:rPr>
          <w:sz w:val="16"/>
        </w:rPr>
      </w:pPr>
    </w:p>
    <w:p>
      <w:pPr>
        <w:pStyle w:val="BodyText"/>
        <w:ind w:left="720"/>
      </w:pPr>
      <w:r>
        <w:rPr/>
        <w:t>住所：上海市浦东新区银城中路 </w:t>
      </w:r>
      <w:r>
        <w:rPr>
          <w:rFonts w:ascii="Times New Roman" w:eastAsia="Times New Roman"/>
        </w:rPr>
        <w:t>188 </w:t>
      </w:r>
      <w:r>
        <w:rPr/>
        <w:t>号</w:t>
      </w:r>
    </w:p>
    <w:p>
      <w:pPr>
        <w:pStyle w:val="BodyText"/>
        <w:spacing w:before="1"/>
        <w:rPr>
          <w:sz w:val="16"/>
        </w:rPr>
      </w:pPr>
    </w:p>
    <w:p>
      <w:pPr>
        <w:pStyle w:val="BodyText"/>
        <w:spacing w:line="424" w:lineRule="auto"/>
        <w:ind w:left="720" w:right="4708"/>
      </w:pPr>
      <w:r>
        <w:rPr/>
        <w:t>办公地址：上海市浦东新区银城中路 </w:t>
      </w:r>
      <w:r>
        <w:rPr>
          <w:rFonts w:ascii="Times New Roman" w:eastAsia="Times New Roman"/>
        </w:rPr>
        <w:t>188 </w:t>
      </w:r>
      <w:r>
        <w:rPr/>
        <w:t>号法定代表人：任德奇</w:t>
      </w:r>
    </w:p>
    <w:p>
      <w:pPr>
        <w:pStyle w:val="BodyText"/>
        <w:spacing w:line="424" w:lineRule="auto"/>
        <w:ind w:left="720" w:right="690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ind w:left="720"/>
      </w:pPr>
      <w:r>
        <w:rPr/>
        <w:t>联系人：陈旭</w:t>
      </w:r>
    </w:p>
    <w:p>
      <w:pPr>
        <w:pStyle w:val="BodyText"/>
        <w:rPr>
          <w:sz w:val="16"/>
        </w:rPr>
      </w:pPr>
    </w:p>
    <w:p>
      <w:pPr>
        <w:pStyle w:val="BodyText"/>
        <w:spacing w:line="424" w:lineRule="auto"/>
        <w:ind w:left="720" w:right="6248"/>
        <w:rPr>
          <w:rFonts w:ascii="Times New Roman" w:eastAsia="Times New Roman"/>
        </w:rPr>
      </w:pPr>
      <w:r>
        <w:rPr/>
        <w:t>网址：</w:t>
      </w:r>
      <w:hyperlink r:id="rId14">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10"/>
        </w:numPr>
        <w:tabs>
          <w:tab w:pos="1250" w:val="left" w:leader="none"/>
        </w:tabs>
        <w:spacing w:line="267" w:lineRule="exact" w:before="0" w:after="0"/>
        <w:ind w:left="1249" w:right="0" w:hanging="530"/>
        <w:jc w:val="left"/>
        <w:rPr>
          <w:sz w:val="21"/>
        </w:rPr>
      </w:pPr>
      <w:r>
        <w:rPr>
          <w:spacing w:val="-3"/>
          <w:sz w:val="21"/>
        </w:rPr>
        <w:t>招商银行股份有限公司</w:t>
      </w:r>
    </w:p>
    <w:p>
      <w:pPr>
        <w:pStyle w:val="BodyText"/>
        <w:spacing w:before="1"/>
        <w:rPr>
          <w:sz w:val="16"/>
        </w:rPr>
      </w:pPr>
    </w:p>
    <w:p>
      <w:pPr>
        <w:pStyle w:val="BodyText"/>
        <w:ind w:left="720"/>
      </w:pPr>
      <w:r>
        <w:rPr/>
        <w:t>住所：深圳市深南大道 </w:t>
      </w:r>
      <w:r>
        <w:rPr>
          <w:rFonts w:ascii="Times New Roman" w:eastAsia="Times New Roman"/>
        </w:rPr>
        <w:t>7088 </w:t>
      </w:r>
      <w:r>
        <w:rPr/>
        <w:t>号招商银行大厦</w:t>
      </w:r>
    </w:p>
    <w:p>
      <w:pPr>
        <w:pStyle w:val="BodyText"/>
        <w:spacing w:before="1"/>
        <w:rPr>
          <w:sz w:val="16"/>
        </w:rPr>
      </w:pPr>
    </w:p>
    <w:p>
      <w:pPr>
        <w:pStyle w:val="BodyText"/>
        <w:spacing w:line="424" w:lineRule="auto"/>
        <w:ind w:left="720" w:right="4182"/>
      </w:pPr>
      <w:r>
        <w:rPr/>
        <w:t>办公地址：深圳市深南大道 </w:t>
      </w:r>
      <w:r>
        <w:rPr>
          <w:rFonts w:ascii="Times New Roman" w:eastAsia="Times New Roman"/>
        </w:rPr>
        <w:t>7088 </w:t>
      </w:r>
      <w:r>
        <w:rPr/>
        <w:t>号招商银行大厦法定代表人：李建红</w:t>
      </w:r>
    </w:p>
    <w:p>
      <w:pPr>
        <w:pStyle w:val="BodyText"/>
        <w:spacing w:line="427" w:lineRule="auto"/>
        <w:ind w:left="720" w:right="680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5" w:lineRule="exact"/>
        <w:ind w:left="720"/>
      </w:pPr>
      <w:r>
        <w:rPr/>
        <w:t>联系人：邓炯鹏</w:t>
      </w:r>
    </w:p>
    <w:p>
      <w:pPr>
        <w:pStyle w:val="BodyText"/>
        <w:spacing w:before="12"/>
        <w:rPr>
          <w:sz w:val="15"/>
        </w:rPr>
      </w:pPr>
    </w:p>
    <w:p>
      <w:pPr>
        <w:pStyle w:val="BodyText"/>
        <w:spacing w:line="424" w:lineRule="auto"/>
        <w:ind w:left="720" w:right="6363"/>
        <w:rPr>
          <w:rFonts w:ascii="Times New Roman" w:eastAsia="Times New Roman"/>
        </w:rPr>
      </w:pPr>
      <w:r>
        <w:rPr/>
        <w:t>网址：</w:t>
      </w:r>
      <w:hyperlink r:id="rId15">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10"/>
        </w:numPr>
        <w:tabs>
          <w:tab w:pos="1250" w:val="left" w:leader="none"/>
        </w:tabs>
        <w:spacing w:line="267" w:lineRule="exact" w:before="0" w:after="0"/>
        <w:ind w:left="1249" w:right="0" w:hanging="530"/>
        <w:jc w:val="left"/>
        <w:rPr>
          <w:sz w:val="21"/>
        </w:rPr>
      </w:pPr>
      <w:r>
        <w:rPr>
          <w:spacing w:val="-3"/>
          <w:sz w:val="21"/>
        </w:rPr>
        <w:t>中信银行股份有限公司</w:t>
      </w:r>
    </w:p>
    <w:p>
      <w:pPr>
        <w:pStyle w:val="BodyText"/>
        <w:spacing w:before="1"/>
        <w:rPr>
          <w:sz w:val="16"/>
        </w:rPr>
      </w:pPr>
    </w:p>
    <w:p>
      <w:pPr>
        <w:pStyle w:val="BodyText"/>
        <w:ind w:left="72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1"/>
        <w:rPr>
          <w:sz w:val="16"/>
        </w:rPr>
      </w:pPr>
    </w:p>
    <w:p>
      <w:pPr>
        <w:pStyle w:val="BodyText"/>
        <w:spacing w:line="424" w:lineRule="auto" w:before="1"/>
        <w:ind w:left="720" w:right="347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spacing w:after="0" w:line="424" w:lineRule="auto"/>
        <w:sectPr>
          <w:pgSz w:w="11910" w:h="16840"/>
          <w:pgMar w:header="701" w:footer="683" w:top="1420" w:bottom="880" w:left="1500" w:right="920"/>
        </w:sectPr>
      </w:pPr>
    </w:p>
    <w:p>
      <w:pPr>
        <w:pStyle w:val="BodyText"/>
        <w:spacing w:line="424" w:lineRule="auto" w:before="115"/>
        <w:ind w:left="720" w:right="690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spacing w:line="267" w:lineRule="exact"/>
        <w:ind w:left="720"/>
      </w:pPr>
      <w:r>
        <w:rPr/>
        <w:t>联系人：方爽</w:t>
      </w:r>
    </w:p>
    <w:p>
      <w:pPr>
        <w:pStyle w:val="BodyText"/>
        <w:rPr>
          <w:sz w:val="16"/>
        </w:rPr>
      </w:pPr>
    </w:p>
    <w:p>
      <w:pPr>
        <w:pStyle w:val="BodyText"/>
        <w:spacing w:line="424" w:lineRule="auto" w:before="1"/>
        <w:ind w:left="720" w:right="676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10"/>
        </w:numPr>
        <w:tabs>
          <w:tab w:pos="1250" w:val="left" w:leader="none"/>
        </w:tabs>
        <w:spacing w:line="424" w:lineRule="auto" w:before="0" w:after="0"/>
        <w:ind w:left="720" w:right="5295" w:firstLine="0"/>
        <w:jc w:val="left"/>
        <w:rPr>
          <w:sz w:val="21"/>
        </w:rPr>
      </w:pPr>
      <w:r>
        <w:rPr>
          <w:spacing w:val="-4"/>
          <w:sz w:val="21"/>
        </w:rPr>
        <w:t>上海浦东发展银行股份有限公司</w:t>
      </w:r>
      <w:r>
        <w:rPr>
          <w:spacing w:val="-8"/>
          <w:sz w:val="21"/>
        </w:rPr>
        <w:t>住所：上海市中山东一路 </w:t>
      </w:r>
      <w:r>
        <w:rPr>
          <w:rFonts w:ascii="Times New Roman" w:eastAsia="Times New Roman"/>
          <w:sz w:val="21"/>
        </w:rPr>
        <w:t>12</w:t>
      </w:r>
      <w:r>
        <w:rPr>
          <w:rFonts w:ascii="Times New Roman" w:eastAsia="Times New Roman"/>
          <w:spacing w:val="1"/>
          <w:sz w:val="21"/>
        </w:rPr>
        <w:t> </w:t>
      </w:r>
      <w:r>
        <w:rPr>
          <w:sz w:val="21"/>
        </w:rPr>
        <w:t>号</w:t>
      </w:r>
    </w:p>
    <w:p>
      <w:pPr>
        <w:pStyle w:val="BodyText"/>
        <w:spacing w:line="424" w:lineRule="auto"/>
        <w:ind w:left="720" w:right="5548"/>
      </w:pPr>
      <w:r>
        <w:rPr/>
        <w:t>办公地址：上海市北京东路 </w:t>
      </w:r>
      <w:r>
        <w:rPr>
          <w:rFonts w:ascii="Times New Roman" w:eastAsia="Times New Roman"/>
        </w:rPr>
        <w:t>689 </w:t>
      </w:r>
      <w:r>
        <w:rPr/>
        <w:t>号法定代表人：郑杨</w:t>
      </w:r>
    </w:p>
    <w:p>
      <w:pPr>
        <w:pStyle w:val="BodyText"/>
        <w:spacing w:line="424" w:lineRule="auto"/>
        <w:ind w:left="720" w:right="690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24" w:lineRule="auto"/>
        <w:ind w:left="720" w:right="6534"/>
        <w:rPr>
          <w:rFonts w:ascii="Times New Roman" w:eastAsia="Times New Roman"/>
        </w:rPr>
      </w:pPr>
      <w:r>
        <w:rPr/>
        <w:t>联系人：高天、汤嘉惠网址：</w:t>
      </w:r>
      <w:hyperlink r:id="rId16">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10"/>
        </w:numPr>
        <w:tabs>
          <w:tab w:pos="1250" w:val="left" w:leader="none"/>
        </w:tabs>
        <w:spacing w:line="424" w:lineRule="auto" w:before="0" w:after="0"/>
        <w:ind w:left="720" w:right="6137" w:firstLine="0"/>
        <w:jc w:val="left"/>
        <w:rPr>
          <w:sz w:val="21"/>
        </w:rPr>
      </w:pPr>
      <w:r>
        <w:rPr>
          <w:spacing w:val="-4"/>
          <w:sz w:val="21"/>
        </w:rPr>
        <w:t>兴业银行股份有限公司</w:t>
      </w:r>
      <w:r>
        <w:rPr>
          <w:spacing w:val="-8"/>
          <w:sz w:val="21"/>
        </w:rPr>
        <w:t>住所：福州市湖东路 </w:t>
      </w:r>
      <w:r>
        <w:rPr>
          <w:rFonts w:ascii="Times New Roman" w:eastAsia="Times New Roman"/>
          <w:sz w:val="21"/>
        </w:rPr>
        <w:t>154 </w:t>
      </w:r>
      <w:r>
        <w:rPr>
          <w:sz w:val="21"/>
        </w:rPr>
        <w:t>号</w:t>
      </w:r>
    </w:p>
    <w:p>
      <w:pPr>
        <w:pStyle w:val="BodyText"/>
        <w:spacing w:line="424" w:lineRule="auto"/>
        <w:ind w:left="720" w:right="5759"/>
      </w:pPr>
      <w:r>
        <w:rPr/>
        <w:t>办公地址：福州市湖东路 </w:t>
      </w:r>
      <w:r>
        <w:rPr>
          <w:rFonts w:ascii="Times New Roman" w:eastAsia="Times New Roman"/>
        </w:rPr>
        <w:t>154 </w:t>
      </w:r>
      <w:r>
        <w:rPr/>
        <w:t>号法定代表人：高建平</w:t>
      </w:r>
    </w:p>
    <w:p>
      <w:pPr>
        <w:pStyle w:val="BodyText"/>
        <w:spacing w:line="424" w:lineRule="auto"/>
        <w:ind w:left="720" w:right="6800"/>
        <w:rPr>
          <w:rFonts w:ascii="Times New Roman" w:eastAsia="Times New Roman"/>
        </w:rPr>
      </w:pPr>
      <w:r>
        <w:rPr/>
        <w:t>电话：</w:t>
      </w:r>
      <w:r>
        <w:rPr>
          <w:rFonts w:ascii="Times New Roman" w:eastAsia="Times New Roman"/>
        </w:rPr>
        <w:t>0591-87839338 </w:t>
      </w:r>
      <w:r>
        <w:rPr/>
        <w:t>传真：</w:t>
      </w:r>
      <w:r>
        <w:rPr>
          <w:rFonts w:ascii="Times New Roman" w:eastAsia="Times New Roman"/>
        </w:rPr>
        <w:t>0591-87841932</w:t>
      </w:r>
    </w:p>
    <w:p>
      <w:pPr>
        <w:pStyle w:val="BodyText"/>
        <w:spacing w:line="267" w:lineRule="exact"/>
        <w:ind w:left="720"/>
      </w:pPr>
      <w:r>
        <w:rPr/>
        <w:t>联系人：梁曦</w:t>
      </w:r>
    </w:p>
    <w:p>
      <w:pPr>
        <w:pStyle w:val="BodyText"/>
        <w:spacing w:before="7"/>
        <w:rPr>
          <w:sz w:val="15"/>
        </w:rPr>
      </w:pPr>
    </w:p>
    <w:p>
      <w:pPr>
        <w:pStyle w:val="BodyText"/>
        <w:spacing w:line="424" w:lineRule="auto"/>
        <w:ind w:left="720" w:right="6673"/>
        <w:rPr>
          <w:rFonts w:ascii="Times New Roman" w:eastAsia="Times New Roman"/>
        </w:rPr>
      </w:pPr>
      <w:r>
        <w:rPr/>
        <w:t>网址：</w:t>
      </w:r>
      <w:hyperlink r:id="rId17">
        <w:r>
          <w:rPr>
            <w:rFonts w:ascii="Times New Roman" w:eastAsia="Times New Roman"/>
          </w:rPr>
          <w:t>www.cib.com.cn </w:t>
        </w:r>
      </w:hyperlink>
      <w:r>
        <w:rPr/>
        <w:t>客户服务电话：</w:t>
      </w:r>
      <w:r>
        <w:rPr>
          <w:rFonts w:ascii="Times New Roman" w:eastAsia="Times New Roman"/>
        </w:rPr>
        <w:t>95561</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中国民生银行股份有限公司</w:t>
      </w:r>
    </w:p>
    <w:p>
      <w:pPr>
        <w:pStyle w:val="BodyText"/>
        <w:spacing w:before="1"/>
        <w:rPr>
          <w:sz w:val="16"/>
        </w:rPr>
      </w:pPr>
    </w:p>
    <w:p>
      <w:pPr>
        <w:pStyle w:val="BodyText"/>
        <w:ind w:left="720"/>
      </w:pPr>
      <w:r>
        <w:rPr/>
        <w:t>住所：北京市西城区复兴门内大街 </w:t>
      </w:r>
      <w:r>
        <w:rPr>
          <w:rFonts w:ascii="Times New Roman" w:eastAsia="Times New Roman"/>
        </w:rPr>
        <w:t>2 </w:t>
      </w:r>
      <w:r>
        <w:rPr/>
        <w:t>号</w:t>
      </w:r>
    </w:p>
    <w:p>
      <w:pPr>
        <w:pStyle w:val="BodyText"/>
        <w:spacing w:before="1"/>
        <w:rPr>
          <w:sz w:val="16"/>
        </w:rPr>
      </w:pPr>
    </w:p>
    <w:p>
      <w:pPr>
        <w:pStyle w:val="BodyText"/>
        <w:spacing w:line="424" w:lineRule="auto"/>
        <w:ind w:left="720" w:right="4708"/>
      </w:pPr>
      <w:r>
        <w:rPr/>
        <w:t>办公地址：北京市西城区复兴门内大街 </w:t>
      </w:r>
      <w:r>
        <w:rPr>
          <w:rFonts w:ascii="Times New Roman" w:eastAsia="Times New Roman"/>
        </w:rPr>
        <w:t>2 </w:t>
      </w:r>
      <w:r>
        <w:rPr/>
        <w:t>号法定代表人：董文标</w:t>
      </w:r>
    </w:p>
    <w:p>
      <w:pPr>
        <w:pStyle w:val="BodyText"/>
        <w:spacing w:line="424" w:lineRule="auto"/>
        <w:ind w:left="720" w:right="6767"/>
        <w:rPr>
          <w:rFonts w:ascii="Times New Roman" w:eastAsia="Times New Roman"/>
        </w:rPr>
      </w:pPr>
      <w:r>
        <w:rPr/>
        <w:t>客户服务电话：</w:t>
      </w:r>
      <w:r>
        <w:rPr>
          <w:rFonts w:ascii="Times New Roman" w:eastAsia="Times New Roman"/>
        </w:rPr>
        <w:t>95568 </w:t>
      </w:r>
      <w:r>
        <w:rPr/>
        <w:t>传真：</w:t>
      </w:r>
      <w:r>
        <w:rPr>
          <w:rFonts w:ascii="Times New Roman" w:eastAsia="Times New Roman"/>
        </w:rPr>
        <w:t>010-57092611</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pPr>
      <w:r>
        <w:rPr/>
        <w:t>联系人：董云巍</w:t>
      </w:r>
    </w:p>
    <w:p>
      <w:pPr>
        <w:pStyle w:val="BodyText"/>
        <w:rPr>
          <w:sz w:val="16"/>
        </w:rPr>
      </w:pPr>
    </w:p>
    <w:p>
      <w:pPr>
        <w:pStyle w:val="BodyText"/>
        <w:spacing w:before="1"/>
        <w:ind w:left="720"/>
        <w:rPr>
          <w:rFonts w:ascii="Times New Roman" w:eastAsia="Times New Roman"/>
        </w:rPr>
      </w:pPr>
      <w:r>
        <w:rPr/>
        <w:t>网址：</w:t>
      </w:r>
      <w:hyperlink r:id="rId18">
        <w:r>
          <w:rPr>
            <w:rFonts w:ascii="Times New Roman" w:eastAsia="Times New Roman"/>
          </w:rPr>
          <w:t>www.cmbc.com.cn</w:t>
        </w:r>
      </w:hyperlink>
    </w:p>
    <w:p>
      <w:pPr>
        <w:pStyle w:val="BodyText"/>
        <w:spacing w:before="10"/>
        <w:rPr>
          <w:rFonts w:ascii="Times New Roman"/>
          <w:sz w:val="17"/>
        </w:rPr>
      </w:pPr>
    </w:p>
    <w:p>
      <w:pPr>
        <w:pStyle w:val="ListParagraph"/>
        <w:numPr>
          <w:ilvl w:val="0"/>
          <w:numId w:val="10"/>
        </w:numPr>
        <w:tabs>
          <w:tab w:pos="1346" w:val="left" w:leader="none"/>
        </w:tabs>
        <w:spacing w:line="424" w:lineRule="auto" w:before="0" w:after="0"/>
        <w:ind w:left="720" w:right="4978" w:firstLine="0"/>
        <w:jc w:val="left"/>
        <w:rPr>
          <w:sz w:val="21"/>
        </w:rPr>
      </w:pPr>
      <w:r>
        <w:rPr>
          <w:spacing w:val="-3"/>
          <w:sz w:val="21"/>
        </w:rPr>
        <w:t>中国邮政储蓄银行股份有限公司 </w:t>
      </w:r>
      <w:r>
        <w:rPr>
          <w:spacing w:val="-6"/>
          <w:sz w:val="21"/>
        </w:rPr>
        <w:t>住所：北京市西城区宣武门西大街 </w:t>
      </w:r>
      <w:r>
        <w:rPr>
          <w:rFonts w:ascii="Times New Roman" w:eastAsia="Times New Roman"/>
          <w:sz w:val="21"/>
        </w:rPr>
        <w:t>131</w:t>
      </w:r>
      <w:r>
        <w:rPr>
          <w:rFonts w:ascii="Times New Roman" w:eastAsia="Times New Roman"/>
          <w:spacing w:val="8"/>
          <w:sz w:val="21"/>
        </w:rPr>
        <w:t> </w:t>
      </w:r>
      <w:r>
        <w:rPr>
          <w:spacing w:val="-12"/>
          <w:sz w:val="21"/>
        </w:rPr>
        <w:t>号</w:t>
      </w:r>
    </w:p>
    <w:p>
      <w:pPr>
        <w:pStyle w:val="BodyText"/>
        <w:spacing w:line="427" w:lineRule="auto"/>
        <w:ind w:left="720" w:right="5128"/>
      </w:pPr>
      <w:r>
        <w:rPr/>
        <w:t>办公地址：北京市西城区金融大街 </w:t>
      </w:r>
      <w:r>
        <w:rPr>
          <w:rFonts w:ascii="Times New Roman" w:eastAsia="Times New Roman"/>
        </w:rPr>
        <w:t>3 </w:t>
      </w:r>
      <w:r>
        <w:rPr/>
        <w:t>号法定代表人：刘安东</w:t>
      </w:r>
    </w:p>
    <w:p>
      <w:pPr>
        <w:pStyle w:val="BodyText"/>
        <w:spacing w:line="424" w:lineRule="auto"/>
        <w:ind w:left="720" w:right="6767"/>
        <w:rPr>
          <w:rFonts w:ascii="Times New Roman" w:eastAsia="Times New Roman"/>
        </w:rPr>
      </w:pPr>
      <w:r>
        <w:rPr/>
        <w:t>客户服务电话：</w:t>
      </w:r>
      <w:r>
        <w:rPr>
          <w:rFonts w:ascii="Times New Roman" w:eastAsia="Times New Roman"/>
        </w:rPr>
        <w:t>95580 </w:t>
      </w:r>
      <w:r>
        <w:rPr/>
        <w:t>传真：</w:t>
      </w:r>
      <w:r>
        <w:rPr>
          <w:rFonts w:ascii="Times New Roman" w:eastAsia="Times New Roman"/>
        </w:rPr>
        <w:t>010-68858117</w:t>
      </w:r>
    </w:p>
    <w:p>
      <w:pPr>
        <w:pStyle w:val="BodyText"/>
        <w:spacing w:line="268" w:lineRule="exact"/>
        <w:ind w:left="720"/>
      </w:pPr>
      <w:r>
        <w:rPr/>
        <w:t>联系人：陈春林</w:t>
      </w:r>
    </w:p>
    <w:p>
      <w:pPr>
        <w:pStyle w:val="BodyText"/>
        <w:spacing w:before="7"/>
        <w:rPr>
          <w:sz w:val="15"/>
        </w:rPr>
      </w:pPr>
    </w:p>
    <w:p>
      <w:pPr>
        <w:pStyle w:val="BodyText"/>
        <w:ind w:left="720"/>
        <w:rPr>
          <w:rFonts w:ascii="Times New Roman" w:eastAsia="Times New Roman"/>
        </w:rPr>
      </w:pPr>
      <w:r>
        <w:rPr/>
        <w:t>网址：</w:t>
      </w:r>
      <w:hyperlink r:id="rId19">
        <w:r>
          <w:rPr>
            <w:rFonts w:ascii="Times New Roman" w:eastAsia="Times New Roman"/>
          </w:rPr>
          <w:t>www.psbc.com</w:t>
        </w:r>
      </w:hyperlink>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北京银行股份有限公司</w:t>
      </w:r>
    </w:p>
    <w:p>
      <w:pPr>
        <w:pStyle w:val="BodyText"/>
        <w:spacing w:before="1"/>
        <w:rPr>
          <w:sz w:val="16"/>
        </w:rPr>
      </w:pPr>
    </w:p>
    <w:p>
      <w:pPr>
        <w:pStyle w:val="BodyText"/>
        <w:ind w:left="720"/>
      </w:pPr>
      <w:r>
        <w:rPr/>
        <w:t>住所：北京市西城区金融大街甲 </w:t>
      </w:r>
      <w:r>
        <w:rPr>
          <w:rFonts w:ascii="Times New Roman" w:eastAsia="Times New Roman"/>
        </w:rPr>
        <w:t>17 </w:t>
      </w:r>
      <w:r>
        <w:rPr/>
        <w:t>号首层</w:t>
      </w:r>
    </w:p>
    <w:p>
      <w:pPr>
        <w:pStyle w:val="BodyText"/>
        <w:spacing w:before="1"/>
        <w:rPr>
          <w:sz w:val="16"/>
        </w:rPr>
      </w:pPr>
    </w:p>
    <w:p>
      <w:pPr>
        <w:pStyle w:val="BodyText"/>
        <w:spacing w:line="427" w:lineRule="auto"/>
        <w:ind w:left="720" w:right="4813"/>
      </w:pPr>
      <w:r>
        <w:rPr/>
        <w:t>办公地址：北京市西城区金融大街丙 </w:t>
      </w:r>
      <w:r>
        <w:rPr>
          <w:rFonts w:ascii="Times New Roman" w:eastAsia="Times New Roman"/>
        </w:rPr>
        <w:t>17 </w:t>
      </w:r>
      <w:r>
        <w:rPr/>
        <w:t>号法定代表人：闫冰竹</w:t>
      </w:r>
    </w:p>
    <w:p>
      <w:pPr>
        <w:pStyle w:val="BodyText"/>
        <w:spacing w:line="424" w:lineRule="auto"/>
        <w:ind w:left="720" w:right="6906"/>
        <w:rPr>
          <w:rFonts w:ascii="Times New Roman" w:eastAsia="Times New Roman"/>
        </w:rPr>
      </w:pPr>
      <w:r>
        <w:rPr/>
        <w:t>电话：</w:t>
      </w:r>
      <w:r>
        <w:rPr>
          <w:rFonts w:ascii="Times New Roman" w:eastAsia="Times New Roman"/>
        </w:rPr>
        <w:t>010-66223587 </w:t>
      </w:r>
      <w:r>
        <w:rPr/>
        <w:t>传真：</w:t>
      </w:r>
      <w:r>
        <w:rPr>
          <w:rFonts w:ascii="Times New Roman" w:eastAsia="Times New Roman"/>
        </w:rPr>
        <w:t>010-66226045</w:t>
      </w:r>
    </w:p>
    <w:p>
      <w:pPr>
        <w:pStyle w:val="BodyText"/>
        <w:spacing w:line="267" w:lineRule="exact"/>
        <w:ind w:left="720"/>
      </w:pPr>
      <w:r>
        <w:rPr/>
        <w:t>联系人：谢小华</w:t>
      </w:r>
    </w:p>
    <w:p>
      <w:pPr>
        <w:pStyle w:val="BodyText"/>
        <w:spacing w:before="9"/>
        <w:rPr>
          <w:sz w:val="15"/>
        </w:rPr>
      </w:pPr>
    </w:p>
    <w:p>
      <w:pPr>
        <w:pStyle w:val="BodyText"/>
        <w:spacing w:line="424" w:lineRule="auto"/>
        <w:ind w:left="720" w:right="5765"/>
        <w:rPr>
          <w:rFonts w:ascii="Times New Roman" w:eastAsia="Times New Roman"/>
        </w:rPr>
      </w:pPr>
      <w:r>
        <w:rPr/>
        <w:t>网址：</w:t>
      </w:r>
      <w:hyperlink r:id="rId20">
        <w:r>
          <w:rPr>
            <w:rFonts w:ascii="Times New Roman" w:eastAsia="Times New Roman"/>
          </w:rPr>
          <w:t>www.bankofbeijing.com.cn </w:t>
        </w:r>
      </w:hyperlink>
      <w:r>
        <w:rPr/>
        <w:t>客户服务电话：</w:t>
      </w:r>
      <w:r>
        <w:rPr>
          <w:rFonts w:ascii="Times New Roman" w:eastAsia="Times New Roman"/>
        </w:rPr>
        <w:t>95526</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华夏银行股份有限公司</w:t>
      </w:r>
    </w:p>
    <w:p>
      <w:pPr>
        <w:pStyle w:val="BodyText"/>
        <w:spacing w:before="1"/>
        <w:rPr>
          <w:sz w:val="16"/>
        </w:rPr>
      </w:pPr>
    </w:p>
    <w:p>
      <w:pPr>
        <w:pStyle w:val="BodyText"/>
        <w:ind w:left="720"/>
      </w:pPr>
      <w:r>
        <w:rPr/>
        <w:t>住所：北京市东城区建国门内大街 </w:t>
      </w:r>
      <w:r>
        <w:rPr>
          <w:rFonts w:ascii="Times New Roman" w:eastAsia="Times New Roman"/>
        </w:rPr>
        <w:t>22 </w:t>
      </w:r>
      <w:r>
        <w:rPr/>
        <w:t>号</w:t>
      </w:r>
    </w:p>
    <w:p>
      <w:pPr>
        <w:pStyle w:val="BodyText"/>
        <w:spacing w:before="4"/>
        <w:rPr>
          <w:sz w:val="16"/>
        </w:rPr>
      </w:pPr>
    </w:p>
    <w:p>
      <w:pPr>
        <w:pStyle w:val="BodyText"/>
        <w:spacing w:line="424" w:lineRule="auto" w:before="1"/>
        <w:ind w:left="720" w:right="4603"/>
      </w:pPr>
      <w:r>
        <w:rPr/>
        <w:t>办公地址：北京市东城区建国门内大街 </w:t>
      </w:r>
      <w:r>
        <w:rPr>
          <w:rFonts w:ascii="Times New Roman" w:eastAsia="Times New Roman"/>
        </w:rPr>
        <w:t>22 </w:t>
      </w:r>
      <w:r>
        <w:rPr/>
        <w:t>号法定代表人：吴建</w:t>
      </w:r>
    </w:p>
    <w:p>
      <w:pPr>
        <w:pStyle w:val="BodyText"/>
        <w:spacing w:line="424" w:lineRule="auto"/>
        <w:ind w:left="720" w:right="6906"/>
        <w:rPr>
          <w:rFonts w:ascii="Times New Roman" w:eastAsia="Times New Roman"/>
        </w:rPr>
      </w:pPr>
      <w:r>
        <w:rPr/>
        <w:t>电话：</w:t>
      </w:r>
      <w:r>
        <w:rPr>
          <w:rFonts w:ascii="Times New Roman" w:eastAsia="Times New Roman"/>
        </w:rPr>
        <w:t>010-85238670 </w:t>
      </w:r>
      <w:r>
        <w:rPr/>
        <w:t>传真：</w:t>
      </w:r>
      <w:r>
        <w:rPr>
          <w:rFonts w:ascii="Times New Roman" w:eastAsia="Times New Roman"/>
        </w:rPr>
        <w:t>010-85238680</w:t>
      </w:r>
    </w:p>
    <w:p>
      <w:pPr>
        <w:pStyle w:val="BodyText"/>
        <w:spacing w:line="267" w:lineRule="exact"/>
        <w:ind w:left="720"/>
      </w:pPr>
      <w:r>
        <w:rPr/>
        <w:t>联系人：李慧</w:t>
      </w:r>
    </w:p>
    <w:p>
      <w:pPr>
        <w:pStyle w:val="BodyText"/>
        <w:spacing w:before="11"/>
        <w:rPr>
          <w:sz w:val="15"/>
        </w:rPr>
      </w:pPr>
    </w:p>
    <w:p>
      <w:pPr>
        <w:pStyle w:val="BodyText"/>
        <w:spacing w:line="424" w:lineRule="auto"/>
        <w:ind w:left="720" w:right="6615"/>
        <w:rPr>
          <w:rFonts w:ascii="Times New Roman" w:eastAsia="Times New Roman"/>
        </w:rPr>
      </w:pPr>
      <w:r>
        <w:rPr/>
        <w:t>网址：</w:t>
      </w:r>
      <w:hyperlink r:id="rId21">
        <w:r>
          <w:rPr>
            <w:rFonts w:ascii="Times New Roman" w:eastAsia="Times New Roman"/>
          </w:rPr>
          <w:t>www.hxb.com.cn </w:t>
        </w:r>
      </w:hyperlink>
      <w:r>
        <w:rPr/>
        <w:t>客户服务电话：</w:t>
      </w:r>
      <w:r>
        <w:rPr>
          <w:rFonts w:ascii="Times New Roman" w:eastAsia="Times New Roman"/>
        </w:rPr>
        <w:t>95577</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上海银行股份有限公司</w:t>
      </w:r>
    </w:p>
    <w:p>
      <w:pPr>
        <w:spacing w:after="0" w:line="267" w:lineRule="exact"/>
        <w:jc w:val="left"/>
        <w:rPr>
          <w:sz w:val="21"/>
        </w:rPr>
        <w:sectPr>
          <w:pgSz w:w="11910" w:h="16840"/>
          <w:pgMar w:header="701" w:footer="683" w:top="1420" w:bottom="880" w:left="1500" w:right="920"/>
        </w:sectPr>
      </w:pPr>
    </w:p>
    <w:p>
      <w:pPr>
        <w:pStyle w:val="BodyText"/>
        <w:spacing w:before="115"/>
        <w:ind w:left="720"/>
      </w:pPr>
      <w:r>
        <w:rPr/>
        <w:t>住所：上海市浦东新区银城中路 </w:t>
      </w:r>
      <w:r>
        <w:rPr>
          <w:rFonts w:ascii="Times New Roman" w:eastAsia="Times New Roman"/>
        </w:rPr>
        <w:t>168 </w:t>
      </w:r>
      <w:r>
        <w:rPr/>
        <w:t>号</w:t>
      </w:r>
    </w:p>
    <w:p>
      <w:pPr>
        <w:pStyle w:val="BodyText"/>
        <w:rPr>
          <w:sz w:val="16"/>
        </w:rPr>
      </w:pPr>
    </w:p>
    <w:p>
      <w:pPr>
        <w:pStyle w:val="BodyText"/>
        <w:spacing w:line="424" w:lineRule="auto" w:before="1"/>
        <w:ind w:left="720" w:right="4708"/>
      </w:pPr>
      <w:r>
        <w:rPr/>
        <w:t>办公地址：上海市浦东新区银城中路 </w:t>
      </w:r>
      <w:r>
        <w:rPr>
          <w:rFonts w:ascii="Times New Roman" w:eastAsia="Times New Roman"/>
        </w:rPr>
        <w:t>168 </w:t>
      </w:r>
      <w:r>
        <w:rPr/>
        <w:t>号法定代表人：金煜</w:t>
      </w:r>
    </w:p>
    <w:p>
      <w:pPr>
        <w:pStyle w:val="BodyText"/>
        <w:spacing w:line="424" w:lineRule="auto"/>
        <w:ind w:left="720" w:right="6906"/>
        <w:rPr>
          <w:rFonts w:ascii="Times New Roman" w:eastAsia="Times New Roman"/>
        </w:rPr>
      </w:pPr>
      <w:r>
        <w:rPr/>
        <w:t>电话：</w:t>
      </w:r>
      <w:r>
        <w:rPr>
          <w:rFonts w:ascii="Times New Roman" w:eastAsia="Times New Roman"/>
        </w:rPr>
        <w:t>021-68475888 </w:t>
      </w:r>
      <w:r>
        <w:rPr/>
        <w:t>传真：</w:t>
      </w:r>
      <w:r>
        <w:rPr>
          <w:rFonts w:ascii="Times New Roman" w:eastAsia="Times New Roman"/>
        </w:rPr>
        <w:t>021-68476111</w:t>
      </w:r>
    </w:p>
    <w:p>
      <w:pPr>
        <w:pStyle w:val="BodyText"/>
        <w:ind w:left="720"/>
      </w:pPr>
      <w:r>
        <w:rPr/>
        <w:t>联系人：王笑</w:t>
      </w:r>
    </w:p>
    <w:p>
      <w:pPr>
        <w:pStyle w:val="BodyText"/>
        <w:spacing w:before="12"/>
        <w:rPr>
          <w:sz w:val="15"/>
        </w:rPr>
      </w:pPr>
    </w:p>
    <w:p>
      <w:pPr>
        <w:pStyle w:val="BodyText"/>
        <w:spacing w:line="424" w:lineRule="auto"/>
        <w:ind w:left="720" w:right="6400"/>
        <w:rPr>
          <w:rFonts w:ascii="Times New Roman" w:eastAsia="Times New Roman"/>
        </w:rPr>
      </w:pPr>
      <w:r>
        <w:rPr/>
        <w:t>网址：</w:t>
      </w:r>
      <w:hyperlink r:id="rId22">
        <w:r>
          <w:rPr>
            <w:rFonts w:ascii="Times New Roman" w:eastAsia="Times New Roman"/>
          </w:rPr>
          <w:t>http://www.bosc.cn/ </w:t>
        </w:r>
      </w:hyperlink>
      <w:r>
        <w:rPr/>
        <w:t>客户服务电话：</w:t>
      </w:r>
      <w:r>
        <w:rPr>
          <w:rFonts w:ascii="Times New Roman" w:eastAsia="Times New Roman"/>
        </w:rPr>
        <w:t>95594</w:t>
      </w:r>
    </w:p>
    <w:p>
      <w:pPr>
        <w:pStyle w:val="ListParagraph"/>
        <w:numPr>
          <w:ilvl w:val="0"/>
          <w:numId w:val="10"/>
        </w:numPr>
        <w:tabs>
          <w:tab w:pos="1355" w:val="left" w:leader="none"/>
        </w:tabs>
        <w:spacing w:line="268" w:lineRule="exact" w:before="0" w:after="0"/>
        <w:ind w:left="1355" w:right="0" w:hanging="635"/>
        <w:jc w:val="left"/>
        <w:rPr>
          <w:sz w:val="21"/>
        </w:rPr>
      </w:pPr>
      <w:r>
        <w:rPr>
          <w:spacing w:val="-3"/>
          <w:sz w:val="21"/>
        </w:rPr>
        <w:t>平安银行股份有限公司</w:t>
      </w:r>
    </w:p>
    <w:p>
      <w:pPr>
        <w:pStyle w:val="BodyText"/>
        <w:spacing w:before="1"/>
        <w:rPr>
          <w:sz w:val="16"/>
        </w:rPr>
      </w:pPr>
    </w:p>
    <w:p>
      <w:pPr>
        <w:pStyle w:val="BodyText"/>
        <w:ind w:left="720"/>
      </w:pPr>
      <w:r>
        <w:rPr/>
        <w:t>住所：广东省深圳市深南东路 </w:t>
      </w:r>
      <w:r>
        <w:rPr>
          <w:rFonts w:ascii="Times New Roman" w:eastAsia="Times New Roman"/>
        </w:rPr>
        <w:t>5047 </w:t>
      </w:r>
      <w:r>
        <w:rPr/>
        <w:t>号</w:t>
      </w:r>
    </w:p>
    <w:p>
      <w:pPr>
        <w:pStyle w:val="BodyText"/>
        <w:spacing w:before="1"/>
        <w:rPr>
          <w:sz w:val="16"/>
        </w:rPr>
      </w:pPr>
    </w:p>
    <w:p>
      <w:pPr>
        <w:pStyle w:val="BodyText"/>
        <w:spacing w:line="424" w:lineRule="auto"/>
        <w:ind w:left="720" w:right="4813"/>
      </w:pPr>
      <w:r>
        <w:rPr/>
        <w:t>办公地址：广东省深圳市深南东路 </w:t>
      </w:r>
      <w:r>
        <w:rPr>
          <w:rFonts w:ascii="Times New Roman" w:eastAsia="Times New Roman"/>
        </w:rPr>
        <w:t>5047 </w:t>
      </w:r>
      <w:r>
        <w:rPr/>
        <w:t>号法定代表人：孙建一</w:t>
      </w:r>
    </w:p>
    <w:p>
      <w:pPr>
        <w:pStyle w:val="BodyText"/>
        <w:spacing w:line="427" w:lineRule="auto"/>
        <w:ind w:left="720" w:right="680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4" w:lineRule="exact"/>
        <w:ind w:left="720"/>
      </w:pPr>
      <w:r>
        <w:rPr/>
        <w:t>联系人：张莉</w:t>
      </w:r>
    </w:p>
    <w:p>
      <w:pPr>
        <w:pStyle w:val="BodyText"/>
        <w:spacing w:before="12"/>
        <w:rPr>
          <w:sz w:val="15"/>
        </w:rPr>
      </w:pPr>
    </w:p>
    <w:p>
      <w:pPr>
        <w:pStyle w:val="BodyText"/>
        <w:spacing w:line="424" w:lineRule="auto"/>
        <w:ind w:left="720" w:right="656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宁波银行股份有限公司</w:t>
      </w:r>
    </w:p>
    <w:p>
      <w:pPr>
        <w:pStyle w:val="BodyText"/>
        <w:spacing w:before="1"/>
        <w:rPr>
          <w:sz w:val="16"/>
        </w:rPr>
      </w:pPr>
    </w:p>
    <w:p>
      <w:pPr>
        <w:pStyle w:val="BodyText"/>
        <w:ind w:left="720"/>
      </w:pPr>
      <w:r>
        <w:rPr/>
        <w:t>住所：宁波市鄞州区宁南南路 </w:t>
      </w:r>
      <w:r>
        <w:rPr>
          <w:rFonts w:ascii="Times New Roman" w:eastAsia="Times New Roman"/>
        </w:rPr>
        <w:t>700 </w:t>
      </w:r>
      <w:r>
        <w:rPr/>
        <w:t>号</w:t>
      </w:r>
    </w:p>
    <w:p>
      <w:pPr>
        <w:pStyle w:val="BodyText"/>
        <w:spacing w:before="1"/>
        <w:rPr>
          <w:sz w:val="16"/>
        </w:rPr>
      </w:pPr>
    </w:p>
    <w:p>
      <w:pPr>
        <w:pStyle w:val="BodyText"/>
        <w:spacing w:line="424" w:lineRule="auto"/>
        <w:ind w:left="720" w:right="4917"/>
      </w:pPr>
      <w:r>
        <w:rPr/>
        <w:t>办公地址：宁波市鄞州区宁南南路 </w:t>
      </w:r>
      <w:r>
        <w:rPr>
          <w:rFonts w:ascii="Times New Roman" w:eastAsia="Times New Roman"/>
        </w:rPr>
        <w:t>700 </w:t>
      </w:r>
      <w:r>
        <w:rPr/>
        <w:t>号法定代表人：陆华裕</w:t>
      </w:r>
    </w:p>
    <w:p>
      <w:pPr>
        <w:pStyle w:val="BodyText"/>
        <w:spacing w:line="424" w:lineRule="auto" w:before="1"/>
        <w:ind w:left="720" w:right="6800"/>
        <w:rPr>
          <w:rFonts w:ascii="Times New Roman" w:eastAsia="Times New Roman"/>
        </w:rPr>
      </w:pPr>
      <w:r>
        <w:rPr/>
        <w:t>电话：</w:t>
      </w:r>
      <w:r>
        <w:rPr>
          <w:rFonts w:ascii="Times New Roman" w:eastAsia="Times New Roman"/>
        </w:rPr>
        <w:t>0574-89068340 </w:t>
      </w:r>
      <w:r>
        <w:rPr/>
        <w:t>传真：</w:t>
      </w:r>
      <w:r>
        <w:rPr>
          <w:rFonts w:ascii="Times New Roman" w:eastAsia="Times New Roman"/>
        </w:rPr>
        <w:t>0574-87050024</w:t>
      </w:r>
    </w:p>
    <w:p>
      <w:pPr>
        <w:pStyle w:val="BodyText"/>
        <w:spacing w:line="424" w:lineRule="auto"/>
        <w:ind w:left="720" w:right="6978"/>
        <w:rPr>
          <w:rFonts w:ascii="Times New Roman" w:eastAsia="Times New Roman"/>
        </w:rPr>
      </w:pPr>
      <w:r>
        <w:rPr>
          <w:spacing w:val="-2"/>
        </w:rPr>
        <w:t>联系人：胡技勋  </w:t>
      </w:r>
      <w:r>
        <w:rPr>
          <w:spacing w:val="-3"/>
        </w:rPr>
        <w:t>网址：</w:t>
      </w:r>
      <w:hyperlink r:id="rId23">
        <w:r>
          <w:rPr>
            <w:rFonts w:ascii="Times New Roman" w:eastAsia="Times New Roman"/>
            <w:spacing w:val="-4"/>
          </w:rPr>
          <w:t>www.nbcb.cn</w:t>
        </w:r>
      </w:hyperlink>
    </w:p>
    <w:p>
      <w:pPr>
        <w:pStyle w:val="BodyText"/>
        <w:spacing w:line="267" w:lineRule="exact"/>
        <w:ind w:left="720"/>
        <w:rPr>
          <w:rFonts w:ascii="Times New Roman" w:eastAsia="Times New Roman"/>
        </w:rPr>
      </w:pPr>
      <w:r>
        <w:rPr/>
        <w:t>客户服务电话：</w:t>
      </w:r>
      <w:r>
        <w:rPr>
          <w:rFonts w:ascii="Times New Roman" w:eastAsia="Times New Roman"/>
        </w:rPr>
        <w:t>95574</w:t>
      </w:r>
    </w:p>
    <w:p>
      <w:pPr>
        <w:pStyle w:val="BodyText"/>
        <w:spacing w:before="9"/>
        <w:rPr>
          <w:rFonts w:ascii="Times New Roman"/>
          <w:sz w:val="17"/>
        </w:rPr>
      </w:pPr>
    </w:p>
    <w:p>
      <w:pPr>
        <w:pStyle w:val="ListParagraph"/>
        <w:numPr>
          <w:ilvl w:val="0"/>
          <w:numId w:val="10"/>
        </w:numPr>
        <w:tabs>
          <w:tab w:pos="1355" w:val="left" w:leader="none"/>
        </w:tabs>
        <w:spacing w:line="424" w:lineRule="auto" w:before="0" w:after="0"/>
        <w:ind w:left="720" w:right="5189" w:firstLine="0"/>
        <w:jc w:val="left"/>
        <w:rPr>
          <w:sz w:val="21"/>
        </w:rPr>
      </w:pPr>
      <w:r>
        <w:rPr>
          <w:spacing w:val="-4"/>
          <w:sz w:val="21"/>
        </w:rPr>
        <w:t>上海农村商业银行股份有限公司</w:t>
      </w:r>
      <w:r>
        <w:rPr>
          <w:spacing w:val="-6"/>
          <w:sz w:val="21"/>
        </w:rPr>
        <w:t>住所：上海市浦东新区浦东大道 </w:t>
      </w:r>
      <w:r>
        <w:rPr>
          <w:rFonts w:ascii="Times New Roman" w:eastAsia="Times New Roman"/>
          <w:sz w:val="21"/>
        </w:rPr>
        <w:t>981</w:t>
      </w:r>
      <w:r>
        <w:rPr>
          <w:rFonts w:ascii="Times New Roman" w:eastAsia="Times New Roman"/>
          <w:spacing w:val="5"/>
          <w:sz w:val="21"/>
        </w:rPr>
        <w:t> </w:t>
      </w:r>
      <w:r>
        <w:rPr>
          <w:spacing w:val="-11"/>
          <w:sz w:val="21"/>
        </w:rPr>
        <w:t>号</w:t>
      </w:r>
    </w:p>
    <w:p>
      <w:pPr>
        <w:pStyle w:val="BodyText"/>
        <w:spacing w:line="267" w:lineRule="exact"/>
        <w:ind w:left="720"/>
      </w:pPr>
      <w:r>
        <w:rPr/>
        <w:t>办公地址：上海市银城中路 </w:t>
      </w:r>
      <w:r>
        <w:rPr>
          <w:rFonts w:ascii="Times New Roman" w:eastAsia="Times New Roman"/>
        </w:rPr>
        <w:t>8 </w:t>
      </w:r>
      <w:r>
        <w:rPr/>
        <w:t>号中融碧玉蓝天大厦 </w:t>
      </w:r>
      <w:r>
        <w:rPr>
          <w:rFonts w:ascii="Times New Roman" w:eastAsia="Times New Roman"/>
        </w:rPr>
        <w:t>15 </w:t>
      </w:r>
      <w:r>
        <w:rPr/>
        <w:t>层</w:t>
      </w:r>
    </w:p>
    <w:p>
      <w:pPr>
        <w:spacing w:after="0" w:line="267" w:lineRule="exact"/>
        <w:sectPr>
          <w:pgSz w:w="11910" w:h="16840"/>
          <w:pgMar w:header="701" w:footer="683" w:top="1420" w:bottom="880" w:left="1500" w:right="920"/>
        </w:sectPr>
      </w:pPr>
    </w:p>
    <w:p>
      <w:pPr>
        <w:pStyle w:val="BodyText"/>
        <w:spacing w:line="424" w:lineRule="auto" w:before="115"/>
        <w:ind w:left="720" w:right="6870"/>
        <w:jc w:val="both"/>
        <w:rPr>
          <w:rFonts w:ascii="Times New Roman" w:eastAsia="Times New Roman"/>
        </w:rPr>
      </w:pPr>
      <w:r>
        <w:rPr/>
        <w:t>法定代表人：胡平西电话：</w:t>
      </w:r>
      <w:r>
        <w:rPr>
          <w:rFonts w:ascii="Times New Roman" w:eastAsia="Times New Roman"/>
        </w:rPr>
        <w:t>021-38523692 </w:t>
      </w:r>
      <w:r>
        <w:rPr/>
        <w:t>传真：</w:t>
      </w:r>
      <w:r>
        <w:rPr>
          <w:rFonts w:ascii="Times New Roman" w:eastAsia="Times New Roman"/>
        </w:rPr>
        <w:t>021-50105124</w:t>
      </w:r>
    </w:p>
    <w:p>
      <w:pPr>
        <w:pStyle w:val="BodyText"/>
        <w:spacing w:line="266" w:lineRule="exact"/>
        <w:ind w:left="720"/>
      </w:pPr>
      <w:r>
        <w:rPr/>
        <w:t>联系人：施传荣</w:t>
      </w:r>
    </w:p>
    <w:p>
      <w:pPr>
        <w:pStyle w:val="BodyText"/>
        <w:rPr>
          <w:sz w:val="16"/>
        </w:rPr>
      </w:pPr>
    </w:p>
    <w:p>
      <w:pPr>
        <w:pStyle w:val="BodyText"/>
        <w:spacing w:before="1"/>
        <w:ind w:left="720"/>
        <w:rPr>
          <w:rFonts w:ascii="Times New Roman" w:eastAsia="Times New Roman"/>
        </w:rPr>
      </w:pPr>
      <w:r>
        <w:rPr/>
        <w:t>网址：</w:t>
      </w:r>
      <w:hyperlink r:id="rId24">
        <w:r>
          <w:rPr>
            <w:rFonts w:ascii="Times New Roman" w:eastAsia="Times New Roman"/>
          </w:rPr>
          <w:t>www.srcb.com</w:t>
        </w:r>
      </w:hyperlink>
    </w:p>
    <w:p>
      <w:pPr>
        <w:pStyle w:val="BodyText"/>
        <w:spacing w:before="1"/>
        <w:rPr>
          <w:rFonts w:ascii="Times New Roman"/>
          <w:sz w:val="18"/>
        </w:rPr>
      </w:pPr>
    </w:p>
    <w:p>
      <w:pPr>
        <w:pStyle w:val="BodyText"/>
        <w:ind w:left="720"/>
        <w:rPr>
          <w:rFonts w:ascii="Times New Roman" w:eastAsia="Times New Roman"/>
        </w:rPr>
      </w:pPr>
      <w:r>
        <w:rPr/>
        <w:t>客户服务电话：</w:t>
      </w:r>
      <w:r>
        <w:rPr>
          <w:rFonts w:ascii="Times New Roman" w:eastAsia="Times New Roman"/>
        </w:rPr>
        <w:t>021-962999</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北京农村商业银行股份有限公司</w:t>
      </w:r>
    </w:p>
    <w:p>
      <w:pPr>
        <w:pStyle w:val="BodyText"/>
        <w:spacing w:before="1"/>
        <w:rPr>
          <w:sz w:val="16"/>
        </w:rPr>
      </w:pPr>
    </w:p>
    <w:p>
      <w:pPr>
        <w:pStyle w:val="BodyText"/>
        <w:spacing w:before="1"/>
        <w:ind w:left="720"/>
      </w:pPr>
      <w:r>
        <w:rPr/>
        <w:t>住所：北京市西城区月坛南街 </w:t>
      </w:r>
      <w:r>
        <w:rPr>
          <w:rFonts w:ascii="Times New Roman" w:eastAsia="Times New Roman"/>
        </w:rPr>
        <w:t>1 </w:t>
      </w:r>
      <w:r>
        <w:rPr/>
        <w:t>号院 </w:t>
      </w:r>
      <w:r>
        <w:rPr>
          <w:rFonts w:ascii="Times New Roman" w:eastAsia="Times New Roman"/>
        </w:rPr>
        <w:t>2 </w:t>
      </w:r>
      <w:r>
        <w:rPr/>
        <w:t>号楼</w:t>
      </w:r>
    </w:p>
    <w:p>
      <w:pPr>
        <w:pStyle w:val="BodyText"/>
        <w:spacing w:before="1"/>
        <w:rPr>
          <w:sz w:val="16"/>
        </w:rPr>
      </w:pPr>
    </w:p>
    <w:p>
      <w:pPr>
        <w:pStyle w:val="BodyText"/>
        <w:spacing w:line="424" w:lineRule="auto"/>
        <w:ind w:left="720" w:right="4352"/>
      </w:pPr>
      <w:r>
        <w:rPr>
          <w:spacing w:val="-6"/>
        </w:rPr>
        <w:t>办公地址：北京市西城区月坛南街 </w:t>
      </w:r>
      <w:r>
        <w:rPr>
          <w:rFonts w:ascii="Times New Roman" w:eastAsia="Times New Roman"/>
        </w:rPr>
        <w:t>1 </w:t>
      </w:r>
      <w:r>
        <w:rPr>
          <w:spacing w:val="-18"/>
        </w:rPr>
        <w:t>号院 </w:t>
      </w:r>
      <w:r>
        <w:rPr>
          <w:rFonts w:ascii="Times New Roman" w:eastAsia="Times New Roman"/>
        </w:rPr>
        <w:t>2 </w:t>
      </w:r>
      <w:r>
        <w:rPr>
          <w:spacing w:val="-3"/>
        </w:rPr>
        <w:t>号楼法定代表人：王金山</w:t>
      </w:r>
    </w:p>
    <w:p>
      <w:pPr>
        <w:pStyle w:val="BodyText"/>
        <w:spacing w:line="424" w:lineRule="auto"/>
        <w:ind w:left="720" w:right="6906"/>
        <w:rPr>
          <w:rFonts w:ascii="Times New Roman" w:eastAsia="Times New Roman"/>
        </w:rPr>
      </w:pPr>
      <w:r>
        <w:rPr/>
        <w:t>电话：</w:t>
      </w:r>
      <w:r>
        <w:rPr>
          <w:rFonts w:ascii="Times New Roman" w:eastAsia="Times New Roman"/>
        </w:rPr>
        <w:t>010-89198762 </w:t>
      </w:r>
      <w:r>
        <w:rPr/>
        <w:t>传真：</w:t>
      </w:r>
      <w:r>
        <w:rPr>
          <w:rFonts w:ascii="Times New Roman" w:eastAsia="Times New Roman"/>
        </w:rPr>
        <w:t>010-89198678</w:t>
      </w:r>
    </w:p>
    <w:p>
      <w:pPr>
        <w:pStyle w:val="BodyText"/>
        <w:spacing w:line="267" w:lineRule="exact"/>
        <w:ind w:left="720"/>
      </w:pPr>
      <w:r>
        <w:rPr/>
        <w:t>联系人：鲁娟</w:t>
      </w:r>
    </w:p>
    <w:p>
      <w:pPr>
        <w:pStyle w:val="BodyText"/>
        <w:spacing w:before="1"/>
        <w:rPr>
          <w:sz w:val="16"/>
        </w:rPr>
      </w:pPr>
    </w:p>
    <w:p>
      <w:pPr>
        <w:pStyle w:val="BodyText"/>
        <w:spacing w:line="424" w:lineRule="auto"/>
        <w:ind w:left="720" w:right="6767"/>
        <w:rPr>
          <w:rFonts w:ascii="Times New Roman" w:eastAsia="Times New Roman"/>
        </w:rPr>
      </w:pPr>
      <w:r>
        <w:rPr/>
        <w:t>网址：</w:t>
      </w:r>
      <w:hyperlink r:id="rId25">
        <w:r>
          <w:rPr>
            <w:rFonts w:ascii="Times New Roman" w:eastAsia="Times New Roman"/>
          </w:rPr>
          <w:t>www.bjrcb.com </w:t>
        </w:r>
      </w:hyperlink>
      <w:r>
        <w:rPr/>
        <w:t>客户服务电话：</w:t>
      </w:r>
      <w:r>
        <w:rPr>
          <w:rFonts w:ascii="Times New Roman" w:eastAsia="Times New Roman"/>
        </w:rPr>
        <w:t>96198</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青岛银行股份有限公司</w:t>
      </w:r>
    </w:p>
    <w:p>
      <w:pPr>
        <w:pStyle w:val="BodyText"/>
        <w:spacing w:before="1"/>
        <w:rPr>
          <w:sz w:val="16"/>
        </w:rPr>
      </w:pPr>
    </w:p>
    <w:p>
      <w:pPr>
        <w:pStyle w:val="BodyText"/>
        <w:ind w:left="720"/>
      </w:pPr>
      <w:r>
        <w:rPr>
          <w:spacing w:val="-6"/>
        </w:rPr>
        <w:t>住所：青岛市市南区香港中路 </w:t>
      </w:r>
      <w:r>
        <w:rPr>
          <w:rFonts w:ascii="Times New Roman" w:eastAsia="Times New Roman"/>
        </w:rPr>
        <w:t>68</w:t>
      </w:r>
      <w:r>
        <w:rPr>
          <w:rFonts w:ascii="Times New Roman" w:eastAsia="Times New Roman"/>
          <w:spacing w:val="10"/>
        </w:rPr>
        <w:t> </w:t>
      </w:r>
      <w:r>
        <w:rPr>
          <w:spacing w:val="-3"/>
        </w:rPr>
        <w:t>号华普大厦</w:t>
      </w:r>
    </w:p>
    <w:p>
      <w:pPr>
        <w:pStyle w:val="BodyText"/>
        <w:spacing w:before="1"/>
        <w:rPr>
          <w:sz w:val="16"/>
        </w:rPr>
      </w:pPr>
    </w:p>
    <w:p>
      <w:pPr>
        <w:pStyle w:val="BodyText"/>
        <w:spacing w:line="424" w:lineRule="auto"/>
        <w:ind w:left="720" w:right="4183"/>
      </w:pPr>
      <w:r>
        <w:rPr/>
        <w:t>办公地址：青岛市市南区香港中路 </w:t>
      </w:r>
      <w:r>
        <w:rPr>
          <w:rFonts w:ascii="Times New Roman" w:eastAsia="Times New Roman"/>
        </w:rPr>
        <w:t>68 </w:t>
      </w:r>
      <w:r>
        <w:rPr/>
        <w:t>号华普大厦法定代表人：郭少泉</w:t>
      </w:r>
    </w:p>
    <w:p>
      <w:pPr>
        <w:pStyle w:val="BodyText"/>
        <w:spacing w:line="424" w:lineRule="auto"/>
        <w:ind w:left="720" w:right="6800"/>
        <w:rPr>
          <w:rFonts w:ascii="Times New Roman" w:eastAsia="Times New Roman"/>
        </w:rPr>
      </w:pPr>
      <w:r>
        <w:rPr/>
        <w:t>电话：</w:t>
      </w:r>
      <w:r>
        <w:rPr>
          <w:rFonts w:ascii="Times New Roman" w:eastAsia="Times New Roman"/>
        </w:rPr>
        <w:t>0532-85709749 </w:t>
      </w:r>
      <w:r>
        <w:rPr/>
        <w:t>传真：</w:t>
      </w:r>
      <w:r>
        <w:rPr>
          <w:rFonts w:ascii="Times New Roman" w:eastAsia="Times New Roman"/>
        </w:rPr>
        <w:t>0532-85709839</w:t>
      </w:r>
    </w:p>
    <w:p>
      <w:pPr>
        <w:pStyle w:val="BodyText"/>
        <w:ind w:left="720"/>
      </w:pPr>
      <w:r>
        <w:rPr/>
        <w:t>联系人：赵蓓蓓</w:t>
      </w:r>
    </w:p>
    <w:p>
      <w:pPr>
        <w:pStyle w:val="BodyText"/>
        <w:rPr>
          <w:sz w:val="16"/>
        </w:rPr>
      </w:pPr>
    </w:p>
    <w:p>
      <w:pPr>
        <w:pStyle w:val="BodyText"/>
        <w:ind w:left="720"/>
        <w:rPr>
          <w:rFonts w:ascii="Times New Roman" w:eastAsia="Times New Roman"/>
        </w:rPr>
      </w:pPr>
      <w:r>
        <w:rPr/>
        <w:t>网址：</w:t>
      </w:r>
      <w:hyperlink r:id="rId26">
        <w:r>
          <w:rPr>
            <w:rFonts w:ascii="Times New Roman" w:eastAsia="Times New Roman"/>
          </w:rPr>
          <w:t>www.qdccb.com</w:t>
        </w:r>
      </w:hyperlink>
    </w:p>
    <w:p>
      <w:pPr>
        <w:pStyle w:val="BodyText"/>
        <w:spacing w:before="11"/>
        <w:rPr>
          <w:rFonts w:ascii="Times New Roman"/>
          <w:sz w:val="17"/>
        </w:rPr>
      </w:pPr>
    </w:p>
    <w:p>
      <w:pPr>
        <w:pStyle w:val="BodyText"/>
        <w:ind w:left="720"/>
      </w:pPr>
      <w:r>
        <w:rPr>
          <w:spacing w:val="-2"/>
        </w:rPr>
        <w:t>客户服务电话：</w:t>
      </w:r>
      <w:r>
        <w:rPr>
          <w:rFonts w:ascii="Times New Roman" w:eastAsia="Times New Roman"/>
        </w:rPr>
        <w:t>96588</w:t>
      </w:r>
      <w:r>
        <w:rPr/>
        <w:t>（</w:t>
      </w:r>
      <w:r>
        <w:rPr>
          <w:spacing w:val="-2"/>
        </w:rPr>
        <w:t>青岛</w:t>
      </w:r>
      <w:r>
        <w:rPr>
          <w:spacing w:val="-106"/>
        </w:rPr>
        <w:t>）</w:t>
      </w:r>
      <w:r>
        <w:rPr/>
        <w:t>、</w:t>
      </w:r>
      <w:r>
        <w:rPr>
          <w:rFonts w:ascii="Times New Roman" w:eastAsia="Times New Roman"/>
        </w:rPr>
        <w:t>400-669-6588</w:t>
      </w:r>
      <w:r>
        <w:rPr/>
        <w:t>（</w:t>
      </w:r>
      <w:r>
        <w:rPr>
          <w:spacing w:val="-3"/>
        </w:rPr>
        <w:t>全国</w:t>
      </w:r>
      <w:r>
        <w:rPr/>
        <w:t>）</w:t>
      </w:r>
    </w:p>
    <w:p>
      <w:pPr>
        <w:pStyle w:val="BodyText"/>
        <w:spacing w:before="1"/>
        <w:rPr>
          <w:sz w:val="16"/>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徽商银行股份有限公司</w:t>
      </w:r>
    </w:p>
    <w:p>
      <w:pPr>
        <w:pStyle w:val="BodyText"/>
        <w:spacing w:before="1"/>
        <w:rPr>
          <w:sz w:val="16"/>
        </w:rPr>
      </w:pPr>
    </w:p>
    <w:p>
      <w:pPr>
        <w:pStyle w:val="BodyText"/>
        <w:ind w:left="720"/>
      </w:pPr>
      <w:r>
        <w:rPr/>
        <w:t>住所：合肥市安庆路 </w:t>
      </w:r>
      <w:r>
        <w:rPr>
          <w:rFonts w:ascii="Times New Roman" w:eastAsia="Times New Roman"/>
        </w:rPr>
        <w:t>79 </w:t>
      </w:r>
      <w:r>
        <w:rPr/>
        <w:t>号天徽大厦</w:t>
      </w:r>
      <w:r>
        <w:rPr>
          <w:rFonts w:ascii="Times New Roman" w:eastAsia="Times New Roman"/>
        </w:rPr>
        <w:t>A </w:t>
      </w:r>
      <w:r>
        <w:rPr/>
        <w:t>座</w:t>
      </w:r>
    </w:p>
    <w:p>
      <w:pPr>
        <w:pStyle w:val="BodyText"/>
        <w:spacing w:before="1"/>
        <w:rPr>
          <w:sz w:val="16"/>
        </w:rPr>
      </w:pPr>
    </w:p>
    <w:p>
      <w:pPr>
        <w:pStyle w:val="BodyText"/>
        <w:spacing w:line="424" w:lineRule="auto"/>
        <w:ind w:left="720" w:right="4621"/>
      </w:pPr>
      <w:r>
        <w:rPr/>
        <w:t>办公地址：合肥市安庆路 </w:t>
      </w:r>
      <w:r>
        <w:rPr>
          <w:rFonts w:ascii="Times New Roman" w:eastAsia="Times New Roman"/>
        </w:rPr>
        <w:t>79 </w:t>
      </w:r>
      <w:r>
        <w:rPr/>
        <w:t>号天徽大厦</w:t>
      </w:r>
      <w:r>
        <w:rPr>
          <w:rFonts w:ascii="Times New Roman" w:eastAsia="Times New Roman"/>
        </w:rPr>
        <w:t>A </w:t>
      </w:r>
      <w:r>
        <w:rPr/>
        <w:t>座法定代表人：李宏鸣</w:t>
      </w:r>
    </w:p>
    <w:p>
      <w:pPr>
        <w:pStyle w:val="BodyText"/>
        <w:spacing w:line="267" w:lineRule="exact"/>
        <w:ind w:left="720"/>
        <w:rPr>
          <w:rFonts w:ascii="Times New Roman" w:eastAsia="Times New Roman"/>
        </w:rPr>
      </w:pPr>
      <w:r>
        <w:rPr/>
        <w:t>电话：</w:t>
      </w:r>
      <w:r>
        <w:rPr>
          <w:rFonts w:ascii="Times New Roman" w:eastAsia="Times New Roman"/>
        </w:rPr>
        <w:t>0551-62667635</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0551-62667684</w:t>
      </w:r>
    </w:p>
    <w:p>
      <w:pPr>
        <w:pStyle w:val="BodyText"/>
        <w:spacing w:before="10"/>
        <w:rPr>
          <w:rFonts w:ascii="Times New Roman"/>
          <w:sz w:val="17"/>
        </w:rPr>
      </w:pPr>
    </w:p>
    <w:p>
      <w:pPr>
        <w:pStyle w:val="BodyText"/>
        <w:ind w:left="720"/>
      </w:pPr>
      <w:r>
        <w:rPr/>
        <w:t>联系人：叶卓伟</w:t>
      </w:r>
    </w:p>
    <w:p>
      <w:pPr>
        <w:pStyle w:val="BodyText"/>
        <w:spacing w:before="1"/>
        <w:rPr>
          <w:sz w:val="16"/>
        </w:rPr>
      </w:pPr>
    </w:p>
    <w:p>
      <w:pPr>
        <w:pStyle w:val="BodyText"/>
        <w:ind w:left="720"/>
        <w:rPr>
          <w:rFonts w:ascii="Times New Roman" w:eastAsia="Times New Roman"/>
        </w:rPr>
      </w:pPr>
      <w:r>
        <w:rPr/>
        <w:t>网址：</w:t>
      </w:r>
      <w:hyperlink r:id="rId27">
        <w:r>
          <w:rPr>
            <w:rFonts w:ascii="Times New Roman" w:eastAsia="Times New Roman"/>
          </w:rPr>
          <w:t>www.hsbank.com.cn</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400-889-6588</w:t>
      </w:r>
    </w:p>
    <w:p>
      <w:pPr>
        <w:pStyle w:val="BodyText"/>
        <w:spacing w:before="10"/>
        <w:rPr>
          <w:rFonts w:ascii="Times New Roman"/>
          <w:sz w:val="17"/>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浙商银行股份有限公司</w:t>
      </w:r>
    </w:p>
    <w:p>
      <w:pPr>
        <w:pStyle w:val="BodyText"/>
        <w:spacing w:before="3"/>
        <w:rPr>
          <w:sz w:val="16"/>
        </w:rPr>
      </w:pPr>
    </w:p>
    <w:p>
      <w:pPr>
        <w:pStyle w:val="BodyText"/>
        <w:ind w:left="720"/>
      </w:pPr>
      <w:r>
        <w:rPr/>
        <w:t>住所：杭州市萧山区鸿宁路 </w:t>
      </w:r>
      <w:r>
        <w:rPr>
          <w:rFonts w:ascii="Times New Roman" w:eastAsia="Times New Roman"/>
        </w:rPr>
        <w:t>1788 </w:t>
      </w:r>
      <w:r>
        <w:rPr/>
        <w:t>号</w:t>
      </w:r>
    </w:p>
    <w:p>
      <w:pPr>
        <w:pStyle w:val="BodyText"/>
        <w:spacing w:before="1"/>
        <w:rPr>
          <w:sz w:val="16"/>
        </w:rPr>
      </w:pPr>
    </w:p>
    <w:p>
      <w:pPr>
        <w:pStyle w:val="BodyText"/>
        <w:spacing w:line="424" w:lineRule="auto"/>
        <w:ind w:left="720" w:right="4497"/>
      </w:pPr>
      <w:r>
        <w:rPr/>
        <w:t>办公地址：浙江省杭州市下城区延安路 </w:t>
      </w:r>
      <w:r>
        <w:rPr>
          <w:rFonts w:ascii="Times New Roman" w:eastAsia="Times New Roman"/>
        </w:rPr>
        <w:t>368 </w:t>
      </w:r>
      <w:r>
        <w:rPr/>
        <w:t>号法定代表人：沈仁康</w:t>
      </w:r>
    </w:p>
    <w:p>
      <w:pPr>
        <w:pStyle w:val="BodyText"/>
        <w:spacing w:line="424" w:lineRule="auto"/>
        <w:ind w:left="720" w:right="6800"/>
        <w:rPr>
          <w:rFonts w:ascii="Times New Roman" w:eastAsia="Times New Roman"/>
        </w:rPr>
      </w:pPr>
      <w:r>
        <w:rPr/>
        <w:t>电话：</w:t>
      </w:r>
      <w:r>
        <w:rPr>
          <w:rFonts w:ascii="Times New Roman" w:eastAsia="Times New Roman"/>
        </w:rPr>
        <w:t>0571-87659546 </w:t>
      </w:r>
      <w:r>
        <w:rPr/>
        <w:t>传真：</w:t>
      </w:r>
      <w:r>
        <w:rPr>
          <w:rFonts w:ascii="Times New Roman" w:eastAsia="Times New Roman"/>
        </w:rPr>
        <w:t>0571-87659188</w:t>
      </w:r>
    </w:p>
    <w:p>
      <w:pPr>
        <w:pStyle w:val="BodyText"/>
        <w:spacing w:line="267" w:lineRule="exact"/>
        <w:ind w:left="720"/>
      </w:pPr>
      <w:r>
        <w:rPr/>
        <w:t>联系人：毛真海</w:t>
      </w:r>
    </w:p>
    <w:p>
      <w:pPr>
        <w:pStyle w:val="BodyText"/>
        <w:rPr>
          <w:sz w:val="16"/>
        </w:rPr>
      </w:pPr>
    </w:p>
    <w:p>
      <w:pPr>
        <w:pStyle w:val="BodyText"/>
        <w:spacing w:line="424" w:lineRule="auto"/>
        <w:ind w:left="720" w:right="6584"/>
        <w:rPr>
          <w:rFonts w:ascii="Times New Roman" w:eastAsia="Times New Roman"/>
        </w:rPr>
      </w:pPr>
      <w:r>
        <w:rPr/>
        <w:t>网址：</w:t>
      </w:r>
      <w:hyperlink r:id="rId28">
        <w:r>
          <w:rPr>
            <w:rFonts w:ascii="Times New Roman" w:eastAsia="Times New Roman"/>
          </w:rPr>
          <w:t>www.czbank.com </w:t>
        </w:r>
      </w:hyperlink>
      <w:r>
        <w:rPr/>
        <w:t>客户服务电话：</w:t>
      </w:r>
      <w:r>
        <w:rPr>
          <w:rFonts w:ascii="Times New Roman" w:eastAsia="Times New Roman"/>
        </w:rPr>
        <w:t>95527</w:t>
      </w:r>
    </w:p>
    <w:p>
      <w:pPr>
        <w:pStyle w:val="ListParagraph"/>
        <w:numPr>
          <w:ilvl w:val="0"/>
          <w:numId w:val="10"/>
        </w:numPr>
        <w:tabs>
          <w:tab w:pos="1355" w:val="left" w:leader="none"/>
        </w:tabs>
        <w:spacing w:line="424" w:lineRule="auto" w:before="0" w:after="0"/>
        <w:ind w:left="720" w:right="5715" w:firstLine="0"/>
        <w:jc w:val="left"/>
        <w:rPr>
          <w:sz w:val="21"/>
        </w:rPr>
      </w:pPr>
      <w:r>
        <w:rPr>
          <w:spacing w:val="-3"/>
          <w:sz w:val="21"/>
        </w:rPr>
        <w:t>东莞银行股份有限公司  </w:t>
      </w:r>
      <w:r>
        <w:rPr>
          <w:spacing w:val="-7"/>
          <w:sz w:val="21"/>
        </w:rPr>
        <w:t>住所：东莞市莞城区体育路 </w:t>
      </w:r>
      <w:r>
        <w:rPr>
          <w:rFonts w:ascii="Times New Roman" w:eastAsia="Times New Roman"/>
          <w:sz w:val="21"/>
        </w:rPr>
        <w:t>21</w:t>
      </w:r>
      <w:r>
        <w:rPr>
          <w:rFonts w:ascii="Times New Roman" w:eastAsia="Times New Roman"/>
          <w:spacing w:val="3"/>
          <w:sz w:val="21"/>
        </w:rPr>
        <w:t> </w:t>
      </w:r>
      <w:r>
        <w:rPr>
          <w:spacing w:val="-13"/>
          <w:sz w:val="21"/>
        </w:rPr>
        <w:t>号</w:t>
      </w:r>
    </w:p>
    <w:p>
      <w:pPr>
        <w:pStyle w:val="BodyText"/>
        <w:spacing w:line="424" w:lineRule="auto"/>
        <w:ind w:left="720" w:right="5233"/>
      </w:pPr>
      <w:r>
        <w:rPr/>
        <w:t>办公地址：东莞市莞城区体育路 </w:t>
      </w:r>
      <w:r>
        <w:rPr>
          <w:rFonts w:ascii="Times New Roman" w:eastAsia="Times New Roman"/>
        </w:rPr>
        <w:t>21 </w:t>
      </w:r>
      <w:r>
        <w:rPr/>
        <w:t>号法定代表人：卢国锋</w:t>
      </w:r>
    </w:p>
    <w:p>
      <w:pPr>
        <w:pStyle w:val="BodyText"/>
        <w:spacing w:line="424" w:lineRule="auto"/>
        <w:ind w:left="720" w:right="6800"/>
        <w:rPr>
          <w:rFonts w:ascii="Times New Roman" w:eastAsia="Times New Roman"/>
        </w:rPr>
      </w:pPr>
      <w:r>
        <w:rPr/>
        <w:t>电话：</w:t>
      </w:r>
      <w:r>
        <w:rPr>
          <w:rFonts w:ascii="Times New Roman" w:eastAsia="Times New Roman"/>
        </w:rPr>
        <w:t>0769-22865177 </w:t>
      </w:r>
      <w:r>
        <w:rPr/>
        <w:t>传真：</w:t>
      </w:r>
      <w:r>
        <w:rPr>
          <w:rFonts w:ascii="Times New Roman" w:eastAsia="Times New Roman"/>
        </w:rPr>
        <w:t>0769-23156406</w:t>
      </w:r>
    </w:p>
    <w:p>
      <w:pPr>
        <w:pStyle w:val="BodyText"/>
        <w:spacing w:line="267" w:lineRule="exact"/>
        <w:ind w:left="720"/>
      </w:pPr>
      <w:r>
        <w:rPr/>
        <w:t>联系人：朱杰霞</w:t>
      </w:r>
    </w:p>
    <w:p>
      <w:pPr>
        <w:pStyle w:val="BodyText"/>
        <w:spacing w:before="10"/>
        <w:rPr>
          <w:sz w:val="15"/>
        </w:rPr>
      </w:pPr>
    </w:p>
    <w:p>
      <w:pPr>
        <w:pStyle w:val="BodyText"/>
        <w:spacing w:line="427" w:lineRule="auto"/>
        <w:ind w:left="720" w:right="6108"/>
        <w:rPr>
          <w:rFonts w:ascii="Times New Roman" w:eastAsia="Times New Roman"/>
        </w:rPr>
      </w:pPr>
      <w:r>
        <w:rPr/>
        <w:t>网址：</w:t>
      </w:r>
      <w:hyperlink r:id="rId29">
        <w:r>
          <w:rPr>
            <w:rFonts w:ascii="Times New Roman" w:eastAsia="Times New Roman"/>
          </w:rPr>
          <w:t>www.dongguanbank.cn </w:t>
        </w:r>
      </w:hyperlink>
      <w:r>
        <w:rPr/>
        <w:t>客户服务电话：</w:t>
      </w:r>
      <w:r>
        <w:rPr>
          <w:rFonts w:ascii="Times New Roman" w:eastAsia="Times New Roman"/>
        </w:rPr>
        <w:t>0769-956033</w:t>
      </w:r>
    </w:p>
    <w:p>
      <w:pPr>
        <w:pStyle w:val="ListParagraph"/>
        <w:numPr>
          <w:ilvl w:val="0"/>
          <w:numId w:val="10"/>
        </w:numPr>
        <w:tabs>
          <w:tab w:pos="1355" w:val="left" w:leader="none"/>
        </w:tabs>
        <w:spacing w:line="265" w:lineRule="exact" w:before="0" w:after="0"/>
        <w:ind w:left="1355" w:right="0" w:hanging="635"/>
        <w:jc w:val="left"/>
        <w:rPr>
          <w:sz w:val="21"/>
        </w:rPr>
      </w:pPr>
      <w:r>
        <w:rPr>
          <w:spacing w:val="-3"/>
          <w:sz w:val="21"/>
        </w:rPr>
        <w:t>杭州银行股份有限公司</w:t>
      </w:r>
    </w:p>
    <w:p>
      <w:pPr>
        <w:pStyle w:val="BodyText"/>
        <w:spacing w:before="1"/>
        <w:rPr>
          <w:sz w:val="16"/>
        </w:rPr>
      </w:pPr>
    </w:p>
    <w:p>
      <w:pPr>
        <w:pStyle w:val="BodyText"/>
        <w:spacing w:before="1"/>
        <w:ind w:left="720"/>
      </w:pPr>
      <w:r>
        <w:rPr/>
        <w:t>住所：杭州市庆春路 </w:t>
      </w:r>
      <w:r>
        <w:rPr>
          <w:rFonts w:ascii="Times New Roman" w:eastAsia="Times New Roman"/>
        </w:rPr>
        <w:t>46 </w:t>
      </w:r>
      <w:r>
        <w:rPr/>
        <w:t>号杭州银行大厦</w:t>
      </w:r>
    </w:p>
    <w:p>
      <w:pPr>
        <w:pStyle w:val="BodyText"/>
        <w:spacing w:before="1"/>
        <w:rPr>
          <w:sz w:val="16"/>
        </w:rPr>
      </w:pPr>
    </w:p>
    <w:p>
      <w:pPr>
        <w:pStyle w:val="BodyText"/>
        <w:spacing w:line="424" w:lineRule="auto"/>
        <w:ind w:left="720" w:right="4604"/>
      </w:pPr>
      <w:r>
        <w:rPr/>
        <w:t>办公地址：杭州市庆春路 </w:t>
      </w:r>
      <w:r>
        <w:rPr>
          <w:rFonts w:ascii="Times New Roman" w:eastAsia="Times New Roman"/>
        </w:rPr>
        <w:t>46 </w:t>
      </w:r>
      <w:r>
        <w:rPr/>
        <w:t>号杭州银行大厦法定代表人：吴太普</w:t>
      </w:r>
    </w:p>
    <w:p>
      <w:pPr>
        <w:pStyle w:val="BodyText"/>
        <w:spacing w:line="424" w:lineRule="auto"/>
        <w:ind w:left="720" w:right="6800"/>
        <w:rPr>
          <w:rFonts w:ascii="Times New Roman" w:eastAsia="Times New Roman"/>
        </w:rPr>
      </w:pPr>
      <w:r>
        <w:rPr/>
        <w:t>电话：</w:t>
      </w:r>
      <w:r>
        <w:rPr>
          <w:rFonts w:ascii="Times New Roman" w:eastAsia="Times New Roman"/>
        </w:rPr>
        <w:t>0571-85108195 </w:t>
      </w:r>
      <w:r>
        <w:rPr/>
        <w:t>传真：</w:t>
      </w:r>
      <w:r>
        <w:rPr>
          <w:rFonts w:ascii="Times New Roman" w:eastAsia="Times New Roman"/>
        </w:rPr>
        <w:t>0571-85106576</w:t>
      </w:r>
    </w:p>
    <w:p>
      <w:pPr>
        <w:pStyle w:val="BodyText"/>
        <w:spacing w:line="267" w:lineRule="exact"/>
        <w:ind w:left="720"/>
      </w:pPr>
      <w:r>
        <w:rPr/>
        <w:t>联系人：陈振峰</w:t>
      </w:r>
    </w:p>
    <w:p>
      <w:pPr>
        <w:spacing w:after="0" w:line="267" w:lineRule="exact"/>
        <w:sectPr>
          <w:pgSz w:w="11910" w:h="16840"/>
          <w:pgMar w:header="701" w:footer="683" w:top="1420" w:bottom="880" w:left="1500" w:right="920"/>
        </w:sectPr>
      </w:pPr>
    </w:p>
    <w:p>
      <w:pPr>
        <w:pStyle w:val="BodyText"/>
        <w:spacing w:before="115"/>
        <w:ind w:left="720"/>
        <w:rPr>
          <w:rFonts w:ascii="Times New Roman" w:eastAsia="Times New Roman"/>
        </w:rPr>
      </w:pPr>
      <w:r>
        <w:rPr/>
        <w:t>网址：</w:t>
      </w:r>
      <w:hyperlink r:id="rId30">
        <w:r>
          <w:rPr>
            <w:rFonts w:ascii="Times New Roman" w:eastAsia="Times New Roman"/>
          </w:rPr>
          <w:t>www.hzbank.com.cn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400-888-8508</w:t>
      </w:r>
    </w:p>
    <w:p>
      <w:pPr>
        <w:pStyle w:val="BodyText"/>
        <w:spacing w:before="11"/>
        <w:rPr>
          <w:rFonts w:ascii="Times New Roman"/>
          <w:sz w:val="17"/>
        </w:rPr>
      </w:pPr>
    </w:p>
    <w:p>
      <w:pPr>
        <w:pStyle w:val="ListParagraph"/>
        <w:numPr>
          <w:ilvl w:val="0"/>
          <w:numId w:val="10"/>
        </w:numPr>
        <w:tabs>
          <w:tab w:pos="1355" w:val="left" w:leader="none"/>
        </w:tabs>
        <w:spacing w:line="424" w:lineRule="auto" w:before="0" w:after="0"/>
        <w:ind w:left="720" w:right="5715" w:firstLine="0"/>
        <w:jc w:val="left"/>
        <w:rPr>
          <w:sz w:val="21"/>
        </w:rPr>
      </w:pPr>
      <w:r>
        <w:rPr>
          <w:spacing w:val="-3"/>
          <w:sz w:val="21"/>
        </w:rPr>
        <w:t>南京银行股份有限公司  </w:t>
      </w:r>
      <w:r>
        <w:rPr>
          <w:spacing w:val="-7"/>
          <w:sz w:val="21"/>
        </w:rPr>
        <w:t>住所：南京市白下区淮海路 </w:t>
      </w:r>
      <w:r>
        <w:rPr>
          <w:rFonts w:ascii="Times New Roman" w:eastAsia="Times New Roman"/>
          <w:sz w:val="21"/>
        </w:rPr>
        <w:t>50</w:t>
      </w:r>
      <w:r>
        <w:rPr>
          <w:rFonts w:ascii="Times New Roman" w:eastAsia="Times New Roman"/>
          <w:spacing w:val="3"/>
          <w:sz w:val="21"/>
        </w:rPr>
        <w:t> </w:t>
      </w:r>
      <w:r>
        <w:rPr>
          <w:spacing w:val="-13"/>
          <w:sz w:val="21"/>
        </w:rPr>
        <w:t>号</w:t>
      </w:r>
    </w:p>
    <w:p>
      <w:pPr>
        <w:pStyle w:val="BodyText"/>
        <w:spacing w:line="427" w:lineRule="auto"/>
        <w:ind w:left="720" w:right="5233"/>
      </w:pPr>
      <w:r>
        <w:rPr/>
        <w:t>办公地址：南京市白下区淮海路 </w:t>
      </w:r>
      <w:r>
        <w:rPr>
          <w:rFonts w:ascii="Times New Roman" w:eastAsia="Times New Roman"/>
        </w:rPr>
        <w:t>50 </w:t>
      </w:r>
      <w:r>
        <w:rPr/>
        <w:t>号法定代表人：林复</w:t>
      </w:r>
    </w:p>
    <w:p>
      <w:pPr>
        <w:pStyle w:val="BodyText"/>
        <w:spacing w:line="424" w:lineRule="auto"/>
        <w:ind w:left="720" w:right="6905"/>
        <w:rPr>
          <w:rFonts w:ascii="Times New Roman" w:eastAsia="Times New Roman"/>
        </w:rPr>
      </w:pPr>
      <w:r>
        <w:rPr/>
        <w:t>电话：</w:t>
      </w:r>
      <w:r>
        <w:rPr>
          <w:rFonts w:ascii="Times New Roman" w:eastAsia="Times New Roman"/>
        </w:rPr>
        <w:t>025-84544021 </w:t>
      </w:r>
      <w:r>
        <w:rPr/>
        <w:t>传真：</w:t>
      </w:r>
      <w:r>
        <w:rPr>
          <w:rFonts w:ascii="Times New Roman" w:eastAsia="Times New Roman"/>
        </w:rPr>
        <w:t>025-84544129</w:t>
      </w:r>
    </w:p>
    <w:p>
      <w:pPr>
        <w:pStyle w:val="BodyText"/>
        <w:spacing w:line="268" w:lineRule="exact"/>
        <w:ind w:left="720"/>
      </w:pPr>
      <w:r>
        <w:rPr/>
        <w:t>联系人：翁俊</w:t>
      </w:r>
    </w:p>
    <w:p>
      <w:pPr>
        <w:pStyle w:val="BodyText"/>
        <w:spacing w:before="6"/>
        <w:rPr>
          <w:sz w:val="15"/>
        </w:rPr>
      </w:pPr>
    </w:p>
    <w:p>
      <w:pPr>
        <w:pStyle w:val="BodyText"/>
        <w:spacing w:line="424" w:lineRule="auto" w:before="1"/>
        <w:ind w:left="720" w:right="6569"/>
        <w:rPr>
          <w:rFonts w:ascii="Times New Roman" w:eastAsia="Times New Roman"/>
        </w:rPr>
      </w:pPr>
      <w:r>
        <w:rPr/>
        <w:t>网址：</w:t>
      </w:r>
      <w:hyperlink r:id="rId31">
        <w:r>
          <w:rPr>
            <w:rFonts w:ascii="Times New Roman" w:eastAsia="Times New Roman"/>
          </w:rPr>
          <w:t>www.njcb.com.cn </w:t>
        </w:r>
      </w:hyperlink>
      <w:r>
        <w:rPr/>
        <w:t>客户服务电话：</w:t>
      </w:r>
      <w:r>
        <w:rPr>
          <w:rFonts w:ascii="Times New Roman" w:eastAsia="Times New Roman"/>
        </w:rPr>
        <w:t>95302</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临商银行股份有限公司</w:t>
      </w:r>
    </w:p>
    <w:p>
      <w:pPr>
        <w:pStyle w:val="BodyText"/>
        <w:spacing w:before="1"/>
        <w:rPr>
          <w:sz w:val="16"/>
        </w:rPr>
      </w:pPr>
    </w:p>
    <w:p>
      <w:pPr>
        <w:pStyle w:val="BodyText"/>
        <w:ind w:left="720"/>
      </w:pPr>
      <w:r>
        <w:rPr/>
        <w:t>住所：山东省临沂市沂蒙路 </w:t>
      </w:r>
      <w:r>
        <w:rPr>
          <w:rFonts w:ascii="Times New Roman" w:eastAsia="Times New Roman"/>
        </w:rPr>
        <w:t>336 </w:t>
      </w:r>
      <w:r>
        <w:rPr/>
        <w:t>号</w:t>
      </w:r>
    </w:p>
    <w:p>
      <w:pPr>
        <w:pStyle w:val="BodyText"/>
        <w:spacing w:before="3"/>
        <w:rPr>
          <w:sz w:val="16"/>
        </w:rPr>
      </w:pPr>
    </w:p>
    <w:p>
      <w:pPr>
        <w:pStyle w:val="BodyText"/>
        <w:spacing w:line="424" w:lineRule="auto"/>
        <w:ind w:left="720" w:right="5128"/>
      </w:pPr>
      <w:r>
        <w:rPr/>
        <w:t>办公地址：山东省临沂市沂蒙路 </w:t>
      </w:r>
      <w:r>
        <w:rPr>
          <w:rFonts w:ascii="Times New Roman" w:eastAsia="Times New Roman"/>
        </w:rPr>
        <w:t>336 </w:t>
      </w:r>
      <w:r>
        <w:rPr/>
        <w:t>号法定代表人：王傢玉</w:t>
      </w:r>
    </w:p>
    <w:p>
      <w:pPr>
        <w:pStyle w:val="BodyText"/>
        <w:spacing w:line="424" w:lineRule="auto"/>
        <w:ind w:left="720" w:right="6906"/>
        <w:rPr>
          <w:rFonts w:ascii="Times New Roman" w:eastAsia="Times New Roman"/>
        </w:rPr>
      </w:pPr>
      <w:r>
        <w:rPr/>
        <w:t>电话：</w:t>
      </w:r>
      <w:r>
        <w:rPr>
          <w:rFonts w:ascii="Times New Roman" w:eastAsia="Times New Roman"/>
        </w:rPr>
        <w:t>0539-7877780 </w:t>
      </w:r>
      <w:r>
        <w:rPr/>
        <w:t>传真：</w:t>
      </w:r>
      <w:r>
        <w:rPr>
          <w:rFonts w:ascii="Times New Roman" w:eastAsia="Times New Roman"/>
        </w:rPr>
        <w:t>0539-8051127</w:t>
      </w:r>
    </w:p>
    <w:p>
      <w:pPr>
        <w:pStyle w:val="BodyText"/>
        <w:spacing w:line="267" w:lineRule="exact"/>
        <w:ind w:left="720"/>
      </w:pPr>
      <w:r>
        <w:rPr/>
        <w:t>联系人：吕芳芳</w:t>
      </w:r>
    </w:p>
    <w:p>
      <w:pPr>
        <w:pStyle w:val="BodyText"/>
        <w:rPr>
          <w:sz w:val="16"/>
        </w:rPr>
      </w:pPr>
    </w:p>
    <w:p>
      <w:pPr>
        <w:pStyle w:val="BodyText"/>
        <w:ind w:left="720"/>
        <w:rPr>
          <w:rFonts w:ascii="Times New Roman" w:eastAsia="Times New Roman"/>
        </w:rPr>
      </w:pPr>
      <w:r>
        <w:rPr/>
        <w:t>网址：</w:t>
      </w:r>
      <w:hyperlink r:id="rId32">
        <w:r>
          <w:rPr>
            <w:rFonts w:ascii="Times New Roman" w:eastAsia="Times New Roman"/>
          </w:rPr>
          <w:t>www.lsbchina.com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400-699-6588</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温州银行股份有限公司</w:t>
      </w:r>
    </w:p>
    <w:p>
      <w:pPr>
        <w:pStyle w:val="BodyText"/>
        <w:spacing w:before="4"/>
        <w:rPr>
          <w:sz w:val="16"/>
        </w:rPr>
      </w:pPr>
    </w:p>
    <w:p>
      <w:pPr>
        <w:pStyle w:val="BodyText"/>
        <w:ind w:left="720"/>
      </w:pPr>
      <w:r>
        <w:rPr/>
        <w:t>住所：温州市车站大道华海广场 </w:t>
      </w:r>
      <w:r>
        <w:rPr>
          <w:rFonts w:ascii="Times New Roman" w:eastAsia="Times New Roman"/>
        </w:rPr>
        <w:t>1 </w:t>
      </w:r>
      <w:r>
        <w:rPr/>
        <w:t>号楼</w:t>
      </w:r>
    </w:p>
    <w:p>
      <w:pPr>
        <w:pStyle w:val="BodyText"/>
        <w:spacing w:before="1"/>
        <w:rPr>
          <w:sz w:val="16"/>
        </w:rPr>
      </w:pPr>
    </w:p>
    <w:p>
      <w:pPr>
        <w:pStyle w:val="BodyText"/>
        <w:spacing w:line="424" w:lineRule="auto"/>
        <w:ind w:left="720" w:right="4709"/>
      </w:pPr>
      <w:r>
        <w:rPr/>
        <w:t>办公地址：温州市车站大道华海广场 </w:t>
      </w:r>
      <w:r>
        <w:rPr>
          <w:rFonts w:ascii="Times New Roman" w:eastAsia="Times New Roman"/>
        </w:rPr>
        <w:t>1 </w:t>
      </w:r>
      <w:r>
        <w:rPr/>
        <w:t>号楼法定代表人：夏瑞洲</w:t>
      </w:r>
    </w:p>
    <w:p>
      <w:pPr>
        <w:pStyle w:val="BodyText"/>
        <w:spacing w:line="424" w:lineRule="auto"/>
        <w:ind w:left="720" w:right="6800"/>
        <w:rPr>
          <w:rFonts w:ascii="Times New Roman" w:eastAsia="Times New Roman"/>
        </w:rPr>
      </w:pPr>
      <w:r>
        <w:rPr/>
        <w:t>电话：</w:t>
      </w:r>
      <w:r>
        <w:rPr>
          <w:rFonts w:ascii="Times New Roman" w:eastAsia="Times New Roman"/>
        </w:rPr>
        <w:t>0577-88990082 </w:t>
      </w:r>
      <w:r>
        <w:rPr/>
        <w:t>传真：</w:t>
      </w:r>
      <w:r>
        <w:rPr>
          <w:rFonts w:ascii="Times New Roman" w:eastAsia="Times New Roman"/>
        </w:rPr>
        <w:t>0577-88995217</w:t>
      </w:r>
    </w:p>
    <w:p>
      <w:pPr>
        <w:pStyle w:val="BodyText"/>
        <w:spacing w:line="267" w:lineRule="exact"/>
        <w:ind w:left="720"/>
      </w:pPr>
      <w:r>
        <w:rPr/>
        <w:t>联系人：林波</w:t>
      </w:r>
    </w:p>
    <w:p>
      <w:pPr>
        <w:pStyle w:val="BodyText"/>
        <w:spacing w:before="12"/>
        <w:rPr>
          <w:sz w:val="15"/>
        </w:rPr>
      </w:pPr>
    </w:p>
    <w:p>
      <w:pPr>
        <w:pStyle w:val="BodyText"/>
        <w:ind w:left="720"/>
        <w:rPr>
          <w:rFonts w:ascii="Times New Roman" w:eastAsia="Times New Roman"/>
        </w:rPr>
      </w:pPr>
      <w:r>
        <w:rPr/>
        <w:t>网址：</w:t>
      </w:r>
      <w:hyperlink r:id="rId33">
        <w:r>
          <w:rPr>
            <w:rFonts w:ascii="Times New Roman" w:eastAsia="Times New Roman"/>
          </w:rPr>
          <w:t>www.wzbank.cn</w:t>
        </w:r>
      </w:hyperlink>
    </w:p>
    <w:p>
      <w:pPr>
        <w:pStyle w:val="BodyText"/>
        <w:rPr>
          <w:rFonts w:ascii="Times New Roman"/>
          <w:sz w:val="18"/>
        </w:rPr>
      </w:pPr>
    </w:p>
    <w:p>
      <w:pPr>
        <w:pStyle w:val="BodyText"/>
        <w:ind w:left="720"/>
      </w:pPr>
      <w:r>
        <w:rPr>
          <w:spacing w:val="-2"/>
        </w:rPr>
        <w:t>客户服务电话：</w:t>
      </w:r>
      <w:r>
        <w:rPr>
          <w:rFonts w:ascii="Times New Roman" w:eastAsia="Times New Roman"/>
        </w:rPr>
        <w:t>96699</w:t>
      </w:r>
      <w:r>
        <w:rPr/>
        <w:t>（</w:t>
      </w:r>
      <w:r>
        <w:rPr>
          <w:spacing w:val="-3"/>
        </w:rPr>
        <w:t>浙江和上海地区</w:t>
      </w:r>
      <w:r>
        <w:rPr>
          <w:spacing w:val="-108"/>
        </w:rPr>
        <w:t>）</w:t>
      </w:r>
      <w:r>
        <w:rPr/>
        <w:t>、</w:t>
      </w:r>
      <w:r>
        <w:rPr>
          <w:rFonts w:ascii="Times New Roman" w:eastAsia="Times New Roman"/>
        </w:rPr>
        <w:t>0577-96699</w:t>
      </w:r>
      <w:r>
        <w:rPr/>
        <w:t>（</w:t>
      </w:r>
      <w:r>
        <w:rPr>
          <w:spacing w:val="-3"/>
        </w:rPr>
        <w:t>其他地区</w:t>
      </w:r>
      <w:r>
        <w:rPr/>
        <w:t>）</w:t>
      </w:r>
    </w:p>
    <w:p>
      <w:pPr>
        <w:spacing w:after="0"/>
        <w:sectPr>
          <w:pgSz w:w="11910" w:h="16840"/>
          <w:pgMar w:header="701" w:footer="683" w:top="1420" w:bottom="880" w:left="1500" w:right="920"/>
        </w:sectPr>
      </w:pPr>
    </w:p>
    <w:p>
      <w:pPr>
        <w:pStyle w:val="ListParagraph"/>
        <w:numPr>
          <w:ilvl w:val="0"/>
          <w:numId w:val="10"/>
        </w:numPr>
        <w:tabs>
          <w:tab w:pos="1355" w:val="left" w:leader="none"/>
        </w:tabs>
        <w:spacing w:line="240" w:lineRule="auto" w:before="115" w:after="0"/>
        <w:ind w:left="1355" w:right="0" w:hanging="635"/>
        <w:jc w:val="left"/>
        <w:rPr>
          <w:sz w:val="21"/>
        </w:rPr>
      </w:pPr>
      <w:r>
        <w:rPr>
          <w:spacing w:val="-3"/>
          <w:sz w:val="21"/>
        </w:rPr>
        <w:t>汉口银行股份有限公司</w:t>
      </w:r>
    </w:p>
    <w:p>
      <w:pPr>
        <w:pStyle w:val="BodyText"/>
        <w:rPr>
          <w:sz w:val="16"/>
        </w:rPr>
      </w:pPr>
    </w:p>
    <w:p>
      <w:pPr>
        <w:pStyle w:val="BodyText"/>
        <w:spacing w:before="1"/>
        <w:ind w:left="720"/>
      </w:pPr>
      <w:r>
        <w:rPr/>
        <w:t>住所：武汉市江汉区建设大道 </w:t>
      </w:r>
      <w:r>
        <w:rPr>
          <w:rFonts w:ascii="Times New Roman" w:eastAsia="Times New Roman"/>
        </w:rPr>
        <w:t>933 </w:t>
      </w:r>
      <w:r>
        <w:rPr/>
        <w:t>号武汉商业银行大厦</w:t>
      </w:r>
    </w:p>
    <w:p>
      <w:pPr>
        <w:pStyle w:val="BodyText"/>
        <w:spacing w:before="1"/>
        <w:rPr>
          <w:sz w:val="16"/>
        </w:rPr>
      </w:pPr>
    </w:p>
    <w:p>
      <w:pPr>
        <w:pStyle w:val="BodyText"/>
        <w:spacing w:line="424" w:lineRule="auto"/>
        <w:ind w:left="720" w:right="3237"/>
      </w:pPr>
      <w:r>
        <w:rPr/>
        <w:t>办公地址：武汉市江汉区建设大道 </w:t>
      </w:r>
      <w:r>
        <w:rPr>
          <w:rFonts w:ascii="Times New Roman" w:eastAsia="Times New Roman"/>
        </w:rPr>
        <w:t>933 </w:t>
      </w:r>
      <w:r>
        <w:rPr/>
        <w:t>号武汉商业银行大厦法定代表人：陈新民</w:t>
      </w:r>
    </w:p>
    <w:p>
      <w:pPr>
        <w:pStyle w:val="BodyText"/>
        <w:spacing w:line="427" w:lineRule="auto"/>
        <w:ind w:left="720" w:right="6906"/>
        <w:rPr>
          <w:rFonts w:ascii="Times New Roman" w:eastAsia="Times New Roman"/>
        </w:rPr>
      </w:pPr>
      <w:r>
        <w:rPr/>
        <w:t>电话：</w:t>
      </w:r>
      <w:r>
        <w:rPr>
          <w:rFonts w:ascii="Times New Roman" w:eastAsia="Times New Roman"/>
        </w:rPr>
        <w:t>027-82656867 </w:t>
      </w:r>
      <w:r>
        <w:rPr/>
        <w:t>传真：</w:t>
      </w:r>
      <w:r>
        <w:rPr>
          <w:rFonts w:ascii="Times New Roman" w:eastAsia="Times New Roman"/>
        </w:rPr>
        <w:t>027-82656236</w:t>
      </w:r>
    </w:p>
    <w:p>
      <w:pPr>
        <w:pStyle w:val="BodyText"/>
        <w:spacing w:line="264" w:lineRule="exact"/>
        <w:ind w:left="720"/>
      </w:pPr>
      <w:r>
        <w:rPr/>
        <w:t>联系人：黄慧琼</w:t>
      </w:r>
    </w:p>
    <w:p>
      <w:pPr>
        <w:pStyle w:val="BodyText"/>
        <w:spacing w:before="12"/>
        <w:rPr>
          <w:sz w:val="15"/>
        </w:rPr>
      </w:pPr>
    </w:p>
    <w:p>
      <w:pPr>
        <w:pStyle w:val="BodyText"/>
        <w:ind w:left="720"/>
        <w:rPr>
          <w:rFonts w:ascii="Times New Roman" w:eastAsia="Times New Roman"/>
        </w:rPr>
      </w:pPr>
      <w:r>
        <w:rPr/>
        <w:t>网址：</w:t>
      </w:r>
      <w:hyperlink r:id="rId34">
        <w:r>
          <w:rPr>
            <w:rFonts w:ascii="Times New Roman" w:eastAsia="Times New Roman"/>
          </w:rPr>
          <w:t>www.hkbchina.com</w:t>
        </w:r>
      </w:hyperlink>
    </w:p>
    <w:p>
      <w:pPr>
        <w:pStyle w:val="BodyText"/>
        <w:spacing w:before="11"/>
        <w:rPr>
          <w:rFonts w:ascii="Times New Roman"/>
          <w:sz w:val="17"/>
        </w:rPr>
      </w:pPr>
    </w:p>
    <w:p>
      <w:pPr>
        <w:pStyle w:val="BodyText"/>
        <w:ind w:left="720"/>
      </w:pPr>
      <w:r>
        <w:rPr>
          <w:spacing w:val="-2"/>
        </w:rPr>
        <w:t>客户服务电话：</w:t>
      </w:r>
      <w:r>
        <w:rPr>
          <w:rFonts w:ascii="Times New Roman" w:eastAsia="Times New Roman"/>
        </w:rPr>
        <w:t>96558</w:t>
      </w:r>
      <w:r>
        <w:rPr/>
        <w:t>（</w:t>
      </w:r>
      <w:r>
        <w:rPr>
          <w:spacing w:val="-2"/>
        </w:rPr>
        <w:t>武汉</w:t>
      </w:r>
      <w:r>
        <w:rPr>
          <w:spacing w:val="-106"/>
        </w:rPr>
        <w:t>）</w:t>
      </w:r>
      <w:r>
        <w:rPr/>
        <w:t>、</w:t>
      </w:r>
      <w:r>
        <w:rPr>
          <w:rFonts w:ascii="Times New Roman" w:eastAsia="Times New Roman"/>
        </w:rPr>
        <w:t>400-609-6558</w:t>
      </w:r>
      <w:r>
        <w:rPr/>
        <w:t>（</w:t>
      </w:r>
      <w:r>
        <w:rPr>
          <w:spacing w:val="-3"/>
        </w:rPr>
        <w:t>全国</w:t>
      </w:r>
      <w:r>
        <w:rPr/>
        <w:t>）</w:t>
      </w:r>
    </w:p>
    <w:p>
      <w:pPr>
        <w:pStyle w:val="BodyText"/>
        <w:spacing w:before="1"/>
        <w:rPr>
          <w:sz w:val="16"/>
        </w:rPr>
      </w:pPr>
    </w:p>
    <w:p>
      <w:pPr>
        <w:pStyle w:val="ListParagraph"/>
        <w:numPr>
          <w:ilvl w:val="0"/>
          <w:numId w:val="10"/>
        </w:numPr>
        <w:tabs>
          <w:tab w:pos="1355" w:val="left" w:leader="none"/>
        </w:tabs>
        <w:spacing w:line="424" w:lineRule="auto" w:before="0" w:after="0"/>
        <w:ind w:left="720" w:right="6030" w:firstLine="0"/>
        <w:jc w:val="left"/>
        <w:rPr>
          <w:sz w:val="21"/>
        </w:rPr>
      </w:pPr>
      <w:r>
        <w:rPr>
          <w:spacing w:val="-5"/>
          <w:sz w:val="21"/>
        </w:rPr>
        <w:t>江苏银行股份有限公司</w:t>
      </w:r>
      <w:r>
        <w:rPr>
          <w:spacing w:val="-8"/>
          <w:sz w:val="21"/>
        </w:rPr>
        <w:t>住所：南京市中华路 </w:t>
      </w:r>
      <w:r>
        <w:rPr>
          <w:rFonts w:ascii="Times New Roman" w:eastAsia="Times New Roman"/>
          <w:sz w:val="21"/>
        </w:rPr>
        <w:t>26</w:t>
      </w:r>
      <w:r>
        <w:rPr>
          <w:rFonts w:ascii="Times New Roman" w:eastAsia="Times New Roman"/>
          <w:spacing w:val="-1"/>
          <w:sz w:val="21"/>
        </w:rPr>
        <w:t> </w:t>
      </w:r>
      <w:r>
        <w:rPr>
          <w:sz w:val="21"/>
        </w:rPr>
        <w:t>号</w:t>
      </w:r>
    </w:p>
    <w:p>
      <w:pPr>
        <w:pStyle w:val="BodyText"/>
        <w:spacing w:line="424" w:lineRule="auto"/>
        <w:ind w:left="720" w:right="5864"/>
      </w:pPr>
      <w:r>
        <w:rPr/>
        <w:t>办公地址：南京市中华路 </w:t>
      </w:r>
      <w:r>
        <w:rPr>
          <w:rFonts w:ascii="Times New Roman" w:eastAsia="Times New Roman"/>
        </w:rPr>
        <w:t>26 </w:t>
      </w:r>
      <w:r>
        <w:rPr/>
        <w:t>号法定代表人：夏平</w:t>
      </w:r>
    </w:p>
    <w:p>
      <w:pPr>
        <w:pStyle w:val="BodyText"/>
        <w:spacing w:line="424" w:lineRule="auto"/>
        <w:ind w:left="720" w:right="6906"/>
        <w:rPr>
          <w:rFonts w:ascii="Times New Roman" w:eastAsia="Times New Roman"/>
        </w:rPr>
      </w:pPr>
      <w:r>
        <w:rPr/>
        <w:t>电话：</w:t>
      </w:r>
      <w:r>
        <w:rPr>
          <w:rFonts w:ascii="Times New Roman" w:eastAsia="Times New Roman"/>
        </w:rPr>
        <w:t>025-58588167 </w:t>
      </w:r>
      <w:r>
        <w:rPr/>
        <w:t>传真：</w:t>
      </w:r>
      <w:r>
        <w:rPr>
          <w:rFonts w:ascii="Times New Roman" w:eastAsia="Times New Roman"/>
        </w:rPr>
        <w:t>025-58588164</w:t>
      </w:r>
    </w:p>
    <w:p>
      <w:pPr>
        <w:pStyle w:val="BodyText"/>
        <w:spacing w:line="267" w:lineRule="exact"/>
        <w:ind w:left="720"/>
      </w:pPr>
      <w:r>
        <w:rPr/>
        <w:t>联系人：田春慧</w:t>
      </w:r>
    </w:p>
    <w:p>
      <w:pPr>
        <w:pStyle w:val="BodyText"/>
        <w:spacing w:before="12"/>
        <w:rPr>
          <w:sz w:val="15"/>
        </w:rPr>
      </w:pPr>
    </w:p>
    <w:p>
      <w:pPr>
        <w:pStyle w:val="BodyText"/>
        <w:spacing w:line="424" w:lineRule="auto"/>
        <w:ind w:left="720" w:right="6644"/>
        <w:rPr>
          <w:rFonts w:ascii="Times New Roman" w:eastAsia="Times New Roman"/>
        </w:rPr>
      </w:pPr>
      <w:r>
        <w:rPr/>
        <w:t>网址：</w:t>
      </w:r>
      <w:hyperlink r:id="rId35">
        <w:r>
          <w:rPr>
            <w:rFonts w:ascii="Times New Roman" w:eastAsia="Times New Roman"/>
          </w:rPr>
          <w:t>www.jsbchina.cn </w:t>
        </w:r>
      </w:hyperlink>
      <w:r>
        <w:rPr/>
        <w:t>客户服务电话：</w:t>
      </w:r>
      <w:r>
        <w:rPr>
          <w:rFonts w:ascii="Times New Roman" w:eastAsia="Times New Roman"/>
        </w:rPr>
        <w:t>95319</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渤海银行股份有限公司</w:t>
      </w:r>
    </w:p>
    <w:p>
      <w:pPr>
        <w:pStyle w:val="BodyText"/>
        <w:spacing w:before="1"/>
        <w:rPr>
          <w:sz w:val="16"/>
        </w:rPr>
      </w:pPr>
    </w:p>
    <w:p>
      <w:pPr>
        <w:pStyle w:val="BodyText"/>
        <w:ind w:left="720"/>
      </w:pPr>
      <w:r>
        <w:rPr/>
        <w:t>住所：天津市河东区海河东路 </w:t>
      </w:r>
      <w:r>
        <w:rPr>
          <w:rFonts w:ascii="Times New Roman" w:eastAsia="Times New Roman"/>
        </w:rPr>
        <w:t>218 </w:t>
      </w:r>
      <w:r>
        <w:rPr/>
        <w:t>号</w:t>
      </w:r>
    </w:p>
    <w:p>
      <w:pPr>
        <w:pStyle w:val="BodyText"/>
        <w:spacing w:before="1"/>
        <w:rPr>
          <w:sz w:val="16"/>
        </w:rPr>
      </w:pPr>
    </w:p>
    <w:p>
      <w:pPr>
        <w:pStyle w:val="BodyText"/>
        <w:spacing w:line="427" w:lineRule="auto"/>
        <w:ind w:left="720" w:right="497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spacing w:line="265" w:lineRule="exact"/>
        <w:ind w:left="720"/>
        <w:rPr>
          <w:rFonts w:ascii="Times New Roman" w:eastAsia="Times New Roman"/>
        </w:rPr>
      </w:pPr>
      <w:r>
        <w:rPr>
          <w:spacing w:val="-1"/>
        </w:rPr>
        <w:t>电话：</w:t>
      </w:r>
      <w:r>
        <w:rPr>
          <w:rFonts w:ascii="Times New Roman" w:eastAsia="Times New Roman"/>
          <w:spacing w:val="-1"/>
        </w:rPr>
        <w:t>022-58316666</w:t>
      </w:r>
    </w:p>
    <w:p>
      <w:pPr>
        <w:pStyle w:val="BodyText"/>
        <w:spacing w:before="11"/>
        <w:rPr>
          <w:rFonts w:ascii="Times New Roman"/>
          <w:sz w:val="17"/>
        </w:rPr>
      </w:pPr>
    </w:p>
    <w:p>
      <w:pPr>
        <w:pStyle w:val="BodyText"/>
        <w:ind w:left="720"/>
        <w:rPr>
          <w:rFonts w:ascii="Times New Roman" w:eastAsia="Times New Roman"/>
        </w:rPr>
      </w:pPr>
      <w:r>
        <w:rPr/>
        <w:t>传真：</w:t>
      </w:r>
      <w:r>
        <w:rPr>
          <w:rFonts w:ascii="Times New Roman" w:eastAsia="Times New Roman"/>
        </w:rPr>
        <w:t>-</w:t>
      </w:r>
    </w:p>
    <w:p>
      <w:pPr>
        <w:pStyle w:val="BodyText"/>
        <w:spacing w:before="11"/>
        <w:rPr>
          <w:rFonts w:ascii="Times New Roman"/>
          <w:sz w:val="17"/>
        </w:rPr>
      </w:pPr>
    </w:p>
    <w:p>
      <w:pPr>
        <w:pStyle w:val="BodyText"/>
        <w:ind w:left="720"/>
      </w:pPr>
      <w:r>
        <w:rPr/>
        <w:t>联系人：潘鹏程</w:t>
      </w:r>
    </w:p>
    <w:p>
      <w:pPr>
        <w:pStyle w:val="BodyText"/>
        <w:spacing w:before="1"/>
        <w:rPr>
          <w:sz w:val="16"/>
        </w:rPr>
      </w:pPr>
    </w:p>
    <w:p>
      <w:pPr>
        <w:pStyle w:val="BodyText"/>
        <w:spacing w:line="424" w:lineRule="auto"/>
        <w:ind w:left="720" w:right="6522"/>
        <w:rPr>
          <w:rFonts w:ascii="Times New Roman" w:eastAsia="Times New Roman"/>
        </w:rPr>
      </w:pPr>
      <w:r>
        <w:rPr/>
        <w:t>网址：</w:t>
      </w:r>
      <w:hyperlink r:id="rId36">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洛阳银行股份有限公司</w:t>
      </w:r>
    </w:p>
    <w:p>
      <w:pPr>
        <w:pStyle w:val="BodyText"/>
        <w:spacing w:before="1"/>
        <w:rPr>
          <w:sz w:val="16"/>
        </w:rPr>
      </w:pPr>
    </w:p>
    <w:p>
      <w:pPr>
        <w:pStyle w:val="BodyText"/>
        <w:ind w:left="720"/>
      </w:pPr>
      <w:r>
        <w:rPr/>
        <w:t>住所：洛阳市洛阳新区开元大道与通济街交叉口</w:t>
      </w:r>
    </w:p>
    <w:p>
      <w:pPr>
        <w:spacing w:after="0"/>
        <w:sectPr>
          <w:pgSz w:w="11910" w:h="16840"/>
          <w:pgMar w:header="701" w:footer="683" w:top="1420" w:bottom="880" w:left="1500" w:right="920"/>
        </w:sectPr>
      </w:pPr>
    </w:p>
    <w:p>
      <w:pPr>
        <w:pStyle w:val="BodyText"/>
        <w:spacing w:line="424" w:lineRule="auto" w:before="115"/>
        <w:ind w:left="720" w:right="3087"/>
      </w:pPr>
      <w:r>
        <w:rPr>
          <w:spacing w:val="-6"/>
        </w:rPr>
        <w:t>办公地址：洛阳市洛龙区开元大道 </w:t>
      </w:r>
      <w:r>
        <w:rPr>
          <w:rFonts w:ascii="Times New Roman" w:eastAsia="Times New Roman"/>
        </w:rPr>
        <w:t>256 </w:t>
      </w:r>
      <w:r>
        <w:rPr>
          <w:spacing w:val="-9"/>
        </w:rPr>
        <w:t>号洛阳银行三楼 </w:t>
      </w:r>
      <w:r>
        <w:rPr>
          <w:rFonts w:ascii="Times New Roman" w:eastAsia="Times New Roman"/>
        </w:rPr>
        <w:t>306 </w:t>
      </w:r>
      <w:r>
        <w:rPr/>
        <w:t>室</w:t>
      </w:r>
      <w:r>
        <w:rPr>
          <w:spacing w:val="-3"/>
        </w:rPr>
        <w:t>法定代表人：王建甫</w:t>
      </w:r>
    </w:p>
    <w:p>
      <w:pPr>
        <w:pStyle w:val="BodyText"/>
        <w:spacing w:line="424" w:lineRule="auto"/>
        <w:ind w:left="720" w:right="6800"/>
        <w:rPr>
          <w:rFonts w:ascii="Times New Roman" w:eastAsia="Times New Roman"/>
        </w:rPr>
      </w:pPr>
      <w:r>
        <w:rPr/>
        <w:t>电话：</w:t>
      </w:r>
      <w:r>
        <w:rPr>
          <w:rFonts w:ascii="Times New Roman" w:eastAsia="Times New Roman"/>
        </w:rPr>
        <w:t>0379-65921977 </w:t>
      </w:r>
      <w:r>
        <w:rPr/>
        <w:t>传真：</w:t>
      </w:r>
      <w:r>
        <w:rPr>
          <w:rFonts w:ascii="Times New Roman" w:eastAsia="Times New Roman"/>
        </w:rPr>
        <w:t>0379-65921869</w:t>
      </w:r>
    </w:p>
    <w:p>
      <w:pPr>
        <w:pStyle w:val="BodyText"/>
        <w:spacing w:line="267" w:lineRule="exact"/>
        <w:ind w:left="720"/>
      </w:pPr>
      <w:r>
        <w:rPr/>
        <w:t>联系人：董鹏程</w:t>
      </w:r>
    </w:p>
    <w:p>
      <w:pPr>
        <w:pStyle w:val="BodyText"/>
        <w:spacing w:before="1"/>
        <w:rPr>
          <w:sz w:val="16"/>
        </w:rPr>
      </w:pPr>
    </w:p>
    <w:p>
      <w:pPr>
        <w:pStyle w:val="BodyText"/>
        <w:spacing w:line="424" w:lineRule="auto"/>
        <w:ind w:left="720" w:right="5671"/>
        <w:rPr>
          <w:rFonts w:ascii="Times New Roman" w:eastAsia="Times New Roman"/>
        </w:rPr>
      </w:pPr>
      <w:r>
        <w:rPr/>
        <w:t>网址：</w:t>
      </w:r>
      <w:hyperlink r:id="rId37">
        <w:r>
          <w:rPr>
            <w:rFonts w:ascii="Times New Roman" w:eastAsia="Times New Roman"/>
          </w:rPr>
          <w:t>www.bankofluoyang.com.cn </w:t>
        </w:r>
      </w:hyperlink>
      <w:r>
        <w:rPr/>
        <w:t>客户服务电话：</w:t>
      </w:r>
      <w:r>
        <w:rPr>
          <w:rFonts w:ascii="Times New Roman" w:eastAsia="Times New Roman"/>
        </w:rPr>
        <w:t>0379-96699</w:t>
      </w:r>
    </w:p>
    <w:p>
      <w:pPr>
        <w:pStyle w:val="ListParagraph"/>
        <w:numPr>
          <w:ilvl w:val="0"/>
          <w:numId w:val="10"/>
        </w:numPr>
        <w:tabs>
          <w:tab w:pos="1355" w:val="left" w:leader="none"/>
        </w:tabs>
        <w:spacing w:line="424" w:lineRule="auto" w:before="0" w:after="0"/>
        <w:ind w:left="720" w:right="4978" w:firstLine="0"/>
        <w:jc w:val="left"/>
        <w:rPr>
          <w:sz w:val="21"/>
        </w:rPr>
      </w:pPr>
      <w:r>
        <w:rPr>
          <w:spacing w:val="-4"/>
          <w:sz w:val="21"/>
        </w:rPr>
        <w:t>乌鲁木齐市商业银行股份有限公司</w:t>
      </w:r>
      <w:r>
        <w:rPr>
          <w:spacing w:val="-7"/>
          <w:sz w:val="21"/>
        </w:rPr>
        <w:t>住所：乌鲁木齐市新华北路 </w:t>
      </w:r>
      <w:r>
        <w:rPr>
          <w:rFonts w:ascii="Times New Roman" w:eastAsia="Times New Roman"/>
          <w:sz w:val="21"/>
        </w:rPr>
        <w:t>8</w:t>
      </w:r>
      <w:r>
        <w:rPr>
          <w:rFonts w:ascii="Times New Roman" w:eastAsia="Times New Roman"/>
          <w:spacing w:val="1"/>
          <w:sz w:val="21"/>
        </w:rPr>
        <w:t> </w:t>
      </w:r>
      <w:r>
        <w:rPr>
          <w:sz w:val="21"/>
        </w:rPr>
        <w:t>号</w:t>
      </w:r>
    </w:p>
    <w:p>
      <w:pPr>
        <w:pStyle w:val="BodyText"/>
        <w:spacing w:line="424" w:lineRule="auto"/>
        <w:ind w:left="720" w:right="5337"/>
      </w:pPr>
      <w:r>
        <w:rPr/>
        <w:t>办公地址：乌鲁木齐市新华北路 </w:t>
      </w:r>
      <w:r>
        <w:rPr>
          <w:rFonts w:ascii="Times New Roman" w:eastAsia="Times New Roman"/>
        </w:rPr>
        <w:t>8 </w:t>
      </w:r>
      <w:r>
        <w:rPr/>
        <w:t>号法定代表人：农惠臣</w:t>
      </w:r>
    </w:p>
    <w:p>
      <w:pPr>
        <w:pStyle w:val="BodyText"/>
        <w:spacing w:line="424" w:lineRule="auto"/>
        <w:ind w:left="720" w:right="6906"/>
        <w:rPr>
          <w:rFonts w:ascii="Times New Roman" w:eastAsia="Times New Roman"/>
        </w:rPr>
      </w:pPr>
      <w:r>
        <w:rPr/>
        <w:t>电话：</w:t>
      </w:r>
      <w:r>
        <w:rPr>
          <w:rFonts w:ascii="Times New Roman" w:eastAsia="Times New Roman"/>
        </w:rPr>
        <w:t>0991-8824667 </w:t>
      </w:r>
      <w:r>
        <w:rPr/>
        <w:t>传真：</w:t>
      </w:r>
      <w:r>
        <w:rPr>
          <w:rFonts w:ascii="Times New Roman" w:eastAsia="Times New Roman"/>
        </w:rPr>
        <w:t>0991-8824667</w:t>
      </w:r>
    </w:p>
    <w:p>
      <w:pPr>
        <w:pStyle w:val="BodyText"/>
        <w:ind w:left="720"/>
      </w:pPr>
      <w:r>
        <w:rPr/>
        <w:t>联系人：何佳</w:t>
      </w:r>
    </w:p>
    <w:p>
      <w:pPr>
        <w:pStyle w:val="BodyText"/>
        <w:spacing w:before="9"/>
        <w:rPr>
          <w:sz w:val="15"/>
        </w:rPr>
      </w:pPr>
    </w:p>
    <w:p>
      <w:pPr>
        <w:pStyle w:val="BodyText"/>
        <w:ind w:left="720"/>
        <w:rPr>
          <w:rFonts w:ascii="Times New Roman" w:eastAsia="Times New Roman"/>
        </w:rPr>
      </w:pPr>
      <w:r>
        <w:rPr/>
        <w:t>网址：</w:t>
      </w:r>
      <w:hyperlink r:id="rId38">
        <w:r>
          <w:rPr>
            <w:rFonts w:ascii="Times New Roman" w:eastAsia="Times New Roman"/>
          </w:rPr>
          <w:t>www.uccb.com.cn</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0991-96518</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烟台银行股份有限公司</w:t>
      </w:r>
    </w:p>
    <w:p>
      <w:pPr>
        <w:pStyle w:val="BodyText"/>
        <w:spacing w:before="1"/>
        <w:rPr>
          <w:sz w:val="16"/>
        </w:rPr>
      </w:pPr>
    </w:p>
    <w:p>
      <w:pPr>
        <w:pStyle w:val="BodyText"/>
        <w:ind w:left="720"/>
      </w:pPr>
      <w:r>
        <w:rPr/>
        <w:t>住所：山东省烟台市芝罘区海港路 </w:t>
      </w:r>
      <w:r>
        <w:rPr>
          <w:rFonts w:ascii="Times New Roman" w:eastAsia="Times New Roman"/>
        </w:rPr>
        <w:t>25 </w:t>
      </w:r>
      <w:r>
        <w:rPr/>
        <w:t>号</w:t>
      </w:r>
    </w:p>
    <w:p>
      <w:pPr>
        <w:pStyle w:val="BodyText"/>
        <w:spacing w:before="1"/>
        <w:rPr>
          <w:sz w:val="16"/>
        </w:rPr>
      </w:pPr>
    </w:p>
    <w:p>
      <w:pPr>
        <w:pStyle w:val="BodyText"/>
        <w:spacing w:line="424" w:lineRule="auto" w:before="1"/>
        <w:ind w:left="720" w:right="4603"/>
      </w:pPr>
      <w:r>
        <w:rPr/>
        <w:t>办公地址：山东省烟台市芝罘区海港路 </w:t>
      </w:r>
      <w:r>
        <w:rPr>
          <w:rFonts w:ascii="Times New Roman" w:eastAsia="Times New Roman"/>
        </w:rPr>
        <w:t>25 </w:t>
      </w:r>
      <w:r>
        <w:rPr/>
        <w:t>号法定代表人：叶文君</w:t>
      </w:r>
    </w:p>
    <w:p>
      <w:pPr>
        <w:pStyle w:val="BodyText"/>
        <w:spacing w:line="427" w:lineRule="auto"/>
        <w:ind w:left="720" w:right="6906"/>
        <w:rPr>
          <w:rFonts w:ascii="Times New Roman" w:eastAsia="Times New Roman"/>
        </w:rPr>
      </w:pPr>
      <w:r>
        <w:rPr/>
        <w:t>电话：</w:t>
      </w:r>
      <w:r>
        <w:rPr>
          <w:rFonts w:ascii="Times New Roman" w:eastAsia="Times New Roman"/>
        </w:rPr>
        <w:t>0535-6699660 </w:t>
      </w:r>
      <w:r>
        <w:rPr/>
        <w:t>传真：</w:t>
      </w:r>
      <w:r>
        <w:rPr>
          <w:rFonts w:ascii="Times New Roman" w:eastAsia="Times New Roman"/>
        </w:rPr>
        <w:t>0535-6699884</w:t>
      </w:r>
    </w:p>
    <w:p>
      <w:pPr>
        <w:pStyle w:val="BodyText"/>
        <w:spacing w:line="265" w:lineRule="exact"/>
        <w:ind w:left="720"/>
      </w:pPr>
      <w:r>
        <w:rPr/>
        <w:t>联系人：王淑华</w:t>
      </w:r>
    </w:p>
    <w:p>
      <w:pPr>
        <w:pStyle w:val="BodyText"/>
        <w:spacing w:before="11"/>
        <w:rPr>
          <w:sz w:val="15"/>
        </w:rPr>
      </w:pPr>
    </w:p>
    <w:p>
      <w:pPr>
        <w:pStyle w:val="BodyText"/>
        <w:ind w:left="720"/>
        <w:rPr>
          <w:rFonts w:ascii="Times New Roman" w:eastAsia="Times New Roman"/>
        </w:rPr>
      </w:pPr>
      <w:r>
        <w:rPr/>
        <w:t>网址：</w:t>
      </w:r>
      <w:hyperlink r:id="rId39">
        <w:r>
          <w:rPr>
            <w:rFonts w:ascii="Times New Roman" w:eastAsia="Times New Roman"/>
          </w:rPr>
          <w:t>www.yantaibank.net</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400-831-1777</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大连银行股份有限公司</w:t>
      </w:r>
    </w:p>
    <w:p>
      <w:pPr>
        <w:pStyle w:val="BodyText"/>
        <w:spacing w:before="1"/>
        <w:rPr>
          <w:sz w:val="16"/>
        </w:rPr>
      </w:pPr>
    </w:p>
    <w:p>
      <w:pPr>
        <w:pStyle w:val="BodyText"/>
        <w:ind w:left="720"/>
      </w:pPr>
      <w:r>
        <w:rPr/>
        <w:t>住所：辽宁省大连市中山区中山路 </w:t>
      </w:r>
      <w:r>
        <w:rPr>
          <w:rFonts w:ascii="Times New Roman" w:eastAsia="Times New Roman"/>
        </w:rPr>
        <w:t>88 </w:t>
      </w:r>
      <w:r>
        <w:rPr/>
        <w:t>号</w:t>
      </w:r>
    </w:p>
    <w:p>
      <w:pPr>
        <w:pStyle w:val="BodyText"/>
        <w:spacing w:before="1"/>
        <w:rPr>
          <w:sz w:val="16"/>
        </w:rPr>
      </w:pPr>
    </w:p>
    <w:p>
      <w:pPr>
        <w:pStyle w:val="BodyText"/>
        <w:spacing w:line="424" w:lineRule="auto"/>
        <w:ind w:left="720" w:right="4603"/>
      </w:pPr>
      <w:r>
        <w:rPr/>
        <w:t>办公地址：辽宁省大连市中山区中山路 </w:t>
      </w:r>
      <w:r>
        <w:rPr>
          <w:rFonts w:ascii="Times New Roman" w:eastAsia="Times New Roman"/>
        </w:rPr>
        <w:t>88 </w:t>
      </w:r>
      <w:r>
        <w:rPr/>
        <w:t>号法定代表人：陈占维</w:t>
      </w:r>
    </w:p>
    <w:p>
      <w:pPr>
        <w:spacing w:after="0" w:line="424" w:lineRule="auto"/>
        <w:sectPr>
          <w:pgSz w:w="11910" w:h="16840"/>
          <w:pgMar w:header="701" w:footer="683" w:top="1420" w:bottom="880" w:left="1500" w:right="920"/>
        </w:sectPr>
      </w:pPr>
    </w:p>
    <w:p>
      <w:pPr>
        <w:pStyle w:val="BodyText"/>
        <w:spacing w:line="424" w:lineRule="auto" w:before="115"/>
        <w:ind w:left="720" w:right="6810"/>
        <w:rPr>
          <w:rFonts w:ascii="Times New Roman" w:eastAsia="Times New Roman"/>
        </w:rPr>
      </w:pPr>
      <w:r>
        <w:rPr/>
        <w:t>电话：</w:t>
      </w:r>
      <w:r>
        <w:rPr>
          <w:rFonts w:ascii="Times New Roman" w:eastAsia="Times New Roman"/>
        </w:rPr>
        <w:t>0411-82356627 </w:t>
      </w:r>
      <w:r>
        <w:rPr/>
        <w:t>传真：</w:t>
      </w:r>
      <w:r>
        <w:rPr>
          <w:rFonts w:ascii="Times New Roman" w:eastAsia="Times New Roman"/>
        </w:rPr>
        <w:t>0411-82356590</w:t>
      </w:r>
    </w:p>
    <w:p>
      <w:pPr>
        <w:pStyle w:val="BodyText"/>
        <w:spacing w:line="267" w:lineRule="exact"/>
        <w:ind w:left="720"/>
      </w:pPr>
      <w:r>
        <w:rPr/>
        <w:t>联系人：李格格</w:t>
      </w:r>
    </w:p>
    <w:p>
      <w:pPr>
        <w:pStyle w:val="BodyText"/>
        <w:rPr>
          <w:sz w:val="16"/>
        </w:rPr>
      </w:pPr>
    </w:p>
    <w:p>
      <w:pPr>
        <w:pStyle w:val="BodyText"/>
        <w:spacing w:before="1"/>
        <w:ind w:left="720"/>
        <w:rPr>
          <w:rFonts w:ascii="Times New Roman" w:eastAsia="Times New Roman"/>
        </w:rPr>
      </w:pPr>
      <w:r>
        <w:rPr/>
        <w:t>网址：</w:t>
      </w:r>
      <w:hyperlink r:id="rId40">
        <w:r>
          <w:rPr>
            <w:rFonts w:ascii="Times New Roman" w:eastAsia="Times New Roman"/>
          </w:rPr>
          <w:t>www.bankofdl.com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400-664-0099</w:t>
      </w:r>
    </w:p>
    <w:p>
      <w:pPr>
        <w:pStyle w:val="BodyText"/>
        <w:spacing w:before="2"/>
        <w:rPr>
          <w:rFonts w:ascii="Times New Roman"/>
          <w:sz w:val="18"/>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重庆银行股份有限公司</w:t>
      </w:r>
    </w:p>
    <w:p>
      <w:pPr>
        <w:pStyle w:val="BodyText"/>
        <w:spacing w:before="1"/>
        <w:rPr>
          <w:sz w:val="16"/>
        </w:rPr>
      </w:pPr>
    </w:p>
    <w:p>
      <w:pPr>
        <w:pStyle w:val="BodyText"/>
        <w:ind w:left="720"/>
      </w:pPr>
      <w:r>
        <w:rPr/>
        <w:t>住所：重庆市江北区永平门街 </w:t>
      </w:r>
      <w:r>
        <w:rPr>
          <w:rFonts w:ascii="Times New Roman" w:eastAsia="Times New Roman"/>
        </w:rPr>
        <w:t>6 </w:t>
      </w:r>
      <w:r>
        <w:rPr/>
        <w:t>号</w:t>
      </w:r>
    </w:p>
    <w:p>
      <w:pPr>
        <w:pStyle w:val="BodyText"/>
        <w:spacing w:before="2"/>
        <w:rPr>
          <w:sz w:val="16"/>
        </w:rPr>
      </w:pPr>
    </w:p>
    <w:p>
      <w:pPr>
        <w:pStyle w:val="BodyText"/>
        <w:spacing w:line="424" w:lineRule="auto"/>
        <w:ind w:left="720" w:right="5128"/>
      </w:pPr>
      <w:r>
        <w:rPr/>
        <w:t>办公地址：重庆市江北区永平门街 </w:t>
      </w:r>
      <w:r>
        <w:rPr>
          <w:rFonts w:ascii="Times New Roman" w:eastAsia="Times New Roman"/>
        </w:rPr>
        <w:t>6 </w:t>
      </w:r>
      <w:r>
        <w:rPr/>
        <w:t>号法定代表人：林军</w:t>
      </w:r>
    </w:p>
    <w:p>
      <w:pPr>
        <w:pStyle w:val="BodyText"/>
        <w:spacing w:line="424" w:lineRule="auto"/>
        <w:ind w:left="720" w:right="6906"/>
        <w:rPr>
          <w:rFonts w:ascii="Times New Roman" w:eastAsia="Times New Roman"/>
        </w:rPr>
      </w:pPr>
      <w:r>
        <w:rPr/>
        <w:t>电话：</w:t>
      </w:r>
      <w:r>
        <w:rPr>
          <w:rFonts w:ascii="Times New Roman" w:eastAsia="Times New Roman"/>
        </w:rPr>
        <w:t>023-63367470 </w:t>
      </w:r>
      <w:r>
        <w:rPr/>
        <w:t>传真：</w:t>
      </w:r>
      <w:r>
        <w:rPr>
          <w:rFonts w:ascii="Times New Roman" w:eastAsia="Times New Roman"/>
        </w:rPr>
        <w:t>023-63367205</w:t>
      </w:r>
    </w:p>
    <w:p>
      <w:pPr>
        <w:pStyle w:val="BodyText"/>
        <w:spacing w:line="267" w:lineRule="exact"/>
        <w:ind w:left="720"/>
      </w:pPr>
      <w:r>
        <w:rPr/>
        <w:t>联系人：张鹏</w:t>
      </w:r>
    </w:p>
    <w:p>
      <w:pPr>
        <w:pStyle w:val="BodyText"/>
        <w:spacing w:before="11"/>
        <w:rPr>
          <w:sz w:val="15"/>
        </w:rPr>
      </w:pPr>
    </w:p>
    <w:p>
      <w:pPr>
        <w:pStyle w:val="BodyText"/>
        <w:spacing w:line="427" w:lineRule="auto" w:before="1"/>
        <w:ind w:left="720" w:right="6480"/>
        <w:rPr>
          <w:rFonts w:ascii="Times New Roman" w:eastAsia="Times New Roman"/>
        </w:rPr>
      </w:pPr>
      <w:r>
        <w:rPr/>
        <w:t>网址：</w:t>
      </w:r>
      <w:hyperlink r:id="rId41">
        <w:r>
          <w:rPr>
            <w:rFonts w:ascii="Times New Roman" w:eastAsia="Times New Roman"/>
          </w:rPr>
          <w:t>www.cqcbank.com </w:t>
        </w:r>
      </w:hyperlink>
      <w:r>
        <w:rPr/>
        <w:t>客户服务电话：</w:t>
      </w:r>
      <w:r>
        <w:rPr>
          <w:rFonts w:ascii="Times New Roman" w:eastAsia="Times New Roman"/>
        </w:rPr>
        <w:t>96899</w:t>
      </w:r>
    </w:p>
    <w:p>
      <w:pPr>
        <w:pStyle w:val="ListParagraph"/>
        <w:numPr>
          <w:ilvl w:val="0"/>
          <w:numId w:val="10"/>
        </w:numPr>
        <w:tabs>
          <w:tab w:pos="1355" w:val="left" w:leader="none"/>
        </w:tabs>
        <w:spacing w:line="424" w:lineRule="auto" w:before="0" w:after="0"/>
        <w:ind w:left="720" w:right="4978" w:firstLine="0"/>
        <w:jc w:val="left"/>
        <w:rPr>
          <w:sz w:val="21"/>
        </w:rPr>
      </w:pPr>
      <w:r>
        <w:rPr>
          <w:spacing w:val="-3"/>
          <w:sz w:val="21"/>
        </w:rPr>
        <w:t>东莞农村商业银行股份有限公司 </w:t>
      </w:r>
      <w:r>
        <w:rPr>
          <w:spacing w:val="-6"/>
          <w:sz w:val="21"/>
        </w:rPr>
        <w:t>住所：广东省东莞市东城区鸿福东路 </w:t>
      </w:r>
      <w:r>
        <w:rPr>
          <w:rFonts w:ascii="Times New Roman" w:eastAsia="Times New Roman"/>
          <w:sz w:val="21"/>
        </w:rPr>
        <w:t>2</w:t>
      </w:r>
      <w:r>
        <w:rPr>
          <w:rFonts w:ascii="Times New Roman" w:eastAsia="Times New Roman"/>
          <w:spacing w:val="9"/>
          <w:sz w:val="21"/>
        </w:rPr>
        <w:t> </w:t>
      </w:r>
      <w:r>
        <w:rPr>
          <w:spacing w:val="-12"/>
          <w:sz w:val="21"/>
        </w:rPr>
        <w:t>号</w:t>
      </w:r>
    </w:p>
    <w:p>
      <w:pPr>
        <w:pStyle w:val="BodyText"/>
        <w:spacing w:line="424" w:lineRule="auto"/>
        <w:ind w:left="720" w:right="4497"/>
      </w:pPr>
      <w:r>
        <w:rPr/>
        <w:t>办公地址：广东省东莞市东城区鸿福东路 </w:t>
      </w:r>
      <w:r>
        <w:rPr>
          <w:rFonts w:ascii="Times New Roman" w:eastAsia="Times New Roman"/>
        </w:rPr>
        <w:t>2 </w:t>
      </w:r>
      <w:r>
        <w:rPr/>
        <w:t>号法定代表人：王耀球</w:t>
      </w:r>
    </w:p>
    <w:p>
      <w:pPr>
        <w:pStyle w:val="BodyText"/>
        <w:spacing w:line="424" w:lineRule="auto"/>
        <w:ind w:left="720" w:right="5434"/>
        <w:rPr>
          <w:rFonts w:ascii="Times New Roman" w:eastAsia="Times New Roman"/>
        </w:rPr>
      </w:pPr>
      <w:r>
        <w:rPr/>
        <w:t>电话：</w:t>
      </w:r>
      <w:r>
        <w:rPr>
          <w:rFonts w:ascii="Times New Roman" w:eastAsia="Times New Roman"/>
        </w:rPr>
        <w:t>0769-22866254</w:t>
      </w:r>
      <w:r>
        <w:rPr/>
        <w:t>、</w:t>
      </w:r>
      <w:r>
        <w:rPr>
          <w:rFonts w:ascii="Times New Roman" w:eastAsia="Times New Roman"/>
        </w:rPr>
        <w:t>15625596450 </w:t>
      </w:r>
      <w:r>
        <w:rPr/>
        <w:t>传真：</w:t>
      </w:r>
      <w:r>
        <w:rPr>
          <w:rFonts w:ascii="Times New Roman" w:eastAsia="Times New Roman"/>
        </w:rPr>
        <w:t>0769-22866282</w:t>
      </w:r>
    </w:p>
    <w:p>
      <w:pPr>
        <w:pStyle w:val="BodyText"/>
        <w:spacing w:line="267" w:lineRule="exact"/>
        <w:ind w:left="720"/>
      </w:pPr>
      <w:r>
        <w:rPr/>
        <w:t>联系人：刘托福</w:t>
      </w:r>
    </w:p>
    <w:p>
      <w:pPr>
        <w:pStyle w:val="BodyText"/>
        <w:spacing w:before="8"/>
        <w:rPr>
          <w:sz w:val="15"/>
        </w:rPr>
      </w:pPr>
    </w:p>
    <w:p>
      <w:pPr>
        <w:pStyle w:val="BodyText"/>
        <w:ind w:left="720"/>
        <w:rPr>
          <w:rFonts w:ascii="Times New Roman" w:eastAsia="Times New Roman"/>
        </w:rPr>
      </w:pPr>
      <w:r>
        <w:rPr/>
        <w:t>网址：</w:t>
      </w:r>
      <w:hyperlink r:id="rId42">
        <w:r>
          <w:rPr>
            <w:rFonts w:ascii="Times New Roman" w:eastAsia="Times New Roman"/>
          </w:rPr>
          <w:t>www.drcbank.com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0769-961122</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河北银行股份有限公司</w:t>
      </w:r>
    </w:p>
    <w:p>
      <w:pPr>
        <w:pStyle w:val="BodyText"/>
        <w:spacing w:before="1"/>
        <w:rPr>
          <w:sz w:val="16"/>
        </w:rPr>
      </w:pPr>
    </w:p>
    <w:p>
      <w:pPr>
        <w:pStyle w:val="BodyText"/>
        <w:ind w:left="720"/>
      </w:pPr>
      <w:r>
        <w:rPr/>
        <w:t>住所：河北省石家庄市平安北大街 </w:t>
      </w:r>
      <w:r>
        <w:rPr>
          <w:rFonts w:ascii="Times New Roman" w:eastAsia="Times New Roman"/>
        </w:rPr>
        <w:t>28 </w:t>
      </w:r>
      <w:r>
        <w:rPr/>
        <w:t>号</w:t>
      </w:r>
    </w:p>
    <w:p>
      <w:pPr>
        <w:pStyle w:val="BodyText"/>
        <w:spacing w:before="1"/>
        <w:rPr>
          <w:sz w:val="16"/>
        </w:rPr>
      </w:pPr>
    </w:p>
    <w:p>
      <w:pPr>
        <w:pStyle w:val="BodyText"/>
        <w:spacing w:line="424" w:lineRule="auto"/>
        <w:ind w:left="720" w:right="4603"/>
      </w:pPr>
      <w:r>
        <w:rPr/>
        <w:t>办公地址：河北省石家庄市平安北大街 </w:t>
      </w:r>
      <w:r>
        <w:rPr>
          <w:rFonts w:ascii="Times New Roman" w:eastAsia="Times New Roman"/>
        </w:rPr>
        <w:t>28 </w:t>
      </w:r>
      <w:r>
        <w:rPr/>
        <w:t>号法定代表人：乔志强</w:t>
      </w:r>
    </w:p>
    <w:p>
      <w:pPr>
        <w:pStyle w:val="BodyText"/>
        <w:spacing w:line="424" w:lineRule="auto"/>
        <w:ind w:left="720" w:right="6810"/>
        <w:rPr>
          <w:rFonts w:ascii="Times New Roman" w:eastAsia="Times New Roman"/>
        </w:rPr>
      </w:pPr>
      <w:r>
        <w:rPr/>
        <w:t>电话：</w:t>
      </w:r>
      <w:r>
        <w:rPr>
          <w:rFonts w:ascii="Times New Roman" w:eastAsia="Times New Roman"/>
        </w:rPr>
        <w:t>0311-88627522 </w:t>
      </w:r>
      <w:r>
        <w:rPr/>
        <w:t>传真：</w:t>
      </w:r>
      <w:r>
        <w:rPr>
          <w:rFonts w:ascii="Times New Roman" w:eastAsia="Times New Roman"/>
        </w:rPr>
        <w:t>0311-88627027</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pPr>
      <w:r>
        <w:rPr/>
        <w:t>联系人：王栋</w:t>
      </w:r>
    </w:p>
    <w:p>
      <w:pPr>
        <w:pStyle w:val="BodyText"/>
        <w:rPr>
          <w:sz w:val="16"/>
        </w:rPr>
      </w:pPr>
    </w:p>
    <w:p>
      <w:pPr>
        <w:pStyle w:val="BodyText"/>
        <w:spacing w:before="1"/>
        <w:ind w:left="720"/>
        <w:rPr>
          <w:rFonts w:ascii="Times New Roman" w:eastAsia="Times New Roman"/>
        </w:rPr>
      </w:pPr>
      <w:r>
        <w:rPr/>
        <w:t>网址：</w:t>
      </w:r>
      <w:hyperlink r:id="rId43">
        <w:r>
          <w:rPr>
            <w:rFonts w:ascii="Times New Roman" w:eastAsia="Times New Roman"/>
          </w:rPr>
          <w:t>www.hebbank.com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400-612-9999</w:t>
      </w:r>
    </w:p>
    <w:p>
      <w:pPr>
        <w:pStyle w:val="BodyText"/>
        <w:spacing w:before="11"/>
        <w:rPr>
          <w:rFonts w:ascii="Times New Roman"/>
          <w:sz w:val="17"/>
        </w:rPr>
      </w:pPr>
    </w:p>
    <w:p>
      <w:pPr>
        <w:pStyle w:val="ListParagraph"/>
        <w:numPr>
          <w:ilvl w:val="0"/>
          <w:numId w:val="10"/>
        </w:numPr>
        <w:tabs>
          <w:tab w:pos="1355" w:val="left" w:leader="none"/>
        </w:tabs>
        <w:spacing w:line="424" w:lineRule="auto" w:before="0" w:after="0"/>
        <w:ind w:left="720" w:right="4664" w:firstLine="0"/>
        <w:jc w:val="left"/>
        <w:rPr>
          <w:sz w:val="21"/>
        </w:rPr>
      </w:pPr>
      <w:r>
        <w:rPr>
          <w:spacing w:val="-3"/>
          <w:sz w:val="21"/>
        </w:rPr>
        <w:t>江苏苏州农村商业银行股份有限公司</w:t>
      </w:r>
      <w:r>
        <w:rPr>
          <w:spacing w:val="-6"/>
          <w:sz w:val="21"/>
        </w:rPr>
        <w:t>住所：江苏省苏州市吴江区中山南路 </w:t>
      </w:r>
      <w:r>
        <w:rPr>
          <w:rFonts w:ascii="Times New Roman" w:eastAsia="Times New Roman"/>
          <w:sz w:val="21"/>
        </w:rPr>
        <w:t>1777</w:t>
      </w:r>
      <w:r>
        <w:rPr>
          <w:rFonts w:ascii="Times New Roman" w:eastAsia="Times New Roman"/>
          <w:spacing w:val="8"/>
          <w:sz w:val="21"/>
        </w:rPr>
        <w:t> </w:t>
      </w:r>
      <w:r>
        <w:rPr>
          <w:spacing w:val="-11"/>
          <w:sz w:val="21"/>
        </w:rPr>
        <w:t>号</w:t>
      </w:r>
    </w:p>
    <w:p>
      <w:pPr>
        <w:pStyle w:val="BodyText"/>
        <w:spacing w:line="424" w:lineRule="auto"/>
        <w:ind w:left="720" w:right="4182"/>
      </w:pPr>
      <w:r>
        <w:rPr/>
        <w:t>办公地址：江苏省苏州市吴江区中山南路 </w:t>
      </w:r>
      <w:r>
        <w:rPr>
          <w:rFonts w:ascii="Times New Roman" w:eastAsia="Times New Roman"/>
        </w:rPr>
        <w:t>1777 </w:t>
      </w:r>
      <w:r>
        <w:rPr/>
        <w:t>号法定代表人：魏礼亚</w:t>
      </w:r>
    </w:p>
    <w:p>
      <w:pPr>
        <w:pStyle w:val="BodyText"/>
        <w:spacing w:line="424" w:lineRule="auto"/>
        <w:ind w:left="720" w:right="6800"/>
        <w:rPr>
          <w:rFonts w:ascii="Times New Roman" w:eastAsia="Times New Roman"/>
        </w:rPr>
      </w:pPr>
      <w:r>
        <w:rPr/>
        <w:t>电话：</w:t>
      </w:r>
      <w:r>
        <w:rPr>
          <w:rFonts w:ascii="Times New Roman" w:eastAsia="Times New Roman"/>
        </w:rPr>
        <w:t>0512-63969209 </w:t>
      </w:r>
      <w:r>
        <w:rPr/>
        <w:t>传真：</w:t>
      </w:r>
      <w:r>
        <w:rPr>
          <w:rFonts w:ascii="Times New Roman" w:eastAsia="Times New Roman"/>
        </w:rPr>
        <w:t>0512-63969209</w:t>
      </w:r>
    </w:p>
    <w:p>
      <w:pPr>
        <w:pStyle w:val="BodyText"/>
        <w:spacing w:line="267" w:lineRule="exact"/>
        <w:ind w:left="720"/>
      </w:pPr>
      <w:r>
        <w:rPr/>
        <w:t>联系人：葛晓亮</w:t>
      </w:r>
    </w:p>
    <w:p>
      <w:pPr>
        <w:pStyle w:val="BodyText"/>
        <w:rPr>
          <w:sz w:val="16"/>
        </w:rPr>
      </w:pPr>
    </w:p>
    <w:p>
      <w:pPr>
        <w:pStyle w:val="BodyText"/>
        <w:ind w:left="720"/>
        <w:rPr>
          <w:rFonts w:ascii="Times New Roman" w:eastAsia="Times New Roman"/>
        </w:rPr>
      </w:pPr>
      <w:r>
        <w:rPr/>
        <w:t>网址：</w:t>
      </w:r>
      <w:hyperlink r:id="rId44">
        <w:r>
          <w:rPr>
            <w:rFonts w:ascii="Times New Roman" w:eastAsia="Times New Roman"/>
          </w:rPr>
          <w:t>http://www.szrcb.com</w:t>
        </w:r>
      </w:hyperlink>
    </w:p>
    <w:p>
      <w:pPr>
        <w:pStyle w:val="BodyText"/>
        <w:spacing w:before="10"/>
        <w:rPr>
          <w:rFonts w:ascii="Times New Roman"/>
          <w:sz w:val="17"/>
        </w:rPr>
      </w:pPr>
    </w:p>
    <w:p>
      <w:pPr>
        <w:pStyle w:val="BodyText"/>
        <w:spacing w:before="1"/>
        <w:ind w:left="720"/>
      </w:pPr>
      <w:r>
        <w:rPr>
          <w:spacing w:val="-2"/>
        </w:rPr>
        <w:t>客户服务电话：</w:t>
      </w:r>
      <w:r>
        <w:rPr>
          <w:rFonts w:ascii="Times New Roman" w:eastAsia="Times New Roman"/>
        </w:rPr>
        <w:t>96068</w:t>
      </w:r>
      <w:r>
        <w:rPr/>
        <w:t>（</w:t>
      </w:r>
      <w:r>
        <w:rPr>
          <w:spacing w:val="-3"/>
        </w:rPr>
        <w:t>江苏省内</w:t>
      </w:r>
      <w:r>
        <w:rPr>
          <w:spacing w:val="-106"/>
        </w:rPr>
        <w:t>）</w:t>
      </w:r>
      <w:r>
        <w:rPr/>
        <w:t>、</w:t>
      </w:r>
      <w:r>
        <w:rPr>
          <w:rFonts w:ascii="Times New Roman" w:eastAsia="Times New Roman"/>
        </w:rPr>
        <w:t>4008696068</w:t>
      </w:r>
      <w:r>
        <w:rPr/>
        <w:t>（</w:t>
      </w:r>
      <w:r>
        <w:rPr>
          <w:spacing w:val="-3"/>
        </w:rPr>
        <w:t>江苏省外</w:t>
      </w:r>
      <w:r>
        <w:rPr/>
        <w:t>）</w:t>
      </w:r>
    </w:p>
    <w:p>
      <w:pPr>
        <w:pStyle w:val="BodyText"/>
        <w:spacing w:before="1"/>
        <w:rPr>
          <w:sz w:val="16"/>
        </w:rPr>
      </w:pPr>
    </w:p>
    <w:p>
      <w:pPr>
        <w:pStyle w:val="ListParagraph"/>
        <w:numPr>
          <w:ilvl w:val="0"/>
          <w:numId w:val="10"/>
        </w:numPr>
        <w:tabs>
          <w:tab w:pos="1355" w:val="left" w:leader="none"/>
        </w:tabs>
        <w:spacing w:line="427" w:lineRule="auto" w:before="0" w:after="0"/>
        <w:ind w:left="720" w:right="5715" w:firstLine="0"/>
        <w:jc w:val="left"/>
        <w:rPr>
          <w:sz w:val="21"/>
        </w:rPr>
      </w:pPr>
      <w:r>
        <w:rPr>
          <w:spacing w:val="-3"/>
          <w:sz w:val="21"/>
        </w:rPr>
        <w:t>西安银行股份有限公司  </w:t>
      </w:r>
      <w:r>
        <w:rPr>
          <w:spacing w:val="-7"/>
          <w:sz w:val="21"/>
        </w:rPr>
        <w:t>住所：陕西省西安市高新路 </w:t>
      </w:r>
      <w:r>
        <w:rPr>
          <w:rFonts w:ascii="Times New Roman" w:eastAsia="Times New Roman"/>
          <w:sz w:val="21"/>
        </w:rPr>
        <w:t>60</w:t>
      </w:r>
      <w:r>
        <w:rPr>
          <w:rFonts w:ascii="Times New Roman" w:eastAsia="Times New Roman"/>
          <w:spacing w:val="3"/>
          <w:sz w:val="21"/>
        </w:rPr>
        <w:t> </w:t>
      </w:r>
      <w:r>
        <w:rPr>
          <w:spacing w:val="-13"/>
          <w:sz w:val="21"/>
        </w:rPr>
        <w:t>号</w:t>
      </w:r>
    </w:p>
    <w:p>
      <w:pPr>
        <w:pStyle w:val="BodyText"/>
        <w:spacing w:line="424" w:lineRule="auto"/>
        <w:ind w:left="720" w:right="5233"/>
      </w:pPr>
      <w:r>
        <w:rPr/>
        <w:t>办公地址：陕西省西安市高新路 </w:t>
      </w:r>
      <w:r>
        <w:rPr>
          <w:rFonts w:ascii="Times New Roman" w:eastAsia="Times New Roman"/>
        </w:rPr>
        <w:t>60 </w:t>
      </w:r>
      <w:r>
        <w:rPr/>
        <w:t>号法定代表人：郭军</w:t>
      </w:r>
    </w:p>
    <w:p>
      <w:pPr>
        <w:pStyle w:val="BodyText"/>
        <w:spacing w:line="424" w:lineRule="auto"/>
        <w:ind w:left="720" w:right="690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7" w:lineRule="exact"/>
        <w:ind w:left="720"/>
      </w:pPr>
      <w:r>
        <w:rPr/>
        <w:t>联系人：白智</w:t>
      </w:r>
    </w:p>
    <w:p>
      <w:pPr>
        <w:pStyle w:val="BodyText"/>
        <w:spacing w:before="7"/>
        <w:rPr>
          <w:sz w:val="15"/>
        </w:rPr>
      </w:pPr>
    </w:p>
    <w:p>
      <w:pPr>
        <w:pStyle w:val="BodyText"/>
        <w:ind w:left="720"/>
        <w:rPr>
          <w:rFonts w:ascii="Times New Roman" w:eastAsia="Times New Roman"/>
        </w:rPr>
      </w:pPr>
      <w:r>
        <w:rPr/>
        <w:t>网址：</w:t>
      </w:r>
      <w:hyperlink r:id="rId45">
        <w:r>
          <w:rPr>
            <w:rFonts w:ascii="Times New Roman" w:eastAsia="Times New Roman"/>
          </w:rPr>
          <w:t>www.xacbank.com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400-869-6779</w:t>
      </w:r>
    </w:p>
    <w:p>
      <w:pPr>
        <w:pStyle w:val="BodyText"/>
        <w:spacing w:before="2"/>
        <w:rPr>
          <w:rFonts w:ascii="Times New Roman"/>
          <w:sz w:val="18"/>
        </w:rPr>
      </w:pPr>
    </w:p>
    <w:p>
      <w:pPr>
        <w:pStyle w:val="ListParagraph"/>
        <w:numPr>
          <w:ilvl w:val="0"/>
          <w:numId w:val="10"/>
        </w:numPr>
        <w:tabs>
          <w:tab w:pos="1355" w:val="left" w:leader="none"/>
        </w:tabs>
        <w:spacing w:line="424" w:lineRule="auto" w:before="0" w:after="0"/>
        <w:ind w:left="720" w:right="4769" w:firstLine="0"/>
        <w:jc w:val="left"/>
        <w:rPr>
          <w:sz w:val="21"/>
        </w:rPr>
      </w:pPr>
      <w:r>
        <w:rPr>
          <w:spacing w:val="-4"/>
          <w:sz w:val="21"/>
        </w:rPr>
        <w:t>江苏江南农村商业银行股份有限公司</w:t>
      </w:r>
      <w:r>
        <w:rPr>
          <w:spacing w:val="-7"/>
          <w:sz w:val="21"/>
        </w:rPr>
        <w:t>住所：江苏省常州市和平中路 </w:t>
      </w:r>
      <w:r>
        <w:rPr>
          <w:rFonts w:ascii="Times New Roman" w:eastAsia="Times New Roman"/>
          <w:sz w:val="21"/>
        </w:rPr>
        <w:t>413</w:t>
      </w:r>
      <w:r>
        <w:rPr>
          <w:rFonts w:ascii="Times New Roman" w:eastAsia="Times New Roman"/>
          <w:spacing w:val="1"/>
          <w:sz w:val="21"/>
        </w:rPr>
        <w:t> </w:t>
      </w:r>
      <w:r>
        <w:rPr>
          <w:sz w:val="21"/>
        </w:rPr>
        <w:t>号</w:t>
      </w:r>
    </w:p>
    <w:p>
      <w:pPr>
        <w:pStyle w:val="BodyText"/>
        <w:spacing w:line="424" w:lineRule="auto"/>
        <w:ind w:left="720" w:right="4917"/>
      </w:pPr>
      <w:r>
        <w:rPr/>
        <w:t>办公地址：江苏省常州市和平中路 </w:t>
      </w:r>
      <w:r>
        <w:rPr>
          <w:rFonts w:ascii="Times New Roman" w:eastAsia="Times New Roman"/>
        </w:rPr>
        <w:t>413 </w:t>
      </w:r>
      <w:r>
        <w:rPr/>
        <w:t>号法定代表人：陆向阳</w:t>
      </w:r>
    </w:p>
    <w:p>
      <w:pPr>
        <w:pStyle w:val="BodyText"/>
        <w:spacing w:line="424" w:lineRule="auto"/>
        <w:ind w:left="720" w:right="6800"/>
        <w:rPr>
          <w:rFonts w:ascii="Times New Roman" w:eastAsia="Times New Roman"/>
        </w:rPr>
      </w:pPr>
      <w:r>
        <w:rPr/>
        <w:t>电话：</w:t>
      </w:r>
      <w:r>
        <w:rPr>
          <w:rFonts w:ascii="Times New Roman" w:eastAsia="Times New Roman"/>
        </w:rPr>
        <w:t>0519-80585939 </w:t>
      </w:r>
      <w:r>
        <w:rPr/>
        <w:t>传真：</w:t>
      </w:r>
      <w:r>
        <w:rPr>
          <w:rFonts w:ascii="Times New Roman" w:eastAsia="Times New Roman"/>
        </w:rPr>
        <w:t>0519-89995170</w:t>
      </w:r>
    </w:p>
    <w:p>
      <w:pPr>
        <w:pStyle w:val="BodyText"/>
        <w:spacing w:line="267" w:lineRule="exact"/>
        <w:ind w:left="720"/>
      </w:pPr>
      <w:r>
        <w:rPr/>
        <w:t>联系人：蒋娇</w:t>
      </w:r>
    </w:p>
    <w:p>
      <w:pPr>
        <w:pStyle w:val="BodyText"/>
        <w:spacing w:before="10"/>
        <w:rPr>
          <w:sz w:val="15"/>
        </w:rPr>
      </w:pPr>
    </w:p>
    <w:p>
      <w:pPr>
        <w:pStyle w:val="BodyText"/>
        <w:ind w:left="720"/>
        <w:rPr>
          <w:rFonts w:ascii="Times New Roman" w:eastAsia="Times New Roman"/>
        </w:rPr>
      </w:pPr>
      <w:r>
        <w:rPr/>
        <w:t>网址：</w:t>
      </w:r>
      <w:hyperlink r:id="rId46">
        <w:r>
          <w:rPr>
            <w:rFonts w:ascii="Times New Roman" w:eastAsia="Times New Roman"/>
          </w:rPr>
          <w:t>www.jnbank.com.cn</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0519-96005</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包商银行股份有限公司</w:t>
      </w:r>
    </w:p>
    <w:p>
      <w:pPr>
        <w:pStyle w:val="BodyText"/>
        <w:spacing w:before="1"/>
        <w:rPr>
          <w:sz w:val="16"/>
        </w:rPr>
      </w:pPr>
    </w:p>
    <w:p>
      <w:pPr>
        <w:pStyle w:val="BodyText"/>
        <w:ind w:left="720"/>
      </w:pPr>
      <w:r>
        <w:rPr/>
        <w:t>住所：内蒙古包头市青山区钢铁大街 </w:t>
      </w:r>
      <w:r>
        <w:rPr>
          <w:rFonts w:ascii="Times New Roman" w:eastAsia="Times New Roman"/>
        </w:rPr>
        <w:t>6 </w:t>
      </w:r>
      <w:r>
        <w:rPr/>
        <w:t>号</w:t>
      </w:r>
    </w:p>
    <w:p>
      <w:pPr>
        <w:pStyle w:val="BodyText"/>
        <w:spacing w:before="1"/>
        <w:rPr>
          <w:sz w:val="16"/>
        </w:rPr>
      </w:pPr>
    </w:p>
    <w:p>
      <w:pPr>
        <w:pStyle w:val="BodyText"/>
        <w:spacing w:line="424" w:lineRule="auto"/>
        <w:ind w:left="720" w:right="4497"/>
      </w:pPr>
      <w:r>
        <w:rPr/>
        <w:t>办公地址：内蒙古包头市青山区钢铁大街 </w:t>
      </w:r>
      <w:r>
        <w:rPr>
          <w:rFonts w:ascii="Times New Roman" w:eastAsia="Times New Roman"/>
        </w:rPr>
        <w:t>6 </w:t>
      </w:r>
      <w:r>
        <w:rPr/>
        <w:t>号法定代表人：李镇西</w:t>
      </w:r>
    </w:p>
    <w:p>
      <w:pPr>
        <w:pStyle w:val="BodyText"/>
        <w:spacing w:line="424" w:lineRule="auto" w:before="1"/>
        <w:ind w:left="720" w:right="6906"/>
        <w:rPr>
          <w:rFonts w:ascii="Times New Roman" w:eastAsia="Times New Roman"/>
        </w:rPr>
      </w:pPr>
      <w:r>
        <w:rPr/>
        <w:t>电话：</w:t>
      </w:r>
      <w:r>
        <w:rPr>
          <w:rFonts w:ascii="Times New Roman" w:eastAsia="Times New Roman"/>
        </w:rPr>
        <w:t>0472-5189051 </w:t>
      </w:r>
      <w:r>
        <w:rPr/>
        <w:t>传真：</w:t>
      </w:r>
      <w:r>
        <w:rPr>
          <w:rFonts w:ascii="Times New Roman" w:eastAsia="Times New Roman"/>
        </w:rPr>
        <w:t>0472-5189057</w:t>
      </w:r>
    </w:p>
    <w:p>
      <w:pPr>
        <w:pStyle w:val="BodyText"/>
        <w:spacing w:line="268" w:lineRule="exact"/>
        <w:ind w:left="720"/>
      </w:pPr>
      <w:r>
        <w:rPr/>
        <w:t>联系人：刘芳</w:t>
      </w:r>
    </w:p>
    <w:p>
      <w:pPr>
        <w:pStyle w:val="BodyText"/>
        <w:spacing w:before="1"/>
        <w:rPr>
          <w:sz w:val="16"/>
        </w:rPr>
      </w:pPr>
    </w:p>
    <w:p>
      <w:pPr>
        <w:pStyle w:val="BodyText"/>
        <w:ind w:left="720"/>
        <w:rPr>
          <w:rFonts w:ascii="Times New Roman" w:eastAsia="Times New Roman"/>
        </w:rPr>
      </w:pPr>
      <w:r>
        <w:rPr/>
        <w:t>网址：</w:t>
      </w:r>
      <w:hyperlink r:id="rId47">
        <w:r>
          <w:rPr>
            <w:rFonts w:ascii="Times New Roman" w:eastAsia="Times New Roman"/>
          </w:rPr>
          <w:t>www.bsb.com.cn</w:t>
        </w:r>
      </w:hyperlink>
    </w:p>
    <w:p>
      <w:pPr>
        <w:pStyle w:val="BodyText"/>
        <w:spacing w:before="10"/>
        <w:rPr>
          <w:rFonts w:ascii="Times New Roman"/>
          <w:sz w:val="17"/>
        </w:rPr>
      </w:pPr>
    </w:p>
    <w:p>
      <w:pPr>
        <w:pStyle w:val="BodyText"/>
        <w:spacing w:before="1"/>
        <w:ind w:left="720"/>
      </w:pPr>
      <w:r>
        <w:rPr>
          <w:spacing w:val="-3"/>
        </w:rPr>
        <w:t>客户服务电话：</w:t>
      </w:r>
      <w:r>
        <w:rPr>
          <w:rFonts w:ascii="Times New Roman" w:eastAsia="Times New Roman"/>
          <w:spacing w:val="-8"/>
        </w:rPr>
        <w:t>96016</w:t>
      </w:r>
      <w:r>
        <w:rPr>
          <w:spacing w:val="-8"/>
        </w:rPr>
        <w:t>（</w:t>
      </w:r>
      <w:r>
        <w:rPr>
          <w:spacing w:val="-6"/>
        </w:rPr>
        <w:t>内蒙古、北京</w:t>
      </w:r>
      <w:r>
        <w:rPr>
          <w:spacing w:val="-106"/>
        </w:rPr>
        <w:t>）</w:t>
      </w:r>
      <w:r>
        <w:rPr>
          <w:spacing w:val="-25"/>
        </w:rPr>
        <w:t>、</w:t>
      </w:r>
      <w:r>
        <w:rPr>
          <w:rFonts w:ascii="Times New Roman" w:eastAsia="Times New Roman"/>
          <w:spacing w:val="-4"/>
        </w:rPr>
        <w:t>967210</w:t>
      </w:r>
      <w:r>
        <w:rPr>
          <w:spacing w:val="-4"/>
        </w:rPr>
        <w:t>（</w:t>
      </w:r>
      <w:r>
        <w:rPr>
          <w:spacing w:val="-7"/>
        </w:rPr>
        <w:t>宁波、深圳</w:t>
      </w:r>
      <w:r>
        <w:rPr>
          <w:spacing w:val="-106"/>
        </w:rPr>
        <w:t>）</w:t>
      </w:r>
      <w:r>
        <w:rPr>
          <w:spacing w:val="-22"/>
        </w:rPr>
        <w:t>、</w:t>
      </w:r>
      <w:r>
        <w:rPr>
          <w:rFonts w:ascii="Times New Roman" w:eastAsia="Times New Roman"/>
          <w:spacing w:val="-3"/>
        </w:rPr>
        <w:t>028-65558555</w:t>
      </w:r>
      <w:r>
        <w:rPr>
          <w:spacing w:val="-3"/>
        </w:rPr>
        <w:t>（</w:t>
      </w:r>
      <w:r>
        <w:rPr>
          <w:spacing w:val="-2"/>
        </w:rPr>
        <w:t>成都</w:t>
      </w:r>
      <w:r>
        <w:rPr/>
        <w:t>）</w:t>
      </w:r>
    </w:p>
    <w:p>
      <w:pPr>
        <w:pStyle w:val="BodyText"/>
        <w:rPr>
          <w:sz w:val="16"/>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长沙银行股份有限公司</w:t>
      </w:r>
    </w:p>
    <w:p>
      <w:pPr>
        <w:pStyle w:val="BodyText"/>
        <w:spacing w:before="1"/>
        <w:rPr>
          <w:sz w:val="16"/>
        </w:rPr>
      </w:pPr>
    </w:p>
    <w:p>
      <w:pPr>
        <w:pStyle w:val="BodyText"/>
        <w:ind w:left="720"/>
      </w:pPr>
      <w:r>
        <w:rPr/>
        <w:t>住所：长沙市岳麓区滨江路 </w:t>
      </w:r>
      <w:r>
        <w:rPr>
          <w:rFonts w:ascii="Times New Roman" w:eastAsia="Times New Roman"/>
        </w:rPr>
        <w:t>53 </w:t>
      </w:r>
      <w:r>
        <w:rPr/>
        <w:t>号楷林商务中心</w:t>
      </w:r>
      <w:r>
        <w:rPr>
          <w:rFonts w:ascii="Times New Roman" w:eastAsia="Times New Roman"/>
        </w:rPr>
        <w:t>B </w:t>
      </w:r>
      <w:r>
        <w:rPr/>
        <w:t>座</w:t>
      </w:r>
    </w:p>
    <w:p>
      <w:pPr>
        <w:pStyle w:val="BodyText"/>
        <w:spacing w:before="1"/>
        <w:rPr>
          <w:sz w:val="16"/>
        </w:rPr>
      </w:pPr>
    </w:p>
    <w:p>
      <w:pPr>
        <w:pStyle w:val="BodyText"/>
        <w:spacing w:line="427" w:lineRule="auto"/>
        <w:ind w:left="720" w:right="3579"/>
      </w:pPr>
      <w:r>
        <w:rPr>
          <w:spacing w:val="-6"/>
        </w:rPr>
        <w:t>办公地址：长沙市岳麓区滨江路 </w:t>
      </w:r>
      <w:r>
        <w:rPr>
          <w:rFonts w:ascii="Times New Roman" w:eastAsia="Times New Roman"/>
        </w:rPr>
        <w:t>53 </w:t>
      </w:r>
      <w:r>
        <w:rPr>
          <w:spacing w:val="-9"/>
        </w:rPr>
        <w:t>号楷林商务中心 </w:t>
      </w:r>
      <w:r>
        <w:rPr>
          <w:rFonts w:ascii="Times New Roman" w:eastAsia="Times New Roman"/>
        </w:rPr>
        <w:t>B </w:t>
      </w:r>
      <w:r>
        <w:rPr/>
        <w:t>座</w:t>
      </w:r>
      <w:r>
        <w:rPr>
          <w:spacing w:val="-3"/>
        </w:rPr>
        <w:t>法定代表人：朱玉国</w:t>
      </w:r>
    </w:p>
    <w:p>
      <w:pPr>
        <w:pStyle w:val="BodyText"/>
        <w:spacing w:line="424" w:lineRule="auto"/>
        <w:ind w:left="720" w:right="6800"/>
        <w:rPr>
          <w:rFonts w:ascii="Times New Roman" w:eastAsia="Times New Roman"/>
        </w:rPr>
      </w:pPr>
      <w:r>
        <w:rPr/>
        <w:t>电话：</w:t>
      </w:r>
      <w:r>
        <w:rPr>
          <w:rFonts w:ascii="Times New Roman" w:eastAsia="Times New Roman"/>
        </w:rPr>
        <w:t>0731-89736250 </w:t>
      </w:r>
      <w:r>
        <w:rPr/>
        <w:t>传真：</w:t>
      </w:r>
      <w:r>
        <w:rPr>
          <w:rFonts w:ascii="Times New Roman" w:eastAsia="Times New Roman"/>
        </w:rPr>
        <w:t>0731-89736250</w:t>
      </w:r>
    </w:p>
    <w:p>
      <w:pPr>
        <w:pStyle w:val="BodyText"/>
        <w:spacing w:line="267" w:lineRule="exact"/>
        <w:ind w:left="720"/>
      </w:pPr>
      <w:r>
        <w:rPr/>
        <w:t>联系人：于立娜</w:t>
      </w:r>
    </w:p>
    <w:p>
      <w:pPr>
        <w:pStyle w:val="BodyText"/>
        <w:spacing w:before="9"/>
        <w:rPr>
          <w:sz w:val="15"/>
        </w:rPr>
      </w:pPr>
    </w:p>
    <w:p>
      <w:pPr>
        <w:pStyle w:val="BodyText"/>
        <w:spacing w:line="424" w:lineRule="auto"/>
        <w:ind w:left="720" w:right="5816"/>
        <w:rPr>
          <w:rFonts w:ascii="Times New Roman" w:eastAsia="Times New Roman"/>
        </w:rPr>
      </w:pPr>
      <w:r>
        <w:rPr/>
        <w:t>网址：</w:t>
      </w:r>
      <w:hyperlink r:id="rId48">
        <w:r>
          <w:rPr>
            <w:rFonts w:ascii="Times New Roman" w:eastAsia="Times New Roman"/>
          </w:rPr>
          <w:t>www.bankofchangsha.com </w:t>
        </w:r>
      </w:hyperlink>
      <w:r>
        <w:rPr/>
        <w:t>客户服务电话：</w:t>
      </w:r>
      <w:r>
        <w:rPr>
          <w:rFonts w:ascii="Times New Roman" w:eastAsia="Times New Roman"/>
        </w:rPr>
        <w:t>40067-96511</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厦门银行股份有限公司</w:t>
      </w:r>
    </w:p>
    <w:p>
      <w:pPr>
        <w:pStyle w:val="BodyText"/>
        <w:spacing w:before="1"/>
        <w:rPr>
          <w:sz w:val="16"/>
        </w:rPr>
      </w:pPr>
    </w:p>
    <w:p>
      <w:pPr>
        <w:pStyle w:val="BodyText"/>
        <w:ind w:left="720"/>
      </w:pPr>
      <w:r>
        <w:rPr/>
        <w:t>住所：厦门市湖滨北路 </w:t>
      </w:r>
      <w:r>
        <w:rPr>
          <w:rFonts w:ascii="Times New Roman" w:eastAsia="Times New Roman"/>
        </w:rPr>
        <w:t>101 </w:t>
      </w:r>
      <w:r>
        <w:rPr/>
        <w:t>号商业银行大厦</w:t>
      </w:r>
    </w:p>
    <w:p>
      <w:pPr>
        <w:pStyle w:val="BodyText"/>
        <w:spacing w:before="4"/>
        <w:rPr>
          <w:sz w:val="16"/>
        </w:rPr>
      </w:pPr>
    </w:p>
    <w:p>
      <w:pPr>
        <w:pStyle w:val="BodyText"/>
        <w:spacing w:line="424" w:lineRule="auto" w:before="1"/>
        <w:ind w:left="720" w:right="4288"/>
      </w:pPr>
      <w:r>
        <w:rPr/>
        <w:t>办公地址：厦门市湖滨北路 </w:t>
      </w:r>
      <w:r>
        <w:rPr>
          <w:rFonts w:ascii="Times New Roman" w:eastAsia="Times New Roman"/>
        </w:rPr>
        <w:t>101 </w:t>
      </w:r>
      <w:r>
        <w:rPr/>
        <w:t>号商业银行大厦法定代表人：吴世群</w:t>
      </w:r>
    </w:p>
    <w:p>
      <w:pPr>
        <w:pStyle w:val="BodyText"/>
        <w:spacing w:line="424" w:lineRule="auto"/>
        <w:ind w:left="720" w:right="690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7" w:lineRule="exact"/>
        <w:ind w:left="720"/>
      </w:pPr>
      <w:r>
        <w:rPr/>
        <w:t>联系人：孙瑜</w:t>
      </w:r>
    </w:p>
    <w:p>
      <w:pPr>
        <w:pStyle w:val="BodyText"/>
        <w:spacing w:before="11"/>
        <w:rPr>
          <w:sz w:val="15"/>
        </w:rPr>
      </w:pPr>
    </w:p>
    <w:p>
      <w:pPr>
        <w:pStyle w:val="BodyText"/>
        <w:ind w:left="720"/>
        <w:rPr>
          <w:rFonts w:ascii="Times New Roman" w:eastAsia="Times New Roman"/>
        </w:rPr>
      </w:pPr>
      <w:r>
        <w:rPr/>
        <w:t>网址：</w:t>
      </w:r>
      <w:hyperlink r:id="rId49">
        <w:r>
          <w:rPr>
            <w:rFonts w:ascii="Times New Roman" w:eastAsia="Times New Roman"/>
          </w:rPr>
          <w:t>www.xmccb.com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400-858-8888</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吉林银行股份有限公司</w:t>
      </w:r>
    </w:p>
    <w:p>
      <w:pPr>
        <w:spacing w:after="0" w:line="240" w:lineRule="auto"/>
        <w:jc w:val="left"/>
        <w:rPr>
          <w:sz w:val="21"/>
        </w:rPr>
        <w:sectPr>
          <w:pgSz w:w="11910" w:h="16840"/>
          <w:pgMar w:header="701" w:footer="683" w:top="1420" w:bottom="880" w:left="1500" w:right="920"/>
        </w:sectPr>
      </w:pPr>
    </w:p>
    <w:p>
      <w:pPr>
        <w:pStyle w:val="BodyText"/>
        <w:spacing w:before="115"/>
        <w:ind w:left="720"/>
      </w:pPr>
      <w:r>
        <w:rPr/>
        <w:t>住所：吉林省长春市经济开发区 </w:t>
      </w:r>
      <w:r>
        <w:rPr>
          <w:rFonts w:ascii="Times New Roman" w:eastAsia="Times New Roman"/>
        </w:rPr>
        <w:t>1817 </w:t>
      </w:r>
      <w:r>
        <w:rPr/>
        <w:t>号</w:t>
      </w:r>
    </w:p>
    <w:p>
      <w:pPr>
        <w:pStyle w:val="BodyText"/>
        <w:rPr>
          <w:sz w:val="16"/>
        </w:rPr>
      </w:pPr>
    </w:p>
    <w:p>
      <w:pPr>
        <w:pStyle w:val="BodyText"/>
        <w:spacing w:line="424" w:lineRule="auto" w:before="1"/>
        <w:ind w:left="720" w:right="4603"/>
      </w:pPr>
      <w:r>
        <w:rPr/>
        <w:t>办公地址：吉林省长春市经济开发区 </w:t>
      </w:r>
      <w:r>
        <w:rPr>
          <w:rFonts w:ascii="Times New Roman" w:eastAsia="Times New Roman"/>
        </w:rPr>
        <w:t>1817 </w:t>
      </w:r>
      <w:r>
        <w:rPr/>
        <w:t>号法定代表人：唐国兴</w:t>
      </w:r>
    </w:p>
    <w:p>
      <w:pPr>
        <w:pStyle w:val="BodyText"/>
        <w:spacing w:line="424" w:lineRule="auto"/>
        <w:ind w:left="720" w:right="6800"/>
        <w:rPr>
          <w:rFonts w:ascii="Times New Roman" w:eastAsia="Times New Roman"/>
        </w:rPr>
      </w:pPr>
      <w:r>
        <w:rPr/>
        <w:t>电话：</w:t>
      </w:r>
      <w:r>
        <w:rPr>
          <w:rFonts w:ascii="Times New Roman" w:eastAsia="Times New Roman"/>
        </w:rPr>
        <w:t>0431-84999627 </w:t>
      </w:r>
      <w:r>
        <w:rPr/>
        <w:t>传真：</w:t>
      </w:r>
      <w:r>
        <w:rPr>
          <w:rFonts w:ascii="Times New Roman" w:eastAsia="Times New Roman"/>
        </w:rPr>
        <w:t>0431-84992649</w:t>
      </w:r>
    </w:p>
    <w:p>
      <w:pPr>
        <w:pStyle w:val="BodyText"/>
        <w:ind w:left="720"/>
      </w:pPr>
      <w:r>
        <w:rPr/>
        <w:t>联系人：孙琦</w:t>
      </w:r>
    </w:p>
    <w:p>
      <w:pPr>
        <w:pStyle w:val="BodyText"/>
        <w:spacing w:before="12"/>
        <w:rPr>
          <w:sz w:val="15"/>
        </w:rPr>
      </w:pPr>
    </w:p>
    <w:p>
      <w:pPr>
        <w:pStyle w:val="BodyText"/>
        <w:ind w:left="720"/>
        <w:rPr>
          <w:rFonts w:ascii="Times New Roman" w:eastAsia="Times New Roman"/>
        </w:rPr>
      </w:pPr>
      <w:r>
        <w:rPr/>
        <w:t>网址：</w:t>
      </w:r>
      <w:hyperlink r:id="rId50">
        <w:r>
          <w:rPr>
            <w:rFonts w:ascii="Times New Roman" w:eastAsia="Times New Roman"/>
          </w:rPr>
          <w:t>www.jlbank.com.cn</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400-889-6666</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苏州银行股份有限公司</w:t>
      </w:r>
    </w:p>
    <w:p>
      <w:pPr>
        <w:pStyle w:val="BodyText"/>
        <w:spacing w:before="1"/>
        <w:rPr>
          <w:sz w:val="16"/>
        </w:rPr>
      </w:pPr>
    </w:p>
    <w:p>
      <w:pPr>
        <w:pStyle w:val="BodyText"/>
        <w:ind w:left="720"/>
      </w:pPr>
      <w:r>
        <w:rPr/>
        <w:t>住所：江苏省苏州市工业园区钟园路 </w:t>
      </w:r>
      <w:r>
        <w:rPr>
          <w:rFonts w:ascii="Times New Roman" w:eastAsia="Times New Roman"/>
        </w:rPr>
        <w:t>728 </w:t>
      </w:r>
      <w:r>
        <w:rPr/>
        <w:t>号</w:t>
      </w:r>
    </w:p>
    <w:p>
      <w:pPr>
        <w:pStyle w:val="BodyText"/>
        <w:spacing w:before="1"/>
        <w:rPr>
          <w:sz w:val="16"/>
        </w:rPr>
      </w:pPr>
    </w:p>
    <w:p>
      <w:pPr>
        <w:pStyle w:val="BodyText"/>
        <w:spacing w:line="424" w:lineRule="auto"/>
        <w:ind w:left="720" w:right="4288"/>
      </w:pPr>
      <w:r>
        <w:rPr/>
        <w:t>办公地址：江苏省苏州市工业园区钟园路 </w:t>
      </w:r>
      <w:r>
        <w:rPr>
          <w:rFonts w:ascii="Times New Roman" w:eastAsia="Times New Roman"/>
        </w:rPr>
        <w:t>728 </w:t>
      </w:r>
      <w:r>
        <w:rPr/>
        <w:t>号法定代表人：王兰凤</w:t>
      </w:r>
    </w:p>
    <w:p>
      <w:pPr>
        <w:pStyle w:val="BodyText"/>
        <w:spacing w:line="267" w:lineRule="exact"/>
        <w:ind w:left="720"/>
        <w:rPr>
          <w:rFonts w:ascii="Times New Roman" w:eastAsia="Times New Roman"/>
        </w:rPr>
      </w:pPr>
      <w:r>
        <w:rPr/>
        <w:t>电话：</w:t>
      </w:r>
      <w:r>
        <w:rPr>
          <w:rFonts w:ascii="Times New Roman" w:eastAsia="Times New Roman"/>
        </w:rPr>
        <w:t>0512-69868373</w:t>
      </w:r>
    </w:p>
    <w:p>
      <w:pPr>
        <w:pStyle w:val="BodyText"/>
        <w:spacing w:before="1"/>
        <w:rPr>
          <w:rFonts w:ascii="Times New Roman"/>
          <w:sz w:val="18"/>
        </w:rPr>
      </w:pPr>
    </w:p>
    <w:p>
      <w:pPr>
        <w:pStyle w:val="BodyText"/>
        <w:spacing w:before="1"/>
        <w:ind w:left="720"/>
      </w:pPr>
      <w:r>
        <w:rPr/>
        <w:t>联系人：吴骏</w:t>
      </w:r>
    </w:p>
    <w:p>
      <w:pPr>
        <w:pStyle w:val="BodyText"/>
        <w:spacing w:before="1"/>
        <w:rPr>
          <w:sz w:val="16"/>
        </w:rPr>
      </w:pPr>
    </w:p>
    <w:p>
      <w:pPr>
        <w:pStyle w:val="BodyText"/>
        <w:spacing w:line="424" w:lineRule="auto"/>
        <w:ind w:left="720" w:right="6178"/>
        <w:rPr>
          <w:rFonts w:ascii="Times New Roman" w:eastAsia="Times New Roman"/>
        </w:rPr>
      </w:pPr>
      <w:r>
        <w:rPr/>
        <w:t>网址：</w:t>
      </w:r>
      <w:hyperlink r:id="rId51">
        <w:r>
          <w:rPr>
            <w:rFonts w:ascii="Times New Roman" w:eastAsia="Times New Roman"/>
          </w:rPr>
          <w:t>www.suzhoubank.com </w:t>
        </w:r>
      </w:hyperlink>
      <w:r>
        <w:rPr/>
        <w:t>客户服务电话：</w:t>
      </w:r>
      <w:r>
        <w:rPr>
          <w:rFonts w:ascii="Times New Roman" w:eastAsia="Times New Roman"/>
        </w:rPr>
        <w:t>96067</w:t>
      </w:r>
    </w:p>
    <w:p>
      <w:pPr>
        <w:pStyle w:val="ListParagraph"/>
        <w:numPr>
          <w:ilvl w:val="0"/>
          <w:numId w:val="10"/>
        </w:numPr>
        <w:tabs>
          <w:tab w:pos="1355" w:val="left" w:leader="none"/>
        </w:tabs>
        <w:spacing w:line="424" w:lineRule="auto" w:before="0" w:after="0"/>
        <w:ind w:left="720" w:right="5818" w:firstLine="0"/>
        <w:jc w:val="left"/>
        <w:rPr>
          <w:sz w:val="21"/>
        </w:rPr>
      </w:pPr>
      <w:r>
        <w:rPr>
          <w:spacing w:val="-3"/>
          <w:sz w:val="21"/>
        </w:rPr>
        <w:t>泉州银行股份有限公司 </w:t>
      </w:r>
      <w:r>
        <w:rPr>
          <w:spacing w:val="-7"/>
          <w:sz w:val="21"/>
        </w:rPr>
        <w:t>住所：泉州市丰泽区云鹿路 </w:t>
      </w:r>
      <w:r>
        <w:rPr>
          <w:rFonts w:ascii="Times New Roman" w:eastAsia="Times New Roman"/>
          <w:sz w:val="21"/>
        </w:rPr>
        <w:t>3</w:t>
      </w:r>
      <w:r>
        <w:rPr>
          <w:rFonts w:ascii="Times New Roman" w:eastAsia="Times New Roman"/>
          <w:spacing w:val="7"/>
          <w:sz w:val="21"/>
        </w:rPr>
        <w:t> </w:t>
      </w:r>
      <w:r>
        <w:rPr>
          <w:spacing w:val="-14"/>
          <w:sz w:val="21"/>
        </w:rPr>
        <w:t>号</w:t>
      </w:r>
    </w:p>
    <w:p>
      <w:pPr>
        <w:pStyle w:val="BodyText"/>
        <w:spacing w:line="424" w:lineRule="auto"/>
        <w:ind w:left="720" w:right="5337"/>
      </w:pPr>
      <w:r>
        <w:rPr/>
        <w:t>办公地址：泉州市丰泽区云鹿路 </w:t>
      </w:r>
      <w:r>
        <w:rPr>
          <w:rFonts w:ascii="Times New Roman" w:eastAsia="Times New Roman"/>
        </w:rPr>
        <w:t>3 </w:t>
      </w:r>
      <w:r>
        <w:rPr/>
        <w:t>号法定代表人：傅子能</w:t>
      </w:r>
    </w:p>
    <w:p>
      <w:pPr>
        <w:pStyle w:val="BodyText"/>
        <w:spacing w:line="427" w:lineRule="auto"/>
        <w:ind w:left="720" w:right="680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5" w:lineRule="exact"/>
        <w:ind w:left="720"/>
      </w:pPr>
      <w:r>
        <w:rPr/>
        <w:t>联系人：董培姗</w:t>
      </w:r>
    </w:p>
    <w:p>
      <w:pPr>
        <w:pStyle w:val="BodyText"/>
        <w:spacing w:before="8"/>
        <w:rPr>
          <w:sz w:val="15"/>
        </w:rPr>
      </w:pPr>
    </w:p>
    <w:p>
      <w:pPr>
        <w:pStyle w:val="BodyText"/>
        <w:ind w:left="720"/>
        <w:rPr>
          <w:rFonts w:ascii="Times New Roman" w:eastAsia="Times New Roman"/>
        </w:rPr>
      </w:pPr>
      <w:r>
        <w:rPr/>
        <w:t>网址：</w:t>
      </w:r>
      <w:hyperlink r:id="rId52">
        <w:r>
          <w:rPr>
            <w:rFonts w:ascii="Times New Roman" w:eastAsia="Times New Roman"/>
          </w:rPr>
          <w:t>www. </w:t>
        </w:r>
      </w:hyperlink>
      <w:r>
        <w:rPr>
          <w:rFonts w:ascii="Times New Roman" w:eastAsia="Times New Roman"/>
        </w:rPr>
        <w:t>qzccbank.com</w:t>
      </w:r>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400-889-6312</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华融湘江银行股份有限公司</w:t>
      </w:r>
    </w:p>
    <w:p>
      <w:pPr>
        <w:pStyle w:val="BodyText"/>
        <w:spacing w:before="1"/>
        <w:rPr>
          <w:sz w:val="16"/>
        </w:rPr>
      </w:pPr>
    </w:p>
    <w:p>
      <w:pPr>
        <w:pStyle w:val="BodyText"/>
        <w:ind w:left="720"/>
      </w:pPr>
      <w:r>
        <w:rPr/>
        <w:t>住所：湖南省长沙市天心区芙蓉南路二段 </w:t>
      </w:r>
      <w:r>
        <w:rPr>
          <w:rFonts w:ascii="Times New Roman" w:eastAsia="Times New Roman"/>
        </w:rPr>
        <w:t>828 </w:t>
      </w:r>
      <w:r>
        <w:rPr/>
        <w:t>号鑫远杰座</w:t>
      </w:r>
    </w:p>
    <w:p>
      <w:pPr>
        <w:pStyle w:val="BodyText"/>
        <w:spacing w:before="1"/>
        <w:rPr>
          <w:sz w:val="16"/>
        </w:rPr>
      </w:pPr>
    </w:p>
    <w:p>
      <w:pPr>
        <w:pStyle w:val="BodyText"/>
        <w:spacing w:line="424" w:lineRule="auto"/>
        <w:ind w:left="720" w:right="2186"/>
      </w:pPr>
      <w:r>
        <w:rPr/>
        <w:t>办公地址：湖南省长沙市雨花区湘府东路二段 </w:t>
      </w:r>
      <w:r>
        <w:rPr>
          <w:rFonts w:ascii="Times New Roman" w:eastAsia="Times New Roman"/>
        </w:rPr>
        <w:t>208 </w:t>
      </w:r>
      <w:r>
        <w:rPr/>
        <w:t>号万境财智中心南栋法定代表人：张永宏</w:t>
      </w:r>
    </w:p>
    <w:p>
      <w:pPr>
        <w:spacing w:after="0" w:line="424" w:lineRule="auto"/>
        <w:sectPr>
          <w:pgSz w:w="11910" w:h="16840"/>
          <w:pgMar w:header="701" w:footer="683" w:top="1420" w:bottom="880" w:left="1500" w:right="920"/>
        </w:sectPr>
      </w:pPr>
    </w:p>
    <w:p>
      <w:pPr>
        <w:pStyle w:val="BodyText"/>
        <w:spacing w:line="424" w:lineRule="auto" w:before="115"/>
        <w:ind w:left="720" w:right="6800"/>
        <w:rPr>
          <w:rFonts w:ascii="Times New Roman" w:eastAsia="Times New Roman"/>
        </w:rPr>
      </w:pPr>
      <w:r>
        <w:rPr/>
        <w:t>电话：</w:t>
      </w:r>
      <w:r>
        <w:rPr>
          <w:rFonts w:ascii="Times New Roman" w:eastAsia="Times New Roman"/>
        </w:rPr>
        <w:t>0731-89828592 </w:t>
      </w:r>
      <w:r>
        <w:rPr/>
        <w:t>传真：</w:t>
      </w:r>
      <w:r>
        <w:rPr>
          <w:rFonts w:ascii="Times New Roman" w:eastAsia="Times New Roman"/>
        </w:rPr>
        <w:t>0731-89828806</w:t>
      </w:r>
    </w:p>
    <w:p>
      <w:pPr>
        <w:pStyle w:val="BodyText"/>
        <w:spacing w:line="267" w:lineRule="exact"/>
        <w:ind w:left="720"/>
      </w:pPr>
      <w:r>
        <w:rPr/>
        <w:t>联系人：曾玉姣</w:t>
      </w:r>
    </w:p>
    <w:p>
      <w:pPr>
        <w:pStyle w:val="BodyText"/>
        <w:rPr>
          <w:sz w:val="16"/>
        </w:rPr>
      </w:pPr>
    </w:p>
    <w:p>
      <w:pPr>
        <w:pStyle w:val="BodyText"/>
        <w:spacing w:line="424" w:lineRule="auto" w:before="1"/>
        <w:ind w:left="720" w:right="6183"/>
        <w:rPr>
          <w:rFonts w:ascii="Times New Roman" w:eastAsia="Times New Roman"/>
        </w:rPr>
      </w:pPr>
      <w:r>
        <w:rPr/>
        <w:t>网址：</w:t>
      </w:r>
      <w:hyperlink r:id="rId53">
        <w:r>
          <w:rPr>
            <w:rFonts w:ascii="Times New Roman" w:eastAsia="Times New Roman"/>
          </w:rPr>
          <w:t>www.hrxjbank.com.cn </w:t>
        </w:r>
      </w:hyperlink>
      <w:r>
        <w:rPr/>
        <w:t>客户服务电话：</w:t>
      </w:r>
      <w:r>
        <w:rPr>
          <w:rFonts w:ascii="Times New Roman" w:eastAsia="Times New Roman"/>
        </w:rPr>
        <w:t>0731-96599</w:t>
      </w:r>
    </w:p>
    <w:p>
      <w:pPr>
        <w:pStyle w:val="ListParagraph"/>
        <w:numPr>
          <w:ilvl w:val="0"/>
          <w:numId w:val="10"/>
        </w:numPr>
        <w:tabs>
          <w:tab w:pos="1355" w:val="left" w:leader="none"/>
        </w:tabs>
        <w:spacing w:line="424" w:lineRule="auto" w:before="0" w:after="0"/>
        <w:ind w:left="720" w:right="5609" w:firstLine="0"/>
        <w:jc w:val="left"/>
        <w:rPr>
          <w:sz w:val="21"/>
        </w:rPr>
      </w:pPr>
      <w:r>
        <w:rPr>
          <w:spacing w:val="-4"/>
          <w:sz w:val="21"/>
        </w:rPr>
        <w:t>云南红塔银行股份有限公司</w:t>
      </w:r>
      <w:r>
        <w:rPr>
          <w:spacing w:val="-6"/>
          <w:sz w:val="21"/>
        </w:rPr>
        <w:t>住所：云南省玉溪市东风南路 </w:t>
      </w:r>
      <w:r>
        <w:rPr>
          <w:rFonts w:ascii="Times New Roman" w:eastAsia="Times New Roman"/>
          <w:sz w:val="21"/>
        </w:rPr>
        <w:t>2</w:t>
      </w:r>
      <w:r>
        <w:rPr>
          <w:rFonts w:ascii="Times New Roman" w:eastAsia="Times New Roman"/>
          <w:spacing w:val="4"/>
          <w:sz w:val="21"/>
        </w:rPr>
        <w:t> </w:t>
      </w:r>
      <w:r>
        <w:rPr>
          <w:spacing w:val="-13"/>
          <w:sz w:val="21"/>
        </w:rPr>
        <w:t>号</w:t>
      </w:r>
    </w:p>
    <w:p>
      <w:pPr>
        <w:pStyle w:val="BodyText"/>
        <w:spacing w:line="424" w:lineRule="auto"/>
        <w:ind w:left="720" w:right="3883"/>
      </w:pPr>
      <w:r>
        <w:rPr/>
        <w:t>办公地址：云南省昆明市盘龙区世博路低碳中心</w:t>
      </w:r>
      <w:r>
        <w:rPr>
          <w:rFonts w:ascii="Times New Roman" w:eastAsia="Times New Roman"/>
        </w:rPr>
        <w:t>A </w:t>
      </w:r>
      <w:r>
        <w:rPr/>
        <w:t>座法定代表人：李光林</w:t>
      </w:r>
    </w:p>
    <w:p>
      <w:pPr>
        <w:pStyle w:val="BodyText"/>
        <w:spacing w:line="424" w:lineRule="auto"/>
        <w:ind w:left="720" w:right="6800"/>
        <w:rPr>
          <w:rFonts w:ascii="Times New Roman" w:eastAsia="Times New Roman"/>
        </w:rPr>
      </w:pPr>
      <w:r>
        <w:rPr/>
        <w:t>电话：</w:t>
      </w:r>
      <w:r>
        <w:rPr>
          <w:rFonts w:ascii="Times New Roman" w:eastAsia="Times New Roman"/>
        </w:rPr>
        <w:t>0871-65236624 </w:t>
      </w:r>
      <w:r>
        <w:rPr/>
        <w:t>传真：</w:t>
      </w:r>
      <w:r>
        <w:rPr>
          <w:rFonts w:ascii="Times New Roman" w:eastAsia="Times New Roman"/>
        </w:rPr>
        <w:t>0871-65236614</w:t>
      </w:r>
    </w:p>
    <w:p>
      <w:pPr>
        <w:pStyle w:val="BodyText"/>
        <w:spacing w:line="267" w:lineRule="exact"/>
        <w:ind w:left="720"/>
      </w:pPr>
      <w:r>
        <w:rPr/>
        <w:t>联系人：马杰</w:t>
      </w:r>
    </w:p>
    <w:p>
      <w:pPr>
        <w:pStyle w:val="BodyText"/>
        <w:spacing w:before="10"/>
        <w:rPr>
          <w:sz w:val="15"/>
        </w:rPr>
      </w:pPr>
    </w:p>
    <w:p>
      <w:pPr>
        <w:pStyle w:val="BodyText"/>
        <w:spacing w:line="427" w:lineRule="auto"/>
        <w:ind w:left="720" w:right="6276"/>
        <w:rPr>
          <w:rFonts w:ascii="Times New Roman" w:eastAsia="Times New Roman"/>
        </w:rPr>
      </w:pPr>
      <w:r>
        <w:rPr/>
        <w:t>网址：</w:t>
      </w:r>
      <w:hyperlink r:id="rId54">
        <w:r>
          <w:rPr>
            <w:rFonts w:ascii="Times New Roman" w:eastAsia="Times New Roman"/>
          </w:rPr>
          <w:t>www.ynhtbank.com </w:t>
        </w:r>
      </w:hyperlink>
      <w:r>
        <w:rPr/>
        <w:t>客户服务电话：</w:t>
      </w:r>
      <w:r>
        <w:rPr>
          <w:rFonts w:ascii="Times New Roman" w:eastAsia="Times New Roman"/>
        </w:rPr>
        <w:t>0877-96522</w:t>
      </w:r>
    </w:p>
    <w:p>
      <w:pPr>
        <w:pStyle w:val="ListParagraph"/>
        <w:numPr>
          <w:ilvl w:val="0"/>
          <w:numId w:val="10"/>
        </w:numPr>
        <w:tabs>
          <w:tab w:pos="1355" w:val="left" w:leader="none"/>
        </w:tabs>
        <w:spacing w:line="264" w:lineRule="exact" w:before="0" w:after="0"/>
        <w:ind w:left="1355" w:right="0" w:hanging="635"/>
        <w:jc w:val="left"/>
        <w:rPr>
          <w:sz w:val="21"/>
        </w:rPr>
      </w:pPr>
      <w:r>
        <w:rPr>
          <w:spacing w:val="-3"/>
          <w:sz w:val="21"/>
        </w:rPr>
        <w:t>中原银行股份有限公司</w:t>
      </w:r>
    </w:p>
    <w:p>
      <w:pPr>
        <w:pStyle w:val="BodyText"/>
        <w:spacing w:before="1"/>
        <w:rPr>
          <w:sz w:val="16"/>
        </w:rPr>
      </w:pPr>
    </w:p>
    <w:p>
      <w:pPr>
        <w:pStyle w:val="BodyText"/>
        <w:ind w:left="720"/>
      </w:pPr>
      <w:r>
        <w:rPr/>
        <w:t>住所：河南省郑州市郑东新区</w:t>
      </w:r>
      <w:r>
        <w:rPr>
          <w:rFonts w:ascii="Times New Roman" w:eastAsia="Times New Roman"/>
        </w:rPr>
        <w:t>CBD </w:t>
      </w:r>
      <w:r>
        <w:rPr/>
        <w:t>商务外环路 </w:t>
      </w:r>
      <w:r>
        <w:rPr>
          <w:rFonts w:ascii="Times New Roman" w:eastAsia="Times New Roman"/>
        </w:rPr>
        <w:t>23 </w:t>
      </w:r>
      <w:r>
        <w:rPr/>
        <w:t>号中科金座</w:t>
      </w:r>
    </w:p>
    <w:p>
      <w:pPr>
        <w:pStyle w:val="BodyText"/>
        <w:spacing w:before="1"/>
        <w:rPr>
          <w:sz w:val="16"/>
        </w:rPr>
      </w:pPr>
    </w:p>
    <w:p>
      <w:pPr>
        <w:pStyle w:val="BodyText"/>
        <w:spacing w:line="424" w:lineRule="auto" w:before="1"/>
        <w:ind w:left="720" w:right="2657"/>
      </w:pPr>
      <w:r>
        <w:rPr/>
        <w:t>办公地址：河南省郑州市郑东新区</w:t>
      </w:r>
      <w:r>
        <w:rPr>
          <w:rFonts w:ascii="Times New Roman" w:eastAsia="Times New Roman"/>
        </w:rPr>
        <w:t>CBD </w:t>
      </w:r>
      <w:r>
        <w:rPr/>
        <w:t>商务外环路 </w:t>
      </w:r>
      <w:r>
        <w:rPr>
          <w:rFonts w:ascii="Times New Roman" w:eastAsia="Times New Roman"/>
        </w:rPr>
        <w:t>23 </w:t>
      </w:r>
      <w:r>
        <w:rPr/>
        <w:t>号中科金座法定代表人：窦荣兴</w:t>
      </w:r>
    </w:p>
    <w:p>
      <w:pPr>
        <w:pStyle w:val="BodyText"/>
        <w:spacing w:line="424" w:lineRule="auto"/>
        <w:ind w:left="720" w:right="6800"/>
        <w:rPr>
          <w:rFonts w:ascii="Times New Roman" w:eastAsia="Times New Roman"/>
        </w:rPr>
      </w:pPr>
      <w:r>
        <w:rPr/>
        <w:t>电话：</w:t>
      </w:r>
      <w:r>
        <w:rPr>
          <w:rFonts w:ascii="Times New Roman" w:eastAsia="Times New Roman"/>
        </w:rPr>
        <w:t>0371-85517710 </w:t>
      </w:r>
      <w:r>
        <w:rPr/>
        <w:t>传真：</w:t>
      </w:r>
      <w:r>
        <w:rPr>
          <w:rFonts w:ascii="Times New Roman" w:eastAsia="Times New Roman"/>
        </w:rPr>
        <w:t>0371-85519869</w:t>
      </w:r>
    </w:p>
    <w:p>
      <w:pPr>
        <w:pStyle w:val="BodyText"/>
        <w:spacing w:line="267" w:lineRule="exact"/>
        <w:ind w:left="720"/>
      </w:pPr>
      <w:r>
        <w:rPr/>
        <w:t>联系人：牛映雪</w:t>
      </w:r>
    </w:p>
    <w:p>
      <w:pPr>
        <w:pStyle w:val="BodyText"/>
        <w:spacing w:before="1"/>
        <w:rPr>
          <w:sz w:val="16"/>
        </w:rPr>
      </w:pPr>
    </w:p>
    <w:p>
      <w:pPr>
        <w:pStyle w:val="BodyText"/>
        <w:spacing w:line="424" w:lineRule="auto" w:before="1"/>
        <w:ind w:left="720" w:right="6324"/>
        <w:rPr>
          <w:rFonts w:ascii="Times New Roman" w:eastAsia="Times New Roman"/>
        </w:rPr>
      </w:pPr>
      <w:r>
        <w:rPr/>
        <w:t>网址：</w:t>
      </w:r>
      <w:hyperlink r:id="rId55">
        <w:r>
          <w:rPr>
            <w:rFonts w:ascii="Times New Roman" w:eastAsia="Times New Roman"/>
          </w:rPr>
          <w:t>www.zybank.com.cn </w:t>
        </w:r>
      </w:hyperlink>
      <w:r>
        <w:rPr/>
        <w:t>客户服务电话：</w:t>
      </w:r>
      <w:r>
        <w:rPr>
          <w:rFonts w:ascii="Times New Roman" w:eastAsia="Times New Roman"/>
        </w:rPr>
        <w:t>95186</w:t>
      </w:r>
    </w:p>
    <w:p>
      <w:pPr>
        <w:pStyle w:val="ListParagraph"/>
        <w:numPr>
          <w:ilvl w:val="0"/>
          <w:numId w:val="10"/>
        </w:numPr>
        <w:tabs>
          <w:tab w:pos="1355" w:val="left" w:leader="none"/>
        </w:tabs>
        <w:spacing w:line="424" w:lineRule="auto" w:before="0" w:after="0"/>
        <w:ind w:left="720" w:right="4666" w:firstLine="0"/>
        <w:jc w:val="left"/>
        <w:rPr>
          <w:sz w:val="21"/>
        </w:rPr>
      </w:pPr>
      <w:r>
        <w:rPr>
          <w:spacing w:val="-3"/>
          <w:sz w:val="21"/>
        </w:rPr>
        <w:t>招商银行股份有限公司招赢通平台  </w:t>
      </w:r>
      <w:r>
        <w:rPr>
          <w:spacing w:val="-7"/>
          <w:sz w:val="21"/>
        </w:rPr>
        <w:t>住所：深圳市深南大道 </w:t>
      </w:r>
      <w:r>
        <w:rPr>
          <w:rFonts w:ascii="Times New Roman" w:eastAsia="Times New Roman"/>
          <w:sz w:val="21"/>
        </w:rPr>
        <w:t>7088</w:t>
      </w:r>
      <w:r>
        <w:rPr>
          <w:rFonts w:ascii="Times New Roman" w:eastAsia="Times New Roman"/>
          <w:spacing w:val="7"/>
          <w:sz w:val="21"/>
        </w:rPr>
        <w:t> </w:t>
      </w:r>
      <w:r>
        <w:rPr>
          <w:spacing w:val="-5"/>
          <w:sz w:val="21"/>
        </w:rPr>
        <w:t>号招商银行大厦</w:t>
      </w:r>
    </w:p>
    <w:p>
      <w:pPr>
        <w:pStyle w:val="BodyText"/>
        <w:spacing w:line="424" w:lineRule="auto"/>
        <w:ind w:left="720" w:right="4182"/>
      </w:pPr>
      <w:r>
        <w:rPr/>
        <w:t>办公地址：深圳市深南大道 </w:t>
      </w:r>
      <w:r>
        <w:rPr>
          <w:rFonts w:ascii="Times New Roman" w:eastAsia="Times New Roman"/>
        </w:rPr>
        <w:t>7088 </w:t>
      </w:r>
      <w:r>
        <w:rPr/>
        <w:t>号招商银行大厦法定代表人：李建红</w:t>
      </w:r>
    </w:p>
    <w:p>
      <w:pPr>
        <w:pStyle w:val="BodyText"/>
        <w:spacing w:line="424" w:lineRule="auto"/>
        <w:ind w:left="720" w:right="680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pPr>
      <w:r>
        <w:rPr/>
        <w:t>联系人：邓炯鹏</w:t>
      </w:r>
    </w:p>
    <w:p>
      <w:pPr>
        <w:pStyle w:val="BodyText"/>
        <w:rPr>
          <w:sz w:val="16"/>
        </w:rPr>
      </w:pPr>
    </w:p>
    <w:p>
      <w:pPr>
        <w:pStyle w:val="BodyText"/>
        <w:spacing w:line="424" w:lineRule="auto" w:before="1"/>
        <w:ind w:left="720" w:right="5615"/>
        <w:rPr>
          <w:rFonts w:ascii="Times New Roman" w:eastAsia="Times New Roman"/>
        </w:rPr>
      </w:pPr>
      <w:r>
        <w:rPr/>
        <w:t>网址：</w:t>
      </w:r>
      <w:r>
        <w:rPr>
          <w:rFonts w:ascii="Times New Roman" w:eastAsia="Times New Roman"/>
        </w:rPr>
        <w:t>https://fi.cmbchina.com/home </w:t>
      </w:r>
      <w:r>
        <w:rPr/>
        <w:t>客户服务电话：</w:t>
      </w:r>
      <w:r>
        <w:rPr>
          <w:rFonts w:ascii="Times New Roman" w:eastAsia="Times New Roman"/>
        </w:rPr>
        <w:t>95555</w:t>
      </w:r>
    </w:p>
    <w:p>
      <w:pPr>
        <w:pStyle w:val="ListParagraph"/>
        <w:numPr>
          <w:ilvl w:val="0"/>
          <w:numId w:val="10"/>
        </w:numPr>
        <w:tabs>
          <w:tab w:pos="1355" w:val="left" w:leader="none"/>
        </w:tabs>
        <w:spacing w:line="424" w:lineRule="auto" w:before="0" w:after="0"/>
        <w:ind w:left="720" w:right="4349" w:firstLine="0"/>
        <w:jc w:val="left"/>
        <w:rPr>
          <w:sz w:val="21"/>
        </w:rPr>
      </w:pPr>
      <w:r>
        <w:rPr>
          <w:spacing w:val="-4"/>
          <w:sz w:val="21"/>
        </w:rPr>
        <w:t>浙江绍兴瑞丰农村商业银行股份有限公司</w:t>
      </w:r>
      <w:r>
        <w:rPr>
          <w:spacing w:val="-7"/>
          <w:sz w:val="21"/>
        </w:rPr>
        <w:t>住所：浙江省绍兴市柯桥区笛扬路 </w:t>
      </w:r>
      <w:r>
        <w:rPr>
          <w:rFonts w:ascii="Times New Roman" w:eastAsia="Times New Roman"/>
          <w:sz w:val="21"/>
        </w:rPr>
        <w:t>1363</w:t>
      </w:r>
      <w:r>
        <w:rPr>
          <w:rFonts w:ascii="Times New Roman" w:eastAsia="Times New Roman"/>
          <w:spacing w:val="-2"/>
          <w:sz w:val="21"/>
        </w:rPr>
        <w:t> </w:t>
      </w:r>
      <w:r>
        <w:rPr>
          <w:sz w:val="21"/>
        </w:rPr>
        <w:t>号</w:t>
      </w:r>
    </w:p>
    <w:p>
      <w:pPr>
        <w:pStyle w:val="BodyText"/>
        <w:spacing w:line="424" w:lineRule="auto"/>
        <w:ind w:left="720" w:right="4393"/>
      </w:pPr>
      <w:r>
        <w:rPr/>
        <w:t>办公地址：浙江省绍兴市柯桥区笛扬路 </w:t>
      </w:r>
      <w:r>
        <w:rPr>
          <w:rFonts w:ascii="Times New Roman" w:eastAsia="Times New Roman"/>
        </w:rPr>
        <w:t>1363 </w:t>
      </w:r>
      <w:r>
        <w:rPr/>
        <w:t>号法定代表人：章伟东</w:t>
      </w:r>
    </w:p>
    <w:p>
      <w:pPr>
        <w:pStyle w:val="BodyText"/>
        <w:spacing w:line="424" w:lineRule="auto"/>
        <w:ind w:left="720" w:right="6810"/>
        <w:rPr>
          <w:rFonts w:ascii="Times New Roman" w:eastAsia="Times New Roman"/>
        </w:rPr>
      </w:pPr>
      <w:r>
        <w:rPr/>
        <w:t>电话：</w:t>
      </w:r>
      <w:r>
        <w:rPr>
          <w:rFonts w:ascii="Times New Roman" w:eastAsia="Times New Roman"/>
        </w:rPr>
        <w:t>0575-81103096 </w:t>
      </w:r>
      <w:r>
        <w:rPr/>
        <w:t>传真：</w:t>
      </w:r>
      <w:r>
        <w:rPr>
          <w:rFonts w:ascii="Times New Roman" w:eastAsia="Times New Roman"/>
        </w:rPr>
        <w:t>0575-81168501</w:t>
      </w:r>
    </w:p>
    <w:p>
      <w:pPr>
        <w:pStyle w:val="BodyText"/>
        <w:spacing w:line="424" w:lineRule="auto"/>
        <w:ind w:left="720" w:right="7035"/>
        <w:rPr>
          <w:rFonts w:ascii="Times New Roman" w:eastAsia="Times New Roman"/>
        </w:rPr>
      </w:pPr>
      <w:r>
        <w:rPr>
          <w:spacing w:val="-2"/>
        </w:rPr>
        <w:t>联系人：朱江良 </w:t>
      </w:r>
      <w:r>
        <w:rPr>
          <w:spacing w:val="-3"/>
        </w:rPr>
        <w:t>网址：</w:t>
      </w:r>
      <w:hyperlink r:id="rId56">
        <w:r>
          <w:rPr>
            <w:rFonts w:ascii="Times New Roman" w:eastAsia="Times New Roman"/>
            <w:spacing w:val="-4"/>
          </w:rPr>
          <w:t>www.borf.cn</w:t>
        </w:r>
      </w:hyperlink>
    </w:p>
    <w:p>
      <w:pPr>
        <w:pStyle w:val="BodyText"/>
        <w:spacing w:line="267" w:lineRule="exact"/>
        <w:ind w:left="720"/>
        <w:rPr>
          <w:rFonts w:ascii="Times New Roman" w:eastAsia="Times New Roman"/>
        </w:rPr>
      </w:pPr>
      <w:r>
        <w:rPr/>
        <w:t>客户服务电话：</w:t>
      </w:r>
      <w:r>
        <w:rPr>
          <w:rFonts w:ascii="Times New Roman" w:eastAsia="Times New Roman"/>
        </w:rPr>
        <w:t>400-88-96596</w:t>
      </w:r>
    </w:p>
    <w:p>
      <w:pPr>
        <w:pStyle w:val="BodyText"/>
        <w:spacing w:before="5"/>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天相投资顾问有限公司</w:t>
      </w:r>
    </w:p>
    <w:p>
      <w:pPr>
        <w:pStyle w:val="BodyText"/>
        <w:spacing w:before="3"/>
        <w:rPr>
          <w:sz w:val="16"/>
        </w:rPr>
      </w:pPr>
    </w:p>
    <w:p>
      <w:pPr>
        <w:pStyle w:val="BodyText"/>
        <w:spacing w:line="424" w:lineRule="auto" w:before="1"/>
        <w:ind w:left="720" w:right="3790"/>
      </w:pPr>
      <w:r>
        <w:rPr>
          <w:spacing w:val="-6"/>
        </w:rPr>
        <w:t>住所：北京市西城区金融街 </w:t>
      </w:r>
      <w:r>
        <w:rPr>
          <w:rFonts w:ascii="Times New Roman" w:eastAsia="Times New Roman"/>
        </w:rPr>
        <w:t>19</w:t>
      </w:r>
      <w:r>
        <w:rPr>
          <w:rFonts w:ascii="Times New Roman" w:eastAsia="Times New Roman"/>
          <w:spacing w:val="18"/>
        </w:rPr>
        <w:t> </w:t>
      </w:r>
      <w:r>
        <w:rPr>
          <w:spacing w:val="7"/>
        </w:rPr>
        <w:t>号富凯大厦</w:t>
      </w:r>
      <w:r>
        <w:rPr>
          <w:rFonts w:ascii="Times New Roman" w:eastAsia="Times New Roman"/>
        </w:rPr>
        <w:t>B</w:t>
      </w:r>
      <w:r>
        <w:rPr>
          <w:rFonts w:ascii="Times New Roman" w:eastAsia="Times New Roman"/>
          <w:spacing w:val="23"/>
        </w:rPr>
        <w:t> </w:t>
      </w:r>
      <w:r>
        <w:rPr>
          <w:spacing w:val="-16"/>
        </w:rPr>
        <w:t>座 </w:t>
      </w:r>
      <w:r>
        <w:rPr>
          <w:rFonts w:ascii="Times New Roman" w:eastAsia="Times New Roman"/>
        </w:rPr>
        <w:t>701 </w:t>
      </w:r>
      <w:r>
        <w:rPr>
          <w:spacing w:val="-6"/>
        </w:rPr>
        <w:t>办公地址：北京市西城区新街口外大街 </w:t>
      </w:r>
      <w:r>
        <w:rPr>
          <w:rFonts w:ascii="Times New Roman" w:eastAsia="Times New Roman"/>
        </w:rPr>
        <w:t>28</w:t>
      </w:r>
      <w:r>
        <w:rPr>
          <w:rFonts w:ascii="Times New Roman" w:eastAsia="Times New Roman"/>
          <w:spacing w:val="5"/>
        </w:rPr>
        <w:t> </w:t>
      </w:r>
      <w:r>
        <w:rPr>
          <w:spacing w:val="50"/>
        </w:rPr>
        <w:t>号</w:t>
      </w:r>
      <w:r>
        <w:rPr>
          <w:rFonts w:ascii="Times New Roman" w:eastAsia="Times New Roman"/>
        </w:rPr>
        <w:t>C</w:t>
      </w:r>
      <w:r>
        <w:rPr>
          <w:rFonts w:ascii="Times New Roman" w:eastAsia="Times New Roman"/>
          <w:spacing w:val="2"/>
        </w:rPr>
        <w:t> </w:t>
      </w:r>
      <w:r>
        <w:rPr>
          <w:spacing w:val="-25"/>
        </w:rPr>
        <w:t>座 </w:t>
      </w:r>
      <w:r>
        <w:rPr>
          <w:rFonts w:ascii="Times New Roman" w:eastAsia="Times New Roman"/>
        </w:rPr>
        <w:t>5</w:t>
      </w:r>
      <w:r>
        <w:rPr>
          <w:rFonts w:ascii="Times New Roman" w:eastAsia="Times New Roman"/>
          <w:spacing w:val="2"/>
        </w:rPr>
        <w:t> </w:t>
      </w:r>
      <w:r>
        <w:rPr/>
        <w:t>层</w:t>
      </w:r>
      <w:r>
        <w:rPr>
          <w:spacing w:val="-3"/>
        </w:rPr>
        <w:t>法定代表人：林义相</w:t>
      </w:r>
    </w:p>
    <w:p>
      <w:pPr>
        <w:pStyle w:val="BodyText"/>
        <w:spacing w:line="424" w:lineRule="auto"/>
        <w:ind w:left="720" w:right="690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7" w:lineRule="exact"/>
        <w:ind w:left="720"/>
      </w:pPr>
      <w:r>
        <w:rPr/>
        <w:t>联系人：尹伶</w:t>
      </w:r>
    </w:p>
    <w:p>
      <w:pPr>
        <w:pStyle w:val="BodyText"/>
        <w:spacing w:before="11"/>
        <w:rPr>
          <w:sz w:val="15"/>
        </w:rPr>
      </w:pPr>
    </w:p>
    <w:p>
      <w:pPr>
        <w:pStyle w:val="BodyText"/>
        <w:ind w:left="720"/>
        <w:rPr>
          <w:rFonts w:ascii="Times New Roman" w:eastAsia="Times New Roman"/>
        </w:rPr>
      </w:pPr>
      <w:r>
        <w:rPr/>
        <w:t>网址：</w:t>
      </w:r>
      <w:hyperlink r:id="rId57">
        <w:r>
          <w:rPr>
            <w:rFonts w:ascii="Times New Roman" w:eastAsia="Times New Roman"/>
          </w:rPr>
          <w:t>www.txsec.com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010-66045678</w:t>
      </w:r>
    </w:p>
    <w:p>
      <w:pPr>
        <w:pStyle w:val="BodyText"/>
        <w:spacing w:before="2"/>
        <w:rPr>
          <w:rFonts w:ascii="Times New Roman"/>
          <w:sz w:val="18"/>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rPr>
          <w:sz w:val="16"/>
        </w:rPr>
      </w:pPr>
    </w:p>
    <w:p>
      <w:pPr>
        <w:pStyle w:val="BodyText"/>
        <w:spacing w:before="1"/>
        <w:ind w:left="72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1"/>
        <w:rPr>
          <w:sz w:val="16"/>
        </w:rPr>
      </w:pPr>
    </w:p>
    <w:p>
      <w:pPr>
        <w:pStyle w:val="BodyText"/>
        <w:spacing w:line="424" w:lineRule="auto"/>
        <w:ind w:left="720" w:right="340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24" w:lineRule="auto"/>
        <w:ind w:left="720" w:right="690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spacing w:line="267" w:lineRule="exact"/>
        <w:ind w:left="720"/>
      </w:pPr>
      <w:r>
        <w:rPr/>
        <w:t>联系人：阮志凌</w:t>
      </w:r>
    </w:p>
    <w:p>
      <w:pPr>
        <w:pStyle w:val="BodyText"/>
        <w:spacing w:before="12"/>
        <w:rPr>
          <w:sz w:val="15"/>
        </w:rPr>
      </w:pPr>
    </w:p>
    <w:p>
      <w:pPr>
        <w:pStyle w:val="BodyText"/>
        <w:ind w:left="720"/>
        <w:rPr>
          <w:rFonts w:ascii="Times New Roman" w:eastAsia="Times New Roman"/>
        </w:rPr>
      </w:pPr>
      <w:r>
        <w:rPr/>
        <w:t>网址：</w:t>
      </w:r>
      <w:hyperlink r:id="rId58">
        <w:r>
          <w:rPr>
            <w:rFonts w:ascii="Times New Roman" w:eastAsia="Times New Roman"/>
          </w:rPr>
          <w:t>www.9ifund.com</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400-158-5050</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深圳市新兰德证券投资咨询有限公司</w:t>
      </w:r>
    </w:p>
    <w:p>
      <w:pPr>
        <w:pStyle w:val="BodyText"/>
        <w:spacing w:before="1"/>
        <w:rPr>
          <w:sz w:val="16"/>
        </w:rPr>
      </w:pPr>
    </w:p>
    <w:p>
      <w:pPr>
        <w:pStyle w:val="BodyText"/>
        <w:ind w:left="72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11"/>
        <w:rPr>
          <w:rFonts w:ascii="Times New Roman"/>
          <w:sz w:val="17"/>
        </w:rPr>
      </w:pPr>
    </w:p>
    <w:p>
      <w:pPr>
        <w:pStyle w:val="BodyText"/>
        <w:spacing w:line="424" w:lineRule="auto"/>
        <w:ind w:left="720" w:right="330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24" w:lineRule="auto"/>
        <w:ind w:left="720" w:right="690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spacing w:line="268" w:lineRule="exact"/>
        <w:ind w:left="720"/>
      </w:pPr>
      <w:r>
        <w:rPr/>
        <w:t>联系人：文雯</w:t>
      </w:r>
    </w:p>
    <w:p>
      <w:pPr>
        <w:pStyle w:val="BodyText"/>
        <w:spacing w:before="1"/>
        <w:rPr>
          <w:sz w:val="16"/>
        </w:rPr>
      </w:pPr>
    </w:p>
    <w:p>
      <w:pPr>
        <w:pStyle w:val="BodyText"/>
        <w:ind w:left="720"/>
        <w:rPr>
          <w:rFonts w:ascii="Times New Roman" w:eastAsia="Times New Roman"/>
        </w:rPr>
      </w:pPr>
      <w:r>
        <w:rPr/>
        <w:t>网址：</w:t>
      </w:r>
      <w:hyperlink r:id="rId59">
        <w:r>
          <w:rPr>
            <w:rFonts w:ascii="Times New Roman" w:eastAsia="Times New Roman"/>
          </w:rPr>
          <w:t>http://8.jrj.com.cn/</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400-166-1188</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和讯信息科技有限公司</w:t>
      </w:r>
    </w:p>
    <w:p>
      <w:pPr>
        <w:pStyle w:val="BodyText"/>
        <w:spacing w:before="1"/>
        <w:rPr>
          <w:sz w:val="16"/>
        </w:rPr>
      </w:pPr>
    </w:p>
    <w:p>
      <w:pPr>
        <w:pStyle w:val="BodyText"/>
        <w:ind w:left="720"/>
      </w:pPr>
      <w:r>
        <w:rPr/>
        <w:t>住所：北京市朝外大街 </w:t>
      </w:r>
      <w:r>
        <w:rPr>
          <w:rFonts w:ascii="Times New Roman" w:eastAsia="Times New Roman"/>
        </w:rPr>
        <w:t>22 </w:t>
      </w:r>
      <w:r>
        <w:rPr/>
        <w:t>号泛利大厦 </w:t>
      </w:r>
      <w:r>
        <w:rPr>
          <w:rFonts w:ascii="Times New Roman" w:eastAsia="Times New Roman"/>
        </w:rPr>
        <w:t>10 </w:t>
      </w:r>
      <w:r>
        <w:rPr/>
        <w:t>层</w:t>
      </w:r>
    </w:p>
    <w:p>
      <w:pPr>
        <w:pStyle w:val="BodyText"/>
        <w:spacing w:before="1"/>
        <w:rPr>
          <w:sz w:val="16"/>
        </w:rPr>
      </w:pPr>
    </w:p>
    <w:p>
      <w:pPr>
        <w:pStyle w:val="BodyText"/>
        <w:spacing w:line="427" w:lineRule="auto"/>
        <w:ind w:left="720" w:right="4349"/>
      </w:pPr>
      <w:r>
        <w:rPr>
          <w:spacing w:val="-7"/>
        </w:rPr>
        <w:t>办公地址：北京市朝外大街 </w:t>
      </w:r>
      <w:r>
        <w:rPr>
          <w:rFonts w:ascii="Times New Roman" w:eastAsia="Times New Roman"/>
        </w:rPr>
        <w:t>22 </w:t>
      </w:r>
      <w:r>
        <w:rPr>
          <w:spacing w:val="-11"/>
        </w:rPr>
        <w:t>号泛利大厦 </w:t>
      </w:r>
      <w:r>
        <w:rPr>
          <w:rFonts w:ascii="Times New Roman" w:eastAsia="Times New Roman"/>
        </w:rPr>
        <w:t>10 </w:t>
      </w:r>
      <w:r>
        <w:rPr>
          <w:spacing w:val="-11"/>
        </w:rPr>
        <w:t>层</w:t>
      </w:r>
      <w:r>
        <w:rPr>
          <w:spacing w:val="-3"/>
        </w:rPr>
        <w:t>法定代表人：王莉</w:t>
      </w:r>
    </w:p>
    <w:p>
      <w:pPr>
        <w:pStyle w:val="BodyText"/>
        <w:spacing w:line="424" w:lineRule="auto"/>
        <w:ind w:left="720" w:right="6906"/>
        <w:rPr>
          <w:rFonts w:ascii="Times New Roman" w:eastAsia="Times New Roman"/>
        </w:rPr>
      </w:pPr>
      <w:r>
        <w:rPr/>
        <w:t>电话：</w:t>
      </w:r>
      <w:r>
        <w:rPr>
          <w:rFonts w:ascii="Times New Roman" w:eastAsia="Times New Roman"/>
        </w:rPr>
        <w:t>021-20835787 </w:t>
      </w:r>
      <w:r>
        <w:rPr/>
        <w:t>传真：</w:t>
      </w:r>
      <w:r>
        <w:rPr>
          <w:rFonts w:ascii="Times New Roman" w:eastAsia="Times New Roman"/>
        </w:rPr>
        <w:t>010-85657357</w:t>
      </w:r>
    </w:p>
    <w:p>
      <w:pPr>
        <w:pStyle w:val="BodyText"/>
        <w:spacing w:line="267" w:lineRule="exact"/>
        <w:ind w:left="720"/>
      </w:pPr>
      <w:r>
        <w:rPr/>
        <w:t>联系人：吴卫东</w:t>
      </w:r>
    </w:p>
    <w:p>
      <w:pPr>
        <w:pStyle w:val="BodyText"/>
        <w:spacing w:before="9"/>
        <w:rPr>
          <w:sz w:val="15"/>
        </w:rPr>
      </w:pPr>
    </w:p>
    <w:p>
      <w:pPr>
        <w:pStyle w:val="BodyText"/>
        <w:ind w:left="720"/>
        <w:rPr>
          <w:rFonts w:ascii="Times New Roman" w:eastAsia="Times New Roman"/>
        </w:rPr>
      </w:pPr>
      <w:r>
        <w:rPr/>
        <w:t>网址：</w:t>
      </w:r>
      <w:r>
        <w:rPr>
          <w:rFonts w:ascii="Times New Roman" w:eastAsia="Times New Roman"/>
        </w:rPr>
        <w:t>licaike.hexun.com</w:t>
      </w:r>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400-920-0022</w:t>
      </w:r>
      <w:r>
        <w:rPr/>
        <w:t>、</w:t>
      </w:r>
      <w:r>
        <w:rPr>
          <w:rFonts w:ascii="Times New Roman" w:eastAsia="Times New Roman"/>
        </w:rPr>
        <w:t>021-20835588</w:t>
      </w:r>
    </w:p>
    <w:p>
      <w:pPr>
        <w:pStyle w:val="BodyText"/>
        <w:spacing w:before="10"/>
        <w:rPr>
          <w:rFonts w:ascii="Times New Roman"/>
          <w:sz w:val="17"/>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江苏汇林保大基金销售有限公司</w:t>
      </w:r>
    </w:p>
    <w:p>
      <w:pPr>
        <w:pStyle w:val="BodyText"/>
        <w:spacing w:before="1"/>
        <w:rPr>
          <w:sz w:val="16"/>
        </w:rPr>
      </w:pPr>
    </w:p>
    <w:p>
      <w:pPr>
        <w:pStyle w:val="BodyText"/>
        <w:ind w:left="720"/>
      </w:pPr>
      <w:r>
        <w:rPr/>
        <w:t>住所：南京市高淳区经济开发区古檀大道 </w:t>
      </w:r>
      <w:r>
        <w:rPr>
          <w:rFonts w:ascii="Times New Roman" w:eastAsia="Times New Roman"/>
        </w:rPr>
        <w:t>47 </w:t>
      </w:r>
      <w:r>
        <w:rPr/>
        <w:t>号</w:t>
      </w:r>
    </w:p>
    <w:p>
      <w:pPr>
        <w:pStyle w:val="BodyText"/>
        <w:spacing w:before="4"/>
        <w:rPr>
          <w:sz w:val="16"/>
        </w:rPr>
      </w:pPr>
    </w:p>
    <w:p>
      <w:pPr>
        <w:pStyle w:val="BodyText"/>
        <w:spacing w:line="424" w:lineRule="auto"/>
        <w:ind w:left="720" w:right="319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line="267" w:lineRule="exact"/>
        <w:ind w:left="72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10"/>
        <w:rPr>
          <w:rFonts w:ascii="Times New Roman"/>
          <w:sz w:val="17"/>
        </w:rPr>
      </w:pPr>
    </w:p>
    <w:p>
      <w:pPr>
        <w:pStyle w:val="BodyText"/>
        <w:spacing w:before="1"/>
        <w:ind w:left="720"/>
      </w:pPr>
      <w:r>
        <w:rPr/>
        <w:t>联系人：孙平</w:t>
      </w:r>
    </w:p>
    <w:p>
      <w:pPr>
        <w:pStyle w:val="BodyText"/>
        <w:rPr>
          <w:sz w:val="16"/>
        </w:rPr>
      </w:pPr>
    </w:p>
    <w:p>
      <w:pPr>
        <w:pStyle w:val="BodyText"/>
        <w:spacing w:before="1"/>
        <w:ind w:left="720"/>
        <w:rPr>
          <w:rFonts w:ascii="Times New Roman" w:eastAsia="Times New Roman"/>
        </w:rPr>
      </w:pPr>
      <w:r>
        <w:rPr/>
        <w:t>网址：</w:t>
      </w:r>
      <w:hyperlink r:id="rId60">
        <w:r>
          <w:rPr>
            <w:rFonts w:ascii="Times New Roman" w:eastAsia="Times New Roman"/>
          </w:rPr>
          <w:t>www.huilinbd.com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025-66046166</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上海挖财基金销售有限公司</w:t>
      </w:r>
    </w:p>
    <w:p>
      <w:pPr>
        <w:pStyle w:val="BodyText"/>
        <w:spacing w:before="1"/>
        <w:rPr>
          <w:sz w:val="16"/>
        </w:rPr>
      </w:pPr>
    </w:p>
    <w:p>
      <w:pPr>
        <w:pStyle w:val="BodyText"/>
        <w:ind w:left="72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spacing w:after="0"/>
        <w:sectPr>
          <w:pgSz w:w="11910" w:h="16840"/>
          <w:pgMar w:header="701" w:footer="683" w:top="1420" w:bottom="880" w:left="1500" w:right="920"/>
        </w:sectPr>
      </w:pPr>
    </w:p>
    <w:p>
      <w:pPr>
        <w:pStyle w:val="BodyText"/>
        <w:spacing w:line="424" w:lineRule="auto" w:before="115"/>
        <w:ind w:left="720" w:right="172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24" w:lineRule="auto"/>
        <w:ind w:left="720" w:right="690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7" w:lineRule="exact"/>
        <w:ind w:left="720"/>
      </w:pPr>
      <w:r>
        <w:rPr/>
        <w:t>联系人：李娟</w:t>
      </w:r>
    </w:p>
    <w:p>
      <w:pPr>
        <w:pStyle w:val="BodyText"/>
        <w:spacing w:before="1"/>
        <w:rPr>
          <w:sz w:val="16"/>
        </w:rPr>
      </w:pPr>
    </w:p>
    <w:p>
      <w:pPr>
        <w:pStyle w:val="BodyText"/>
        <w:ind w:left="720"/>
        <w:rPr>
          <w:rFonts w:ascii="Times New Roman" w:eastAsia="Times New Roman"/>
        </w:rPr>
      </w:pPr>
      <w:r>
        <w:rPr/>
        <w:t>网址：</w:t>
      </w:r>
      <w:hyperlink r:id="rId61">
        <w:r>
          <w:rPr>
            <w:rFonts w:ascii="Times New Roman" w:eastAsia="Times New Roman"/>
          </w:rPr>
          <w:t>www.wacaijijin.com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021-50810673</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喜鹊财富基金销售有限公司</w:t>
      </w:r>
    </w:p>
    <w:p>
      <w:pPr>
        <w:pStyle w:val="BodyText"/>
        <w:spacing w:before="1"/>
        <w:rPr>
          <w:sz w:val="16"/>
        </w:rPr>
      </w:pPr>
    </w:p>
    <w:p>
      <w:pPr>
        <w:pStyle w:val="BodyText"/>
        <w:ind w:left="720"/>
      </w:pPr>
      <w:r>
        <w:rPr/>
        <w:t>住所：西藏拉萨市柳梧新区柳梧大厦 </w:t>
      </w:r>
      <w:r>
        <w:rPr>
          <w:rFonts w:ascii="Times New Roman" w:eastAsia="Times New Roman"/>
        </w:rPr>
        <w:t>1513 </w:t>
      </w:r>
      <w:r>
        <w:rPr/>
        <w:t>室</w:t>
      </w:r>
    </w:p>
    <w:p>
      <w:pPr>
        <w:pStyle w:val="BodyText"/>
        <w:spacing w:before="1"/>
        <w:rPr>
          <w:sz w:val="16"/>
        </w:rPr>
      </w:pPr>
    </w:p>
    <w:p>
      <w:pPr>
        <w:pStyle w:val="BodyText"/>
        <w:spacing w:line="424" w:lineRule="auto"/>
        <w:ind w:left="720" w:right="4182"/>
      </w:pPr>
      <w:r>
        <w:rPr/>
        <w:t>办公地址：西藏拉萨市柳梧新区柳梧大厦 </w:t>
      </w:r>
      <w:r>
        <w:rPr>
          <w:rFonts w:ascii="Times New Roman" w:eastAsia="Times New Roman"/>
        </w:rPr>
        <w:t>1513 </w:t>
      </w:r>
      <w:r>
        <w:rPr/>
        <w:t>室法定代表人：陈皓</w:t>
      </w:r>
    </w:p>
    <w:p>
      <w:pPr>
        <w:pStyle w:val="BodyText"/>
        <w:spacing w:line="424" w:lineRule="auto"/>
        <w:ind w:left="720" w:right="569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ind w:left="720"/>
      </w:pPr>
      <w:r>
        <w:rPr/>
        <w:t>联系人：张萌</w:t>
      </w:r>
    </w:p>
    <w:p>
      <w:pPr>
        <w:pStyle w:val="BodyText"/>
        <w:rPr>
          <w:sz w:val="16"/>
        </w:rPr>
      </w:pPr>
    </w:p>
    <w:p>
      <w:pPr>
        <w:pStyle w:val="BodyText"/>
        <w:ind w:left="720"/>
        <w:rPr>
          <w:rFonts w:ascii="Times New Roman" w:eastAsia="Times New Roman"/>
        </w:rPr>
      </w:pPr>
      <w:r>
        <w:rPr/>
        <w:t>网址：</w:t>
      </w:r>
      <w:hyperlink r:id="rId62">
        <w:r>
          <w:rPr>
            <w:rFonts w:ascii="Times New Roman" w:eastAsia="Times New Roman"/>
          </w:rPr>
          <w:t>www.xiquefund.com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400-699-7719</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北京度小满基金销售有限公司</w:t>
      </w:r>
    </w:p>
    <w:p>
      <w:pPr>
        <w:pStyle w:val="BodyText"/>
        <w:spacing w:before="1"/>
        <w:rPr>
          <w:sz w:val="16"/>
        </w:rPr>
      </w:pPr>
    </w:p>
    <w:p>
      <w:pPr>
        <w:pStyle w:val="BodyText"/>
        <w:ind w:left="72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1"/>
        <w:rPr>
          <w:sz w:val="16"/>
        </w:rPr>
      </w:pPr>
    </w:p>
    <w:p>
      <w:pPr>
        <w:pStyle w:val="BodyText"/>
        <w:spacing w:line="424" w:lineRule="auto"/>
        <w:ind w:left="720" w:right="361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27" w:lineRule="auto"/>
        <w:ind w:left="720" w:right="690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spacing w:line="265" w:lineRule="exact"/>
        <w:ind w:left="720"/>
      </w:pPr>
      <w:r>
        <w:rPr/>
        <w:t>联系人：孙博超</w:t>
      </w:r>
    </w:p>
    <w:p>
      <w:pPr>
        <w:pStyle w:val="BodyText"/>
        <w:spacing w:before="12"/>
        <w:rPr>
          <w:sz w:val="15"/>
        </w:rPr>
      </w:pPr>
    </w:p>
    <w:p>
      <w:pPr>
        <w:pStyle w:val="BodyText"/>
        <w:spacing w:line="424" w:lineRule="auto"/>
        <w:ind w:left="720" w:right="6166"/>
        <w:rPr>
          <w:rFonts w:ascii="Times New Roman" w:eastAsia="Times New Roman"/>
        </w:rPr>
      </w:pPr>
      <w:r>
        <w:rPr/>
        <w:t>网址：</w:t>
      </w:r>
      <w:hyperlink r:id="rId63">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诺亚正行基金销售有限公司</w:t>
      </w:r>
    </w:p>
    <w:p>
      <w:pPr>
        <w:pStyle w:val="BodyText"/>
        <w:spacing w:before="1"/>
        <w:rPr>
          <w:sz w:val="16"/>
        </w:rPr>
      </w:pPr>
    </w:p>
    <w:p>
      <w:pPr>
        <w:pStyle w:val="BodyText"/>
        <w:spacing w:before="1"/>
        <w:ind w:left="72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rPr>
          <w:sz w:val="16"/>
        </w:rPr>
      </w:pPr>
    </w:p>
    <w:p>
      <w:pPr>
        <w:pStyle w:val="BodyText"/>
        <w:spacing w:line="424" w:lineRule="auto" w:before="1"/>
        <w:ind w:left="720" w:right="330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spacing w:after="0" w:line="424" w:lineRule="auto"/>
        <w:sectPr>
          <w:pgSz w:w="11910" w:h="16840"/>
          <w:pgMar w:header="701" w:footer="683" w:top="1420" w:bottom="880" w:left="1500" w:right="920"/>
        </w:sectPr>
      </w:pPr>
    </w:p>
    <w:p>
      <w:pPr>
        <w:pStyle w:val="BodyText"/>
        <w:spacing w:line="424" w:lineRule="auto" w:before="115"/>
        <w:ind w:left="720" w:right="690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7" w:lineRule="exact"/>
        <w:ind w:left="720"/>
      </w:pPr>
      <w:r>
        <w:rPr/>
        <w:t>联系人：张裕</w:t>
      </w:r>
    </w:p>
    <w:p>
      <w:pPr>
        <w:pStyle w:val="BodyText"/>
        <w:rPr>
          <w:sz w:val="16"/>
        </w:rPr>
      </w:pPr>
    </w:p>
    <w:p>
      <w:pPr>
        <w:pStyle w:val="BodyText"/>
        <w:spacing w:line="424" w:lineRule="auto" w:before="1"/>
        <w:ind w:left="720" w:right="6101"/>
        <w:rPr>
          <w:rFonts w:ascii="Times New Roman" w:eastAsia="Times New Roman"/>
        </w:rPr>
      </w:pPr>
      <w:r>
        <w:rPr/>
        <w:t>网址：</w:t>
      </w:r>
      <w:hyperlink r:id="rId64">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深圳众禄基金销售股份有限公司</w:t>
      </w:r>
    </w:p>
    <w:p>
      <w:pPr>
        <w:pStyle w:val="BodyText"/>
        <w:spacing w:before="1"/>
        <w:rPr>
          <w:sz w:val="16"/>
        </w:rPr>
      </w:pPr>
    </w:p>
    <w:p>
      <w:pPr>
        <w:pStyle w:val="BodyText"/>
        <w:ind w:left="72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rPr>
          <w:rFonts w:ascii="Times New Roman"/>
          <w:sz w:val="18"/>
        </w:rPr>
      </w:pPr>
    </w:p>
    <w:p>
      <w:pPr>
        <w:pStyle w:val="BodyText"/>
        <w:ind w:left="72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10"/>
        <w:rPr>
          <w:rFonts w:ascii="Times New Roman"/>
          <w:sz w:val="17"/>
        </w:rPr>
      </w:pPr>
    </w:p>
    <w:p>
      <w:pPr>
        <w:pStyle w:val="BodyText"/>
        <w:spacing w:line="424" w:lineRule="auto" w:before="1"/>
        <w:ind w:left="720" w:right="673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spacing w:line="266" w:lineRule="exact"/>
        <w:ind w:left="720"/>
      </w:pPr>
      <w:r>
        <w:rPr/>
        <w:t>联系人：童彩平</w:t>
      </w:r>
    </w:p>
    <w:p>
      <w:pPr>
        <w:pStyle w:val="BodyText"/>
        <w:rPr>
          <w:sz w:val="16"/>
        </w:rPr>
      </w:pPr>
    </w:p>
    <w:p>
      <w:pPr>
        <w:pStyle w:val="BodyText"/>
        <w:spacing w:before="1"/>
        <w:ind w:left="720"/>
        <w:rPr>
          <w:rFonts w:ascii="Times New Roman" w:eastAsia="Times New Roman"/>
        </w:rPr>
      </w:pPr>
      <w:r>
        <w:rPr/>
        <w:t>网址：</w:t>
      </w:r>
      <w:hyperlink r:id="rId65">
        <w:r>
          <w:rPr>
            <w:rFonts w:ascii="Times New Roman" w:eastAsia="Times New Roman"/>
          </w:rPr>
          <w:t>www.zlfund.cn</w:t>
        </w:r>
      </w:hyperlink>
    </w:p>
    <w:p>
      <w:pPr>
        <w:pStyle w:val="BodyText"/>
        <w:spacing w:before="1"/>
        <w:rPr>
          <w:rFonts w:ascii="Times New Roman"/>
          <w:sz w:val="18"/>
        </w:rPr>
      </w:pPr>
    </w:p>
    <w:p>
      <w:pPr>
        <w:pStyle w:val="BodyText"/>
        <w:ind w:left="720"/>
        <w:rPr>
          <w:rFonts w:ascii="Times New Roman" w:eastAsia="Times New Roman"/>
        </w:rPr>
      </w:pPr>
      <w:r>
        <w:rPr/>
        <w:t>客户服务电话：</w:t>
      </w:r>
      <w:r>
        <w:rPr>
          <w:rFonts w:ascii="Times New Roman" w:eastAsia="Times New Roman"/>
        </w:rPr>
        <w:t>4006-788-887</w:t>
      </w:r>
    </w:p>
    <w:p>
      <w:pPr>
        <w:pStyle w:val="BodyText"/>
        <w:rPr>
          <w:rFonts w:ascii="Times New Roman"/>
          <w:sz w:val="18"/>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上海天天基金销售有限公司</w:t>
      </w:r>
    </w:p>
    <w:p>
      <w:pPr>
        <w:pStyle w:val="BodyText"/>
        <w:spacing w:before="1"/>
        <w:rPr>
          <w:sz w:val="16"/>
        </w:rPr>
      </w:pPr>
    </w:p>
    <w:p>
      <w:pPr>
        <w:pStyle w:val="BodyText"/>
        <w:ind w:left="72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1"/>
        <w:rPr>
          <w:sz w:val="16"/>
        </w:rPr>
      </w:pPr>
    </w:p>
    <w:p>
      <w:pPr>
        <w:pStyle w:val="BodyText"/>
        <w:spacing w:line="424" w:lineRule="auto"/>
        <w:ind w:left="720" w:right="3342"/>
      </w:pPr>
      <w:r>
        <w:rPr/>
        <w:t>办公地址：上海市徐汇区宛平南路 </w:t>
      </w:r>
      <w:r>
        <w:rPr>
          <w:rFonts w:ascii="Times New Roman" w:eastAsia="Times New Roman"/>
        </w:rPr>
        <w:t>88 </w:t>
      </w:r>
      <w:r>
        <w:rPr/>
        <w:t>号金座东方财富大厦法定代表人：其实</w:t>
      </w:r>
    </w:p>
    <w:p>
      <w:pPr>
        <w:pStyle w:val="BodyText"/>
        <w:spacing w:line="267" w:lineRule="exact"/>
        <w:ind w:left="720"/>
        <w:rPr>
          <w:rFonts w:ascii="Times New Roman" w:eastAsia="Times New Roman"/>
        </w:rPr>
      </w:pPr>
      <w:r>
        <w:rPr/>
        <w:t>电话：</w:t>
      </w:r>
      <w:r>
        <w:rPr>
          <w:rFonts w:ascii="Times New Roman" w:eastAsia="Times New Roman"/>
        </w:rPr>
        <w:t>95021</w:t>
      </w:r>
    </w:p>
    <w:p>
      <w:pPr>
        <w:pStyle w:val="BodyText"/>
        <w:spacing w:before="10"/>
        <w:rPr>
          <w:rFonts w:ascii="Times New Roman"/>
          <w:sz w:val="17"/>
        </w:rPr>
      </w:pPr>
    </w:p>
    <w:p>
      <w:pPr>
        <w:pStyle w:val="BodyText"/>
        <w:spacing w:before="1"/>
        <w:ind w:left="720"/>
        <w:rPr>
          <w:rFonts w:ascii="Times New Roman" w:eastAsia="Times New Roman"/>
        </w:rPr>
      </w:pPr>
      <w:r>
        <w:rPr/>
        <w:t>传真：</w:t>
      </w:r>
      <w:r>
        <w:rPr>
          <w:rFonts w:ascii="Times New Roman" w:eastAsia="Times New Roman"/>
        </w:rPr>
        <w:t>021-64385308</w:t>
      </w:r>
    </w:p>
    <w:p>
      <w:pPr>
        <w:pStyle w:val="BodyText"/>
        <w:spacing w:before="10"/>
        <w:rPr>
          <w:rFonts w:ascii="Times New Roman"/>
          <w:sz w:val="17"/>
        </w:rPr>
      </w:pPr>
    </w:p>
    <w:p>
      <w:pPr>
        <w:pStyle w:val="BodyText"/>
        <w:ind w:left="720"/>
      </w:pPr>
      <w:r>
        <w:rPr/>
        <w:t>联系人：屠彦洋</w:t>
      </w:r>
    </w:p>
    <w:p>
      <w:pPr>
        <w:pStyle w:val="BodyText"/>
        <w:spacing w:before="4"/>
        <w:rPr>
          <w:sz w:val="16"/>
        </w:rPr>
      </w:pPr>
    </w:p>
    <w:p>
      <w:pPr>
        <w:pStyle w:val="BodyText"/>
        <w:spacing w:line="424" w:lineRule="auto"/>
        <w:ind w:left="720" w:right="6101"/>
        <w:rPr>
          <w:rFonts w:ascii="Times New Roman" w:eastAsia="Times New Roman"/>
        </w:rPr>
      </w:pPr>
      <w:r>
        <w:rPr/>
        <w:t>网址：</w:t>
      </w:r>
      <w:hyperlink r:id="rId66">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上海好买基金销售有限公司</w:t>
      </w:r>
    </w:p>
    <w:p>
      <w:pPr>
        <w:pStyle w:val="BodyText"/>
        <w:spacing w:before="1"/>
        <w:rPr>
          <w:sz w:val="16"/>
        </w:rPr>
      </w:pPr>
    </w:p>
    <w:p>
      <w:pPr>
        <w:pStyle w:val="BodyText"/>
        <w:spacing w:before="1"/>
        <w:ind w:left="72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1"/>
        <w:rPr>
          <w:sz w:val="16"/>
        </w:rPr>
      </w:pPr>
    </w:p>
    <w:p>
      <w:pPr>
        <w:pStyle w:val="BodyText"/>
        <w:spacing w:line="424" w:lineRule="auto"/>
        <w:ind w:left="720" w:right="193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24" w:lineRule="auto"/>
        <w:ind w:left="720" w:right="690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pPr>
      <w:r>
        <w:rPr/>
        <w:t>联系人：周天雪</w:t>
      </w:r>
    </w:p>
    <w:p>
      <w:pPr>
        <w:pStyle w:val="BodyText"/>
        <w:rPr>
          <w:sz w:val="16"/>
        </w:rPr>
      </w:pPr>
    </w:p>
    <w:p>
      <w:pPr>
        <w:pStyle w:val="BodyText"/>
        <w:spacing w:before="1"/>
        <w:ind w:left="720"/>
        <w:rPr>
          <w:rFonts w:ascii="Times New Roman" w:eastAsia="Times New Roman"/>
        </w:rPr>
      </w:pPr>
      <w:r>
        <w:rPr/>
        <w:t>网址：</w:t>
      </w:r>
      <w:hyperlink r:id="rId67">
        <w:r>
          <w:rPr>
            <w:rFonts w:ascii="Times New Roman" w:eastAsia="Times New Roman"/>
          </w:rPr>
          <w:t>www.ehowbuy.com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400-700-9665</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1"/>
        <w:rPr>
          <w:sz w:val="16"/>
        </w:rPr>
      </w:pPr>
    </w:p>
    <w:p>
      <w:pPr>
        <w:pStyle w:val="BodyText"/>
        <w:spacing w:line="424" w:lineRule="auto"/>
        <w:ind w:left="720" w:right="245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ind w:left="720"/>
        <w:rPr>
          <w:rFonts w:ascii="Times New Roman" w:eastAsia="Times New Roman"/>
        </w:rPr>
      </w:pPr>
      <w:r>
        <w:rPr/>
        <w:t>电话：</w:t>
      </w:r>
      <w:r>
        <w:rPr>
          <w:rFonts w:ascii="Times New Roman" w:eastAsia="Times New Roman"/>
        </w:rPr>
        <w:t>18205712248</w:t>
      </w:r>
    </w:p>
    <w:p>
      <w:pPr>
        <w:pStyle w:val="BodyText"/>
        <w:spacing w:before="10"/>
        <w:rPr>
          <w:rFonts w:ascii="Times New Roman"/>
          <w:sz w:val="17"/>
        </w:rPr>
      </w:pPr>
    </w:p>
    <w:p>
      <w:pPr>
        <w:pStyle w:val="BodyText"/>
        <w:spacing w:before="1"/>
        <w:ind w:left="720"/>
      </w:pPr>
      <w:r>
        <w:rPr/>
        <w:t>联系人：韩爱斌</w:t>
      </w:r>
    </w:p>
    <w:p>
      <w:pPr>
        <w:pStyle w:val="BodyText"/>
        <w:spacing w:before="1"/>
        <w:rPr>
          <w:sz w:val="16"/>
        </w:rPr>
      </w:pPr>
    </w:p>
    <w:p>
      <w:pPr>
        <w:pStyle w:val="BodyText"/>
        <w:ind w:left="720"/>
        <w:rPr>
          <w:rFonts w:ascii="Times New Roman" w:eastAsia="Times New Roman"/>
        </w:rPr>
      </w:pPr>
      <w:r>
        <w:rPr/>
        <w:t>网址：</w:t>
      </w:r>
      <w:hyperlink r:id="rId68">
        <w:r>
          <w:rPr>
            <w:rFonts w:ascii="Times New Roman" w:eastAsia="Times New Roman"/>
          </w:rPr>
          <w:t>www.fund123.cn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4000-766-123</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上海长量基金销售有限公司</w:t>
      </w:r>
    </w:p>
    <w:p>
      <w:pPr>
        <w:pStyle w:val="BodyText"/>
        <w:spacing w:before="1"/>
        <w:rPr>
          <w:sz w:val="16"/>
        </w:rPr>
      </w:pPr>
    </w:p>
    <w:p>
      <w:pPr>
        <w:pStyle w:val="BodyText"/>
        <w:ind w:left="72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4"/>
        <w:rPr>
          <w:sz w:val="16"/>
        </w:rPr>
      </w:pPr>
    </w:p>
    <w:p>
      <w:pPr>
        <w:pStyle w:val="BodyText"/>
        <w:spacing w:line="424" w:lineRule="auto"/>
        <w:ind w:left="720" w:right="294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24" w:lineRule="auto"/>
        <w:ind w:left="720" w:right="690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spacing w:line="267" w:lineRule="exact"/>
        <w:ind w:left="720"/>
      </w:pPr>
      <w:r>
        <w:rPr/>
        <w:t>联系人：黄辉</w:t>
      </w:r>
    </w:p>
    <w:p>
      <w:pPr>
        <w:pStyle w:val="BodyText"/>
        <w:spacing w:before="12"/>
        <w:rPr>
          <w:sz w:val="15"/>
        </w:rPr>
      </w:pPr>
    </w:p>
    <w:p>
      <w:pPr>
        <w:pStyle w:val="BodyText"/>
        <w:ind w:left="720"/>
        <w:rPr>
          <w:rFonts w:ascii="Times New Roman" w:eastAsia="Times New Roman"/>
        </w:rPr>
      </w:pPr>
      <w:r>
        <w:rPr/>
        <w:t>网址：</w:t>
      </w:r>
      <w:hyperlink r:id="rId69">
        <w:r>
          <w:rPr>
            <w:rFonts w:ascii="Times New Roman" w:eastAsia="Times New Roman"/>
          </w:rPr>
          <w:t>www.erichfund.com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400-820-2899</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浙江同花顺基金销售有限公司</w:t>
      </w:r>
    </w:p>
    <w:p>
      <w:pPr>
        <w:pStyle w:val="BodyText"/>
        <w:spacing w:before="4"/>
        <w:rPr>
          <w:sz w:val="16"/>
        </w:rPr>
      </w:pPr>
    </w:p>
    <w:p>
      <w:pPr>
        <w:pStyle w:val="BodyText"/>
        <w:ind w:left="720"/>
      </w:pPr>
      <w:r>
        <w:rPr/>
        <w:t>住所：浙江省杭州市文二西路一号元茂大厦 </w:t>
      </w:r>
      <w:r>
        <w:rPr>
          <w:rFonts w:ascii="Times New Roman" w:eastAsia="Times New Roman"/>
        </w:rPr>
        <w:t>903 </w:t>
      </w:r>
      <w:r>
        <w:rPr/>
        <w:t>室</w:t>
      </w:r>
    </w:p>
    <w:p>
      <w:pPr>
        <w:pStyle w:val="BodyText"/>
        <w:spacing w:before="1"/>
        <w:rPr>
          <w:sz w:val="16"/>
        </w:rPr>
      </w:pPr>
    </w:p>
    <w:p>
      <w:pPr>
        <w:pStyle w:val="BodyText"/>
        <w:spacing w:line="424" w:lineRule="auto" w:before="1"/>
        <w:ind w:left="720" w:right="235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24" w:lineRule="auto"/>
        <w:ind w:left="720" w:right="632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7" w:lineRule="exact"/>
        <w:ind w:left="720"/>
      </w:pPr>
      <w:r>
        <w:rPr/>
        <w:t>联系人：吴强</w:t>
      </w:r>
    </w:p>
    <w:p>
      <w:pPr>
        <w:pStyle w:val="BodyText"/>
        <w:spacing w:before="11"/>
        <w:rPr>
          <w:sz w:val="15"/>
        </w:rPr>
      </w:pPr>
    </w:p>
    <w:p>
      <w:pPr>
        <w:pStyle w:val="BodyText"/>
        <w:ind w:left="720"/>
        <w:rPr>
          <w:rFonts w:ascii="Times New Roman" w:eastAsia="Times New Roman"/>
        </w:rPr>
      </w:pPr>
      <w:r>
        <w:rPr/>
        <w:t>网址：</w:t>
      </w:r>
      <w:hyperlink r:id="rId70">
        <w:r>
          <w:rPr>
            <w:rFonts w:ascii="Times New Roman" w:eastAsia="Times New Roman"/>
          </w:rPr>
          <w:t>www.5ifund.com</w:t>
        </w:r>
      </w:hyperlink>
    </w:p>
    <w:p>
      <w:pPr>
        <w:pStyle w:val="BodyText"/>
        <w:rPr>
          <w:rFonts w:ascii="Times New Roman"/>
          <w:sz w:val="18"/>
        </w:rPr>
      </w:pPr>
    </w:p>
    <w:p>
      <w:pPr>
        <w:pStyle w:val="BodyText"/>
        <w:ind w:left="720"/>
        <w:rPr>
          <w:rFonts w:ascii="Times New Roman" w:eastAsia="Times New Roman"/>
        </w:rPr>
      </w:pPr>
      <w:r>
        <w:rPr/>
        <w:t>客户服务电话：</w:t>
      </w:r>
      <w:r>
        <w:rPr>
          <w:rFonts w:ascii="Times New Roman" w:eastAsia="Times New Roman"/>
        </w:rPr>
        <w:t>400-877-3772</w:t>
      </w:r>
    </w:p>
    <w:p>
      <w:pPr>
        <w:spacing w:after="0"/>
        <w:rPr>
          <w:rFonts w:ascii="Times New Roman" w:eastAsia="Times New Roman"/>
        </w:rPr>
        <w:sectPr>
          <w:pgSz w:w="11910" w:h="16840"/>
          <w:pgMar w:header="701" w:footer="683" w:top="1420" w:bottom="880" w:left="1500" w:right="920"/>
        </w:sectPr>
      </w:pPr>
    </w:p>
    <w:p>
      <w:pPr>
        <w:pStyle w:val="ListParagraph"/>
        <w:numPr>
          <w:ilvl w:val="0"/>
          <w:numId w:val="10"/>
        </w:numPr>
        <w:tabs>
          <w:tab w:pos="1355" w:val="left" w:leader="none"/>
        </w:tabs>
        <w:spacing w:line="240" w:lineRule="auto" w:before="115" w:after="0"/>
        <w:ind w:left="1355" w:right="0" w:hanging="635"/>
        <w:jc w:val="left"/>
        <w:rPr>
          <w:sz w:val="21"/>
        </w:rPr>
      </w:pPr>
      <w:r>
        <w:rPr>
          <w:spacing w:val="-3"/>
          <w:sz w:val="21"/>
        </w:rPr>
        <w:t>北京展恒基金销售有限公司</w:t>
      </w:r>
    </w:p>
    <w:p>
      <w:pPr>
        <w:pStyle w:val="BodyText"/>
        <w:rPr>
          <w:sz w:val="16"/>
        </w:rPr>
      </w:pPr>
    </w:p>
    <w:p>
      <w:pPr>
        <w:pStyle w:val="BodyText"/>
        <w:spacing w:before="1"/>
        <w:ind w:left="720"/>
      </w:pPr>
      <w:r>
        <w:rPr/>
        <w:t>住所：北京市顺义区后沙峪镇安富街 </w:t>
      </w:r>
      <w:r>
        <w:rPr>
          <w:rFonts w:ascii="Times New Roman" w:eastAsia="Times New Roman"/>
        </w:rPr>
        <w:t>6 </w:t>
      </w:r>
      <w:r>
        <w:rPr/>
        <w:t>号</w:t>
      </w:r>
    </w:p>
    <w:p>
      <w:pPr>
        <w:pStyle w:val="BodyText"/>
        <w:spacing w:before="1"/>
        <w:rPr>
          <w:sz w:val="16"/>
        </w:rPr>
      </w:pPr>
    </w:p>
    <w:p>
      <w:pPr>
        <w:pStyle w:val="BodyText"/>
        <w:spacing w:line="424" w:lineRule="auto"/>
        <w:ind w:left="720" w:right="3929"/>
      </w:pPr>
      <w:r>
        <w:rPr>
          <w:spacing w:val="-6"/>
        </w:rPr>
        <w:t>办公地址：北京市朝阳区华严北里 </w:t>
      </w:r>
      <w:r>
        <w:rPr>
          <w:rFonts w:ascii="Times New Roman" w:eastAsia="Times New Roman"/>
        </w:rPr>
        <w:t>2</w:t>
      </w:r>
      <w:r>
        <w:rPr>
          <w:rFonts w:ascii="Times New Roman" w:eastAsia="Times New Roman"/>
          <w:spacing w:val="3"/>
        </w:rPr>
        <w:t> </w:t>
      </w:r>
      <w:r>
        <w:rPr>
          <w:spacing w:val="-11"/>
        </w:rPr>
        <w:t>号民建大厦 </w:t>
      </w:r>
      <w:r>
        <w:rPr>
          <w:rFonts w:ascii="Times New Roman" w:eastAsia="Times New Roman"/>
        </w:rPr>
        <w:t>6</w:t>
      </w:r>
      <w:r>
        <w:rPr>
          <w:rFonts w:ascii="Times New Roman" w:eastAsia="Times New Roman"/>
          <w:spacing w:val="3"/>
        </w:rPr>
        <w:t> </w:t>
      </w:r>
      <w:r>
        <w:rPr/>
        <w:t>层</w:t>
      </w:r>
      <w:r>
        <w:rPr>
          <w:spacing w:val="-3"/>
        </w:rPr>
        <w:t>法定代表人：闫振杰</w:t>
      </w:r>
    </w:p>
    <w:p>
      <w:pPr>
        <w:pStyle w:val="BodyText"/>
        <w:spacing w:line="427" w:lineRule="auto"/>
        <w:ind w:left="720" w:right="641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4" w:lineRule="exact"/>
        <w:ind w:left="720"/>
      </w:pPr>
      <w:r>
        <w:rPr/>
        <w:t>联系人：翟飞飞</w:t>
      </w:r>
    </w:p>
    <w:p>
      <w:pPr>
        <w:pStyle w:val="BodyText"/>
        <w:spacing w:before="12"/>
        <w:rPr>
          <w:sz w:val="15"/>
        </w:rPr>
      </w:pPr>
    </w:p>
    <w:p>
      <w:pPr>
        <w:pStyle w:val="BodyText"/>
        <w:ind w:left="720"/>
        <w:rPr>
          <w:rFonts w:ascii="Times New Roman" w:eastAsia="Times New Roman"/>
        </w:rPr>
      </w:pPr>
      <w:r>
        <w:rPr/>
        <w:t>网址：</w:t>
      </w:r>
      <w:hyperlink r:id="rId71">
        <w:r>
          <w:rPr>
            <w:rFonts w:ascii="Times New Roman" w:eastAsia="Times New Roman"/>
          </w:rPr>
          <w:t>www.myfund.com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400-888-6661</w:t>
      </w:r>
    </w:p>
    <w:p>
      <w:pPr>
        <w:pStyle w:val="BodyText"/>
        <w:spacing w:before="10"/>
        <w:rPr>
          <w:rFonts w:ascii="Times New Roman"/>
          <w:sz w:val="17"/>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上海利得基金销售有限公司</w:t>
      </w:r>
    </w:p>
    <w:p>
      <w:pPr>
        <w:pStyle w:val="BodyText"/>
        <w:rPr>
          <w:sz w:val="16"/>
        </w:rPr>
      </w:pPr>
    </w:p>
    <w:p>
      <w:pPr>
        <w:pStyle w:val="BodyText"/>
        <w:spacing w:before="1"/>
        <w:ind w:left="72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1"/>
        <w:rPr>
          <w:sz w:val="16"/>
        </w:rPr>
      </w:pPr>
    </w:p>
    <w:p>
      <w:pPr>
        <w:pStyle w:val="BodyText"/>
        <w:spacing w:line="424" w:lineRule="auto"/>
        <w:ind w:left="720" w:right="434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24" w:lineRule="auto"/>
        <w:ind w:left="720" w:right="690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7" w:lineRule="exact"/>
        <w:ind w:left="720"/>
      </w:pPr>
      <w:r>
        <w:rPr/>
        <w:t>联系人：曹怡晨</w:t>
      </w:r>
    </w:p>
    <w:p>
      <w:pPr>
        <w:pStyle w:val="BodyText"/>
        <w:spacing w:before="1"/>
        <w:rPr>
          <w:sz w:val="16"/>
        </w:rPr>
      </w:pPr>
    </w:p>
    <w:p>
      <w:pPr>
        <w:pStyle w:val="BodyText"/>
        <w:spacing w:line="424" w:lineRule="auto"/>
        <w:ind w:left="720" w:right="5637"/>
        <w:rPr>
          <w:rFonts w:ascii="Times New Roman" w:eastAsia="Times New Roman"/>
        </w:rPr>
      </w:pPr>
      <w:r>
        <w:rPr/>
        <w:t>网址：</w:t>
      </w:r>
      <w:hyperlink r:id="rId72">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浙江金观诚基金销售有限公司</w:t>
      </w:r>
    </w:p>
    <w:p>
      <w:pPr>
        <w:pStyle w:val="BodyText"/>
        <w:spacing w:before="1"/>
        <w:rPr>
          <w:sz w:val="16"/>
        </w:rPr>
      </w:pPr>
    </w:p>
    <w:p>
      <w:pPr>
        <w:pStyle w:val="BodyText"/>
        <w:ind w:left="720"/>
      </w:pPr>
      <w:r>
        <w:rPr/>
        <w:t>住所：杭州市拱墅区登云路 </w:t>
      </w:r>
      <w:r>
        <w:rPr>
          <w:rFonts w:ascii="Times New Roman" w:eastAsia="Times New Roman"/>
        </w:rPr>
        <w:t>45 </w:t>
      </w:r>
      <w:r>
        <w:rPr/>
        <w:t>号（锦昌大厦）</w:t>
      </w:r>
      <w:r>
        <w:rPr>
          <w:rFonts w:ascii="Times New Roman" w:eastAsia="Times New Roman"/>
        </w:rPr>
        <w:t>1 </w:t>
      </w:r>
      <w:r>
        <w:rPr/>
        <w:t>幢 </w:t>
      </w:r>
      <w:r>
        <w:rPr>
          <w:rFonts w:ascii="Times New Roman" w:eastAsia="Times New Roman"/>
        </w:rPr>
        <w:t>10 </w:t>
      </w:r>
      <w:r>
        <w:rPr/>
        <w:t>楼 </w:t>
      </w:r>
      <w:r>
        <w:rPr>
          <w:rFonts w:ascii="Times New Roman" w:eastAsia="Times New Roman"/>
        </w:rPr>
        <w:t>1001 </w:t>
      </w:r>
      <w:r>
        <w:rPr/>
        <w:t>室</w:t>
      </w:r>
    </w:p>
    <w:p>
      <w:pPr>
        <w:pStyle w:val="BodyText"/>
        <w:spacing w:before="1"/>
        <w:rPr>
          <w:sz w:val="16"/>
        </w:rPr>
      </w:pPr>
    </w:p>
    <w:p>
      <w:pPr>
        <w:pStyle w:val="BodyText"/>
        <w:spacing w:line="427" w:lineRule="auto" w:before="1"/>
        <w:ind w:left="720" w:right="2922"/>
      </w:pPr>
      <w:r>
        <w:rPr/>
        <w:t>办公地址：杭州市拱墅区登云路 </w:t>
      </w:r>
      <w:r>
        <w:rPr>
          <w:rFonts w:ascii="Times New Roman" w:eastAsia="Times New Roman"/>
        </w:rPr>
        <w:t>45 </w:t>
      </w:r>
      <w:r>
        <w:rPr/>
        <w:t>号锦昌大厦一楼金观诚财富法定代表人：徐黎云</w:t>
      </w:r>
    </w:p>
    <w:p>
      <w:pPr>
        <w:pStyle w:val="BodyText"/>
        <w:spacing w:line="424" w:lineRule="auto"/>
        <w:ind w:left="720" w:right="680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spacing w:line="267" w:lineRule="exact"/>
        <w:ind w:left="720"/>
      </w:pPr>
      <w:r>
        <w:rPr/>
        <w:t>联系人：孙成岩</w:t>
      </w:r>
    </w:p>
    <w:p>
      <w:pPr>
        <w:pStyle w:val="BodyText"/>
        <w:spacing w:before="9"/>
        <w:rPr>
          <w:sz w:val="15"/>
        </w:rPr>
      </w:pPr>
    </w:p>
    <w:p>
      <w:pPr>
        <w:pStyle w:val="BodyText"/>
        <w:spacing w:line="424" w:lineRule="auto"/>
        <w:ind w:left="720" w:right="6002"/>
        <w:rPr>
          <w:rFonts w:ascii="Times New Roman" w:eastAsia="Times New Roman"/>
        </w:rPr>
      </w:pPr>
      <w:r>
        <w:rPr/>
        <w:t>网址：</w:t>
      </w:r>
      <w:hyperlink r:id="rId73">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嘉实财富管理有限公司</w:t>
      </w:r>
    </w:p>
    <w:p>
      <w:pPr>
        <w:pStyle w:val="BodyText"/>
        <w:spacing w:before="1"/>
        <w:rPr>
          <w:sz w:val="16"/>
        </w:rPr>
      </w:pPr>
    </w:p>
    <w:p>
      <w:pPr>
        <w:pStyle w:val="BodyText"/>
        <w:spacing w:before="1"/>
        <w:ind w:left="720"/>
      </w:pPr>
      <w:r>
        <w:rPr/>
        <w:t>住所：上海市浦东新区世纪大道 </w:t>
      </w:r>
      <w:r>
        <w:rPr>
          <w:rFonts w:ascii="Times New Roman" w:eastAsia="Times New Roman"/>
        </w:rPr>
        <w:t>8 </w:t>
      </w:r>
      <w:r>
        <w:rPr/>
        <w:t>号上海国金中心办公楼二期 </w:t>
      </w:r>
      <w:r>
        <w:rPr>
          <w:rFonts w:ascii="Times New Roman" w:eastAsia="Times New Roman"/>
        </w:rPr>
        <w:t>53 </w:t>
      </w:r>
      <w:r>
        <w:rPr/>
        <w:t>层 </w:t>
      </w:r>
      <w:r>
        <w:rPr>
          <w:rFonts w:ascii="Times New Roman" w:eastAsia="Times New Roman"/>
        </w:rPr>
        <w:t>5312-15 </w:t>
      </w:r>
      <w:r>
        <w:rPr/>
        <w:t>单元</w:t>
      </w:r>
    </w:p>
    <w:p>
      <w:pPr>
        <w:spacing w:after="0"/>
        <w:sectPr>
          <w:pgSz w:w="11910" w:h="16840"/>
          <w:pgMar w:header="701" w:footer="683" w:top="1420" w:bottom="880" w:left="1500" w:right="920"/>
        </w:sectPr>
      </w:pPr>
    </w:p>
    <w:p>
      <w:pPr>
        <w:pStyle w:val="BodyText"/>
        <w:spacing w:line="424" w:lineRule="auto" w:before="115"/>
        <w:ind w:left="720" w:right="3506"/>
      </w:pPr>
      <w:r>
        <w:rPr/>
        <w:t>办公地址：北京市朝阳区建国路 </w:t>
      </w:r>
      <w:r>
        <w:rPr>
          <w:rFonts w:ascii="Times New Roman" w:eastAsia="Times New Roman"/>
        </w:rPr>
        <w:t>91 </w:t>
      </w:r>
      <w:r>
        <w:rPr/>
        <w:t>号金地中心</w:t>
      </w:r>
      <w:r>
        <w:rPr>
          <w:rFonts w:ascii="Times New Roman" w:eastAsia="Times New Roman"/>
        </w:rPr>
        <w:t>A </w:t>
      </w:r>
      <w:r>
        <w:rPr/>
        <w:t>座 </w:t>
      </w:r>
      <w:r>
        <w:rPr>
          <w:rFonts w:ascii="Times New Roman" w:eastAsia="Times New Roman"/>
        </w:rPr>
        <w:t>6 </w:t>
      </w:r>
      <w:r>
        <w:rPr/>
        <w:t>层法定代表人：赵学军</w:t>
      </w:r>
    </w:p>
    <w:p>
      <w:pPr>
        <w:pStyle w:val="BodyText"/>
        <w:spacing w:line="424" w:lineRule="auto"/>
        <w:ind w:left="720" w:right="6906"/>
        <w:rPr>
          <w:rFonts w:ascii="Times New Roman" w:eastAsia="Times New Roman"/>
        </w:rPr>
      </w:pPr>
      <w:r>
        <w:rPr/>
        <w:t>电话：</w:t>
      </w:r>
      <w:r>
        <w:rPr>
          <w:rFonts w:ascii="Times New Roman" w:eastAsia="Times New Roman"/>
        </w:rPr>
        <w:t>010-85097570 </w:t>
      </w:r>
      <w:r>
        <w:rPr/>
        <w:t>传真：</w:t>
      </w:r>
      <w:r>
        <w:rPr>
          <w:rFonts w:ascii="Times New Roman" w:eastAsia="Times New Roman"/>
        </w:rPr>
        <w:t>010-85097308</w:t>
      </w:r>
    </w:p>
    <w:p>
      <w:pPr>
        <w:pStyle w:val="BodyText"/>
        <w:spacing w:line="267" w:lineRule="exact"/>
        <w:ind w:left="720"/>
      </w:pPr>
      <w:r>
        <w:rPr/>
        <w:t>联系人：余永键</w:t>
      </w:r>
    </w:p>
    <w:p>
      <w:pPr>
        <w:pStyle w:val="BodyText"/>
        <w:spacing w:before="1"/>
        <w:rPr>
          <w:sz w:val="16"/>
        </w:rPr>
      </w:pPr>
    </w:p>
    <w:p>
      <w:pPr>
        <w:pStyle w:val="BodyText"/>
        <w:ind w:left="720"/>
        <w:rPr>
          <w:rFonts w:ascii="Times New Roman" w:eastAsia="Times New Roman"/>
        </w:rPr>
      </w:pPr>
      <w:r>
        <w:rPr/>
        <w:t>网址：</w:t>
      </w:r>
      <w:hyperlink r:id="rId74">
        <w:r>
          <w:rPr>
            <w:rFonts w:ascii="Times New Roman" w:eastAsia="Times New Roman"/>
          </w:rPr>
          <w:t>www.harvestwm.cn</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400-021-8850</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1"/>
        <w:rPr>
          <w:sz w:val="16"/>
        </w:rPr>
      </w:pPr>
    </w:p>
    <w:p>
      <w:pPr>
        <w:pStyle w:val="BodyText"/>
        <w:ind w:left="720"/>
      </w:pPr>
      <w:r>
        <w:rPr/>
        <w:t>住所：北京市海淀区东北旺村南 </w:t>
      </w:r>
      <w:r>
        <w:rPr>
          <w:rFonts w:ascii="Times New Roman" w:eastAsia="Times New Roman"/>
        </w:rPr>
        <w:t>1 </w:t>
      </w:r>
      <w:r>
        <w:rPr/>
        <w:t>号楼 </w:t>
      </w:r>
      <w:r>
        <w:rPr>
          <w:rFonts w:ascii="Times New Roman" w:eastAsia="Times New Roman"/>
        </w:rPr>
        <w:t>7 </w:t>
      </w:r>
      <w:r>
        <w:rPr/>
        <w:t>层 </w:t>
      </w:r>
      <w:r>
        <w:rPr>
          <w:rFonts w:ascii="Times New Roman" w:eastAsia="Times New Roman"/>
        </w:rPr>
        <w:t>7117 </w:t>
      </w:r>
      <w:r>
        <w:rPr/>
        <w:t>室</w:t>
      </w:r>
    </w:p>
    <w:p>
      <w:pPr>
        <w:pStyle w:val="BodyText"/>
        <w:spacing w:before="1"/>
        <w:rPr>
          <w:sz w:val="16"/>
        </w:rPr>
      </w:pPr>
    </w:p>
    <w:p>
      <w:pPr>
        <w:pStyle w:val="BodyText"/>
        <w:spacing w:line="424" w:lineRule="auto"/>
        <w:ind w:left="720" w:right="3553"/>
      </w:pPr>
      <w:r>
        <w:rPr/>
        <w:t>办公地址：北京市西城区德外大街合生财富广场 </w:t>
      </w:r>
      <w:r>
        <w:rPr>
          <w:rFonts w:ascii="Times New Roman" w:eastAsia="Times New Roman"/>
        </w:rPr>
        <w:t>1302 </w:t>
      </w:r>
      <w:r>
        <w:rPr/>
        <w:t>室法定代表人：王兴吉</w:t>
      </w:r>
    </w:p>
    <w:p>
      <w:pPr>
        <w:pStyle w:val="BodyText"/>
        <w:spacing w:line="424" w:lineRule="auto"/>
        <w:ind w:left="720" w:right="690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ind w:left="720"/>
      </w:pPr>
      <w:r>
        <w:rPr/>
        <w:t>联系人：高雪超</w:t>
      </w:r>
    </w:p>
    <w:p>
      <w:pPr>
        <w:pStyle w:val="BodyText"/>
        <w:rPr>
          <w:sz w:val="16"/>
        </w:rPr>
      </w:pPr>
    </w:p>
    <w:p>
      <w:pPr>
        <w:pStyle w:val="BodyText"/>
        <w:spacing w:line="424" w:lineRule="auto"/>
        <w:ind w:left="720" w:right="6189"/>
        <w:rPr>
          <w:rFonts w:ascii="Times New Roman" w:eastAsia="Times New Roman"/>
        </w:rPr>
      </w:pPr>
      <w:r>
        <w:rPr/>
        <w:t>网 址 ：</w:t>
      </w:r>
      <w:hyperlink r:id="rId75">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北京创金启富基金销售有限公司</w:t>
      </w:r>
    </w:p>
    <w:p>
      <w:pPr>
        <w:pStyle w:val="BodyText"/>
        <w:spacing w:before="1"/>
        <w:rPr>
          <w:sz w:val="16"/>
        </w:rPr>
      </w:pPr>
    </w:p>
    <w:p>
      <w:pPr>
        <w:pStyle w:val="BodyText"/>
        <w:ind w:left="720"/>
      </w:pPr>
      <w:r>
        <w:rPr/>
        <w:t>住所：北京市西城区白纸坊东街 </w:t>
      </w:r>
      <w:r>
        <w:rPr>
          <w:rFonts w:ascii="Times New Roman" w:eastAsia="Times New Roman"/>
        </w:rPr>
        <w:t>2 </w:t>
      </w:r>
      <w:r>
        <w:rPr/>
        <w:t>号院 </w:t>
      </w:r>
      <w:r>
        <w:rPr>
          <w:rFonts w:ascii="Times New Roman" w:eastAsia="Times New Roman"/>
        </w:rPr>
        <w:t>6 </w:t>
      </w:r>
      <w:r>
        <w:rPr/>
        <w:t>号楼 </w:t>
      </w:r>
      <w:r>
        <w:rPr>
          <w:rFonts w:ascii="Times New Roman" w:eastAsia="Times New Roman"/>
        </w:rPr>
        <w:t>712 </w:t>
      </w:r>
      <w:r>
        <w:rPr/>
        <w:t>室</w:t>
      </w:r>
    </w:p>
    <w:p>
      <w:pPr>
        <w:pStyle w:val="BodyText"/>
        <w:spacing w:before="1"/>
        <w:rPr>
          <w:sz w:val="16"/>
        </w:rPr>
      </w:pPr>
    </w:p>
    <w:p>
      <w:pPr>
        <w:pStyle w:val="BodyText"/>
        <w:spacing w:line="424" w:lineRule="auto"/>
        <w:ind w:left="720" w:right="3509"/>
      </w:pPr>
      <w:r>
        <w:rPr>
          <w:spacing w:val="-6"/>
        </w:rPr>
        <w:t>办公地址：北京市西城区白纸坊东街 </w:t>
      </w:r>
      <w:r>
        <w:rPr>
          <w:rFonts w:ascii="Times New Roman" w:eastAsia="Times New Roman"/>
        </w:rPr>
        <w:t>2 </w:t>
      </w:r>
      <w:r>
        <w:rPr>
          <w:spacing w:val="-18"/>
        </w:rPr>
        <w:t>号院 </w:t>
      </w:r>
      <w:r>
        <w:rPr>
          <w:rFonts w:ascii="Times New Roman" w:eastAsia="Times New Roman"/>
        </w:rPr>
        <w:t>6 </w:t>
      </w:r>
      <w:r>
        <w:rPr>
          <w:spacing w:val="-18"/>
        </w:rPr>
        <w:t>号楼 </w:t>
      </w:r>
      <w:r>
        <w:rPr>
          <w:rFonts w:ascii="Times New Roman" w:eastAsia="Times New Roman"/>
        </w:rPr>
        <w:t>712 </w:t>
      </w:r>
      <w:r>
        <w:rPr/>
        <w:t>室</w:t>
      </w:r>
      <w:r>
        <w:rPr>
          <w:spacing w:val="-3"/>
        </w:rPr>
        <w:t>法定代表人：梁蓉</w:t>
      </w:r>
    </w:p>
    <w:p>
      <w:pPr>
        <w:pStyle w:val="BodyText"/>
        <w:spacing w:line="427" w:lineRule="auto"/>
        <w:ind w:left="720" w:right="6521"/>
        <w:rPr>
          <w:rFonts w:ascii="Times New Roman" w:eastAsia="Times New Roman"/>
        </w:rPr>
      </w:pPr>
      <w:r>
        <w:rPr/>
        <w:t>电话：</w:t>
      </w:r>
      <w:r>
        <w:rPr>
          <w:rFonts w:ascii="Times New Roman" w:eastAsia="Times New Roman"/>
        </w:rPr>
        <w:t>010-66154828-809 </w:t>
      </w:r>
      <w:r>
        <w:rPr/>
        <w:t>传真：</w:t>
      </w:r>
      <w:r>
        <w:rPr>
          <w:rFonts w:ascii="Times New Roman" w:eastAsia="Times New Roman"/>
        </w:rPr>
        <w:t>010-88067526</w:t>
      </w:r>
    </w:p>
    <w:p>
      <w:pPr>
        <w:pStyle w:val="BodyText"/>
        <w:spacing w:line="265" w:lineRule="exact"/>
        <w:ind w:left="720"/>
      </w:pPr>
      <w:r>
        <w:rPr/>
        <w:t>联系人：马浩</w:t>
      </w:r>
    </w:p>
    <w:p>
      <w:pPr>
        <w:pStyle w:val="BodyText"/>
        <w:spacing w:before="12"/>
        <w:rPr>
          <w:sz w:val="15"/>
        </w:rPr>
      </w:pPr>
    </w:p>
    <w:p>
      <w:pPr>
        <w:pStyle w:val="BodyText"/>
        <w:ind w:left="720"/>
        <w:rPr>
          <w:rFonts w:ascii="Times New Roman" w:eastAsia="Times New Roman"/>
        </w:rPr>
      </w:pPr>
      <w:r>
        <w:rPr/>
        <w:t>网址：</w:t>
      </w:r>
      <w:hyperlink r:id="rId76">
        <w:r>
          <w:rPr>
            <w:rFonts w:ascii="Times New Roman" w:eastAsia="Times New Roman"/>
          </w:rPr>
          <w:t>www.5irich.com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400-6262-818</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泛华普益基金销售有限公司</w:t>
      </w:r>
    </w:p>
    <w:p>
      <w:pPr>
        <w:pStyle w:val="BodyText"/>
        <w:spacing w:before="1"/>
        <w:rPr>
          <w:sz w:val="16"/>
        </w:rPr>
      </w:pPr>
    </w:p>
    <w:p>
      <w:pPr>
        <w:pStyle w:val="BodyText"/>
        <w:spacing w:before="1"/>
        <w:ind w:left="720"/>
      </w:pPr>
      <w:r>
        <w:rPr>
          <w:spacing w:val="-7"/>
        </w:rPr>
        <w:t>住所：成都市成华区建设路 </w:t>
      </w:r>
      <w:r>
        <w:rPr>
          <w:rFonts w:ascii="Times New Roman" w:eastAsia="Times New Roman"/>
        </w:rPr>
        <w:t>9</w:t>
      </w:r>
      <w:r>
        <w:rPr>
          <w:rFonts w:ascii="Times New Roman" w:eastAsia="Times New Roman"/>
          <w:spacing w:val="6"/>
        </w:rPr>
        <w:t> </w:t>
      </w:r>
      <w:r>
        <w:rPr>
          <w:spacing w:val="-11"/>
        </w:rPr>
        <w:t>号高地中心 </w:t>
      </w:r>
      <w:r>
        <w:rPr>
          <w:rFonts w:ascii="Times New Roman" w:eastAsia="Times New Roman"/>
          <w:spacing w:val="-3"/>
        </w:rPr>
        <w:t>1101</w:t>
      </w:r>
      <w:r>
        <w:rPr>
          <w:rFonts w:ascii="Times New Roman" w:eastAsia="Times New Roman"/>
          <w:spacing w:val="6"/>
        </w:rPr>
        <w:t> </w:t>
      </w:r>
      <w:r>
        <w:rPr/>
        <w:t>室</w:t>
      </w:r>
    </w:p>
    <w:p>
      <w:pPr>
        <w:pStyle w:val="BodyText"/>
        <w:rPr>
          <w:sz w:val="16"/>
        </w:rPr>
      </w:pPr>
    </w:p>
    <w:p>
      <w:pPr>
        <w:pStyle w:val="BodyText"/>
        <w:spacing w:line="424" w:lineRule="auto" w:before="1"/>
        <w:ind w:left="720" w:right="105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spacing w:after="0" w:line="424" w:lineRule="auto"/>
        <w:sectPr>
          <w:pgSz w:w="11910" w:h="16840"/>
          <w:pgMar w:header="701" w:footer="683" w:top="1420" w:bottom="880" w:left="1500" w:right="920"/>
        </w:sectPr>
      </w:pPr>
    </w:p>
    <w:p>
      <w:pPr>
        <w:pStyle w:val="BodyText"/>
        <w:spacing w:before="115"/>
        <w:ind w:left="720"/>
        <w:rPr>
          <w:rFonts w:ascii="Times New Roman" w:eastAsia="Times New Roman"/>
        </w:rPr>
      </w:pPr>
      <w:r>
        <w:rPr/>
        <w:t>电话：</w:t>
      </w:r>
      <w:r>
        <w:rPr>
          <w:rFonts w:ascii="Times New Roman" w:eastAsia="Times New Roman"/>
        </w:rPr>
        <w:t>13910181936</w:t>
      </w:r>
    </w:p>
    <w:p>
      <w:pPr>
        <w:pStyle w:val="BodyText"/>
        <w:spacing w:before="10"/>
        <w:rPr>
          <w:rFonts w:ascii="Times New Roman"/>
          <w:sz w:val="17"/>
        </w:rPr>
      </w:pPr>
    </w:p>
    <w:p>
      <w:pPr>
        <w:pStyle w:val="BodyText"/>
        <w:ind w:left="720"/>
        <w:rPr>
          <w:rFonts w:ascii="Times New Roman" w:eastAsia="Times New Roman"/>
        </w:rPr>
      </w:pPr>
      <w:r>
        <w:rPr/>
        <w:t>传真：</w:t>
      </w:r>
      <w:r>
        <w:rPr>
          <w:rFonts w:ascii="Times New Roman" w:eastAsia="Times New Roman"/>
        </w:rPr>
        <w:t>-</w:t>
      </w:r>
    </w:p>
    <w:p>
      <w:pPr>
        <w:pStyle w:val="BodyText"/>
        <w:spacing w:before="11"/>
        <w:rPr>
          <w:rFonts w:ascii="Times New Roman"/>
          <w:sz w:val="17"/>
        </w:rPr>
      </w:pPr>
    </w:p>
    <w:p>
      <w:pPr>
        <w:pStyle w:val="BodyText"/>
        <w:ind w:left="720"/>
      </w:pPr>
      <w:r>
        <w:rPr/>
        <w:t>联系人：隋亚方</w:t>
      </w:r>
    </w:p>
    <w:p>
      <w:pPr>
        <w:pStyle w:val="BodyText"/>
        <w:spacing w:before="1"/>
        <w:rPr>
          <w:sz w:val="16"/>
        </w:rPr>
      </w:pPr>
    </w:p>
    <w:p>
      <w:pPr>
        <w:pStyle w:val="BodyText"/>
        <w:spacing w:line="424" w:lineRule="auto"/>
        <w:ind w:left="720" w:right="5781"/>
        <w:rPr>
          <w:rFonts w:ascii="Times New Roman" w:eastAsia="Times New Roman"/>
        </w:rPr>
      </w:pPr>
      <w:r>
        <w:rPr/>
        <w:t>网址：</w:t>
      </w:r>
      <w:r>
        <w:rPr>
          <w:rFonts w:ascii="Times New Roman" w:eastAsia="Times New Roman"/>
        </w:rPr>
        <w:t>https://</w:t>
      </w:r>
      <w:hyperlink r:id="rId77">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1"/>
        <w:rPr>
          <w:sz w:val="16"/>
        </w:rPr>
      </w:pPr>
    </w:p>
    <w:p>
      <w:pPr>
        <w:pStyle w:val="BodyText"/>
        <w:ind w:left="72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rPr>
          <w:rFonts w:ascii="Times New Roman"/>
          <w:sz w:val="18"/>
        </w:rPr>
      </w:pPr>
    </w:p>
    <w:p>
      <w:pPr>
        <w:pStyle w:val="BodyText"/>
        <w:ind w:left="72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pStyle w:val="BodyText"/>
        <w:spacing w:before="11"/>
        <w:rPr>
          <w:rFonts w:ascii="Times New Roman"/>
          <w:sz w:val="17"/>
        </w:rPr>
      </w:pPr>
    </w:p>
    <w:p>
      <w:pPr>
        <w:pStyle w:val="BodyText"/>
        <w:spacing w:line="424" w:lineRule="auto"/>
        <w:ind w:left="720" w:right="687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spacing w:line="266" w:lineRule="exact"/>
        <w:ind w:left="720"/>
      </w:pPr>
      <w:r>
        <w:rPr/>
        <w:t>联系人：程刚</w:t>
      </w:r>
    </w:p>
    <w:p>
      <w:pPr>
        <w:pStyle w:val="BodyText"/>
        <w:spacing w:before="1"/>
        <w:rPr>
          <w:sz w:val="16"/>
        </w:rPr>
      </w:pPr>
    </w:p>
    <w:p>
      <w:pPr>
        <w:pStyle w:val="BodyText"/>
        <w:ind w:left="720"/>
        <w:rPr>
          <w:rFonts w:ascii="Times New Roman" w:eastAsia="Times New Roman"/>
        </w:rPr>
      </w:pPr>
      <w:r>
        <w:rPr/>
        <w:t>网址：</w:t>
      </w:r>
      <w:hyperlink r:id="rId78">
        <w:r>
          <w:rPr>
            <w:rFonts w:ascii="Times New Roman" w:eastAsia="Times New Roman"/>
          </w:rPr>
          <w:t>www.yixinfund.com</w:t>
        </w:r>
      </w:hyperlink>
    </w:p>
    <w:p>
      <w:pPr>
        <w:pStyle w:val="BodyText"/>
        <w:spacing w:before="1"/>
        <w:rPr>
          <w:rFonts w:ascii="Times New Roman"/>
          <w:sz w:val="18"/>
        </w:rPr>
      </w:pPr>
    </w:p>
    <w:p>
      <w:pPr>
        <w:pStyle w:val="BodyText"/>
        <w:spacing w:before="1"/>
        <w:ind w:left="720"/>
        <w:rPr>
          <w:rFonts w:ascii="Times New Roman" w:eastAsia="Times New Roman"/>
        </w:rPr>
      </w:pPr>
      <w:r>
        <w:rPr/>
        <w:t>客户服务电话：</w:t>
      </w:r>
      <w:r>
        <w:rPr>
          <w:rFonts w:ascii="Times New Roman" w:eastAsia="Times New Roman"/>
        </w:rPr>
        <w:t>400-609-9200</w:t>
      </w:r>
    </w:p>
    <w:p>
      <w:pPr>
        <w:pStyle w:val="BodyText"/>
        <w:spacing w:before="10"/>
        <w:rPr>
          <w:rFonts w:ascii="Times New Roman"/>
          <w:sz w:val="17"/>
        </w:rPr>
      </w:pPr>
    </w:p>
    <w:p>
      <w:pPr>
        <w:pStyle w:val="ListParagraph"/>
        <w:numPr>
          <w:ilvl w:val="0"/>
          <w:numId w:val="10"/>
        </w:numPr>
        <w:tabs>
          <w:tab w:pos="1355" w:val="left" w:leader="none"/>
        </w:tabs>
        <w:spacing w:line="424" w:lineRule="auto" w:before="1" w:after="0"/>
        <w:ind w:left="720" w:right="543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24" w:lineRule="auto"/>
        <w:ind w:left="720" w:right="4769"/>
      </w:pPr>
      <w:r>
        <w:rPr/>
        <w:t>办公地址：南京市玄武区苏宁大道苏宁总部法定代表人：刘汉青</w:t>
      </w:r>
    </w:p>
    <w:p>
      <w:pPr>
        <w:pStyle w:val="BodyText"/>
        <w:spacing w:line="424" w:lineRule="auto"/>
        <w:ind w:left="720" w:right="620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7" w:lineRule="exact"/>
        <w:ind w:left="720"/>
      </w:pPr>
      <w:r>
        <w:rPr/>
        <w:t>联系人：王峰</w:t>
      </w:r>
    </w:p>
    <w:p>
      <w:pPr>
        <w:pStyle w:val="BodyText"/>
        <w:spacing w:before="12"/>
        <w:rPr>
          <w:sz w:val="15"/>
        </w:rPr>
      </w:pPr>
    </w:p>
    <w:p>
      <w:pPr>
        <w:pStyle w:val="BodyText"/>
        <w:spacing w:line="424" w:lineRule="auto"/>
        <w:ind w:left="720" w:right="6655"/>
        <w:rPr>
          <w:rFonts w:ascii="Times New Roman" w:eastAsia="Times New Roman"/>
        </w:rPr>
      </w:pPr>
      <w:r>
        <w:rPr/>
        <w:t>网址：</w:t>
      </w:r>
      <w:hyperlink r:id="rId79">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浦领基金销售有限公司</w:t>
      </w:r>
    </w:p>
    <w:p>
      <w:pPr>
        <w:pStyle w:val="BodyText"/>
        <w:spacing w:before="1"/>
        <w:rPr>
          <w:sz w:val="16"/>
        </w:rPr>
      </w:pPr>
    </w:p>
    <w:p>
      <w:pPr>
        <w:pStyle w:val="BodyText"/>
        <w:ind w:left="720"/>
      </w:pPr>
      <w:r>
        <w:rPr/>
        <w:t>住所：北京市朝阳区望京东园四区 </w:t>
      </w:r>
      <w:r>
        <w:rPr>
          <w:rFonts w:ascii="Times New Roman" w:eastAsia="Times New Roman"/>
        </w:rPr>
        <w:t>2 </w:t>
      </w:r>
      <w:r>
        <w:rPr/>
        <w:t>号楼 </w:t>
      </w:r>
      <w:r>
        <w:rPr>
          <w:rFonts w:ascii="Times New Roman" w:eastAsia="Times New Roman"/>
        </w:rPr>
        <w:t>10 </w:t>
      </w:r>
      <w:r>
        <w:rPr/>
        <w:t>层 </w:t>
      </w:r>
      <w:r>
        <w:rPr>
          <w:rFonts w:ascii="Times New Roman" w:eastAsia="Times New Roman"/>
        </w:rPr>
        <w:t>1001 </w:t>
      </w:r>
      <w:r>
        <w:rPr/>
        <w:t>号 </w:t>
      </w:r>
      <w:r>
        <w:rPr>
          <w:rFonts w:ascii="Times New Roman" w:eastAsia="Times New Roman"/>
        </w:rPr>
        <w:t>04 </w:t>
      </w:r>
      <w:r>
        <w:rPr/>
        <w:t>室</w:t>
      </w:r>
    </w:p>
    <w:p>
      <w:pPr>
        <w:pStyle w:val="BodyText"/>
        <w:spacing w:before="1"/>
        <w:rPr>
          <w:sz w:val="16"/>
        </w:rPr>
      </w:pPr>
    </w:p>
    <w:p>
      <w:pPr>
        <w:pStyle w:val="BodyText"/>
        <w:spacing w:line="424" w:lineRule="auto" w:before="1"/>
        <w:ind w:left="720" w:right="4182"/>
      </w:pPr>
      <w:r>
        <w:rPr/>
        <w:t>办公地址：北京市朝阳区望京中航资本大厦 </w:t>
      </w:r>
      <w:r>
        <w:rPr>
          <w:rFonts w:ascii="Times New Roman" w:eastAsia="Times New Roman"/>
        </w:rPr>
        <w:t>10 </w:t>
      </w:r>
      <w:r>
        <w:rPr/>
        <w:t>层法定代表人：聂婉君</w:t>
      </w:r>
    </w:p>
    <w:p>
      <w:pPr>
        <w:pStyle w:val="BodyText"/>
        <w:spacing w:line="424" w:lineRule="auto"/>
        <w:ind w:left="720" w:right="6906"/>
        <w:rPr>
          <w:rFonts w:ascii="Times New Roman" w:eastAsia="Times New Roman"/>
        </w:rPr>
      </w:pPr>
      <w:r>
        <w:rPr/>
        <w:t>电话：</w:t>
      </w:r>
      <w:r>
        <w:rPr>
          <w:rFonts w:ascii="Times New Roman" w:eastAsia="Times New Roman"/>
        </w:rPr>
        <w:t>010-59497361 </w:t>
      </w:r>
      <w:r>
        <w:rPr/>
        <w:t>传真：</w:t>
      </w:r>
      <w:r>
        <w:rPr>
          <w:rFonts w:ascii="Times New Roman" w:eastAsia="Times New Roman"/>
        </w:rPr>
        <w:t>010-64788016</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pPr>
      <w:r>
        <w:rPr/>
        <w:t>联系人：李艳</w:t>
      </w:r>
    </w:p>
    <w:p>
      <w:pPr>
        <w:pStyle w:val="BodyText"/>
        <w:rPr>
          <w:sz w:val="16"/>
        </w:rPr>
      </w:pPr>
    </w:p>
    <w:p>
      <w:pPr>
        <w:pStyle w:val="BodyText"/>
        <w:spacing w:before="1"/>
        <w:ind w:left="720"/>
        <w:rPr>
          <w:rFonts w:ascii="Times New Roman" w:eastAsia="Times New Roman"/>
        </w:rPr>
      </w:pPr>
      <w:r>
        <w:rPr/>
        <w:t>网址：</w:t>
      </w:r>
      <w:hyperlink r:id="rId80">
        <w:r>
          <w:rPr>
            <w:rFonts w:ascii="Times New Roman" w:eastAsia="Times New Roman"/>
          </w:rPr>
          <w:t>www.zscffund.com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400-012-5899</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深圳腾元基金销售有限公司</w:t>
      </w:r>
    </w:p>
    <w:p>
      <w:pPr>
        <w:pStyle w:val="BodyText"/>
        <w:spacing w:before="1"/>
        <w:rPr>
          <w:sz w:val="16"/>
        </w:rPr>
      </w:pPr>
    </w:p>
    <w:p>
      <w:pPr>
        <w:pStyle w:val="BodyText"/>
        <w:ind w:left="720"/>
      </w:pPr>
      <w:r>
        <w:rPr/>
        <w:t>住所：深圳市福田区金田路 </w:t>
      </w:r>
      <w:r>
        <w:rPr>
          <w:rFonts w:ascii="Times New Roman" w:eastAsia="Times New Roman"/>
        </w:rPr>
        <w:t>2028 </w:t>
      </w:r>
      <w:r>
        <w:rPr/>
        <w:t>号卓越世纪中心 </w:t>
      </w:r>
      <w:r>
        <w:rPr>
          <w:rFonts w:ascii="Times New Roman" w:eastAsia="Times New Roman"/>
        </w:rPr>
        <w:t>1 </w:t>
      </w:r>
      <w:r>
        <w:rPr/>
        <w:t>号楼 </w:t>
      </w:r>
      <w:r>
        <w:rPr>
          <w:rFonts w:ascii="Times New Roman" w:eastAsia="Times New Roman"/>
        </w:rPr>
        <w:t>1806-1808 </w:t>
      </w:r>
      <w:r>
        <w:rPr/>
        <w:t>单元</w:t>
      </w:r>
    </w:p>
    <w:p>
      <w:pPr>
        <w:pStyle w:val="BodyText"/>
        <w:spacing w:before="3"/>
        <w:rPr>
          <w:sz w:val="16"/>
        </w:rPr>
      </w:pPr>
    </w:p>
    <w:p>
      <w:pPr>
        <w:pStyle w:val="BodyText"/>
        <w:spacing w:line="424" w:lineRule="auto" w:before="1"/>
        <w:ind w:left="720" w:right="1759"/>
      </w:pPr>
      <w:r>
        <w:rPr>
          <w:spacing w:val="-7"/>
        </w:rPr>
        <w:t>办公地址：深圳市福田区金田路 </w:t>
      </w:r>
      <w:r>
        <w:rPr>
          <w:rFonts w:ascii="Times New Roman" w:eastAsia="Times New Roman"/>
        </w:rPr>
        <w:t>2028 </w:t>
      </w:r>
      <w:r>
        <w:rPr>
          <w:spacing w:val="-9"/>
        </w:rPr>
        <w:t>号卓越世纪中心 </w:t>
      </w:r>
      <w:r>
        <w:rPr>
          <w:rFonts w:ascii="Times New Roman" w:eastAsia="Times New Roman"/>
        </w:rPr>
        <w:t>1 </w:t>
      </w:r>
      <w:r>
        <w:rPr>
          <w:spacing w:val="-18"/>
        </w:rPr>
        <w:t>号楼 </w:t>
      </w:r>
      <w:r>
        <w:rPr>
          <w:rFonts w:ascii="Times New Roman" w:eastAsia="Times New Roman"/>
        </w:rPr>
        <w:t>1806-1808 </w:t>
      </w:r>
      <w:r>
        <w:rPr/>
        <w:t>单元</w:t>
      </w:r>
      <w:r>
        <w:rPr>
          <w:spacing w:val="-3"/>
        </w:rPr>
        <w:t>法定代表人：曾革</w:t>
      </w:r>
    </w:p>
    <w:p>
      <w:pPr>
        <w:pStyle w:val="BodyText"/>
        <w:spacing w:line="424" w:lineRule="auto"/>
        <w:ind w:left="720" w:right="6800"/>
        <w:rPr>
          <w:rFonts w:ascii="Times New Roman" w:eastAsia="Times New Roman"/>
        </w:rPr>
      </w:pPr>
      <w:r>
        <w:rPr/>
        <w:t>电话：</w:t>
      </w:r>
      <w:r>
        <w:rPr>
          <w:rFonts w:ascii="Times New Roman" w:eastAsia="Times New Roman"/>
        </w:rPr>
        <w:t>0755-33376853 </w:t>
      </w:r>
      <w:r>
        <w:rPr/>
        <w:t>传真：</w:t>
      </w:r>
      <w:r>
        <w:rPr>
          <w:rFonts w:ascii="Times New Roman" w:eastAsia="Times New Roman"/>
        </w:rPr>
        <w:t>0755-33065516</w:t>
      </w:r>
    </w:p>
    <w:p>
      <w:pPr>
        <w:pStyle w:val="BodyText"/>
        <w:spacing w:line="267" w:lineRule="exact"/>
        <w:ind w:left="720"/>
      </w:pPr>
      <w:r>
        <w:rPr/>
        <w:t>联系人：鄢萌莎</w:t>
      </w:r>
    </w:p>
    <w:p>
      <w:pPr>
        <w:pStyle w:val="BodyText"/>
        <w:spacing w:before="12"/>
        <w:rPr>
          <w:sz w:val="15"/>
        </w:rPr>
      </w:pPr>
    </w:p>
    <w:p>
      <w:pPr>
        <w:pStyle w:val="BodyText"/>
        <w:spacing w:line="424" w:lineRule="auto"/>
        <w:ind w:left="720" w:right="6101"/>
        <w:rPr>
          <w:rFonts w:ascii="Times New Roman" w:eastAsia="Times New Roman"/>
        </w:rPr>
      </w:pPr>
      <w:r>
        <w:rPr/>
        <w:t>网址：</w:t>
      </w:r>
      <w:hyperlink r:id="rId81">
        <w:r>
          <w:rPr>
            <w:rFonts w:ascii="Times New Roman" w:eastAsia="Times New Roman"/>
          </w:rPr>
          <w:t>www.tenyuanfund.com </w:t>
        </w:r>
      </w:hyperlink>
      <w:r>
        <w:rPr/>
        <w:t>客户服务电话：</w:t>
      </w:r>
      <w:r>
        <w:rPr>
          <w:rFonts w:ascii="Times New Roman" w:eastAsia="Times New Roman"/>
        </w:rPr>
        <w:t>400-687-7899</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3"/>
        <w:rPr>
          <w:sz w:val="16"/>
        </w:rPr>
      </w:pPr>
    </w:p>
    <w:p>
      <w:pPr>
        <w:pStyle w:val="BodyText"/>
        <w:spacing w:before="1"/>
        <w:ind w:left="72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1"/>
        <w:rPr>
          <w:sz w:val="16"/>
        </w:rPr>
      </w:pPr>
    </w:p>
    <w:p>
      <w:pPr>
        <w:pStyle w:val="BodyText"/>
        <w:spacing w:line="424" w:lineRule="auto"/>
        <w:ind w:left="720" w:right="340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24" w:lineRule="auto"/>
        <w:ind w:left="720" w:right="690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7" w:lineRule="exact"/>
        <w:ind w:left="720"/>
      </w:pPr>
      <w:r>
        <w:rPr/>
        <w:t>联系人：周晶</w:t>
      </w:r>
    </w:p>
    <w:p>
      <w:pPr>
        <w:pStyle w:val="BodyText"/>
        <w:spacing w:before="12"/>
        <w:rPr>
          <w:sz w:val="15"/>
        </w:rPr>
      </w:pPr>
    </w:p>
    <w:p>
      <w:pPr>
        <w:pStyle w:val="BodyText"/>
        <w:spacing w:line="424" w:lineRule="auto"/>
        <w:ind w:left="720" w:right="6101"/>
        <w:rPr>
          <w:rFonts w:ascii="Times New Roman" w:eastAsia="Times New Roman"/>
        </w:rPr>
      </w:pPr>
      <w:r>
        <w:rPr/>
        <w:t>网址：</w:t>
      </w:r>
      <w:hyperlink r:id="rId82">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北京恒天明泽基金销售有限公司</w:t>
      </w:r>
    </w:p>
    <w:p>
      <w:pPr>
        <w:pStyle w:val="BodyText"/>
        <w:spacing w:before="1"/>
        <w:rPr>
          <w:sz w:val="16"/>
        </w:rPr>
      </w:pPr>
    </w:p>
    <w:p>
      <w:pPr>
        <w:pStyle w:val="BodyText"/>
        <w:ind w:left="72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1"/>
        <w:rPr>
          <w:sz w:val="16"/>
        </w:rPr>
      </w:pPr>
    </w:p>
    <w:p>
      <w:pPr>
        <w:pStyle w:val="BodyText"/>
        <w:spacing w:line="424" w:lineRule="auto"/>
        <w:ind w:left="720" w:right="298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24" w:lineRule="auto"/>
        <w:ind w:left="720" w:right="690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7" w:lineRule="exact"/>
        <w:ind w:left="720"/>
      </w:pPr>
      <w:r>
        <w:rPr/>
        <w:t>联系人：马鹏程</w:t>
      </w:r>
    </w:p>
    <w:p>
      <w:pPr>
        <w:pStyle w:val="BodyText"/>
        <w:spacing w:before="12"/>
        <w:rPr>
          <w:sz w:val="15"/>
        </w:rPr>
      </w:pPr>
    </w:p>
    <w:p>
      <w:pPr>
        <w:pStyle w:val="BodyText"/>
        <w:ind w:left="720"/>
        <w:rPr>
          <w:rFonts w:ascii="Times New Roman" w:eastAsia="Times New Roman"/>
        </w:rPr>
      </w:pPr>
      <w:r>
        <w:rPr/>
        <w:t>网址：</w:t>
      </w:r>
      <w:hyperlink r:id="rId83">
        <w:r>
          <w:rPr>
            <w:rFonts w:ascii="Times New Roman" w:eastAsia="Times New Roman"/>
          </w:rPr>
          <w:t>www.chtwm.com</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400-898-0618</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深圳宜投基金销售有限公司</w:t>
      </w:r>
    </w:p>
    <w:p>
      <w:pPr>
        <w:pStyle w:val="BodyText"/>
        <w:spacing w:before="1"/>
        <w:rPr>
          <w:sz w:val="16"/>
        </w:rPr>
      </w:pPr>
    </w:p>
    <w:p>
      <w:pPr>
        <w:pStyle w:val="BodyText"/>
        <w:ind w:left="720"/>
      </w:pPr>
      <w:r>
        <w:rPr/>
        <w:t>住所：深圳市前海深港合作区前湾一路鲤鱼门街 </w:t>
      </w:r>
      <w:r>
        <w:rPr>
          <w:rFonts w:ascii="Times New Roman" w:eastAsia="Times New Roman"/>
        </w:rPr>
        <w:t>1 </w:t>
      </w:r>
      <w:r>
        <w:rPr/>
        <w:t>号前海深港合作区管理局综合办公楼</w:t>
      </w:r>
    </w:p>
    <w:p>
      <w:pPr>
        <w:pStyle w:val="BodyText"/>
        <w:spacing w:before="1"/>
        <w:rPr>
          <w:sz w:val="16"/>
        </w:rPr>
      </w:pPr>
    </w:p>
    <w:p>
      <w:pPr>
        <w:pStyle w:val="BodyText"/>
        <w:ind w:left="300"/>
      </w:pP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before="1"/>
        <w:rPr>
          <w:sz w:val="16"/>
        </w:rPr>
      </w:pPr>
    </w:p>
    <w:p>
      <w:pPr>
        <w:pStyle w:val="BodyText"/>
        <w:spacing w:before="1"/>
        <w:ind w:left="720"/>
        <w:rPr>
          <w:rFonts w:ascii="Times New Roman" w:eastAsia="Times New Roman"/>
        </w:rPr>
      </w:pPr>
      <w:r>
        <w:rPr/>
        <w:t>办公地址：深圳市福田区金田路 </w:t>
      </w:r>
      <w:r>
        <w:rPr>
          <w:rFonts w:ascii="Times New Roman" w:eastAsia="Times New Roman"/>
        </w:rPr>
        <w:t>2028 </w:t>
      </w:r>
      <w:r>
        <w:rPr/>
        <w:t>号皇岗商务中心 </w:t>
      </w:r>
      <w:r>
        <w:rPr>
          <w:rFonts w:ascii="Times New Roman" w:eastAsia="Times New Roman"/>
        </w:rPr>
        <w:t>2405</w:t>
      </w:r>
    </w:p>
    <w:p>
      <w:pPr>
        <w:pStyle w:val="BodyText"/>
        <w:spacing w:before="1"/>
        <w:rPr>
          <w:rFonts w:ascii="Times New Roman"/>
          <w:sz w:val="18"/>
        </w:rPr>
      </w:pPr>
    </w:p>
    <w:p>
      <w:pPr>
        <w:pStyle w:val="BodyText"/>
        <w:spacing w:line="424" w:lineRule="auto"/>
        <w:ind w:left="720" w:right="6800"/>
        <w:rPr>
          <w:rFonts w:ascii="Times New Roman" w:eastAsia="Times New Roman"/>
        </w:rPr>
      </w:pPr>
      <w:r>
        <w:rPr/>
        <w:t>法定代表人：华建强电话：</w:t>
      </w:r>
      <w:r>
        <w:rPr>
          <w:rFonts w:ascii="Times New Roman" w:eastAsia="Times New Roman"/>
        </w:rPr>
        <w:t>0755-23919681 </w:t>
      </w:r>
      <w:r>
        <w:rPr/>
        <w:t>传真：</w:t>
      </w:r>
      <w:r>
        <w:rPr>
          <w:rFonts w:ascii="Times New Roman" w:eastAsia="Times New Roman"/>
        </w:rPr>
        <w:t>0755-88603185</w:t>
      </w:r>
    </w:p>
    <w:p>
      <w:pPr>
        <w:pStyle w:val="BodyText"/>
        <w:spacing w:line="267" w:lineRule="exact"/>
        <w:ind w:left="720"/>
      </w:pPr>
      <w:r>
        <w:rPr/>
        <w:t>联系人：马文静</w:t>
      </w:r>
    </w:p>
    <w:p>
      <w:pPr>
        <w:pStyle w:val="BodyText"/>
        <w:spacing w:before="1"/>
        <w:rPr>
          <w:sz w:val="16"/>
        </w:rPr>
      </w:pPr>
    </w:p>
    <w:p>
      <w:pPr>
        <w:pStyle w:val="BodyText"/>
        <w:ind w:left="720"/>
        <w:rPr>
          <w:rFonts w:ascii="Times New Roman" w:eastAsia="Times New Roman"/>
        </w:rPr>
      </w:pPr>
      <w:r>
        <w:rPr/>
        <w:t>网址：</w:t>
      </w:r>
      <w:hyperlink r:id="rId84">
        <w:r>
          <w:rPr>
            <w:rFonts w:ascii="Times New Roman" w:eastAsia="Times New Roman"/>
          </w:rPr>
          <w:t>www.yitfund.com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400-895-5811</w:t>
      </w:r>
    </w:p>
    <w:p>
      <w:pPr>
        <w:pStyle w:val="BodyText"/>
        <w:spacing w:before="10"/>
        <w:rPr>
          <w:rFonts w:ascii="Times New Roman"/>
          <w:sz w:val="17"/>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北京汇成基金销售有限公司</w:t>
      </w:r>
    </w:p>
    <w:p>
      <w:pPr>
        <w:pStyle w:val="BodyText"/>
        <w:spacing w:before="1"/>
        <w:rPr>
          <w:sz w:val="16"/>
        </w:rPr>
      </w:pPr>
    </w:p>
    <w:p>
      <w:pPr>
        <w:pStyle w:val="BodyText"/>
        <w:ind w:left="72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1"/>
        <w:rPr>
          <w:rFonts w:ascii="Times New Roman"/>
          <w:sz w:val="18"/>
        </w:rPr>
      </w:pPr>
    </w:p>
    <w:p>
      <w:pPr>
        <w:pStyle w:val="BodyText"/>
        <w:ind w:left="72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rPr>
          <w:rFonts w:ascii="Times New Roman"/>
          <w:sz w:val="18"/>
        </w:rPr>
      </w:pPr>
    </w:p>
    <w:p>
      <w:pPr>
        <w:pStyle w:val="BodyText"/>
        <w:spacing w:line="424" w:lineRule="auto"/>
        <w:ind w:left="720" w:right="687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spacing w:line="266" w:lineRule="exact"/>
        <w:ind w:left="720"/>
      </w:pPr>
      <w:r>
        <w:rPr/>
        <w:t>联系人：丁向坤</w:t>
      </w:r>
    </w:p>
    <w:p>
      <w:pPr>
        <w:pStyle w:val="BodyText"/>
        <w:spacing w:before="1"/>
        <w:rPr>
          <w:sz w:val="16"/>
        </w:rPr>
      </w:pPr>
    </w:p>
    <w:p>
      <w:pPr>
        <w:pStyle w:val="BodyText"/>
        <w:ind w:left="720"/>
        <w:rPr>
          <w:rFonts w:ascii="Times New Roman" w:eastAsia="Times New Roman"/>
        </w:rPr>
      </w:pPr>
      <w:r>
        <w:rPr/>
        <w:t>网址： </w:t>
      </w:r>
      <w:hyperlink r:id="rId85">
        <w:r>
          <w:rPr>
            <w:rFonts w:ascii="Times New Roman" w:eastAsia="Times New Roman"/>
          </w:rPr>
          <w:t>www.hcjijin.com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400-619-9059</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北京晟视天下投资管理有限公司</w:t>
      </w:r>
    </w:p>
    <w:p>
      <w:pPr>
        <w:pStyle w:val="BodyText"/>
        <w:spacing w:before="4"/>
        <w:rPr>
          <w:sz w:val="16"/>
        </w:rPr>
      </w:pPr>
    </w:p>
    <w:p>
      <w:pPr>
        <w:pStyle w:val="BodyText"/>
        <w:ind w:left="720"/>
      </w:pPr>
      <w:r>
        <w:rPr/>
        <w:t>住所：北京市怀柔区九渡河镇黄坎村 </w:t>
      </w:r>
      <w:r>
        <w:rPr>
          <w:rFonts w:ascii="Times New Roman" w:eastAsia="Times New Roman"/>
        </w:rPr>
        <w:t>735 </w:t>
      </w:r>
      <w:r>
        <w:rPr/>
        <w:t>号 </w:t>
      </w:r>
      <w:r>
        <w:rPr>
          <w:rFonts w:ascii="Times New Roman" w:eastAsia="Times New Roman"/>
        </w:rPr>
        <w:t>03 </w:t>
      </w:r>
      <w:r>
        <w:rPr/>
        <w:t>室</w:t>
      </w:r>
    </w:p>
    <w:p>
      <w:pPr>
        <w:pStyle w:val="BodyText"/>
        <w:spacing w:before="1"/>
        <w:rPr>
          <w:sz w:val="16"/>
        </w:rPr>
      </w:pPr>
    </w:p>
    <w:p>
      <w:pPr>
        <w:pStyle w:val="BodyText"/>
        <w:spacing w:line="424" w:lineRule="auto" w:before="1"/>
        <w:ind w:left="720" w:right="3087"/>
      </w:pPr>
      <w:r>
        <w:rPr/>
        <w:t>办公地址：北京市朝阳区朝外大街甲 </w:t>
      </w:r>
      <w:r>
        <w:rPr>
          <w:rFonts w:ascii="Times New Roman" w:eastAsia="Times New Roman"/>
        </w:rPr>
        <w:t>6 </w:t>
      </w:r>
      <w:r>
        <w:rPr/>
        <w:t>号万通中心</w:t>
      </w:r>
      <w:r>
        <w:rPr>
          <w:rFonts w:ascii="Times New Roman" w:eastAsia="Times New Roman"/>
        </w:rPr>
        <w:t>D </w:t>
      </w:r>
      <w:r>
        <w:rPr/>
        <w:t>座 </w:t>
      </w:r>
      <w:r>
        <w:rPr>
          <w:rFonts w:ascii="Times New Roman" w:eastAsia="Times New Roman"/>
        </w:rPr>
        <w:t>21 </w:t>
      </w:r>
      <w:r>
        <w:rPr/>
        <w:t>层法定代表人：蒋煜</w:t>
      </w:r>
    </w:p>
    <w:p>
      <w:pPr>
        <w:pStyle w:val="BodyText"/>
        <w:spacing w:line="424" w:lineRule="auto"/>
        <w:ind w:left="720" w:right="6906"/>
        <w:rPr>
          <w:rFonts w:ascii="Times New Roman" w:eastAsia="Times New Roman"/>
        </w:rPr>
      </w:pPr>
      <w:r>
        <w:rPr/>
        <w:t>电话：</w:t>
      </w:r>
      <w:r>
        <w:rPr>
          <w:rFonts w:ascii="Times New Roman" w:eastAsia="Times New Roman"/>
        </w:rPr>
        <w:t>010-58170806 </w:t>
      </w:r>
      <w:r>
        <w:rPr/>
        <w:t>传真：</w:t>
      </w:r>
      <w:r>
        <w:rPr>
          <w:rFonts w:ascii="Times New Roman" w:eastAsia="Times New Roman"/>
        </w:rPr>
        <w:t>010-58170910</w:t>
      </w:r>
    </w:p>
    <w:p>
      <w:pPr>
        <w:pStyle w:val="BodyText"/>
        <w:spacing w:line="267" w:lineRule="exact"/>
        <w:ind w:left="720"/>
      </w:pPr>
      <w:r>
        <w:rPr/>
        <w:t>联系人：蒋煜</w:t>
      </w:r>
    </w:p>
    <w:p>
      <w:pPr>
        <w:pStyle w:val="BodyText"/>
        <w:spacing w:before="11"/>
        <w:rPr>
          <w:sz w:val="15"/>
        </w:rPr>
      </w:pPr>
    </w:p>
    <w:p>
      <w:pPr>
        <w:pStyle w:val="BodyText"/>
        <w:spacing w:line="424" w:lineRule="auto"/>
        <w:ind w:left="720" w:right="5794"/>
        <w:rPr>
          <w:rFonts w:ascii="Times New Roman" w:eastAsia="Times New Roman"/>
        </w:rPr>
      </w:pPr>
      <w:r>
        <w:rPr/>
        <w:t>网址：</w:t>
      </w:r>
      <w:hyperlink r:id="rId86">
        <w:r>
          <w:rPr>
            <w:rFonts w:ascii="Times New Roman" w:eastAsia="Times New Roman"/>
          </w:rPr>
          <w:t>www.shengshiview.com.cn </w:t>
        </w:r>
      </w:hyperlink>
      <w:r>
        <w:rPr/>
        <w:t>客户服务电话：</w:t>
      </w:r>
      <w:r>
        <w:rPr>
          <w:rFonts w:ascii="Times New Roman" w:eastAsia="Times New Roman"/>
        </w:rPr>
        <w:t>010-58170761</w:t>
      </w:r>
    </w:p>
    <w:p>
      <w:pPr>
        <w:spacing w:after="0" w:line="424" w:lineRule="auto"/>
        <w:rPr>
          <w:rFonts w:ascii="Times New Roman" w:eastAsia="Times New Roman"/>
        </w:rPr>
        <w:sectPr>
          <w:pgSz w:w="11910" w:h="16840"/>
          <w:pgMar w:header="701" w:footer="683" w:top="1420" w:bottom="880" w:left="1500" w:right="920"/>
        </w:sectPr>
      </w:pPr>
    </w:p>
    <w:p>
      <w:pPr>
        <w:pStyle w:val="ListParagraph"/>
        <w:numPr>
          <w:ilvl w:val="0"/>
          <w:numId w:val="10"/>
        </w:numPr>
        <w:tabs>
          <w:tab w:pos="1355" w:val="left" w:leader="none"/>
        </w:tabs>
        <w:spacing w:line="240" w:lineRule="auto" w:before="115" w:after="0"/>
        <w:ind w:left="1355" w:right="0" w:hanging="635"/>
        <w:jc w:val="left"/>
        <w:rPr>
          <w:sz w:val="21"/>
        </w:rPr>
      </w:pPr>
      <w:r>
        <w:rPr>
          <w:spacing w:val="-3"/>
          <w:sz w:val="21"/>
        </w:rPr>
        <w:t>北京钱景基金销售有限公司</w:t>
      </w:r>
    </w:p>
    <w:p>
      <w:pPr>
        <w:pStyle w:val="BodyText"/>
        <w:rPr>
          <w:sz w:val="16"/>
        </w:rPr>
      </w:pPr>
    </w:p>
    <w:p>
      <w:pPr>
        <w:pStyle w:val="BodyText"/>
        <w:spacing w:before="1"/>
        <w:ind w:left="720"/>
        <w:rPr>
          <w:rFonts w:ascii="Times New Roman" w:eastAsia="Times New Roman"/>
        </w:rPr>
      </w:pPr>
      <w:r>
        <w:rPr/>
        <w:t>住所：北京市海淀区丹棱街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10"/>
        <w:rPr>
          <w:rFonts w:ascii="Times New Roman"/>
          <w:sz w:val="17"/>
        </w:rPr>
      </w:pPr>
    </w:p>
    <w:p>
      <w:pPr>
        <w:pStyle w:val="BodyText"/>
        <w:ind w:left="72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11"/>
        <w:rPr>
          <w:rFonts w:ascii="Times New Roman"/>
          <w:sz w:val="17"/>
        </w:rPr>
      </w:pPr>
    </w:p>
    <w:p>
      <w:pPr>
        <w:pStyle w:val="BodyText"/>
        <w:spacing w:line="424" w:lineRule="auto"/>
        <w:ind w:left="720" w:right="6870"/>
        <w:jc w:val="both"/>
        <w:rPr>
          <w:rFonts w:ascii="Times New Roman" w:eastAsia="Times New Roman"/>
        </w:rPr>
      </w:pPr>
      <w:r>
        <w:rPr/>
        <w:t>法定代表人：赵荣春电话：</w:t>
      </w:r>
      <w:r>
        <w:rPr>
          <w:rFonts w:ascii="Times New Roman" w:eastAsia="Times New Roman"/>
        </w:rPr>
        <w:t>010-57418829 </w:t>
      </w:r>
      <w:r>
        <w:rPr/>
        <w:t>传真：</w:t>
      </w:r>
      <w:r>
        <w:rPr>
          <w:rFonts w:ascii="Times New Roman" w:eastAsia="Times New Roman"/>
        </w:rPr>
        <w:t>010-57569671</w:t>
      </w:r>
    </w:p>
    <w:p>
      <w:pPr>
        <w:pStyle w:val="BodyText"/>
        <w:spacing w:line="268" w:lineRule="exact"/>
        <w:ind w:left="720"/>
      </w:pPr>
      <w:r>
        <w:rPr/>
        <w:t>联系人：魏争</w:t>
      </w:r>
    </w:p>
    <w:p>
      <w:pPr>
        <w:pStyle w:val="BodyText"/>
        <w:spacing w:before="1"/>
        <w:rPr>
          <w:sz w:val="16"/>
        </w:rPr>
      </w:pPr>
    </w:p>
    <w:p>
      <w:pPr>
        <w:pStyle w:val="BodyText"/>
        <w:spacing w:before="1"/>
        <w:ind w:left="720"/>
        <w:rPr>
          <w:rFonts w:ascii="Times New Roman" w:eastAsia="Times New Roman"/>
        </w:rPr>
      </w:pPr>
      <w:r>
        <w:rPr/>
        <w:t>网址：</w:t>
      </w:r>
      <w:hyperlink r:id="rId87">
        <w:r>
          <w:rPr>
            <w:rFonts w:ascii="Times New Roman" w:eastAsia="Times New Roman"/>
          </w:rPr>
          <w:t>www.niuji.net</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400-893-6885</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北京唐鼎耀华基金销售有限公司</w:t>
      </w:r>
    </w:p>
    <w:p>
      <w:pPr>
        <w:pStyle w:val="BodyText"/>
        <w:spacing w:before="1"/>
        <w:rPr>
          <w:sz w:val="16"/>
        </w:rPr>
      </w:pPr>
    </w:p>
    <w:p>
      <w:pPr>
        <w:pStyle w:val="BodyText"/>
        <w:spacing w:line="424" w:lineRule="auto"/>
        <w:ind w:left="720" w:right="3195"/>
      </w:pPr>
      <w:r>
        <w:rPr>
          <w:spacing w:val="-6"/>
        </w:rPr>
        <w:t>住所：北京市延庆县延庆经济开发区百泉街 </w:t>
      </w:r>
      <w:r>
        <w:rPr>
          <w:rFonts w:ascii="Times New Roman" w:eastAsia="Times New Roman"/>
        </w:rPr>
        <w:t>10</w:t>
      </w:r>
      <w:r>
        <w:rPr>
          <w:rFonts w:ascii="Times New Roman" w:eastAsia="Times New Roman"/>
          <w:spacing w:val="4"/>
        </w:rPr>
        <w:t> </w:t>
      </w:r>
      <w:r>
        <w:rPr>
          <w:spacing w:val="-25"/>
        </w:rPr>
        <w:t>号 </w:t>
      </w:r>
      <w:r>
        <w:rPr>
          <w:rFonts w:ascii="Times New Roman" w:eastAsia="Times New Roman"/>
        </w:rPr>
        <w:t>2</w:t>
      </w:r>
      <w:r>
        <w:rPr>
          <w:rFonts w:ascii="Times New Roman" w:eastAsia="Times New Roman"/>
          <w:spacing w:val="1"/>
        </w:rPr>
        <w:t> </w:t>
      </w:r>
      <w:r>
        <w:rPr>
          <w:spacing w:val="-25"/>
        </w:rPr>
        <w:t>栋 </w:t>
      </w:r>
      <w:r>
        <w:rPr>
          <w:rFonts w:ascii="Times New Roman" w:eastAsia="Times New Roman"/>
        </w:rPr>
        <w:t>236</w:t>
      </w:r>
      <w:r>
        <w:rPr>
          <w:rFonts w:ascii="Times New Roman" w:eastAsia="Times New Roman"/>
          <w:spacing w:val="1"/>
        </w:rPr>
        <w:t> </w:t>
      </w:r>
      <w:r>
        <w:rPr/>
        <w:t>室</w:t>
      </w:r>
      <w:r>
        <w:rPr>
          <w:spacing w:val="-5"/>
        </w:rPr>
        <w:t>办公地址：北京市朝阳区建国门外大街 </w:t>
      </w:r>
      <w:r>
        <w:rPr>
          <w:rFonts w:ascii="Times New Roman" w:eastAsia="Times New Roman"/>
        </w:rPr>
        <w:t>19</w:t>
      </w:r>
      <w:r>
        <w:rPr>
          <w:rFonts w:ascii="Times New Roman" w:eastAsia="Times New Roman"/>
          <w:spacing w:val="19"/>
        </w:rPr>
        <w:t> </w:t>
      </w:r>
      <w:r>
        <w:rPr>
          <w:spacing w:val="50"/>
        </w:rPr>
        <w:t>号</w:t>
      </w:r>
      <w:r>
        <w:rPr>
          <w:rFonts w:ascii="Times New Roman" w:eastAsia="Times New Roman"/>
        </w:rPr>
        <w:t>A</w:t>
      </w:r>
      <w:r>
        <w:rPr>
          <w:rFonts w:ascii="Times New Roman" w:eastAsia="Times New Roman"/>
          <w:spacing w:val="18"/>
        </w:rPr>
        <w:t> </w:t>
      </w:r>
      <w:r>
        <w:rPr>
          <w:spacing w:val="-17"/>
        </w:rPr>
        <w:t>座 </w:t>
      </w:r>
      <w:r>
        <w:rPr>
          <w:rFonts w:ascii="Times New Roman" w:eastAsia="Times New Roman"/>
        </w:rPr>
        <w:t>1505</w:t>
      </w:r>
      <w:r>
        <w:rPr>
          <w:rFonts w:ascii="Times New Roman" w:eastAsia="Times New Roman"/>
          <w:spacing w:val="18"/>
        </w:rPr>
        <w:t> </w:t>
      </w:r>
      <w:r>
        <w:rPr/>
        <w:t>室 </w:t>
      </w:r>
      <w:r>
        <w:rPr>
          <w:spacing w:val="-3"/>
        </w:rPr>
        <w:t>法定代表人：张冠宇</w:t>
      </w:r>
    </w:p>
    <w:p>
      <w:pPr>
        <w:pStyle w:val="BodyText"/>
        <w:spacing w:line="268" w:lineRule="exact"/>
        <w:ind w:left="720"/>
        <w:rPr>
          <w:rFonts w:ascii="Times New Roman" w:eastAsia="Times New Roman"/>
        </w:rPr>
      </w:pPr>
      <w:r>
        <w:rPr>
          <w:spacing w:val="-1"/>
        </w:rPr>
        <w:t>电话：</w:t>
      </w:r>
      <w:r>
        <w:rPr>
          <w:rFonts w:ascii="Times New Roman" w:eastAsia="Times New Roman"/>
          <w:spacing w:val="-1"/>
        </w:rPr>
        <w:t>010-85932810</w:t>
      </w:r>
    </w:p>
    <w:p>
      <w:pPr>
        <w:pStyle w:val="BodyText"/>
        <w:spacing w:before="11"/>
        <w:rPr>
          <w:rFonts w:ascii="Times New Roman"/>
          <w:sz w:val="17"/>
        </w:rPr>
      </w:pPr>
    </w:p>
    <w:p>
      <w:pPr>
        <w:pStyle w:val="BodyText"/>
        <w:ind w:left="720"/>
      </w:pPr>
      <w:r>
        <w:rPr/>
        <w:t>联系人：王丽敏</w:t>
      </w:r>
    </w:p>
    <w:p>
      <w:pPr>
        <w:pStyle w:val="BodyText"/>
        <w:spacing w:before="1"/>
        <w:rPr>
          <w:sz w:val="16"/>
        </w:rPr>
      </w:pPr>
    </w:p>
    <w:p>
      <w:pPr>
        <w:pStyle w:val="BodyText"/>
        <w:spacing w:line="424" w:lineRule="auto"/>
        <w:ind w:left="720" w:right="5781"/>
        <w:rPr>
          <w:rFonts w:ascii="Times New Roman" w:eastAsia="Times New Roman"/>
        </w:rPr>
      </w:pPr>
      <w:r>
        <w:rPr/>
        <w:t>网址：</w:t>
      </w:r>
      <w:r>
        <w:rPr>
          <w:rFonts w:ascii="Times New Roman" w:eastAsia="Times New Roman"/>
        </w:rPr>
        <w:t>https://</w:t>
      </w:r>
      <w:hyperlink r:id="rId88">
        <w:r>
          <w:rPr>
            <w:rFonts w:ascii="Times New Roman" w:eastAsia="Times New Roman"/>
          </w:rPr>
          <w:t>www.tdyhfund.com/ </w:t>
        </w:r>
      </w:hyperlink>
      <w:r>
        <w:rPr/>
        <w:t>客户服务电话：</w:t>
      </w:r>
      <w:r>
        <w:rPr>
          <w:rFonts w:ascii="Times New Roman" w:eastAsia="Times New Roman"/>
        </w:rPr>
        <w:t>400-819-9868</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北京植信基金销售有限公司</w:t>
      </w:r>
    </w:p>
    <w:p>
      <w:pPr>
        <w:pStyle w:val="BodyText"/>
        <w:spacing w:before="1"/>
        <w:rPr>
          <w:sz w:val="16"/>
        </w:rPr>
      </w:pPr>
    </w:p>
    <w:p>
      <w:pPr>
        <w:pStyle w:val="BodyText"/>
        <w:ind w:left="720"/>
        <w:rPr>
          <w:rFonts w:ascii="Times New Roman" w:eastAsia="Times New Roman"/>
        </w:rPr>
      </w:pPr>
      <w:r>
        <w:rPr/>
        <w:t>住所：北京市密云县兴盛南路 </w:t>
      </w:r>
      <w:r>
        <w:rPr>
          <w:rFonts w:ascii="Times New Roman" w:eastAsia="Times New Roman"/>
        </w:rPr>
        <w:t>8 </w:t>
      </w:r>
      <w:r>
        <w:rPr/>
        <w:t>号院 </w:t>
      </w:r>
      <w:r>
        <w:rPr>
          <w:rFonts w:ascii="Times New Roman" w:eastAsia="Times New Roman"/>
        </w:rPr>
        <w:t>2 </w:t>
      </w:r>
      <w:r>
        <w:rPr/>
        <w:t>号楼 </w:t>
      </w:r>
      <w:r>
        <w:rPr>
          <w:rFonts w:ascii="Times New Roman" w:eastAsia="Times New Roman"/>
        </w:rPr>
        <w:t>106-67</w:t>
      </w:r>
    </w:p>
    <w:p>
      <w:pPr>
        <w:pStyle w:val="BodyText"/>
        <w:spacing w:before="11"/>
        <w:rPr>
          <w:rFonts w:ascii="Times New Roman"/>
          <w:sz w:val="17"/>
        </w:rPr>
      </w:pPr>
    </w:p>
    <w:p>
      <w:pPr>
        <w:pStyle w:val="BodyText"/>
        <w:spacing w:line="424" w:lineRule="auto"/>
        <w:ind w:left="720" w:right="4182"/>
      </w:pPr>
      <w:r>
        <w:rPr/>
        <w:t>办公地址：北京市朝阳区盛世龙源国食苑 </w:t>
      </w:r>
      <w:r>
        <w:rPr>
          <w:rFonts w:ascii="Times New Roman" w:eastAsia="Times New Roman"/>
        </w:rPr>
        <w:t>10 </w:t>
      </w:r>
      <w:r>
        <w:rPr/>
        <w:t>号楼法定代表人：王军辉</w:t>
      </w:r>
    </w:p>
    <w:p>
      <w:pPr>
        <w:pStyle w:val="BodyText"/>
        <w:spacing w:line="424" w:lineRule="auto" w:before="1"/>
        <w:ind w:left="720" w:right="6101"/>
      </w:pPr>
      <w:r>
        <w:rPr/>
        <w:t>客户服务电话：</w:t>
      </w:r>
      <w:r>
        <w:rPr>
          <w:rFonts w:ascii="Times New Roman" w:eastAsia="Times New Roman"/>
        </w:rPr>
        <w:t>400-680-2123 </w:t>
      </w:r>
      <w:r>
        <w:rPr/>
        <w:t>联系人：吴鹏</w:t>
      </w:r>
    </w:p>
    <w:p>
      <w:pPr>
        <w:pStyle w:val="BodyText"/>
        <w:spacing w:line="267" w:lineRule="exact"/>
        <w:ind w:left="720"/>
        <w:rPr>
          <w:rFonts w:ascii="Times New Roman" w:eastAsia="Times New Roman"/>
        </w:rPr>
      </w:pPr>
      <w:r>
        <w:rPr/>
        <w:t>网址：</w:t>
      </w:r>
      <w:hyperlink r:id="rId89">
        <w:r>
          <w:rPr>
            <w:rFonts w:ascii="Times New Roman" w:eastAsia="Times New Roman"/>
          </w:rPr>
          <w:t>www.zhixin-inv.com</w:t>
        </w:r>
      </w:hyperlink>
    </w:p>
    <w:p>
      <w:pPr>
        <w:pStyle w:val="BodyText"/>
        <w:spacing w:before="10"/>
        <w:rPr>
          <w:rFonts w:ascii="Times New Roman"/>
          <w:sz w:val="17"/>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海银基金销售有限公司</w:t>
      </w:r>
    </w:p>
    <w:p>
      <w:pPr>
        <w:pStyle w:val="BodyText"/>
        <w:spacing w:before="1"/>
        <w:rPr>
          <w:sz w:val="16"/>
        </w:rPr>
      </w:pPr>
    </w:p>
    <w:p>
      <w:pPr>
        <w:pStyle w:val="BodyText"/>
        <w:ind w:left="72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1"/>
        <w:rPr>
          <w:sz w:val="16"/>
        </w:rPr>
      </w:pPr>
    </w:p>
    <w:p>
      <w:pPr>
        <w:pStyle w:val="BodyText"/>
        <w:spacing w:line="424" w:lineRule="auto"/>
        <w:ind w:left="720" w:right="3929"/>
      </w:pPr>
      <w:r>
        <w:rPr>
          <w:spacing w:val="-6"/>
        </w:rPr>
        <w:t>办公地址：上海市自由贸易试验区银城中路 </w:t>
      </w:r>
      <w:r>
        <w:rPr>
          <w:rFonts w:ascii="Times New Roman" w:eastAsia="Times New Roman"/>
        </w:rPr>
        <w:t>8</w:t>
      </w:r>
      <w:r>
        <w:rPr>
          <w:rFonts w:ascii="Times New Roman" w:eastAsia="Times New Roman"/>
          <w:spacing w:val="3"/>
        </w:rPr>
        <w:t> </w:t>
      </w:r>
      <w:r>
        <w:rPr>
          <w:spacing w:val="-24"/>
        </w:rPr>
        <w:t>号 </w:t>
      </w:r>
      <w:r>
        <w:rPr>
          <w:rFonts w:ascii="Times New Roman" w:eastAsia="Times New Roman"/>
        </w:rPr>
        <w:t>4</w:t>
      </w:r>
      <w:r>
        <w:rPr>
          <w:rFonts w:ascii="Times New Roman" w:eastAsia="Times New Roman"/>
          <w:spacing w:val="3"/>
        </w:rPr>
        <w:t> </w:t>
      </w:r>
      <w:r>
        <w:rPr/>
        <w:t>楼</w:t>
      </w:r>
      <w:r>
        <w:rPr>
          <w:spacing w:val="-3"/>
        </w:rPr>
        <w:t>法定代表人：惠晓川</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021-80134149</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021-80133413</w:t>
      </w:r>
    </w:p>
    <w:p>
      <w:pPr>
        <w:pStyle w:val="BodyText"/>
        <w:spacing w:before="10"/>
        <w:rPr>
          <w:rFonts w:ascii="Times New Roman"/>
          <w:sz w:val="17"/>
        </w:rPr>
      </w:pPr>
    </w:p>
    <w:p>
      <w:pPr>
        <w:pStyle w:val="BodyText"/>
        <w:ind w:left="720"/>
      </w:pPr>
      <w:r>
        <w:rPr/>
        <w:t>联系人：秦琼</w:t>
      </w:r>
    </w:p>
    <w:p>
      <w:pPr>
        <w:pStyle w:val="BodyText"/>
        <w:spacing w:before="1"/>
        <w:rPr>
          <w:sz w:val="16"/>
        </w:rPr>
      </w:pPr>
    </w:p>
    <w:p>
      <w:pPr>
        <w:pStyle w:val="BodyText"/>
        <w:spacing w:line="424" w:lineRule="auto"/>
        <w:ind w:left="720" w:right="6101"/>
        <w:rPr>
          <w:rFonts w:ascii="Times New Roman" w:eastAsia="Times New Roman"/>
        </w:rPr>
      </w:pPr>
      <w:r>
        <w:rPr/>
        <w:t>网址：</w:t>
      </w:r>
      <w:hyperlink r:id="rId90">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上海久富财富管理有限公司</w:t>
      </w:r>
    </w:p>
    <w:p>
      <w:pPr>
        <w:pStyle w:val="BodyText"/>
        <w:spacing w:before="4"/>
        <w:rPr>
          <w:sz w:val="16"/>
        </w:rPr>
      </w:pPr>
    </w:p>
    <w:p>
      <w:pPr>
        <w:pStyle w:val="BodyText"/>
        <w:ind w:left="720"/>
      </w:pPr>
      <w:r>
        <w:rPr>
          <w:spacing w:val="-7"/>
        </w:rPr>
        <w:t>住所：上海市浦东新区莱阳路 </w:t>
      </w:r>
      <w:r>
        <w:rPr>
          <w:rFonts w:ascii="Times New Roman" w:eastAsia="Times New Roman"/>
        </w:rPr>
        <w:t>2819</w:t>
      </w:r>
      <w:r>
        <w:rPr>
          <w:rFonts w:ascii="Times New Roman" w:eastAsia="Times New Roman"/>
          <w:spacing w:val="-1"/>
        </w:rPr>
        <w:t> </w:t>
      </w:r>
      <w:r>
        <w:rPr>
          <w:spacing w:val="-25"/>
        </w:rPr>
        <w:t>号 </w:t>
      </w:r>
      <w:r>
        <w:rPr>
          <w:rFonts w:ascii="Times New Roman" w:eastAsia="Times New Roman"/>
        </w:rPr>
        <w:t>1</w:t>
      </w:r>
      <w:r>
        <w:rPr>
          <w:rFonts w:ascii="Times New Roman" w:eastAsia="Times New Roman"/>
          <w:spacing w:val="-1"/>
        </w:rPr>
        <w:t> </w:t>
      </w:r>
      <w:r>
        <w:rPr>
          <w:spacing w:val="-25"/>
        </w:rPr>
        <w:t>幢 </w:t>
      </w:r>
      <w:r>
        <w:rPr>
          <w:rFonts w:ascii="Times New Roman" w:eastAsia="Times New Roman"/>
        </w:rPr>
        <w:t>109</w:t>
      </w:r>
      <w:r>
        <w:rPr>
          <w:rFonts w:ascii="Times New Roman" w:eastAsia="Times New Roman"/>
          <w:spacing w:val="3"/>
        </w:rPr>
        <w:t> </w:t>
      </w:r>
      <w:r>
        <w:rPr/>
        <w:t>室</w:t>
      </w:r>
    </w:p>
    <w:p>
      <w:pPr>
        <w:pStyle w:val="BodyText"/>
        <w:spacing w:before="1"/>
        <w:rPr>
          <w:sz w:val="16"/>
        </w:rPr>
      </w:pPr>
    </w:p>
    <w:p>
      <w:pPr>
        <w:pStyle w:val="BodyText"/>
        <w:spacing w:line="424" w:lineRule="auto"/>
        <w:ind w:left="720" w:right="3298"/>
      </w:pPr>
      <w:r>
        <w:rPr>
          <w:spacing w:val="-6"/>
        </w:rPr>
        <w:t>办公地址：上海市浦东新区民生路 </w:t>
      </w:r>
      <w:r>
        <w:rPr>
          <w:rFonts w:ascii="Times New Roman" w:eastAsia="Times New Roman"/>
        </w:rPr>
        <w:t>1403 </w:t>
      </w:r>
      <w:r>
        <w:rPr>
          <w:spacing w:val="-11"/>
        </w:rPr>
        <w:t>号信息大厦 </w:t>
      </w:r>
      <w:r>
        <w:rPr>
          <w:rFonts w:ascii="Times New Roman" w:eastAsia="Times New Roman"/>
        </w:rPr>
        <w:t>1215 </w:t>
      </w:r>
      <w:r>
        <w:rPr/>
        <w:t>室</w:t>
      </w:r>
      <w:r>
        <w:rPr>
          <w:spacing w:val="-3"/>
        </w:rPr>
        <w:t>法定代表人：赵惠蓉</w:t>
      </w:r>
    </w:p>
    <w:p>
      <w:pPr>
        <w:pStyle w:val="BodyText"/>
        <w:spacing w:line="268" w:lineRule="exact"/>
        <w:ind w:left="720"/>
        <w:rPr>
          <w:rFonts w:ascii="Times New Roman" w:eastAsia="Times New Roman"/>
        </w:rPr>
      </w:pPr>
      <w:r>
        <w:rPr/>
        <w:t>电话：</w:t>
      </w:r>
      <w:r>
        <w:rPr>
          <w:rFonts w:ascii="Times New Roman" w:eastAsia="Times New Roman"/>
        </w:rPr>
        <w:t>021-68682279 </w:t>
      </w:r>
      <w:r>
        <w:rPr/>
        <w:t>转 </w:t>
      </w:r>
      <w:r>
        <w:rPr>
          <w:rFonts w:ascii="Times New Roman" w:eastAsia="Times New Roman"/>
        </w:rPr>
        <w:t>604</w:t>
      </w:r>
    </w:p>
    <w:p>
      <w:pPr>
        <w:pStyle w:val="BodyText"/>
        <w:spacing w:before="10"/>
        <w:rPr>
          <w:rFonts w:ascii="Times New Roman"/>
          <w:sz w:val="17"/>
        </w:rPr>
      </w:pPr>
    </w:p>
    <w:p>
      <w:pPr>
        <w:pStyle w:val="BodyText"/>
        <w:spacing w:before="1"/>
        <w:ind w:left="720"/>
        <w:rPr>
          <w:rFonts w:ascii="Times New Roman" w:eastAsia="Times New Roman"/>
        </w:rPr>
      </w:pPr>
      <w:r>
        <w:rPr/>
        <w:t>传真：</w:t>
      </w:r>
      <w:r>
        <w:rPr>
          <w:rFonts w:ascii="Times New Roman" w:eastAsia="Times New Roman"/>
        </w:rPr>
        <w:t>021-68682297</w:t>
      </w:r>
    </w:p>
    <w:p>
      <w:pPr>
        <w:pStyle w:val="BodyText"/>
        <w:spacing w:before="10"/>
        <w:rPr>
          <w:rFonts w:ascii="Times New Roman"/>
          <w:sz w:val="17"/>
        </w:rPr>
      </w:pPr>
    </w:p>
    <w:p>
      <w:pPr>
        <w:pStyle w:val="BodyText"/>
        <w:ind w:left="720"/>
      </w:pPr>
      <w:r>
        <w:rPr/>
        <w:t>联系人：潘静洁</w:t>
      </w:r>
    </w:p>
    <w:p>
      <w:pPr>
        <w:pStyle w:val="BodyText"/>
        <w:spacing w:before="1"/>
        <w:rPr>
          <w:sz w:val="16"/>
        </w:rPr>
      </w:pPr>
    </w:p>
    <w:p>
      <w:pPr>
        <w:pStyle w:val="BodyText"/>
        <w:ind w:left="720"/>
        <w:rPr>
          <w:rFonts w:ascii="Times New Roman" w:eastAsia="Times New Roman"/>
        </w:rPr>
      </w:pPr>
      <w:r>
        <w:rPr/>
        <w:t>网址：</w:t>
      </w:r>
      <w:hyperlink r:id="rId91">
        <w:r>
          <w:rPr>
            <w:rFonts w:ascii="Times New Roman" w:eastAsia="Times New Roman"/>
          </w:rPr>
          <w:t>www.jfcta.com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400-021-9898</w:t>
      </w:r>
    </w:p>
    <w:p>
      <w:pPr>
        <w:pStyle w:val="BodyText"/>
        <w:spacing w:before="1"/>
        <w:rPr>
          <w:rFonts w:ascii="Times New Roman"/>
          <w:sz w:val="18"/>
        </w:rPr>
      </w:pP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天津国美基金销售有限公司</w:t>
      </w:r>
    </w:p>
    <w:p>
      <w:pPr>
        <w:pStyle w:val="BodyText"/>
        <w:spacing w:before="1"/>
        <w:rPr>
          <w:sz w:val="16"/>
        </w:rPr>
      </w:pPr>
    </w:p>
    <w:p>
      <w:pPr>
        <w:pStyle w:val="BodyText"/>
        <w:spacing w:line="424" w:lineRule="auto"/>
        <w:ind w:left="720" w:right="1608"/>
      </w:pPr>
      <w:r>
        <w:rPr/>
        <w:t>住所：天津经济技术开发区南港工业区综合服务区办公楼</w:t>
      </w:r>
      <w:r>
        <w:rPr>
          <w:rFonts w:ascii="Times New Roman" w:eastAsia="Times New Roman"/>
        </w:rPr>
        <w:t>D </w:t>
      </w:r>
      <w:r>
        <w:rPr/>
        <w:t>座二层 </w:t>
      </w:r>
      <w:r>
        <w:rPr>
          <w:rFonts w:ascii="Times New Roman" w:eastAsia="Times New Roman"/>
        </w:rPr>
        <w:t>202-124 </w:t>
      </w:r>
      <w:r>
        <w:rPr/>
        <w:t>室办公地址：北京市朝阳区霄云路 </w:t>
      </w:r>
      <w:r>
        <w:rPr>
          <w:rFonts w:ascii="Times New Roman" w:eastAsia="Times New Roman"/>
        </w:rPr>
        <w:t>26 </w:t>
      </w:r>
      <w:r>
        <w:rPr/>
        <w:t>号鹏润大厦</w:t>
      </w:r>
      <w:r>
        <w:rPr>
          <w:rFonts w:ascii="Times New Roman" w:eastAsia="Times New Roman"/>
        </w:rPr>
        <w:t>B </w:t>
      </w:r>
      <w:r>
        <w:rPr/>
        <w:t>座 </w:t>
      </w:r>
      <w:r>
        <w:rPr>
          <w:rFonts w:ascii="Times New Roman" w:eastAsia="Times New Roman"/>
        </w:rPr>
        <w:t>9 </w:t>
      </w:r>
      <w:r>
        <w:rPr/>
        <w:t>层</w:t>
      </w:r>
    </w:p>
    <w:p>
      <w:pPr>
        <w:pStyle w:val="BodyText"/>
        <w:spacing w:line="424" w:lineRule="auto"/>
        <w:ind w:left="720" w:right="6870"/>
        <w:jc w:val="both"/>
        <w:rPr>
          <w:rFonts w:ascii="Times New Roman" w:eastAsia="Times New Roman"/>
        </w:rPr>
      </w:pPr>
      <w:r>
        <w:rPr/>
        <w:t>法定代表人：丁东华电话：</w:t>
      </w:r>
      <w:r>
        <w:rPr>
          <w:rFonts w:ascii="Times New Roman" w:eastAsia="Times New Roman"/>
        </w:rPr>
        <w:t>010-59287984 </w:t>
      </w:r>
      <w:r>
        <w:rPr/>
        <w:t>传真：</w:t>
      </w:r>
      <w:r>
        <w:rPr>
          <w:rFonts w:ascii="Times New Roman" w:eastAsia="Times New Roman"/>
        </w:rPr>
        <w:t>010-59287825</w:t>
      </w:r>
    </w:p>
    <w:p>
      <w:pPr>
        <w:pStyle w:val="BodyText"/>
        <w:spacing w:line="266" w:lineRule="exact"/>
        <w:ind w:left="720"/>
      </w:pPr>
      <w:r>
        <w:rPr/>
        <w:t>联系人：郭宝亮</w:t>
      </w:r>
    </w:p>
    <w:p>
      <w:pPr>
        <w:pStyle w:val="BodyText"/>
        <w:spacing w:before="12"/>
        <w:rPr>
          <w:sz w:val="15"/>
        </w:rPr>
      </w:pPr>
    </w:p>
    <w:p>
      <w:pPr>
        <w:pStyle w:val="BodyText"/>
        <w:spacing w:line="427" w:lineRule="auto"/>
        <w:ind w:left="720" w:right="6074"/>
        <w:rPr>
          <w:rFonts w:ascii="Times New Roman" w:eastAsia="Times New Roman"/>
        </w:rPr>
      </w:pPr>
      <w:r>
        <w:rPr/>
        <w:t>网 址 ：</w:t>
      </w:r>
      <w:hyperlink r:id="rId92">
        <w:r>
          <w:rPr>
            <w:rFonts w:ascii="Times New Roman" w:eastAsia="Times New Roman"/>
          </w:rPr>
          <w:t>www.gomefund.com</w:t>
        </w:r>
      </w:hyperlink>
      <w:r>
        <w:rPr>
          <w:rFonts w:ascii="Times New Roman" w:eastAsia="Times New Roman"/>
        </w:rPr>
        <w:t> </w:t>
      </w:r>
      <w:r>
        <w:rPr/>
        <w:t>客户服务电话：</w:t>
      </w:r>
      <w:r>
        <w:rPr>
          <w:rFonts w:ascii="Times New Roman" w:eastAsia="Times New Roman"/>
        </w:rPr>
        <w:t>400-111-0889</w:t>
      </w:r>
    </w:p>
    <w:p>
      <w:pPr>
        <w:pStyle w:val="ListParagraph"/>
        <w:numPr>
          <w:ilvl w:val="0"/>
          <w:numId w:val="10"/>
        </w:numPr>
        <w:tabs>
          <w:tab w:pos="1355" w:val="left" w:leader="none"/>
        </w:tabs>
        <w:spacing w:line="265" w:lineRule="exact" w:before="0" w:after="0"/>
        <w:ind w:left="1355" w:right="0" w:hanging="635"/>
        <w:jc w:val="left"/>
        <w:rPr>
          <w:sz w:val="21"/>
        </w:rPr>
      </w:pPr>
      <w:r>
        <w:rPr>
          <w:spacing w:val="-3"/>
          <w:sz w:val="21"/>
        </w:rPr>
        <w:t>上海大智慧基金销售有限公司</w:t>
      </w:r>
    </w:p>
    <w:p>
      <w:pPr>
        <w:pStyle w:val="BodyText"/>
        <w:spacing w:before="1"/>
        <w:rPr>
          <w:sz w:val="16"/>
        </w:rPr>
      </w:pPr>
    </w:p>
    <w:p>
      <w:pPr>
        <w:pStyle w:val="BodyText"/>
        <w:ind w:left="720"/>
      </w:pPr>
      <w:r>
        <w:rPr/>
        <w:t>住所：中国（上海）自由贸易试验区杨高南路 </w:t>
      </w:r>
      <w:r>
        <w:rPr>
          <w:rFonts w:ascii="Times New Roman" w:eastAsia="Times New Roman"/>
        </w:rPr>
        <w:t>428 </w:t>
      </w:r>
      <w:r>
        <w:rPr/>
        <w:t>号 </w:t>
      </w:r>
      <w:r>
        <w:rPr>
          <w:rFonts w:ascii="Times New Roman" w:eastAsia="Times New Roman"/>
        </w:rPr>
        <w:t>1 </w:t>
      </w:r>
      <w:r>
        <w:rPr/>
        <w:t>号楼 </w:t>
      </w:r>
      <w:r>
        <w:rPr>
          <w:rFonts w:ascii="Times New Roman" w:eastAsia="Times New Roman"/>
        </w:rPr>
        <w:t>1102 </w:t>
      </w:r>
      <w:r>
        <w:rPr/>
        <w:t>单元</w:t>
      </w:r>
    </w:p>
    <w:p>
      <w:pPr>
        <w:pStyle w:val="BodyText"/>
        <w:spacing w:before="1"/>
        <w:rPr>
          <w:sz w:val="16"/>
        </w:rPr>
      </w:pPr>
    </w:p>
    <w:p>
      <w:pPr>
        <w:pStyle w:val="BodyText"/>
        <w:spacing w:line="424" w:lineRule="auto"/>
        <w:ind w:left="720" w:right="1942"/>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428 </w:t>
      </w:r>
      <w:r>
        <w:rPr>
          <w:spacing w:val="-25"/>
        </w:rPr>
        <w:t>号 </w:t>
      </w:r>
      <w:r>
        <w:rPr>
          <w:rFonts w:ascii="Times New Roman" w:eastAsia="Times New Roman"/>
        </w:rPr>
        <w:t>1 </w:t>
      </w:r>
      <w:r>
        <w:rPr>
          <w:spacing w:val="-17"/>
        </w:rPr>
        <w:t>号楼 </w:t>
      </w:r>
      <w:r>
        <w:rPr>
          <w:rFonts w:ascii="Times New Roman" w:eastAsia="Times New Roman"/>
          <w:spacing w:val="-3"/>
        </w:rPr>
        <w:t>1102 </w:t>
      </w:r>
      <w:r>
        <w:rPr/>
        <w:t>单元</w:t>
      </w:r>
      <w:r>
        <w:rPr>
          <w:spacing w:val="-3"/>
        </w:rPr>
        <w:t>法定代表人：申健</w:t>
      </w:r>
    </w:p>
    <w:p>
      <w:pPr>
        <w:pStyle w:val="BodyText"/>
        <w:spacing w:line="424" w:lineRule="auto"/>
        <w:ind w:left="720" w:right="690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spacing w:line="267" w:lineRule="exact"/>
        <w:ind w:left="720"/>
      </w:pPr>
      <w:r>
        <w:rPr/>
        <w:t>联系人：张蜓</w:t>
      </w:r>
    </w:p>
    <w:p>
      <w:pPr>
        <w:spacing w:after="0" w:line="267" w:lineRule="exact"/>
        <w:sectPr>
          <w:pgSz w:w="11910" w:h="16840"/>
          <w:pgMar w:header="701" w:footer="683" w:top="1420" w:bottom="880" w:left="1500" w:right="920"/>
        </w:sectPr>
      </w:pPr>
    </w:p>
    <w:p>
      <w:pPr>
        <w:pStyle w:val="BodyText"/>
        <w:spacing w:line="424" w:lineRule="auto" w:before="115"/>
        <w:ind w:left="720" w:right="6065"/>
        <w:rPr>
          <w:rFonts w:ascii="Times New Roman" w:eastAsia="Times New Roman"/>
        </w:rPr>
      </w:pPr>
      <w:r>
        <w:rPr/>
        <w:t>网址：</w:t>
      </w:r>
      <w:r>
        <w:rPr>
          <w:rFonts w:ascii="Times New Roman" w:eastAsia="Times New Roman"/>
        </w:rPr>
        <w:t>https://</w:t>
      </w:r>
      <w:hyperlink r:id="rId93">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北京新浪仓石基金销售有限公司</w:t>
      </w:r>
    </w:p>
    <w:p>
      <w:pPr>
        <w:pStyle w:val="BodyText"/>
        <w:rPr>
          <w:sz w:val="16"/>
        </w:rPr>
      </w:pPr>
    </w:p>
    <w:p>
      <w:pPr>
        <w:pStyle w:val="BodyText"/>
        <w:spacing w:line="424" w:lineRule="auto" w:before="1"/>
        <w:ind w:left="300" w:right="87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24" w:lineRule="auto"/>
        <w:ind w:left="720" w:right="225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24" w:lineRule="auto"/>
        <w:ind w:left="720" w:right="690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spacing w:line="267" w:lineRule="exact"/>
        <w:ind w:left="720"/>
      </w:pPr>
      <w:r>
        <w:rPr/>
        <w:t>联系人：赵芯蕊</w:t>
      </w:r>
    </w:p>
    <w:p>
      <w:pPr>
        <w:pStyle w:val="BodyText"/>
        <w:spacing w:before="12"/>
        <w:rPr>
          <w:sz w:val="15"/>
        </w:rPr>
      </w:pPr>
    </w:p>
    <w:p>
      <w:pPr>
        <w:pStyle w:val="BodyText"/>
        <w:ind w:left="720"/>
        <w:rPr>
          <w:rFonts w:ascii="Times New Roman" w:eastAsia="Times New Roman"/>
        </w:rPr>
      </w:pPr>
      <w:r>
        <w:rPr/>
        <w:t>网址：</w:t>
      </w:r>
      <w:hyperlink r:id="rId94">
        <w:r>
          <w:rPr>
            <w:rFonts w:ascii="Times New Roman" w:eastAsia="Times New Roman"/>
          </w:rPr>
          <w:t>www.xincai.com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010-62675369</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北京辉腾汇富基金销售有限公司</w:t>
      </w:r>
    </w:p>
    <w:p>
      <w:pPr>
        <w:pStyle w:val="BodyText"/>
        <w:spacing w:before="3"/>
        <w:rPr>
          <w:sz w:val="16"/>
        </w:rPr>
      </w:pPr>
    </w:p>
    <w:p>
      <w:pPr>
        <w:pStyle w:val="BodyText"/>
        <w:ind w:left="720"/>
        <w:rPr>
          <w:rFonts w:ascii="Times New Roman" w:eastAsia="Times New Roman"/>
        </w:rPr>
      </w:pPr>
      <w:r>
        <w:rPr/>
        <w:t>住所：北京市东城区朝阳门北大街 </w:t>
      </w:r>
      <w:r>
        <w:rPr>
          <w:rFonts w:ascii="Times New Roman" w:eastAsia="Times New Roman"/>
        </w:rPr>
        <w:t>8 </w:t>
      </w:r>
      <w:r>
        <w:rPr/>
        <w:t>号 </w:t>
      </w:r>
      <w:r>
        <w:rPr>
          <w:rFonts w:ascii="Times New Roman" w:eastAsia="Times New Roman"/>
        </w:rPr>
        <w:t>2-2-1</w:t>
      </w:r>
    </w:p>
    <w:p>
      <w:pPr>
        <w:pStyle w:val="BodyText"/>
        <w:rPr>
          <w:rFonts w:ascii="Times New Roman"/>
          <w:sz w:val="18"/>
        </w:rPr>
      </w:pPr>
    </w:p>
    <w:p>
      <w:pPr>
        <w:pStyle w:val="BodyText"/>
        <w:ind w:left="720"/>
        <w:rPr>
          <w:rFonts w:ascii="Times New Roman" w:eastAsia="Times New Roman"/>
        </w:rPr>
      </w:pPr>
      <w:r>
        <w:rPr/>
        <w:t>办公地址：北京市东城区朝阳门北大街 </w:t>
      </w:r>
      <w:r>
        <w:rPr>
          <w:rFonts w:ascii="Times New Roman" w:eastAsia="Times New Roman"/>
        </w:rPr>
        <w:t>8 </w:t>
      </w:r>
      <w:r>
        <w:rPr/>
        <w:t>号富华大厦 </w:t>
      </w:r>
      <w:r>
        <w:rPr>
          <w:rFonts w:ascii="Times New Roman" w:eastAsia="Times New Roman"/>
        </w:rPr>
        <w:t>F </w:t>
      </w:r>
      <w:r>
        <w:rPr/>
        <w:t>座 </w:t>
      </w:r>
      <w:r>
        <w:rPr>
          <w:rFonts w:ascii="Times New Roman" w:eastAsia="Times New Roman"/>
        </w:rPr>
        <w:t>12 </w:t>
      </w:r>
      <w:r>
        <w:rPr/>
        <w:t>层</w:t>
      </w:r>
      <w:r>
        <w:rPr>
          <w:rFonts w:ascii="Times New Roman" w:eastAsia="Times New Roman"/>
        </w:rPr>
        <w:t>B</w:t>
      </w:r>
    </w:p>
    <w:p>
      <w:pPr>
        <w:pStyle w:val="BodyText"/>
        <w:spacing w:before="10"/>
        <w:rPr>
          <w:rFonts w:ascii="Times New Roman"/>
          <w:sz w:val="17"/>
        </w:rPr>
      </w:pPr>
    </w:p>
    <w:p>
      <w:pPr>
        <w:pStyle w:val="BodyText"/>
        <w:spacing w:line="424" w:lineRule="auto"/>
        <w:ind w:left="720" w:right="6844"/>
        <w:rPr>
          <w:rFonts w:ascii="Times New Roman" w:eastAsia="Times New Roman"/>
        </w:rPr>
      </w:pPr>
      <w:r>
        <w:rPr/>
        <w:t>法定代表人：许宁电话：</w:t>
      </w:r>
      <w:r>
        <w:rPr>
          <w:rFonts w:ascii="Times New Roman" w:eastAsia="Times New Roman"/>
        </w:rPr>
        <w:t>010-85610733 </w:t>
      </w:r>
      <w:r>
        <w:rPr/>
        <w:t>传真：</w:t>
      </w:r>
      <w:r>
        <w:rPr>
          <w:rFonts w:ascii="Times New Roman" w:eastAsia="Times New Roman"/>
        </w:rPr>
        <w:t>010-85622351</w:t>
      </w:r>
    </w:p>
    <w:p>
      <w:pPr>
        <w:pStyle w:val="BodyText"/>
        <w:spacing w:line="266" w:lineRule="exact"/>
        <w:ind w:left="720"/>
      </w:pPr>
      <w:r>
        <w:rPr/>
        <w:t>联系人：彭雪琳</w:t>
      </w:r>
    </w:p>
    <w:p>
      <w:pPr>
        <w:pStyle w:val="BodyText"/>
        <w:spacing w:before="1"/>
        <w:rPr>
          <w:sz w:val="16"/>
        </w:rPr>
      </w:pPr>
    </w:p>
    <w:p>
      <w:pPr>
        <w:pStyle w:val="BodyText"/>
        <w:spacing w:line="424" w:lineRule="auto" w:before="1"/>
        <w:ind w:left="720" w:right="5992"/>
        <w:rPr>
          <w:rFonts w:ascii="Times New Roman" w:eastAsia="Times New Roman"/>
        </w:rPr>
      </w:pPr>
      <w:r>
        <w:rPr/>
        <w:t>网址：</w:t>
      </w:r>
      <w:r>
        <w:rPr>
          <w:rFonts w:ascii="Times New Roman" w:eastAsia="Times New Roman"/>
        </w:rPr>
        <w:t>https://</w:t>
      </w:r>
      <w:hyperlink r:id="rId95">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10"/>
        </w:numPr>
        <w:tabs>
          <w:tab w:pos="1355" w:val="left" w:leader="none"/>
        </w:tabs>
        <w:spacing w:line="240" w:lineRule="auto" w:before="1" w:after="0"/>
        <w:ind w:left="135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rPr>
          <w:sz w:val="16"/>
        </w:rPr>
      </w:pPr>
    </w:p>
    <w:p>
      <w:pPr>
        <w:pStyle w:val="BodyText"/>
        <w:spacing w:before="1"/>
        <w:ind w:left="720"/>
        <w:rPr>
          <w:rFonts w:ascii="Times New Roman" w:eastAsia="Times New Roman"/>
        </w:rPr>
      </w:pPr>
      <w:r>
        <w:rPr/>
        <w:t>住所：北京市朝阳区太阳宫中路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10"/>
        <w:rPr>
          <w:rFonts w:ascii="Times New Roman"/>
          <w:sz w:val="17"/>
        </w:rPr>
      </w:pPr>
    </w:p>
    <w:p>
      <w:pPr>
        <w:pStyle w:val="BodyText"/>
        <w:ind w:left="720"/>
        <w:rPr>
          <w:rFonts w:ascii="Times New Roman" w:eastAsia="Times New Roman"/>
        </w:rPr>
      </w:pPr>
      <w:r>
        <w:rPr/>
        <w:t>办公地址：北京市朝阳区太阳宫中路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11"/>
        <w:rPr>
          <w:rFonts w:ascii="Times New Roman"/>
          <w:sz w:val="17"/>
        </w:rPr>
      </w:pPr>
    </w:p>
    <w:p>
      <w:pPr>
        <w:pStyle w:val="BodyText"/>
        <w:spacing w:line="424" w:lineRule="auto"/>
        <w:ind w:left="720" w:right="6844"/>
        <w:rPr>
          <w:rFonts w:ascii="Times New Roman" w:eastAsia="Times New Roman"/>
        </w:rPr>
      </w:pPr>
      <w:r>
        <w:rPr/>
        <w:t>法定代表人：杨健电话：</w:t>
      </w:r>
      <w:r>
        <w:rPr>
          <w:rFonts w:ascii="Times New Roman" w:eastAsia="Times New Roman"/>
        </w:rPr>
        <w:t>010-65309516 </w:t>
      </w:r>
      <w:r>
        <w:rPr/>
        <w:t>传真：</w:t>
      </w:r>
      <w:r>
        <w:rPr>
          <w:rFonts w:ascii="Times New Roman" w:eastAsia="Times New Roman"/>
        </w:rPr>
        <w:t>010-65330699</w:t>
      </w:r>
    </w:p>
    <w:p>
      <w:pPr>
        <w:pStyle w:val="BodyText"/>
        <w:spacing w:line="266" w:lineRule="exact"/>
        <w:ind w:left="720"/>
      </w:pPr>
      <w:r>
        <w:rPr/>
        <w:t>联系人：李海燕</w:t>
      </w:r>
    </w:p>
    <w:p>
      <w:pPr>
        <w:pStyle w:val="BodyText"/>
        <w:spacing w:before="1"/>
        <w:rPr>
          <w:sz w:val="16"/>
        </w:rPr>
      </w:pPr>
    </w:p>
    <w:p>
      <w:pPr>
        <w:pStyle w:val="BodyText"/>
        <w:spacing w:before="1"/>
        <w:ind w:left="720"/>
        <w:rPr>
          <w:rFonts w:ascii="Times New Roman" w:eastAsia="Times New Roman"/>
        </w:rPr>
      </w:pPr>
      <w:r>
        <w:rPr/>
        <w:t>网址：</w:t>
      </w:r>
      <w:hyperlink r:id="rId96">
        <w:r>
          <w:rPr>
            <w:rFonts w:ascii="Times New Roman" w:eastAsia="Times New Roman"/>
          </w:rPr>
          <w:t>www.jianfortune.com</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400-673-7010</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上海万得基金销售有限公司</w:t>
      </w:r>
    </w:p>
    <w:p>
      <w:pPr>
        <w:pStyle w:val="BodyText"/>
        <w:spacing w:before="1"/>
        <w:rPr>
          <w:sz w:val="16"/>
        </w:rPr>
      </w:pPr>
    </w:p>
    <w:p>
      <w:pPr>
        <w:pStyle w:val="BodyText"/>
        <w:spacing w:line="424" w:lineRule="auto"/>
        <w:ind w:left="720" w:right="319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24" w:lineRule="auto"/>
        <w:ind w:left="720" w:right="690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8" w:lineRule="exact"/>
        <w:ind w:left="720"/>
      </w:pPr>
      <w:r>
        <w:rPr/>
        <w:t>联系人：徐亚丹</w:t>
      </w:r>
    </w:p>
    <w:p>
      <w:pPr>
        <w:pStyle w:val="BodyText"/>
        <w:spacing w:before="1"/>
        <w:rPr>
          <w:sz w:val="16"/>
        </w:rPr>
      </w:pPr>
    </w:p>
    <w:p>
      <w:pPr>
        <w:pStyle w:val="BodyText"/>
        <w:spacing w:line="424" w:lineRule="auto"/>
        <w:ind w:left="720" w:right="6101"/>
        <w:rPr>
          <w:rFonts w:ascii="Times New Roman" w:eastAsia="Times New Roman"/>
        </w:rPr>
      </w:pPr>
      <w:r>
        <w:rPr/>
        <w:t>网址：</w:t>
      </w:r>
      <w:hyperlink r:id="rId97">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12"/>
        <w:rPr>
          <w:sz w:val="9"/>
        </w:rPr>
      </w:pPr>
    </w:p>
    <w:p>
      <w:pPr>
        <w:pStyle w:val="BodyText"/>
        <w:spacing w:before="79"/>
        <w:ind w:left="72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w:t>
      </w:r>
      <w:r>
        <w:rPr>
          <w:rFonts w:ascii="Times New Roman" w:eastAsia="Times New Roman"/>
          <w:spacing w:val="-1"/>
          <w:w w:val="100"/>
        </w:rPr>
        <w:t>0</w:t>
      </w:r>
      <w:r>
        <w:rPr>
          <w:w w:val="100"/>
        </w:rPr>
        <w:t>）</w:t>
      </w:r>
    </w:p>
    <w:p>
      <w:pPr>
        <w:pStyle w:val="BodyText"/>
        <w:spacing w:before="12"/>
        <w:rPr>
          <w:sz w:val="9"/>
        </w:rPr>
      </w:pPr>
    </w:p>
    <w:p>
      <w:pPr>
        <w:pStyle w:val="BodyText"/>
        <w:spacing w:line="427" w:lineRule="auto" w:before="78"/>
        <w:ind w:left="720" w:right="162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24" w:lineRule="auto"/>
        <w:ind w:left="720" w:right="690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7" w:lineRule="exact"/>
        <w:ind w:left="720"/>
      </w:pPr>
      <w:r>
        <w:rPr/>
        <w:t>联系人：张旭</w:t>
      </w:r>
    </w:p>
    <w:p>
      <w:pPr>
        <w:pStyle w:val="BodyText"/>
        <w:spacing w:before="9"/>
        <w:rPr>
          <w:sz w:val="15"/>
        </w:rPr>
      </w:pPr>
    </w:p>
    <w:p>
      <w:pPr>
        <w:pStyle w:val="BodyText"/>
        <w:spacing w:before="1"/>
        <w:ind w:left="720"/>
        <w:rPr>
          <w:rFonts w:ascii="Times New Roman" w:eastAsia="Times New Roman"/>
        </w:rPr>
      </w:pPr>
      <w:r>
        <w:rPr/>
        <w:t>网址：</w:t>
      </w:r>
      <w:hyperlink r:id="rId98">
        <w:r>
          <w:rPr>
            <w:rFonts w:ascii="Times New Roman" w:eastAsia="Times New Roman"/>
          </w:rPr>
          <w:t>www.fengfd.com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400-810-5919</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上海联泰基金销售有限公司</w:t>
      </w:r>
    </w:p>
    <w:p>
      <w:pPr>
        <w:pStyle w:val="BodyText"/>
        <w:spacing w:before="1"/>
        <w:rPr>
          <w:sz w:val="16"/>
        </w:rPr>
      </w:pPr>
    </w:p>
    <w:p>
      <w:pPr>
        <w:pStyle w:val="BodyText"/>
        <w:ind w:left="72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pStyle w:val="BodyText"/>
        <w:spacing w:before="4"/>
        <w:rPr>
          <w:sz w:val="16"/>
        </w:rPr>
      </w:pPr>
    </w:p>
    <w:p>
      <w:pPr>
        <w:pStyle w:val="BodyText"/>
        <w:spacing w:line="424" w:lineRule="auto"/>
        <w:ind w:left="720" w:right="350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pStyle w:val="BodyText"/>
        <w:spacing w:line="424" w:lineRule="auto"/>
        <w:ind w:left="720" w:right="690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spacing w:line="267" w:lineRule="exact"/>
        <w:ind w:left="720"/>
      </w:pPr>
      <w:r>
        <w:rPr/>
        <w:t>联系人：兰敏</w:t>
      </w:r>
    </w:p>
    <w:p>
      <w:pPr>
        <w:pStyle w:val="BodyText"/>
        <w:spacing w:before="12"/>
        <w:rPr>
          <w:sz w:val="15"/>
        </w:rPr>
      </w:pPr>
    </w:p>
    <w:p>
      <w:pPr>
        <w:pStyle w:val="BodyText"/>
        <w:ind w:left="720"/>
        <w:rPr>
          <w:rFonts w:ascii="Times New Roman" w:eastAsia="Times New Roman"/>
        </w:rPr>
      </w:pPr>
      <w:r>
        <w:rPr/>
        <w:t>网址：</w:t>
      </w:r>
      <w:hyperlink r:id="rId99">
        <w:r>
          <w:rPr>
            <w:rFonts w:ascii="Times New Roman" w:eastAsia="Times New Roman"/>
          </w:rPr>
          <w:t>www.66liantai.com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400-118-1188</w:t>
      </w:r>
    </w:p>
    <w:p>
      <w:pPr>
        <w:pStyle w:val="BodyText"/>
        <w:spacing w:before="11"/>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深圳市金海九州基金销售有限公司</w:t>
      </w:r>
    </w:p>
    <w:p>
      <w:pPr>
        <w:spacing w:after="0" w:line="240" w:lineRule="auto"/>
        <w:jc w:val="left"/>
        <w:rPr>
          <w:sz w:val="21"/>
        </w:rPr>
        <w:sectPr>
          <w:pgSz w:w="11910" w:h="16840"/>
          <w:pgMar w:header="701" w:footer="683" w:top="1420" w:bottom="880" w:left="1500" w:right="920"/>
        </w:sectPr>
      </w:pPr>
    </w:p>
    <w:p>
      <w:pPr>
        <w:pStyle w:val="BodyText"/>
        <w:spacing w:line="424" w:lineRule="auto" w:before="115"/>
        <w:ind w:left="300" w:right="79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pStyle w:val="BodyText"/>
        <w:spacing w:line="424" w:lineRule="auto"/>
        <w:ind w:left="720" w:right="3977"/>
      </w:pPr>
      <w:r>
        <w:rPr/>
        <w:t>办公地址：深圳市福田区富德生命保险大厦 </w:t>
      </w:r>
      <w:r>
        <w:rPr>
          <w:rFonts w:ascii="Times New Roman" w:eastAsia="Times New Roman"/>
        </w:rPr>
        <w:t>1106 </w:t>
      </w:r>
      <w:r>
        <w:rPr/>
        <w:t>室法定代表人：彭维熙</w:t>
      </w:r>
    </w:p>
    <w:p>
      <w:pPr>
        <w:pStyle w:val="BodyText"/>
        <w:spacing w:line="427" w:lineRule="auto"/>
        <w:ind w:left="720" w:right="680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4" w:lineRule="exact"/>
        <w:ind w:left="720"/>
      </w:pPr>
      <w:r>
        <w:rPr/>
        <w:t>联系人：彭维熙</w:t>
      </w:r>
    </w:p>
    <w:p>
      <w:pPr>
        <w:pStyle w:val="BodyText"/>
        <w:spacing w:before="10"/>
        <w:rPr>
          <w:sz w:val="15"/>
        </w:rPr>
      </w:pPr>
    </w:p>
    <w:p>
      <w:pPr>
        <w:pStyle w:val="BodyText"/>
        <w:ind w:left="720"/>
        <w:rPr>
          <w:rFonts w:ascii="Times New Roman" w:eastAsia="Times New Roman"/>
        </w:rPr>
      </w:pPr>
      <w:r>
        <w:rPr/>
        <w:t>网址：</w:t>
      </w:r>
      <w:hyperlink r:id="rId100">
        <w:r>
          <w:rPr>
            <w:rFonts w:ascii="Times New Roman" w:eastAsia="Times New Roman"/>
          </w:rPr>
          <w:t>www.jhjzfund.com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400-099-3333</w:t>
      </w:r>
    </w:p>
    <w:p>
      <w:pPr>
        <w:pStyle w:val="BodyText"/>
        <w:spacing w:before="10"/>
        <w:rPr>
          <w:rFonts w:ascii="Times New Roman"/>
          <w:sz w:val="17"/>
        </w:rPr>
      </w:pPr>
    </w:p>
    <w:p>
      <w:pPr>
        <w:pStyle w:val="ListParagraph"/>
        <w:numPr>
          <w:ilvl w:val="0"/>
          <w:numId w:val="10"/>
        </w:numPr>
        <w:tabs>
          <w:tab w:pos="1355" w:val="left" w:leader="none"/>
        </w:tabs>
        <w:spacing w:line="424" w:lineRule="auto" w:before="0" w:after="0"/>
        <w:ind w:left="720" w:right="4558" w:firstLine="0"/>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 </w:t>
      </w:r>
      <w:r>
        <w:rPr>
          <w:spacing w:val="-6"/>
          <w:sz w:val="21"/>
        </w:rPr>
        <w:t>住所：辽宁省大连市沙河口区星海中龙园 </w:t>
      </w:r>
      <w:r>
        <w:rPr>
          <w:rFonts w:ascii="Times New Roman" w:eastAsia="Times New Roman"/>
          <w:sz w:val="21"/>
        </w:rPr>
        <w:t>3</w:t>
      </w:r>
      <w:r>
        <w:rPr>
          <w:rFonts w:ascii="Times New Roman" w:eastAsia="Times New Roman"/>
          <w:spacing w:val="10"/>
          <w:sz w:val="21"/>
        </w:rPr>
        <w:t> </w:t>
      </w:r>
      <w:r>
        <w:rPr>
          <w:spacing w:val="-11"/>
          <w:sz w:val="21"/>
        </w:rPr>
        <w:t>号</w:t>
      </w:r>
    </w:p>
    <w:p>
      <w:pPr>
        <w:pStyle w:val="BodyText"/>
        <w:spacing w:line="424" w:lineRule="auto"/>
        <w:ind w:left="720" w:right="4077"/>
      </w:pPr>
      <w:r>
        <w:rPr/>
        <w:t>办公地址：辽宁省大连市沙河口区星海中龙园 </w:t>
      </w:r>
      <w:r>
        <w:rPr>
          <w:rFonts w:ascii="Times New Roman" w:eastAsia="Times New Roman"/>
        </w:rPr>
        <w:t>3 </w:t>
      </w:r>
      <w:r>
        <w:rPr/>
        <w:t>号法定代表人：李春光</w:t>
      </w:r>
    </w:p>
    <w:p>
      <w:pPr>
        <w:pStyle w:val="BodyText"/>
        <w:spacing w:line="424" w:lineRule="auto"/>
        <w:ind w:left="720" w:right="642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7" w:lineRule="exact"/>
        <w:ind w:left="720"/>
      </w:pPr>
      <w:r>
        <w:rPr/>
        <w:t>联系人：张晓辉</w:t>
      </w:r>
    </w:p>
    <w:p>
      <w:pPr>
        <w:pStyle w:val="BodyText"/>
        <w:spacing w:before="12"/>
        <w:rPr>
          <w:sz w:val="15"/>
        </w:rPr>
      </w:pPr>
    </w:p>
    <w:p>
      <w:pPr>
        <w:pStyle w:val="BodyText"/>
        <w:spacing w:line="424" w:lineRule="auto"/>
        <w:ind w:left="720" w:right="6109"/>
        <w:rPr>
          <w:rFonts w:ascii="Times New Roman" w:eastAsia="Times New Roman"/>
        </w:rPr>
      </w:pPr>
      <w:r>
        <w:rPr/>
        <w:t>网址：</w:t>
      </w:r>
      <w:hyperlink r:id="rId101">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10"/>
        </w:numPr>
        <w:tabs>
          <w:tab w:pos="1355" w:val="left" w:leader="none"/>
        </w:tabs>
        <w:spacing w:line="267" w:lineRule="exact" w:before="0" w:after="0"/>
        <w:ind w:left="1355" w:right="0" w:hanging="635"/>
        <w:jc w:val="left"/>
        <w:rPr>
          <w:sz w:val="21"/>
        </w:rPr>
      </w:pPr>
      <w:r>
        <w:rPr>
          <w:spacing w:val="-3"/>
          <w:sz w:val="21"/>
        </w:rPr>
        <w:t>上海汇付基金销售有限公司</w:t>
      </w:r>
    </w:p>
    <w:p>
      <w:pPr>
        <w:pStyle w:val="BodyText"/>
        <w:spacing w:before="1"/>
        <w:rPr>
          <w:sz w:val="16"/>
        </w:rPr>
      </w:pPr>
    </w:p>
    <w:p>
      <w:pPr>
        <w:pStyle w:val="BodyText"/>
        <w:spacing w:before="1"/>
        <w:ind w:left="72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7"/>
        </w:rPr>
        <w:t>区 </w:t>
      </w:r>
      <w:r>
        <w:rPr>
          <w:rFonts w:ascii="Times New Roman" w:eastAsia="Times New Roman"/>
        </w:rPr>
        <w:t>056 </w:t>
      </w:r>
      <w:r>
        <w:rPr/>
        <w:t>单元</w:t>
      </w:r>
    </w:p>
    <w:p>
      <w:pPr>
        <w:pStyle w:val="BodyText"/>
        <w:rPr>
          <w:sz w:val="16"/>
        </w:rPr>
      </w:pPr>
    </w:p>
    <w:p>
      <w:pPr>
        <w:pStyle w:val="BodyText"/>
        <w:spacing w:line="427" w:lineRule="auto" w:before="1"/>
        <w:ind w:left="720" w:right="267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pStyle w:val="BodyText"/>
        <w:spacing w:line="424" w:lineRule="auto"/>
        <w:ind w:left="720" w:right="690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spacing w:line="267" w:lineRule="exact"/>
        <w:ind w:left="720"/>
      </w:pPr>
      <w:r>
        <w:rPr/>
        <w:t>联系人：甄宝林</w:t>
      </w:r>
    </w:p>
    <w:p>
      <w:pPr>
        <w:pStyle w:val="BodyText"/>
        <w:spacing w:before="9"/>
        <w:rPr>
          <w:sz w:val="15"/>
        </w:rPr>
      </w:pPr>
    </w:p>
    <w:p>
      <w:pPr>
        <w:pStyle w:val="BodyText"/>
        <w:ind w:left="720"/>
        <w:rPr>
          <w:rFonts w:ascii="Times New Roman" w:eastAsia="Times New Roman"/>
        </w:rPr>
      </w:pPr>
      <w:r>
        <w:rPr/>
        <w:t>网址：</w:t>
      </w:r>
      <w:hyperlink r:id="rId102">
        <w:r>
          <w:rPr>
            <w:rFonts w:ascii="Times New Roman" w:eastAsia="Times New Roman"/>
          </w:rPr>
          <w:t>www.hotjijin.com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021-34013999</w:t>
      </w:r>
    </w:p>
    <w:p>
      <w:pPr>
        <w:pStyle w:val="BodyText"/>
        <w:spacing w:before="10"/>
        <w:rPr>
          <w:rFonts w:ascii="Times New Roman"/>
          <w:sz w:val="17"/>
        </w:rPr>
      </w:pPr>
    </w:p>
    <w:p>
      <w:pPr>
        <w:pStyle w:val="ListParagraph"/>
        <w:numPr>
          <w:ilvl w:val="0"/>
          <w:numId w:val="10"/>
        </w:numPr>
        <w:tabs>
          <w:tab w:pos="1355" w:val="left" w:leader="none"/>
        </w:tabs>
        <w:spacing w:line="240" w:lineRule="auto" w:before="0" w:after="0"/>
        <w:ind w:left="1355" w:right="0" w:hanging="635"/>
        <w:jc w:val="left"/>
        <w:rPr>
          <w:sz w:val="21"/>
        </w:rPr>
      </w:pPr>
      <w:r>
        <w:rPr>
          <w:spacing w:val="-3"/>
          <w:sz w:val="21"/>
        </w:rPr>
        <w:t>上海基煜基金销售有限公司</w:t>
      </w:r>
    </w:p>
    <w:p>
      <w:pPr>
        <w:pStyle w:val="BodyText"/>
        <w:spacing w:before="2"/>
        <w:rPr>
          <w:sz w:val="16"/>
        </w:rPr>
      </w:pPr>
    </w:p>
    <w:p>
      <w:pPr>
        <w:pStyle w:val="BodyText"/>
        <w:ind w:left="72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spacing w:after="0"/>
        <w:sectPr>
          <w:pgSz w:w="11910" w:h="16840"/>
          <w:pgMar w:header="701" w:footer="683" w:top="1420" w:bottom="880" w:left="1500" w:right="920"/>
        </w:sectPr>
      </w:pPr>
    </w:p>
    <w:p>
      <w:pPr>
        <w:pStyle w:val="BodyText"/>
        <w:spacing w:line="424" w:lineRule="auto" w:before="115"/>
        <w:ind w:left="720" w:right="277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24" w:lineRule="auto"/>
        <w:ind w:left="720" w:right="648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7" w:lineRule="exact"/>
        <w:ind w:left="720"/>
      </w:pPr>
      <w:r>
        <w:rPr/>
        <w:t>联系人：蓝杰</w:t>
      </w:r>
    </w:p>
    <w:p>
      <w:pPr>
        <w:pStyle w:val="BodyText"/>
        <w:spacing w:before="1"/>
        <w:rPr>
          <w:sz w:val="16"/>
        </w:rPr>
      </w:pPr>
    </w:p>
    <w:p>
      <w:pPr>
        <w:pStyle w:val="BodyText"/>
        <w:spacing w:line="424" w:lineRule="auto"/>
        <w:ind w:left="720" w:right="6101"/>
        <w:rPr>
          <w:rFonts w:ascii="Times New Roman" w:eastAsia="Times New Roman"/>
        </w:rPr>
      </w:pPr>
      <w:r>
        <w:rPr/>
        <w:t>网址：</w:t>
      </w:r>
      <w:hyperlink r:id="rId103">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10"/>
        </w:numPr>
        <w:tabs>
          <w:tab w:pos="1355" w:val="left" w:leader="none"/>
        </w:tabs>
        <w:spacing w:line="268" w:lineRule="exact" w:before="0" w:after="0"/>
        <w:ind w:left="1355" w:right="0" w:hanging="635"/>
        <w:jc w:val="left"/>
        <w:rPr>
          <w:sz w:val="21"/>
        </w:rPr>
      </w:pPr>
      <w:r>
        <w:rPr>
          <w:spacing w:val="-3"/>
          <w:sz w:val="21"/>
        </w:rPr>
        <w:t>上海中正达广基金销售有限公司</w:t>
      </w:r>
    </w:p>
    <w:p>
      <w:pPr>
        <w:pStyle w:val="BodyText"/>
        <w:spacing w:before="1"/>
        <w:rPr>
          <w:sz w:val="16"/>
        </w:rPr>
      </w:pPr>
    </w:p>
    <w:p>
      <w:pPr>
        <w:pStyle w:val="BodyText"/>
        <w:ind w:left="72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1"/>
        <w:rPr>
          <w:sz w:val="16"/>
        </w:rPr>
      </w:pPr>
    </w:p>
    <w:p>
      <w:pPr>
        <w:pStyle w:val="BodyText"/>
        <w:spacing w:line="424" w:lineRule="auto"/>
        <w:ind w:left="720" w:right="424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spacing w:line="424" w:lineRule="auto"/>
        <w:ind w:left="720" w:right="652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ind w:left="720"/>
      </w:pPr>
      <w:r>
        <w:rPr/>
        <w:t>联系人：戴珉微</w:t>
      </w:r>
    </w:p>
    <w:p>
      <w:pPr>
        <w:pStyle w:val="BodyText"/>
        <w:rPr>
          <w:sz w:val="16"/>
        </w:rPr>
      </w:pPr>
    </w:p>
    <w:p>
      <w:pPr>
        <w:pStyle w:val="BodyText"/>
        <w:spacing w:line="424" w:lineRule="auto"/>
        <w:ind w:left="720" w:right="5780"/>
        <w:rPr>
          <w:rFonts w:ascii="Times New Roman" w:eastAsia="Times New Roman"/>
        </w:rPr>
      </w:pPr>
      <w:r>
        <w:rPr/>
        <w:t>网址：</w:t>
      </w:r>
      <w:hyperlink r:id="rId104">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北京虹点基金销售有限公司</w:t>
      </w:r>
    </w:p>
    <w:p>
      <w:pPr>
        <w:pStyle w:val="BodyText"/>
        <w:spacing w:before="1"/>
        <w:rPr>
          <w:sz w:val="16"/>
        </w:rPr>
      </w:pPr>
    </w:p>
    <w:p>
      <w:pPr>
        <w:pStyle w:val="BodyText"/>
        <w:ind w:left="720"/>
      </w:pPr>
      <w:r>
        <w:rPr/>
        <w:t>住所：北京市朝阳区工人体育场北路甲 </w:t>
      </w:r>
      <w:r>
        <w:rPr>
          <w:rFonts w:ascii="Times New Roman" w:eastAsia="Times New Roman"/>
        </w:rPr>
        <w:t>2 </w:t>
      </w:r>
      <w:r>
        <w:rPr/>
        <w:t>号裙房 </w:t>
      </w:r>
      <w:r>
        <w:rPr>
          <w:rFonts w:ascii="Times New Roman" w:eastAsia="Times New Roman"/>
        </w:rPr>
        <w:t>2 </w:t>
      </w:r>
      <w:r>
        <w:rPr/>
        <w:t>层 </w:t>
      </w:r>
      <w:r>
        <w:rPr>
          <w:rFonts w:ascii="Times New Roman" w:eastAsia="Times New Roman"/>
        </w:rPr>
        <w:t>222 </w:t>
      </w:r>
      <w:r>
        <w:rPr/>
        <w:t>单元</w:t>
      </w:r>
    </w:p>
    <w:p>
      <w:pPr>
        <w:pStyle w:val="BodyText"/>
        <w:spacing w:before="1"/>
        <w:rPr>
          <w:sz w:val="16"/>
        </w:rPr>
      </w:pPr>
    </w:p>
    <w:p>
      <w:pPr>
        <w:pStyle w:val="BodyText"/>
        <w:spacing w:line="424" w:lineRule="auto"/>
        <w:ind w:left="720" w:right="2667"/>
      </w:pPr>
      <w:r>
        <w:rPr>
          <w:spacing w:val="-6"/>
        </w:rPr>
        <w:t>办公地址：北京市朝阳区工人体育场北路甲 </w:t>
      </w:r>
      <w:r>
        <w:rPr>
          <w:rFonts w:ascii="Times New Roman" w:eastAsia="Times New Roman"/>
        </w:rPr>
        <w:t>2 </w:t>
      </w:r>
      <w:r>
        <w:rPr>
          <w:spacing w:val="-14"/>
        </w:rPr>
        <w:t>号裙房 </w:t>
      </w:r>
      <w:r>
        <w:rPr>
          <w:rFonts w:ascii="Times New Roman" w:eastAsia="Times New Roman"/>
        </w:rPr>
        <w:t>2 </w:t>
      </w:r>
      <w:r>
        <w:rPr>
          <w:spacing w:val="-24"/>
        </w:rPr>
        <w:t>层 </w:t>
      </w:r>
      <w:r>
        <w:rPr>
          <w:rFonts w:ascii="Times New Roman" w:eastAsia="Times New Roman"/>
        </w:rPr>
        <w:t>222 </w:t>
      </w:r>
      <w:r>
        <w:rPr/>
        <w:t>单元</w:t>
      </w:r>
      <w:r>
        <w:rPr>
          <w:spacing w:val="-3"/>
        </w:rPr>
        <w:t>法定代表人：郑毓栋</w:t>
      </w:r>
    </w:p>
    <w:p>
      <w:pPr>
        <w:pStyle w:val="BodyText"/>
        <w:spacing w:line="427" w:lineRule="auto"/>
        <w:ind w:left="720" w:right="690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5" w:lineRule="exact"/>
        <w:ind w:left="720"/>
      </w:pPr>
      <w:r>
        <w:rPr/>
        <w:t>联系人：姜颖</w:t>
      </w:r>
    </w:p>
    <w:p>
      <w:pPr>
        <w:pStyle w:val="BodyText"/>
        <w:spacing w:before="12"/>
        <w:rPr>
          <w:sz w:val="15"/>
        </w:rPr>
      </w:pPr>
    </w:p>
    <w:p>
      <w:pPr>
        <w:pStyle w:val="BodyText"/>
        <w:spacing w:line="424" w:lineRule="auto"/>
        <w:ind w:left="720" w:right="6014"/>
        <w:rPr>
          <w:rFonts w:ascii="Times New Roman" w:eastAsia="Times New Roman"/>
        </w:rPr>
      </w:pPr>
      <w:r>
        <w:rPr/>
        <w:t>网址：</w:t>
      </w:r>
      <w:hyperlink r:id="rId105">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深圳富济基金销售有限公司</w:t>
      </w:r>
    </w:p>
    <w:p>
      <w:pPr>
        <w:pStyle w:val="BodyText"/>
        <w:spacing w:before="1"/>
        <w:rPr>
          <w:sz w:val="16"/>
        </w:rPr>
      </w:pPr>
    </w:p>
    <w:p>
      <w:pPr>
        <w:pStyle w:val="BodyText"/>
        <w:ind w:left="720"/>
      </w:pPr>
      <w:r>
        <w:rPr/>
        <w:t>住所：深圳市福田区福田街道岗厦社区金田路 </w:t>
      </w:r>
      <w:r>
        <w:rPr>
          <w:rFonts w:ascii="Times New Roman" w:eastAsia="Times New Roman"/>
        </w:rPr>
        <w:t>3088 </w:t>
      </w:r>
      <w:r>
        <w:rPr/>
        <w:t>号中洲大厦 </w:t>
      </w:r>
      <w:r>
        <w:rPr>
          <w:rFonts w:ascii="Times New Roman" w:eastAsia="Times New Roman"/>
        </w:rPr>
        <w:t>3203A </w:t>
      </w:r>
      <w:r>
        <w:rPr/>
        <w:t>单元</w:t>
      </w:r>
    </w:p>
    <w:p>
      <w:pPr>
        <w:pStyle w:val="BodyText"/>
        <w:spacing w:before="1"/>
        <w:rPr>
          <w:sz w:val="16"/>
        </w:rPr>
      </w:pPr>
    </w:p>
    <w:p>
      <w:pPr>
        <w:pStyle w:val="BodyText"/>
        <w:spacing w:line="424" w:lineRule="auto"/>
        <w:ind w:left="720" w:right="1471"/>
      </w:pPr>
      <w:r>
        <w:rPr>
          <w:spacing w:val="-5"/>
        </w:rPr>
        <w:t>办公地址：深圳市福田区福田街道岗厦社区金田路 </w:t>
      </w:r>
      <w:r>
        <w:rPr>
          <w:rFonts w:ascii="Times New Roman" w:eastAsia="Times New Roman"/>
        </w:rPr>
        <w:t>3088 </w:t>
      </w:r>
      <w:r>
        <w:rPr>
          <w:spacing w:val="-10"/>
        </w:rPr>
        <w:t>号中洲大厦 </w:t>
      </w:r>
      <w:r>
        <w:rPr>
          <w:rFonts w:ascii="Times New Roman" w:eastAsia="Times New Roman"/>
        </w:rPr>
        <w:t>3203A </w:t>
      </w:r>
      <w:r>
        <w:rPr>
          <w:spacing w:val="-3"/>
        </w:rPr>
        <w:t>单元法定代表人：祝中村</w:t>
      </w:r>
    </w:p>
    <w:p>
      <w:pPr>
        <w:spacing w:after="0" w:line="424" w:lineRule="auto"/>
        <w:sectPr>
          <w:pgSz w:w="11910" w:h="16840"/>
          <w:pgMar w:header="701" w:footer="683" w:top="1420" w:bottom="880" w:left="1500" w:right="920"/>
        </w:sectPr>
      </w:pPr>
    </w:p>
    <w:p>
      <w:pPr>
        <w:pStyle w:val="BodyText"/>
        <w:spacing w:line="424" w:lineRule="auto" w:before="115"/>
        <w:ind w:left="720" w:right="6800"/>
        <w:rPr>
          <w:rFonts w:ascii="Times New Roman" w:eastAsia="Times New Roman"/>
        </w:rPr>
      </w:pPr>
      <w:r>
        <w:rPr/>
        <w:t>电话：</w:t>
      </w:r>
      <w:r>
        <w:rPr>
          <w:rFonts w:ascii="Times New Roman" w:eastAsia="Times New Roman"/>
        </w:rPr>
        <w:t>0755-83999907 </w:t>
      </w:r>
      <w:r>
        <w:rPr/>
        <w:t>传真：</w:t>
      </w:r>
      <w:r>
        <w:rPr>
          <w:rFonts w:ascii="Times New Roman" w:eastAsia="Times New Roman"/>
        </w:rPr>
        <w:t>0755-83999926</w:t>
      </w:r>
    </w:p>
    <w:p>
      <w:pPr>
        <w:pStyle w:val="BodyText"/>
        <w:spacing w:line="267" w:lineRule="exact"/>
        <w:ind w:left="720"/>
      </w:pPr>
      <w:r>
        <w:rPr/>
        <w:t>联系人：曾瑶敏</w:t>
      </w:r>
    </w:p>
    <w:p>
      <w:pPr>
        <w:pStyle w:val="BodyText"/>
        <w:rPr>
          <w:sz w:val="16"/>
        </w:rPr>
      </w:pPr>
    </w:p>
    <w:p>
      <w:pPr>
        <w:pStyle w:val="BodyText"/>
        <w:spacing w:before="1"/>
        <w:ind w:left="720"/>
        <w:rPr>
          <w:rFonts w:ascii="Times New Roman" w:eastAsia="Times New Roman"/>
        </w:rPr>
      </w:pPr>
      <w:r>
        <w:rPr/>
        <w:t>网址：</w:t>
      </w:r>
      <w:hyperlink r:id="rId107">
        <w:r>
          <w:rPr>
            <w:rFonts w:ascii="Times New Roman" w:eastAsia="Times New Roman"/>
          </w:rPr>
          <w:t>www.fujifund.cn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0755-83999907</w:t>
      </w:r>
    </w:p>
    <w:p>
      <w:pPr>
        <w:pStyle w:val="BodyText"/>
        <w:spacing w:before="2"/>
        <w:rPr>
          <w:rFonts w:ascii="Times New Roman"/>
          <w:sz w:val="18"/>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上海陆金所基金销售有限公司</w:t>
      </w:r>
    </w:p>
    <w:p>
      <w:pPr>
        <w:pStyle w:val="BodyText"/>
        <w:spacing w:before="1"/>
        <w:rPr>
          <w:sz w:val="16"/>
        </w:rPr>
      </w:pPr>
    </w:p>
    <w:p>
      <w:pPr>
        <w:pStyle w:val="BodyText"/>
        <w:ind w:left="72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2"/>
        <w:rPr>
          <w:sz w:val="16"/>
        </w:rPr>
      </w:pPr>
    </w:p>
    <w:p>
      <w:pPr>
        <w:pStyle w:val="BodyText"/>
        <w:spacing w:line="424" w:lineRule="auto"/>
        <w:ind w:left="720" w:right="4393"/>
      </w:pPr>
      <w:r>
        <w:rPr/>
        <w:t>办公地址：上海市浦东新区陆家嘴环路 </w:t>
      </w:r>
      <w:r>
        <w:rPr>
          <w:rFonts w:ascii="Times New Roman" w:eastAsia="Times New Roman"/>
        </w:rPr>
        <w:t>1333 </w:t>
      </w:r>
      <w:r>
        <w:rPr/>
        <w:t>号法定代表人：王之光</w:t>
      </w:r>
    </w:p>
    <w:p>
      <w:pPr>
        <w:pStyle w:val="BodyText"/>
        <w:spacing w:line="424" w:lineRule="auto"/>
        <w:ind w:left="720" w:right="690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spacing w:line="267" w:lineRule="exact"/>
        <w:ind w:left="720"/>
      </w:pPr>
      <w:r>
        <w:rPr/>
        <w:t>联系人：宁博宇</w:t>
      </w:r>
    </w:p>
    <w:p>
      <w:pPr>
        <w:pStyle w:val="BodyText"/>
        <w:spacing w:before="11"/>
        <w:rPr>
          <w:sz w:val="15"/>
        </w:rPr>
      </w:pPr>
    </w:p>
    <w:p>
      <w:pPr>
        <w:pStyle w:val="BodyText"/>
        <w:spacing w:before="1"/>
        <w:ind w:left="720"/>
        <w:rPr>
          <w:rFonts w:ascii="Times New Roman" w:eastAsia="Times New Roman"/>
        </w:rPr>
      </w:pPr>
      <w:r>
        <w:rPr/>
        <w:t>网址：</w:t>
      </w:r>
      <w:hyperlink r:id="rId108">
        <w:r>
          <w:rPr>
            <w:rFonts w:ascii="Times New Roman" w:eastAsia="Times New Roman"/>
          </w:rPr>
          <w:t>www.lufunds.com</w:t>
        </w:r>
      </w:hyperlink>
    </w:p>
    <w:p>
      <w:pPr>
        <w:pStyle w:val="BodyText"/>
        <w:spacing w:before="1"/>
        <w:rPr>
          <w:rFonts w:ascii="Times New Roman"/>
          <w:sz w:val="18"/>
        </w:rPr>
      </w:pPr>
    </w:p>
    <w:p>
      <w:pPr>
        <w:pStyle w:val="BodyText"/>
        <w:ind w:left="720"/>
        <w:rPr>
          <w:rFonts w:ascii="Times New Roman" w:eastAsia="Times New Roman"/>
        </w:rPr>
      </w:pPr>
      <w:r>
        <w:rPr/>
        <w:t>客户服务电话：</w:t>
      </w:r>
      <w:r>
        <w:rPr>
          <w:rFonts w:ascii="Times New Roman" w:eastAsia="Times New Roman"/>
        </w:rPr>
        <w:t>400-821-9031</w:t>
      </w:r>
    </w:p>
    <w:p>
      <w:pPr>
        <w:pStyle w:val="BodyText"/>
        <w:rPr>
          <w:rFonts w:ascii="Times New Roman"/>
          <w:sz w:val="18"/>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大泰金石基金销售有限公司</w:t>
      </w:r>
    </w:p>
    <w:p>
      <w:pPr>
        <w:pStyle w:val="BodyText"/>
        <w:spacing w:before="1"/>
        <w:rPr>
          <w:sz w:val="16"/>
        </w:rPr>
      </w:pPr>
    </w:p>
    <w:p>
      <w:pPr>
        <w:pStyle w:val="BodyText"/>
        <w:ind w:left="720"/>
      </w:pPr>
      <w:r>
        <w:rPr/>
        <w:t>住所：南京市建邺区江东中路 </w:t>
      </w:r>
      <w:r>
        <w:rPr>
          <w:rFonts w:ascii="Times New Roman" w:eastAsia="Times New Roman"/>
        </w:rPr>
        <w:t>222 </w:t>
      </w:r>
      <w:r>
        <w:rPr/>
        <w:t>号南京奥体中心现代五项馆 </w:t>
      </w:r>
      <w:r>
        <w:rPr>
          <w:rFonts w:ascii="Times New Roman" w:eastAsia="Times New Roman"/>
        </w:rPr>
        <w:t>2105 </w:t>
      </w:r>
      <w:r>
        <w:rPr/>
        <w:t>室</w:t>
      </w:r>
    </w:p>
    <w:p>
      <w:pPr>
        <w:pStyle w:val="BodyText"/>
        <w:spacing w:before="1"/>
        <w:rPr>
          <w:sz w:val="16"/>
        </w:rPr>
      </w:pPr>
    </w:p>
    <w:p>
      <w:pPr>
        <w:pStyle w:val="BodyText"/>
        <w:spacing w:line="424" w:lineRule="auto"/>
        <w:ind w:left="720" w:right="3192"/>
      </w:pPr>
      <w:r>
        <w:rPr>
          <w:spacing w:val="-6"/>
        </w:rPr>
        <w:t>办公地址：上海市浦东新区峨山路 </w:t>
      </w:r>
      <w:r>
        <w:rPr>
          <w:rFonts w:ascii="Times New Roman" w:eastAsia="Times New Roman"/>
        </w:rPr>
        <w:t>505 </w:t>
      </w:r>
      <w:r>
        <w:rPr>
          <w:spacing w:val="-9"/>
        </w:rPr>
        <w:t>号东方纯一大厦 </w:t>
      </w:r>
      <w:r>
        <w:rPr>
          <w:rFonts w:ascii="Times New Roman" w:eastAsia="Times New Roman"/>
        </w:rPr>
        <w:t>15 </w:t>
      </w:r>
      <w:r>
        <w:rPr/>
        <w:t>楼</w:t>
      </w:r>
      <w:r>
        <w:rPr>
          <w:spacing w:val="-3"/>
        </w:rPr>
        <w:t>法定代表人：袁顾明</w:t>
      </w:r>
    </w:p>
    <w:p>
      <w:pPr>
        <w:pStyle w:val="BodyText"/>
        <w:spacing w:line="424" w:lineRule="auto"/>
        <w:ind w:left="720" w:right="6906"/>
        <w:rPr>
          <w:rFonts w:ascii="Times New Roman" w:eastAsia="Times New Roman"/>
        </w:rPr>
      </w:pPr>
      <w:r>
        <w:rPr/>
        <w:t>电话：</w:t>
      </w:r>
      <w:r>
        <w:rPr>
          <w:rFonts w:ascii="Times New Roman" w:eastAsia="Times New Roman"/>
        </w:rPr>
        <w:t>13671788303 </w:t>
      </w:r>
      <w:r>
        <w:rPr/>
        <w:t>传真：</w:t>
      </w:r>
      <w:r>
        <w:rPr>
          <w:rFonts w:ascii="Times New Roman" w:eastAsia="Times New Roman"/>
        </w:rPr>
        <w:t>021-20324199</w:t>
      </w:r>
    </w:p>
    <w:p>
      <w:pPr>
        <w:pStyle w:val="BodyText"/>
        <w:spacing w:line="267" w:lineRule="exact"/>
        <w:ind w:left="720"/>
      </w:pPr>
      <w:r>
        <w:rPr/>
        <w:t>联系人：刘璐</w:t>
      </w:r>
    </w:p>
    <w:p>
      <w:pPr>
        <w:pStyle w:val="BodyText"/>
        <w:spacing w:before="2"/>
        <w:rPr>
          <w:sz w:val="16"/>
        </w:rPr>
      </w:pPr>
    </w:p>
    <w:p>
      <w:pPr>
        <w:pStyle w:val="BodyText"/>
        <w:ind w:left="720"/>
        <w:rPr>
          <w:rFonts w:ascii="Times New Roman" w:eastAsia="Times New Roman"/>
        </w:rPr>
      </w:pPr>
      <w:r>
        <w:rPr/>
        <w:t>网址：</w:t>
      </w:r>
      <w:hyperlink r:id="rId109">
        <w:r>
          <w:rPr>
            <w:rFonts w:ascii="Times New Roman" w:eastAsia="Times New Roman"/>
          </w:rPr>
          <w:t>www.dtfunds.com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400-928-2266</w:t>
      </w:r>
    </w:p>
    <w:p>
      <w:pPr>
        <w:pStyle w:val="BodyText"/>
        <w:spacing w:before="10"/>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珠海盈米基金销售有限公司</w:t>
      </w:r>
    </w:p>
    <w:p>
      <w:pPr>
        <w:pStyle w:val="BodyText"/>
        <w:spacing w:before="1"/>
        <w:rPr>
          <w:sz w:val="16"/>
        </w:rPr>
      </w:pPr>
    </w:p>
    <w:p>
      <w:pPr>
        <w:pStyle w:val="BodyText"/>
        <w:ind w:left="72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11"/>
        <w:rPr>
          <w:rFonts w:ascii="Times New Roman"/>
          <w:sz w:val="17"/>
        </w:rPr>
      </w:pPr>
    </w:p>
    <w:p>
      <w:pPr>
        <w:pStyle w:val="BodyText"/>
        <w:ind w:left="72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11"/>
        <w:rPr>
          <w:rFonts w:ascii="Times New Roman"/>
          <w:sz w:val="17"/>
        </w:rPr>
      </w:pPr>
    </w:p>
    <w:p>
      <w:pPr>
        <w:pStyle w:val="BodyText"/>
        <w:spacing w:line="424" w:lineRule="auto"/>
        <w:ind w:left="720" w:right="684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spacing w:after="0" w:line="424" w:lineRule="auto"/>
        <w:rPr>
          <w:rFonts w:ascii="Times New Roman" w:eastAsia="Times New Roman"/>
        </w:rPr>
        <w:sectPr>
          <w:footerReference w:type="default" r:id="rId106"/>
          <w:pgSz w:w="11910" w:h="16840"/>
          <w:pgMar w:footer="683" w:header="701" w:top="1420" w:bottom="880" w:left="1500" w:right="920"/>
          <w:pgNumType w:start="50"/>
        </w:sectPr>
      </w:pPr>
    </w:p>
    <w:p>
      <w:pPr>
        <w:pStyle w:val="BodyText"/>
        <w:spacing w:before="115"/>
        <w:ind w:left="720"/>
      </w:pPr>
      <w:r>
        <w:rPr/>
        <w:t>联系人：吴煜浩</w:t>
      </w:r>
    </w:p>
    <w:p>
      <w:pPr>
        <w:pStyle w:val="BodyText"/>
        <w:rPr>
          <w:sz w:val="16"/>
        </w:rPr>
      </w:pPr>
    </w:p>
    <w:p>
      <w:pPr>
        <w:pStyle w:val="BodyText"/>
        <w:spacing w:before="1"/>
        <w:ind w:left="720"/>
        <w:rPr>
          <w:rFonts w:ascii="Times New Roman" w:eastAsia="Times New Roman"/>
        </w:rPr>
      </w:pPr>
      <w:r>
        <w:rPr/>
        <w:t>网址：</w:t>
      </w:r>
      <w:hyperlink r:id="rId110">
        <w:r>
          <w:rPr>
            <w:rFonts w:ascii="Times New Roman" w:eastAsia="Times New Roman"/>
          </w:rPr>
          <w:t>www.yingmi.cn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020-89629066</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和耕传承基金销售有限公司</w:t>
      </w:r>
    </w:p>
    <w:p>
      <w:pPr>
        <w:pStyle w:val="BodyText"/>
        <w:spacing w:before="1"/>
        <w:rPr>
          <w:sz w:val="16"/>
        </w:rPr>
      </w:pPr>
    </w:p>
    <w:p>
      <w:pPr>
        <w:pStyle w:val="BodyText"/>
        <w:ind w:left="72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1"/>
        <w:rPr>
          <w:rFonts w:ascii="Times New Roman"/>
          <w:sz w:val="18"/>
        </w:rPr>
      </w:pPr>
    </w:p>
    <w:p>
      <w:pPr>
        <w:pStyle w:val="BodyText"/>
        <w:spacing w:before="1"/>
        <w:ind w:left="300"/>
      </w:pPr>
      <w:r>
        <w:rPr/>
        <w:t>房间</w:t>
      </w:r>
    </w:p>
    <w:p>
      <w:pPr>
        <w:pStyle w:val="BodyText"/>
        <w:spacing w:before="1"/>
        <w:rPr>
          <w:sz w:val="16"/>
        </w:rPr>
      </w:pPr>
    </w:p>
    <w:p>
      <w:pPr>
        <w:pStyle w:val="BodyText"/>
        <w:spacing w:line="424" w:lineRule="auto"/>
        <w:ind w:left="720" w:right="350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24" w:lineRule="auto"/>
        <w:ind w:left="720" w:right="680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7" w:lineRule="exact"/>
        <w:ind w:left="720"/>
      </w:pPr>
      <w:r>
        <w:rPr/>
        <w:t>联系人：胡静华</w:t>
      </w:r>
    </w:p>
    <w:p>
      <w:pPr>
        <w:pStyle w:val="BodyText"/>
        <w:spacing w:before="12"/>
        <w:rPr>
          <w:sz w:val="15"/>
        </w:rPr>
      </w:pPr>
    </w:p>
    <w:p>
      <w:pPr>
        <w:pStyle w:val="BodyText"/>
        <w:ind w:left="720"/>
        <w:rPr>
          <w:rFonts w:ascii="Times New Roman" w:eastAsia="Times New Roman"/>
        </w:rPr>
      </w:pPr>
      <w:r>
        <w:rPr/>
        <w:t>网址：</w:t>
      </w:r>
      <w:hyperlink r:id="rId111">
        <w:r>
          <w:rPr>
            <w:rFonts w:ascii="Times New Roman" w:eastAsia="Times New Roman"/>
          </w:rPr>
          <w:t>www.hgccpb.com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4000-555-671</w:t>
      </w:r>
    </w:p>
    <w:p>
      <w:pPr>
        <w:pStyle w:val="BodyText"/>
        <w:spacing w:before="1"/>
        <w:rPr>
          <w:rFonts w:ascii="Times New Roman"/>
          <w:sz w:val="18"/>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奕丰基金销售有限公司</w:t>
      </w:r>
    </w:p>
    <w:p>
      <w:pPr>
        <w:pStyle w:val="BodyText"/>
        <w:spacing w:before="2"/>
        <w:rPr>
          <w:sz w:val="16"/>
        </w:rPr>
      </w:pPr>
    </w:p>
    <w:p>
      <w:pPr>
        <w:pStyle w:val="BodyText"/>
        <w:ind w:left="72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6"/>
        </w:rPr>
        <w:t>栋 </w:t>
      </w:r>
      <w:r>
        <w:rPr>
          <w:rFonts w:ascii="Times New Roman" w:eastAsia="Times New Roman"/>
        </w:rPr>
        <w:t>201 </w:t>
      </w:r>
      <w:r>
        <w:rPr/>
        <w:t>室</w:t>
      </w:r>
    </w:p>
    <w:p>
      <w:pPr>
        <w:pStyle w:val="BodyText"/>
        <w:spacing w:before="1"/>
        <w:rPr>
          <w:sz w:val="16"/>
        </w:rPr>
      </w:pPr>
    </w:p>
    <w:p>
      <w:pPr>
        <w:pStyle w:val="BodyText"/>
        <w:spacing w:line="424" w:lineRule="auto"/>
        <w:ind w:left="720" w:right="256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24" w:lineRule="auto"/>
        <w:ind w:left="720" w:right="680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7" w:lineRule="exact"/>
        <w:ind w:left="720"/>
      </w:pPr>
      <w:r>
        <w:rPr/>
        <w:t>联系人：叶健</w:t>
      </w:r>
    </w:p>
    <w:p>
      <w:pPr>
        <w:pStyle w:val="BodyText"/>
        <w:spacing w:before="12"/>
        <w:rPr>
          <w:sz w:val="15"/>
        </w:rPr>
      </w:pPr>
    </w:p>
    <w:p>
      <w:pPr>
        <w:pStyle w:val="BodyText"/>
        <w:ind w:left="720"/>
        <w:rPr>
          <w:rFonts w:ascii="Times New Roman" w:eastAsia="Times New Roman"/>
        </w:rPr>
      </w:pPr>
      <w:r>
        <w:rPr/>
        <w:t>网址：</w:t>
      </w:r>
      <w:hyperlink r:id="rId112">
        <w:r>
          <w:rPr>
            <w:rFonts w:ascii="Times New Roman" w:eastAsia="Times New Roman"/>
          </w:rPr>
          <w:t>www.ifastps.com.cn</w:t>
        </w:r>
      </w:hyperlink>
    </w:p>
    <w:p>
      <w:pPr>
        <w:pStyle w:val="BodyText"/>
        <w:spacing w:before="2"/>
        <w:rPr>
          <w:rFonts w:ascii="Times New Roman"/>
          <w:sz w:val="18"/>
        </w:rPr>
      </w:pPr>
    </w:p>
    <w:p>
      <w:pPr>
        <w:pStyle w:val="BodyText"/>
        <w:ind w:left="720"/>
        <w:rPr>
          <w:rFonts w:ascii="Times New Roman" w:eastAsia="Times New Roman"/>
        </w:rPr>
      </w:pPr>
      <w:r>
        <w:rPr/>
        <w:t>客户服务电话：</w:t>
      </w:r>
      <w:r>
        <w:rPr>
          <w:rFonts w:ascii="Times New Roman" w:eastAsia="Times New Roman"/>
        </w:rPr>
        <w:t>400-684-0500</w:t>
      </w:r>
    </w:p>
    <w:p>
      <w:pPr>
        <w:pStyle w:val="BodyText"/>
        <w:spacing w:before="11"/>
        <w:rPr>
          <w:rFonts w:ascii="Times New Roman"/>
          <w:sz w:val="17"/>
        </w:rPr>
      </w:pPr>
    </w:p>
    <w:p>
      <w:pPr>
        <w:pStyle w:val="ListParagraph"/>
        <w:numPr>
          <w:ilvl w:val="0"/>
          <w:numId w:val="10"/>
        </w:numPr>
        <w:tabs>
          <w:tab w:pos="1459" w:val="left" w:leader="none"/>
        </w:tabs>
        <w:spacing w:line="424" w:lineRule="auto" w:before="0" w:after="0"/>
        <w:ind w:left="720" w:right="4488" w:firstLine="0"/>
        <w:jc w:val="left"/>
        <w:rPr>
          <w:sz w:val="21"/>
        </w:rPr>
      </w:pPr>
      <w:r>
        <w:rPr>
          <w:spacing w:val="-3"/>
          <w:sz w:val="21"/>
        </w:rPr>
        <w:t>中证金牛（</w:t>
      </w:r>
      <w:r>
        <w:rPr>
          <w:spacing w:val="-2"/>
          <w:sz w:val="21"/>
        </w:rPr>
        <w:t>北京</w:t>
      </w:r>
      <w:r>
        <w:rPr>
          <w:spacing w:val="-3"/>
          <w:sz w:val="21"/>
        </w:rPr>
        <w:t>）投资咨询有限公司</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24" w:lineRule="auto"/>
        <w:ind w:left="720" w:right="262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24" w:lineRule="auto"/>
        <w:ind w:left="720" w:right="690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7" w:lineRule="exact"/>
        <w:ind w:left="720"/>
      </w:pPr>
      <w:r>
        <w:rPr/>
        <w:t>联系人：孙雯</w:t>
      </w:r>
    </w:p>
    <w:p>
      <w:pPr>
        <w:spacing w:after="0" w:line="267" w:lineRule="exact"/>
        <w:sectPr>
          <w:pgSz w:w="11910" w:h="16840"/>
          <w:pgMar w:header="701" w:footer="683" w:top="1420" w:bottom="880" w:left="1500" w:right="920"/>
        </w:sectPr>
      </w:pPr>
    </w:p>
    <w:p>
      <w:pPr>
        <w:pStyle w:val="BodyText"/>
        <w:spacing w:before="115"/>
        <w:ind w:left="720"/>
        <w:rPr>
          <w:rFonts w:ascii="Times New Roman" w:eastAsia="Times New Roman"/>
        </w:rPr>
      </w:pPr>
      <w:r>
        <w:rPr/>
        <w:t>网址：</w:t>
      </w:r>
      <w:hyperlink r:id="rId113">
        <w:r>
          <w:rPr>
            <w:rFonts w:ascii="Times New Roman" w:eastAsia="Times New Roman"/>
          </w:rPr>
          <w:t>www.jnlc.com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4008-909-998</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京东肯特瑞基金销售有限公司</w:t>
      </w:r>
    </w:p>
    <w:p>
      <w:pPr>
        <w:pStyle w:val="BodyText"/>
        <w:spacing w:before="1"/>
        <w:rPr>
          <w:sz w:val="16"/>
        </w:rPr>
      </w:pPr>
    </w:p>
    <w:p>
      <w:pPr>
        <w:pStyle w:val="BodyText"/>
        <w:ind w:left="72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10"/>
        <w:rPr>
          <w:rFonts w:ascii="Times New Roman"/>
          <w:sz w:val="17"/>
        </w:rPr>
      </w:pPr>
    </w:p>
    <w:p>
      <w:pPr>
        <w:pStyle w:val="BodyText"/>
        <w:spacing w:line="427" w:lineRule="auto" w:before="1"/>
        <w:ind w:left="720" w:right="1826"/>
      </w:pPr>
      <w:r>
        <w:rPr/>
        <w:t>办公地址：北京市大兴区亦庄经济开发区科创十一街十八号院京东集团总部法定代表人：江卉</w:t>
      </w:r>
    </w:p>
    <w:p>
      <w:pPr>
        <w:pStyle w:val="BodyText"/>
        <w:spacing w:line="424" w:lineRule="auto"/>
        <w:ind w:left="720" w:right="690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8" w:lineRule="exact"/>
        <w:ind w:left="720"/>
      </w:pPr>
      <w:r>
        <w:rPr/>
        <w:t>联系人：黄立影</w:t>
      </w:r>
    </w:p>
    <w:p>
      <w:pPr>
        <w:pStyle w:val="BodyText"/>
        <w:spacing w:before="8"/>
        <w:rPr>
          <w:sz w:val="15"/>
        </w:rPr>
      </w:pPr>
    </w:p>
    <w:p>
      <w:pPr>
        <w:pStyle w:val="BodyText"/>
        <w:ind w:left="720"/>
        <w:rPr>
          <w:rFonts w:ascii="Times New Roman" w:eastAsia="Times New Roman"/>
        </w:rPr>
      </w:pPr>
      <w:r>
        <w:rPr/>
        <w:t>网址：</w:t>
      </w:r>
      <w:hyperlink r:id="rId114">
        <w:r>
          <w:rPr>
            <w:rFonts w:ascii="Times New Roman" w:eastAsia="Times New Roman"/>
          </w:rPr>
          <w:t>http://fund.jd.com/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大连网金基金销售有限公司</w:t>
      </w:r>
    </w:p>
    <w:p>
      <w:pPr>
        <w:pStyle w:val="BodyText"/>
        <w:spacing w:before="1"/>
        <w:rPr>
          <w:sz w:val="16"/>
        </w:rPr>
      </w:pPr>
    </w:p>
    <w:p>
      <w:pPr>
        <w:pStyle w:val="BodyText"/>
        <w:ind w:left="72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1"/>
        <w:rPr>
          <w:rFonts w:ascii="Times New Roman"/>
          <w:sz w:val="18"/>
        </w:rPr>
      </w:pPr>
    </w:p>
    <w:p>
      <w:pPr>
        <w:pStyle w:val="BodyText"/>
        <w:ind w:left="72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rPr>
          <w:rFonts w:ascii="Times New Roman"/>
          <w:sz w:val="18"/>
        </w:rPr>
      </w:pPr>
    </w:p>
    <w:p>
      <w:pPr>
        <w:pStyle w:val="BodyText"/>
        <w:spacing w:line="424" w:lineRule="auto"/>
        <w:ind w:left="720" w:right="681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spacing w:line="266" w:lineRule="exact"/>
        <w:ind w:left="720"/>
      </w:pPr>
      <w:r>
        <w:rPr/>
        <w:t>联系人：王清臣</w:t>
      </w:r>
    </w:p>
    <w:p>
      <w:pPr>
        <w:pStyle w:val="BodyText"/>
        <w:spacing w:before="1"/>
        <w:rPr>
          <w:sz w:val="16"/>
        </w:rPr>
      </w:pPr>
    </w:p>
    <w:p>
      <w:pPr>
        <w:pStyle w:val="BodyText"/>
        <w:spacing w:line="424" w:lineRule="auto"/>
        <w:ind w:left="720" w:right="5981"/>
        <w:rPr>
          <w:rFonts w:ascii="Times New Roman" w:eastAsia="Times New Roman"/>
        </w:rPr>
      </w:pPr>
      <w:r>
        <w:rPr/>
        <w:t>网址：</w:t>
      </w:r>
      <w:hyperlink r:id="rId115">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10"/>
        </w:numPr>
        <w:tabs>
          <w:tab w:pos="1451" w:val="left" w:leader="none"/>
        </w:tabs>
        <w:spacing w:line="267" w:lineRule="exact" w:before="0" w:after="0"/>
        <w:ind w:left="1451" w:right="0" w:hanging="731"/>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w:t>
      </w:r>
    </w:p>
    <w:p>
      <w:pPr>
        <w:pStyle w:val="BodyText"/>
        <w:spacing w:before="4"/>
        <w:rPr>
          <w:sz w:val="16"/>
        </w:rPr>
      </w:pPr>
    </w:p>
    <w:p>
      <w:pPr>
        <w:pStyle w:val="BodyText"/>
        <w:ind w:left="720"/>
      </w:pPr>
      <w:r>
        <w:rPr/>
        <w:t>住所：上海市黄浦区中山南路 </w:t>
      </w:r>
      <w:r>
        <w:rPr>
          <w:rFonts w:ascii="Times New Roman" w:eastAsia="Times New Roman"/>
        </w:rPr>
        <w:t>100 </w:t>
      </w:r>
      <w:r>
        <w:rPr/>
        <w:t>号 </w:t>
      </w:r>
      <w:r>
        <w:rPr>
          <w:rFonts w:ascii="Times New Roman" w:eastAsia="Times New Roman"/>
        </w:rPr>
        <w:t>7 </w:t>
      </w:r>
      <w:r>
        <w:rPr/>
        <w:t>层 </w:t>
      </w:r>
      <w:r>
        <w:rPr>
          <w:rFonts w:ascii="Times New Roman" w:eastAsia="Times New Roman"/>
        </w:rPr>
        <w:t>05 </w:t>
      </w:r>
      <w:r>
        <w:rPr/>
        <w:t>单元</w:t>
      </w:r>
    </w:p>
    <w:p>
      <w:pPr>
        <w:pStyle w:val="BodyText"/>
        <w:spacing w:before="1"/>
        <w:rPr>
          <w:sz w:val="16"/>
        </w:rPr>
      </w:pPr>
    </w:p>
    <w:p>
      <w:pPr>
        <w:pStyle w:val="BodyText"/>
        <w:spacing w:line="424" w:lineRule="auto"/>
        <w:ind w:left="720" w:right="2256"/>
      </w:pPr>
      <w:r>
        <w:rPr>
          <w:spacing w:val="-7"/>
        </w:rPr>
        <w:t>办公地址：上海市浦东新区民生路 </w:t>
      </w:r>
      <w:r>
        <w:rPr>
          <w:rFonts w:ascii="Times New Roman" w:eastAsia="Times New Roman"/>
        </w:rPr>
        <w:t>1199 </w:t>
      </w:r>
      <w:r>
        <w:rPr>
          <w:spacing w:val="-9"/>
        </w:rPr>
        <w:t>弄证大五道口广场 </w:t>
      </w:r>
      <w:r>
        <w:rPr>
          <w:rFonts w:ascii="Times New Roman" w:eastAsia="Times New Roman"/>
        </w:rPr>
        <w:t>1 </w:t>
      </w:r>
      <w:r>
        <w:rPr>
          <w:spacing w:val="-18"/>
        </w:rPr>
        <w:t>号楼 </w:t>
      </w:r>
      <w:r>
        <w:rPr>
          <w:rFonts w:ascii="Times New Roman" w:eastAsia="Times New Roman"/>
        </w:rPr>
        <w:t>27 </w:t>
      </w:r>
      <w:r>
        <w:rPr/>
        <w:t>层</w:t>
      </w:r>
      <w:r>
        <w:rPr>
          <w:spacing w:val="-3"/>
        </w:rPr>
        <w:t>法定代表人：弭洪军</w:t>
      </w:r>
    </w:p>
    <w:p>
      <w:pPr>
        <w:pStyle w:val="BodyText"/>
        <w:spacing w:line="424" w:lineRule="auto"/>
        <w:ind w:left="720" w:right="690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7" w:lineRule="exact"/>
        <w:ind w:left="720"/>
      </w:pPr>
      <w:r>
        <w:rPr/>
        <w:t>联系人：李娜</w:t>
      </w:r>
    </w:p>
    <w:p>
      <w:pPr>
        <w:pStyle w:val="BodyText"/>
        <w:spacing w:before="12"/>
        <w:rPr>
          <w:sz w:val="15"/>
        </w:rPr>
      </w:pPr>
    </w:p>
    <w:p>
      <w:pPr>
        <w:pStyle w:val="BodyText"/>
        <w:ind w:left="720"/>
        <w:rPr>
          <w:rFonts w:ascii="Times New Roman" w:eastAsia="Times New Roman"/>
        </w:rPr>
      </w:pPr>
      <w:r>
        <w:rPr/>
        <w:t>网址：</w:t>
      </w:r>
      <w:hyperlink r:id="rId116">
        <w:r>
          <w:rPr>
            <w:rFonts w:ascii="Times New Roman" w:eastAsia="Times New Roman"/>
          </w:rPr>
          <w:t>www.cmiwm.com</w:t>
        </w:r>
      </w:hyperlink>
    </w:p>
    <w:p>
      <w:pPr>
        <w:pStyle w:val="BodyText"/>
        <w:rPr>
          <w:rFonts w:ascii="Times New Roman"/>
          <w:sz w:val="18"/>
        </w:rPr>
      </w:pPr>
    </w:p>
    <w:p>
      <w:pPr>
        <w:pStyle w:val="BodyText"/>
        <w:ind w:left="720"/>
        <w:rPr>
          <w:rFonts w:ascii="Times New Roman" w:eastAsia="Times New Roman"/>
        </w:rPr>
      </w:pPr>
      <w:r>
        <w:rPr/>
        <w:t>客户服务电话：</w:t>
      </w:r>
      <w:r>
        <w:rPr>
          <w:rFonts w:ascii="Times New Roman" w:eastAsia="Times New Roman"/>
        </w:rPr>
        <w:t>400-876-5716</w:t>
      </w:r>
    </w:p>
    <w:p>
      <w:pPr>
        <w:spacing w:after="0"/>
        <w:rPr>
          <w:rFonts w:ascii="Times New Roman" w:eastAsia="Times New Roman"/>
        </w:rPr>
        <w:sectPr>
          <w:pgSz w:w="11910" w:h="16840"/>
          <w:pgMar w:header="701" w:footer="683" w:top="1420" w:bottom="880" w:left="1500" w:right="920"/>
        </w:sectPr>
      </w:pPr>
    </w:p>
    <w:p>
      <w:pPr>
        <w:pStyle w:val="ListParagraph"/>
        <w:numPr>
          <w:ilvl w:val="0"/>
          <w:numId w:val="10"/>
        </w:numPr>
        <w:tabs>
          <w:tab w:pos="1444" w:val="left" w:leader="none"/>
        </w:tabs>
        <w:spacing w:line="240" w:lineRule="auto" w:before="115" w:after="0"/>
        <w:ind w:left="1443" w:right="0" w:hanging="724"/>
        <w:jc w:val="left"/>
        <w:rPr>
          <w:sz w:val="21"/>
        </w:rPr>
      </w:pPr>
      <w:r>
        <w:rPr>
          <w:spacing w:val="-3"/>
          <w:sz w:val="21"/>
        </w:rPr>
        <w:t>深圳市金斧子基金销售有限公司</w:t>
      </w:r>
    </w:p>
    <w:p>
      <w:pPr>
        <w:pStyle w:val="BodyText"/>
        <w:rPr>
          <w:sz w:val="16"/>
        </w:rPr>
      </w:pPr>
    </w:p>
    <w:p>
      <w:pPr>
        <w:pStyle w:val="BodyText"/>
        <w:spacing w:before="1"/>
        <w:ind w:left="72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10"/>
        <w:rPr>
          <w:rFonts w:ascii="Times New Roman"/>
          <w:sz w:val="17"/>
        </w:rPr>
      </w:pPr>
    </w:p>
    <w:p>
      <w:pPr>
        <w:pStyle w:val="BodyText"/>
        <w:ind w:left="72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11"/>
        <w:rPr>
          <w:rFonts w:ascii="Times New Roman"/>
          <w:sz w:val="17"/>
        </w:rPr>
      </w:pPr>
    </w:p>
    <w:p>
      <w:pPr>
        <w:pStyle w:val="BodyText"/>
        <w:ind w:left="300"/>
        <w:rPr>
          <w:rFonts w:ascii="Times New Roman" w:eastAsia="Times New Roman"/>
        </w:rPr>
      </w:pPr>
      <w:r>
        <w:rPr/>
        <w:t>层 </w:t>
      </w:r>
      <w:r>
        <w:rPr>
          <w:rFonts w:ascii="Times New Roman" w:eastAsia="Times New Roman"/>
        </w:rPr>
        <w:t>1108</w:t>
      </w:r>
    </w:p>
    <w:p>
      <w:pPr>
        <w:pStyle w:val="BodyText"/>
        <w:spacing w:before="10"/>
        <w:rPr>
          <w:rFonts w:ascii="Times New Roman"/>
          <w:sz w:val="17"/>
        </w:rPr>
      </w:pPr>
    </w:p>
    <w:p>
      <w:pPr>
        <w:pStyle w:val="BodyText"/>
        <w:spacing w:line="424" w:lineRule="auto" w:before="1"/>
        <w:ind w:left="720" w:right="680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ind w:left="720"/>
      </w:pPr>
      <w:r>
        <w:rPr/>
        <w:t>联系人：陈丽霞</w:t>
      </w:r>
    </w:p>
    <w:p>
      <w:pPr>
        <w:pStyle w:val="BodyText"/>
        <w:rPr>
          <w:sz w:val="16"/>
        </w:rPr>
      </w:pPr>
    </w:p>
    <w:p>
      <w:pPr>
        <w:pStyle w:val="BodyText"/>
        <w:spacing w:before="1"/>
        <w:ind w:left="720"/>
        <w:rPr>
          <w:rFonts w:ascii="Times New Roman" w:eastAsia="Times New Roman"/>
        </w:rPr>
      </w:pPr>
      <w:r>
        <w:rPr/>
        <w:t>网址：</w:t>
      </w:r>
      <w:hyperlink r:id="rId117">
        <w:r>
          <w:rPr>
            <w:rFonts w:ascii="Times New Roman" w:eastAsia="Times New Roman"/>
          </w:rPr>
          <w:t>www.jfzinv.com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400-9302-888</w:t>
      </w:r>
    </w:p>
    <w:p>
      <w:pPr>
        <w:pStyle w:val="BodyText"/>
        <w:spacing w:before="11"/>
        <w:rPr>
          <w:rFonts w:ascii="Times New Roman"/>
          <w:sz w:val="17"/>
        </w:rPr>
      </w:pPr>
    </w:p>
    <w:p>
      <w:pPr>
        <w:pStyle w:val="ListParagraph"/>
        <w:numPr>
          <w:ilvl w:val="0"/>
          <w:numId w:val="10"/>
        </w:numPr>
        <w:tabs>
          <w:tab w:pos="1451" w:val="left" w:leader="none"/>
        </w:tabs>
        <w:spacing w:line="240" w:lineRule="auto" w:before="0" w:after="0"/>
        <w:ind w:left="1451" w:right="0" w:hanging="731"/>
        <w:jc w:val="left"/>
        <w:rPr>
          <w:sz w:val="21"/>
        </w:rPr>
      </w:pPr>
      <w:r>
        <w:rPr>
          <w:spacing w:val="-3"/>
          <w:sz w:val="21"/>
        </w:rPr>
        <w:t>北京蛋卷基金销售有限公司</w:t>
      </w:r>
    </w:p>
    <w:p>
      <w:pPr>
        <w:pStyle w:val="BodyText"/>
        <w:spacing w:before="1"/>
        <w:rPr>
          <w:sz w:val="16"/>
        </w:rPr>
      </w:pPr>
    </w:p>
    <w:p>
      <w:pPr>
        <w:pStyle w:val="BodyText"/>
        <w:ind w:left="72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11"/>
        <w:rPr>
          <w:rFonts w:ascii="Times New Roman"/>
          <w:sz w:val="17"/>
        </w:rPr>
      </w:pPr>
    </w:p>
    <w:p>
      <w:pPr>
        <w:pStyle w:val="BodyText"/>
        <w:ind w:left="72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1"/>
        <w:rPr>
          <w:rFonts w:ascii="Times New Roman"/>
          <w:sz w:val="18"/>
        </w:rPr>
      </w:pPr>
    </w:p>
    <w:p>
      <w:pPr>
        <w:pStyle w:val="BodyText"/>
        <w:spacing w:line="424" w:lineRule="auto"/>
        <w:ind w:left="720" w:right="687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pStyle w:val="BodyText"/>
        <w:spacing w:line="266" w:lineRule="exact"/>
        <w:ind w:left="720"/>
      </w:pPr>
      <w:r>
        <w:rPr/>
        <w:t>联系人：袁永姣</w:t>
      </w:r>
    </w:p>
    <w:p>
      <w:pPr>
        <w:pStyle w:val="BodyText"/>
        <w:spacing w:before="1"/>
        <w:rPr>
          <w:sz w:val="16"/>
        </w:rPr>
      </w:pPr>
    </w:p>
    <w:p>
      <w:pPr>
        <w:pStyle w:val="BodyText"/>
        <w:spacing w:line="424" w:lineRule="auto"/>
        <w:ind w:left="720" w:right="610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10"/>
        </w:numPr>
        <w:tabs>
          <w:tab w:pos="1451" w:val="left" w:leader="none"/>
        </w:tabs>
        <w:spacing w:line="267" w:lineRule="exact" w:before="0" w:after="0"/>
        <w:ind w:left="1451" w:right="0" w:hanging="731"/>
        <w:jc w:val="left"/>
        <w:rPr>
          <w:sz w:val="21"/>
        </w:rPr>
      </w:pPr>
      <w:r>
        <w:rPr>
          <w:spacing w:val="-3"/>
          <w:sz w:val="21"/>
        </w:rPr>
        <w:t>上海中欧财富基金销售有限公司</w:t>
      </w:r>
    </w:p>
    <w:p>
      <w:pPr>
        <w:pStyle w:val="BodyText"/>
        <w:spacing w:before="1"/>
        <w:rPr>
          <w:sz w:val="16"/>
        </w:rPr>
      </w:pPr>
    </w:p>
    <w:p>
      <w:pPr>
        <w:pStyle w:val="BodyText"/>
        <w:spacing w:line="427" w:lineRule="auto" w:before="1"/>
        <w:ind w:left="720" w:right="2974"/>
      </w:pPr>
      <w:r>
        <w:rPr>
          <w:spacing w:val="-2"/>
        </w:rPr>
        <w:t>住所：中国</w:t>
      </w:r>
      <w:r>
        <w:rPr/>
        <w:t>（</w:t>
      </w:r>
      <w:r>
        <w:rPr>
          <w:spacing w:val="-2"/>
        </w:rPr>
        <w:t>上海</w:t>
      </w:r>
      <w:r>
        <w:rPr>
          <w:spacing w:val="-3"/>
        </w:rPr>
        <w:t>）</w:t>
      </w:r>
      <w:r>
        <w:rPr>
          <w:spacing w:val="-7"/>
        </w:rPr>
        <w:t>自由贸易试验区陆家嘴环路 </w:t>
      </w:r>
      <w:r>
        <w:rPr>
          <w:rFonts w:ascii="Times New Roman" w:eastAsia="Times New Roman"/>
        </w:rPr>
        <w:t>333</w:t>
      </w:r>
      <w:r>
        <w:rPr>
          <w:rFonts w:ascii="Times New Roman" w:eastAsia="Times New Roman"/>
          <w:spacing w:val="5"/>
        </w:rPr>
        <w:t> </w:t>
      </w:r>
      <w:r>
        <w:rPr>
          <w:spacing w:val="-24"/>
        </w:rPr>
        <w:t>号 </w:t>
      </w:r>
      <w:r>
        <w:rPr>
          <w:rFonts w:ascii="Times New Roman" w:eastAsia="Times New Roman"/>
        </w:rPr>
        <w:t>729S</w:t>
      </w:r>
      <w:r>
        <w:rPr>
          <w:rFonts w:ascii="Times New Roman" w:eastAsia="Times New Roman"/>
          <w:spacing w:val="3"/>
        </w:rPr>
        <w:t> </w:t>
      </w:r>
      <w:r>
        <w:rPr/>
        <w:t>室</w:t>
      </w:r>
      <w:r>
        <w:rPr>
          <w:spacing w:val="-7"/>
        </w:rPr>
        <w:t>办公地址：上海市虹口区公平路 </w:t>
      </w:r>
      <w:r>
        <w:rPr>
          <w:rFonts w:ascii="Times New Roman" w:eastAsia="Times New Roman"/>
        </w:rPr>
        <w:t>18</w:t>
      </w:r>
      <w:r>
        <w:rPr>
          <w:rFonts w:ascii="Times New Roman" w:eastAsia="Times New Roman"/>
          <w:spacing w:val="-2"/>
        </w:rPr>
        <w:t> </w:t>
      </w:r>
      <w:r>
        <w:rPr>
          <w:spacing w:val="-26"/>
        </w:rPr>
        <w:t>号 </w:t>
      </w:r>
      <w:r>
        <w:rPr>
          <w:rFonts w:ascii="Times New Roman" w:eastAsia="Times New Roman"/>
        </w:rPr>
        <w:t>8</w:t>
      </w:r>
      <w:r>
        <w:rPr>
          <w:rFonts w:ascii="Times New Roman" w:eastAsia="Times New Roman"/>
          <w:spacing w:val="-2"/>
        </w:rPr>
        <w:t> </w:t>
      </w:r>
      <w:r>
        <w:rPr>
          <w:spacing w:val="-11"/>
        </w:rPr>
        <w:t>栋嘉昱大厦 </w:t>
      </w:r>
      <w:r>
        <w:rPr>
          <w:rFonts w:ascii="Times New Roman" w:eastAsia="Times New Roman"/>
        </w:rPr>
        <w:t>6</w:t>
      </w:r>
      <w:r>
        <w:rPr>
          <w:rFonts w:ascii="Times New Roman" w:eastAsia="Times New Roman"/>
          <w:spacing w:val="1"/>
        </w:rPr>
        <w:t> </w:t>
      </w:r>
      <w:r>
        <w:rPr/>
        <w:t>层</w:t>
      </w:r>
    </w:p>
    <w:p>
      <w:pPr>
        <w:pStyle w:val="BodyText"/>
        <w:spacing w:line="265" w:lineRule="exact"/>
        <w:ind w:left="720"/>
      </w:pPr>
      <w:r>
        <w:rPr/>
        <w:t>法定代表人：许欣</w:t>
      </w:r>
    </w:p>
    <w:p>
      <w:pPr>
        <w:pStyle w:val="BodyText"/>
        <w:rPr>
          <w:sz w:val="16"/>
        </w:rPr>
      </w:pPr>
    </w:p>
    <w:p>
      <w:pPr>
        <w:pStyle w:val="BodyText"/>
        <w:spacing w:line="424" w:lineRule="auto" w:before="1"/>
        <w:ind w:left="720" w:right="6416"/>
        <w:rPr>
          <w:rFonts w:ascii="Times New Roman" w:eastAsia="Times New Roman"/>
        </w:rPr>
      </w:pPr>
      <w:r>
        <w:rPr/>
        <w:t>电话：</w:t>
      </w:r>
      <w:r>
        <w:rPr>
          <w:rFonts w:ascii="Times New Roman" w:eastAsia="Times New Roman"/>
        </w:rPr>
        <w:t>021-68609600-5952 </w:t>
      </w:r>
      <w:r>
        <w:rPr/>
        <w:t>传真：</w:t>
      </w:r>
      <w:r>
        <w:rPr>
          <w:rFonts w:ascii="Times New Roman" w:eastAsia="Times New Roman"/>
        </w:rPr>
        <w:t>021-33830351</w:t>
      </w:r>
    </w:p>
    <w:p>
      <w:pPr>
        <w:pStyle w:val="BodyText"/>
        <w:spacing w:line="267" w:lineRule="exact"/>
        <w:ind w:left="720"/>
      </w:pPr>
      <w:r>
        <w:rPr/>
        <w:t>联系人：黎静</w:t>
      </w:r>
    </w:p>
    <w:p>
      <w:pPr>
        <w:pStyle w:val="BodyText"/>
        <w:spacing w:before="1"/>
        <w:rPr>
          <w:sz w:val="16"/>
        </w:rPr>
      </w:pPr>
    </w:p>
    <w:p>
      <w:pPr>
        <w:pStyle w:val="BodyText"/>
        <w:spacing w:line="424" w:lineRule="auto"/>
        <w:ind w:left="720" w:right="6101"/>
        <w:rPr>
          <w:rFonts w:ascii="Times New Roman" w:eastAsia="Times New Roman"/>
        </w:rPr>
      </w:pPr>
      <w:r>
        <w:rPr/>
        <w:t>网址：</w:t>
      </w:r>
      <w:hyperlink r:id="rId118">
        <w:r>
          <w:rPr>
            <w:rFonts w:ascii="Times New Roman" w:eastAsia="Times New Roman"/>
          </w:rPr>
          <w:t>www.qiangungun.com </w:t>
        </w:r>
      </w:hyperlink>
      <w:r>
        <w:rPr/>
        <w:t>客户服务电话：</w:t>
      </w:r>
      <w:r>
        <w:rPr>
          <w:rFonts w:ascii="Times New Roman" w:eastAsia="Times New Roman"/>
        </w:rPr>
        <w:t>400-700-9700</w:t>
      </w:r>
    </w:p>
    <w:p>
      <w:pPr>
        <w:pStyle w:val="ListParagraph"/>
        <w:numPr>
          <w:ilvl w:val="0"/>
          <w:numId w:val="10"/>
        </w:numPr>
        <w:tabs>
          <w:tab w:pos="1451" w:val="left" w:leader="none"/>
        </w:tabs>
        <w:spacing w:line="267" w:lineRule="exact" w:before="0" w:after="0"/>
        <w:ind w:left="1451" w:right="0" w:hanging="731"/>
        <w:jc w:val="left"/>
        <w:rPr>
          <w:sz w:val="21"/>
        </w:rPr>
      </w:pPr>
      <w:r>
        <w:rPr>
          <w:spacing w:val="-3"/>
          <w:sz w:val="21"/>
        </w:rPr>
        <w:t>天津万家财富资产管理有限公司</w:t>
      </w:r>
    </w:p>
    <w:p>
      <w:pPr>
        <w:spacing w:after="0" w:line="267" w:lineRule="exact"/>
        <w:jc w:val="left"/>
        <w:rPr>
          <w:sz w:val="21"/>
        </w:rPr>
        <w:sectPr>
          <w:pgSz w:w="11910" w:h="16840"/>
          <w:pgMar w:header="701" w:footer="683" w:top="1420" w:bottom="880" w:left="1500" w:right="920"/>
        </w:sectPr>
      </w:pPr>
    </w:p>
    <w:p>
      <w:pPr>
        <w:pStyle w:val="BodyText"/>
        <w:spacing w:before="115"/>
        <w:ind w:left="720"/>
      </w:pPr>
      <w:r>
        <w:rPr/>
        <w:t>住所：天津自贸区（中心商务区）迎宾大道 </w:t>
      </w:r>
      <w:r>
        <w:rPr>
          <w:rFonts w:ascii="Times New Roman" w:eastAsia="Times New Roman"/>
        </w:rPr>
        <w:t>1988 </w:t>
      </w:r>
      <w:r>
        <w:rPr/>
        <w:t>号滨海浙商大厦公寓 </w:t>
      </w:r>
      <w:r>
        <w:rPr>
          <w:rFonts w:ascii="Times New Roman" w:eastAsia="Times New Roman"/>
        </w:rPr>
        <w:t>2-2413 </w:t>
      </w:r>
      <w:r>
        <w:rPr/>
        <w:t>室</w:t>
      </w:r>
    </w:p>
    <w:p>
      <w:pPr>
        <w:pStyle w:val="BodyText"/>
        <w:rPr>
          <w:sz w:val="16"/>
        </w:rPr>
      </w:pPr>
    </w:p>
    <w:p>
      <w:pPr>
        <w:pStyle w:val="BodyText"/>
        <w:spacing w:line="424" w:lineRule="auto" w:before="1"/>
        <w:ind w:left="720" w:right="3195"/>
      </w:pPr>
      <w:r>
        <w:rPr>
          <w:spacing w:val="-6"/>
        </w:rPr>
        <w:t>办公地址：北京市西城区丰盛胡同 </w:t>
      </w:r>
      <w:r>
        <w:rPr>
          <w:rFonts w:ascii="Times New Roman" w:eastAsia="Times New Roman"/>
        </w:rPr>
        <w:t>28 </w:t>
      </w:r>
      <w:r>
        <w:rPr>
          <w:spacing w:val="-8"/>
        </w:rPr>
        <w:t>号太平洋保险大厦 </w:t>
      </w:r>
      <w:r>
        <w:rPr>
          <w:rFonts w:ascii="Times New Roman" w:eastAsia="Times New Roman"/>
        </w:rPr>
        <w:t>5 </w:t>
      </w:r>
      <w:r>
        <w:rPr/>
        <w:t>层</w:t>
      </w:r>
      <w:r>
        <w:rPr>
          <w:spacing w:val="-3"/>
        </w:rPr>
        <w:t>法定代表人：李修辞</w:t>
      </w:r>
    </w:p>
    <w:p>
      <w:pPr>
        <w:pStyle w:val="BodyText"/>
        <w:spacing w:line="424" w:lineRule="auto"/>
        <w:ind w:left="720" w:right="6906"/>
        <w:rPr>
          <w:rFonts w:ascii="Times New Roman" w:eastAsia="Times New Roman"/>
        </w:rPr>
      </w:pPr>
      <w:r>
        <w:rPr/>
        <w:t>电话：</w:t>
      </w:r>
      <w:r>
        <w:rPr>
          <w:rFonts w:ascii="Times New Roman" w:eastAsia="Times New Roman"/>
        </w:rPr>
        <w:t>18511290872 </w:t>
      </w:r>
      <w:r>
        <w:rPr/>
        <w:t>传真：</w:t>
      </w:r>
      <w:r>
        <w:rPr>
          <w:rFonts w:ascii="Times New Roman" w:eastAsia="Times New Roman"/>
        </w:rPr>
        <w:t>010-59013828</w:t>
      </w:r>
    </w:p>
    <w:p>
      <w:pPr>
        <w:pStyle w:val="BodyText"/>
        <w:ind w:left="720"/>
      </w:pPr>
      <w:r>
        <w:rPr/>
        <w:t>联系人：邵玉磊</w:t>
      </w:r>
    </w:p>
    <w:p>
      <w:pPr>
        <w:pStyle w:val="BodyText"/>
        <w:spacing w:before="12"/>
        <w:rPr>
          <w:sz w:val="15"/>
        </w:rPr>
      </w:pPr>
    </w:p>
    <w:p>
      <w:pPr>
        <w:pStyle w:val="BodyText"/>
        <w:spacing w:line="424" w:lineRule="auto"/>
        <w:ind w:left="720" w:right="6065"/>
        <w:rPr>
          <w:rFonts w:ascii="Times New Roman" w:eastAsia="Times New Roman"/>
        </w:rPr>
      </w:pPr>
      <w:r>
        <w:rPr/>
        <w:t>网址：</w:t>
      </w:r>
      <w:hyperlink r:id="rId119">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10"/>
        </w:numPr>
        <w:tabs>
          <w:tab w:pos="1451" w:val="left" w:leader="none"/>
        </w:tabs>
        <w:spacing w:line="268" w:lineRule="exact" w:before="0" w:after="0"/>
        <w:ind w:left="1451" w:right="0" w:hanging="731"/>
        <w:jc w:val="left"/>
        <w:rPr>
          <w:sz w:val="21"/>
        </w:rPr>
      </w:pPr>
      <w:r>
        <w:rPr>
          <w:spacing w:val="-3"/>
          <w:sz w:val="21"/>
        </w:rPr>
        <w:t>上海华夏财富投资管理有限公司</w:t>
      </w:r>
    </w:p>
    <w:p>
      <w:pPr>
        <w:pStyle w:val="BodyText"/>
        <w:spacing w:before="1"/>
        <w:rPr>
          <w:sz w:val="16"/>
        </w:rPr>
      </w:pPr>
    </w:p>
    <w:p>
      <w:pPr>
        <w:pStyle w:val="BodyText"/>
        <w:ind w:left="72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1"/>
        <w:rPr>
          <w:sz w:val="16"/>
        </w:rPr>
      </w:pPr>
    </w:p>
    <w:p>
      <w:pPr>
        <w:pStyle w:val="BodyText"/>
        <w:spacing w:line="424" w:lineRule="auto"/>
        <w:ind w:left="720" w:right="330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27" w:lineRule="auto"/>
        <w:ind w:left="720" w:right="690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4" w:lineRule="exact"/>
        <w:ind w:left="720"/>
      </w:pPr>
      <w:r>
        <w:rPr/>
        <w:t>联系人：张静怡</w:t>
      </w:r>
    </w:p>
    <w:p>
      <w:pPr>
        <w:pStyle w:val="BodyText"/>
        <w:spacing w:before="12"/>
        <w:rPr>
          <w:sz w:val="15"/>
        </w:rPr>
      </w:pPr>
    </w:p>
    <w:p>
      <w:pPr>
        <w:pStyle w:val="BodyText"/>
        <w:spacing w:line="424" w:lineRule="auto"/>
        <w:ind w:left="720" w:right="6101"/>
        <w:rPr>
          <w:rFonts w:ascii="Times New Roman" w:eastAsia="Times New Roman"/>
        </w:rPr>
      </w:pPr>
      <w:r>
        <w:rPr/>
        <w:t>网址：</w:t>
      </w:r>
      <w:hyperlink r:id="rId120">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10"/>
        </w:numPr>
        <w:tabs>
          <w:tab w:pos="1451" w:val="left" w:leader="none"/>
        </w:tabs>
        <w:spacing w:line="267" w:lineRule="exact" w:before="0" w:after="0"/>
        <w:ind w:left="1451" w:right="0" w:hanging="731"/>
        <w:jc w:val="left"/>
        <w:rPr>
          <w:sz w:val="21"/>
        </w:rPr>
      </w:pPr>
      <w:r>
        <w:rPr>
          <w:spacing w:val="-3"/>
          <w:sz w:val="21"/>
        </w:rPr>
        <w:t>中信期货有限公司</w:t>
      </w:r>
    </w:p>
    <w:p>
      <w:pPr>
        <w:pStyle w:val="BodyText"/>
        <w:spacing w:before="1"/>
        <w:rPr>
          <w:sz w:val="16"/>
        </w:rPr>
      </w:pPr>
    </w:p>
    <w:p>
      <w:pPr>
        <w:pStyle w:val="BodyText"/>
        <w:spacing w:line="424" w:lineRule="auto"/>
        <w:ind w:left="720" w:right="87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BodyText"/>
        <w:spacing w:line="267" w:lineRule="exact"/>
        <w:ind w:left="300"/>
      </w:pPr>
      <w:r>
        <w:rPr>
          <w:rFonts w:ascii="Times New Roman" w:eastAsia="Times New Roman"/>
        </w:rPr>
        <w:t>14 </w:t>
      </w:r>
      <w:r>
        <w:rPr/>
        <w:t>层</w:t>
      </w:r>
    </w:p>
    <w:p>
      <w:pPr>
        <w:pStyle w:val="BodyText"/>
        <w:spacing w:before="4"/>
        <w:rPr>
          <w:sz w:val="16"/>
        </w:rPr>
      </w:pPr>
    </w:p>
    <w:p>
      <w:pPr>
        <w:pStyle w:val="BodyText"/>
        <w:spacing w:line="424" w:lineRule="auto"/>
        <w:ind w:left="720" w:right="674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line="266" w:lineRule="exact"/>
        <w:ind w:left="720"/>
      </w:pPr>
      <w:r>
        <w:rPr/>
        <w:t>联系人：刘宏莹</w:t>
      </w:r>
    </w:p>
    <w:p>
      <w:pPr>
        <w:pStyle w:val="BodyText"/>
        <w:spacing w:before="1"/>
        <w:rPr>
          <w:sz w:val="16"/>
        </w:rPr>
      </w:pPr>
    </w:p>
    <w:p>
      <w:pPr>
        <w:pStyle w:val="BodyText"/>
        <w:ind w:left="720"/>
        <w:rPr>
          <w:rFonts w:ascii="Times New Roman" w:eastAsia="Times New Roman"/>
        </w:rPr>
      </w:pPr>
      <w:r>
        <w:rPr/>
        <w:t>网址：</w:t>
      </w:r>
      <w:hyperlink r:id="rId121">
        <w:r>
          <w:rPr>
            <w:rFonts w:ascii="Times New Roman" w:eastAsia="Times New Roman"/>
          </w:rPr>
          <w:t>www.citicsf.com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400-990-8826</w:t>
      </w:r>
    </w:p>
    <w:p>
      <w:pPr>
        <w:pStyle w:val="BodyText"/>
        <w:spacing w:before="11"/>
        <w:rPr>
          <w:rFonts w:ascii="Times New Roman"/>
          <w:sz w:val="17"/>
        </w:rPr>
      </w:pPr>
    </w:p>
    <w:p>
      <w:pPr>
        <w:pStyle w:val="ListParagraph"/>
        <w:numPr>
          <w:ilvl w:val="0"/>
          <w:numId w:val="10"/>
        </w:numPr>
        <w:tabs>
          <w:tab w:pos="1451" w:val="left" w:leader="none"/>
        </w:tabs>
        <w:spacing w:line="424" w:lineRule="auto" w:before="0" w:after="0"/>
        <w:ind w:left="720" w:right="5934" w:firstLine="0"/>
        <w:jc w:val="left"/>
        <w:rPr>
          <w:sz w:val="21"/>
        </w:rPr>
      </w:pPr>
      <w:r>
        <w:rPr>
          <w:spacing w:val="-4"/>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2"/>
          <w:sz w:val="21"/>
        </w:rPr>
        <w:t> </w:t>
      </w:r>
      <w:r>
        <w:rPr>
          <w:sz w:val="21"/>
        </w:rPr>
        <w:t>号</w:t>
      </w:r>
    </w:p>
    <w:p>
      <w:pPr>
        <w:spacing w:after="0" w:line="424" w:lineRule="auto"/>
        <w:jc w:val="left"/>
        <w:rPr>
          <w:sz w:val="21"/>
        </w:rPr>
        <w:sectPr>
          <w:pgSz w:w="11910" w:h="16840"/>
          <w:pgMar w:header="701" w:footer="683" w:top="1420" w:bottom="880" w:left="1500" w:right="920"/>
        </w:sectPr>
      </w:pPr>
    </w:p>
    <w:p>
      <w:pPr>
        <w:pStyle w:val="BodyText"/>
        <w:spacing w:line="424" w:lineRule="auto" w:before="115"/>
        <w:ind w:left="720" w:right="5024"/>
      </w:pPr>
      <w:r>
        <w:rPr/>
        <w:t>办公地址：南京市中华路 </w:t>
      </w:r>
      <w:r>
        <w:rPr>
          <w:rFonts w:ascii="Times New Roman" w:eastAsia="Times New Roman"/>
        </w:rPr>
        <w:t>50 </w:t>
      </w:r>
      <w:r>
        <w:rPr/>
        <w:t>号弘业大厦法定代表人：周剑秋</w:t>
      </w:r>
    </w:p>
    <w:p>
      <w:pPr>
        <w:pStyle w:val="BodyText"/>
        <w:spacing w:line="424" w:lineRule="auto"/>
        <w:ind w:left="720" w:right="690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7" w:lineRule="exact"/>
        <w:ind w:left="720"/>
      </w:pPr>
      <w:r>
        <w:rPr/>
        <w:t>联系人：张苏怡</w:t>
      </w:r>
    </w:p>
    <w:p>
      <w:pPr>
        <w:pStyle w:val="BodyText"/>
        <w:spacing w:before="1"/>
        <w:rPr>
          <w:sz w:val="16"/>
        </w:rPr>
      </w:pPr>
    </w:p>
    <w:p>
      <w:pPr>
        <w:pStyle w:val="BodyText"/>
        <w:ind w:left="720"/>
        <w:rPr>
          <w:rFonts w:ascii="Times New Roman" w:eastAsia="Times New Roman"/>
        </w:rPr>
      </w:pPr>
      <w:r>
        <w:rPr/>
        <w:t>网址：</w:t>
      </w:r>
      <w:hyperlink r:id="rId122">
        <w:r>
          <w:rPr>
            <w:rFonts w:ascii="Times New Roman" w:eastAsia="Times New Roman"/>
          </w:rPr>
          <w:t>www.ftol.com.cn</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400-828-8288</w:t>
      </w:r>
    </w:p>
    <w:p>
      <w:pPr>
        <w:pStyle w:val="BodyText"/>
        <w:spacing w:before="11"/>
        <w:rPr>
          <w:rFonts w:ascii="Times New Roman"/>
          <w:sz w:val="17"/>
        </w:rPr>
      </w:pPr>
    </w:p>
    <w:p>
      <w:pPr>
        <w:pStyle w:val="ListParagraph"/>
        <w:numPr>
          <w:ilvl w:val="0"/>
          <w:numId w:val="10"/>
        </w:numPr>
        <w:tabs>
          <w:tab w:pos="1451" w:val="left" w:leader="none"/>
        </w:tabs>
        <w:spacing w:line="240" w:lineRule="auto" w:before="0" w:after="0"/>
        <w:ind w:left="1451" w:right="0" w:hanging="731"/>
        <w:jc w:val="left"/>
        <w:rPr>
          <w:sz w:val="21"/>
        </w:rPr>
      </w:pPr>
      <w:r>
        <w:rPr>
          <w:spacing w:val="-3"/>
          <w:sz w:val="21"/>
        </w:rPr>
        <w:t>国泰君安证券股份有限公司</w:t>
      </w:r>
    </w:p>
    <w:p>
      <w:pPr>
        <w:pStyle w:val="BodyText"/>
        <w:spacing w:before="1"/>
        <w:rPr>
          <w:sz w:val="16"/>
        </w:rPr>
      </w:pPr>
    </w:p>
    <w:p>
      <w:pPr>
        <w:pStyle w:val="BodyText"/>
        <w:ind w:left="720"/>
      </w:pPr>
      <w:r>
        <w:rPr/>
        <w:t>住所：中国（上海）自由贸易试验区商城路 </w:t>
      </w:r>
      <w:r>
        <w:rPr>
          <w:rFonts w:ascii="Times New Roman" w:eastAsia="Times New Roman"/>
        </w:rPr>
        <w:t>618 </w:t>
      </w:r>
      <w:r>
        <w:rPr/>
        <w:t>号</w:t>
      </w:r>
    </w:p>
    <w:p>
      <w:pPr>
        <w:pStyle w:val="BodyText"/>
        <w:spacing w:before="1"/>
        <w:rPr>
          <w:sz w:val="16"/>
        </w:rPr>
      </w:pPr>
    </w:p>
    <w:p>
      <w:pPr>
        <w:pStyle w:val="BodyText"/>
        <w:spacing w:line="424" w:lineRule="auto"/>
        <w:ind w:left="720" w:right="3657"/>
      </w:pPr>
      <w:r>
        <w:rPr/>
        <w:t>办公地址：上海市静安区南京西路 </w:t>
      </w:r>
      <w:r>
        <w:rPr>
          <w:rFonts w:ascii="Times New Roman" w:eastAsia="Times New Roman"/>
        </w:rPr>
        <w:t>768 </w:t>
      </w:r>
      <w:r>
        <w:rPr/>
        <w:t>号国泰君安大厦法定代表人：贺青</w:t>
      </w:r>
    </w:p>
    <w:p>
      <w:pPr>
        <w:pStyle w:val="BodyText"/>
        <w:spacing w:line="424" w:lineRule="auto"/>
        <w:ind w:left="720" w:right="690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ind w:left="720"/>
      </w:pPr>
      <w:r>
        <w:rPr/>
        <w:t>联系人：黄博铭</w:t>
      </w:r>
    </w:p>
    <w:p>
      <w:pPr>
        <w:pStyle w:val="BodyText"/>
        <w:rPr>
          <w:sz w:val="16"/>
        </w:rPr>
      </w:pPr>
    </w:p>
    <w:p>
      <w:pPr>
        <w:pStyle w:val="BodyText"/>
        <w:spacing w:line="424" w:lineRule="auto"/>
        <w:ind w:left="720" w:right="6767"/>
        <w:rPr>
          <w:rFonts w:ascii="Times New Roman" w:eastAsia="Times New Roman"/>
        </w:rPr>
      </w:pPr>
      <w:r>
        <w:rPr/>
        <w:t>网址：</w:t>
      </w:r>
      <w:hyperlink r:id="rId123">
        <w:r>
          <w:rPr>
            <w:rFonts w:ascii="Times New Roman" w:eastAsia="Times New Roman"/>
          </w:rPr>
          <w:t>www.gtja.com </w:t>
        </w:r>
      </w:hyperlink>
      <w:r>
        <w:rPr/>
        <w:t>客户服务电话：</w:t>
      </w:r>
      <w:r>
        <w:rPr>
          <w:rFonts w:ascii="Times New Roman" w:eastAsia="Times New Roman"/>
        </w:rPr>
        <w:t>95521</w:t>
      </w:r>
    </w:p>
    <w:p>
      <w:pPr>
        <w:pStyle w:val="ListParagraph"/>
        <w:numPr>
          <w:ilvl w:val="0"/>
          <w:numId w:val="10"/>
        </w:numPr>
        <w:tabs>
          <w:tab w:pos="1451" w:val="left" w:leader="none"/>
        </w:tabs>
        <w:spacing w:line="267" w:lineRule="exact" w:before="0" w:after="0"/>
        <w:ind w:left="1451" w:right="0" w:hanging="731"/>
        <w:jc w:val="left"/>
        <w:rPr>
          <w:sz w:val="21"/>
        </w:rPr>
      </w:pPr>
      <w:r>
        <w:rPr>
          <w:spacing w:val="-3"/>
          <w:sz w:val="21"/>
        </w:rPr>
        <w:t>中信建投证券股份有限公司</w:t>
      </w:r>
    </w:p>
    <w:p>
      <w:pPr>
        <w:pStyle w:val="BodyText"/>
        <w:spacing w:before="1"/>
        <w:rPr>
          <w:sz w:val="16"/>
        </w:rPr>
      </w:pPr>
    </w:p>
    <w:p>
      <w:pPr>
        <w:pStyle w:val="BodyText"/>
        <w:ind w:left="72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1"/>
        <w:rPr>
          <w:sz w:val="16"/>
        </w:rPr>
      </w:pPr>
    </w:p>
    <w:p>
      <w:pPr>
        <w:pStyle w:val="BodyText"/>
        <w:spacing w:line="424" w:lineRule="auto"/>
        <w:ind w:left="720" w:right="518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27" w:lineRule="auto"/>
        <w:ind w:left="720" w:right="676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5" w:lineRule="exact"/>
        <w:ind w:left="720"/>
      </w:pPr>
      <w:r>
        <w:rPr/>
        <w:t>联系人：权唐</w:t>
      </w:r>
    </w:p>
    <w:p>
      <w:pPr>
        <w:pStyle w:val="BodyText"/>
        <w:spacing w:before="12"/>
        <w:rPr>
          <w:sz w:val="15"/>
        </w:rPr>
      </w:pPr>
    </w:p>
    <w:p>
      <w:pPr>
        <w:pStyle w:val="BodyText"/>
        <w:ind w:left="720"/>
        <w:rPr>
          <w:rFonts w:ascii="Times New Roman" w:eastAsia="Times New Roman"/>
        </w:rPr>
      </w:pPr>
      <w:r>
        <w:rPr/>
        <w:t>网址：</w:t>
      </w:r>
      <w:hyperlink r:id="rId124">
        <w:r>
          <w:rPr>
            <w:rFonts w:ascii="Times New Roman" w:eastAsia="Times New Roman"/>
          </w:rPr>
          <w:t>www.csc108.com</w:t>
        </w:r>
      </w:hyperlink>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国信证券股份有限公司</w:t>
      </w:r>
    </w:p>
    <w:p>
      <w:pPr>
        <w:pStyle w:val="BodyText"/>
        <w:spacing w:before="1"/>
        <w:rPr>
          <w:sz w:val="16"/>
        </w:rPr>
      </w:pPr>
    </w:p>
    <w:p>
      <w:pPr>
        <w:pStyle w:val="BodyText"/>
        <w:ind w:left="720"/>
      </w:pPr>
      <w:r>
        <w:rPr/>
        <w:t>住所：深圳市罗湖区红岭中路 </w:t>
      </w:r>
      <w:r>
        <w:rPr>
          <w:rFonts w:ascii="Times New Roman" w:eastAsia="Times New Roman"/>
        </w:rPr>
        <w:t>1012 </w:t>
      </w:r>
      <w:r>
        <w:rPr/>
        <w:t>号国信证券大厦十六层至二十六层</w:t>
      </w:r>
    </w:p>
    <w:p>
      <w:pPr>
        <w:pStyle w:val="BodyText"/>
        <w:spacing w:before="1"/>
        <w:rPr>
          <w:sz w:val="16"/>
        </w:rPr>
      </w:pPr>
    </w:p>
    <w:p>
      <w:pPr>
        <w:pStyle w:val="BodyText"/>
        <w:spacing w:line="424" w:lineRule="auto"/>
        <w:ind w:left="720" w:right="1873"/>
      </w:pPr>
      <w:r>
        <w:rPr/>
        <w:t>办公地址：深圳市罗湖区红岭中路 </w:t>
      </w:r>
      <w:r>
        <w:rPr>
          <w:rFonts w:ascii="Times New Roman" w:eastAsia="Times New Roman"/>
        </w:rPr>
        <w:t>1012 </w:t>
      </w:r>
      <w:r>
        <w:rPr/>
        <w:t>号国信证券大厦十六层至二十六层法定代表人：何如</w:t>
      </w:r>
    </w:p>
    <w:p>
      <w:pPr>
        <w:pStyle w:val="BodyText"/>
        <w:spacing w:line="267" w:lineRule="exact"/>
        <w:ind w:left="720"/>
        <w:rPr>
          <w:rFonts w:ascii="Times New Roman" w:eastAsia="Times New Roman"/>
        </w:rPr>
      </w:pPr>
      <w:r>
        <w:rPr/>
        <w:t>电话：</w:t>
      </w:r>
      <w:r>
        <w:rPr>
          <w:rFonts w:ascii="Times New Roman" w:eastAsia="Times New Roman"/>
        </w:rPr>
        <w:t>0755-82130833</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0755-82133952</w:t>
      </w:r>
    </w:p>
    <w:p>
      <w:pPr>
        <w:pStyle w:val="BodyText"/>
        <w:spacing w:before="10"/>
        <w:rPr>
          <w:rFonts w:ascii="Times New Roman"/>
          <w:sz w:val="17"/>
        </w:rPr>
      </w:pPr>
    </w:p>
    <w:p>
      <w:pPr>
        <w:pStyle w:val="BodyText"/>
        <w:ind w:left="720"/>
      </w:pPr>
      <w:r>
        <w:rPr/>
        <w:t>联系人：李颖</w:t>
      </w:r>
    </w:p>
    <w:p>
      <w:pPr>
        <w:pStyle w:val="BodyText"/>
        <w:spacing w:before="1"/>
        <w:rPr>
          <w:sz w:val="16"/>
        </w:rPr>
      </w:pPr>
    </w:p>
    <w:p>
      <w:pPr>
        <w:pStyle w:val="BodyText"/>
        <w:spacing w:line="424" w:lineRule="auto"/>
        <w:ind w:left="720" w:right="6335"/>
        <w:rPr>
          <w:rFonts w:ascii="Times New Roman" w:eastAsia="Times New Roman"/>
        </w:rPr>
      </w:pPr>
      <w:r>
        <w:rPr/>
        <w:t>网址：</w:t>
      </w:r>
      <w:hyperlink r:id="rId125">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招商证券股份有限公司</w:t>
      </w:r>
    </w:p>
    <w:p>
      <w:pPr>
        <w:pStyle w:val="BodyText"/>
        <w:spacing w:before="4"/>
        <w:rPr>
          <w:sz w:val="16"/>
        </w:rPr>
      </w:pPr>
    </w:p>
    <w:p>
      <w:pPr>
        <w:pStyle w:val="BodyText"/>
        <w:ind w:left="720"/>
      </w:pPr>
      <w:r>
        <w:rPr/>
        <w:t>住所：深圳市福田区福田街道福华一路 </w:t>
      </w:r>
      <w:r>
        <w:rPr>
          <w:rFonts w:ascii="Times New Roman" w:eastAsia="Times New Roman"/>
        </w:rPr>
        <w:t>111 </w:t>
      </w:r>
      <w:r>
        <w:rPr/>
        <w:t>号</w:t>
      </w:r>
    </w:p>
    <w:p>
      <w:pPr>
        <w:pStyle w:val="BodyText"/>
        <w:spacing w:before="1"/>
        <w:rPr>
          <w:sz w:val="16"/>
        </w:rPr>
      </w:pPr>
    </w:p>
    <w:p>
      <w:pPr>
        <w:pStyle w:val="BodyText"/>
        <w:spacing w:line="424" w:lineRule="auto"/>
        <w:ind w:left="720" w:right="4086"/>
      </w:pPr>
      <w:r>
        <w:rPr/>
        <w:t>办公地址：深圳市福田区福田街道福华一路 </w:t>
      </w:r>
      <w:r>
        <w:rPr>
          <w:rFonts w:ascii="Times New Roman" w:eastAsia="Times New Roman"/>
        </w:rPr>
        <w:t>111 </w:t>
      </w:r>
      <w:r>
        <w:rPr/>
        <w:t>号法定代表人：霍达</w:t>
      </w:r>
    </w:p>
    <w:p>
      <w:pPr>
        <w:pStyle w:val="BodyText"/>
        <w:spacing w:line="424" w:lineRule="auto"/>
        <w:ind w:left="720" w:right="6800"/>
        <w:rPr>
          <w:rFonts w:ascii="Times New Roman" w:eastAsia="Times New Roman"/>
        </w:rPr>
      </w:pPr>
      <w:r>
        <w:rPr/>
        <w:t>电话：</w:t>
      </w:r>
      <w:r>
        <w:rPr>
          <w:rFonts w:ascii="Times New Roman" w:eastAsia="Times New Roman"/>
        </w:rPr>
        <w:t>0755-82943666 </w:t>
      </w:r>
      <w:r>
        <w:rPr/>
        <w:t>传真：</w:t>
      </w:r>
      <w:r>
        <w:rPr>
          <w:rFonts w:ascii="Times New Roman" w:eastAsia="Times New Roman"/>
        </w:rPr>
        <w:t>0755-82943636</w:t>
      </w:r>
    </w:p>
    <w:p>
      <w:pPr>
        <w:pStyle w:val="BodyText"/>
        <w:spacing w:line="267" w:lineRule="exact"/>
        <w:ind w:left="720"/>
      </w:pPr>
      <w:r>
        <w:rPr/>
        <w:t>联系人：黄健</w:t>
      </w:r>
    </w:p>
    <w:p>
      <w:pPr>
        <w:pStyle w:val="BodyText"/>
        <w:spacing w:before="12"/>
        <w:rPr>
          <w:sz w:val="15"/>
        </w:rPr>
      </w:pPr>
    </w:p>
    <w:p>
      <w:pPr>
        <w:pStyle w:val="BodyText"/>
        <w:spacing w:line="424" w:lineRule="auto"/>
        <w:ind w:left="720" w:right="6277"/>
        <w:rPr>
          <w:rFonts w:ascii="Times New Roman" w:eastAsia="Times New Roman"/>
        </w:rPr>
      </w:pPr>
      <w:r>
        <w:rPr/>
        <w:t>网址：</w:t>
      </w:r>
      <w:hyperlink r:id="rId126">
        <w:r>
          <w:rPr>
            <w:rFonts w:ascii="Times New Roman" w:eastAsia="Times New Roman"/>
          </w:rPr>
          <w:t>www.newone.com.cn </w:t>
        </w:r>
      </w:hyperlink>
      <w:r>
        <w:rPr/>
        <w:t>客户服务电话：</w:t>
      </w:r>
      <w:r>
        <w:rPr>
          <w:rFonts w:ascii="Times New Roman" w:eastAsia="Times New Roman"/>
        </w:rPr>
        <w:t>95565</w:t>
      </w: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广发证券股份有限公司</w:t>
      </w:r>
    </w:p>
    <w:p>
      <w:pPr>
        <w:pStyle w:val="BodyText"/>
        <w:spacing w:before="1"/>
        <w:rPr>
          <w:sz w:val="16"/>
        </w:rPr>
      </w:pPr>
    </w:p>
    <w:p>
      <w:pPr>
        <w:pStyle w:val="BodyText"/>
        <w:ind w:left="72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1"/>
        <w:rPr>
          <w:sz w:val="16"/>
        </w:rPr>
      </w:pPr>
    </w:p>
    <w:p>
      <w:pPr>
        <w:pStyle w:val="BodyText"/>
        <w:spacing w:line="424" w:lineRule="auto"/>
        <w:ind w:left="720" w:right="350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24" w:lineRule="auto"/>
        <w:ind w:left="720" w:right="690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7" w:lineRule="exact"/>
        <w:ind w:left="720"/>
      </w:pPr>
      <w:r>
        <w:rPr/>
        <w:t>联系人：陈姗姗</w:t>
      </w:r>
    </w:p>
    <w:p>
      <w:pPr>
        <w:pStyle w:val="BodyText"/>
        <w:spacing w:before="12"/>
        <w:rPr>
          <w:sz w:val="15"/>
        </w:rPr>
      </w:pPr>
    </w:p>
    <w:p>
      <w:pPr>
        <w:pStyle w:val="BodyText"/>
        <w:ind w:left="720"/>
        <w:rPr>
          <w:rFonts w:ascii="Times New Roman" w:eastAsia="Times New Roman"/>
        </w:rPr>
      </w:pPr>
      <w:r>
        <w:rPr/>
        <w:t>网址：</w:t>
      </w:r>
      <w:hyperlink r:id="rId127">
        <w:r>
          <w:rPr>
            <w:rFonts w:ascii="Times New Roman" w:eastAsia="Times New Roman"/>
          </w:rPr>
          <w:t>www.gf.com.cn</w:t>
        </w:r>
      </w:hyperlink>
    </w:p>
    <w:p>
      <w:pPr>
        <w:pStyle w:val="BodyText"/>
        <w:spacing w:before="2"/>
        <w:rPr>
          <w:rFonts w:ascii="Times New Roman"/>
          <w:sz w:val="18"/>
        </w:rPr>
      </w:pPr>
    </w:p>
    <w:p>
      <w:pPr>
        <w:pStyle w:val="BodyText"/>
        <w:ind w:left="720"/>
      </w:pPr>
      <w:r>
        <w:rPr/>
        <w:t>客户服务电话：</w:t>
      </w:r>
      <w:r>
        <w:rPr>
          <w:rFonts w:ascii="Times New Roman" w:eastAsia="Times New Roman"/>
        </w:rPr>
        <w:t>95575 </w:t>
      </w:r>
      <w:r>
        <w:rPr/>
        <w:t>或致电各地营业网点</w:t>
      </w:r>
    </w:p>
    <w:p>
      <w:pPr>
        <w:pStyle w:val="BodyText"/>
        <w:spacing w:before="1"/>
        <w:rPr>
          <w:sz w:val="16"/>
        </w:rPr>
      </w:pP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中信证券股份有限公司</w:t>
      </w:r>
    </w:p>
    <w:p>
      <w:pPr>
        <w:pStyle w:val="BodyText"/>
        <w:spacing w:before="1"/>
        <w:rPr>
          <w:sz w:val="16"/>
        </w:rPr>
      </w:pPr>
    </w:p>
    <w:p>
      <w:pPr>
        <w:pStyle w:val="BodyText"/>
        <w:ind w:left="720"/>
      </w:pPr>
      <w:r>
        <w:rPr/>
        <w:t>住所：广东省深圳市福田区中心三路 </w:t>
      </w:r>
      <w:r>
        <w:rPr>
          <w:rFonts w:ascii="Times New Roman" w:eastAsia="Times New Roman"/>
        </w:rPr>
        <w:t>8 </w:t>
      </w:r>
      <w:r>
        <w:rPr/>
        <w:t>号卓越时代广场（二期）北座</w:t>
      </w:r>
    </w:p>
    <w:p>
      <w:pPr>
        <w:pStyle w:val="BodyText"/>
        <w:spacing w:before="1"/>
        <w:rPr>
          <w:sz w:val="16"/>
        </w:rPr>
      </w:pPr>
    </w:p>
    <w:p>
      <w:pPr>
        <w:pStyle w:val="BodyText"/>
        <w:spacing w:line="424" w:lineRule="auto"/>
        <w:ind w:left="720" w:right="3764"/>
      </w:pPr>
      <w:r>
        <w:rPr/>
        <w:t>办公地址：北京市朝阳区亮马桥路 </w:t>
      </w:r>
      <w:r>
        <w:rPr>
          <w:rFonts w:ascii="Times New Roman" w:eastAsia="Times New Roman"/>
        </w:rPr>
        <w:t>48 </w:t>
      </w:r>
      <w:r>
        <w:rPr/>
        <w:t>号中信证券大厦法定代表人：张佑君</w:t>
      </w:r>
    </w:p>
    <w:p>
      <w:pPr>
        <w:pStyle w:val="BodyText"/>
        <w:spacing w:line="424" w:lineRule="auto"/>
        <w:ind w:left="720" w:right="690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7" w:lineRule="exact"/>
        <w:ind w:left="720"/>
      </w:pPr>
      <w:r>
        <w:rPr/>
        <w:t>联系人：郑慧</w:t>
      </w:r>
    </w:p>
    <w:p>
      <w:pPr>
        <w:spacing w:after="0" w:line="267" w:lineRule="exact"/>
        <w:sectPr>
          <w:pgSz w:w="11910" w:h="16840"/>
          <w:pgMar w:header="701" w:footer="683" w:top="1420" w:bottom="880" w:left="1500" w:right="920"/>
        </w:sectPr>
      </w:pPr>
    </w:p>
    <w:p>
      <w:pPr>
        <w:pStyle w:val="BodyText"/>
        <w:spacing w:line="424" w:lineRule="auto" w:before="115"/>
        <w:ind w:left="720" w:right="6498"/>
        <w:rPr>
          <w:rFonts w:ascii="Times New Roman" w:eastAsia="Times New Roman"/>
        </w:rPr>
      </w:pPr>
      <w:r>
        <w:rPr/>
        <w:t>网址：</w:t>
      </w:r>
      <w:hyperlink r:id="rId128">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中国银河证券股份有限公司</w:t>
      </w:r>
    </w:p>
    <w:p>
      <w:pPr>
        <w:pStyle w:val="BodyText"/>
        <w:rPr>
          <w:sz w:val="16"/>
        </w:rPr>
      </w:pPr>
    </w:p>
    <w:p>
      <w:pPr>
        <w:pStyle w:val="BodyText"/>
        <w:spacing w:before="1"/>
        <w:ind w:left="72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1"/>
        <w:rPr>
          <w:sz w:val="16"/>
        </w:rPr>
      </w:pPr>
    </w:p>
    <w:p>
      <w:pPr>
        <w:pStyle w:val="BodyText"/>
        <w:spacing w:line="427" w:lineRule="auto"/>
        <w:ind w:left="720" w:right="337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24" w:lineRule="auto"/>
        <w:ind w:left="720" w:right="690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pStyle w:val="BodyText"/>
        <w:spacing w:line="268" w:lineRule="exact"/>
        <w:ind w:left="720"/>
      </w:pPr>
      <w:r>
        <w:rPr/>
        <w:t>联系人：辛国政</w:t>
      </w:r>
    </w:p>
    <w:p>
      <w:pPr>
        <w:pStyle w:val="BodyText"/>
        <w:spacing w:before="8"/>
        <w:rPr>
          <w:sz w:val="15"/>
        </w:rPr>
      </w:pPr>
    </w:p>
    <w:p>
      <w:pPr>
        <w:pStyle w:val="BodyText"/>
        <w:spacing w:before="1"/>
        <w:ind w:left="720"/>
        <w:rPr>
          <w:rFonts w:ascii="Times New Roman" w:eastAsia="Times New Roman"/>
        </w:rPr>
      </w:pPr>
      <w:r>
        <w:rPr/>
        <w:t>网址：</w:t>
      </w:r>
      <w:hyperlink r:id="rId129">
        <w:r>
          <w:rPr>
            <w:rFonts w:ascii="Times New Roman" w:eastAsia="Times New Roman"/>
          </w:rPr>
          <w:t>www.chinastock.com.cn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海通证券股份有限公司</w:t>
      </w:r>
    </w:p>
    <w:p>
      <w:pPr>
        <w:pStyle w:val="BodyText"/>
        <w:spacing w:before="1"/>
        <w:rPr>
          <w:sz w:val="16"/>
        </w:rPr>
      </w:pPr>
    </w:p>
    <w:p>
      <w:pPr>
        <w:pStyle w:val="BodyText"/>
        <w:ind w:left="720"/>
      </w:pPr>
      <w:r>
        <w:rPr/>
        <w:t>住所：上海市黄浦区广东路 </w:t>
      </w:r>
      <w:r>
        <w:rPr>
          <w:rFonts w:ascii="Times New Roman" w:eastAsia="Times New Roman"/>
        </w:rPr>
        <w:t>689 </w:t>
      </w:r>
      <w:r>
        <w:rPr/>
        <w:t>号</w:t>
      </w:r>
    </w:p>
    <w:p>
      <w:pPr>
        <w:pStyle w:val="BodyText"/>
        <w:spacing w:before="3"/>
        <w:rPr>
          <w:sz w:val="16"/>
        </w:rPr>
      </w:pPr>
    </w:p>
    <w:p>
      <w:pPr>
        <w:pStyle w:val="BodyText"/>
        <w:spacing w:line="424" w:lineRule="auto" w:before="1"/>
        <w:ind w:left="720" w:right="5128"/>
      </w:pPr>
      <w:r>
        <w:rPr/>
        <w:t>办公地址：上海市黄浦区广东路 </w:t>
      </w:r>
      <w:r>
        <w:rPr>
          <w:rFonts w:ascii="Times New Roman" w:eastAsia="Times New Roman"/>
        </w:rPr>
        <w:t>689 </w:t>
      </w:r>
      <w:r>
        <w:rPr/>
        <w:t>号法定代表人：周杰</w:t>
      </w:r>
    </w:p>
    <w:p>
      <w:pPr>
        <w:pStyle w:val="BodyText"/>
        <w:spacing w:line="424" w:lineRule="auto"/>
        <w:ind w:left="720" w:right="690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24" w:lineRule="auto"/>
        <w:ind w:left="720" w:right="6661"/>
        <w:rPr>
          <w:rFonts w:ascii="Times New Roman" w:eastAsia="Times New Roman"/>
        </w:rPr>
      </w:pPr>
      <w:r>
        <w:rPr/>
        <w:t>联系人：金芸、李笑鸣网址：</w:t>
      </w:r>
      <w:hyperlink r:id="rId130">
        <w:r>
          <w:rPr>
            <w:rFonts w:ascii="Times New Roman" w:eastAsia="Times New Roman"/>
          </w:rPr>
          <w:t>www.htsec.com</w:t>
        </w:r>
      </w:hyperlink>
    </w:p>
    <w:p>
      <w:pPr>
        <w:pStyle w:val="BodyText"/>
        <w:spacing w:line="267" w:lineRule="exact"/>
        <w:ind w:left="72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6"/>
        <w:rPr>
          <w:rFonts w:ascii="Times New Roman"/>
          <w:sz w:val="17"/>
        </w:rPr>
      </w:pP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申万宏源证券有限公司</w:t>
      </w:r>
    </w:p>
    <w:p>
      <w:pPr>
        <w:pStyle w:val="BodyText"/>
        <w:spacing w:before="3"/>
        <w:rPr>
          <w:sz w:val="16"/>
        </w:rPr>
      </w:pPr>
    </w:p>
    <w:p>
      <w:pPr>
        <w:pStyle w:val="BodyText"/>
        <w:spacing w:before="1"/>
        <w:ind w:left="72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1"/>
        <w:rPr>
          <w:sz w:val="16"/>
        </w:rPr>
      </w:pPr>
    </w:p>
    <w:p>
      <w:pPr>
        <w:pStyle w:val="BodyText"/>
        <w:spacing w:line="424" w:lineRule="auto"/>
        <w:ind w:left="720" w:right="361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24" w:lineRule="auto"/>
        <w:ind w:left="720" w:right="690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spacing w:line="267" w:lineRule="exact"/>
        <w:ind w:left="720"/>
      </w:pPr>
      <w:r>
        <w:rPr/>
        <w:t>联系人：陈宇</w:t>
      </w:r>
    </w:p>
    <w:p>
      <w:pPr>
        <w:pStyle w:val="BodyText"/>
        <w:spacing w:before="11"/>
        <w:rPr>
          <w:sz w:val="15"/>
        </w:rPr>
      </w:pPr>
    </w:p>
    <w:p>
      <w:pPr>
        <w:pStyle w:val="BodyText"/>
        <w:spacing w:before="1"/>
        <w:ind w:left="720"/>
        <w:rPr>
          <w:rFonts w:ascii="Times New Roman" w:eastAsia="Times New Roman"/>
        </w:rPr>
      </w:pPr>
      <w:r>
        <w:rPr/>
        <w:t>网址：</w:t>
      </w:r>
      <w:hyperlink r:id="rId131">
        <w:r>
          <w:rPr>
            <w:rFonts w:ascii="Times New Roman" w:eastAsia="Times New Roman"/>
          </w:rPr>
          <w:t>www.swhysc.com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spacing w:after="0"/>
        <w:rPr>
          <w:rFonts w:ascii="Times New Roman" w:eastAsia="Times New Roman"/>
        </w:rPr>
        <w:sectPr>
          <w:pgSz w:w="11910" w:h="16840"/>
          <w:pgMar w:header="701" w:footer="683" w:top="1420" w:bottom="880" w:left="1500" w:right="920"/>
        </w:sectPr>
      </w:pPr>
    </w:p>
    <w:p>
      <w:pPr>
        <w:pStyle w:val="ListParagraph"/>
        <w:numPr>
          <w:ilvl w:val="0"/>
          <w:numId w:val="10"/>
        </w:numPr>
        <w:tabs>
          <w:tab w:pos="1459" w:val="left" w:leader="none"/>
        </w:tabs>
        <w:spacing w:line="424" w:lineRule="auto" w:before="115" w:after="0"/>
        <w:ind w:left="720" w:right="5926" w:firstLine="0"/>
        <w:jc w:val="left"/>
        <w:rPr>
          <w:sz w:val="21"/>
        </w:rPr>
      </w:pPr>
      <w:r>
        <w:rPr>
          <w:spacing w:val="-4"/>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24" w:lineRule="auto"/>
        <w:ind w:left="720" w:right="5023"/>
      </w:pPr>
      <w:r>
        <w:rPr/>
        <w:t>办公地址：上海市浦东新区长柳路 </w:t>
      </w:r>
      <w:r>
        <w:rPr>
          <w:rFonts w:ascii="Times New Roman" w:eastAsia="Times New Roman"/>
        </w:rPr>
        <w:t>36 </w:t>
      </w:r>
      <w:r>
        <w:rPr/>
        <w:t>号法定代表人：杨华辉</w:t>
      </w:r>
    </w:p>
    <w:p>
      <w:pPr>
        <w:pStyle w:val="BodyText"/>
        <w:spacing w:line="427" w:lineRule="auto"/>
        <w:ind w:left="720" w:right="690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4" w:lineRule="exact"/>
        <w:ind w:left="720"/>
      </w:pPr>
      <w:r>
        <w:rPr/>
        <w:t>联系人：乔琳雪</w:t>
      </w:r>
    </w:p>
    <w:p>
      <w:pPr>
        <w:pStyle w:val="BodyText"/>
        <w:spacing w:before="10"/>
        <w:rPr>
          <w:sz w:val="15"/>
        </w:rPr>
      </w:pPr>
    </w:p>
    <w:p>
      <w:pPr>
        <w:pStyle w:val="BodyText"/>
        <w:spacing w:line="424" w:lineRule="auto"/>
        <w:ind w:left="720" w:right="6523"/>
        <w:rPr>
          <w:rFonts w:ascii="Times New Roman" w:eastAsia="Times New Roman"/>
        </w:rPr>
      </w:pPr>
      <w:r>
        <w:rPr/>
        <w:t>网址：</w:t>
      </w:r>
      <w:hyperlink r:id="rId132">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长江证券股份有限公司</w:t>
      </w:r>
    </w:p>
    <w:p>
      <w:pPr>
        <w:pStyle w:val="BodyText"/>
        <w:spacing w:before="1"/>
        <w:rPr>
          <w:sz w:val="16"/>
        </w:rPr>
      </w:pPr>
    </w:p>
    <w:p>
      <w:pPr>
        <w:pStyle w:val="BodyText"/>
        <w:ind w:left="720"/>
      </w:pPr>
      <w:r>
        <w:rPr/>
        <w:t>住所：武汉市新华路特 </w:t>
      </w:r>
      <w:r>
        <w:rPr>
          <w:rFonts w:ascii="Times New Roman" w:eastAsia="Times New Roman"/>
        </w:rPr>
        <w:t>8 </w:t>
      </w:r>
      <w:r>
        <w:rPr/>
        <w:t>号长江证券大厦</w:t>
      </w:r>
    </w:p>
    <w:p>
      <w:pPr>
        <w:pStyle w:val="BodyText"/>
        <w:spacing w:before="1"/>
        <w:rPr>
          <w:sz w:val="16"/>
        </w:rPr>
      </w:pPr>
    </w:p>
    <w:p>
      <w:pPr>
        <w:pStyle w:val="BodyText"/>
        <w:spacing w:line="424" w:lineRule="auto"/>
        <w:ind w:left="720" w:right="4497"/>
      </w:pPr>
      <w:r>
        <w:rPr/>
        <w:t>办公地址：武汉市新华路特 </w:t>
      </w:r>
      <w:r>
        <w:rPr>
          <w:rFonts w:ascii="Times New Roman" w:eastAsia="Times New Roman"/>
        </w:rPr>
        <w:t>8 </w:t>
      </w:r>
      <w:r>
        <w:rPr/>
        <w:t>号长江证券大厦法定代表人：杨泽柱</w:t>
      </w:r>
    </w:p>
    <w:p>
      <w:pPr>
        <w:pStyle w:val="BodyText"/>
        <w:spacing w:line="424" w:lineRule="auto"/>
        <w:ind w:left="720" w:right="690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7" w:lineRule="exact"/>
        <w:ind w:left="720"/>
      </w:pPr>
      <w:r>
        <w:rPr/>
        <w:t>联系人：李良</w:t>
      </w:r>
    </w:p>
    <w:p>
      <w:pPr>
        <w:pStyle w:val="BodyText"/>
        <w:spacing w:before="1"/>
        <w:rPr>
          <w:sz w:val="16"/>
        </w:rPr>
      </w:pPr>
    </w:p>
    <w:p>
      <w:pPr>
        <w:pStyle w:val="BodyText"/>
        <w:spacing w:before="1"/>
        <w:ind w:left="720"/>
        <w:rPr>
          <w:rFonts w:ascii="Times New Roman" w:eastAsia="Times New Roman"/>
        </w:rPr>
      </w:pPr>
      <w:r>
        <w:rPr/>
        <w:t>网址：</w:t>
      </w:r>
      <w:hyperlink r:id="rId133">
        <w:r>
          <w:rPr>
            <w:rFonts w:ascii="Times New Roman" w:eastAsia="Times New Roman"/>
          </w:rPr>
          <w:t>www.95579.com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安信证券股份有限公司</w:t>
      </w:r>
    </w:p>
    <w:p>
      <w:pPr>
        <w:pStyle w:val="BodyText"/>
        <w:spacing w:before="1"/>
        <w:rPr>
          <w:sz w:val="16"/>
        </w:rPr>
      </w:pPr>
    </w:p>
    <w:p>
      <w:pPr>
        <w:pStyle w:val="BodyText"/>
        <w:ind w:left="72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1"/>
        <w:rPr>
          <w:sz w:val="16"/>
        </w:rPr>
      </w:pPr>
    </w:p>
    <w:p>
      <w:pPr>
        <w:pStyle w:val="BodyText"/>
        <w:spacing w:line="427" w:lineRule="auto"/>
        <w:ind w:left="720" w:right="215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24" w:lineRule="auto"/>
        <w:ind w:left="720" w:right="680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7" w:lineRule="exact"/>
        <w:ind w:left="720"/>
      </w:pPr>
      <w:r>
        <w:rPr/>
        <w:t>联系人：陈剑虹</w:t>
      </w:r>
    </w:p>
    <w:p>
      <w:pPr>
        <w:pStyle w:val="BodyText"/>
        <w:spacing w:before="9"/>
        <w:rPr>
          <w:sz w:val="15"/>
        </w:rPr>
      </w:pPr>
    </w:p>
    <w:p>
      <w:pPr>
        <w:pStyle w:val="BodyText"/>
        <w:spacing w:line="424" w:lineRule="auto" w:before="1"/>
        <w:ind w:left="720" w:right="6289"/>
        <w:rPr>
          <w:rFonts w:ascii="Times New Roman" w:eastAsia="Times New Roman"/>
        </w:rPr>
      </w:pPr>
      <w:r>
        <w:rPr/>
        <w:t>网址：</w:t>
      </w:r>
      <w:hyperlink r:id="rId134">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10"/>
        </w:numPr>
        <w:tabs>
          <w:tab w:pos="1459" w:val="left" w:leader="none"/>
        </w:tabs>
        <w:spacing w:line="424" w:lineRule="auto" w:before="0" w:after="0"/>
        <w:ind w:left="720" w:right="5818" w:firstLine="0"/>
        <w:jc w:val="left"/>
        <w:rPr>
          <w:sz w:val="21"/>
        </w:rPr>
      </w:pPr>
      <w:r>
        <w:rPr>
          <w:spacing w:val="-3"/>
          <w:sz w:val="21"/>
        </w:rPr>
        <w:t>西南证券股份有限公司</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spacing w:after="0" w:line="424" w:lineRule="auto"/>
        <w:jc w:val="left"/>
        <w:rPr>
          <w:sz w:val="21"/>
        </w:rPr>
        <w:sectPr>
          <w:pgSz w:w="11910" w:h="16840"/>
          <w:pgMar w:header="701" w:footer="683" w:top="1420" w:bottom="880" w:left="1500" w:right="920"/>
        </w:sectPr>
      </w:pPr>
    </w:p>
    <w:p>
      <w:pPr>
        <w:pStyle w:val="BodyText"/>
        <w:spacing w:line="424" w:lineRule="auto" w:before="115"/>
        <w:ind w:left="720" w:right="4077"/>
      </w:pPr>
      <w:r>
        <w:rPr/>
        <w:t>办公地址：重庆市江北区桥北苑 </w:t>
      </w:r>
      <w:r>
        <w:rPr>
          <w:rFonts w:ascii="Times New Roman" w:eastAsia="Times New Roman"/>
        </w:rPr>
        <w:t>8 </w:t>
      </w:r>
      <w:r>
        <w:rPr/>
        <w:t>号西南证券大厦法定代表人：廖庆轩</w:t>
      </w:r>
    </w:p>
    <w:p>
      <w:pPr>
        <w:pStyle w:val="BodyText"/>
        <w:spacing w:line="424" w:lineRule="auto"/>
        <w:ind w:left="720" w:right="690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7" w:lineRule="exact"/>
        <w:ind w:left="720"/>
      </w:pPr>
      <w:r>
        <w:rPr/>
        <w:t>联系人：周青</w:t>
      </w:r>
    </w:p>
    <w:p>
      <w:pPr>
        <w:pStyle w:val="BodyText"/>
        <w:spacing w:before="1"/>
        <w:rPr>
          <w:sz w:val="16"/>
        </w:rPr>
      </w:pPr>
    </w:p>
    <w:p>
      <w:pPr>
        <w:pStyle w:val="BodyText"/>
        <w:ind w:left="720"/>
        <w:rPr>
          <w:rFonts w:ascii="Times New Roman" w:eastAsia="Times New Roman"/>
        </w:rPr>
      </w:pPr>
      <w:r>
        <w:rPr/>
        <w:t>网址：</w:t>
      </w:r>
      <w:hyperlink r:id="rId135">
        <w:r>
          <w:rPr>
            <w:rFonts w:ascii="Times New Roman" w:eastAsia="Times New Roman"/>
          </w:rPr>
          <w:t>www.swsc.com.cn</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400-809-6096</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湘财证券股份有限公司</w:t>
      </w:r>
    </w:p>
    <w:p>
      <w:pPr>
        <w:pStyle w:val="BodyText"/>
        <w:spacing w:before="1"/>
        <w:rPr>
          <w:sz w:val="16"/>
        </w:rPr>
      </w:pPr>
    </w:p>
    <w:p>
      <w:pPr>
        <w:pStyle w:val="BodyText"/>
        <w:ind w:left="720"/>
      </w:pPr>
      <w:r>
        <w:rPr/>
        <w:t>住所：湖南省长沙市天心区湘府中路 </w:t>
      </w:r>
      <w:r>
        <w:rPr>
          <w:rFonts w:ascii="Times New Roman" w:eastAsia="Times New Roman"/>
        </w:rPr>
        <w:t>198 </w:t>
      </w:r>
      <w:r>
        <w:rPr/>
        <w:t>号新南城商务中心</w:t>
      </w:r>
      <w:r>
        <w:rPr>
          <w:rFonts w:ascii="Times New Roman" w:eastAsia="Times New Roman"/>
        </w:rPr>
        <w:t>A </w:t>
      </w:r>
      <w:r>
        <w:rPr/>
        <w:t>栋 </w:t>
      </w:r>
      <w:r>
        <w:rPr>
          <w:rFonts w:ascii="Times New Roman" w:eastAsia="Times New Roman"/>
        </w:rPr>
        <w:t>11 </w:t>
      </w:r>
      <w:r>
        <w:rPr/>
        <w:t>楼</w:t>
      </w:r>
    </w:p>
    <w:p>
      <w:pPr>
        <w:pStyle w:val="BodyText"/>
        <w:spacing w:before="1"/>
        <w:rPr>
          <w:sz w:val="16"/>
        </w:rPr>
      </w:pPr>
    </w:p>
    <w:p>
      <w:pPr>
        <w:pStyle w:val="BodyText"/>
        <w:spacing w:line="424" w:lineRule="auto"/>
        <w:ind w:left="720" w:right="1893"/>
      </w:pPr>
      <w:r>
        <w:rPr>
          <w:spacing w:val="-6"/>
        </w:rPr>
        <w:t>办公地址：湖南省长沙市天心区湘府中路 </w:t>
      </w:r>
      <w:r>
        <w:rPr>
          <w:rFonts w:ascii="Times New Roman" w:eastAsia="Times New Roman"/>
        </w:rPr>
        <w:t>198</w:t>
      </w:r>
      <w:r>
        <w:rPr>
          <w:rFonts w:ascii="Times New Roman" w:eastAsia="Times New Roman"/>
          <w:spacing w:val="5"/>
        </w:rPr>
        <w:t> </w:t>
      </w:r>
      <w:r>
        <w:rPr>
          <w:spacing w:val="3"/>
        </w:rPr>
        <w:t>号新南城商务中心</w:t>
      </w:r>
      <w:r>
        <w:rPr>
          <w:rFonts w:ascii="Times New Roman" w:eastAsia="Times New Roman"/>
        </w:rPr>
        <w:t>A</w:t>
      </w:r>
      <w:r>
        <w:rPr>
          <w:rFonts w:ascii="Times New Roman" w:eastAsia="Times New Roman"/>
          <w:spacing w:val="6"/>
        </w:rPr>
        <w:t> </w:t>
      </w:r>
      <w:r>
        <w:rPr>
          <w:spacing w:val="-23"/>
        </w:rPr>
        <w:t>栋 </w:t>
      </w:r>
      <w:r>
        <w:rPr>
          <w:rFonts w:ascii="Times New Roman" w:eastAsia="Times New Roman"/>
          <w:spacing w:val="-4"/>
        </w:rPr>
        <w:t>11</w:t>
      </w:r>
      <w:r>
        <w:rPr>
          <w:rFonts w:ascii="Times New Roman" w:eastAsia="Times New Roman"/>
          <w:spacing w:val="5"/>
        </w:rPr>
        <w:t> </w:t>
      </w:r>
      <w:r>
        <w:rPr/>
        <w:t>楼</w:t>
      </w:r>
      <w:r>
        <w:rPr>
          <w:spacing w:val="-3"/>
        </w:rPr>
        <w:t>法定代表人：孙永祥</w:t>
      </w:r>
    </w:p>
    <w:p>
      <w:pPr>
        <w:pStyle w:val="BodyText"/>
        <w:spacing w:line="424" w:lineRule="auto"/>
        <w:ind w:left="720" w:right="641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ind w:left="720"/>
      </w:pPr>
      <w:r>
        <w:rPr/>
        <w:t>联系人：李欣</w:t>
      </w:r>
    </w:p>
    <w:p>
      <w:pPr>
        <w:pStyle w:val="BodyText"/>
        <w:rPr>
          <w:sz w:val="16"/>
        </w:rPr>
      </w:pPr>
    </w:p>
    <w:p>
      <w:pPr>
        <w:pStyle w:val="BodyText"/>
        <w:spacing w:line="424" w:lineRule="auto"/>
        <w:ind w:left="720" w:right="6767"/>
        <w:rPr>
          <w:rFonts w:ascii="Times New Roman" w:eastAsia="Times New Roman"/>
        </w:rPr>
      </w:pPr>
      <w:r>
        <w:rPr/>
        <w:t>网址：</w:t>
      </w:r>
      <w:hyperlink r:id="rId136">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万联证券股份有限公司</w:t>
      </w:r>
    </w:p>
    <w:p>
      <w:pPr>
        <w:pStyle w:val="BodyText"/>
        <w:spacing w:before="1"/>
        <w:rPr>
          <w:sz w:val="16"/>
        </w:rPr>
      </w:pPr>
    </w:p>
    <w:p>
      <w:pPr>
        <w:pStyle w:val="BodyText"/>
        <w:ind w:left="72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1"/>
        <w:rPr>
          <w:sz w:val="16"/>
        </w:rPr>
      </w:pPr>
    </w:p>
    <w:p>
      <w:pPr>
        <w:pStyle w:val="BodyText"/>
        <w:spacing w:line="424" w:lineRule="auto"/>
        <w:ind w:left="720" w:right="2455"/>
      </w:pPr>
      <w:r>
        <w:rPr>
          <w:spacing w:val="-6"/>
        </w:rPr>
        <w:t>办公地址：广州市天河区珠江东路 </w:t>
      </w:r>
      <w:r>
        <w:rPr>
          <w:rFonts w:ascii="Times New Roman" w:eastAsia="Times New Roman"/>
          <w:spacing w:val="-4"/>
        </w:rPr>
        <w:t>11</w:t>
      </w:r>
      <w:r>
        <w:rPr>
          <w:rFonts w:ascii="Times New Roman" w:eastAsia="Times New Roman"/>
          <w:spacing w:val="5"/>
        </w:rPr>
        <w:t> </w:t>
      </w:r>
      <w:r>
        <w:rPr>
          <w:spacing w:val="-9"/>
        </w:rPr>
        <w:t>号高德置地广场 </w:t>
      </w:r>
      <w:r>
        <w:rPr>
          <w:rFonts w:ascii="Times New Roman" w:eastAsia="Times New Roman"/>
        </w:rPr>
        <w:t>F </w:t>
      </w:r>
      <w:r>
        <w:rPr>
          <w:spacing w:val="-24"/>
        </w:rPr>
        <w:t>座 </w:t>
      </w:r>
      <w:r>
        <w:rPr>
          <w:rFonts w:ascii="Times New Roman" w:eastAsia="Times New Roman"/>
        </w:rPr>
        <w:t>18</w:t>
      </w:r>
      <w:r>
        <w:rPr/>
        <w:t>、</w:t>
      </w:r>
      <w:r>
        <w:rPr>
          <w:rFonts w:ascii="Times New Roman" w:eastAsia="Times New Roman"/>
        </w:rPr>
        <w:t>19</w:t>
      </w:r>
      <w:r>
        <w:rPr>
          <w:rFonts w:ascii="Times New Roman" w:eastAsia="Times New Roman"/>
          <w:spacing w:val="3"/>
        </w:rPr>
        <w:t> </w:t>
      </w:r>
      <w:r>
        <w:rPr/>
        <w:t>楼</w:t>
      </w:r>
      <w:r>
        <w:rPr>
          <w:spacing w:val="-3"/>
        </w:rPr>
        <w:t>法定代表人：张建军</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020-38286588</w:t>
      </w:r>
    </w:p>
    <w:p>
      <w:pPr>
        <w:pStyle w:val="BodyText"/>
        <w:spacing w:before="2"/>
        <w:rPr>
          <w:rFonts w:ascii="Times New Roman"/>
          <w:sz w:val="18"/>
        </w:rPr>
      </w:pPr>
    </w:p>
    <w:p>
      <w:pPr>
        <w:pStyle w:val="BodyText"/>
        <w:ind w:left="720"/>
        <w:rPr>
          <w:rFonts w:ascii="Times New Roman" w:eastAsia="Times New Roman"/>
        </w:rPr>
      </w:pPr>
      <w:r>
        <w:rPr/>
        <w:t>传真：</w:t>
      </w:r>
      <w:r>
        <w:rPr>
          <w:rFonts w:ascii="Times New Roman" w:eastAsia="Times New Roman"/>
        </w:rPr>
        <w:t>020-22373718-1013</w:t>
      </w:r>
    </w:p>
    <w:p>
      <w:pPr>
        <w:pStyle w:val="BodyText"/>
        <w:spacing w:before="11"/>
        <w:rPr>
          <w:rFonts w:ascii="Times New Roman"/>
          <w:sz w:val="17"/>
        </w:rPr>
      </w:pPr>
    </w:p>
    <w:p>
      <w:pPr>
        <w:pStyle w:val="BodyText"/>
        <w:ind w:left="720"/>
      </w:pPr>
      <w:r>
        <w:rPr/>
        <w:t>联系人：王鑫</w:t>
      </w:r>
    </w:p>
    <w:p>
      <w:pPr>
        <w:pStyle w:val="BodyText"/>
        <w:spacing w:before="1"/>
        <w:rPr>
          <w:sz w:val="16"/>
        </w:rPr>
      </w:pPr>
    </w:p>
    <w:p>
      <w:pPr>
        <w:pStyle w:val="BodyText"/>
        <w:spacing w:line="424" w:lineRule="auto"/>
        <w:ind w:left="720" w:right="6522"/>
        <w:rPr>
          <w:rFonts w:ascii="Times New Roman" w:eastAsia="Times New Roman"/>
        </w:rPr>
      </w:pPr>
      <w:r>
        <w:rPr/>
        <w:t>网址：</w:t>
      </w:r>
      <w:hyperlink r:id="rId137">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民生证券股份有限公司</w:t>
      </w:r>
    </w:p>
    <w:p>
      <w:pPr>
        <w:pStyle w:val="BodyText"/>
        <w:spacing w:before="1"/>
        <w:rPr>
          <w:sz w:val="16"/>
        </w:rPr>
      </w:pPr>
    </w:p>
    <w:p>
      <w:pPr>
        <w:pStyle w:val="BodyText"/>
        <w:ind w:left="720"/>
      </w:pPr>
      <w:r>
        <w:rPr/>
        <w:t>住所：北京市东城区建国门内大街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w:t>
      </w:r>
    </w:p>
    <w:p>
      <w:pPr>
        <w:pStyle w:val="BodyText"/>
        <w:spacing w:before="1"/>
        <w:rPr>
          <w:sz w:val="16"/>
        </w:rPr>
      </w:pPr>
    </w:p>
    <w:p>
      <w:pPr>
        <w:pStyle w:val="BodyText"/>
        <w:spacing w:line="424" w:lineRule="auto"/>
        <w:ind w:left="720" w:right="2072"/>
      </w:pPr>
      <w:r>
        <w:rPr/>
        <w:t>办公地址：北京市东城区建国门内大街 </w:t>
      </w:r>
      <w:r>
        <w:rPr>
          <w:rFonts w:ascii="Times New Roman" w:eastAsia="Times New Roman"/>
        </w:rPr>
        <w:t>28 </w:t>
      </w:r>
      <w:r>
        <w:rPr/>
        <w:t>号民生金融中心</w:t>
      </w:r>
      <w:r>
        <w:rPr>
          <w:rFonts w:ascii="Times New Roman" w:eastAsia="Times New Roman"/>
        </w:rPr>
        <w:t>A </w:t>
      </w:r>
      <w:r>
        <w:rPr/>
        <w:t>座 </w:t>
      </w:r>
      <w:r>
        <w:rPr>
          <w:rFonts w:ascii="Times New Roman" w:eastAsia="Times New Roman"/>
        </w:rPr>
        <w:t>16-20 </w:t>
      </w:r>
      <w:r>
        <w:rPr/>
        <w:t>层法定代表人：冯鹤年</w:t>
      </w:r>
    </w:p>
    <w:p>
      <w:pPr>
        <w:spacing w:after="0" w:line="424" w:lineRule="auto"/>
        <w:sectPr>
          <w:pgSz w:w="11910" w:h="16840"/>
          <w:pgMar w:header="701" w:footer="683" w:top="1420" w:bottom="880" w:left="1500" w:right="920"/>
        </w:sectPr>
      </w:pPr>
    </w:p>
    <w:p>
      <w:pPr>
        <w:pStyle w:val="BodyText"/>
        <w:spacing w:line="424" w:lineRule="auto" w:before="115"/>
        <w:ind w:left="720" w:right="690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7" w:lineRule="exact"/>
        <w:ind w:left="720"/>
      </w:pPr>
      <w:r>
        <w:rPr/>
        <w:t>联系人：韩秀萍</w:t>
      </w:r>
    </w:p>
    <w:p>
      <w:pPr>
        <w:pStyle w:val="BodyText"/>
        <w:rPr>
          <w:sz w:val="16"/>
        </w:rPr>
      </w:pPr>
    </w:p>
    <w:p>
      <w:pPr>
        <w:pStyle w:val="BodyText"/>
        <w:spacing w:line="424" w:lineRule="auto" w:before="1"/>
        <w:ind w:left="720" w:right="6767"/>
        <w:rPr>
          <w:rFonts w:ascii="Times New Roman" w:eastAsia="Times New Roman"/>
        </w:rPr>
      </w:pPr>
      <w:r>
        <w:rPr/>
        <w:t>网址：</w:t>
      </w:r>
      <w:hyperlink r:id="rId138">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国元证券股份有限公司</w:t>
      </w:r>
    </w:p>
    <w:p>
      <w:pPr>
        <w:pStyle w:val="BodyText"/>
        <w:spacing w:before="1"/>
        <w:rPr>
          <w:sz w:val="16"/>
        </w:rPr>
      </w:pPr>
    </w:p>
    <w:p>
      <w:pPr>
        <w:pStyle w:val="BodyText"/>
        <w:ind w:left="720"/>
      </w:pPr>
      <w:r>
        <w:rPr/>
        <w:t>住所：安徽省合肥市寿春路 </w:t>
      </w:r>
      <w:r>
        <w:rPr>
          <w:rFonts w:ascii="Times New Roman" w:eastAsia="Times New Roman"/>
        </w:rPr>
        <w:t>179 </w:t>
      </w:r>
      <w:r>
        <w:rPr/>
        <w:t>号</w:t>
      </w:r>
    </w:p>
    <w:p>
      <w:pPr>
        <w:pStyle w:val="BodyText"/>
        <w:spacing w:before="2"/>
        <w:rPr>
          <w:sz w:val="16"/>
        </w:rPr>
      </w:pPr>
    </w:p>
    <w:p>
      <w:pPr>
        <w:pStyle w:val="BodyText"/>
        <w:spacing w:line="424" w:lineRule="auto"/>
        <w:ind w:left="720" w:right="5128"/>
      </w:pPr>
      <w:r>
        <w:rPr/>
        <w:t>办公地址：安徽省合肥市寿春路 </w:t>
      </w:r>
      <w:r>
        <w:rPr>
          <w:rFonts w:ascii="Times New Roman" w:eastAsia="Times New Roman"/>
        </w:rPr>
        <w:t>179 </w:t>
      </w:r>
      <w:r>
        <w:rPr/>
        <w:t>号法定代表人：蔡咏</w:t>
      </w:r>
    </w:p>
    <w:p>
      <w:pPr>
        <w:pStyle w:val="BodyText"/>
        <w:spacing w:line="424" w:lineRule="auto"/>
        <w:ind w:left="720" w:right="6800"/>
        <w:rPr>
          <w:rFonts w:ascii="Times New Roman" w:eastAsia="Times New Roman"/>
        </w:rPr>
      </w:pPr>
      <w:r>
        <w:rPr/>
        <w:t>电话：</w:t>
      </w:r>
      <w:r>
        <w:rPr>
          <w:rFonts w:ascii="Times New Roman" w:eastAsia="Times New Roman"/>
        </w:rPr>
        <w:t>0551-62257012 </w:t>
      </w:r>
      <w:r>
        <w:rPr/>
        <w:t>传真：</w:t>
      </w:r>
      <w:r>
        <w:rPr>
          <w:rFonts w:ascii="Times New Roman" w:eastAsia="Times New Roman"/>
        </w:rPr>
        <w:t>0551-62272100</w:t>
      </w:r>
    </w:p>
    <w:p>
      <w:pPr>
        <w:pStyle w:val="BodyText"/>
        <w:spacing w:line="267" w:lineRule="exact"/>
        <w:ind w:left="720"/>
      </w:pPr>
      <w:r>
        <w:rPr/>
        <w:t>联系人：祝丽萍</w:t>
      </w:r>
    </w:p>
    <w:p>
      <w:pPr>
        <w:pStyle w:val="BodyText"/>
        <w:spacing w:before="12"/>
        <w:rPr>
          <w:sz w:val="15"/>
        </w:rPr>
      </w:pPr>
    </w:p>
    <w:p>
      <w:pPr>
        <w:pStyle w:val="BodyText"/>
        <w:spacing w:line="427" w:lineRule="auto"/>
        <w:ind w:left="720" w:right="6523"/>
        <w:rPr>
          <w:rFonts w:ascii="Times New Roman" w:eastAsia="Times New Roman"/>
        </w:rPr>
      </w:pPr>
      <w:r>
        <w:rPr/>
        <w:t>网址：</w:t>
      </w:r>
      <w:hyperlink r:id="rId139">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10"/>
        </w:numPr>
        <w:tabs>
          <w:tab w:pos="1459" w:val="left" w:leader="none"/>
        </w:tabs>
        <w:spacing w:line="264" w:lineRule="exact" w:before="0" w:after="0"/>
        <w:ind w:left="1458" w:right="0" w:hanging="739"/>
        <w:jc w:val="left"/>
        <w:rPr>
          <w:sz w:val="21"/>
        </w:rPr>
      </w:pPr>
      <w:r>
        <w:rPr>
          <w:spacing w:val="-3"/>
          <w:sz w:val="21"/>
        </w:rPr>
        <w:t>渤海证券股份有限公司</w:t>
      </w:r>
    </w:p>
    <w:p>
      <w:pPr>
        <w:pStyle w:val="BodyText"/>
        <w:spacing w:before="1"/>
        <w:rPr>
          <w:sz w:val="16"/>
        </w:rPr>
      </w:pPr>
    </w:p>
    <w:p>
      <w:pPr>
        <w:pStyle w:val="BodyText"/>
        <w:ind w:left="72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1"/>
        <w:rPr>
          <w:sz w:val="16"/>
        </w:rPr>
      </w:pPr>
    </w:p>
    <w:p>
      <w:pPr>
        <w:pStyle w:val="BodyText"/>
        <w:spacing w:line="424" w:lineRule="auto"/>
        <w:ind w:left="720" w:right="5128"/>
      </w:pPr>
      <w:r>
        <w:rPr/>
        <w:t>办公地址：天津市南开区滨水西道 </w:t>
      </w:r>
      <w:r>
        <w:rPr>
          <w:rFonts w:ascii="Times New Roman" w:eastAsia="Times New Roman"/>
        </w:rPr>
        <w:t>8 </w:t>
      </w:r>
      <w:r>
        <w:rPr/>
        <w:t>号法定代表人：王春峰</w:t>
      </w:r>
    </w:p>
    <w:p>
      <w:pPr>
        <w:pStyle w:val="BodyText"/>
        <w:spacing w:line="424" w:lineRule="auto"/>
        <w:ind w:left="720" w:right="690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7" w:lineRule="exact"/>
        <w:ind w:left="720"/>
      </w:pPr>
      <w:r>
        <w:rPr/>
        <w:t>联系人：蔡霆</w:t>
      </w:r>
    </w:p>
    <w:p>
      <w:pPr>
        <w:pStyle w:val="BodyText"/>
        <w:spacing w:before="2"/>
        <w:rPr>
          <w:sz w:val="16"/>
        </w:rPr>
      </w:pPr>
    </w:p>
    <w:p>
      <w:pPr>
        <w:pStyle w:val="BodyText"/>
        <w:ind w:left="720"/>
        <w:rPr>
          <w:rFonts w:ascii="Times New Roman" w:eastAsia="Times New Roman"/>
        </w:rPr>
      </w:pPr>
      <w:r>
        <w:rPr/>
        <w:t>网址：</w:t>
      </w:r>
      <w:hyperlink r:id="rId140">
        <w:r>
          <w:rPr>
            <w:rFonts w:ascii="Times New Roman" w:eastAsia="Times New Roman"/>
          </w:rPr>
          <w:t>www.ewww.com.cn</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400-651-5988</w:t>
      </w:r>
    </w:p>
    <w:p>
      <w:pPr>
        <w:pStyle w:val="BodyText"/>
        <w:spacing w:before="10"/>
        <w:rPr>
          <w:rFonts w:ascii="Times New Roman"/>
          <w:sz w:val="17"/>
        </w:rPr>
      </w:pPr>
    </w:p>
    <w:p>
      <w:pPr>
        <w:pStyle w:val="ListParagraph"/>
        <w:numPr>
          <w:ilvl w:val="0"/>
          <w:numId w:val="10"/>
        </w:numPr>
        <w:tabs>
          <w:tab w:pos="1459" w:val="left" w:leader="none"/>
        </w:tabs>
        <w:spacing w:line="424" w:lineRule="auto" w:before="0" w:after="0"/>
        <w:ind w:left="720" w:right="5926" w:firstLine="0"/>
        <w:jc w:val="left"/>
        <w:rPr>
          <w:sz w:val="21"/>
        </w:rPr>
      </w:pPr>
      <w:r>
        <w:rPr>
          <w:spacing w:val="-4"/>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2"/>
          <w:sz w:val="21"/>
        </w:rPr>
        <w:t> </w:t>
      </w:r>
      <w:r>
        <w:rPr>
          <w:sz w:val="21"/>
        </w:rPr>
        <w:t>号</w:t>
      </w:r>
    </w:p>
    <w:p>
      <w:pPr>
        <w:pStyle w:val="BodyText"/>
        <w:spacing w:line="424" w:lineRule="auto"/>
        <w:ind w:left="720" w:right="3657"/>
      </w:pPr>
      <w:r>
        <w:rPr/>
        <w:t>办公地址：南京市建邺区江东中路 </w:t>
      </w:r>
      <w:r>
        <w:rPr>
          <w:rFonts w:ascii="Times New Roman" w:eastAsia="Times New Roman"/>
        </w:rPr>
        <w:t>228 </w:t>
      </w:r>
      <w:r>
        <w:rPr/>
        <w:t>号华泰证券广场法定代表人：周易</w:t>
      </w:r>
    </w:p>
    <w:p>
      <w:pPr>
        <w:pStyle w:val="BodyText"/>
        <w:spacing w:line="267" w:lineRule="exact"/>
        <w:ind w:left="720"/>
        <w:rPr>
          <w:rFonts w:ascii="Times New Roman" w:eastAsia="Times New Roman"/>
        </w:rPr>
      </w:pPr>
      <w:r>
        <w:rPr/>
        <w:t>电话：</w:t>
      </w:r>
      <w:r>
        <w:rPr>
          <w:rFonts w:ascii="Times New Roman" w:eastAsia="Times New Roman"/>
        </w:rPr>
        <w:t>0755-82492193</w:t>
      </w:r>
    </w:p>
    <w:p>
      <w:pPr>
        <w:pStyle w:val="BodyText"/>
        <w:spacing w:before="9"/>
        <w:rPr>
          <w:rFonts w:ascii="Times New Roman"/>
          <w:sz w:val="17"/>
        </w:rPr>
      </w:pPr>
    </w:p>
    <w:p>
      <w:pPr>
        <w:pStyle w:val="BodyText"/>
        <w:ind w:left="720"/>
      </w:pPr>
      <w:r>
        <w:rPr/>
        <w:t>传真：</w:t>
      </w:r>
      <w:r>
        <w:rPr>
          <w:rFonts w:ascii="Times New Roman" w:eastAsia="Times New Roman"/>
        </w:rPr>
        <w:t>0755-82492962</w:t>
      </w:r>
      <w:r>
        <w:rPr/>
        <w:t>（深圳）</w:t>
      </w:r>
    </w:p>
    <w:p>
      <w:pPr>
        <w:spacing w:after="0"/>
        <w:sectPr>
          <w:pgSz w:w="11910" w:h="16840"/>
          <w:pgMar w:header="701" w:footer="683" w:top="1420" w:bottom="880" w:left="1500" w:right="920"/>
        </w:sectPr>
      </w:pPr>
    </w:p>
    <w:p>
      <w:pPr>
        <w:pStyle w:val="BodyText"/>
        <w:spacing w:before="115"/>
        <w:ind w:left="720"/>
      </w:pPr>
      <w:r>
        <w:rPr/>
        <w:t>联系人：庞晓芸</w:t>
      </w:r>
    </w:p>
    <w:p>
      <w:pPr>
        <w:pStyle w:val="BodyText"/>
        <w:rPr>
          <w:sz w:val="16"/>
        </w:rPr>
      </w:pPr>
    </w:p>
    <w:p>
      <w:pPr>
        <w:pStyle w:val="BodyText"/>
        <w:spacing w:line="424" w:lineRule="auto" w:before="1"/>
        <w:ind w:left="720" w:right="6591"/>
        <w:rPr>
          <w:rFonts w:ascii="Times New Roman" w:eastAsia="Times New Roman"/>
        </w:rPr>
      </w:pPr>
      <w:r>
        <w:rPr/>
        <w:t>网址：</w:t>
      </w:r>
      <w:hyperlink r:id="rId141">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山西证券股份有限公司</w:t>
      </w:r>
    </w:p>
    <w:p>
      <w:pPr>
        <w:pStyle w:val="BodyText"/>
        <w:spacing w:before="1"/>
        <w:rPr>
          <w:sz w:val="16"/>
        </w:rPr>
      </w:pPr>
    </w:p>
    <w:p>
      <w:pPr>
        <w:pStyle w:val="BodyText"/>
        <w:ind w:left="720"/>
      </w:pPr>
      <w:r>
        <w:rPr/>
        <w:t>住所：山西省太原市府西街 </w:t>
      </w:r>
      <w:r>
        <w:rPr>
          <w:rFonts w:ascii="Times New Roman" w:eastAsia="Times New Roman"/>
        </w:rPr>
        <w:t>69 </w:t>
      </w:r>
      <w:r>
        <w:rPr/>
        <w:t>号山西国贸中心东塔楼</w:t>
      </w:r>
    </w:p>
    <w:p>
      <w:pPr>
        <w:pStyle w:val="BodyText"/>
        <w:spacing w:before="3"/>
        <w:rPr>
          <w:sz w:val="16"/>
        </w:rPr>
      </w:pPr>
    </w:p>
    <w:p>
      <w:pPr>
        <w:pStyle w:val="BodyText"/>
        <w:spacing w:line="424" w:lineRule="auto"/>
        <w:ind w:left="720" w:right="3342"/>
      </w:pPr>
      <w:r>
        <w:rPr/>
        <w:t>办公地址：山西省太原市府西街 </w:t>
      </w:r>
      <w:r>
        <w:rPr>
          <w:rFonts w:ascii="Times New Roman" w:eastAsia="Times New Roman"/>
        </w:rPr>
        <w:t>69 </w:t>
      </w:r>
      <w:r>
        <w:rPr/>
        <w:t>号山西国贸中心东塔楼法定代表人：侯巍</w:t>
      </w:r>
    </w:p>
    <w:p>
      <w:pPr>
        <w:pStyle w:val="BodyText"/>
        <w:spacing w:line="424" w:lineRule="auto"/>
        <w:ind w:left="720" w:right="6906"/>
        <w:rPr>
          <w:rFonts w:ascii="Times New Roman" w:eastAsia="Times New Roman"/>
        </w:rPr>
      </w:pPr>
      <w:r>
        <w:rPr/>
        <w:t>电话：</w:t>
      </w:r>
      <w:r>
        <w:rPr>
          <w:rFonts w:ascii="Times New Roman" w:eastAsia="Times New Roman"/>
        </w:rPr>
        <w:t>0351-8686703 </w:t>
      </w:r>
      <w:r>
        <w:rPr/>
        <w:t>传真：</w:t>
      </w:r>
      <w:r>
        <w:rPr>
          <w:rFonts w:ascii="Times New Roman" w:eastAsia="Times New Roman"/>
        </w:rPr>
        <w:t>0351-8686619</w:t>
      </w:r>
    </w:p>
    <w:p>
      <w:pPr>
        <w:pStyle w:val="BodyText"/>
        <w:spacing w:line="267" w:lineRule="exact"/>
        <w:ind w:left="720"/>
      </w:pPr>
      <w:r>
        <w:rPr/>
        <w:t>联系人：张治国</w:t>
      </w:r>
    </w:p>
    <w:p>
      <w:pPr>
        <w:pStyle w:val="BodyText"/>
        <w:rPr>
          <w:sz w:val="16"/>
        </w:rPr>
      </w:pPr>
    </w:p>
    <w:p>
      <w:pPr>
        <w:pStyle w:val="BodyText"/>
        <w:spacing w:line="424" w:lineRule="auto"/>
        <w:ind w:left="720" w:right="6557"/>
        <w:rPr>
          <w:rFonts w:ascii="Times New Roman" w:eastAsia="Times New Roman"/>
        </w:rPr>
      </w:pPr>
      <w:r>
        <w:rPr/>
        <w:t>网址：</w:t>
      </w:r>
      <w:hyperlink r:id="rId142">
        <w:r>
          <w:rPr>
            <w:rFonts w:ascii="Times New Roman" w:eastAsia="Times New Roman"/>
          </w:rPr>
          <w:t>www.i618.com.cn </w:t>
        </w:r>
      </w:hyperlink>
      <w:r>
        <w:rPr/>
        <w:t>客户服务电话：</w:t>
      </w:r>
      <w:r>
        <w:rPr>
          <w:rFonts w:ascii="Times New Roman" w:eastAsia="Times New Roman"/>
        </w:rPr>
        <w:t>95573</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中信证券（</w:t>
      </w:r>
      <w:r>
        <w:rPr>
          <w:spacing w:val="-2"/>
          <w:sz w:val="21"/>
        </w:rPr>
        <w:t>山东</w:t>
      </w:r>
      <w:r>
        <w:rPr>
          <w:spacing w:val="-3"/>
          <w:sz w:val="21"/>
        </w:rPr>
        <w:t>）</w:t>
      </w:r>
      <w:r>
        <w:rPr>
          <w:spacing w:val="-2"/>
          <w:sz w:val="21"/>
        </w:rPr>
        <w:t>有限责任公司</w:t>
      </w:r>
    </w:p>
    <w:p>
      <w:pPr>
        <w:pStyle w:val="BodyText"/>
        <w:spacing w:before="3"/>
        <w:rPr>
          <w:sz w:val="16"/>
        </w:rPr>
      </w:pPr>
    </w:p>
    <w:p>
      <w:pPr>
        <w:pStyle w:val="BodyText"/>
        <w:spacing w:before="1"/>
        <w:ind w:left="72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10"/>
        <w:rPr>
          <w:rFonts w:ascii="Times New Roman"/>
          <w:sz w:val="17"/>
        </w:rPr>
      </w:pPr>
    </w:p>
    <w:p>
      <w:pPr>
        <w:pStyle w:val="BodyText"/>
        <w:spacing w:line="424" w:lineRule="auto" w:before="1"/>
        <w:ind w:left="720" w:right="277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24" w:lineRule="auto"/>
        <w:ind w:left="720" w:right="680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pStyle w:val="BodyText"/>
        <w:spacing w:line="267" w:lineRule="exact"/>
        <w:ind w:left="720"/>
      </w:pPr>
      <w:r>
        <w:rPr/>
        <w:t>联系人：刘晓明</w:t>
      </w:r>
    </w:p>
    <w:p>
      <w:pPr>
        <w:pStyle w:val="BodyText"/>
        <w:spacing w:before="11"/>
        <w:rPr>
          <w:sz w:val="15"/>
        </w:rPr>
      </w:pPr>
    </w:p>
    <w:p>
      <w:pPr>
        <w:pStyle w:val="BodyText"/>
        <w:spacing w:line="424" w:lineRule="auto"/>
        <w:ind w:left="720" w:right="6535"/>
        <w:rPr>
          <w:rFonts w:ascii="Times New Roman" w:eastAsia="Times New Roman"/>
        </w:rPr>
      </w:pPr>
      <w:r>
        <w:rPr/>
        <w:t>网址：</w:t>
      </w:r>
      <w:hyperlink r:id="rId143">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东兴证券股份有限公司</w:t>
      </w:r>
    </w:p>
    <w:p>
      <w:pPr>
        <w:pStyle w:val="BodyText"/>
        <w:spacing w:before="1"/>
        <w:rPr>
          <w:sz w:val="16"/>
        </w:rPr>
      </w:pPr>
    </w:p>
    <w:p>
      <w:pPr>
        <w:pStyle w:val="BodyText"/>
        <w:ind w:left="720"/>
      </w:pPr>
      <w:r>
        <w:rPr/>
        <w:t>住所：北京市西城区金融大街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w:t>
      </w:r>
    </w:p>
    <w:p>
      <w:pPr>
        <w:pStyle w:val="BodyText"/>
        <w:spacing w:before="1"/>
        <w:rPr>
          <w:sz w:val="16"/>
        </w:rPr>
      </w:pPr>
    </w:p>
    <w:p>
      <w:pPr>
        <w:pStyle w:val="BodyText"/>
        <w:spacing w:line="424" w:lineRule="auto" w:before="1"/>
        <w:ind w:left="720" w:right="3028"/>
      </w:pPr>
      <w:r>
        <w:rPr/>
        <w:t>办公地址：北京市西城区金融大街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层法定代表人：魏庆华</w:t>
      </w:r>
    </w:p>
    <w:p>
      <w:pPr>
        <w:pStyle w:val="BodyText"/>
        <w:spacing w:line="424" w:lineRule="auto"/>
        <w:ind w:left="720" w:right="690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7" w:lineRule="exact"/>
        <w:ind w:left="720"/>
      </w:pPr>
      <w:r>
        <w:rPr/>
        <w:t>联系人：汤漫川</w:t>
      </w:r>
    </w:p>
    <w:p>
      <w:pPr>
        <w:pStyle w:val="BodyText"/>
        <w:spacing w:before="12"/>
        <w:rPr>
          <w:sz w:val="15"/>
        </w:rPr>
      </w:pPr>
    </w:p>
    <w:p>
      <w:pPr>
        <w:pStyle w:val="BodyText"/>
        <w:ind w:left="720"/>
        <w:rPr>
          <w:rFonts w:ascii="Times New Roman" w:eastAsia="Times New Roman"/>
        </w:rPr>
      </w:pPr>
      <w:r>
        <w:rPr/>
        <w:t>网址：</w:t>
      </w:r>
      <w:hyperlink r:id="rId144">
        <w:r>
          <w:rPr>
            <w:rFonts w:ascii="Times New Roman" w:eastAsia="Times New Roman"/>
          </w:rPr>
          <w:t>www.dxzq.net.cn</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95309</w:t>
      </w:r>
    </w:p>
    <w:p>
      <w:pPr>
        <w:pStyle w:val="BodyText"/>
        <w:spacing w:before="10"/>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东吴证券股份有限公司</w:t>
      </w:r>
    </w:p>
    <w:p>
      <w:pPr>
        <w:pStyle w:val="BodyText"/>
        <w:spacing w:before="1"/>
        <w:rPr>
          <w:sz w:val="16"/>
        </w:rPr>
      </w:pPr>
    </w:p>
    <w:p>
      <w:pPr>
        <w:pStyle w:val="BodyText"/>
        <w:ind w:left="720"/>
      </w:pPr>
      <w:r>
        <w:rPr/>
        <w:t>住所：苏州工业园区翠园路 </w:t>
      </w:r>
      <w:r>
        <w:rPr>
          <w:rFonts w:ascii="Times New Roman" w:eastAsia="Times New Roman"/>
        </w:rPr>
        <w:t>181 </w:t>
      </w:r>
      <w:r>
        <w:rPr/>
        <w:t>号</w:t>
      </w:r>
    </w:p>
    <w:p>
      <w:pPr>
        <w:pStyle w:val="BodyText"/>
        <w:spacing w:before="1"/>
        <w:rPr>
          <w:sz w:val="16"/>
        </w:rPr>
      </w:pPr>
    </w:p>
    <w:p>
      <w:pPr>
        <w:pStyle w:val="BodyText"/>
        <w:spacing w:line="424" w:lineRule="auto"/>
        <w:ind w:left="720" w:right="5337"/>
      </w:pPr>
      <w:r>
        <w:rPr/>
        <w:t>办公地址：苏州工业园区星阳街 </w:t>
      </w:r>
      <w:r>
        <w:rPr>
          <w:rFonts w:ascii="Times New Roman" w:eastAsia="Times New Roman"/>
        </w:rPr>
        <w:t>5 </w:t>
      </w:r>
      <w:r>
        <w:rPr/>
        <w:t>号法定代表人：范力</w:t>
      </w:r>
    </w:p>
    <w:p>
      <w:pPr>
        <w:pStyle w:val="BodyText"/>
        <w:spacing w:line="424" w:lineRule="auto" w:before="1"/>
        <w:ind w:left="720" w:right="680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8" w:lineRule="exact"/>
        <w:ind w:left="720"/>
      </w:pPr>
      <w:r>
        <w:rPr/>
        <w:t>联系人：方晓丹</w:t>
      </w:r>
    </w:p>
    <w:p>
      <w:pPr>
        <w:pStyle w:val="BodyText"/>
        <w:spacing w:before="1"/>
        <w:rPr>
          <w:sz w:val="16"/>
        </w:rPr>
      </w:pPr>
    </w:p>
    <w:p>
      <w:pPr>
        <w:pStyle w:val="BodyText"/>
        <w:spacing w:line="424" w:lineRule="auto"/>
        <w:ind w:left="720" w:right="6475"/>
        <w:rPr>
          <w:rFonts w:ascii="Times New Roman" w:eastAsia="Times New Roman"/>
        </w:rPr>
      </w:pPr>
      <w:r>
        <w:rPr/>
        <w:t>网址：</w:t>
      </w:r>
      <w:hyperlink r:id="rId145">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信达证券股份有限公司</w:t>
      </w:r>
    </w:p>
    <w:p>
      <w:pPr>
        <w:pStyle w:val="BodyText"/>
        <w:spacing w:before="1"/>
        <w:rPr>
          <w:sz w:val="16"/>
        </w:rPr>
      </w:pPr>
    </w:p>
    <w:p>
      <w:pPr>
        <w:pStyle w:val="BodyText"/>
        <w:ind w:left="720"/>
      </w:pPr>
      <w:r>
        <w:rPr/>
        <w:t>住所：北京市西城区闹市口大街 </w:t>
      </w:r>
      <w:r>
        <w:rPr>
          <w:rFonts w:ascii="Times New Roman" w:eastAsia="Times New Roman"/>
        </w:rPr>
        <w:t>9 </w:t>
      </w:r>
      <w:r>
        <w:rPr/>
        <w:t>号院 </w:t>
      </w:r>
      <w:r>
        <w:rPr>
          <w:rFonts w:ascii="Times New Roman" w:eastAsia="Times New Roman"/>
        </w:rPr>
        <w:t>1 </w:t>
      </w:r>
      <w:r>
        <w:rPr/>
        <w:t>号楼</w:t>
      </w:r>
    </w:p>
    <w:p>
      <w:pPr>
        <w:pStyle w:val="BodyText"/>
        <w:spacing w:before="1"/>
        <w:rPr>
          <w:sz w:val="16"/>
        </w:rPr>
      </w:pPr>
    </w:p>
    <w:p>
      <w:pPr>
        <w:pStyle w:val="BodyText"/>
        <w:spacing w:line="427" w:lineRule="auto"/>
        <w:ind w:left="720" w:right="4138"/>
      </w:pPr>
      <w:r>
        <w:rPr>
          <w:spacing w:val="-6"/>
        </w:rPr>
        <w:t>办公地址：北京市西城区闹市口大街 </w:t>
      </w:r>
      <w:r>
        <w:rPr>
          <w:rFonts w:ascii="Times New Roman" w:eastAsia="Times New Roman"/>
        </w:rPr>
        <w:t>9 </w:t>
      </w:r>
      <w:r>
        <w:rPr>
          <w:spacing w:val="-17"/>
        </w:rPr>
        <w:t>号院 </w:t>
      </w:r>
      <w:r>
        <w:rPr>
          <w:rFonts w:ascii="Times New Roman" w:eastAsia="Times New Roman"/>
        </w:rPr>
        <w:t>1 </w:t>
      </w:r>
      <w:r>
        <w:rPr/>
        <w:t>号楼</w:t>
      </w:r>
      <w:r>
        <w:rPr>
          <w:spacing w:val="-3"/>
        </w:rPr>
        <w:t>法定代表人：肖林</w:t>
      </w:r>
    </w:p>
    <w:p>
      <w:pPr>
        <w:pStyle w:val="BodyText"/>
        <w:spacing w:line="424" w:lineRule="auto"/>
        <w:ind w:left="720" w:right="690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spacing w:line="267" w:lineRule="exact"/>
        <w:ind w:left="720"/>
      </w:pPr>
      <w:r>
        <w:rPr/>
        <w:t>联系人：付婷</w:t>
      </w:r>
    </w:p>
    <w:p>
      <w:pPr>
        <w:pStyle w:val="BodyText"/>
        <w:spacing w:before="9"/>
        <w:rPr>
          <w:sz w:val="15"/>
        </w:rPr>
      </w:pPr>
    </w:p>
    <w:p>
      <w:pPr>
        <w:pStyle w:val="BodyText"/>
        <w:spacing w:line="424" w:lineRule="auto"/>
        <w:ind w:left="720" w:right="6550"/>
        <w:rPr>
          <w:rFonts w:ascii="Times New Roman" w:eastAsia="Times New Roman"/>
        </w:rPr>
      </w:pPr>
      <w:r>
        <w:rPr/>
        <w:t>网址：</w:t>
      </w:r>
      <w:hyperlink r:id="rId146">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东方证券股份有限公司</w:t>
      </w:r>
    </w:p>
    <w:p>
      <w:pPr>
        <w:pStyle w:val="BodyText"/>
        <w:spacing w:before="1"/>
        <w:rPr>
          <w:sz w:val="16"/>
        </w:rPr>
      </w:pPr>
    </w:p>
    <w:p>
      <w:pPr>
        <w:pStyle w:val="BodyText"/>
        <w:spacing w:before="1"/>
        <w:ind w:left="720"/>
      </w:pPr>
      <w:r>
        <w:rPr/>
        <w:t>住所：上海市中山南路 </w:t>
      </w:r>
      <w:r>
        <w:rPr>
          <w:rFonts w:ascii="Times New Roman" w:eastAsia="Times New Roman"/>
        </w:rPr>
        <w:t>318 </w:t>
      </w:r>
      <w:r>
        <w:rPr/>
        <w:t>号 </w:t>
      </w:r>
      <w:r>
        <w:rPr>
          <w:rFonts w:ascii="Times New Roman" w:eastAsia="Times New Roman"/>
        </w:rPr>
        <w:t>2 </w:t>
      </w:r>
      <w:r>
        <w:rPr/>
        <w:t>号楼 </w:t>
      </w:r>
      <w:r>
        <w:rPr>
          <w:rFonts w:ascii="Times New Roman" w:eastAsia="Times New Roman"/>
        </w:rPr>
        <w:t>22 </w:t>
      </w:r>
      <w:r>
        <w:rPr/>
        <w:t>层、</w:t>
      </w:r>
      <w:r>
        <w:rPr>
          <w:rFonts w:ascii="Times New Roman" w:eastAsia="Times New Roman"/>
        </w:rPr>
        <w:t>23 </w:t>
      </w:r>
      <w:r>
        <w:rPr/>
        <w:t>层、</w:t>
      </w:r>
      <w:r>
        <w:rPr>
          <w:rFonts w:ascii="Times New Roman" w:eastAsia="Times New Roman"/>
        </w:rPr>
        <w:t>25 </w:t>
      </w:r>
      <w:r>
        <w:rPr/>
        <w:t>层</w:t>
      </w:r>
      <w:r>
        <w:rPr>
          <w:rFonts w:ascii="Times New Roman" w:eastAsia="Times New Roman"/>
        </w:rPr>
        <w:t>-29 </w:t>
      </w:r>
      <w:r>
        <w:rPr/>
        <w:t>层</w:t>
      </w:r>
    </w:p>
    <w:p>
      <w:pPr>
        <w:pStyle w:val="BodyText"/>
        <w:spacing w:before="4"/>
        <w:rPr>
          <w:sz w:val="16"/>
        </w:rPr>
      </w:pPr>
    </w:p>
    <w:p>
      <w:pPr>
        <w:pStyle w:val="BodyText"/>
        <w:ind w:left="720"/>
      </w:pPr>
      <w:r>
        <w:rPr/>
        <w:t>办公地址：上海市中山南路 </w:t>
      </w:r>
      <w:r>
        <w:rPr>
          <w:rFonts w:ascii="Times New Roman" w:eastAsia="Times New Roman"/>
        </w:rPr>
        <w:t>318 </w:t>
      </w:r>
      <w:r>
        <w:rPr/>
        <w:t>号 </w:t>
      </w:r>
      <w:r>
        <w:rPr>
          <w:rFonts w:ascii="Times New Roman" w:eastAsia="Times New Roman"/>
        </w:rPr>
        <w:t>2 </w:t>
      </w:r>
      <w:r>
        <w:rPr/>
        <w:t>号楼 </w:t>
      </w:r>
      <w:r>
        <w:rPr>
          <w:rFonts w:ascii="Times New Roman" w:eastAsia="Times New Roman"/>
        </w:rPr>
        <w:t>13 </w:t>
      </w:r>
      <w:r>
        <w:rPr/>
        <w:t>层、</w:t>
      </w:r>
      <w:r>
        <w:rPr>
          <w:rFonts w:ascii="Times New Roman" w:eastAsia="Times New Roman"/>
        </w:rPr>
        <w:t>21 </w:t>
      </w:r>
      <w:r>
        <w:rPr/>
        <w:t>层</w:t>
      </w:r>
      <w:r>
        <w:rPr>
          <w:rFonts w:ascii="Times New Roman" w:eastAsia="Times New Roman"/>
        </w:rPr>
        <w:t>-23 </w:t>
      </w:r>
      <w:r>
        <w:rPr/>
        <w:t>层、</w:t>
      </w:r>
      <w:r>
        <w:rPr>
          <w:rFonts w:ascii="Times New Roman" w:eastAsia="Times New Roman"/>
        </w:rPr>
        <w:t>25-29 </w:t>
      </w:r>
      <w:r>
        <w:rPr/>
        <w:t>层、</w:t>
      </w:r>
      <w:r>
        <w:rPr>
          <w:rFonts w:ascii="Times New Roman" w:eastAsia="Times New Roman"/>
        </w:rPr>
        <w:t>32 </w:t>
      </w:r>
      <w:r>
        <w:rPr/>
        <w:t>层、</w:t>
      </w:r>
      <w:r>
        <w:rPr>
          <w:rFonts w:ascii="Times New Roman" w:eastAsia="Times New Roman"/>
        </w:rPr>
        <w:t>36 </w:t>
      </w:r>
      <w:r>
        <w:rPr/>
        <w:t>层、</w:t>
      </w:r>
    </w:p>
    <w:p>
      <w:pPr>
        <w:pStyle w:val="BodyText"/>
        <w:spacing w:before="1"/>
        <w:rPr>
          <w:sz w:val="16"/>
        </w:rPr>
      </w:pPr>
    </w:p>
    <w:p>
      <w:pPr>
        <w:pStyle w:val="BodyText"/>
        <w:ind w:left="300"/>
        <w:jc w:val="both"/>
      </w:pPr>
      <w:r>
        <w:rPr>
          <w:rFonts w:ascii="Times New Roman" w:eastAsia="Times New Roman"/>
        </w:rPr>
        <w:t>39 </w:t>
      </w:r>
      <w:r>
        <w:rPr/>
        <w:t>层、</w:t>
      </w:r>
      <w:r>
        <w:rPr>
          <w:rFonts w:ascii="Times New Roman" w:eastAsia="Times New Roman"/>
        </w:rPr>
        <w:t>40 </w:t>
      </w:r>
      <w:r>
        <w:rPr/>
        <w:t>层</w:t>
      </w:r>
    </w:p>
    <w:p>
      <w:pPr>
        <w:pStyle w:val="BodyText"/>
        <w:spacing w:before="1"/>
        <w:rPr>
          <w:sz w:val="16"/>
        </w:rPr>
      </w:pPr>
    </w:p>
    <w:p>
      <w:pPr>
        <w:pStyle w:val="BodyText"/>
        <w:spacing w:line="424" w:lineRule="auto"/>
        <w:ind w:left="720" w:right="6870"/>
        <w:jc w:val="both"/>
        <w:rPr>
          <w:rFonts w:ascii="Times New Roman" w:eastAsia="Times New Roman"/>
        </w:rPr>
      </w:pPr>
      <w:r>
        <w:rPr/>
        <w:t>法定代表人：潘鑫军电话：</w:t>
      </w:r>
      <w:r>
        <w:rPr>
          <w:rFonts w:ascii="Times New Roman" w:eastAsia="Times New Roman"/>
        </w:rPr>
        <w:t>021-63325888 </w:t>
      </w:r>
      <w:r>
        <w:rPr/>
        <w:t>传真：</w:t>
      </w:r>
      <w:r>
        <w:rPr>
          <w:rFonts w:ascii="Times New Roman" w:eastAsia="Times New Roman"/>
        </w:rPr>
        <w:t>021-63326729</w:t>
      </w:r>
    </w:p>
    <w:p>
      <w:pPr>
        <w:pStyle w:val="BodyText"/>
        <w:spacing w:line="266" w:lineRule="exact"/>
        <w:ind w:left="720"/>
      </w:pPr>
      <w:r>
        <w:rPr/>
        <w:t>联系人：孔亚楠</w:t>
      </w:r>
    </w:p>
    <w:p>
      <w:pPr>
        <w:pStyle w:val="BodyText"/>
        <w:spacing w:before="1"/>
        <w:rPr>
          <w:sz w:val="16"/>
        </w:rPr>
      </w:pPr>
    </w:p>
    <w:p>
      <w:pPr>
        <w:pStyle w:val="BodyText"/>
        <w:spacing w:line="424" w:lineRule="auto"/>
        <w:ind w:left="720" w:right="6557"/>
        <w:rPr>
          <w:rFonts w:ascii="Times New Roman" w:eastAsia="Times New Roman"/>
        </w:rPr>
      </w:pPr>
      <w:r>
        <w:rPr/>
        <w:t>网址：</w:t>
      </w:r>
      <w:hyperlink r:id="rId147">
        <w:r>
          <w:rPr>
            <w:rFonts w:ascii="Times New Roman" w:eastAsia="Times New Roman"/>
          </w:rPr>
          <w:t>www.dfzq.com.cn </w:t>
        </w:r>
      </w:hyperlink>
      <w:r>
        <w:rPr/>
        <w:t>客户服务电话：</w:t>
      </w:r>
      <w:r>
        <w:rPr>
          <w:rFonts w:ascii="Times New Roman" w:eastAsia="Times New Roman"/>
        </w:rPr>
        <w:t>95503</w:t>
      </w:r>
    </w:p>
    <w:p>
      <w:pPr>
        <w:spacing w:after="0" w:line="424" w:lineRule="auto"/>
        <w:rPr>
          <w:rFonts w:ascii="Times New Roman" w:eastAsia="Times New Roman"/>
        </w:rPr>
        <w:sectPr>
          <w:pgSz w:w="11910" w:h="16840"/>
          <w:pgMar w:header="701" w:footer="683" w:top="1420" w:bottom="880" w:left="1500" w:right="920"/>
        </w:sectPr>
      </w:pPr>
    </w:p>
    <w:p>
      <w:pPr>
        <w:pStyle w:val="ListParagraph"/>
        <w:numPr>
          <w:ilvl w:val="0"/>
          <w:numId w:val="10"/>
        </w:numPr>
        <w:tabs>
          <w:tab w:pos="1459" w:val="left" w:leader="none"/>
        </w:tabs>
        <w:spacing w:line="240" w:lineRule="auto" w:before="115" w:after="0"/>
        <w:ind w:left="1458" w:right="0" w:hanging="739"/>
        <w:jc w:val="left"/>
        <w:rPr>
          <w:sz w:val="21"/>
        </w:rPr>
      </w:pPr>
      <w:r>
        <w:rPr>
          <w:spacing w:val="-3"/>
          <w:sz w:val="21"/>
        </w:rPr>
        <w:t>方正证券股份有限公司</w:t>
      </w:r>
    </w:p>
    <w:p>
      <w:pPr>
        <w:pStyle w:val="BodyText"/>
        <w:rPr>
          <w:sz w:val="16"/>
        </w:rPr>
      </w:pPr>
    </w:p>
    <w:p>
      <w:pPr>
        <w:pStyle w:val="BodyText"/>
        <w:spacing w:before="1"/>
        <w:ind w:left="720"/>
      </w:pPr>
      <w:r>
        <w:rPr/>
        <w:t>住所：湖南省长沙市芙蓉中路二段华侨国际大厦 </w:t>
      </w:r>
      <w:r>
        <w:rPr>
          <w:rFonts w:ascii="Times New Roman" w:eastAsia="Times New Roman"/>
        </w:rPr>
        <w:t>22-24 </w:t>
      </w:r>
      <w:r>
        <w:rPr/>
        <w:t>层</w:t>
      </w:r>
    </w:p>
    <w:p>
      <w:pPr>
        <w:pStyle w:val="BodyText"/>
        <w:spacing w:before="1"/>
        <w:rPr>
          <w:sz w:val="16"/>
        </w:rPr>
      </w:pPr>
    </w:p>
    <w:p>
      <w:pPr>
        <w:pStyle w:val="BodyText"/>
        <w:spacing w:line="424" w:lineRule="auto"/>
        <w:ind w:left="720" w:right="3062"/>
      </w:pPr>
      <w:r>
        <w:rPr/>
        <w:t>办公地址：湖南省长沙市芙蓉中路二段华侨国际大厦 </w:t>
      </w:r>
      <w:r>
        <w:rPr>
          <w:rFonts w:ascii="Times New Roman" w:eastAsia="Times New Roman"/>
        </w:rPr>
        <w:t>22-24 </w:t>
      </w:r>
      <w:r>
        <w:rPr/>
        <w:t>层法定代表人：雷杰</w:t>
      </w:r>
    </w:p>
    <w:p>
      <w:pPr>
        <w:pStyle w:val="BodyText"/>
        <w:spacing w:line="427" w:lineRule="auto"/>
        <w:ind w:left="720" w:right="6800"/>
        <w:rPr>
          <w:rFonts w:ascii="Times New Roman" w:eastAsia="Times New Roman"/>
        </w:rPr>
      </w:pPr>
      <w:r>
        <w:rPr/>
        <w:t>电话：</w:t>
      </w:r>
      <w:r>
        <w:rPr>
          <w:rFonts w:ascii="Times New Roman" w:eastAsia="Times New Roman"/>
        </w:rPr>
        <w:t>0731-85832503 </w:t>
      </w:r>
      <w:r>
        <w:rPr/>
        <w:t>传真：</w:t>
      </w:r>
      <w:r>
        <w:rPr>
          <w:rFonts w:ascii="Times New Roman" w:eastAsia="Times New Roman"/>
        </w:rPr>
        <w:t>0731-85832214</w:t>
      </w:r>
    </w:p>
    <w:p>
      <w:pPr>
        <w:pStyle w:val="BodyText"/>
        <w:spacing w:line="264" w:lineRule="exact"/>
        <w:ind w:left="720"/>
      </w:pPr>
      <w:r>
        <w:rPr/>
        <w:t>联系人：郭军瑞</w:t>
      </w:r>
    </w:p>
    <w:p>
      <w:pPr>
        <w:pStyle w:val="BodyText"/>
        <w:spacing w:before="12"/>
        <w:rPr>
          <w:sz w:val="15"/>
        </w:rPr>
      </w:pPr>
    </w:p>
    <w:p>
      <w:pPr>
        <w:pStyle w:val="BodyText"/>
        <w:spacing w:line="424" w:lineRule="auto"/>
        <w:ind w:left="720" w:right="6351"/>
        <w:rPr>
          <w:rFonts w:ascii="Times New Roman" w:eastAsia="Times New Roman"/>
        </w:rPr>
      </w:pPr>
      <w:r>
        <w:rPr/>
        <w:t>网址：</w:t>
      </w:r>
      <w:hyperlink r:id="rId148">
        <w:r>
          <w:rPr>
            <w:rFonts w:ascii="Times New Roman" w:eastAsia="Times New Roman"/>
          </w:rPr>
          <w:t>www.foundersc.com </w:t>
        </w:r>
      </w:hyperlink>
      <w:r>
        <w:rPr/>
        <w:t>客户服务电话：</w:t>
      </w:r>
      <w:r>
        <w:rPr>
          <w:rFonts w:ascii="Times New Roman" w:eastAsia="Times New Roman"/>
        </w:rPr>
        <w:t>95571</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长城证券股份有限公司</w:t>
      </w:r>
    </w:p>
    <w:p>
      <w:pPr>
        <w:pStyle w:val="BodyText"/>
        <w:spacing w:before="1"/>
        <w:rPr>
          <w:sz w:val="16"/>
        </w:rPr>
      </w:pPr>
    </w:p>
    <w:p>
      <w:pPr>
        <w:pStyle w:val="BodyText"/>
        <w:ind w:left="720"/>
      </w:pPr>
      <w:r>
        <w:rPr/>
        <w:t>住所：深圳市福田区福田街道金田路 </w:t>
      </w:r>
      <w:r>
        <w:rPr>
          <w:rFonts w:ascii="Times New Roman" w:eastAsia="Times New Roman"/>
        </w:rPr>
        <w:t>2026 </w:t>
      </w:r>
      <w:r>
        <w:rPr/>
        <w:t>号能源大厦南塔楼 </w:t>
      </w:r>
      <w:r>
        <w:rPr>
          <w:rFonts w:ascii="Times New Roman" w:eastAsia="Times New Roman"/>
        </w:rPr>
        <w:t>10-19 </w:t>
      </w:r>
      <w:r>
        <w:rPr/>
        <w:t>层</w:t>
      </w:r>
    </w:p>
    <w:p>
      <w:pPr>
        <w:pStyle w:val="BodyText"/>
        <w:spacing w:before="1"/>
        <w:rPr>
          <w:sz w:val="16"/>
        </w:rPr>
      </w:pPr>
    </w:p>
    <w:p>
      <w:pPr>
        <w:pStyle w:val="BodyText"/>
        <w:spacing w:line="424" w:lineRule="auto" w:before="1"/>
        <w:ind w:left="720" w:right="1970"/>
      </w:pPr>
      <w:r>
        <w:rPr>
          <w:spacing w:val="-6"/>
        </w:rPr>
        <w:t>办公地址：深圳市福田区福田街道金田路 </w:t>
      </w:r>
      <w:r>
        <w:rPr>
          <w:rFonts w:ascii="Times New Roman" w:eastAsia="Times New Roman"/>
        </w:rPr>
        <w:t>2026 </w:t>
      </w:r>
      <w:r>
        <w:rPr>
          <w:spacing w:val="-8"/>
        </w:rPr>
        <w:t>号能源大厦南塔楼 </w:t>
      </w:r>
      <w:r>
        <w:rPr>
          <w:rFonts w:ascii="Times New Roman" w:eastAsia="Times New Roman"/>
        </w:rPr>
        <w:t>10-19 </w:t>
      </w:r>
      <w:r>
        <w:rPr/>
        <w:t>层</w:t>
      </w:r>
      <w:r>
        <w:rPr>
          <w:spacing w:val="-3"/>
        </w:rPr>
        <w:t>法定代表人：曹宏</w:t>
      </w:r>
    </w:p>
    <w:p>
      <w:pPr>
        <w:pStyle w:val="BodyText"/>
        <w:spacing w:line="424" w:lineRule="auto"/>
        <w:ind w:left="720" w:right="680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pStyle w:val="BodyText"/>
        <w:spacing w:line="267" w:lineRule="exact"/>
        <w:ind w:left="720"/>
      </w:pPr>
      <w:r>
        <w:rPr/>
        <w:t>联系人：梁浩</w:t>
      </w:r>
    </w:p>
    <w:p>
      <w:pPr>
        <w:pStyle w:val="BodyText"/>
        <w:spacing w:before="1"/>
        <w:rPr>
          <w:sz w:val="16"/>
        </w:rPr>
      </w:pPr>
    </w:p>
    <w:p>
      <w:pPr>
        <w:pStyle w:val="BodyText"/>
        <w:spacing w:line="424" w:lineRule="auto"/>
        <w:ind w:left="720" w:right="6767"/>
        <w:rPr>
          <w:rFonts w:ascii="Times New Roman" w:eastAsia="Times New Roman"/>
        </w:rPr>
      </w:pPr>
      <w:r>
        <w:rPr/>
        <w:t>网址：</w:t>
      </w:r>
      <w:hyperlink r:id="rId149">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光大证券股份有限公司</w:t>
      </w:r>
    </w:p>
    <w:p>
      <w:pPr>
        <w:pStyle w:val="BodyText"/>
        <w:spacing w:before="1"/>
        <w:rPr>
          <w:sz w:val="16"/>
        </w:rPr>
      </w:pPr>
    </w:p>
    <w:p>
      <w:pPr>
        <w:pStyle w:val="BodyText"/>
        <w:ind w:left="720"/>
      </w:pPr>
      <w:r>
        <w:rPr/>
        <w:t>住所：上海市静安区新闸路 </w:t>
      </w:r>
      <w:r>
        <w:rPr>
          <w:rFonts w:ascii="Times New Roman" w:eastAsia="Times New Roman"/>
        </w:rPr>
        <w:t>1508 </w:t>
      </w:r>
      <w:r>
        <w:rPr/>
        <w:t>号</w:t>
      </w:r>
    </w:p>
    <w:p>
      <w:pPr>
        <w:pStyle w:val="BodyText"/>
        <w:spacing w:before="1"/>
        <w:rPr>
          <w:sz w:val="16"/>
        </w:rPr>
      </w:pPr>
    </w:p>
    <w:p>
      <w:pPr>
        <w:pStyle w:val="BodyText"/>
        <w:spacing w:line="427" w:lineRule="auto"/>
        <w:ind w:left="720" w:right="5023"/>
      </w:pPr>
      <w:r>
        <w:rPr/>
        <w:t>办公地址：上海市静安区新闸路 </w:t>
      </w:r>
      <w:r>
        <w:rPr>
          <w:rFonts w:ascii="Times New Roman" w:eastAsia="Times New Roman"/>
        </w:rPr>
        <w:t>1508 </w:t>
      </w:r>
      <w:r>
        <w:rPr/>
        <w:t>号法定代表人：薛峰</w:t>
      </w:r>
    </w:p>
    <w:p>
      <w:pPr>
        <w:pStyle w:val="BodyText"/>
        <w:spacing w:line="424" w:lineRule="auto"/>
        <w:ind w:left="720" w:right="690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7" w:lineRule="exact"/>
        <w:ind w:left="720"/>
      </w:pPr>
      <w:r>
        <w:rPr/>
        <w:t>联系人：刘晨</w:t>
      </w:r>
    </w:p>
    <w:p>
      <w:pPr>
        <w:pStyle w:val="BodyText"/>
        <w:spacing w:before="10"/>
        <w:rPr>
          <w:sz w:val="15"/>
        </w:rPr>
      </w:pPr>
    </w:p>
    <w:p>
      <w:pPr>
        <w:pStyle w:val="BodyText"/>
        <w:ind w:left="720"/>
        <w:rPr>
          <w:rFonts w:ascii="Times New Roman" w:eastAsia="Times New Roman"/>
        </w:rPr>
      </w:pPr>
      <w:r>
        <w:rPr/>
        <w:t>网址：</w:t>
      </w:r>
      <w:hyperlink r:id="rId150">
        <w:r>
          <w:rPr>
            <w:rFonts w:ascii="Times New Roman" w:eastAsia="Times New Roman"/>
          </w:rPr>
          <w:t>www.ebscn.com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中信证券华南股份有限公司</w:t>
      </w:r>
    </w:p>
    <w:p>
      <w:pPr>
        <w:pStyle w:val="BodyText"/>
        <w:spacing w:before="1"/>
        <w:rPr>
          <w:sz w:val="16"/>
        </w:rPr>
      </w:pPr>
    </w:p>
    <w:p>
      <w:pPr>
        <w:pStyle w:val="BodyText"/>
        <w:spacing w:before="1"/>
        <w:ind w:left="72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spacing w:after="0"/>
        <w:sectPr>
          <w:pgSz w:w="11910" w:h="16840"/>
          <w:pgMar w:header="701" w:footer="683" w:top="1420" w:bottom="880" w:left="1500" w:right="920"/>
        </w:sectPr>
      </w:pPr>
    </w:p>
    <w:p>
      <w:pPr>
        <w:pStyle w:val="BodyText"/>
        <w:spacing w:line="424" w:lineRule="auto" w:before="115"/>
        <w:ind w:left="720" w:right="187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24" w:lineRule="auto"/>
        <w:ind w:left="720" w:right="690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7" w:lineRule="exact"/>
        <w:ind w:left="720"/>
      </w:pPr>
      <w:r>
        <w:rPr/>
        <w:t>联系人：陈靖</w:t>
      </w:r>
    </w:p>
    <w:p>
      <w:pPr>
        <w:pStyle w:val="BodyText"/>
        <w:spacing w:before="1"/>
        <w:rPr>
          <w:sz w:val="16"/>
        </w:rPr>
      </w:pPr>
    </w:p>
    <w:p>
      <w:pPr>
        <w:pStyle w:val="BodyText"/>
        <w:spacing w:line="424" w:lineRule="auto"/>
        <w:ind w:left="720" w:right="6651"/>
        <w:rPr>
          <w:rFonts w:ascii="Times New Roman" w:eastAsia="Times New Roman"/>
        </w:rPr>
      </w:pPr>
      <w:r>
        <w:rPr/>
        <w:t>网址：</w:t>
      </w:r>
      <w:hyperlink r:id="rId151">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10"/>
        </w:numPr>
        <w:tabs>
          <w:tab w:pos="1459" w:val="left" w:leader="none"/>
        </w:tabs>
        <w:spacing w:line="424" w:lineRule="auto" w:before="0" w:after="0"/>
        <w:ind w:left="720" w:right="5926" w:firstLine="0"/>
        <w:jc w:val="left"/>
        <w:rPr>
          <w:sz w:val="21"/>
        </w:rPr>
      </w:pPr>
      <w:r>
        <w:rPr>
          <w:spacing w:val="-4"/>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24" w:lineRule="auto"/>
        <w:ind w:left="720" w:right="5443"/>
      </w:pPr>
      <w:r>
        <w:rPr/>
        <w:t>办公地址：长春市生态大街 </w:t>
      </w:r>
      <w:r>
        <w:rPr>
          <w:rFonts w:ascii="Times New Roman" w:eastAsia="Times New Roman"/>
        </w:rPr>
        <w:t>6666 </w:t>
      </w:r>
      <w:r>
        <w:rPr/>
        <w:t>号法定代表人：李福春</w:t>
      </w:r>
    </w:p>
    <w:p>
      <w:pPr>
        <w:pStyle w:val="BodyText"/>
        <w:spacing w:line="424" w:lineRule="auto"/>
        <w:ind w:left="720" w:right="680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24" w:lineRule="auto"/>
        <w:ind w:left="720" w:right="7014"/>
        <w:rPr>
          <w:rFonts w:ascii="Times New Roman" w:eastAsia="Times New Roman"/>
        </w:rPr>
      </w:pPr>
      <w:r>
        <w:rPr>
          <w:spacing w:val="-2"/>
        </w:rPr>
        <w:t>联系人：安岩岩 </w:t>
      </w:r>
      <w:r>
        <w:rPr>
          <w:spacing w:val="-3"/>
        </w:rPr>
        <w:t>网址：</w:t>
      </w:r>
      <w:hyperlink r:id="rId152">
        <w:r>
          <w:rPr>
            <w:rFonts w:ascii="Times New Roman" w:eastAsia="Times New Roman"/>
            <w:spacing w:val="-4"/>
          </w:rPr>
          <w:t>www.nesc.cn</w:t>
        </w:r>
      </w:hyperlink>
    </w:p>
    <w:p>
      <w:pPr>
        <w:pStyle w:val="BodyText"/>
        <w:spacing w:line="267" w:lineRule="exact"/>
        <w:ind w:left="720"/>
        <w:rPr>
          <w:rFonts w:ascii="Times New Roman" w:eastAsia="Times New Roman"/>
        </w:rPr>
      </w:pPr>
      <w:r>
        <w:rPr/>
        <w:t>客户服务电话：</w:t>
      </w:r>
      <w:r>
        <w:rPr>
          <w:rFonts w:ascii="Times New Roman" w:eastAsia="Times New Roman"/>
        </w:rPr>
        <w:t>95360</w:t>
      </w:r>
    </w:p>
    <w:p>
      <w:pPr>
        <w:pStyle w:val="BodyText"/>
        <w:spacing w:before="5"/>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南京证券股份有限公司</w:t>
      </w:r>
    </w:p>
    <w:p>
      <w:pPr>
        <w:pStyle w:val="BodyText"/>
        <w:spacing w:before="1"/>
        <w:rPr>
          <w:sz w:val="16"/>
        </w:rPr>
      </w:pPr>
    </w:p>
    <w:p>
      <w:pPr>
        <w:pStyle w:val="BodyText"/>
        <w:ind w:left="720"/>
      </w:pPr>
      <w:r>
        <w:rPr/>
        <w:t>住所：江苏省南京市江东中路 </w:t>
      </w:r>
      <w:r>
        <w:rPr>
          <w:rFonts w:ascii="Times New Roman" w:eastAsia="Times New Roman"/>
        </w:rPr>
        <w:t>389 </w:t>
      </w:r>
      <w:r>
        <w:rPr/>
        <w:t>号</w:t>
      </w:r>
    </w:p>
    <w:p>
      <w:pPr>
        <w:pStyle w:val="BodyText"/>
        <w:spacing w:before="1"/>
        <w:rPr>
          <w:sz w:val="16"/>
        </w:rPr>
      </w:pPr>
    </w:p>
    <w:p>
      <w:pPr>
        <w:pStyle w:val="BodyText"/>
        <w:spacing w:line="424" w:lineRule="auto" w:before="1"/>
        <w:ind w:left="720" w:right="4917"/>
      </w:pPr>
      <w:r>
        <w:rPr/>
        <w:t>办公地址：江苏省南京市江东中路 </w:t>
      </w:r>
      <w:r>
        <w:rPr>
          <w:rFonts w:ascii="Times New Roman" w:eastAsia="Times New Roman"/>
        </w:rPr>
        <w:t>389 </w:t>
      </w:r>
      <w:r>
        <w:rPr/>
        <w:t>号法定代表人：李剑锋</w:t>
      </w:r>
    </w:p>
    <w:p>
      <w:pPr>
        <w:pStyle w:val="BodyText"/>
        <w:spacing w:line="427" w:lineRule="auto"/>
        <w:ind w:left="720" w:right="690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5" w:lineRule="exact"/>
        <w:ind w:left="720"/>
      </w:pPr>
      <w:r>
        <w:rPr/>
        <w:t>联系人：王万君</w:t>
      </w:r>
    </w:p>
    <w:p>
      <w:pPr>
        <w:pStyle w:val="BodyText"/>
        <w:spacing w:before="11"/>
        <w:rPr>
          <w:sz w:val="15"/>
        </w:rPr>
      </w:pPr>
    </w:p>
    <w:p>
      <w:pPr>
        <w:pStyle w:val="BodyText"/>
        <w:spacing w:line="424" w:lineRule="auto"/>
        <w:ind w:left="720" w:right="6569"/>
        <w:rPr>
          <w:rFonts w:ascii="Times New Roman" w:eastAsia="Times New Roman"/>
        </w:rPr>
      </w:pPr>
      <w:r>
        <w:rPr/>
        <w:t>网址：</w:t>
      </w:r>
      <w:hyperlink r:id="rId153">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10"/>
        </w:numPr>
        <w:tabs>
          <w:tab w:pos="1459" w:val="left" w:leader="none"/>
        </w:tabs>
        <w:spacing w:line="424" w:lineRule="auto" w:before="0" w:after="0"/>
        <w:ind w:left="720" w:right="5926" w:firstLine="0"/>
        <w:jc w:val="left"/>
        <w:rPr>
          <w:sz w:val="21"/>
        </w:rPr>
      </w:pPr>
      <w:r>
        <w:rPr>
          <w:spacing w:val="-4"/>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2"/>
          <w:sz w:val="21"/>
        </w:rPr>
        <w:t> </w:t>
      </w:r>
      <w:r>
        <w:rPr>
          <w:sz w:val="21"/>
        </w:rPr>
        <w:t>号</w:t>
      </w:r>
    </w:p>
    <w:p>
      <w:pPr>
        <w:pStyle w:val="BodyText"/>
        <w:spacing w:line="424" w:lineRule="auto"/>
        <w:ind w:left="720" w:right="5548"/>
      </w:pPr>
      <w:r>
        <w:rPr/>
        <w:t>办公地址：上海市西藏中路 </w:t>
      </w:r>
      <w:r>
        <w:rPr>
          <w:rFonts w:ascii="Times New Roman" w:eastAsia="Times New Roman"/>
        </w:rPr>
        <w:t>336 </w:t>
      </w:r>
      <w:r>
        <w:rPr/>
        <w:t>号法定代表人：龚德雄</w:t>
      </w:r>
    </w:p>
    <w:p>
      <w:pPr>
        <w:spacing w:after="0" w:line="424" w:lineRule="auto"/>
        <w:sectPr>
          <w:pgSz w:w="11910" w:h="16840"/>
          <w:pgMar w:header="701" w:footer="683" w:top="1420" w:bottom="880" w:left="1500" w:right="920"/>
        </w:sectPr>
      </w:pPr>
    </w:p>
    <w:p>
      <w:pPr>
        <w:pStyle w:val="BodyText"/>
        <w:spacing w:line="424" w:lineRule="auto" w:before="115"/>
        <w:ind w:left="720" w:right="690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7" w:lineRule="exact"/>
        <w:ind w:left="720"/>
      </w:pPr>
      <w:r>
        <w:rPr/>
        <w:t>联系人：张瑾</w:t>
      </w:r>
    </w:p>
    <w:p>
      <w:pPr>
        <w:pStyle w:val="BodyText"/>
        <w:rPr>
          <w:sz w:val="16"/>
        </w:rPr>
      </w:pPr>
    </w:p>
    <w:p>
      <w:pPr>
        <w:pStyle w:val="BodyText"/>
        <w:spacing w:before="1"/>
        <w:ind w:left="720"/>
        <w:rPr>
          <w:rFonts w:ascii="Times New Roman" w:eastAsia="Times New Roman"/>
        </w:rPr>
      </w:pPr>
      <w:r>
        <w:rPr/>
        <w:t>网址：</w:t>
      </w:r>
      <w:hyperlink r:id="rId154">
        <w:r>
          <w:rPr>
            <w:rFonts w:ascii="Times New Roman" w:eastAsia="Times New Roman"/>
          </w:rPr>
          <w:t>www.962518.com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400-891-8918</w:t>
      </w:r>
    </w:p>
    <w:p>
      <w:pPr>
        <w:pStyle w:val="BodyText"/>
        <w:spacing w:before="2"/>
        <w:rPr>
          <w:rFonts w:ascii="Times New Roman"/>
          <w:sz w:val="18"/>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新时代证券股份有限公司</w:t>
      </w:r>
    </w:p>
    <w:p>
      <w:pPr>
        <w:pStyle w:val="BodyText"/>
        <w:spacing w:before="1"/>
        <w:rPr>
          <w:sz w:val="16"/>
        </w:rPr>
      </w:pPr>
    </w:p>
    <w:p>
      <w:pPr>
        <w:pStyle w:val="BodyText"/>
        <w:ind w:left="72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rPr>
          <w:rFonts w:ascii="Times New Roman"/>
          <w:sz w:val="18"/>
        </w:rPr>
      </w:pPr>
    </w:p>
    <w:p>
      <w:pPr>
        <w:pStyle w:val="BodyText"/>
        <w:ind w:left="72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10"/>
        <w:rPr>
          <w:rFonts w:ascii="Times New Roman"/>
          <w:sz w:val="17"/>
        </w:rPr>
      </w:pPr>
    </w:p>
    <w:p>
      <w:pPr>
        <w:pStyle w:val="BodyText"/>
        <w:spacing w:line="424" w:lineRule="auto"/>
        <w:ind w:left="720" w:right="690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spacing w:line="266" w:lineRule="exact"/>
        <w:ind w:left="720"/>
      </w:pPr>
      <w:r>
        <w:rPr/>
        <w:t>联系人：田芳芳</w:t>
      </w:r>
    </w:p>
    <w:p>
      <w:pPr>
        <w:pStyle w:val="BodyText"/>
        <w:spacing w:before="1"/>
        <w:rPr>
          <w:sz w:val="16"/>
        </w:rPr>
      </w:pPr>
    </w:p>
    <w:p>
      <w:pPr>
        <w:pStyle w:val="BodyText"/>
        <w:spacing w:line="427" w:lineRule="auto" w:before="1"/>
        <w:ind w:left="720" w:right="6767"/>
        <w:rPr>
          <w:rFonts w:ascii="Times New Roman" w:eastAsia="Times New Roman"/>
        </w:rPr>
      </w:pPr>
      <w:r>
        <w:rPr/>
        <w:t>网址：</w:t>
      </w:r>
      <w:hyperlink r:id="rId155">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10"/>
        </w:numPr>
        <w:tabs>
          <w:tab w:pos="1459" w:val="left" w:leader="none"/>
        </w:tabs>
        <w:spacing w:line="264" w:lineRule="exact" w:before="0" w:after="0"/>
        <w:ind w:left="1458" w:right="0" w:hanging="739"/>
        <w:jc w:val="left"/>
        <w:rPr>
          <w:sz w:val="21"/>
        </w:rPr>
      </w:pPr>
      <w:r>
        <w:rPr>
          <w:spacing w:val="-3"/>
          <w:sz w:val="21"/>
        </w:rPr>
        <w:t>大同证券有限责任公司</w:t>
      </w:r>
    </w:p>
    <w:p>
      <w:pPr>
        <w:pStyle w:val="BodyText"/>
        <w:rPr>
          <w:sz w:val="16"/>
        </w:rPr>
      </w:pPr>
    </w:p>
    <w:p>
      <w:pPr>
        <w:pStyle w:val="BodyText"/>
        <w:spacing w:before="1"/>
        <w:ind w:left="72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1"/>
        <w:rPr>
          <w:sz w:val="16"/>
        </w:rPr>
      </w:pPr>
    </w:p>
    <w:p>
      <w:pPr>
        <w:pStyle w:val="BodyText"/>
        <w:ind w:left="72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10"/>
        <w:rPr>
          <w:rFonts w:ascii="Times New Roman"/>
          <w:sz w:val="17"/>
        </w:rPr>
      </w:pPr>
    </w:p>
    <w:p>
      <w:pPr>
        <w:pStyle w:val="BodyText"/>
        <w:spacing w:line="424" w:lineRule="auto"/>
        <w:ind w:left="720" w:right="684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spacing w:line="266" w:lineRule="exact"/>
        <w:ind w:left="720"/>
      </w:pPr>
      <w:r>
        <w:rPr/>
        <w:t>联系人：薛津</w:t>
      </w:r>
    </w:p>
    <w:p>
      <w:pPr>
        <w:pStyle w:val="BodyText"/>
        <w:spacing w:before="4"/>
        <w:rPr>
          <w:sz w:val="16"/>
        </w:rPr>
      </w:pPr>
    </w:p>
    <w:p>
      <w:pPr>
        <w:pStyle w:val="BodyText"/>
        <w:spacing w:before="1"/>
        <w:ind w:left="720"/>
        <w:rPr>
          <w:rFonts w:ascii="Times New Roman" w:eastAsia="Times New Roman"/>
        </w:rPr>
      </w:pPr>
      <w:r>
        <w:rPr/>
        <w:t>网址：</w:t>
      </w:r>
      <w:hyperlink r:id="rId156">
        <w:r>
          <w:rPr>
            <w:rFonts w:ascii="Times New Roman" w:eastAsia="Times New Roman"/>
          </w:rPr>
          <w:t>www.dtsbc.com.cn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400-712-1212</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国联证券股份有限公司</w:t>
      </w:r>
    </w:p>
    <w:p>
      <w:pPr>
        <w:pStyle w:val="BodyText"/>
        <w:spacing w:before="1"/>
        <w:rPr>
          <w:sz w:val="16"/>
        </w:rPr>
      </w:pPr>
    </w:p>
    <w:p>
      <w:pPr>
        <w:pStyle w:val="BodyText"/>
        <w:ind w:left="720"/>
      </w:pPr>
      <w:r>
        <w:rPr/>
        <w:t>住所：无锡市太湖新城金融一街 </w:t>
      </w:r>
      <w:r>
        <w:rPr>
          <w:rFonts w:ascii="Times New Roman" w:eastAsia="Times New Roman"/>
        </w:rPr>
        <w:t>8 </w:t>
      </w:r>
      <w:r>
        <w:rPr/>
        <w:t>号国联金融大厦</w:t>
      </w:r>
    </w:p>
    <w:p>
      <w:pPr>
        <w:pStyle w:val="BodyText"/>
        <w:spacing w:before="1"/>
        <w:rPr>
          <w:sz w:val="16"/>
        </w:rPr>
      </w:pPr>
    </w:p>
    <w:p>
      <w:pPr>
        <w:pStyle w:val="BodyText"/>
        <w:spacing w:line="424" w:lineRule="auto"/>
        <w:ind w:left="720" w:right="3657"/>
      </w:pPr>
      <w:r>
        <w:rPr/>
        <w:t>办公地址：无锡市太湖新城金融一街 </w:t>
      </w:r>
      <w:r>
        <w:rPr>
          <w:rFonts w:ascii="Times New Roman" w:eastAsia="Times New Roman"/>
        </w:rPr>
        <w:t>8 </w:t>
      </w:r>
      <w:r>
        <w:rPr/>
        <w:t>号国联金融大厦法定代表人：姚志勇</w:t>
      </w:r>
    </w:p>
    <w:p>
      <w:pPr>
        <w:pStyle w:val="BodyText"/>
        <w:spacing w:line="424" w:lineRule="auto"/>
        <w:ind w:left="720" w:right="680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pPr>
      <w:r>
        <w:rPr/>
        <w:t>联系人：祁昊</w:t>
      </w:r>
    </w:p>
    <w:p>
      <w:pPr>
        <w:pStyle w:val="BodyText"/>
        <w:rPr>
          <w:sz w:val="16"/>
        </w:rPr>
      </w:pPr>
    </w:p>
    <w:p>
      <w:pPr>
        <w:pStyle w:val="BodyText"/>
        <w:spacing w:line="424" w:lineRule="auto" w:before="1"/>
        <w:ind w:left="720" w:right="6591"/>
        <w:rPr>
          <w:rFonts w:ascii="Times New Roman" w:eastAsia="Times New Roman"/>
        </w:rPr>
      </w:pPr>
      <w:r>
        <w:rPr/>
        <w:t>网址：</w:t>
      </w:r>
      <w:hyperlink r:id="rId157">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浙商证券股份有限公司</w:t>
      </w:r>
    </w:p>
    <w:p>
      <w:pPr>
        <w:pStyle w:val="BodyText"/>
        <w:spacing w:before="1"/>
        <w:rPr>
          <w:sz w:val="16"/>
        </w:rPr>
      </w:pPr>
    </w:p>
    <w:p>
      <w:pPr>
        <w:pStyle w:val="BodyText"/>
        <w:ind w:left="720"/>
      </w:pPr>
      <w:r>
        <w:rPr/>
        <w:t>住所：杭州市江干区五星路 </w:t>
      </w:r>
      <w:r>
        <w:rPr>
          <w:rFonts w:ascii="Times New Roman" w:eastAsia="Times New Roman"/>
        </w:rPr>
        <w:t>201 </w:t>
      </w:r>
      <w:r>
        <w:rPr/>
        <w:t>号</w:t>
      </w:r>
    </w:p>
    <w:p>
      <w:pPr>
        <w:pStyle w:val="BodyText"/>
        <w:spacing w:before="3"/>
        <w:rPr>
          <w:sz w:val="16"/>
        </w:rPr>
      </w:pPr>
    </w:p>
    <w:p>
      <w:pPr>
        <w:pStyle w:val="BodyText"/>
        <w:spacing w:line="424" w:lineRule="auto"/>
        <w:ind w:left="720" w:right="3507"/>
      </w:pPr>
      <w:r>
        <w:rPr>
          <w:spacing w:val="-6"/>
        </w:rPr>
        <w:t>办公地址：杭州市江干区五星路 </w:t>
      </w:r>
      <w:r>
        <w:rPr>
          <w:rFonts w:ascii="Times New Roman" w:eastAsia="Times New Roman"/>
        </w:rPr>
        <w:t>201 </w:t>
      </w:r>
      <w:r>
        <w:rPr>
          <w:spacing w:val="-9"/>
        </w:rPr>
        <w:t>号浙商证券大楼 </w:t>
      </w:r>
      <w:r>
        <w:rPr>
          <w:rFonts w:ascii="Times New Roman" w:eastAsia="Times New Roman"/>
        </w:rPr>
        <w:t>8 </w:t>
      </w:r>
      <w:r>
        <w:rPr/>
        <w:t>楼</w:t>
      </w:r>
      <w:r>
        <w:rPr>
          <w:spacing w:val="-3"/>
        </w:rPr>
        <w:t>法定代表人：吴承根</w:t>
      </w:r>
    </w:p>
    <w:p>
      <w:pPr>
        <w:pStyle w:val="BodyText"/>
        <w:spacing w:line="424" w:lineRule="auto"/>
        <w:ind w:left="720" w:right="6800"/>
        <w:rPr>
          <w:rFonts w:ascii="Times New Roman" w:eastAsia="Times New Roman"/>
        </w:rPr>
      </w:pPr>
      <w:r>
        <w:rPr/>
        <w:t>电话：</w:t>
      </w:r>
      <w:r>
        <w:rPr>
          <w:rFonts w:ascii="Times New Roman" w:eastAsia="Times New Roman"/>
        </w:rPr>
        <w:t>0571-87901053 </w:t>
      </w:r>
      <w:r>
        <w:rPr/>
        <w:t>传真：</w:t>
      </w:r>
      <w:r>
        <w:rPr>
          <w:rFonts w:ascii="Times New Roman" w:eastAsia="Times New Roman"/>
        </w:rPr>
        <w:t>0571-87901913</w:t>
      </w:r>
    </w:p>
    <w:p>
      <w:pPr>
        <w:pStyle w:val="BodyText"/>
        <w:spacing w:line="267" w:lineRule="exact"/>
        <w:ind w:left="720"/>
      </w:pPr>
      <w:r>
        <w:rPr/>
        <w:t>联系人：谢相辉</w:t>
      </w:r>
    </w:p>
    <w:p>
      <w:pPr>
        <w:pStyle w:val="BodyText"/>
        <w:rPr>
          <w:sz w:val="16"/>
        </w:rPr>
      </w:pPr>
    </w:p>
    <w:p>
      <w:pPr>
        <w:pStyle w:val="BodyText"/>
        <w:spacing w:line="424" w:lineRule="auto"/>
        <w:ind w:left="720" w:right="6394"/>
        <w:rPr>
          <w:rFonts w:ascii="Times New Roman" w:eastAsia="Times New Roman"/>
        </w:rPr>
      </w:pPr>
      <w:r>
        <w:rPr/>
        <w:t>网址：</w:t>
      </w:r>
      <w:hyperlink r:id="rId158">
        <w:r>
          <w:rPr>
            <w:rFonts w:ascii="Times New Roman" w:eastAsia="Times New Roman"/>
          </w:rPr>
          <w:t>www.stocke.com.cn </w:t>
        </w:r>
      </w:hyperlink>
      <w:r>
        <w:rPr/>
        <w:t>客户服务电话：</w:t>
      </w:r>
      <w:r>
        <w:rPr>
          <w:rFonts w:ascii="Times New Roman" w:eastAsia="Times New Roman"/>
        </w:rPr>
        <w:t>95345</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平安证券股份有限公司</w:t>
      </w:r>
    </w:p>
    <w:p>
      <w:pPr>
        <w:pStyle w:val="BodyText"/>
        <w:spacing w:before="3"/>
        <w:rPr>
          <w:sz w:val="16"/>
        </w:rPr>
      </w:pPr>
    </w:p>
    <w:p>
      <w:pPr>
        <w:pStyle w:val="BodyText"/>
        <w:spacing w:line="424" w:lineRule="auto" w:before="1"/>
        <w:ind w:left="720" w:right="1934"/>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24" w:lineRule="auto"/>
        <w:ind w:left="720" w:right="687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6" w:lineRule="exact"/>
        <w:ind w:left="720"/>
      </w:pPr>
      <w:r>
        <w:rPr/>
        <w:t>联系人：王阳</w:t>
      </w:r>
    </w:p>
    <w:p>
      <w:pPr>
        <w:pStyle w:val="BodyText"/>
        <w:spacing w:before="12"/>
        <w:rPr>
          <w:sz w:val="15"/>
        </w:rPr>
      </w:pPr>
    </w:p>
    <w:p>
      <w:pPr>
        <w:pStyle w:val="BodyText"/>
        <w:spacing w:line="424" w:lineRule="auto"/>
        <w:ind w:left="720" w:right="6560"/>
        <w:rPr>
          <w:rFonts w:ascii="Times New Roman" w:eastAsia="Times New Roman"/>
        </w:rPr>
      </w:pPr>
      <w:r>
        <w:rPr/>
        <w:t>网址：</w:t>
      </w:r>
      <w:hyperlink r:id="rId159">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华安证券股份有限公司</w:t>
      </w:r>
    </w:p>
    <w:p>
      <w:pPr>
        <w:pStyle w:val="BodyText"/>
        <w:spacing w:before="1"/>
        <w:rPr>
          <w:sz w:val="16"/>
        </w:rPr>
      </w:pPr>
    </w:p>
    <w:p>
      <w:pPr>
        <w:pStyle w:val="BodyText"/>
        <w:ind w:left="720"/>
      </w:pPr>
      <w:r>
        <w:rPr/>
        <w:t>住所：安徽省合肥市政务文化新区天鹅湖路 </w:t>
      </w:r>
      <w:r>
        <w:rPr>
          <w:rFonts w:ascii="Times New Roman" w:eastAsia="Times New Roman"/>
        </w:rPr>
        <w:t>198 </w:t>
      </w:r>
      <w:r>
        <w:rPr/>
        <w:t>号</w:t>
      </w:r>
    </w:p>
    <w:p>
      <w:pPr>
        <w:pStyle w:val="BodyText"/>
        <w:spacing w:before="1"/>
        <w:rPr>
          <w:sz w:val="16"/>
        </w:rPr>
      </w:pPr>
    </w:p>
    <w:p>
      <w:pPr>
        <w:pStyle w:val="BodyText"/>
        <w:spacing w:line="424" w:lineRule="auto"/>
        <w:ind w:left="720" w:right="231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24" w:lineRule="auto"/>
        <w:ind w:left="720" w:right="680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7" w:lineRule="exact"/>
        <w:ind w:left="720"/>
      </w:pPr>
      <w:r>
        <w:rPr/>
        <w:t>联系人：范超</w:t>
      </w:r>
    </w:p>
    <w:p>
      <w:pPr>
        <w:pStyle w:val="BodyText"/>
        <w:spacing w:before="12"/>
        <w:rPr>
          <w:sz w:val="15"/>
        </w:rPr>
      </w:pPr>
    </w:p>
    <w:p>
      <w:pPr>
        <w:pStyle w:val="BodyText"/>
        <w:ind w:left="720"/>
        <w:rPr>
          <w:rFonts w:ascii="Times New Roman" w:eastAsia="Times New Roman"/>
        </w:rPr>
      </w:pPr>
      <w:r>
        <w:rPr/>
        <w:t>网址：</w:t>
      </w:r>
      <w:hyperlink r:id="rId160">
        <w:r>
          <w:rPr>
            <w:rFonts w:ascii="Times New Roman" w:eastAsia="Times New Roman"/>
          </w:rPr>
          <w:t>www.hazq.com</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95318</w:t>
      </w:r>
    </w:p>
    <w:p>
      <w:pPr>
        <w:pStyle w:val="BodyText"/>
        <w:spacing w:before="10"/>
        <w:rPr>
          <w:rFonts w:ascii="Times New Roman"/>
          <w:sz w:val="17"/>
        </w:rPr>
      </w:pPr>
    </w:p>
    <w:p>
      <w:pPr>
        <w:pStyle w:val="ListParagraph"/>
        <w:numPr>
          <w:ilvl w:val="0"/>
          <w:numId w:val="10"/>
        </w:numPr>
        <w:tabs>
          <w:tab w:pos="1459" w:val="left" w:leader="none"/>
        </w:tabs>
        <w:spacing w:line="424" w:lineRule="auto" w:before="0" w:after="0"/>
        <w:ind w:left="720" w:right="5926" w:firstLine="0"/>
        <w:jc w:val="left"/>
        <w:rPr>
          <w:sz w:val="21"/>
        </w:rPr>
      </w:pPr>
      <w:r>
        <w:rPr>
          <w:spacing w:val="-4"/>
          <w:sz w:val="21"/>
        </w:rPr>
        <w:t>国海证券股份有限公司</w:t>
      </w:r>
      <w:r>
        <w:rPr>
          <w:spacing w:val="-7"/>
          <w:sz w:val="21"/>
        </w:rPr>
        <w:t>住所：广西桂林市辅星路 </w:t>
      </w:r>
      <w:r>
        <w:rPr>
          <w:rFonts w:ascii="Times New Roman" w:eastAsia="Times New Roman"/>
          <w:sz w:val="21"/>
        </w:rPr>
        <w:t>13</w:t>
      </w:r>
      <w:r>
        <w:rPr>
          <w:rFonts w:ascii="Times New Roman" w:eastAsia="Times New Roman"/>
          <w:spacing w:val="6"/>
          <w:sz w:val="21"/>
        </w:rPr>
        <w:t> </w:t>
      </w:r>
      <w:r>
        <w:rPr>
          <w:spacing w:val="-13"/>
          <w:sz w:val="21"/>
        </w:rPr>
        <w:t>号</w:t>
      </w:r>
    </w:p>
    <w:p>
      <w:pPr>
        <w:pStyle w:val="BodyText"/>
        <w:spacing w:line="424" w:lineRule="auto"/>
        <w:ind w:left="720" w:right="4393"/>
      </w:pPr>
      <w:r>
        <w:rPr/>
        <w:t>办公地址：广西壮族自治区南宁市滨湖路 </w:t>
      </w:r>
      <w:r>
        <w:rPr>
          <w:rFonts w:ascii="Times New Roman" w:eastAsia="Times New Roman"/>
        </w:rPr>
        <w:t>46 </w:t>
      </w:r>
      <w:r>
        <w:rPr/>
        <w:t>号法定代表人：何春梅</w:t>
      </w:r>
    </w:p>
    <w:p>
      <w:pPr>
        <w:pStyle w:val="BodyText"/>
        <w:spacing w:line="424" w:lineRule="auto"/>
        <w:ind w:left="720" w:right="6800"/>
        <w:rPr>
          <w:rFonts w:ascii="Times New Roman" w:eastAsia="Times New Roman"/>
        </w:rPr>
      </w:pPr>
      <w:r>
        <w:rPr/>
        <w:t>电话：</w:t>
      </w:r>
      <w:r>
        <w:rPr>
          <w:rFonts w:ascii="Times New Roman" w:eastAsia="Times New Roman"/>
        </w:rPr>
        <w:t>0755-83709350 </w:t>
      </w:r>
      <w:r>
        <w:rPr/>
        <w:t>传真：</w:t>
      </w:r>
      <w:r>
        <w:rPr>
          <w:rFonts w:ascii="Times New Roman" w:eastAsia="Times New Roman"/>
        </w:rPr>
        <w:t>0755-83704850</w:t>
      </w:r>
    </w:p>
    <w:p>
      <w:pPr>
        <w:pStyle w:val="BodyText"/>
        <w:spacing w:line="268" w:lineRule="exact"/>
        <w:ind w:left="720"/>
      </w:pPr>
      <w:r>
        <w:rPr/>
        <w:t>联系人：牛孟宇</w:t>
      </w:r>
    </w:p>
    <w:p>
      <w:pPr>
        <w:pStyle w:val="BodyText"/>
        <w:spacing w:before="12"/>
        <w:rPr>
          <w:sz w:val="15"/>
        </w:rPr>
      </w:pPr>
    </w:p>
    <w:p>
      <w:pPr>
        <w:pStyle w:val="BodyText"/>
        <w:spacing w:line="424" w:lineRule="auto"/>
        <w:ind w:left="720" w:right="6522"/>
        <w:rPr>
          <w:rFonts w:ascii="Times New Roman" w:eastAsia="Times New Roman"/>
        </w:rPr>
      </w:pPr>
      <w:r>
        <w:rPr/>
        <w:t>网址：</w:t>
      </w:r>
      <w:hyperlink r:id="rId161">
        <w:r>
          <w:rPr>
            <w:rFonts w:ascii="Times New Roman" w:eastAsia="Times New Roman"/>
          </w:rPr>
          <w:t>www.ghzq.com.cn </w:t>
        </w:r>
      </w:hyperlink>
      <w:r>
        <w:rPr/>
        <w:t>客户服务电话：</w:t>
      </w:r>
      <w:r>
        <w:rPr>
          <w:rFonts w:ascii="Times New Roman" w:eastAsia="Times New Roman"/>
        </w:rPr>
        <w:t>95563</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财信证券有限责任公司</w:t>
      </w:r>
    </w:p>
    <w:p>
      <w:pPr>
        <w:pStyle w:val="BodyText"/>
        <w:spacing w:before="1"/>
        <w:rPr>
          <w:sz w:val="16"/>
        </w:rPr>
      </w:pPr>
    </w:p>
    <w:p>
      <w:pPr>
        <w:pStyle w:val="BodyText"/>
        <w:ind w:left="720"/>
      </w:pPr>
      <w:r>
        <w:rPr/>
        <w:t>住所：长沙市芙蓉中路二段 </w:t>
      </w:r>
      <w:r>
        <w:rPr>
          <w:rFonts w:ascii="Times New Roman" w:eastAsia="Times New Roman"/>
        </w:rPr>
        <w:t>80 </w:t>
      </w:r>
      <w:r>
        <w:rPr/>
        <w:t>号顺天国际财富中心 </w:t>
      </w:r>
      <w:r>
        <w:rPr>
          <w:rFonts w:ascii="Times New Roman" w:eastAsia="Times New Roman"/>
        </w:rPr>
        <w:t>26 </w:t>
      </w:r>
      <w:r>
        <w:rPr/>
        <w:t>层</w:t>
      </w:r>
    </w:p>
    <w:p>
      <w:pPr>
        <w:pStyle w:val="BodyText"/>
        <w:spacing w:before="1"/>
        <w:rPr>
          <w:sz w:val="16"/>
        </w:rPr>
      </w:pPr>
    </w:p>
    <w:p>
      <w:pPr>
        <w:pStyle w:val="BodyText"/>
        <w:spacing w:line="427" w:lineRule="auto" w:before="1"/>
        <w:ind w:left="720" w:right="2811"/>
      </w:pPr>
      <w:r>
        <w:rPr>
          <w:spacing w:val="-6"/>
        </w:rPr>
        <w:t>办公地址：长沙市芙蓉中路二段 </w:t>
      </w:r>
      <w:r>
        <w:rPr>
          <w:rFonts w:ascii="Times New Roman" w:eastAsia="Times New Roman"/>
        </w:rPr>
        <w:t>80 </w:t>
      </w:r>
      <w:r>
        <w:rPr>
          <w:spacing w:val="-8"/>
        </w:rPr>
        <w:t>号顺天国际财富中心 </w:t>
      </w:r>
      <w:r>
        <w:rPr>
          <w:rFonts w:ascii="Times New Roman" w:eastAsia="Times New Roman"/>
        </w:rPr>
        <w:t>26-28 </w:t>
      </w:r>
      <w:r>
        <w:rPr/>
        <w:t>层</w:t>
      </w:r>
      <w:r>
        <w:rPr>
          <w:spacing w:val="-3"/>
        </w:rPr>
        <w:t>法定代表人：蔡一兵</w:t>
      </w:r>
    </w:p>
    <w:p>
      <w:pPr>
        <w:pStyle w:val="BodyText"/>
        <w:spacing w:line="424" w:lineRule="auto"/>
        <w:ind w:left="720" w:right="6800"/>
        <w:rPr>
          <w:rFonts w:ascii="Times New Roman" w:eastAsia="Times New Roman"/>
        </w:rPr>
      </w:pPr>
      <w:r>
        <w:rPr/>
        <w:t>电话：</w:t>
      </w:r>
      <w:r>
        <w:rPr>
          <w:rFonts w:ascii="Times New Roman" w:eastAsia="Times New Roman"/>
        </w:rPr>
        <w:t>0731-84403347 </w:t>
      </w:r>
      <w:r>
        <w:rPr/>
        <w:t>传真：</w:t>
      </w:r>
      <w:r>
        <w:rPr>
          <w:rFonts w:ascii="Times New Roman" w:eastAsia="Times New Roman"/>
        </w:rPr>
        <w:t>0731-84403439</w:t>
      </w:r>
    </w:p>
    <w:p>
      <w:pPr>
        <w:pStyle w:val="BodyText"/>
        <w:spacing w:line="267" w:lineRule="exact"/>
        <w:ind w:left="720"/>
      </w:pPr>
      <w:r>
        <w:rPr/>
        <w:t>联系人：郭静</w:t>
      </w:r>
    </w:p>
    <w:p>
      <w:pPr>
        <w:pStyle w:val="BodyText"/>
        <w:spacing w:before="9"/>
        <w:rPr>
          <w:sz w:val="15"/>
        </w:rPr>
      </w:pPr>
    </w:p>
    <w:p>
      <w:pPr>
        <w:pStyle w:val="BodyText"/>
        <w:spacing w:line="424" w:lineRule="auto"/>
        <w:ind w:left="720" w:right="6767"/>
        <w:rPr>
          <w:rFonts w:ascii="Times New Roman" w:eastAsia="Times New Roman"/>
        </w:rPr>
      </w:pPr>
      <w:r>
        <w:rPr/>
        <w:t>网址：</w:t>
      </w:r>
      <w:hyperlink r:id="rId162">
        <w:r>
          <w:rPr>
            <w:rFonts w:ascii="Times New Roman" w:eastAsia="Times New Roman"/>
          </w:rPr>
          <w:t>www.cfzq.com </w:t>
        </w:r>
      </w:hyperlink>
      <w:r>
        <w:rPr/>
        <w:t>客户服务电话：</w:t>
      </w:r>
      <w:r>
        <w:rPr>
          <w:rFonts w:ascii="Times New Roman" w:eastAsia="Times New Roman"/>
        </w:rPr>
        <w:t>95317</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东莞证券股份有限公司</w:t>
      </w:r>
    </w:p>
    <w:p>
      <w:pPr>
        <w:pStyle w:val="BodyText"/>
        <w:spacing w:before="1"/>
        <w:rPr>
          <w:sz w:val="16"/>
        </w:rPr>
      </w:pPr>
    </w:p>
    <w:p>
      <w:pPr>
        <w:pStyle w:val="BodyText"/>
        <w:ind w:left="720"/>
      </w:pPr>
      <w:r>
        <w:rPr/>
        <w:t>住所：东莞市莞城区可园南路 </w:t>
      </w:r>
      <w:r>
        <w:rPr>
          <w:rFonts w:ascii="Times New Roman" w:eastAsia="Times New Roman"/>
        </w:rPr>
        <w:t>1 </w:t>
      </w:r>
      <w:r>
        <w:rPr/>
        <w:t>号金源中心</w:t>
      </w:r>
    </w:p>
    <w:p>
      <w:pPr>
        <w:pStyle w:val="BodyText"/>
        <w:spacing w:before="4"/>
        <w:rPr>
          <w:sz w:val="16"/>
        </w:rPr>
      </w:pPr>
    </w:p>
    <w:p>
      <w:pPr>
        <w:pStyle w:val="BodyText"/>
        <w:spacing w:line="424" w:lineRule="auto"/>
        <w:ind w:left="720" w:right="3826"/>
      </w:pPr>
      <w:r>
        <w:rPr>
          <w:spacing w:val="-6"/>
        </w:rPr>
        <w:t>办公地址：东莞市莞城区可园南路 </w:t>
      </w:r>
      <w:r>
        <w:rPr>
          <w:rFonts w:ascii="Times New Roman" w:eastAsia="Times New Roman"/>
        </w:rPr>
        <w:t>1 </w:t>
      </w:r>
      <w:r>
        <w:rPr>
          <w:spacing w:val="-11"/>
        </w:rPr>
        <w:t>号金源中心 </w:t>
      </w:r>
      <w:r>
        <w:rPr>
          <w:rFonts w:ascii="Times New Roman" w:eastAsia="Times New Roman"/>
        </w:rPr>
        <w:t>30 </w:t>
      </w:r>
      <w:r>
        <w:rPr/>
        <w:t>楼</w:t>
      </w:r>
      <w:r>
        <w:rPr>
          <w:spacing w:val="-3"/>
        </w:rPr>
        <w:t>法定代表人：张运勇</w:t>
      </w:r>
    </w:p>
    <w:p>
      <w:pPr>
        <w:pStyle w:val="BodyText"/>
        <w:spacing w:line="424" w:lineRule="auto"/>
        <w:ind w:left="720" w:right="523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pStyle w:val="BodyText"/>
        <w:spacing w:line="424" w:lineRule="auto"/>
        <w:ind w:left="720" w:right="6565"/>
        <w:rPr>
          <w:rFonts w:ascii="Times New Roman" w:eastAsia="Times New Roman"/>
        </w:rPr>
      </w:pPr>
      <w:r>
        <w:rPr>
          <w:spacing w:val="-3"/>
        </w:rPr>
        <w:t>联系人：李荣、孙旭  网址：</w:t>
      </w:r>
      <w:hyperlink r:id="rId163">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10"/>
        </w:numPr>
        <w:tabs>
          <w:tab w:pos="1459" w:val="left" w:leader="none"/>
        </w:tabs>
        <w:spacing w:line="266" w:lineRule="exact" w:before="0" w:after="0"/>
        <w:ind w:left="1458" w:right="0" w:hanging="739"/>
        <w:jc w:val="left"/>
        <w:rPr>
          <w:sz w:val="21"/>
        </w:rPr>
      </w:pPr>
      <w:r>
        <w:rPr>
          <w:spacing w:val="-3"/>
          <w:sz w:val="21"/>
        </w:rPr>
        <w:t>中原证券股份有限公司</w:t>
      </w:r>
    </w:p>
    <w:p>
      <w:pPr>
        <w:spacing w:after="0" w:line="266" w:lineRule="exact"/>
        <w:jc w:val="left"/>
        <w:rPr>
          <w:sz w:val="21"/>
        </w:rPr>
        <w:sectPr>
          <w:pgSz w:w="11910" w:h="16840"/>
          <w:pgMar w:header="701" w:footer="683" w:top="1420" w:bottom="880" w:left="1500" w:right="920"/>
        </w:sectPr>
      </w:pPr>
    </w:p>
    <w:p>
      <w:pPr>
        <w:pStyle w:val="BodyText"/>
        <w:spacing w:before="115"/>
        <w:ind w:left="720"/>
      </w:pPr>
      <w:r>
        <w:rPr/>
        <w:t>住所：郑州市郑东新区商务外环路 </w:t>
      </w:r>
      <w:r>
        <w:rPr>
          <w:rFonts w:ascii="Times New Roman" w:eastAsia="Times New Roman"/>
        </w:rPr>
        <w:t>10 </w:t>
      </w:r>
      <w:r>
        <w:rPr/>
        <w:t>号</w:t>
      </w:r>
    </w:p>
    <w:p>
      <w:pPr>
        <w:pStyle w:val="BodyText"/>
        <w:rPr>
          <w:sz w:val="16"/>
        </w:rPr>
      </w:pPr>
    </w:p>
    <w:p>
      <w:pPr>
        <w:pStyle w:val="BodyText"/>
        <w:spacing w:line="424" w:lineRule="auto" w:before="1"/>
        <w:ind w:left="720" w:right="4603"/>
      </w:pPr>
      <w:r>
        <w:rPr/>
        <w:t>办公地址：郑州市郑东新区商务外环路 </w:t>
      </w:r>
      <w:r>
        <w:rPr>
          <w:rFonts w:ascii="Times New Roman" w:eastAsia="Times New Roman"/>
        </w:rPr>
        <w:t>10 </w:t>
      </w:r>
      <w:r>
        <w:rPr/>
        <w:t>号法定代表人：菅明军</w:t>
      </w:r>
    </w:p>
    <w:p>
      <w:pPr>
        <w:pStyle w:val="BodyText"/>
        <w:spacing w:line="424" w:lineRule="auto"/>
        <w:ind w:left="720" w:right="6800"/>
        <w:rPr>
          <w:rFonts w:ascii="Times New Roman" w:eastAsia="Times New Roman"/>
        </w:rPr>
      </w:pPr>
      <w:r>
        <w:rPr/>
        <w:t>电话：</w:t>
      </w:r>
      <w:r>
        <w:rPr>
          <w:rFonts w:ascii="Times New Roman" w:eastAsia="Times New Roman"/>
        </w:rPr>
        <w:t>0371-69099882 </w:t>
      </w:r>
      <w:r>
        <w:rPr/>
        <w:t>传真：</w:t>
      </w:r>
      <w:r>
        <w:rPr>
          <w:rFonts w:ascii="Times New Roman" w:eastAsia="Times New Roman"/>
        </w:rPr>
        <w:t>0371-65585899</w:t>
      </w:r>
    </w:p>
    <w:p>
      <w:pPr>
        <w:pStyle w:val="BodyText"/>
        <w:spacing w:line="424" w:lineRule="auto"/>
        <w:ind w:left="720" w:right="5818"/>
        <w:rPr>
          <w:rFonts w:ascii="Times New Roman" w:eastAsia="Times New Roman"/>
        </w:rPr>
      </w:pPr>
      <w:r>
        <w:rPr/>
        <w:t>联系人：程月艳、李盼盼、党静网址：</w:t>
      </w:r>
      <w:hyperlink r:id="rId164">
        <w:r>
          <w:rPr>
            <w:rFonts w:ascii="Times New Roman" w:eastAsia="Times New Roman"/>
          </w:rPr>
          <w:t>www.ccnew.com</w:t>
        </w:r>
      </w:hyperlink>
    </w:p>
    <w:p>
      <w:pPr>
        <w:pStyle w:val="BodyText"/>
        <w:spacing w:line="268" w:lineRule="exact"/>
        <w:ind w:left="720"/>
        <w:rPr>
          <w:rFonts w:ascii="Times New Roman" w:eastAsia="Times New Roman"/>
        </w:rPr>
      </w:pPr>
      <w:r>
        <w:rPr/>
        <w:t>客户服务电话：</w:t>
      </w:r>
      <w:r>
        <w:rPr>
          <w:rFonts w:ascii="Times New Roman" w:eastAsia="Times New Roman"/>
        </w:rPr>
        <w:t>95377</w:t>
      </w:r>
    </w:p>
    <w:p>
      <w:pPr>
        <w:pStyle w:val="BodyText"/>
        <w:spacing w:before="8"/>
        <w:rPr>
          <w:rFonts w:ascii="Times New Roman"/>
          <w:sz w:val="17"/>
        </w:rPr>
      </w:pP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国都证券股份有限公司</w:t>
      </w:r>
    </w:p>
    <w:p>
      <w:pPr>
        <w:pStyle w:val="BodyText"/>
        <w:rPr>
          <w:sz w:val="16"/>
        </w:rPr>
      </w:pPr>
    </w:p>
    <w:p>
      <w:pPr>
        <w:pStyle w:val="BodyText"/>
        <w:spacing w:before="1"/>
        <w:ind w:left="72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1"/>
        <w:rPr>
          <w:sz w:val="16"/>
        </w:rPr>
      </w:pPr>
    </w:p>
    <w:p>
      <w:pPr>
        <w:pStyle w:val="BodyText"/>
        <w:spacing w:line="424" w:lineRule="auto"/>
        <w:ind w:left="720" w:right="240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010-84183389</w:t>
      </w:r>
    </w:p>
    <w:p>
      <w:pPr>
        <w:pStyle w:val="BodyText"/>
        <w:spacing w:before="1"/>
        <w:rPr>
          <w:rFonts w:ascii="Times New Roman"/>
          <w:sz w:val="18"/>
        </w:rPr>
      </w:pPr>
    </w:p>
    <w:p>
      <w:pPr>
        <w:pStyle w:val="BodyText"/>
        <w:ind w:left="720"/>
        <w:rPr>
          <w:rFonts w:ascii="Times New Roman" w:eastAsia="Times New Roman"/>
        </w:rPr>
      </w:pPr>
      <w:r>
        <w:rPr/>
        <w:t>传真：</w:t>
      </w:r>
      <w:r>
        <w:rPr>
          <w:rFonts w:ascii="Times New Roman" w:eastAsia="Times New Roman"/>
        </w:rPr>
        <w:t>010-84183311-3389</w:t>
      </w:r>
    </w:p>
    <w:p>
      <w:pPr>
        <w:pStyle w:val="BodyText"/>
        <w:rPr>
          <w:rFonts w:ascii="Times New Roman"/>
          <w:sz w:val="18"/>
        </w:rPr>
      </w:pPr>
    </w:p>
    <w:p>
      <w:pPr>
        <w:pStyle w:val="BodyText"/>
        <w:ind w:left="720"/>
      </w:pPr>
      <w:r>
        <w:rPr/>
        <w:t>联系人：黄静</w:t>
      </w:r>
    </w:p>
    <w:p>
      <w:pPr>
        <w:pStyle w:val="BodyText"/>
        <w:spacing w:before="1"/>
        <w:rPr>
          <w:sz w:val="16"/>
        </w:rPr>
      </w:pPr>
    </w:p>
    <w:p>
      <w:pPr>
        <w:pStyle w:val="BodyText"/>
        <w:ind w:left="720"/>
        <w:rPr>
          <w:rFonts w:ascii="Times New Roman" w:eastAsia="Times New Roman"/>
        </w:rPr>
      </w:pPr>
      <w:r>
        <w:rPr/>
        <w:t>网址：</w:t>
      </w:r>
      <w:hyperlink r:id="rId165">
        <w:r>
          <w:rPr>
            <w:rFonts w:ascii="Times New Roman" w:eastAsia="Times New Roman"/>
          </w:rPr>
          <w:t>www.guodu.com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400-818-8118</w:t>
      </w:r>
    </w:p>
    <w:p>
      <w:pPr>
        <w:pStyle w:val="BodyText"/>
        <w:spacing w:before="10"/>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东海证券股份有限公司</w:t>
      </w:r>
    </w:p>
    <w:p>
      <w:pPr>
        <w:pStyle w:val="BodyText"/>
        <w:spacing w:before="1"/>
        <w:rPr>
          <w:sz w:val="16"/>
        </w:rPr>
      </w:pPr>
    </w:p>
    <w:p>
      <w:pPr>
        <w:pStyle w:val="BodyText"/>
        <w:ind w:left="72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1"/>
        <w:rPr>
          <w:sz w:val="16"/>
        </w:rPr>
      </w:pPr>
    </w:p>
    <w:p>
      <w:pPr>
        <w:pStyle w:val="BodyText"/>
        <w:spacing w:line="424" w:lineRule="auto" w:before="1"/>
        <w:ind w:left="720" w:right="3553"/>
      </w:pPr>
      <w:r>
        <w:rPr/>
        <w:t>办公地址：上海市浦东新区东方路 </w:t>
      </w:r>
      <w:r>
        <w:rPr>
          <w:rFonts w:ascii="Times New Roman" w:eastAsia="Times New Roman"/>
        </w:rPr>
        <w:t>1928 </w:t>
      </w:r>
      <w:r>
        <w:rPr/>
        <w:t>号东海证券大厦法定代表人：钱俊文</w:t>
      </w:r>
    </w:p>
    <w:p>
      <w:pPr>
        <w:pStyle w:val="BodyText"/>
        <w:spacing w:line="424" w:lineRule="auto" w:before="1"/>
        <w:ind w:left="720" w:right="690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7" w:lineRule="exact"/>
        <w:ind w:left="720"/>
      </w:pPr>
      <w:r>
        <w:rPr/>
        <w:t>联系人：王一彦</w:t>
      </w:r>
    </w:p>
    <w:p>
      <w:pPr>
        <w:pStyle w:val="BodyText"/>
        <w:spacing w:before="1"/>
        <w:rPr>
          <w:sz w:val="16"/>
        </w:rPr>
      </w:pPr>
    </w:p>
    <w:p>
      <w:pPr>
        <w:pStyle w:val="BodyText"/>
        <w:ind w:left="720"/>
        <w:rPr>
          <w:rFonts w:ascii="Times New Roman" w:eastAsia="Times New Roman"/>
        </w:rPr>
      </w:pPr>
      <w:r>
        <w:rPr/>
        <w:t>网址：</w:t>
      </w:r>
      <w:hyperlink r:id="rId166">
        <w:r>
          <w:rPr>
            <w:rFonts w:ascii="Times New Roman" w:eastAsia="Times New Roman"/>
          </w:rPr>
          <w:t>www.longone.com.cn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11"/>
        <w:rPr>
          <w:rFonts w:ascii="Times New Roman"/>
          <w:sz w:val="17"/>
        </w:rPr>
      </w:pPr>
    </w:p>
    <w:p>
      <w:pPr>
        <w:pStyle w:val="ListParagraph"/>
        <w:numPr>
          <w:ilvl w:val="0"/>
          <w:numId w:val="10"/>
        </w:numPr>
        <w:tabs>
          <w:tab w:pos="1459" w:val="left" w:leader="none"/>
        </w:tabs>
        <w:spacing w:line="240" w:lineRule="auto" w:before="0" w:after="0"/>
        <w:ind w:left="1458" w:right="0" w:hanging="739"/>
        <w:jc w:val="left"/>
        <w:rPr>
          <w:sz w:val="21"/>
        </w:rPr>
      </w:pPr>
      <w:r>
        <w:rPr>
          <w:spacing w:val="-3"/>
          <w:sz w:val="21"/>
        </w:rPr>
        <w:t>中银国际证券股份有限公司</w:t>
      </w:r>
    </w:p>
    <w:p>
      <w:pPr>
        <w:pStyle w:val="BodyText"/>
        <w:spacing w:before="1"/>
        <w:rPr>
          <w:sz w:val="16"/>
        </w:rPr>
      </w:pPr>
    </w:p>
    <w:p>
      <w:pPr>
        <w:pStyle w:val="BodyText"/>
        <w:ind w:left="720"/>
      </w:pPr>
      <w:r>
        <w:rPr>
          <w:spacing w:val="-7"/>
        </w:rPr>
        <w:t>住所：上海浦东新区银城中路 </w:t>
      </w:r>
      <w:r>
        <w:rPr>
          <w:rFonts w:ascii="Times New Roman" w:eastAsia="Times New Roman"/>
        </w:rPr>
        <w:t>200</w:t>
      </w:r>
      <w:r>
        <w:rPr>
          <w:rFonts w:ascii="Times New Roman" w:eastAsia="Times New Roman"/>
          <w:spacing w:val="6"/>
        </w:rPr>
        <w:t> </w:t>
      </w:r>
      <w:r>
        <w:rPr>
          <w:spacing w:val="-11"/>
        </w:rPr>
        <w:t>号中银大厦 </w:t>
      </w:r>
      <w:r>
        <w:rPr>
          <w:rFonts w:ascii="Times New Roman" w:eastAsia="Times New Roman"/>
        </w:rPr>
        <w:t>39</w:t>
      </w:r>
      <w:r>
        <w:rPr>
          <w:rFonts w:ascii="Times New Roman" w:eastAsia="Times New Roman"/>
          <w:spacing w:val="2"/>
        </w:rPr>
        <w:t> </w:t>
      </w:r>
      <w:r>
        <w:rPr/>
        <w:t>层</w:t>
      </w:r>
    </w:p>
    <w:p>
      <w:pPr>
        <w:pStyle w:val="BodyText"/>
        <w:spacing w:before="1"/>
        <w:rPr>
          <w:sz w:val="16"/>
        </w:rPr>
      </w:pPr>
    </w:p>
    <w:p>
      <w:pPr>
        <w:pStyle w:val="BodyText"/>
        <w:spacing w:before="1"/>
        <w:ind w:left="720"/>
      </w:pPr>
      <w:r>
        <w:rPr/>
        <w:t>办公地址：上海浦东新区银城中路 </w:t>
      </w:r>
      <w:r>
        <w:rPr>
          <w:rFonts w:ascii="Times New Roman" w:eastAsia="Times New Roman"/>
        </w:rPr>
        <w:t>200 </w:t>
      </w:r>
      <w:r>
        <w:rPr/>
        <w:t>号中银大厦 </w:t>
      </w:r>
      <w:r>
        <w:rPr>
          <w:rFonts w:ascii="Times New Roman" w:eastAsia="Times New Roman"/>
        </w:rPr>
        <w:t>39 </w:t>
      </w:r>
      <w:r>
        <w:rPr/>
        <w:t>层</w:t>
      </w:r>
    </w:p>
    <w:p>
      <w:pPr>
        <w:spacing w:after="0"/>
        <w:sectPr>
          <w:pgSz w:w="11910" w:h="16840"/>
          <w:pgMar w:header="701" w:footer="683" w:top="1420" w:bottom="880" w:left="1500" w:right="920"/>
        </w:sectPr>
      </w:pPr>
    </w:p>
    <w:p>
      <w:pPr>
        <w:pStyle w:val="BodyText"/>
        <w:spacing w:line="424" w:lineRule="auto" w:before="115"/>
        <w:ind w:left="720" w:right="6844"/>
        <w:rPr>
          <w:rFonts w:ascii="Times New Roman" w:eastAsia="Times New Roman"/>
        </w:rPr>
      </w:pPr>
      <w:r>
        <w:rPr/>
        <w:t>法定代表人：宁敏电话：</w:t>
      </w:r>
      <w:r>
        <w:rPr>
          <w:rFonts w:ascii="Times New Roman" w:eastAsia="Times New Roman"/>
        </w:rPr>
        <w:t>021-20328000 </w:t>
      </w:r>
      <w:r>
        <w:rPr/>
        <w:t>传真：</w:t>
      </w:r>
      <w:r>
        <w:rPr>
          <w:rFonts w:ascii="Times New Roman" w:eastAsia="Times New Roman"/>
        </w:rPr>
        <w:t>021-50372474</w:t>
      </w:r>
    </w:p>
    <w:p>
      <w:pPr>
        <w:pStyle w:val="BodyText"/>
        <w:spacing w:line="266" w:lineRule="exact"/>
        <w:ind w:left="720"/>
      </w:pPr>
      <w:r>
        <w:rPr/>
        <w:t>联系人：王炜哲</w:t>
      </w:r>
    </w:p>
    <w:p>
      <w:pPr>
        <w:pStyle w:val="BodyText"/>
        <w:rPr>
          <w:sz w:val="16"/>
        </w:rPr>
      </w:pPr>
    </w:p>
    <w:p>
      <w:pPr>
        <w:pStyle w:val="BodyText"/>
        <w:spacing w:line="427" w:lineRule="auto" w:before="1"/>
        <w:ind w:left="720" w:right="6101"/>
        <w:rPr>
          <w:rFonts w:ascii="Times New Roman" w:eastAsia="Times New Roman"/>
        </w:rPr>
      </w:pPr>
      <w:r>
        <w:rPr/>
        <w:t>网址：</w:t>
      </w:r>
      <w:hyperlink r:id="rId167">
        <w:r>
          <w:rPr>
            <w:rFonts w:ascii="Times New Roman" w:eastAsia="Times New Roman"/>
          </w:rPr>
          <w:t>www.bocichina.com.cn </w:t>
        </w:r>
      </w:hyperlink>
      <w:r>
        <w:rPr/>
        <w:t>客户服务电话：</w:t>
      </w:r>
      <w:r>
        <w:rPr>
          <w:rFonts w:ascii="Times New Roman" w:eastAsia="Times New Roman"/>
        </w:rPr>
        <w:t>400-620-8888</w:t>
      </w:r>
    </w:p>
    <w:p>
      <w:pPr>
        <w:pStyle w:val="ListParagraph"/>
        <w:numPr>
          <w:ilvl w:val="0"/>
          <w:numId w:val="10"/>
        </w:numPr>
        <w:tabs>
          <w:tab w:pos="1459" w:val="left" w:leader="none"/>
        </w:tabs>
        <w:spacing w:line="264" w:lineRule="exact" w:before="0" w:after="0"/>
        <w:ind w:left="1458" w:right="0" w:hanging="739"/>
        <w:jc w:val="left"/>
        <w:rPr>
          <w:sz w:val="21"/>
        </w:rPr>
      </w:pPr>
      <w:r>
        <w:rPr>
          <w:spacing w:val="-3"/>
          <w:sz w:val="21"/>
        </w:rPr>
        <w:t>恒泰证券股份有限公司</w:t>
      </w:r>
    </w:p>
    <w:p>
      <w:pPr>
        <w:pStyle w:val="BodyText"/>
        <w:spacing w:before="1"/>
        <w:rPr>
          <w:sz w:val="16"/>
        </w:rPr>
      </w:pPr>
    </w:p>
    <w:p>
      <w:pPr>
        <w:pStyle w:val="BodyText"/>
        <w:ind w:left="720"/>
      </w:pPr>
      <w:r>
        <w:rPr/>
        <w:t>住所：内蒙古呼和浩特市新城区新华东街 </w:t>
      </w:r>
      <w:r>
        <w:rPr>
          <w:rFonts w:ascii="Times New Roman" w:eastAsia="Times New Roman"/>
        </w:rPr>
        <w:t>111 </w:t>
      </w:r>
      <w:r>
        <w:rPr/>
        <w:t>号</w:t>
      </w:r>
    </w:p>
    <w:p>
      <w:pPr>
        <w:pStyle w:val="BodyText"/>
        <w:spacing w:before="1"/>
        <w:rPr>
          <w:sz w:val="16"/>
        </w:rPr>
      </w:pPr>
    </w:p>
    <w:p>
      <w:pPr>
        <w:pStyle w:val="BodyText"/>
        <w:spacing w:line="424" w:lineRule="auto" w:before="1"/>
        <w:ind w:left="720" w:right="3876"/>
      </w:pPr>
      <w:r>
        <w:rPr/>
        <w:t>办公地址：内蒙古呼和浩特市新城区新华东街 </w:t>
      </w:r>
      <w:r>
        <w:rPr>
          <w:rFonts w:ascii="Times New Roman" w:eastAsia="Times New Roman"/>
        </w:rPr>
        <w:t>111 </w:t>
      </w:r>
      <w:r>
        <w:rPr/>
        <w:t>号法定代表人：庞介民</w:t>
      </w:r>
    </w:p>
    <w:p>
      <w:pPr>
        <w:pStyle w:val="BodyText"/>
        <w:spacing w:line="424" w:lineRule="auto"/>
        <w:ind w:left="720" w:right="690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7" w:lineRule="exact"/>
        <w:ind w:left="720"/>
      </w:pPr>
      <w:r>
        <w:rPr/>
        <w:t>联系人：张同亮</w:t>
      </w:r>
    </w:p>
    <w:p>
      <w:pPr>
        <w:pStyle w:val="BodyText"/>
        <w:spacing w:before="1"/>
        <w:rPr>
          <w:sz w:val="16"/>
        </w:rPr>
      </w:pPr>
    </w:p>
    <w:p>
      <w:pPr>
        <w:pStyle w:val="BodyText"/>
        <w:spacing w:line="424" w:lineRule="auto"/>
        <w:ind w:left="720" w:right="6569"/>
        <w:rPr>
          <w:rFonts w:ascii="Times New Roman" w:eastAsia="Times New Roman"/>
        </w:rPr>
      </w:pPr>
      <w:r>
        <w:rPr/>
        <w:t>网址：</w:t>
      </w:r>
      <w:hyperlink r:id="rId168">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国盛证券有限责任公司</w:t>
      </w:r>
    </w:p>
    <w:p>
      <w:pPr>
        <w:pStyle w:val="BodyText"/>
        <w:spacing w:before="1"/>
        <w:rPr>
          <w:sz w:val="16"/>
        </w:rPr>
      </w:pPr>
    </w:p>
    <w:p>
      <w:pPr>
        <w:pStyle w:val="BodyText"/>
        <w:ind w:left="720"/>
      </w:pPr>
      <w:r>
        <w:rPr>
          <w:spacing w:val="-7"/>
        </w:rPr>
        <w:t>住所：南昌市北京西路 </w:t>
      </w:r>
      <w:r>
        <w:rPr>
          <w:rFonts w:ascii="Times New Roman" w:eastAsia="Times New Roman"/>
        </w:rPr>
        <w:t>88</w:t>
      </w:r>
      <w:r>
        <w:rPr>
          <w:rFonts w:ascii="Times New Roman" w:eastAsia="Times New Roman"/>
          <w:spacing w:val="7"/>
        </w:rPr>
        <w:t> </w:t>
      </w:r>
      <w:r>
        <w:rPr>
          <w:spacing w:val="-3"/>
        </w:rPr>
        <w:t>号江信国际金融大厦</w:t>
      </w:r>
    </w:p>
    <w:p>
      <w:pPr>
        <w:pStyle w:val="BodyText"/>
        <w:spacing w:before="1"/>
        <w:rPr>
          <w:sz w:val="16"/>
        </w:rPr>
      </w:pPr>
    </w:p>
    <w:p>
      <w:pPr>
        <w:pStyle w:val="BodyText"/>
        <w:spacing w:line="424" w:lineRule="auto"/>
        <w:ind w:left="720" w:right="2300"/>
      </w:pPr>
      <w:r>
        <w:rPr/>
        <w:t>办公地址：江西省南昌市红谷滩新区凤凰中大道 </w:t>
      </w:r>
      <w:r>
        <w:rPr>
          <w:rFonts w:ascii="Times New Roman" w:eastAsia="Times New Roman"/>
        </w:rPr>
        <w:t>1115 </w:t>
      </w:r>
      <w:r>
        <w:rPr/>
        <w:t>号北京银行大楼法定代表人：徐丽峰</w:t>
      </w:r>
    </w:p>
    <w:p>
      <w:pPr>
        <w:pStyle w:val="BodyText"/>
        <w:spacing w:line="424" w:lineRule="auto"/>
        <w:ind w:left="720" w:right="543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ind w:left="720"/>
      </w:pPr>
      <w:r>
        <w:rPr/>
        <w:t>联系人：占文驰</w:t>
      </w:r>
    </w:p>
    <w:p>
      <w:pPr>
        <w:pStyle w:val="BodyText"/>
        <w:rPr>
          <w:sz w:val="16"/>
        </w:rPr>
      </w:pPr>
    </w:p>
    <w:p>
      <w:pPr>
        <w:pStyle w:val="BodyText"/>
        <w:spacing w:line="424" w:lineRule="auto"/>
        <w:ind w:left="720" w:right="6661"/>
        <w:rPr>
          <w:rFonts w:ascii="Times New Roman" w:eastAsia="Times New Roman"/>
        </w:rPr>
      </w:pPr>
      <w:r>
        <w:rPr/>
        <w:t>网址：</w:t>
      </w:r>
      <w:hyperlink r:id="rId169">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华西证券股份有限公司</w:t>
      </w:r>
    </w:p>
    <w:p>
      <w:pPr>
        <w:pStyle w:val="BodyText"/>
        <w:spacing w:before="1"/>
        <w:rPr>
          <w:sz w:val="16"/>
        </w:rPr>
      </w:pPr>
    </w:p>
    <w:p>
      <w:pPr>
        <w:pStyle w:val="BodyText"/>
        <w:ind w:left="720"/>
      </w:pPr>
      <w:r>
        <w:rPr/>
        <w:t>住所：四川省成都市高新区天府二街 </w:t>
      </w:r>
      <w:r>
        <w:rPr>
          <w:rFonts w:ascii="Times New Roman" w:eastAsia="Times New Roman"/>
        </w:rPr>
        <w:t>198 </w:t>
      </w:r>
      <w:r>
        <w:rPr/>
        <w:t>号</w:t>
      </w:r>
    </w:p>
    <w:p>
      <w:pPr>
        <w:pStyle w:val="BodyText"/>
        <w:spacing w:before="1"/>
        <w:rPr>
          <w:sz w:val="16"/>
        </w:rPr>
      </w:pPr>
    </w:p>
    <w:p>
      <w:pPr>
        <w:pStyle w:val="BodyText"/>
        <w:spacing w:line="424" w:lineRule="auto"/>
        <w:ind w:left="720" w:right="4349"/>
      </w:pPr>
      <w:r>
        <w:rPr>
          <w:spacing w:val="-6"/>
        </w:rPr>
        <w:t>办公地址：四川省成都市高新区天府二街 </w:t>
      </w:r>
      <w:r>
        <w:rPr>
          <w:rFonts w:ascii="Times New Roman" w:eastAsia="Times New Roman"/>
        </w:rPr>
        <w:t>198</w:t>
      </w:r>
      <w:r>
        <w:rPr>
          <w:rFonts w:ascii="Times New Roman" w:eastAsia="Times New Roman"/>
          <w:spacing w:val="8"/>
        </w:rPr>
        <w:t> </w:t>
      </w:r>
      <w:r>
        <w:rPr>
          <w:spacing w:val="-11"/>
        </w:rPr>
        <w:t>号</w:t>
      </w:r>
      <w:r>
        <w:rPr>
          <w:spacing w:val="-3"/>
        </w:rPr>
        <w:t>法定代表人：杨炯洋</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010-58124967</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028-86150040</w:t>
      </w:r>
    </w:p>
    <w:p>
      <w:pPr>
        <w:pStyle w:val="BodyText"/>
        <w:spacing w:before="10"/>
        <w:rPr>
          <w:rFonts w:ascii="Times New Roman"/>
          <w:sz w:val="17"/>
        </w:rPr>
      </w:pPr>
    </w:p>
    <w:p>
      <w:pPr>
        <w:pStyle w:val="BodyText"/>
        <w:ind w:left="720"/>
      </w:pPr>
      <w:r>
        <w:rPr/>
        <w:t>联系人：谢国梅</w:t>
      </w:r>
    </w:p>
    <w:p>
      <w:pPr>
        <w:pStyle w:val="BodyText"/>
        <w:spacing w:before="1"/>
        <w:rPr>
          <w:sz w:val="16"/>
        </w:rPr>
      </w:pPr>
    </w:p>
    <w:p>
      <w:pPr>
        <w:pStyle w:val="BodyText"/>
        <w:spacing w:line="424" w:lineRule="auto"/>
        <w:ind w:left="720" w:right="6404"/>
        <w:rPr>
          <w:rFonts w:ascii="Times New Roman" w:eastAsia="Times New Roman"/>
        </w:rPr>
      </w:pPr>
      <w:r>
        <w:rPr/>
        <w:t>网址：</w:t>
      </w:r>
      <w:hyperlink r:id="rId170">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申万宏源西部证券有限公司</w:t>
      </w:r>
    </w:p>
    <w:p>
      <w:pPr>
        <w:pStyle w:val="BodyText"/>
        <w:spacing w:before="4"/>
        <w:rPr>
          <w:sz w:val="16"/>
        </w:rPr>
      </w:pPr>
    </w:p>
    <w:p>
      <w:pPr>
        <w:pStyle w:val="BodyText"/>
        <w:ind w:left="72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1"/>
        <w:rPr>
          <w:sz w:val="16"/>
        </w:rPr>
      </w:pPr>
    </w:p>
    <w:p>
      <w:pPr>
        <w:pStyle w:val="BodyText"/>
        <w:ind w:left="72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rPr>
          <w:rFonts w:ascii="Times New Roman"/>
          <w:sz w:val="18"/>
        </w:rPr>
      </w:pPr>
    </w:p>
    <w:p>
      <w:pPr>
        <w:pStyle w:val="BodyText"/>
        <w:ind w:left="300"/>
      </w:pPr>
      <w:r>
        <w:rPr/>
        <w:t>室（</w:t>
      </w:r>
      <w:r>
        <w:rPr>
          <w:rFonts w:ascii="Times New Roman" w:eastAsia="Times New Roman"/>
        </w:rPr>
        <w:t>830002</w:t>
      </w:r>
      <w:r>
        <w:rPr/>
        <w:t>）</w:t>
      </w:r>
    </w:p>
    <w:p>
      <w:pPr>
        <w:pStyle w:val="BodyText"/>
        <w:spacing w:before="1"/>
        <w:rPr>
          <w:sz w:val="16"/>
        </w:rPr>
      </w:pPr>
    </w:p>
    <w:p>
      <w:pPr>
        <w:pStyle w:val="BodyText"/>
        <w:spacing w:line="424" w:lineRule="auto"/>
        <w:ind w:left="720" w:right="687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6" w:lineRule="exact"/>
        <w:ind w:left="720"/>
      </w:pPr>
      <w:r>
        <w:rPr/>
        <w:t>联系人：王怀春</w:t>
      </w:r>
    </w:p>
    <w:p>
      <w:pPr>
        <w:pStyle w:val="BodyText"/>
        <w:spacing w:before="1"/>
        <w:rPr>
          <w:sz w:val="16"/>
        </w:rPr>
      </w:pPr>
    </w:p>
    <w:p>
      <w:pPr>
        <w:pStyle w:val="BodyText"/>
        <w:ind w:left="720"/>
        <w:rPr>
          <w:rFonts w:ascii="Times New Roman" w:eastAsia="Times New Roman"/>
        </w:rPr>
      </w:pPr>
      <w:r>
        <w:rPr/>
        <w:t>网址：</w:t>
      </w:r>
      <w:hyperlink r:id="rId171">
        <w:r>
          <w:rPr>
            <w:rFonts w:ascii="Times New Roman" w:eastAsia="Times New Roman"/>
          </w:rPr>
          <w:t>www.hysec.com</w:t>
        </w:r>
      </w:hyperlink>
    </w:p>
    <w:p>
      <w:pPr>
        <w:pStyle w:val="BodyText"/>
        <w:spacing w:before="1"/>
        <w:rPr>
          <w:rFonts w:ascii="Times New Roman"/>
          <w:sz w:val="18"/>
        </w:rPr>
      </w:pPr>
    </w:p>
    <w:p>
      <w:pPr>
        <w:pStyle w:val="BodyText"/>
        <w:spacing w:before="1"/>
        <w:ind w:left="720"/>
        <w:rPr>
          <w:rFonts w:ascii="Times New Roman" w:eastAsia="Times New Roman"/>
        </w:rPr>
      </w:pPr>
      <w:r>
        <w:rPr/>
        <w:t>客户服务电话：</w:t>
      </w:r>
      <w:r>
        <w:rPr>
          <w:rFonts w:ascii="Times New Roman" w:eastAsia="Times New Roman"/>
        </w:rPr>
        <w:t>400-800-0562</w:t>
      </w:r>
    </w:p>
    <w:p>
      <w:pPr>
        <w:pStyle w:val="BodyText"/>
        <w:spacing w:before="10"/>
        <w:rPr>
          <w:rFonts w:ascii="Times New Roman"/>
          <w:sz w:val="17"/>
        </w:rPr>
      </w:pPr>
    </w:p>
    <w:p>
      <w:pPr>
        <w:pStyle w:val="ListParagraph"/>
        <w:numPr>
          <w:ilvl w:val="0"/>
          <w:numId w:val="10"/>
        </w:numPr>
        <w:tabs>
          <w:tab w:pos="1459" w:val="left" w:leader="none"/>
        </w:tabs>
        <w:spacing w:line="240" w:lineRule="auto" w:before="1" w:after="0"/>
        <w:ind w:left="1458" w:right="0" w:hanging="739"/>
        <w:jc w:val="left"/>
        <w:rPr>
          <w:sz w:val="21"/>
        </w:rPr>
      </w:pPr>
      <w:r>
        <w:rPr>
          <w:spacing w:val="-3"/>
          <w:sz w:val="21"/>
        </w:rPr>
        <w:t>中泰证券股份有限公司</w:t>
      </w:r>
    </w:p>
    <w:p>
      <w:pPr>
        <w:pStyle w:val="BodyText"/>
        <w:spacing w:before="1"/>
        <w:rPr>
          <w:sz w:val="16"/>
        </w:rPr>
      </w:pPr>
    </w:p>
    <w:p>
      <w:pPr>
        <w:pStyle w:val="BodyText"/>
        <w:ind w:left="720"/>
      </w:pPr>
      <w:r>
        <w:rPr/>
        <w:t>住所：山东省济南市市中区经七路 </w:t>
      </w:r>
      <w:r>
        <w:rPr>
          <w:rFonts w:ascii="Times New Roman" w:eastAsia="Times New Roman"/>
        </w:rPr>
        <w:t>86 </w:t>
      </w:r>
      <w:r>
        <w:rPr/>
        <w:t>号</w:t>
      </w:r>
    </w:p>
    <w:p>
      <w:pPr>
        <w:pStyle w:val="BodyText"/>
        <w:spacing w:before="1"/>
        <w:rPr>
          <w:sz w:val="16"/>
        </w:rPr>
      </w:pPr>
    </w:p>
    <w:p>
      <w:pPr>
        <w:pStyle w:val="BodyText"/>
        <w:spacing w:line="424" w:lineRule="auto"/>
        <w:ind w:left="720" w:right="4603"/>
      </w:pPr>
      <w:r>
        <w:rPr/>
        <w:t>办公地址：山东省济南市市中区经七路 </w:t>
      </w:r>
      <w:r>
        <w:rPr>
          <w:rFonts w:ascii="Times New Roman" w:eastAsia="Times New Roman"/>
        </w:rPr>
        <w:t>86 </w:t>
      </w:r>
      <w:r>
        <w:rPr/>
        <w:t>号法定代表人：李玮</w:t>
      </w:r>
    </w:p>
    <w:p>
      <w:pPr>
        <w:pStyle w:val="BodyText"/>
        <w:spacing w:line="424" w:lineRule="auto"/>
        <w:ind w:left="720" w:right="690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7" w:lineRule="exact"/>
        <w:ind w:left="720"/>
      </w:pPr>
      <w:r>
        <w:rPr/>
        <w:t>联系人：许曼华</w:t>
      </w:r>
    </w:p>
    <w:p>
      <w:pPr>
        <w:pStyle w:val="BodyText"/>
        <w:spacing w:before="2"/>
        <w:rPr>
          <w:sz w:val="16"/>
        </w:rPr>
      </w:pPr>
    </w:p>
    <w:p>
      <w:pPr>
        <w:pStyle w:val="BodyText"/>
        <w:spacing w:line="424" w:lineRule="auto"/>
        <w:ind w:left="720" w:right="6697"/>
        <w:rPr>
          <w:rFonts w:ascii="Times New Roman" w:eastAsia="Times New Roman"/>
        </w:rPr>
      </w:pPr>
      <w:r>
        <w:rPr/>
        <w:t>网址：</w:t>
      </w:r>
      <w:hyperlink r:id="rId172">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10"/>
        </w:numPr>
        <w:tabs>
          <w:tab w:pos="1459" w:val="left" w:leader="none"/>
        </w:tabs>
        <w:spacing w:line="267" w:lineRule="exact" w:before="0" w:after="0"/>
        <w:ind w:left="1458" w:right="0" w:hanging="739"/>
        <w:jc w:val="left"/>
        <w:rPr>
          <w:sz w:val="21"/>
        </w:rPr>
      </w:pPr>
      <w:r>
        <w:rPr>
          <w:spacing w:val="-3"/>
          <w:sz w:val="21"/>
        </w:rPr>
        <w:t>世纪证券有限责任公司</w:t>
      </w:r>
    </w:p>
    <w:p>
      <w:pPr>
        <w:pStyle w:val="BodyText"/>
        <w:spacing w:before="1"/>
        <w:rPr>
          <w:sz w:val="16"/>
        </w:rPr>
      </w:pPr>
    </w:p>
    <w:p>
      <w:pPr>
        <w:pStyle w:val="BodyText"/>
        <w:ind w:left="720"/>
      </w:pPr>
      <w:r>
        <w:rPr/>
        <w:t>住所：深圳市前海深港合作区南山街道桂湾五路 </w:t>
      </w:r>
      <w:r>
        <w:rPr>
          <w:rFonts w:ascii="Times New Roman" w:eastAsia="Times New Roman"/>
        </w:rPr>
        <w:t>128 </w:t>
      </w:r>
      <w:r>
        <w:rPr/>
        <w:t>号前海深港基金小镇对冲基金中心</w:t>
      </w:r>
    </w:p>
    <w:p>
      <w:pPr>
        <w:pStyle w:val="BodyText"/>
        <w:rPr>
          <w:sz w:val="17"/>
        </w:rPr>
      </w:pPr>
    </w:p>
    <w:p>
      <w:pPr>
        <w:pStyle w:val="BodyText"/>
        <w:ind w:left="300"/>
        <w:rPr>
          <w:rFonts w:ascii="Times New Roman"/>
        </w:rPr>
      </w:pPr>
      <w:r>
        <w:rPr>
          <w:rFonts w:ascii="Times New Roman"/>
        </w:rPr>
        <w:t>406</w:t>
      </w:r>
    </w:p>
    <w:p>
      <w:pPr>
        <w:pStyle w:val="BodyText"/>
        <w:spacing w:before="3"/>
        <w:rPr>
          <w:rFonts w:ascii="Times New Roman"/>
          <w:sz w:val="19"/>
        </w:rPr>
      </w:pPr>
    </w:p>
    <w:p>
      <w:pPr>
        <w:pStyle w:val="BodyText"/>
        <w:spacing w:line="424" w:lineRule="auto" w:before="1"/>
        <w:ind w:left="720" w:right="3482"/>
      </w:pPr>
      <w:r>
        <w:rPr/>
        <w:t>办公地址：深圳市福田区深南大道招商银行大厦 </w:t>
      </w:r>
      <w:r>
        <w:rPr>
          <w:rFonts w:ascii="Times New Roman" w:eastAsia="Times New Roman"/>
        </w:rPr>
        <w:t>40-42 </w:t>
      </w:r>
      <w:r>
        <w:rPr/>
        <w:t>层法定代表人：李强</w:t>
      </w:r>
    </w:p>
    <w:p>
      <w:pPr>
        <w:pStyle w:val="BodyText"/>
        <w:spacing w:line="267" w:lineRule="exact"/>
        <w:ind w:left="720"/>
        <w:rPr>
          <w:rFonts w:ascii="Times New Roman" w:eastAsia="Times New Roman"/>
        </w:rPr>
      </w:pPr>
      <w:r>
        <w:rPr/>
        <w:t>客户服务电话：</w:t>
      </w:r>
      <w:r>
        <w:rPr>
          <w:rFonts w:ascii="Times New Roman" w:eastAsia="Times New Roman"/>
        </w:rPr>
        <w:t>400-832-3000</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0755-83199511</w:t>
      </w:r>
    </w:p>
    <w:p>
      <w:pPr>
        <w:pStyle w:val="BodyText"/>
        <w:spacing w:before="10"/>
        <w:rPr>
          <w:rFonts w:ascii="Times New Roman"/>
          <w:sz w:val="17"/>
        </w:rPr>
      </w:pPr>
    </w:p>
    <w:p>
      <w:pPr>
        <w:pStyle w:val="BodyText"/>
        <w:ind w:left="720"/>
      </w:pPr>
      <w:r>
        <w:rPr/>
        <w:t>联系人：王雯</w:t>
      </w:r>
    </w:p>
    <w:p>
      <w:pPr>
        <w:pStyle w:val="BodyText"/>
        <w:spacing w:before="1"/>
        <w:rPr>
          <w:sz w:val="16"/>
        </w:rPr>
      </w:pPr>
    </w:p>
    <w:p>
      <w:pPr>
        <w:pStyle w:val="BodyText"/>
        <w:ind w:left="720"/>
        <w:rPr>
          <w:rFonts w:ascii="Times New Roman" w:eastAsia="Times New Roman"/>
        </w:rPr>
      </w:pPr>
      <w:r>
        <w:rPr/>
        <w:t>网址：</w:t>
      </w:r>
      <w:hyperlink r:id="rId173">
        <w:r>
          <w:rPr>
            <w:rFonts w:ascii="Times New Roman" w:eastAsia="Times New Roman"/>
          </w:rPr>
          <w:t>www.csco.com.cn</w:t>
        </w:r>
      </w:hyperlink>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第一创业证券股份有限公司</w:t>
      </w:r>
    </w:p>
    <w:p>
      <w:pPr>
        <w:pStyle w:val="BodyText"/>
        <w:spacing w:before="1"/>
        <w:rPr>
          <w:sz w:val="16"/>
        </w:rPr>
      </w:pPr>
    </w:p>
    <w:p>
      <w:pPr>
        <w:pStyle w:val="BodyText"/>
        <w:ind w:left="720"/>
      </w:pPr>
      <w:r>
        <w:rPr>
          <w:spacing w:val="-7"/>
        </w:rPr>
        <w:t>住所：深圳市福田区福华一路 </w:t>
      </w:r>
      <w:r>
        <w:rPr>
          <w:rFonts w:ascii="Times New Roman" w:eastAsia="Times New Roman"/>
          <w:spacing w:val="-3"/>
        </w:rPr>
        <w:t>115</w:t>
      </w:r>
      <w:r>
        <w:rPr>
          <w:rFonts w:ascii="Times New Roman" w:eastAsia="Times New Roman"/>
          <w:spacing w:val="4"/>
        </w:rPr>
        <w:t> </w:t>
      </w:r>
      <w:r>
        <w:rPr>
          <w:spacing w:val="-10"/>
        </w:rPr>
        <w:t>号投行大厦 </w:t>
      </w:r>
      <w:r>
        <w:rPr>
          <w:rFonts w:ascii="Times New Roman" w:eastAsia="Times New Roman"/>
        </w:rPr>
        <w:t>20</w:t>
      </w:r>
      <w:r>
        <w:rPr>
          <w:rFonts w:ascii="Times New Roman" w:eastAsia="Times New Roman"/>
          <w:spacing w:val="3"/>
        </w:rPr>
        <w:t> </w:t>
      </w:r>
      <w:r>
        <w:rPr/>
        <w:t>楼</w:t>
      </w:r>
    </w:p>
    <w:p>
      <w:pPr>
        <w:pStyle w:val="BodyText"/>
        <w:spacing w:before="3"/>
        <w:rPr>
          <w:sz w:val="16"/>
        </w:rPr>
      </w:pPr>
    </w:p>
    <w:p>
      <w:pPr>
        <w:pStyle w:val="BodyText"/>
        <w:spacing w:line="424" w:lineRule="auto" w:before="1"/>
        <w:ind w:left="720" w:right="362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24" w:lineRule="auto"/>
        <w:ind w:left="720" w:right="680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spacing w:line="267" w:lineRule="exact"/>
        <w:ind w:left="720"/>
      </w:pPr>
      <w:r>
        <w:rPr/>
        <w:t>联系人：单晶</w:t>
      </w:r>
    </w:p>
    <w:p>
      <w:pPr>
        <w:pStyle w:val="BodyText"/>
        <w:spacing w:before="12"/>
        <w:rPr>
          <w:sz w:val="15"/>
        </w:rPr>
      </w:pPr>
    </w:p>
    <w:p>
      <w:pPr>
        <w:pStyle w:val="BodyText"/>
        <w:spacing w:line="424" w:lineRule="auto"/>
        <w:ind w:left="720" w:right="6032"/>
        <w:rPr>
          <w:rFonts w:ascii="Times New Roman" w:eastAsia="Times New Roman"/>
        </w:rPr>
      </w:pPr>
      <w:r>
        <w:rPr/>
        <w:t>网址：</w:t>
      </w:r>
      <w:hyperlink r:id="rId174">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华林证券股份有限公司</w:t>
      </w:r>
    </w:p>
    <w:p>
      <w:pPr>
        <w:pStyle w:val="BodyText"/>
        <w:spacing w:before="3"/>
        <w:rPr>
          <w:sz w:val="16"/>
        </w:rPr>
      </w:pPr>
    </w:p>
    <w:p>
      <w:pPr>
        <w:pStyle w:val="BodyText"/>
        <w:spacing w:line="424" w:lineRule="auto" w:before="1"/>
        <w:ind w:left="720" w:right="1977"/>
      </w:pPr>
      <w:r>
        <w:rPr/>
        <w:t>住所：西藏自治区拉萨市柳梧新区察古大道 </w:t>
      </w:r>
      <w:r>
        <w:rPr>
          <w:rFonts w:ascii="Times New Roman" w:eastAsia="Times New Roman"/>
        </w:rPr>
        <w:t>1-1 </w:t>
      </w:r>
      <w:r>
        <w:rPr/>
        <w:t>号君泰国际</w:t>
      </w:r>
      <w:r>
        <w:rPr>
          <w:rFonts w:ascii="Times New Roman" w:eastAsia="Times New Roman"/>
        </w:rPr>
        <w:t>B </w:t>
      </w:r>
      <w:r>
        <w:rPr/>
        <w:t>栋一层 </w:t>
      </w:r>
      <w:r>
        <w:rPr>
          <w:rFonts w:ascii="Times New Roman" w:eastAsia="Times New Roman"/>
        </w:rPr>
        <w:t>3 </w:t>
      </w:r>
      <w:r>
        <w:rPr/>
        <w:t>号办公地址：深圳市福田区民田路 </w:t>
      </w:r>
      <w:r>
        <w:rPr>
          <w:rFonts w:ascii="Times New Roman" w:eastAsia="Times New Roman"/>
        </w:rPr>
        <w:t>178 </w:t>
      </w:r>
      <w:r>
        <w:rPr/>
        <w:t>号华融大厦 </w:t>
      </w:r>
      <w:r>
        <w:rPr>
          <w:rFonts w:ascii="Times New Roman" w:eastAsia="Times New Roman"/>
        </w:rPr>
        <w:t>6 </w:t>
      </w:r>
      <w:r>
        <w:rPr/>
        <w:t>楼</w:t>
      </w:r>
    </w:p>
    <w:p>
      <w:pPr>
        <w:pStyle w:val="BodyText"/>
        <w:spacing w:line="424" w:lineRule="auto"/>
        <w:ind w:left="720" w:right="6738"/>
        <w:rPr>
          <w:rFonts w:ascii="Times New Roman" w:eastAsia="Times New Roman"/>
        </w:rPr>
      </w:pPr>
      <w:r>
        <w:rPr/>
        <w:t>法定代表人：林立 电话：</w:t>
      </w:r>
      <w:r>
        <w:rPr>
          <w:rFonts w:ascii="Times New Roman" w:eastAsia="Times New Roman"/>
        </w:rPr>
        <w:t>0755-83255199 </w:t>
      </w:r>
      <w:r>
        <w:rPr/>
        <w:t>传真：</w:t>
      </w:r>
      <w:r>
        <w:rPr>
          <w:rFonts w:ascii="Times New Roman" w:eastAsia="Times New Roman"/>
        </w:rPr>
        <w:t>0755-82707700</w:t>
      </w:r>
    </w:p>
    <w:p>
      <w:pPr>
        <w:pStyle w:val="BodyText"/>
        <w:spacing w:line="266" w:lineRule="exact"/>
        <w:ind w:left="720"/>
      </w:pPr>
      <w:r>
        <w:rPr/>
        <w:t>联系人：胡倩</w:t>
      </w:r>
    </w:p>
    <w:p>
      <w:pPr>
        <w:pStyle w:val="BodyText"/>
        <w:spacing w:before="12"/>
        <w:rPr>
          <w:sz w:val="15"/>
        </w:rPr>
      </w:pPr>
    </w:p>
    <w:p>
      <w:pPr>
        <w:pStyle w:val="BodyText"/>
        <w:ind w:left="720"/>
        <w:rPr>
          <w:rFonts w:ascii="Times New Roman" w:eastAsia="Times New Roman"/>
        </w:rPr>
      </w:pPr>
      <w:r>
        <w:rPr/>
        <w:t>网址：</w:t>
      </w:r>
      <w:hyperlink r:id="rId175">
        <w:r>
          <w:rPr>
            <w:rFonts w:ascii="Times New Roman" w:eastAsia="Times New Roman"/>
          </w:rPr>
          <w:t>www.chinalin.com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400-188-3888</w:t>
      </w:r>
    </w:p>
    <w:p>
      <w:pPr>
        <w:pStyle w:val="BodyText"/>
        <w:spacing w:before="2"/>
        <w:rPr>
          <w:rFonts w:ascii="Times New Roman"/>
          <w:sz w:val="18"/>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德邦证券股份有限公司</w:t>
      </w:r>
    </w:p>
    <w:p>
      <w:pPr>
        <w:pStyle w:val="BodyText"/>
        <w:spacing w:before="1"/>
        <w:rPr>
          <w:sz w:val="16"/>
        </w:rPr>
      </w:pPr>
    </w:p>
    <w:p>
      <w:pPr>
        <w:pStyle w:val="BodyText"/>
        <w:ind w:left="720"/>
      </w:pPr>
      <w:r>
        <w:rPr/>
        <w:t>住所：上海市普陀区曹杨路 </w:t>
      </w:r>
      <w:r>
        <w:rPr>
          <w:rFonts w:ascii="Times New Roman" w:eastAsia="Times New Roman"/>
        </w:rPr>
        <w:t>510 </w:t>
      </w:r>
      <w:r>
        <w:rPr/>
        <w:t>号南半幢 </w:t>
      </w:r>
      <w:r>
        <w:rPr>
          <w:rFonts w:ascii="Times New Roman" w:eastAsia="Times New Roman"/>
        </w:rPr>
        <w:t>9 </w:t>
      </w:r>
      <w:r>
        <w:rPr/>
        <w:t>楼</w:t>
      </w:r>
    </w:p>
    <w:p>
      <w:pPr>
        <w:pStyle w:val="BodyText"/>
        <w:spacing w:before="1"/>
        <w:rPr>
          <w:sz w:val="16"/>
        </w:rPr>
      </w:pPr>
    </w:p>
    <w:p>
      <w:pPr>
        <w:pStyle w:val="BodyText"/>
        <w:spacing w:line="424" w:lineRule="auto"/>
        <w:ind w:left="720" w:right="3192"/>
      </w:pPr>
      <w:r>
        <w:rPr>
          <w:spacing w:val="-6"/>
        </w:rPr>
        <w:t>办公地址：上海市浦东新区福山路 </w:t>
      </w:r>
      <w:r>
        <w:rPr>
          <w:rFonts w:ascii="Times New Roman" w:eastAsia="Times New Roman"/>
        </w:rPr>
        <w:t>500 </w:t>
      </w:r>
      <w:r>
        <w:rPr>
          <w:spacing w:val="-9"/>
        </w:rPr>
        <w:t>号城建国际中心 </w:t>
      </w:r>
      <w:r>
        <w:rPr>
          <w:rFonts w:ascii="Times New Roman" w:eastAsia="Times New Roman"/>
        </w:rPr>
        <w:t>26 </w:t>
      </w:r>
      <w:r>
        <w:rPr/>
        <w:t>楼</w:t>
      </w:r>
      <w:r>
        <w:rPr>
          <w:spacing w:val="-3"/>
        </w:rPr>
        <w:t>法定代表人：武晓春</w:t>
      </w:r>
    </w:p>
    <w:p>
      <w:pPr>
        <w:pStyle w:val="BodyText"/>
        <w:spacing w:line="424" w:lineRule="auto"/>
        <w:ind w:left="720" w:right="6906"/>
        <w:rPr>
          <w:rFonts w:ascii="Times New Roman" w:eastAsia="Times New Roman"/>
        </w:rPr>
      </w:pPr>
      <w:r>
        <w:rPr/>
        <w:t>电话：</w:t>
      </w:r>
      <w:r>
        <w:rPr>
          <w:rFonts w:ascii="Times New Roman" w:eastAsia="Times New Roman"/>
        </w:rPr>
        <w:t>021-68761616 </w:t>
      </w:r>
      <w:r>
        <w:rPr/>
        <w:t>传真：</w:t>
      </w:r>
      <w:r>
        <w:rPr>
          <w:rFonts w:ascii="Times New Roman" w:eastAsia="Times New Roman"/>
        </w:rPr>
        <w:t>021-68767032</w:t>
      </w:r>
    </w:p>
    <w:p>
      <w:pPr>
        <w:pStyle w:val="BodyText"/>
        <w:spacing w:line="267" w:lineRule="exact"/>
        <w:ind w:left="720"/>
      </w:pPr>
      <w:r>
        <w:rPr/>
        <w:t>联系人：刘熠</w:t>
      </w:r>
    </w:p>
    <w:p>
      <w:pPr>
        <w:pStyle w:val="BodyText"/>
        <w:spacing w:before="12"/>
        <w:rPr>
          <w:sz w:val="15"/>
        </w:rPr>
      </w:pPr>
    </w:p>
    <w:p>
      <w:pPr>
        <w:pStyle w:val="BodyText"/>
        <w:ind w:left="720"/>
        <w:rPr>
          <w:rFonts w:ascii="Times New Roman" w:eastAsia="Times New Roman"/>
        </w:rPr>
      </w:pPr>
      <w:r>
        <w:rPr/>
        <w:t>网址：</w:t>
      </w:r>
      <w:hyperlink r:id="rId176">
        <w:r>
          <w:rPr>
            <w:rFonts w:ascii="Times New Roman" w:eastAsia="Times New Roman"/>
          </w:rPr>
          <w:t>www.tebon.com.cn</w:t>
        </w:r>
      </w:hyperlink>
    </w:p>
    <w:p>
      <w:pPr>
        <w:spacing w:after="0"/>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客户服务电话：</w:t>
      </w:r>
      <w:r>
        <w:rPr>
          <w:rFonts w:ascii="Times New Roman" w:eastAsia="Times New Roman"/>
        </w:rPr>
        <w:t>400-888-8128</w:t>
      </w:r>
    </w:p>
    <w:p>
      <w:pPr>
        <w:pStyle w:val="BodyText"/>
        <w:spacing w:before="10"/>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西部证券股份有限公司</w:t>
      </w:r>
    </w:p>
    <w:p>
      <w:pPr>
        <w:pStyle w:val="BodyText"/>
        <w:spacing w:before="1"/>
        <w:rPr>
          <w:sz w:val="16"/>
        </w:rPr>
      </w:pPr>
    </w:p>
    <w:p>
      <w:pPr>
        <w:pStyle w:val="BodyText"/>
        <w:ind w:left="72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1"/>
        <w:rPr>
          <w:sz w:val="16"/>
        </w:rPr>
      </w:pPr>
    </w:p>
    <w:p>
      <w:pPr>
        <w:pStyle w:val="BodyText"/>
        <w:spacing w:line="424" w:lineRule="auto"/>
        <w:ind w:left="720" w:right="330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24" w:lineRule="auto" w:before="1"/>
        <w:ind w:left="720" w:right="690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8" w:lineRule="exact"/>
        <w:ind w:left="720"/>
      </w:pPr>
      <w:r>
        <w:rPr/>
        <w:t>联系人：梁承华</w:t>
      </w:r>
    </w:p>
    <w:p>
      <w:pPr>
        <w:pStyle w:val="BodyText"/>
        <w:spacing w:before="1"/>
        <w:rPr>
          <w:sz w:val="16"/>
        </w:rPr>
      </w:pPr>
    </w:p>
    <w:p>
      <w:pPr>
        <w:pStyle w:val="BodyText"/>
        <w:spacing w:line="424" w:lineRule="auto"/>
        <w:ind w:left="720" w:right="6421"/>
        <w:rPr>
          <w:rFonts w:ascii="Times New Roman" w:eastAsia="Times New Roman"/>
        </w:rPr>
      </w:pPr>
      <w:r>
        <w:rPr/>
        <w:t>网址：</w:t>
      </w:r>
      <w:hyperlink r:id="rId177">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华福证券有限责任公司</w:t>
      </w:r>
    </w:p>
    <w:p>
      <w:pPr>
        <w:pStyle w:val="BodyText"/>
        <w:spacing w:before="1"/>
        <w:rPr>
          <w:sz w:val="16"/>
        </w:rPr>
      </w:pPr>
    </w:p>
    <w:p>
      <w:pPr>
        <w:pStyle w:val="BodyText"/>
        <w:ind w:left="720"/>
      </w:pPr>
      <w:r>
        <w:rPr>
          <w:spacing w:val="-8"/>
        </w:rPr>
        <w:t>住所：福州市五四路 </w:t>
      </w:r>
      <w:r>
        <w:rPr>
          <w:rFonts w:ascii="Times New Roman" w:eastAsia="Times New Roman"/>
        </w:rPr>
        <w:t>157</w:t>
      </w:r>
      <w:r>
        <w:rPr>
          <w:rFonts w:ascii="Times New Roman" w:eastAsia="Times New Roman"/>
          <w:spacing w:val="2"/>
        </w:rPr>
        <w:t> </w:t>
      </w:r>
      <w:r>
        <w:rPr>
          <w:spacing w:val="-9"/>
        </w:rPr>
        <w:t>号新天地大厦 </w:t>
      </w:r>
      <w:r>
        <w:rPr>
          <w:rFonts w:ascii="Times New Roman" w:eastAsia="Times New Roman"/>
          <w:spacing w:val="-3"/>
        </w:rPr>
        <w:t>7</w:t>
      </w:r>
      <w:r>
        <w:rPr/>
        <w:t>、</w:t>
      </w:r>
      <w:r>
        <w:rPr>
          <w:rFonts w:ascii="Times New Roman" w:eastAsia="Times New Roman"/>
        </w:rPr>
        <w:t>8</w:t>
      </w:r>
      <w:r>
        <w:rPr>
          <w:rFonts w:ascii="Times New Roman" w:eastAsia="Times New Roman"/>
          <w:spacing w:val="4"/>
        </w:rPr>
        <w:t> </w:t>
      </w:r>
      <w:r>
        <w:rPr/>
        <w:t>层</w:t>
      </w:r>
    </w:p>
    <w:p>
      <w:pPr>
        <w:pStyle w:val="BodyText"/>
        <w:spacing w:before="1"/>
        <w:rPr>
          <w:sz w:val="16"/>
        </w:rPr>
      </w:pPr>
    </w:p>
    <w:p>
      <w:pPr>
        <w:pStyle w:val="BodyText"/>
        <w:spacing w:line="427" w:lineRule="auto"/>
        <w:ind w:left="720" w:right="382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24" w:lineRule="auto"/>
        <w:ind w:left="720" w:right="680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spacing w:line="267" w:lineRule="exact"/>
        <w:ind w:left="720"/>
      </w:pPr>
      <w:r>
        <w:rPr/>
        <w:t>联系人：张腾</w:t>
      </w:r>
    </w:p>
    <w:p>
      <w:pPr>
        <w:pStyle w:val="BodyText"/>
        <w:spacing w:before="9"/>
        <w:rPr>
          <w:sz w:val="15"/>
        </w:rPr>
      </w:pPr>
    </w:p>
    <w:p>
      <w:pPr>
        <w:pStyle w:val="BodyText"/>
        <w:spacing w:line="424" w:lineRule="auto"/>
        <w:ind w:left="720" w:right="6557"/>
        <w:rPr>
          <w:rFonts w:ascii="Times New Roman" w:eastAsia="Times New Roman"/>
        </w:rPr>
      </w:pPr>
      <w:r>
        <w:rPr/>
        <w:t>网址：</w:t>
      </w:r>
      <w:hyperlink r:id="rId178">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华龙证券股份有限公司</w:t>
      </w:r>
    </w:p>
    <w:p>
      <w:pPr>
        <w:pStyle w:val="BodyText"/>
        <w:spacing w:before="1"/>
        <w:rPr>
          <w:sz w:val="16"/>
        </w:rPr>
      </w:pPr>
    </w:p>
    <w:p>
      <w:pPr>
        <w:pStyle w:val="BodyText"/>
        <w:spacing w:before="1"/>
        <w:ind w:left="720"/>
      </w:pPr>
      <w:r>
        <w:rPr/>
        <w:t>住所：甘肃省兰州市静宁路 </w:t>
      </w:r>
      <w:r>
        <w:rPr>
          <w:rFonts w:ascii="Times New Roman" w:eastAsia="Times New Roman"/>
        </w:rPr>
        <w:t>308 </w:t>
      </w:r>
      <w:r>
        <w:rPr/>
        <w:t>号</w:t>
      </w:r>
    </w:p>
    <w:p>
      <w:pPr>
        <w:pStyle w:val="BodyText"/>
        <w:spacing w:before="4"/>
        <w:rPr>
          <w:sz w:val="16"/>
        </w:rPr>
      </w:pPr>
    </w:p>
    <w:p>
      <w:pPr>
        <w:pStyle w:val="BodyText"/>
        <w:spacing w:line="424" w:lineRule="auto"/>
        <w:ind w:left="720" w:right="5189"/>
      </w:pPr>
      <w:r>
        <w:rPr>
          <w:spacing w:val="-6"/>
        </w:rPr>
        <w:t>办公地址：甘肃省兰州市静宁路 </w:t>
      </w:r>
      <w:r>
        <w:rPr>
          <w:rFonts w:ascii="Times New Roman" w:eastAsia="Times New Roman"/>
        </w:rPr>
        <w:t>308</w:t>
      </w:r>
      <w:r>
        <w:rPr>
          <w:rFonts w:ascii="Times New Roman" w:eastAsia="Times New Roman"/>
          <w:spacing w:val="5"/>
        </w:rPr>
        <w:t> </w:t>
      </w:r>
      <w:r>
        <w:rPr>
          <w:spacing w:val="-12"/>
        </w:rPr>
        <w:t>号</w:t>
      </w:r>
      <w:r>
        <w:rPr>
          <w:spacing w:val="-3"/>
        </w:rPr>
        <w:t>法定代表人：李晓安</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0931-4890100</w:t>
      </w:r>
    </w:p>
    <w:p>
      <w:pPr>
        <w:pStyle w:val="BodyText"/>
        <w:spacing w:before="10"/>
        <w:rPr>
          <w:rFonts w:ascii="Times New Roman"/>
          <w:sz w:val="17"/>
        </w:rPr>
      </w:pPr>
    </w:p>
    <w:p>
      <w:pPr>
        <w:pStyle w:val="BodyText"/>
        <w:ind w:left="720"/>
      </w:pPr>
      <w:r>
        <w:rPr/>
        <w:t>联系人：李昕田</w:t>
      </w:r>
    </w:p>
    <w:p>
      <w:pPr>
        <w:pStyle w:val="BodyText"/>
        <w:spacing w:before="1"/>
        <w:rPr>
          <w:sz w:val="16"/>
        </w:rPr>
      </w:pPr>
    </w:p>
    <w:p>
      <w:pPr>
        <w:pStyle w:val="BodyText"/>
        <w:spacing w:before="1"/>
        <w:ind w:left="720"/>
        <w:rPr>
          <w:rFonts w:ascii="Times New Roman" w:eastAsia="Times New Roman"/>
        </w:rPr>
      </w:pPr>
      <w:r>
        <w:rPr/>
        <w:t>网址：</w:t>
      </w:r>
      <w:hyperlink r:id="rId179">
        <w:r>
          <w:rPr>
            <w:rFonts w:ascii="Times New Roman" w:eastAsia="Times New Roman"/>
          </w:rPr>
          <w:t>www.hlzqgs.com</w:t>
        </w:r>
      </w:hyperlink>
    </w:p>
    <w:p>
      <w:pPr>
        <w:pStyle w:val="BodyText"/>
        <w:spacing w:before="10"/>
        <w:rPr>
          <w:rFonts w:ascii="Times New Roman"/>
          <w:sz w:val="17"/>
        </w:rPr>
      </w:pPr>
    </w:p>
    <w:p>
      <w:pPr>
        <w:pStyle w:val="BodyText"/>
        <w:ind w:left="72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1"/>
        <w:rPr>
          <w:sz w:val="16"/>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中国国际金融股份有限公司</w:t>
      </w:r>
    </w:p>
    <w:p>
      <w:pPr>
        <w:pStyle w:val="BodyText"/>
        <w:spacing w:before="2"/>
        <w:rPr>
          <w:sz w:val="16"/>
        </w:rPr>
      </w:pPr>
    </w:p>
    <w:p>
      <w:pPr>
        <w:pStyle w:val="BodyText"/>
        <w:ind w:left="72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spacing w:after="0"/>
        <w:sectPr>
          <w:pgSz w:w="11910" w:h="16840"/>
          <w:pgMar w:header="701" w:footer="683" w:top="1420" w:bottom="880" w:left="1500" w:right="920"/>
        </w:sectPr>
      </w:pPr>
    </w:p>
    <w:p>
      <w:pPr>
        <w:pStyle w:val="BodyText"/>
        <w:spacing w:line="424" w:lineRule="auto" w:before="115"/>
        <w:ind w:left="720" w:right="288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24" w:lineRule="auto"/>
        <w:ind w:left="720" w:right="690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27" w:lineRule="auto"/>
        <w:ind w:left="720" w:right="6450"/>
        <w:rPr>
          <w:rFonts w:ascii="Times New Roman" w:eastAsia="Times New Roman"/>
        </w:rPr>
      </w:pPr>
      <w:r>
        <w:rPr/>
        <w:t>联系人：罗春蓉、武明明网址：</w:t>
      </w:r>
      <w:hyperlink r:id="rId180">
        <w:r>
          <w:rPr>
            <w:rFonts w:ascii="Times New Roman" w:eastAsia="Times New Roman"/>
          </w:rPr>
          <w:t>www.cicc.com.cn</w:t>
        </w:r>
      </w:hyperlink>
    </w:p>
    <w:p>
      <w:pPr>
        <w:pStyle w:val="BodyText"/>
        <w:spacing w:line="264" w:lineRule="exact"/>
        <w:ind w:left="720"/>
        <w:rPr>
          <w:rFonts w:ascii="Times New Roman" w:eastAsia="Times New Roman"/>
        </w:rPr>
      </w:pPr>
      <w:r>
        <w:rPr/>
        <w:t>客户服务电话：</w:t>
      </w:r>
      <w:r>
        <w:rPr>
          <w:rFonts w:ascii="Times New Roman" w:eastAsia="Times New Roman"/>
        </w:rPr>
        <w:t>010-65051166</w:t>
      </w:r>
    </w:p>
    <w:p>
      <w:pPr>
        <w:pStyle w:val="BodyText"/>
        <w:spacing w:before="6"/>
        <w:rPr>
          <w:rFonts w:ascii="Times New Roman"/>
          <w:sz w:val="17"/>
        </w:rPr>
      </w:pPr>
    </w:p>
    <w:p>
      <w:pPr>
        <w:pStyle w:val="ListParagraph"/>
        <w:numPr>
          <w:ilvl w:val="0"/>
          <w:numId w:val="11"/>
        </w:numPr>
        <w:tabs>
          <w:tab w:pos="1459" w:val="left" w:leader="none"/>
        </w:tabs>
        <w:spacing w:line="240" w:lineRule="auto" w:before="1" w:after="0"/>
        <w:ind w:left="1458" w:right="0" w:hanging="739"/>
        <w:jc w:val="left"/>
        <w:rPr>
          <w:sz w:val="21"/>
        </w:rPr>
      </w:pPr>
      <w:r>
        <w:rPr>
          <w:spacing w:val="-3"/>
          <w:sz w:val="21"/>
        </w:rPr>
        <w:t>财通证券股份有限公司</w:t>
      </w:r>
    </w:p>
    <w:p>
      <w:pPr>
        <w:pStyle w:val="BodyText"/>
        <w:spacing w:before="1"/>
        <w:rPr>
          <w:sz w:val="16"/>
        </w:rPr>
      </w:pPr>
    </w:p>
    <w:p>
      <w:pPr>
        <w:pStyle w:val="BodyText"/>
        <w:ind w:left="720"/>
      </w:pPr>
      <w:r>
        <w:rPr/>
        <w:t>住所：杭州市杭大路 </w:t>
      </w:r>
      <w:r>
        <w:rPr>
          <w:rFonts w:ascii="Times New Roman" w:eastAsia="Times New Roman"/>
        </w:rPr>
        <w:t>15 </w:t>
      </w:r>
      <w:r>
        <w:rPr/>
        <w:t>号嘉华国际商务中心</w:t>
      </w:r>
    </w:p>
    <w:p>
      <w:pPr>
        <w:pStyle w:val="BodyText"/>
        <w:spacing w:before="1"/>
        <w:rPr>
          <w:sz w:val="16"/>
        </w:rPr>
      </w:pPr>
    </w:p>
    <w:p>
      <w:pPr>
        <w:pStyle w:val="BodyText"/>
        <w:spacing w:line="424" w:lineRule="auto"/>
        <w:ind w:left="720" w:right="4184"/>
      </w:pPr>
      <w:r>
        <w:rPr/>
        <w:t>办公地址：杭州市杭大路 </w:t>
      </w:r>
      <w:r>
        <w:rPr>
          <w:rFonts w:ascii="Times New Roman" w:eastAsia="Times New Roman"/>
        </w:rPr>
        <w:t>15 </w:t>
      </w:r>
      <w:r>
        <w:rPr/>
        <w:t>号嘉华国际商务中心法定代表人：沈继宁</w:t>
      </w:r>
    </w:p>
    <w:p>
      <w:pPr>
        <w:pStyle w:val="BodyText"/>
        <w:spacing w:line="424" w:lineRule="auto"/>
        <w:ind w:left="720" w:right="6800"/>
        <w:rPr>
          <w:rFonts w:ascii="Times New Roman" w:eastAsia="Times New Roman"/>
        </w:rPr>
      </w:pPr>
      <w:r>
        <w:rPr/>
        <w:t>电话：</w:t>
      </w:r>
      <w:r>
        <w:rPr>
          <w:rFonts w:ascii="Times New Roman" w:eastAsia="Times New Roman"/>
        </w:rPr>
        <w:t>0571-87925129 </w:t>
      </w:r>
      <w:r>
        <w:rPr/>
        <w:t>传真：</w:t>
      </w:r>
      <w:r>
        <w:rPr>
          <w:rFonts w:ascii="Times New Roman" w:eastAsia="Times New Roman"/>
        </w:rPr>
        <w:t>0571-87818329</w:t>
      </w:r>
    </w:p>
    <w:p>
      <w:pPr>
        <w:pStyle w:val="BodyText"/>
        <w:ind w:left="720"/>
      </w:pPr>
      <w:r>
        <w:rPr/>
        <w:t>联系人：夏吉慧</w:t>
      </w:r>
    </w:p>
    <w:p>
      <w:pPr>
        <w:pStyle w:val="BodyText"/>
        <w:spacing w:before="12"/>
        <w:rPr>
          <w:sz w:val="15"/>
        </w:rPr>
      </w:pPr>
    </w:p>
    <w:p>
      <w:pPr>
        <w:pStyle w:val="BodyText"/>
        <w:spacing w:line="424" w:lineRule="auto"/>
        <w:ind w:left="720" w:right="6767"/>
        <w:rPr>
          <w:rFonts w:ascii="Times New Roman" w:eastAsia="Times New Roman"/>
        </w:rPr>
      </w:pPr>
      <w:r>
        <w:rPr/>
        <w:t>网址：</w:t>
      </w:r>
      <w:hyperlink r:id="rId181">
        <w:r>
          <w:rPr>
            <w:rFonts w:ascii="Times New Roman" w:eastAsia="Times New Roman"/>
          </w:rPr>
          <w:t>www.ctsec.com </w:t>
        </w:r>
      </w:hyperlink>
      <w:r>
        <w:rPr/>
        <w:t>客户服务电话：</w:t>
      </w:r>
      <w:r>
        <w:rPr>
          <w:rFonts w:ascii="Times New Roman" w:eastAsia="Times New Roman"/>
        </w:rPr>
        <w:t>95336</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上海华信证券有限责任公司</w:t>
      </w:r>
    </w:p>
    <w:p>
      <w:pPr>
        <w:pStyle w:val="BodyText"/>
        <w:spacing w:before="1"/>
        <w:rPr>
          <w:sz w:val="16"/>
        </w:rPr>
      </w:pPr>
    </w:p>
    <w:p>
      <w:pPr>
        <w:pStyle w:val="BodyText"/>
        <w:spacing w:before="1"/>
        <w:ind w:left="720"/>
      </w:pPr>
      <w:r>
        <w:rPr/>
        <w:t>住所：上海市浦东新区世纪大道 </w:t>
      </w:r>
      <w:r>
        <w:rPr>
          <w:rFonts w:ascii="Times New Roman" w:eastAsia="Times New Roman"/>
        </w:rPr>
        <w:t>100 </w:t>
      </w:r>
      <w:r>
        <w:rPr/>
        <w:t>号环球金融中心</w:t>
      </w:r>
    </w:p>
    <w:p>
      <w:pPr>
        <w:pStyle w:val="BodyText"/>
        <w:spacing w:before="1"/>
        <w:rPr>
          <w:sz w:val="16"/>
        </w:rPr>
      </w:pPr>
    </w:p>
    <w:p>
      <w:pPr>
        <w:pStyle w:val="BodyText"/>
        <w:spacing w:line="424" w:lineRule="auto"/>
        <w:ind w:left="720" w:right="3615"/>
      </w:pPr>
      <w:r>
        <w:rPr>
          <w:spacing w:val="-6"/>
        </w:rPr>
        <w:t>办公地址：上海市黄埔区南京西路 </w:t>
      </w:r>
      <w:r>
        <w:rPr>
          <w:rFonts w:ascii="Times New Roman" w:eastAsia="Times New Roman"/>
        </w:rPr>
        <w:t>399</w:t>
      </w:r>
      <w:r>
        <w:rPr>
          <w:rFonts w:ascii="Times New Roman" w:eastAsia="Times New Roman"/>
          <w:spacing w:val="6"/>
        </w:rPr>
        <w:t> </w:t>
      </w:r>
      <w:r>
        <w:rPr>
          <w:spacing w:val="-11"/>
        </w:rPr>
        <w:t>号明天广场 </w:t>
      </w:r>
      <w:r>
        <w:rPr>
          <w:rFonts w:ascii="Times New Roman" w:eastAsia="Times New Roman"/>
        </w:rPr>
        <w:t>20</w:t>
      </w:r>
      <w:r>
        <w:rPr>
          <w:rFonts w:ascii="Times New Roman" w:eastAsia="Times New Roman"/>
          <w:spacing w:val="6"/>
        </w:rPr>
        <w:t> </w:t>
      </w:r>
      <w:r>
        <w:rPr/>
        <w:t>楼</w:t>
      </w:r>
      <w:r>
        <w:rPr>
          <w:spacing w:val="-3"/>
        </w:rPr>
        <w:t>法定代表人：陈灿辉</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021-63898427</w:t>
      </w:r>
    </w:p>
    <w:p>
      <w:pPr>
        <w:pStyle w:val="BodyText"/>
        <w:spacing w:before="2"/>
        <w:rPr>
          <w:rFonts w:ascii="Times New Roman"/>
          <w:sz w:val="18"/>
        </w:rPr>
      </w:pPr>
    </w:p>
    <w:p>
      <w:pPr>
        <w:pStyle w:val="BodyText"/>
        <w:ind w:left="720"/>
        <w:rPr>
          <w:rFonts w:ascii="Times New Roman" w:eastAsia="Times New Roman"/>
        </w:rPr>
      </w:pPr>
      <w:r>
        <w:rPr/>
        <w:t>传真：</w:t>
      </w:r>
      <w:r>
        <w:rPr>
          <w:rFonts w:ascii="Times New Roman" w:eastAsia="Times New Roman"/>
        </w:rPr>
        <w:t>021-68776977-8427</w:t>
      </w:r>
    </w:p>
    <w:p>
      <w:pPr>
        <w:pStyle w:val="BodyText"/>
        <w:spacing w:before="10"/>
        <w:rPr>
          <w:rFonts w:ascii="Times New Roman"/>
          <w:sz w:val="17"/>
        </w:rPr>
      </w:pPr>
    </w:p>
    <w:p>
      <w:pPr>
        <w:pStyle w:val="BodyText"/>
        <w:spacing w:before="1"/>
        <w:ind w:left="720"/>
      </w:pPr>
      <w:r>
        <w:rPr/>
        <w:t>联系人：徐璐</w:t>
      </w:r>
    </w:p>
    <w:p>
      <w:pPr>
        <w:pStyle w:val="BodyText"/>
        <w:rPr>
          <w:sz w:val="16"/>
        </w:rPr>
      </w:pPr>
    </w:p>
    <w:p>
      <w:pPr>
        <w:pStyle w:val="BodyText"/>
        <w:spacing w:before="1"/>
        <w:ind w:left="720"/>
        <w:rPr>
          <w:rFonts w:ascii="Times New Roman" w:eastAsia="Times New Roman"/>
        </w:rPr>
      </w:pPr>
      <w:r>
        <w:rPr/>
        <w:t>网址：</w:t>
      </w:r>
      <w:hyperlink r:id="rId182">
        <w:r>
          <w:rPr>
            <w:rFonts w:ascii="Times New Roman" w:eastAsia="Times New Roman"/>
          </w:rPr>
          <w:t>www.shhxzq.com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400-820-5999</w:t>
      </w:r>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五矿证券有限公司</w:t>
      </w:r>
    </w:p>
    <w:p>
      <w:pPr>
        <w:pStyle w:val="BodyText"/>
        <w:spacing w:before="1"/>
        <w:rPr>
          <w:sz w:val="16"/>
        </w:rPr>
      </w:pPr>
    </w:p>
    <w:p>
      <w:pPr>
        <w:pStyle w:val="BodyText"/>
        <w:ind w:left="720"/>
      </w:pPr>
      <w:r>
        <w:rPr/>
        <w:t>住所：深圳市福田区金田路 </w:t>
      </w:r>
      <w:r>
        <w:rPr>
          <w:rFonts w:ascii="Times New Roman" w:eastAsia="Times New Roman"/>
        </w:rPr>
        <w:t>4028 </w:t>
      </w:r>
      <w:r>
        <w:rPr/>
        <w:t>号荣超经贸中心 </w:t>
      </w:r>
      <w:r>
        <w:rPr>
          <w:rFonts w:ascii="Times New Roman" w:eastAsia="Times New Roman"/>
        </w:rPr>
        <w:t>47 </w:t>
      </w:r>
      <w:r>
        <w:rPr/>
        <w:t>层 </w:t>
      </w:r>
      <w:r>
        <w:rPr>
          <w:rFonts w:ascii="Times New Roman" w:eastAsia="Times New Roman"/>
        </w:rPr>
        <w:t>01 </w:t>
      </w:r>
      <w:r>
        <w:rPr/>
        <w:t>单元</w:t>
      </w:r>
    </w:p>
    <w:p>
      <w:pPr>
        <w:pStyle w:val="BodyText"/>
        <w:spacing w:before="1"/>
        <w:rPr>
          <w:sz w:val="16"/>
        </w:rPr>
      </w:pPr>
    </w:p>
    <w:p>
      <w:pPr>
        <w:pStyle w:val="BodyText"/>
        <w:spacing w:line="424" w:lineRule="auto"/>
        <w:ind w:left="720" w:right="3300"/>
      </w:pPr>
      <w:r>
        <w:rPr>
          <w:spacing w:val="-6"/>
        </w:rPr>
        <w:t>办公地址：深圳市福田区金田路 </w:t>
      </w:r>
      <w:r>
        <w:rPr>
          <w:rFonts w:ascii="Times New Roman" w:eastAsia="Times New Roman"/>
        </w:rPr>
        <w:t>4028 </w:t>
      </w:r>
      <w:r>
        <w:rPr>
          <w:spacing w:val="-9"/>
        </w:rPr>
        <w:t>号荣超经贸中心 </w:t>
      </w:r>
      <w:r>
        <w:rPr>
          <w:rFonts w:ascii="Times New Roman" w:eastAsia="Times New Roman"/>
        </w:rPr>
        <w:t>47 </w:t>
      </w:r>
      <w:r>
        <w:rPr/>
        <w:t>层</w:t>
      </w:r>
      <w:r>
        <w:rPr>
          <w:spacing w:val="-3"/>
        </w:rPr>
        <w:t>法定代表人：黄海洲</w:t>
      </w:r>
    </w:p>
    <w:p>
      <w:pPr>
        <w:spacing w:after="0" w:line="424" w:lineRule="auto"/>
        <w:sectPr>
          <w:pgSz w:w="11910" w:h="16840"/>
          <w:pgMar w:header="701" w:footer="683" w:top="1420" w:bottom="880" w:left="1500" w:right="920"/>
        </w:sectPr>
      </w:pPr>
    </w:p>
    <w:p>
      <w:pPr>
        <w:pStyle w:val="BodyText"/>
        <w:spacing w:line="424" w:lineRule="auto" w:before="115"/>
        <w:ind w:left="720" w:right="6800"/>
        <w:rPr>
          <w:rFonts w:ascii="Times New Roman" w:eastAsia="Times New Roman"/>
        </w:rPr>
      </w:pPr>
      <w:r>
        <w:rPr/>
        <w:t>电话：</w:t>
      </w:r>
      <w:r>
        <w:rPr>
          <w:rFonts w:ascii="Times New Roman" w:eastAsia="Times New Roman"/>
        </w:rPr>
        <w:t>0755-82545596 </w:t>
      </w:r>
      <w:r>
        <w:rPr/>
        <w:t>传真：</w:t>
      </w:r>
      <w:r>
        <w:rPr>
          <w:rFonts w:ascii="Times New Roman" w:eastAsia="Times New Roman"/>
        </w:rPr>
        <w:t>0755-23907062</w:t>
      </w:r>
    </w:p>
    <w:p>
      <w:pPr>
        <w:pStyle w:val="BodyText"/>
        <w:spacing w:line="267" w:lineRule="exact"/>
        <w:ind w:left="720"/>
      </w:pPr>
      <w:r>
        <w:rPr/>
        <w:t>联系人：濮耘瑶</w:t>
      </w:r>
    </w:p>
    <w:p>
      <w:pPr>
        <w:pStyle w:val="BodyText"/>
        <w:rPr>
          <w:sz w:val="16"/>
        </w:rPr>
      </w:pPr>
    </w:p>
    <w:p>
      <w:pPr>
        <w:pStyle w:val="BodyText"/>
        <w:spacing w:before="1"/>
        <w:ind w:left="720"/>
        <w:rPr>
          <w:rFonts w:ascii="Times New Roman" w:eastAsia="Times New Roman"/>
        </w:rPr>
      </w:pPr>
      <w:r>
        <w:rPr/>
        <w:t>网址：</w:t>
      </w:r>
      <w:hyperlink r:id="rId183">
        <w:r>
          <w:rPr>
            <w:rFonts w:ascii="Times New Roman" w:eastAsia="Times New Roman"/>
          </w:rPr>
          <w:t>www.wkzq.com.cn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400-184-0028</w:t>
      </w:r>
    </w:p>
    <w:p>
      <w:pPr>
        <w:pStyle w:val="BodyText"/>
        <w:spacing w:before="2"/>
        <w:rPr>
          <w:rFonts w:ascii="Times New Roman"/>
          <w:sz w:val="18"/>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华鑫证券有限责任公司</w:t>
      </w:r>
    </w:p>
    <w:p>
      <w:pPr>
        <w:pStyle w:val="BodyText"/>
        <w:spacing w:before="1"/>
        <w:rPr>
          <w:sz w:val="16"/>
        </w:rPr>
      </w:pPr>
    </w:p>
    <w:p>
      <w:pPr>
        <w:pStyle w:val="BodyText"/>
        <w:spacing w:line="424" w:lineRule="auto"/>
        <w:ind w:left="720" w:right="109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5"/>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24" w:lineRule="auto"/>
        <w:ind w:left="720" w:right="684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6" w:lineRule="exact"/>
        <w:ind w:left="720"/>
      </w:pPr>
      <w:r>
        <w:rPr/>
        <w:t>联系人：杨莉娟</w:t>
      </w:r>
    </w:p>
    <w:p>
      <w:pPr>
        <w:pStyle w:val="BodyText"/>
        <w:spacing w:before="12"/>
        <w:rPr>
          <w:sz w:val="15"/>
        </w:rPr>
      </w:pPr>
    </w:p>
    <w:p>
      <w:pPr>
        <w:pStyle w:val="BodyText"/>
        <w:ind w:left="720"/>
        <w:rPr>
          <w:rFonts w:ascii="Times New Roman" w:eastAsia="Times New Roman"/>
        </w:rPr>
      </w:pPr>
      <w:r>
        <w:rPr/>
        <w:t>网址：</w:t>
      </w:r>
      <w:hyperlink r:id="rId184">
        <w:r>
          <w:rPr>
            <w:rFonts w:ascii="Times New Roman" w:eastAsia="Times New Roman"/>
          </w:rPr>
          <w:t>www.cfsc.com.cn</w:t>
        </w:r>
      </w:hyperlink>
    </w:p>
    <w:p>
      <w:pPr>
        <w:pStyle w:val="BodyText"/>
        <w:spacing w:before="2"/>
        <w:rPr>
          <w:rFonts w:ascii="Times New Roman"/>
          <w:sz w:val="18"/>
        </w:rPr>
      </w:pPr>
    </w:p>
    <w:p>
      <w:pPr>
        <w:pStyle w:val="BodyText"/>
        <w:ind w:left="72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瑞银证券有限责任公司</w:t>
      </w:r>
    </w:p>
    <w:p>
      <w:pPr>
        <w:pStyle w:val="BodyText"/>
        <w:spacing w:before="1"/>
        <w:rPr>
          <w:sz w:val="16"/>
        </w:rPr>
      </w:pPr>
    </w:p>
    <w:p>
      <w:pPr>
        <w:pStyle w:val="BodyText"/>
        <w:ind w:left="720"/>
      </w:pPr>
      <w:r>
        <w:rPr/>
        <w:t>住所：北京市西城区金融大街 </w:t>
      </w:r>
      <w:r>
        <w:rPr>
          <w:rFonts w:ascii="Times New Roman" w:eastAsia="Times New Roman"/>
        </w:rPr>
        <w:t>7 </w:t>
      </w:r>
      <w:r>
        <w:rPr/>
        <w:t>号英蓝国际金融中心 </w:t>
      </w:r>
      <w:r>
        <w:rPr>
          <w:rFonts w:ascii="Times New Roman" w:eastAsia="Times New Roman"/>
        </w:rPr>
        <w:t>12 </w:t>
      </w:r>
      <w:r>
        <w:rPr/>
        <w:t>层、</w:t>
      </w:r>
      <w:r>
        <w:rPr>
          <w:rFonts w:ascii="Times New Roman" w:eastAsia="Times New Roman"/>
        </w:rPr>
        <w:t>15 </w:t>
      </w:r>
      <w:r>
        <w:rPr/>
        <w:t>层</w:t>
      </w:r>
    </w:p>
    <w:p>
      <w:pPr>
        <w:pStyle w:val="BodyText"/>
        <w:spacing w:before="1"/>
        <w:rPr>
          <w:sz w:val="16"/>
        </w:rPr>
      </w:pPr>
    </w:p>
    <w:p>
      <w:pPr>
        <w:pStyle w:val="BodyText"/>
        <w:spacing w:line="424" w:lineRule="auto"/>
        <w:ind w:left="720" w:right="2299"/>
      </w:pPr>
      <w:r>
        <w:rPr>
          <w:spacing w:val="-6"/>
        </w:rPr>
        <w:t>办公地址：北京市西城区金融大街 </w:t>
      </w:r>
      <w:r>
        <w:rPr>
          <w:rFonts w:ascii="Times New Roman" w:eastAsia="Times New Roman"/>
        </w:rPr>
        <w:t>7 </w:t>
      </w:r>
      <w:r>
        <w:rPr>
          <w:spacing w:val="-8"/>
        </w:rPr>
        <w:t>号英蓝国际金融中心 </w:t>
      </w:r>
      <w:r>
        <w:rPr>
          <w:rFonts w:ascii="Times New Roman" w:eastAsia="Times New Roman"/>
        </w:rPr>
        <w:t>12 </w:t>
      </w:r>
      <w:r>
        <w:rPr/>
        <w:t>层、</w:t>
      </w:r>
      <w:r>
        <w:rPr>
          <w:rFonts w:ascii="Times New Roman" w:eastAsia="Times New Roman"/>
        </w:rPr>
        <w:t>15 </w:t>
      </w:r>
      <w:r>
        <w:rPr/>
        <w:t>层</w:t>
      </w:r>
      <w:r>
        <w:rPr>
          <w:spacing w:val="-3"/>
        </w:rPr>
        <w:t>法定代表人：程宜荪</w:t>
      </w:r>
    </w:p>
    <w:p>
      <w:pPr>
        <w:pStyle w:val="BodyText"/>
        <w:spacing w:line="424" w:lineRule="auto"/>
        <w:ind w:left="720" w:right="6906"/>
        <w:rPr>
          <w:rFonts w:ascii="Times New Roman" w:eastAsia="Times New Roman"/>
        </w:rPr>
      </w:pPr>
      <w:r>
        <w:rPr/>
        <w:t>电话：</w:t>
      </w:r>
      <w:r>
        <w:rPr>
          <w:rFonts w:ascii="Times New Roman" w:eastAsia="Times New Roman"/>
        </w:rPr>
        <w:t>010-58328112 </w:t>
      </w:r>
      <w:r>
        <w:rPr/>
        <w:t>传真：</w:t>
      </w:r>
      <w:r>
        <w:rPr>
          <w:rFonts w:ascii="Times New Roman" w:eastAsia="Times New Roman"/>
        </w:rPr>
        <w:t>010-58328748</w:t>
      </w:r>
    </w:p>
    <w:p>
      <w:pPr>
        <w:pStyle w:val="BodyText"/>
        <w:spacing w:line="267" w:lineRule="exact"/>
        <w:ind w:left="720"/>
      </w:pPr>
      <w:r>
        <w:rPr/>
        <w:t>联系人：牟冲</w:t>
      </w:r>
    </w:p>
    <w:p>
      <w:pPr>
        <w:pStyle w:val="BodyText"/>
        <w:spacing w:before="2"/>
        <w:rPr>
          <w:sz w:val="16"/>
        </w:rPr>
      </w:pPr>
    </w:p>
    <w:p>
      <w:pPr>
        <w:pStyle w:val="BodyText"/>
        <w:spacing w:line="424" w:lineRule="auto"/>
        <w:ind w:left="720" w:right="6101"/>
        <w:rPr>
          <w:rFonts w:ascii="Times New Roman" w:eastAsia="Times New Roman"/>
        </w:rPr>
      </w:pPr>
      <w:r>
        <w:rPr/>
        <w:t>网址：</w:t>
      </w:r>
      <w:hyperlink r:id="rId185">
        <w:r>
          <w:rPr>
            <w:rFonts w:ascii="Times New Roman" w:eastAsia="Times New Roman"/>
          </w:rPr>
          <w:t>www.ubssecurities.com </w:t>
        </w:r>
      </w:hyperlink>
      <w:r>
        <w:rPr/>
        <w:t>客户服务电话：</w:t>
      </w:r>
      <w:r>
        <w:rPr>
          <w:rFonts w:ascii="Times New Roman" w:eastAsia="Times New Roman"/>
        </w:rPr>
        <w:t>400-887-8827</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中国中金财富证券有限公司</w:t>
      </w:r>
    </w:p>
    <w:p>
      <w:pPr>
        <w:pStyle w:val="BodyText"/>
        <w:spacing w:before="1"/>
        <w:rPr>
          <w:sz w:val="16"/>
        </w:rPr>
      </w:pPr>
    </w:p>
    <w:p>
      <w:pPr>
        <w:pStyle w:val="BodyText"/>
        <w:spacing w:before="1"/>
        <w:ind w:left="720"/>
      </w:pPr>
      <w:r>
        <w:rPr/>
        <w:t>住所：深圳市福田区益田路与福中路交界处荣超商务中心 </w:t>
      </w:r>
      <w:r>
        <w:rPr>
          <w:rFonts w:ascii="Times New Roman" w:eastAsia="Times New Roman"/>
        </w:rPr>
        <w:t>A </w:t>
      </w:r>
      <w:r>
        <w:rPr/>
        <w:t>栋第 </w:t>
      </w:r>
      <w:r>
        <w:rPr>
          <w:rFonts w:ascii="Times New Roman" w:eastAsia="Times New Roman"/>
        </w:rPr>
        <w:t>18 </w:t>
      </w:r>
      <w:r>
        <w:rPr/>
        <w:t>层</w:t>
      </w:r>
      <w:r>
        <w:rPr>
          <w:rFonts w:ascii="Times New Roman" w:eastAsia="Times New Roman"/>
        </w:rPr>
        <w:t>-21 </w:t>
      </w:r>
      <w:r>
        <w:rPr/>
        <w:t>层及第 </w:t>
      </w:r>
      <w:r>
        <w:rPr>
          <w:rFonts w:ascii="Times New Roman" w:eastAsia="Times New Roman"/>
        </w:rPr>
        <w:t>04 </w:t>
      </w:r>
      <w:r>
        <w:rPr/>
        <w:t>层</w:t>
      </w:r>
    </w:p>
    <w:p>
      <w:pPr>
        <w:pStyle w:val="BodyText"/>
        <w:rPr>
          <w:sz w:val="16"/>
        </w:rPr>
      </w:pPr>
    </w:p>
    <w:p>
      <w:pPr>
        <w:pStyle w:val="BodyText"/>
        <w:spacing w:before="1"/>
        <w:ind w:left="300"/>
      </w:pPr>
      <w:r>
        <w:rPr>
          <w:rFonts w:ascii="Times New Roman" w:eastAsia="Times New Roman"/>
        </w:rPr>
        <w:t>01.02.03.05.11.12.13.15.16.18.19.20.21.22.23 </w:t>
      </w:r>
      <w:r>
        <w:rPr/>
        <w:t>单元</w:t>
      </w:r>
    </w:p>
    <w:p>
      <w:pPr>
        <w:pStyle w:val="BodyText"/>
        <w:spacing w:before="1"/>
        <w:rPr>
          <w:sz w:val="16"/>
        </w:rPr>
      </w:pPr>
    </w:p>
    <w:p>
      <w:pPr>
        <w:pStyle w:val="BodyText"/>
        <w:spacing w:line="424" w:lineRule="auto"/>
        <w:ind w:left="720" w:right="1468"/>
      </w:pPr>
      <w:r>
        <w:rPr>
          <w:spacing w:val="-7"/>
        </w:rPr>
        <w:t>办公地址：深圳市福田区益田路 </w:t>
      </w:r>
      <w:r>
        <w:rPr>
          <w:rFonts w:ascii="Times New Roman" w:eastAsia="Times New Roman"/>
        </w:rPr>
        <w:t>6003 </w:t>
      </w:r>
      <w:r>
        <w:rPr>
          <w:spacing w:val="4"/>
        </w:rPr>
        <w:t>号荣超商务中心</w:t>
      </w:r>
      <w:r>
        <w:rPr>
          <w:rFonts w:ascii="Times New Roman" w:eastAsia="Times New Roman"/>
        </w:rPr>
        <w:t>A </w:t>
      </w:r>
      <w:r>
        <w:rPr>
          <w:spacing w:val="-18"/>
        </w:rPr>
        <w:t>栋第 </w:t>
      </w:r>
      <w:r>
        <w:rPr>
          <w:rFonts w:ascii="Times New Roman" w:eastAsia="Times New Roman"/>
        </w:rPr>
        <w:t>04</w:t>
      </w:r>
      <w:r>
        <w:rPr/>
        <w:t>、</w:t>
      </w:r>
      <w:r>
        <w:rPr>
          <w:rFonts w:ascii="Times New Roman" w:eastAsia="Times New Roman"/>
        </w:rPr>
        <w:t>18 </w:t>
      </w:r>
      <w:r>
        <w:rPr>
          <w:spacing w:val="-17"/>
        </w:rPr>
        <w:t>层至 </w:t>
      </w:r>
      <w:r>
        <w:rPr>
          <w:rFonts w:ascii="Times New Roman" w:eastAsia="Times New Roman"/>
        </w:rPr>
        <w:t>21 </w:t>
      </w:r>
      <w:r>
        <w:rPr/>
        <w:t>层</w:t>
      </w:r>
      <w:r>
        <w:rPr>
          <w:spacing w:val="-3"/>
        </w:rPr>
        <w:t>法定代表人：高涛</w:t>
      </w:r>
    </w:p>
    <w:p>
      <w:pPr>
        <w:pStyle w:val="BodyText"/>
        <w:spacing w:line="267" w:lineRule="exact"/>
        <w:ind w:left="720"/>
        <w:rPr>
          <w:rFonts w:ascii="Times New Roman" w:eastAsia="Times New Roman"/>
        </w:rPr>
      </w:pPr>
      <w:r>
        <w:rPr/>
        <w:t>电话：</w:t>
      </w:r>
      <w:r>
        <w:rPr>
          <w:rFonts w:ascii="Times New Roman" w:eastAsia="Times New Roman"/>
        </w:rPr>
        <w:t>0755-88320851</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0755-82026942</w:t>
      </w:r>
    </w:p>
    <w:p>
      <w:pPr>
        <w:pStyle w:val="BodyText"/>
        <w:spacing w:before="10"/>
        <w:rPr>
          <w:rFonts w:ascii="Times New Roman"/>
          <w:sz w:val="17"/>
        </w:rPr>
      </w:pPr>
    </w:p>
    <w:p>
      <w:pPr>
        <w:pStyle w:val="BodyText"/>
        <w:ind w:left="720"/>
      </w:pPr>
      <w:r>
        <w:rPr/>
        <w:t>联系人：胡芷境</w:t>
      </w:r>
    </w:p>
    <w:p>
      <w:pPr>
        <w:pStyle w:val="BodyText"/>
        <w:spacing w:before="1"/>
        <w:rPr>
          <w:sz w:val="16"/>
        </w:rPr>
      </w:pPr>
    </w:p>
    <w:p>
      <w:pPr>
        <w:pStyle w:val="BodyText"/>
        <w:ind w:left="720"/>
        <w:rPr>
          <w:rFonts w:ascii="Times New Roman" w:eastAsia="Times New Roman"/>
        </w:rPr>
      </w:pPr>
      <w:r>
        <w:rPr/>
        <w:t>网址：</w:t>
      </w:r>
      <w:hyperlink r:id="rId186">
        <w:r>
          <w:rPr>
            <w:rFonts w:ascii="Times New Roman" w:eastAsia="Times New Roman"/>
          </w:rPr>
          <w:t>www.china-invs.cn</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400-600-8008</w:t>
      </w:r>
      <w:r>
        <w:rPr/>
        <w:t>、</w:t>
      </w:r>
      <w:r>
        <w:rPr>
          <w:rFonts w:ascii="Times New Roman" w:eastAsia="Times New Roman"/>
        </w:rPr>
        <w:t>95532</w:t>
      </w:r>
    </w:p>
    <w:p>
      <w:pPr>
        <w:pStyle w:val="BodyText"/>
        <w:spacing w:before="10"/>
        <w:rPr>
          <w:rFonts w:ascii="Times New Roman"/>
          <w:sz w:val="17"/>
        </w:rPr>
      </w:pPr>
    </w:p>
    <w:p>
      <w:pPr>
        <w:pStyle w:val="ListParagraph"/>
        <w:numPr>
          <w:ilvl w:val="0"/>
          <w:numId w:val="11"/>
        </w:numPr>
        <w:tabs>
          <w:tab w:pos="1459" w:val="left" w:leader="none"/>
        </w:tabs>
        <w:spacing w:line="240" w:lineRule="auto" w:before="1" w:after="0"/>
        <w:ind w:left="1458" w:right="0" w:hanging="739"/>
        <w:jc w:val="left"/>
        <w:rPr>
          <w:sz w:val="21"/>
        </w:rPr>
      </w:pPr>
      <w:r>
        <w:rPr>
          <w:spacing w:val="-3"/>
          <w:sz w:val="21"/>
        </w:rPr>
        <w:t>中山证券有限责任公司</w:t>
      </w:r>
    </w:p>
    <w:p>
      <w:pPr>
        <w:pStyle w:val="BodyText"/>
        <w:spacing w:before="3"/>
        <w:rPr>
          <w:sz w:val="16"/>
        </w:rPr>
      </w:pPr>
    </w:p>
    <w:p>
      <w:pPr>
        <w:pStyle w:val="BodyText"/>
        <w:ind w:left="72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1"/>
        <w:rPr>
          <w:sz w:val="16"/>
        </w:rPr>
      </w:pPr>
    </w:p>
    <w:p>
      <w:pPr>
        <w:pStyle w:val="BodyText"/>
        <w:spacing w:line="424" w:lineRule="auto"/>
        <w:ind w:left="720" w:right="288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24" w:lineRule="auto"/>
        <w:ind w:left="720" w:right="680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7" w:lineRule="exact"/>
        <w:ind w:left="720"/>
      </w:pPr>
      <w:r>
        <w:rPr/>
        <w:t>联系人：罗艺琳</w:t>
      </w:r>
    </w:p>
    <w:p>
      <w:pPr>
        <w:pStyle w:val="BodyText"/>
        <w:rPr>
          <w:sz w:val="16"/>
        </w:rPr>
      </w:pPr>
    </w:p>
    <w:p>
      <w:pPr>
        <w:pStyle w:val="BodyText"/>
        <w:spacing w:line="424" w:lineRule="auto"/>
        <w:ind w:left="720" w:right="6767"/>
        <w:rPr>
          <w:rFonts w:ascii="Times New Roman" w:eastAsia="Times New Roman"/>
        </w:rPr>
      </w:pPr>
      <w:r>
        <w:rPr/>
        <w:t>网址：</w:t>
      </w:r>
      <w:hyperlink r:id="rId187">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11"/>
        </w:numPr>
        <w:tabs>
          <w:tab w:pos="1459" w:val="left" w:leader="none"/>
        </w:tabs>
        <w:spacing w:line="424" w:lineRule="auto" w:before="0" w:after="0"/>
        <w:ind w:left="720" w:right="5506" w:firstLine="0"/>
        <w:jc w:val="left"/>
        <w:rPr>
          <w:sz w:val="21"/>
        </w:rPr>
      </w:pPr>
      <w:r>
        <w:rPr>
          <w:spacing w:val="-4"/>
          <w:sz w:val="21"/>
        </w:rPr>
        <w:t>东方财富证券股份有限公司</w:t>
      </w:r>
      <w:r>
        <w:rPr>
          <w:spacing w:val="-8"/>
          <w:sz w:val="21"/>
        </w:rPr>
        <w:t>住所：拉萨市北京中路 </w:t>
      </w:r>
      <w:r>
        <w:rPr>
          <w:rFonts w:ascii="Times New Roman" w:eastAsia="Times New Roman"/>
          <w:sz w:val="21"/>
        </w:rPr>
        <w:t>101</w:t>
      </w:r>
      <w:r>
        <w:rPr>
          <w:rFonts w:ascii="Times New Roman" w:eastAsia="Times New Roman"/>
          <w:spacing w:val="1"/>
          <w:sz w:val="21"/>
        </w:rPr>
        <w:t> </w:t>
      </w:r>
      <w:r>
        <w:rPr>
          <w:sz w:val="21"/>
        </w:rPr>
        <w:t>号</w:t>
      </w:r>
    </w:p>
    <w:p>
      <w:pPr>
        <w:pStyle w:val="BodyText"/>
        <w:spacing w:line="424" w:lineRule="auto"/>
        <w:ind w:left="720" w:right="4253"/>
      </w:pPr>
      <w:r>
        <w:rPr>
          <w:spacing w:val="-7"/>
        </w:rPr>
        <w:t>办公地址：上海市永和路 </w:t>
      </w:r>
      <w:r>
        <w:rPr>
          <w:rFonts w:ascii="Times New Roman" w:eastAsia="Times New Roman"/>
          <w:spacing w:val="-3"/>
        </w:rPr>
        <w:t>118 </w:t>
      </w:r>
      <w:r>
        <w:rPr>
          <w:spacing w:val="-10"/>
        </w:rPr>
        <w:t>弄东方企业园 </w:t>
      </w:r>
      <w:r>
        <w:rPr>
          <w:rFonts w:ascii="Times New Roman" w:eastAsia="Times New Roman"/>
        </w:rPr>
        <w:t>24 </w:t>
      </w:r>
      <w:r>
        <w:rPr/>
        <w:t>号</w:t>
      </w:r>
      <w:r>
        <w:rPr>
          <w:spacing w:val="-3"/>
        </w:rPr>
        <w:t>法定代表人：贾绍君</w:t>
      </w:r>
    </w:p>
    <w:p>
      <w:pPr>
        <w:pStyle w:val="BodyText"/>
        <w:spacing w:line="424" w:lineRule="auto"/>
        <w:ind w:left="720" w:right="6906"/>
        <w:rPr>
          <w:rFonts w:ascii="Times New Roman" w:eastAsia="Times New Roman"/>
        </w:rPr>
      </w:pPr>
      <w:r>
        <w:rPr/>
        <w:t>电话：</w:t>
      </w:r>
      <w:r>
        <w:rPr>
          <w:rFonts w:ascii="Times New Roman" w:eastAsia="Times New Roman"/>
        </w:rPr>
        <w:t>021-36533016 </w:t>
      </w:r>
      <w:r>
        <w:rPr/>
        <w:t>传真：</w:t>
      </w:r>
      <w:r>
        <w:rPr>
          <w:rFonts w:ascii="Times New Roman" w:eastAsia="Times New Roman"/>
        </w:rPr>
        <w:t>021-36533017</w:t>
      </w:r>
    </w:p>
    <w:p>
      <w:pPr>
        <w:pStyle w:val="BodyText"/>
        <w:spacing w:line="267" w:lineRule="exact"/>
        <w:ind w:left="720"/>
      </w:pPr>
      <w:r>
        <w:rPr/>
        <w:t>联系人：王伟光</w:t>
      </w:r>
    </w:p>
    <w:p>
      <w:pPr>
        <w:pStyle w:val="BodyText"/>
        <w:spacing w:before="10"/>
        <w:rPr>
          <w:sz w:val="15"/>
        </w:rPr>
      </w:pPr>
    </w:p>
    <w:p>
      <w:pPr>
        <w:pStyle w:val="BodyText"/>
        <w:ind w:left="720"/>
        <w:rPr>
          <w:rFonts w:ascii="Times New Roman" w:eastAsia="Times New Roman"/>
        </w:rPr>
      </w:pPr>
      <w:r>
        <w:rPr/>
        <w:t>网址： </w:t>
      </w:r>
      <w:hyperlink r:id="rId188">
        <w:r>
          <w:rPr>
            <w:rFonts w:ascii="Times New Roman" w:eastAsia="Times New Roman"/>
          </w:rPr>
          <w:t>http://www.18.cn</w:t>
        </w:r>
      </w:hyperlink>
    </w:p>
    <w:p>
      <w:pPr>
        <w:pStyle w:val="BodyText"/>
        <w:spacing w:before="2"/>
        <w:rPr>
          <w:rFonts w:ascii="Times New Roman"/>
          <w:sz w:val="18"/>
        </w:rPr>
      </w:pPr>
    </w:p>
    <w:p>
      <w:pPr>
        <w:pStyle w:val="BodyText"/>
        <w:spacing w:before="1"/>
        <w:ind w:left="720"/>
        <w:rPr>
          <w:rFonts w:ascii="Times New Roman" w:eastAsia="Times New Roman"/>
        </w:rPr>
      </w:pPr>
      <w:r>
        <w:rPr/>
        <w:t>客户服务电话：</w:t>
      </w:r>
      <w:r>
        <w:rPr>
          <w:rFonts w:ascii="Times New Roman" w:eastAsia="Times New Roman"/>
        </w:rPr>
        <w:t>95357</w:t>
      </w:r>
    </w:p>
    <w:p>
      <w:pPr>
        <w:pStyle w:val="BodyText"/>
        <w:spacing w:before="10"/>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国融证券股份有限公司</w:t>
      </w:r>
    </w:p>
    <w:p>
      <w:pPr>
        <w:pStyle w:val="BodyText"/>
        <w:spacing w:before="1"/>
        <w:rPr>
          <w:sz w:val="16"/>
        </w:rPr>
      </w:pPr>
    </w:p>
    <w:p>
      <w:pPr>
        <w:pStyle w:val="BodyText"/>
        <w:ind w:left="720"/>
      </w:pPr>
      <w:r>
        <w:rPr/>
        <w:t>住所：内蒙古自治区呼和浩特市武川县腾飞大道 </w:t>
      </w:r>
      <w:r>
        <w:rPr>
          <w:rFonts w:ascii="Times New Roman" w:eastAsia="Times New Roman"/>
        </w:rPr>
        <w:t>1 </w:t>
      </w:r>
      <w:r>
        <w:rPr/>
        <w:t>号 </w:t>
      </w:r>
      <w:r>
        <w:rPr>
          <w:rFonts w:ascii="Times New Roman" w:eastAsia="Times New Roman"/>
        </w:rPr>
        <w:t>4 </w:t>
      </w:r>
      <w:r>
        <w:rPr/>
        <w:t>楼</w:t>
      </w:r>
    </w:p>
    <w:p>
      <w:pPr>
        <w:pStyle w:val="BodyText"/>
        <w:spacing w:before="1"/>
        <w:rPr>
          <w:sz w:val="16"/>
        </w:rPr>
      </w:pPr>
    </w:p>
    <w:p>
      <w:pPr>
        <w:pStyle w:val="BodyText"/>
        <w:spacing w:line="424" w:lineRule="auto" w:before="1"/>
        <w:ind w:left="720" w:right="2779"/>
      </w:pPr>
      <w:r>
        <w:rPr>
          <w:spacing w:val="-6"/>
        </w:rPr>
        <w:t>办公地址：北京市西城区闹市口大街 </w:t>
      </w:r>
      <w:r>
        <w:rPr>
          <w:rFonts w:ascii="Times New Roman" w:eastAsia="Times New Roman"/>
        </w:rPr>
        <w:t>1 </w:t>
      </w:r>
      <w:r>
        <w:rPr>
          <w:spacing w:val="-8"/>
        </w:rPr>
        <w:t>号长安兴融中心西楼 </w:t>
      </w:r>
      <w:r>
        <w:rPr>
          <w:rFonts w:ascii="Times New Roman" w:eastAsia="Times New Roman"/>
          <w:spacing w:val="-4"/>
        </w:rPr>
        <w:t>11 </w:t>
      </w:r>
      <w:r>
        <w:rPr/>
        <w:t>层</w:t>
      </w:r>
      <w:r>
        <w:rPr>
          <w:spacing w:val="-3"/>
        </w:rPr>
        <w:t>法定代表人：张智河</w:t>
      </w:r>
    </w:p>
    <w:p>
      <w:pPr>
        <w:pStyle w:val="BodyText"/>
        <w:spacing w:line="424" w:lineRule="auto"/>
        <w:ind w:left="720" w:right="690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spacing w:line="267" w:lineRule="exact"/>
        <w:ind w:left="720"/>
      </w:pPr>
      <w:r>
        <w:rPr/>
        <w:t>联系人：叶密林</w:t>
      </w:r>
    </w:p>
    <w:p>
      <w:pPr>
        <w:spacing w:after="0" w:line="267" w:lineRule="exact"/>
        <w:sectPr>
          <w:pgSz w:w="11910" w:h="16840"/>
          <w:pgMar w:header="701" w:footer="683" w:top="1420" w:bottom="880" w:left="1500" w:right="920"/>
        </w:sectPr>
      </w:pPr>
    </w:p>
    <w:p>
      <w:pPr>
        <w:pStyle w:val="BodyText"/>
        <w:spacing w:line="424" w:lineRule="auto" w:before="115"/>
        <w:ind w:left="720" w:right="6225"/>
        <w:rPr>
          <w:rFonts w:ascii="Times New Roman" w:eastAsia="Times New Roman"/>
        </w:rPr>
      </w:pPr>
      <w:r>
        <w:rPr/>
        <w:t>网址：</w:t>
      </w:r>
      <w:r>
        <w:rPr>
          <w:rFonts w:ascii="Times New Roman" w:eastAsia="Times New Roman"/>
        </w:rPr>
        <w:t>https://</w:t>
      </w:r>
      <w:hyperlink r:id="rId189">
        <w:r>
          <w:rPr>
            <w:rFonts w:ascii="Times New Roman" w:eastAsia="Times New Roman"/>
          </w:rPr>
          <w:t>www.grzq.com </w:t>
        </w:r>
      </w:hyperlink>
      <w:r>
        <w:rPr/>
        <w:t>客户服务电话：</w:t>
      </w:r>
      <w:r>
        <w:rPr>
          <w:rFonts w:ascii="Times New Roman" w:eastAsia="Times New Roman"/>
        </w:rPr>
        <w:t>95385</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粤开证券股份有限公司</w:t>
      </w:r>
    </w:p>
    <w:p>
      <w:pPr>
        <w:pStyle w:val="BodyText"/>
        <w:rPr>
          <w:sz w:val="16"/>
        </w:rPr>
      </w:pPr>
    </w:p>
    <w:p>
      <w:pPr>
        <w:pStyle w:val="BodyText"/>
        <w:spacing w:line="424" w:lineRule="auto" w:before="1"/>
        <w:ind w:left="720" w:right="204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24" w:lineRule="auto"/>
        <w:ind w:left="720" w:right="6810"/>
        <w:rPr>
          <w:rFonts w:ascii="Times New Roman" w:eastAsia="Times New Roman"/>
        </w:rPr>
      </w:pPr>
      <w:r>
        <w:rPr/>
        <w:t>法定代表人：严亦斌电话：</w:t>
      </w:r>
      <w:r>
        <w:rPr>
          <w:rFonts w:ascii="Times New Roman" w:eastAsia="Times New Roman"/>
        </w:rPr>
        <w:t>0755-83331195</w:t>
      </w:r>
    </w:p>
    <w:p>
      <w:pPr>
        <w:pStyle w:val="BodyText"/>
        <w:spacing w:line="268" w:lineRule="exact"/>
        <w:ind w:left="720"/>
      </w:pPr>
      <w:r>
        <w:rPr/>
        <w:t>联系人：彭莲</w:t>
      </w:r>
    </w:p>
    <w:p>
      <w:pPr>
        <w:pStyle w:val="BodyText"/>
        <w:spacing w:before="1"/>
        <w:rPr>
          <w:sz w:val="16"/>
        </w:rPr>
      </w:pPr>
    </w:p>
    <w:p>
      <w:pPr>
        <w:pStyle w:val="BodyText"/>
        <w:spacing w:line="424" w:lineRule="auto"/>
        <w:ind w:left="720" w:right="6271"/>
        <w:rPr>
          <w:rFonts w:ascii="Times New Roman" w:eastAsia="Times New Roman"/>
        </w:rPr>
      </w:pPr>
      <w:r>
        <w:rPr/>
        <w:t>网址：</w:t>
      </w:r>
      <w:hyperlink r:id="rId190">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江海证券有限公司</w:t>
      </w:r>
    </w:p>
    <w:p>
      <w:pPr>
        <w:pStyle w:val="BodyText"/>
        <w:spacing w:before="1"/>
        <w:rPr>
          <w:sz w:val="16"/>
        </w:rPr>
      </w:pPr>
    </w:p>
    <w:p>
      <w:pPr>
        <w:pStyle w:val="BodyText"/>
        <w:ind w:left="720"/>
      </w:pPr>
      <w:r>
        <w:rPr/>
        <w:t>住所：哈尔滨市香坊区赣水路 </w:t>
      </w:r>
      <w:r>
        <w:rPr>
          <w:rFonts w:ascii="Times New Roman" w:eastAsia="Times New Roman"/>
        </w:rPr>
        <w:t>56 </w:t>
      </w:r>
      <w:r>
        <w:rPr/>
        <w:t>号</w:t>
      </w:r>
    </w:p>
    <w:p>
      <w:pPr>
        <w:pStyle w:val="BodyText"/>
        <w:spacing w:before="1"/>
        <w:rPr>
          <w:sz w:val="16"/>
        </w:rPr>
      </w:pPr>
    </w:p>
    <w:p>
      <w:pPr>
        <w:pStyle w:val="BodyText"/>
        <w:spacing w:line="427" w:lineRule="auto"/>
        <w:ind w:left="720" w:right="4708"/>
      </w:pPr>
      <w:r>
        <w:rPr/>
        <w:t>办公地址：哈尔滨市松北区创新三路 </w:t>
      </w:r>
      <w:r>
        <w:rPr>
          <w:rFonts w:ascii="Times New Roman" w:eastAsia="Times New Roman"/>
        </w:rPr>
        <w:t>833 </w:t>
      </w:r>
      <w:r>
        <w:rPr/>
        <w:t>号法定代表人：赵洪波</w:t>
      </w:r>
    </w:p>
    <w:p>
      <w:pPr>
        <w:pStyle w:val="BodyText"/>
        <w:spacing w:line="424" w:lineRule="auto"/>
        <w:ind w:left="720" w:right="6800"/>
        <w:rPr>
          <w:rFonts w:ascii="Times New Roman" w:eastAsia="Times New Roman"/>
        </w:rPr>
      </w:pPr>
      <w:r>
        <w:rPr/>
        <w:t>电话：</w:t>
      </w:r>
      <w:r>
        <w:rPr>
          <w:rFonts w:ascii="Times New Roman" w:eastAsia="Times New Roman"/>
        </w:rPr>
        <w:t>0451-87765732 </w:t>
      </w:r>
      <w:r>
        <w:rPr/>
        <w:t>传真：</w:t>
      </w:r>
      <w:r>
        <w:rPr>
          <w:rFonts w:ascii="Times New Roman" w:eastAsia="Times New Roman"/>
        </w:rPr>
        <w:t>0451-82337279</w:t>
      </w:r>
    </w:p>
    <w:p>
      <w:pPr>
        <w:pStyle w:val="BodyText"/>
        <w:spacing w:line="267" w:lineRule="exact"/>
        <w:ind w:left="720"/>
      </w:pPr>
      <w:r>
        <w:rPr/>
        <w:t>联系人：姜志伟</w:t>
      </w:r>
    </w:p>
    <w:p>
      <w:pPr>
        <w:pStyle w:val="BodyText"/>
        <w:spacing w:before="9"/>
        <w:rPr>
          <w:sz w:val="15"/>
        </w:rPr>
      </w:pPr>
    </w:p>
    <w:p>
      <w:pPr>
        <w:pStyle w:val="BodyText"/>
        <w:spacing w:line="424" w:lineRule="auto" w:before="1"/>
        <w:ind w:left="720" w:right="6569"/>
        <w:rPr>
          <w:rFonts w:ascii="Times New Roman" w:eastAsia="Times New Roman"/>
        </w:rPr>
      </w:pPr>
      <w:r>
        <w:rPr/>
        <w:t>网址：</w:t>
      </w:r>
      <w:hyperlink r:id="rId191">
        <w:r>
          <w:rPr>
            <w:rFonts w:ascii="Times New Roman" w:eastAsia="Times New Roman"/>
          </w:rPr>
          <w:t>www.jhzq.com.cn </w:t>
        </w:r>
      </w:hyperlink>
      <w:r>
        <w:rPr/>
        <w:t>客户服务电话：</w:t>
      </w:r>
      <w:r>
        <w:rPr>
          <w:rFonts w:ascii="Times New Roman" w:eastAsia="Times New Roman"/>
        </w:rPr>
        <w:t>956007</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国金证券股份有限公司</w:t>
      </w:r>
    </w:p>
    <w:p>
      <w:pPr>
        <w:pStyle w:val="BodyText"/>
        <w:spacing w:before="1"/>
        <w:rPr>
          <w:sz w:val="16"/>
        </w:rPr>
      </w:pPr>
    </w:p>
    <w:p>
      <w:pPr>
        <w:pStyle w:val="BodyText"/>
        <w:ind w:left="720"/>
      </w:pPr>
      <w:r>
        <w:rPr/>
        <w:t>住所：成都市青羊区东城根上街 </w:t>
      </w:r>
      <w:r>
        <w:rPr>
          <w:rFonts w:ascii="Times New Roman" w:eastAsia="Times New Roman"/>
        </w:rPr>
        <w:t>95 </w:t>
      </w:r>
      <w:r>
        <w:rPr/>
        <w:t>号</w:t>
      </w:r>
    </w:p>
    <w:p>
      <w:pPr>
        <w:pStyle w:val="BodyText"/>
        <w:spacing w:before="4"/>
        <w:rPr>
          <w:sz w:val="16"/>
        </w:rPr>
      </w:pPr>
    </w:p>
    <w:p>
      <w:pPr>
        <w:pStyle w:val="BodyText"/>
        <w:spacing w:line="424" w:lineRule="auto"/>
        <w:ind w:left="720" w:right="4813"/>
      </w:pPr>
      <w:r>
        <w:rPr/>
        <w:t>办公地址：成都市青羊区东城根上街 </w:t>
      </w:r>
      <w:r>
        <w:rPr>
          <w:rFonts w:ascii="Times New Roman" w:eastAsia="Times New Roman"/>
        </w:rPr>
        <w:t>95 </w:t>
      </w:r>
      <w:r>
        <w:rPr/>
        <w:t>号法定代表人：冉云</w:t>
      </w:r>
    </w:p>
    <w:p>
      <w:pPr>
        <w:pStyle w:val="BodyText"/>
        <w:spacing w:line="424" w:lineRule="auto"/>
        <w:ind w:left="720" w:right="547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24" w:lineRule="auto"/>
        <w:ind w:left="720" w:right="6613"/>
        <w:jc w:val="both"/>
        <w:rPr>
          <w:rFonts w:ascii="Times New Roman" w:eastAsia="Times New Roman"/>
        </w:rPr>
      </w:pPr>
      <w:r>
        <w:rPr>
          <w:spacing w:val="-3"/>
        </w:rPr>
        <w:t>联系人：刘婧漪、贾鹏网址：</w:t>
      </w:r>
      <w:hyperlink r:id="rId192">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11"/>
        </w:numPr>
        <w:tabs>
          <w:tab w:pos="1459" w:val="left" w:leader="none"/>
        </w:tabs>
        <w:spacing w:line="266" w:lineRule="exact" w:before="0" w:after="0"/>
        <w:ind w:left="1458" w:right="0" w:hanging="739"/>
        <w:jc w:val="left"/>
        <w:rPr>
          <w:sz w:val="21"/>
        </w:rPr>
      </w:pPr>
      <w:r>
        <w:rPr>
          <w:spacing w:val="-3"/>
          <w:sz w:val="21"/>
        </w:rPr>
        <w:t>华宝证券有限责任公司</w:t>
      </w:r>
    </w:p>
    <w:p>
      <w:pPr>
        <w:spacing w:after="0" w:line="266" w:lineRule="exact"/>
        <w:jc w:val="left"/>
        <w:rPr>
          <w:sz w:val="21"/>
        </w:rPr>
        <w:sectPr>
          <w:pgSz w:w="11910" w:h="16840"/>
          <w:pgMar w:header="701" w:footer="683" w:top="1420" w:bottom="880" w:left="1500" w:right="920"/>
        </w:sectPr>
      </w:pPr>
    </w:p>
    <w:p>
      <w:pPr>
        <w:pStyle w:val="BodyText"/>
        <w:spacing w:before="115"/>
        <w:ind w:left="720"/>
      </w:pPr>
      <w:r>
        <w:rPr/>
        <w:t>住所：上海市陆家嘴环路 </w:t>
      </w:r>
      <w:r>
        <w:rPr>
          <w:rFonts w:ascii="Times New Roman" w:eastAsia="Times New Roman"/>
        </w:rPr>
        <w:t>166 </w:t>
      </w:r>
      <w:r>
        <w:rPr/>
        <w:t>号 </w:t>
      </w:r>
      <w:r>
        <w:rPr>
          <w:rFonts w:ascii="Times New Roman" w:eastAsia="Times New Roman"/>
        </w:rPr>
        <w:t>27 </w:t>
      </w:r>
      <w:r>
        <w:rPr/>
        <w:t>楼</w:t>
      </w:r>
    </w:p>
    <w:p>
      <w:pPr>
        <w:pStyle w:val="BodyText"/>
        <w:rPr>
          <w:sz w:val="16"/>
        </w:rPr>
      </w:pPr>
    </w:p>
    <w:p>
      <w:pPr>
        <w:pStyle w:val="BodyText"/>
        <w:spacing w:line="424" w:lineRule="auto" w:before="1"/>
        <w:ind w:left="720" w:right="4875"/>
      </w:pPr>
      <w:r>
        <w:rPr>
          <w:spacing w:val="-7"/>
        </w:rPr>
        <w:t>办公地址：上海市陆家嘴环路 </w:t>
      </w:r>
      <w:r>
        <w:rPr>
          <w:rFonts w:ascii="Times New Roman" w:eastAsia="Times New Roman"/>
        </w:rPr>
        <w:t>166 </w:t>
      </w:r>
      <w:r>
        <w:rPr>
          <w:spacing w:val="-25"/>
        </w:rPr>
        <w:t>号 </w:t>
      </w:r>
      <w:r>
        <w:rPr>
          <w:rFonts w:ascii="Times New Roman" w:eastAsia="Times New Roman"/>
        </w:rPr>
        <w:t>27 </w:t>
      </w:r>
      <w:r>
        <w:rPr>
          <w:spacing w:val="-11"/>
        </w:rPr>
        <w:t>楼</w:t>
      </w:r>
      <w:r>
        <w:rPr>
          <w:spacing w:val="-3"/>
        </w:rPr>
        <w:t>法定代表人：陈林</w:t>
      </w:r>
    </w:p>
    <w:p>
      <w:pPr>
        <w:pStyle w:val="BodyText"/>
        <w:spacing w:line="424" w:lineRule="auto"/>
        <w:ind w:left="720" w:right="690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ind w:left="720"/>
      </w:pPr>
      <w:r>
        <w:rPr/>
        <w:t>联系人：徐方亮</w:t>
      </w:r>
    </w:p>
    <w:p>
      <w:pPr>
        <w:pStyle w:val="BodyText"/>
        <w:spacing w:before="12"/>
        <w:rPr>
          <w:sz w:val="15"/>
        </w:rPr>
      </w:pPr>
    </w:p>
    <w:p>
      <w:pPr>
        <w:pStyle w:val="BodyText"/>
        <w:ind w:left="720"/>
        <w:rPr>
          <w:rFonts w:ascii="Times New Roman" w:eastAsia="Times New Roman"/>
        </w:rPr>
      </w:pPr>
      <w:r>
        <w:rPr/>
        <w:t>网址：</w:t>
      </w:r>
      <w:hyperlink r:id="rId193">
        <w:r>
          <w:rPr>
            <w:rFonts w:ascii="Times New Roman" w:eastAsia="Times New Roman"/>
          </w:rPr>
          <w:t>www.cnhbstock.com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400-820-9898</w:t>
      </w:r>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长城国瑞证券有限公司</w:t>
      </w:r>
    </w:p>
    <w:p>
      <w:pPr>
        <w:pStyle w:val="BodyText"/>
        <w:spacing w:before="1"/>
        <w:rPr>
          <w:sz w:val="16"/>
        </w:rPr>
      </w:pPr>
    </w:p>
    <w:p>
      <w:pPr>
        <w:pStyle w:val="BodyText"/>
        <w:ind w:left="720"/>
      </w:pPr>
      <w:r>
        <w:rPr/>
        <w:t>住所：福建省厦门市莲前西路 </w:t>
      </w:r>
      <w:r>
        <w:rPr>
          <w:rFonts w:ascii="Times New Roman" w:eastAsia="Times New Roman"/>
        </w:rPr>
        <w:t>2 </w:t>
      </w:r>
      <w:r>
        <w:rPr/>
        <w:t>号莲富大厦十七层</w:t>
      </w:r>
    </w:p>
    <w:p>
      <w:pPr>
        <w:pStyle w:val="BodyText"/>
        <w:spacing w:before="1"/>
        <w:rPr>
          <w:sz w:val="16"/>
        </w:rPr>
      </w:pPr>
    </w:p>
    <w:p>
      <w:pPr>
        <w:pStyle w:val="BodyText"/>
        <w:spacing w:line="424" w:lineRule="auto"/>
        <w:ind w:left="720" w:right="3228"/>
      </w:pPr>
      <w:r>
        <w:rPr>
          <w:spacing w:val="-6"/>
        </w:rPr>
        <w:t>办公地址：福建省厦门市深田路 </w:t>
      </w:r>
      <w:r>
        <w:rPr>
          <w:rFonts w:ascii="Times New Roman" w:eastAsia="Times New Roman"/>
        </w:rPr>
        <w:t>46 </w:t>
      </w:r>
      <w:r>
        <w:rPr>
          <w:spacing w:val="-9"/>
        </w:rPr>
        <w:t>号深田国际大厦 </w:t>
      </w:r>
      <w:r>
        <w:rPr>
          <w:rFonts w:ascii="Times New Roman" w:eastAsia="Times New Roman"/>
        </w:rPr>
        <w:t>19-20 </w:t>
      </w:r>
      <w:r>
        <w:rPr/>
        <w:t>楼</w:t>
      </w:r>
      <w:r>
        <w:rPr>
          <w:spacing w:val="-3"/>
        </w:rPr>
        <w:t>法定代表人：王勇</w:t>
      </w:r>
    </w:p>
    <w:p>
      <w:pPr>
        <w:pStyle w:val="BodyText"/>
        <w:spacing w:line="427" w:lineRule="auto"/>
        <w:ind w:left="720" w:right="690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spacing w:line="264" w:lineRule="exact"/>
        <w:ind w:left="720"/>
      </w:pPr>
      <w:r>
        <w:rPr/>
        <w:t>联系人：邱震</w:t>
      </w:r>
    </w:p>
    <w:p>
      <w:pPr>
        <w:pStyle w:val="BodyText"/>
        <w:spacing w:before="12"/>
        <w:rPr>
          <w:sz w:val="15"/>
        </w:rPr>
      </w:pPr>
    </w:p>
    <w:p>
      <w:pPr>
        <w:pStyle w:val="BodyText"/>
        <w:ind w:left="720"/>
        <w:rPr>
          <w:rFonts w:ascii="Times New Roman" w:eastAsia="Times New Roman"/>
        </w:rPr>
      </w:pPr>
      <w:r>
        <w:rPr/>
        <w:t>网址：</w:t>
      </w:r>
      <w:hyperlink r:id="rId194">
        <w:r>
          <w:rPr>
            <w:rFonts w:ascii="Times New Roman" w:eastAsia="Times New Roman"/>
          </w:rPr>
          <w:t>www.gwgsc.com</w:t>
        </w:r>
      </w:hyperlink>
    </w:p>
    <w:p>
      <w:pPr>
        <w:pStyle w:val="BodyText"/>
        <w:spacing w:before="10"/>
        <w:rPr>
          <w:rFonts w:ascii="Times New Roman"/>
          <w:sz w:val="17"/>
        </w:rPr>
      </w:pPr>
    </w:p>
    <w:p>
      <w:pPr>
        <w:pStyle w:val="BodyText"/>
        <w:spacing w:before="1"/>
        <w:ind w:left="720"/>
        <w:rPr>
          <w:rFonts w:ascii="Times New Roman" w:eastAsia="Times New Roman"/>
        </w:rPr>
      </w:pPr>
      <w:r>
        <w:rPr/>
        <w:t>客户服务电话：</w:t>
      </w:r>
      <w:r>
        <w:rPr>
          <w:rFonts w:ascii="Times New Roman" w:eastAsia="Times New Roman"/>
        </w:rPr>
        <w:t>400-0099-886</w:t>
      </w:r>
    </w:p>
    <w:p>
      <w:pPr>
        <w:pStyle w:val="BodyText"/>
        <w:spacing w:before="10"/>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爱建证券有限责任公司</w:t>
      </w:r>
    </w:p>
    <w:p>
      <w:pPr>
        <w:pStyle w:val="BodyText"/>
        <w:spacing w:before="1"/>
        <w:rPr>
          <w:sz w:val="16"/>
        </w:rPr>
      </w:pPr>
    </w:p>
    <w:p>
      <w:pPr>
        <w:pStyle w:val="BodyText"/>
        <w:ind w:left="72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1"/>
        <w:rPr>
          <w:sz w:val="16"/>
        </w:rPr>
      </w:pPr>
    </w:p>
    <w:p>
      <w:pPr>
        <w:pStyle w:val="BodyText"/>
        <w:spacing w:line="424" w:lineRule="auto"/>
        <w:ind w:left="720" w:right="246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24" w:lineRule="auto" w:before="1"/>
        <w:ind w:left="720" w:right="690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7" w:lineRule="exact"/>
        <w:ind w:left="720"/>
      </w:pPr>
      <w:r>
        <w:rPr/>
        <w:t>联系人：庄丽珍</w:t>
      </w:r>
    </w:p>
    <w:p>
      <w:pPr>
        <w:pStyle w:val="BodyText"/>
        <w:spacing w:before="1"/>
        <w:rPr>
          <w:sz w:val="16"/>
        </w:rPr>
      </w:pPr>
    </w:p>
    <w:p>
      <w:pPr>
        <w:pStyle w:val="BodyText"/>
        <w:spacing w:before="1"/>
        <w:ind w:left="720"/>
        <w:rPr>
          <w:rFonts w:ascii="Times New Roman" w:eastAsia="Times New Roman"/>
        </w:rPr>
      </w:pPr>
      <w:r>
        <w:rPr/>
        <w:t>网址：</w:t>
      </w:r>
      <w:hyperlink r:id="rId195">
        <w:r>
          <w:rPr>
            <w:rFonts w:ascii="Times New Roman" w:eastAsia="Times New Roman"/>
          </w:rPr>
          <w:t>www.ajzq.com</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400-196-2502</w:t>
      </w:r>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英大证券有限责任公司</w:t>
      </w:r>
    </w:p>
    <w:p>
      <w:pPr>
        <w:pStyle w:val="BodyText"/>
        <w:spacing w:before="1"/>
        <w:rPr>
          <w:sz w:val="16"/>
        </w:rPr>
      </w:pPr>
    </w:p>
    <w:p>
      <w:pPr>
        <w:pStyle w:val="BodyText"/>
        <w:ind w:left="720"/>
      </w:pPr>
      <w:r>
        <w:rPr/>
        <w:t>住所：深圳市福田区深南中路华能大厦三十、三十一层</w:t>
      </w:r>
    </w:p>
    <w:p>
      <w:pPr>
        <w:pStyle w:val="BodyText"/>
        <w:spacing w:before="1"/>
        <w:rPr>
          <w:sz w:val="16"/>
        </w:rPr>
      </w:pPr>
    </w:p>
    <w:p>
      <w:pPr>
        <w:pStyle w:val="BodyText"/>
        <w:ind w:left="720"/>
      </w:pPr>
      <w:r>
        <w:rPr/>
        <w:t>办公地址：深圳市福田区深南中路华能大厦三十、三十一层</w:t>
      </w:r>
    </w:p>
    <w:p>
      <w:pPr>
        <w:spacing w:after="0"/>
        <w:sectPr>
          <w:pgSz w:w="11910" w:h="16840"/>
          <w:pgMar w:header="701" w:footer="683" w:top="1420" w:bottom="880" w:left="1500" w:right="920"/>
        </w:sectPr>
      </w:pPr>
    </w:p>
    <w:p>
      <w:pPr>
        <w:pStyle w:val="BodyText"/>
        <w:spacing w:line="424" w:lineRule="auto" w:before="115"/>
        <w:ind w:left="720" w:right="6800"/>
        <w:rPr>
          <w:rFonts w:ascii="Times New Roman" w:eastAsia="Times New Roman"/>
        </w:rPr>
      </w:pPr>
      <w:r>
        <w:rPr/>
        <w:t>法定代表人：郝京春电话：</w:t>
      </w:r>
      <w:r>
        <w:rPr>
          <w:rFonts w:ascii="Times New Roman" w:eastAsia="Times New Roman"/>
        </w:rPr>
        <w:t>0755-83007014 </w:t>
      </w:r>
      <w:r>
        <w:rPr/>
        <w:t>传真：</w:t>
      </w:r>
      <w:r>
        <w:rPr>
          <w:rFonts w:ascii="Times New Roman" w:eastAsia="Times New Roman"/>
        </w:rPr>
        <w:t>0755-83007168</w:t>
      </w:r>
    </w:p>
    <w:p>
      <w:pPr>
        <w:pStyle w:val="BodyText"/>
        <w:spacing w:line="266" w:lineRule="exact"/>
        <w:ind w:left="720"/>
      </w:pPr>
      <w:r>
        <w:rPr/>
        <w:t>联系人：刘思源</w:t>
      </w:r>
    </w:p>
    <w:p>
      <w:pPr>
        <w:pStyle w:val="BodyText"/>
        <w:rPr>
          <w:sz w:val="16"/>
        </w:rPr>
      </w:pPr>
    </w:p>
    <w:p>
      <w:pPr>
        <w:pStyle w:val="BodyText"/>
        <w:spacing w:line="427" w:lineRule="auto" w:before="1"/>
        <w:ind w:left="720" w:right="6044"/>
        <w:rPr>
          <w:rFonts w:ascii="Times New Roman" w:eastAsia="Times New Roman"/>
        </w:rPr>
      </w:pPr>
      <w:r>
        <w:rPr/>
        <w:t>网址：</w:t>
      </w:r>
      <w:hyperlink r:id="rId196">
        <w:r>
          <w:rPr>
            <w:rFonts w:ascii="Times New Roman" w:eastAsia="Times New Roman"/>
          </w:rPr>
          <w:t>http://www.ydsc.com.cn </w:t>
        </w:r>
      </w:hyperlink>
      <w:r>
        <w:rPr/>
        <w:t>客户服务电话：</w:t>
      </w:r>
      <w:r>
        <w:rPr>
          <w:rFonts w:ascii="Times New Roman" w:eastAsia="Times New Roman"/>
        </w:rPr>
        <w:t>4000-188-688</w:t>
      </w:r>
    </w:p>
    <w:p>
      <w:pPr>
        <w:pStyle w:val="ListParagraph"/>
        <w:numPr>
          <w:ilvl w:val="0"/>
          <w:numId w:val="11"/>
        </w:numPr>
        <w:tabs>
          <w:tab w:pos="1459" w:val="left" w:leader="none"/>
        </w:tabs>
        <w:spacing w:line="264" w:lineRule="exact" w:before="0" w:after="0"/>
        <w:ind w:left="1458" w:right="0" w:hanging="739"/>
        <w:jc w:val="left"/>
        <w:rPr>
          <w:sz w:val="21"/>
        </w:rPr>
      </w:pPr>
      <w:r>
        <w:rPr>
          <w:spacing w:val="-3"/>
          <w:sz w:val="21"/>
        </w:rPr>
        <w:t>华融证券股份有限公司</w:t>
      </w:r>
    </w:p>
    <w:p>
      <w:pPr>
        <w:pStyle w:val="BodyText"/>
        <w:spacing w:before="1"/>
        <w:rPr>
          <w:sz w:val="16"/>
        </w:rPr>
      </w:pPr>
    </w:p>
    <w:p>
      <w:pPr>
        <w:pStyle w:val="BodyText"/>
        <w:ind w:left="720"/>
      </w:pPr>
      <w:r>
        <w:rPr/>
        <w:t>住所：北京市西城区金融大街 </w:t>
      </w:r>
      <w:r>
        <w:rPr>
          <w:rFonts w:ascii="Times New Roman" w:eastAsia="Times New Roman"/>
        </w:rPr>
        <w:t>8 </w:t>
      </w:r>
      <w:r>
        <w:rPr/>
        <w:t>号</w:t>
      </w:r>
    </w:p>
    <w:p>
      <w:pPr>
        <w:pStyle w:val="BodyText"/>
        <w:spacing w:before="1"/>
        <w:rPr>
          <w:sz w:val="16"/>
        </w:rPr>
      </w:pPr>
    </w:p>
    <w:p>
      <w:pPr>
        <w:pStyle w:val="BodyText"/>
        <w:spacing w:line="424" w:lineRule="auto" w:before="1"/>
        <w:ind w:left="720" w:right="2922"/>
      </w:pPr>
      <w:r>
        <w:rPr/>
        <w:t>办公地址：北京市朝阳区朝阳门北大街 </w:t>
      </w:r>
      <w:r>
        <w:rPr>
          <w:rFonts w:ascii="Times New Roman" w:eastAsia="Times New Roman"/>
        </w:rPr>
        <w:t>18 </w:t>
      </w:r>
      <w:r>
        <w:rPr/>
        <w:t>号中国人保寿险大厦法定代表人：祝献忠</w:t>
      </w:r>
    </w:p>
    <w:p>
      <w:pPr>
        <w:pStyle w:val="BodyText"/>
        <w:spacing w:line="424" w:lineRule="auto"/>
        <w:ind w:left="720" w:right="690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7" w:lineRule="exact"/>
        <w:ind w:left="720"/>
      </w:pPr>
      <w:r>
        <w:rPr/>
        <w:t>联系人：孙燕波</w:t>
      </w:r>
    </w:p>
    <w:p>
      <w:pPr>
        <w:pStyle w:val="BodyText"/>
        <w:spacing w:before="1"/>
        <w:rPr>
          <w:sz w:val="16"/>
        </w:rPr>
      </w:pPr>
    </w:p>
    <w:p>
      <w:pPr>
        <w:pStyle w:val="BodyText"/>
        <w:spacing w:line="424" w:lineRule="auto"/>
        <w:ind w:left="720" w:right="6487"/>
        <w:rPr>
          <w:rFonts w:ascii="Times New Roman" w:eastAsia="Times New Roman"/>
        </w:rPr>
      </w:pPr>
      <w:r>
        <w:rPr/>
        <w:t>网址：</w:t>
      </w:r>
      <w:hyperlink r:id="rId197">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天风证券股份有限公司</w:t>
      </w:r>
    </w:p>
    <w:p>
      <w:pPr>
        <w:pStyle w:val="BodyText"/>
        <w:spacing w:before="1"/>
        <w:rPr>
          <w:sz w:val="16"/>
        </w:rPr>
      </w:pPr>
    </w:p>
    <w:p>
      <w:pPr>
        <w:pStyle w:val="BodyText"/>
        <w:ind w:left="720"/>
      </w:pPr>
      <w:r>
        <w:rPr/>
        <w:t>住所：湖北省武汉市东湖新技术开发区关东园路 </w:t>
      </w:r>
      <w:r>
        <w:rPr>
          <w:rFonts w:ascii="Times New Roman" w:eastAsia="Times New Roman"/>
        </w:rPr>
        <w:t>2 </w:t>
      </w:r>
      <w:r>
        <w:rPr/>
        <w:t>号高科大厦四楼</w:t>
      </w:r>
    </w:p>
    <w:p>
      <w:pPr>
        <w:pStyle w:val="BodyText"/>
        <w:spacing w:before="1"/>
        <w:rPr>
          <w:sz w:val="16"/>
        </w:rPr>
      </w:pPr>
    </w:p>
    <w:p>
      <w:pPr>
        <w:pStyle w:val="BodyText"/>
        <w:spacing w:line="424" w:lineRule="auto"/>
        <w:ind w:left="720" w:right="2186"/>
      </w:pPr>
      <w:r>
        <w:rPr/>
        <w:t>办公地址：湖北省武汉市东湖新技术开发区关东园路 </w:t>
      </w:r>
      <w:r>
        <w:rPr>
          <w:rFonts w:ascii="Times New Roman" w:eastAsia="Times New Roman"/>
        </w:rPr>
        <w:t>2 </w:t>
      </w:r>
      <w:r>
        <w:rPr/>
        <w:t>号高科大厦四楼法定代表人：余磊</w:t>
      </w:r>
    </w:p>
    <w:p>
      <w:pPr>
        <w:pStyle w:val="BodyText"/>
        <w:spacing w:line="424" w:lineRule="auto"/>
        <w:ind w:left="720" w:right="690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ind w:left="720"/>
      </w:pPr>
      <w:r>
        <w:rPr/>
        <w:t>联系人：翟璟</w:t>
      </w:r>
    </w:p>
    <w:p>
      <w:pPr>
        <w:pStyle w:val="BodyText"/>
        <w:rPr>
          <w:sz w:val="16"/>
        </w:rPr>
      </w:pPr>
    </w:p>
    <w:p>
      <w:pPr>
        <w:pStyle w:val="BodyText"/>
        <w:ind w:left="720"/>
        <w:rPr>
          <w:rFonts w:ascii="Times New Roman" w:eastAsia="Times New Roman"/>
        </w:rPr>
      </w:pPr>
      <w:r>
        <w:rPr/>
        <w:t>网址：</w:t>
      </w:r>
      <w:hyperlink r:id="rId198">
        <w:r>
          <w:rPr>
            <w:rFonts w:ascii="Times New Roman" w:eastAsia="Times New Roman"/>
          </w:rPr>
          <w:t>www.tfzq.com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400-800-5000</w:t>
      </w:r>
    </w:p>
    <w:p>
      <w:pPr>
        <w:pStyle w:val="BodyText"/>
        <w:spacing w:before="10"/>
        <w:rPr>
          <w:rFonts w:ascii="Times New Roman"/>
          <w:sz w:val="17"/>
        </w:rPr>
      </w:pPr>
    </w:p>
    <w:p>
      <w:pPr>
        <w:pStyle w:val="ListParagraph"/>
        <w:numPr>
          <w:ilvl w:val="0"/>
          <w:numId w:val="11"/>
        </w:numPr>
        <w:tabs>
          <w:tab w:pos="1459" w:val="left" w:leader="none"/>
        </w:tabs>
        <w:spacing w:line="424" w:lineRule="auto" w:before="1" w:after="0"/>
        <w:ind w:left="720" w:right="5715" w:firstLine="0"/>
        <w:jc w:val="left"/>
        <w:rPr>
          <w:sz w:val="21"/>
        </w:rPr>
      </w:pPr>
      <w:r>
        <w:rPr>
          <w:spacing w:val="-3"/>
          <w:sz w:val="21"/>
        </w:rPr>
        <w:t>中天证券股份有限公司 </w:t>
      </w:r>
      <w:r>
        <w:rPr>
          <w:spacing w:val="-7"/>
          <w:sz w:val="21"/>
        </w:rPr>
        <w:t>住所：沈阳市和平区光荣街 </w:t>
      </w:r>
      <w:r>
        <w:rPr>
          <w:rFonts w:ascii="Times New Roman" w:eastAsia="Times New Roman"/>
          <w:sz w:val="21"/>
        </w:rPr>
        <w:t>23</w:t>
      </w:r>
      <w:r>
        <w:rPr>
          <w:rFonts w:ascii="Times New Roman" w:eastAsia="Times New Roman"/>
          <w:spacing w:val="3"/>
          <w:sz w:val="21"/>
        </w:rPr>
        <w:t> </w:t>
      </w:r>
      <w:r>
        <w:rPr>
          <w:spacing w:val="-13"/>
          <w:sz w:val="21"/>
        </w:rPr>
        <w:t>甲</w:t>
      </w:r>
    </w:p>
    <w:p>
      <w:pPr>
        <w:pStyle w:val="BodyText"/>
        <w:spacing w:line="424" w:lineRule="auto"/>
        <w:ind w:left="720" w:right="5295"/>
      </w:pPr>
      <w:r>
        <w:rPr>
          <w:spacing w:val="-6"/>
        </w:rPr>
        <w:t>办公地址：沈阳市和平区光荣街 </w:t>
      </w:r>
      <w:r>
        <w:rPr>
          <w:rFonts w:ascii="Times New Roman" w:eastAsia="Times New Roman"/>
        </w:rPr>
        <w:t>23</w:t>
      </w:r>
      <w:r>
        <w:rPr>
          <w:rFonts w:ascii="Times New Roman" w:eastAsia="Times New Roman"/>
          <w:spacing w:val="5"/>
        </w:rPr>
        <w:t> </w:t>
      </w:r>
      <w:r>
        <w:rPr>
          <w:spacing w:val="-12"/>
        </w:rPr>
        <w:t>甲</w:t>
      </w:r>
      <w:r>
        <w:rPr>
          <w:spacing w:val="-3"/>
        </w:rPr>
        <w:t>法定代表人：马功勋</w:t>
      </w:r>
    </w:p>
    <w:p>
      <w:pPr>
        <w:pStyle w:val="BodyText"/>
        <w:spacing w:line="267" w:lineRule="exact"/>
        <w:ind w:left="720"/>
        <w:rPr>
          <w:rFonts w:ascii="Times New Roman" w:eastAsia="Times New Roman"/>
        </w:rPr>
      </w:pPr>
      <w:r>
        <w:rPr>
          <w:spacing w:val="-1"/>
        </w:rPr>
        <w:t>电话：</w:t>
      </w:r>
      <w:r>
        <w:rPr>
          <w:rFonts w:ascii="Times New Roman" w:eastAsia="Times New Roman"/>
          <w:spacing w:val="-1"/>
        </w:rPr>
        <w:t>024-23280842</w:t>
      </w:r>
    </w:p>
    <w:p>
      <w:pPr>
        <w:spacing w:after="0" w:line="267" w:lineRule="exact"/>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024-23280844</w:t>
      </w:r>
    </w:p>
    <w:p>
      <w:pPr>
        <w:pStyle w:val="BodyText"/>
        <w:spacing w:before="10"/>
        <w:rPr>
          <w:rFonts w:ascii="Times New Roman"/>
          <w:sz w:val="17"/>
        </w:rPr>
      </w:pPr>
    </w:p>
    <w:p>
      <w:pPr>
        <w:pStyle w:val="BodyText"/>
        <w:ind w:left="720"/>
      </w:pPr>
      <w:r>
        <w:rPr/>
        <w:t>联系人：孙丹华</w:t>
      </w:r>
    </w:p>
    <w:p>
      <w:pPr>
        <w:pStyle w:val="BodyText"/>
        <w:spacing w:before="1"/>
        <w:rPr>
          <w:sz w:val="16"/>
        </w:rPr>
      </w:pPr>
    </w:p>
    <w:p>
      <w:pPr>
        <w:pStyle w:val="BodyText"/>
        <w:ind w:left="720"/>
        <w:rPr>
          <w:rFonts w:ascii="Times New Roman" w:eastAsia="Times New Roman"/>
        </w:rPr>
      </w:pPr>
      <w:r>
        <w:rPr/>
        <w:t>网址：</w:t>
      </w:r>
      <w:hyperlink r:id="rId199">
        <w:r>
          <w:rPr>
            <w:rFonts w:ascii="Times New Roman" w:eastAsia="Times New Roman"/>
          </w:rPr>
          <w:t>www.iztzq.com</w:t>
        </w:r>
      </w:hyperlink>
    </w:p>
    <w:p>
      <w:pPr>
        <w:pStyle w:val="BodyText"/>
        <w:spacing w:before="11"/>
        <w:rPr>
          <w:rFonts w:ascii="Times New Roman"/>
          <w:sz w:val="17"/>
        </w:rPr>
      </w:pPr>
    </w:p>
    <w:p>
      <w:pPr>
        <w:pStyle w:val="BodyText"/>
        <w:ind w:left="720"/>
        <w:rPr>
          <w:rFonts w:ascii="Times New Roman" w:eastAsia="Times New Roman"/>
        </w:rPr>
      </w:pPr>
      <w:r>
        <w:rPr>
          <w:spacing w:val="-18"/>
          <w:w w:val="100"/>
        </w:rPr>
        <w:t>客户服务电话：</w:t>
      </w:r>
      <w:r>
        <w:rPr>
          <w:w w:val="100"/>
        </w:rPr>
        <w:t>（</w:t>
      </w:r>
      <w:r>
        <w:rPr>
          <w:rFonts w:ascii="Times New Roman" w:eastAsia="Times New Roman"/>
          <w:w w:val="100"/>
        </w:rPr>
        <w:t>02</w:t>
      </w:r>
      <w:r>
        <w:rPr>
          <w:rFonts w:ascii="Times New Roman" w:eastAsia="Times New Roman"/>
          <w:spacing w:val="-3"/>
          <w:w w:val="100"/>
        </w:rPr>
        <w:t>4</w:t>
      </w:r>
      <w:r>
        <w:rPr>
          <w:w w:val="100"/>
        </w:rPr>
        <w:t>）</w:t>
      </w:r>
      <w:r>
        <w:rPr>
          <w:rFonts w:ascii="Times New Roman" w:eastAsia="Times New Roman"/>
          <w:w w:val="100"/>
        </w:rPr>
        <w:t>9</w:t>
      </w:r>
      <w:r>
        <w:rPr>
          <w:rFonts w:ascii="Times New Roman" w:eastAsia="Times New Roman"/>
          <w:spacing w:val="-3"/>
          <w:w w:val="100"/>
        </w:rPr>
        <w:t>53</w:t>
      </w:r>
      <w:r>
        <w:rPr>
          <w:rFonts w:ascii="Times New Roman" w:eastAsia="Times New Roman"/>
          <w:w w:val="100"/>
        </w:rPr>
        <w:t>46</w:t>
      </w:r>
    </w:p>
    <w:p>
      <w:pPr>
        <w:pStyle w:val="BodyText"/>
        <w:spacing w:before="10"/>
        <w:rPr>
          <w:rFonts w:ascii="Times New Roman"/>
          <w:sz w:val="17"/>
        </w:rPr>
      </w:pPr>
    </w:p>
    <w:p>
      <w:pPr>
        <w:pStyle w:val="ListParagraph"/>
        <w:numPr>
          <w:ilvl w:val="0"/>
          <w:numId w:val="11"/>
        </w:numPr>
        <w:tabs>
          <w:tab w:pos="1459" w:val="left" w:leader="none"/>
        </w:tabs>
        <w:spacing w:line="240" w:lineRule="auto" w:before="1" w:after="0"/>
        <w:ind w:left="1458" w:right="0" w:hanging="739"/>
        <w:jc w:val="left"/>
        <w:rPr>
          <w:sz w:val="21"/>
        </w:rPr>
      </w:pPr>
      <w:r>
        <w:rPr>
          <w:spacing w:val="-3"/>
          <w:sz w:val="21"/>
        </w:rPr>
        <w:t>万和证券股份有限公司</w:t>
      </w:r>
    </w:p>
    <w:p>
      <w:pPr>
        <w:pStyle w:val="BodyText"/>
        <w:spacing w:before="3"/>
        <w:rPr>
          <w:sz w:val="16"/>
        </w:rPr>
      </w:pPr>
    </w:p>
    <w:p>
      <w:pPr>
        <w:pStyle w:val="BodyText"/>
        <w:ind w:left="720"/>
      </w:pPr>
      <w:r>
        <w:rPr/>
        <w:t>住所：海口市南沙路 </w:t>
      </w:r>
      <w:r>
        <w:rPr>
          <w:rFonts w:ascii="Times New Roman" w:eastAsia="Times New Roman"/>
        </w:rPr>
        <w:t>49 </w:t>
      </w:r>
      <w:r>
        <w:rPr/>
        <w:t>号通信广场二楼</w:t>
      </w:r>
    </w:p>
    <w:p>
      <w:pPr>
        <w:pStyle w:val="BodyText"/>
        <w:spacing w:before="1"/>
        <w:rPr>
          <w:sz w:val="16"/>
        </w:rPr>
      </w:pPr>
    </w:p>
    <w:p>
      <w:pPr>
        <w:pStyle w:val="BodyText"/>
        <w:spacing w:line="424" w:lineRule="auto"/>
        <w:ind w:left="720" w:right="266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24" w:lineRule="auto"/>
        <w:ind w:left="720" w:right="680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7" w:lineRule="exact"/>
        <w:ind w:left="720"/>
      </w:pPr>
      <w:r>
        <w:rPr/>
        <w:t>联系人：王少峰</w:t>
      </w:r>
    </w:p>
    <w:p>
      <w:pPr>
        <w:pStyle w:val="BodyText"/>
        <w:rPr>
          <w:sz w:val="16"/>
        </w:rPr>
      </w:pPr>
    </w:p>
    <w:p>
      <w:pPr>
        <w:pStyle w:val="BodyText"/>
        <w:spacing w:line="424" w:lineRule="auto"/>
        <w:ind w:left="720" w:right="5613"/>
        <w:rPr>
          <w:rFonts w:ascii="Times New Roman" w:eastAsia="Times New Roman"/>
        </w:rPr>
      </w:pPr>
      <w:r>
        <w:rPr/>
        <w:t>网址：</w:t>
      </w:r>
      <w:hyperlink r:id="rId200">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宏信证券有限责任公司</w:t>
      </w:r>
    </w:p>
    <w:p>
      <w:pPr>
        <w:pStyle w:val="BodyText"/>
        <w:spacing w:before="2"/>
        <w:rPr>
          <w:sz w:val="16"/>
        </w:rPr>
      </w:pPr>
    </w:p>
    <w:p>
      <w:pPr>
        <w:pStyle w:val="BodyText"/>
        <w:ind w:left="720"/>
      </w:pPr>
      <w:r>
        <w:rPr/>
        <w:t>住所：四川省成都市锦江区人民南路二段 </w:t>
      </w:r>
      <w:r>
        <w:rPr>
          <w:rFonts w:ascii="Times New Roman" w:eastAsia="Times New Roman"/>
        </w:rPr>
        <w:t>18 </w:t>
      </w:r>
      <w:r>
        <w:rPr/>
        <w:t>号川信大厦 </w:t>
      </w:r>
      <w:r>
        <w:rPr>
          <w:rFonts w:ascii="Times New Roman" w:eastAsia="Times New Roman"/>
        </w:rPr>
        <w:t>10 </w:t>
      </w:r>
      <w:r>
        <w:rPr/>
        <w:t>楼</w:t>
      </w:r>
    </w:p>
    <w:p>
      <w:pPr>
        <w:pStyle w:val="BodyText"/>
        <w:spacing w:before="1"/>
        <w:rPr>
          <w:sz w:val="16"/>
        </w:rPr>
      </w:pPr>
    </w:p>
    <w:p>
      <w:pPr>
        <w:pStyle w:val="BodyText"/>
        <w:spacing w:line="424" w:lineRule="auto"/>
        <w:ind w:left="720" w:right="2669"/>
      </w:pPr>
      <w:r>
        <w:rPr>
          <w:spacing w:val="-5"/>
        </w:rPr>
        <w:t>办公地址：四川省成都市锦江区人民南路二段 </w:t>
      </w:r>
      <w:r>
        <w:rPr>
          <w:rFonts w:ascii="Times New Roman" w:eastAsia="Times New Roman"/>
        </w:rPr>
        <w:t>18 </w:t>
      </w:r>
      <w:r>
        <w:rPr>
          <w:spacing w:val="-11"/>
        </w:rPr>
        <w:t>号川信大厦 </w:t>
      </w:r>
      <w:r>
        <w:rPr>
          <w:rFonts w:ascii="Times New Roman" w:eastAsia="Times New Roman"/>
        </w:rPr>
        <w:t>10 </w:t>
      </w:r>
      <w:r>
        <w:rPr/>
        <w:t>楼</w:t>
      </w:r>
      <w:r>
        <w:rPr>
          <w:spacing w:val="-3"/>
        </w:rPr>
        <w:t>法定代表人：吴玉明</w:t>
      </w:r>
    </w:p>
    <w:p>
      <w:pPr>
        <w:pStyle w:val="BodyText"/>
        <w:spacing w:line="424" w:lineRule="auto"/>
        <w:ind w:left="720" w:right="690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24" w:lineRule="auto"/>
        <w:ind w:left="720" w:right="6978"/>
        <w:rPr>
          <w:rFonts w:ascii="Times New Roman" w:eastAsia="Times New Roman"/>
        </w:rPr>
      </w:pPr>
      <w:r>
        <w:rPr>
          <w:spacing w:val="-2"/>
        </w:rPr>
        <w:t>联系人：郝俊杰  </w:t>
      </w:r>
      <w:r>
        <w:rPr>
          <w:spacing w:val="-3"/>
        </w:rPr>
        <w:t>网址：</w:t>
      </w:r>
      <w:hyperlink r:id="rId201">
        <w:r>
          <w:rPr>
            <w:rFonts w:ascii="Times New Roman" w:eastAsia="Times New Roman"/>
            <w:spacing w:val="-4"/>
          </w:rPr>
          <w:t>www.hxzq.cn</w:t>
        </w:r>
      </w:hyperlink>
    </w:p>
    <w:p>
      <w:pPr>
        <w:pStyle w:val="BodyText"/>
        <w:ind w:left="720"/>
        <w:rPr>
          <w:rFonts w:ascii="Times New Roman" w:eastAsia="Times New Roman"/>
        </w:rPr>
      </w:pPr>
      <w:r>
        <w:rPr/>
        <w:t>客户服务电话：</w:t>
      </w:r>
      <w:r>
        <w:rPr>
          <w:rFonts w:ascii="Times New Roman" w:eastAsia="Times New Roman"/>
        </w:rPr>
        <w:t>400-836-6366</w:t>
      </w:r>
    </w:p>
    <w:p>
      <w:pPr>
        <w:pStyle w:val="BodyText"/>
        <w:spacing w:before="7"/>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太平洋证券股份有限公司</w:t>
      </w:r>
    </w:p>
    <w:p>
      <w:pPr>
        <w:pStyle w:val="BodyText"/>
        <w:spacing w:before="1"/>
        <w:rPr>
          <w:sz w:val="16"/>
        </w:rPr>
      </w:pPr>
    </w:p>
    <w:p>
      <w:pPr>
        <w:pStyle w:val="BodyText"/>
        <w:ind w:left="720"/>
      </w:pPr>
      <w:r>
        <w:rPr>
          <w:spacing w:val="-7"/>
        </w:rPr>
        <w:t>住所：云南省昆明市青年路 </w:t>
      </w:r>
      <w:r>
        <w:rPr>
          <w:rFonts w:ascii="Times New Roman" w:eastAsia="Times New Roman"/>
        </w:rPr>
        <w:t>389</w:t>
      </w:r>
      <w:r>
        <w:rPr>
          <w:rFonts w:ascii="Times New Roman" w:eastAsia="Times New Roman"/>
          <w:spacing w:val="2"/>
        </w:rPr>
        <w:t> </w:t>
      </w:r>
      <w:r>
        <w:rPr>
          <w:spacing w:val="-11"/>
        </w:rPr>
        <w:t>号志远大厦 </w:t>
      </w:r>
      <w:r>
        <w:rPr>
          <w:rFonts w:ascii="Times New Roman" w:eastAsia="Times New Roman"/>
        </w:rPr>
        <w:t>18</w:t>
      </w:r>
      <w:r>
        <w:rPr>
          <w:rFonts w:ascii="Times New Roman" w:eastAsia="Times New Roman"/>
          <w:spacing w:val="5"/>
        </w:rPr>
        <w:t> </w:t>
      </w:r>
      <w:r>
        <w:rPr/>
        <w:t>层</w:t>
      </w:r>
    </w:p>
    <w:p>
      <w:pPr>
        <w:pStyle w:val="BodyText"/>
        <w:spacing w:before="1"/>
        <w:rPr>
          <w:sz w:val="16"/>
        </w:rPr>
      </w:pPr>
    </w:p>
    <w:p>
      <w:pPr>
        <w:pStyle w:val="BodyText"/>
        <w:spacing w:line="424" w:lineRule="auto" w:before="1"/>
        <w:ind w:left="720" w:right="3046"/>
      </w:pPr>
      <w:r>
        <w:rPr>
          <w:spacing w:val="-6"/>
        </w:rPr>
        <w:t>办公地址：北京市西城区北展北街 </w:t>
      </w:r>
      <w:r>
        <w:rPr>
          <w:rFonts w:ascii="Times New Roman" w:eastAsia="Times New Roman"/>
        </w:rPr>
        <w:t>9</w:t>
      </w:r>
      <w:r>
        <w:rPr>
          <w:rFonts w:ascii="Times New Roman" w:eastAsia="Times New Roman"/>
          <w:spacing w:val="3"/>
        </w:rPr>
        <w:t> </w:t>
      </w:r>
      <w:r>
        <w:rPr>
          <w:spacing w:val="5"/>
        </w:rPr>
        <w:t>号华远企业号</w:t>
      </w:r>
      <w:r>
        <w:rPr>
          <w:rFonts w:ascii="Times New Roman" w:eastAsia="Times New Roman"/>
        </w:rPr>
        <w:t>D</w:t>
      </w:r>
      <w:r>
        <w:rPr>
          <w:rFonts w:ascii="Times New Roman" w:eastAsia="Times New Roman"/>
          <w:spacing w:val="5"/>
        </w:rPr>
        <w:t> </w:t>
      </w:r>
      <w:r>
        <w:rPr>
          <w:spacing w:val="-24"/>
        </w:rPr>
        <w:t>座 </w:t>
      </w:r>
      <w:r>
        <w:rPr>
          <w:rFonts w:ascii="Times New Roman" w:eastAsia="Times New Roman"/>
        </w:rPr>
        <w:t>3</w:t>
      </w:r>
      <w:r>
        <w:rPr>
          <w:rFonts w:ascii="Times New Roman" w:eastAsia="Times New Roman"/>
          <w:spacing w:val="5"/>
        </w:rPr>
        <w:t> </w:t>
      </w:r>
      <w:r>
        <w:rPr>
          <w:spacing w:val="-3"/>
        </w:rPr>
        <w:t>单元法定代表人：李长伟</w:t>
      </w:r>
    </w:p>
    <w:p>
      <w:pPr>
        <w:pStyle w:val="BodyText"/>
        <w:spacing w:line="424" w:lineRule="auto"/>
        <w:ind w:left="720" w:right="5540"/>
        <w:rPr>
          <w:rFonts w:ascii="Times New Roman" w:eastAsia="Times New Roman"/>
        </w:rPr>
      </w:pPr>
      <w:r>
        <w:rPr/>
        <w:t>电话：</w:t>
      </w:r>
      <w:r>
        <w:rPr>
          <w:rFonts w:ascii="Times New Roman" w:eastAsia="Times New Roman"/>
        </w:rPr>
        <w:t>010-88321717</w:t>
      </w:r>
      <w:r>
        <w:rPr/>
        <w:t>、</w:t>
      </w:r>
      <w:r>
        <w:rPr>
          <w:rFonts w:ascii="Times New Roman" w:eastAsia="Times New Roman"/>
          <w:spacing w:val="-3"/>
        </w:rPr>
        <w:t>18500505235 </w:t>
      </w:r>
      <w:r>
        <w:rPr/>
        <w:t>传真：</w:t>
      </w:r>
      <w:r>
        <w:rPr>
          <w:rFonts w:ascii="Times New Roman" w:eastAsia="Times New Roman"/>
        </w:rPr>
        <w:t>010-88321763</w:t>
      </w:r>
    </w:p>
    <w:p>
      <w:pPr>
        <w:pStyle w:val="BodyText"/>
        <w:spacing w:line="267" w:lineRule="exact"/>
        <w:ind w:left="720"/>
      </w:pPr>
      <w:r>
        <w:rPr/>
        <w:t>联系人：唐昌田</w:t>
      </w:r>
    </w:p>
    <w:p>
      <w:pPr>
        <w:spacing w:after="0" w:line="267" w:lineRule="exact"/>
        <w:sectPr>
          <w:pgSz w:w="11910" w:h="16840"/>
          <w:pgMar w:header="701" w:footer="683" w:top="1420" w:bottom="880" w:left="1500" w:right="920"/>
        </w:sectPr>
      </w:pPr>
    </w:p>
    <w:p>
      <w:pPr>
        <w:pStyle w:val="BodyText"/>
        <w:spacing w:line="424" w:lineRule="auto" w:before="115"/>
        <w:ind w:left="720" w:right="6714"/>
        <w:rPr>
          <w:rFonts w:ascii="Times New Roman" w:eastAsia="Times New Roman"/>
        </w:rPr>
      </w:pPr>
      <w:r>
        <w:rPr/>
        <w:t>网址：</w:t>
      </w:r>
      <w:hyperlink r:id="rId202">
        <w:r>
          <w:rPr>
            <w:rFonts w:ascii="Times New Roman" w:eastAsia="Times New Roman"/>
          </w:rPr>
          <w:t>www.tpyzq.com </w:t>
        </w:r>
      </w:hyperlink>
      <w:r>
        <w:rPr/>
        <w:t>客户服务电话：</w:t>
      </w:r>
      <w:r>
        <w:rPr>
          <w:rFonts w:ascii="Times New Roman" w:eastAsia="Times New Roman"/>
        </w:rPr>
        <w:t>95397</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开源证券股份有限公司</w:t>
      </w:r>
    </w:p>
    <w:p>
      <w:pPr>
        <w:pStyle w:val="BodyText"/>
        <w:rPr>
          <w:sz w:val="16"/>
        </w:rPr>
      </w:pPr>
    </w:p>
    <w:p>
      <w:pPr>
        <w:pStyle w:val="BodyText"/>
        <w:spacing w:before="1"/>
        <w:ind w:left="72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1"/>
        <w:rPr>
          <w:sz w:val="16"/>
        </w:rPr>
      </w:pPr>
    </w:p>
    <w:p>
      <w:pPr>
        <w:pStyle w:val="BodyText"/>
        <w:spacing w:line="427" w:lineRule="auto"/>
        <w:ind w:left="720" w:right="305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24" w:lineRule="auto"/>
        <w:ind w:left="720" w:right="691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8" w:lineRule="exact"/>
        <w:ind w:left="720"/>
      </w:pPr>
      <w:r>
        <w:rPr/>
        <w:t>联系人：曹欣</w:t>
      </w:r>
    </w:p>
    <w:p>
      <w:pPr>
        <w:pStyle w:val="BodyText"/>
        <w:spacing w:before="8"/>
        <w:rPr>
          <w:sz w:val="15"/>
        </w:rPr>
      </w:pPr>
    </w:p>
    <w:p>
      <w:pPr>
        <w:pStyle w:val="BodyText"/>
        <w:spacing w:before="1"/>
        <w:ind w:left="720"/>
        <w:rPr>
          <w:rFonts w:ascii="Times New Roman" w:eastAsia="Times New Roman"/>
        </w:rPr>
      </w:pPr>
      <w:r>
        <w:rPr/>
        <w:t>网址：</w:t>
      </w:r>
      <w:hyperlink r:id="rId203">
        <w:r>
          <w:rPr>
            <w:rFonts w:ascii="Times New Roman" w:eastAsia="Times New Roman"/>
          </w:rPr>
          <w:t>www.kysec.cn</w:t>
        </w:r>
      </w:hyperlink>
    </w:p>
    <w:p>
      <w:pPr>
        <w:pStyle w:val="BodyText"/>
        <w:spacing w:before="10"/>
        <w:rPr>
          <w:rFonts w:ascii="Times New Roman"/>
          <w:sz w:val="17"/>
        </w:rPr>
      </w:pPr>
    </w:p>
    <w:p>
      <w:pPr>
        <w:pStyle w:val="BodyText"/>
        <w:ind w:left="72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川财证券有限责任公司</w:t>
      </w:r>
    </w:p>
    <w:p>
      <w:pPr>
        <w:pStyle w:val="BodyText"/>
        <w:spacing w:before="1"/>
        <w:rPr>
          <w:sz w:val="16"/>
        </w:rPr>
      </w:pPr>
    </w:p>
    <w:p>
      <w:pPr>
        <w:pStyle w:val="BodyText"/>
        <w:spacing w:line="427" w:lineRule="auto"/>
        <w:ind w:left="720" w:right="799"/>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24" w:lineRule="auto"/>
        <w:ind w:left="720" w:right="687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spacing w:line="266" w:lineRule="exact"/>
        <w:ind w:left="720"/>
      </w:pPr>
      <w:r>
        <w:rPr/>
        <w:t>联系人：匡婷</w:t>
      </w:r>
    </w:p>
    <w:p>
      <w:pPr>
        <w:pStyle w:val="BodyText"/>
        <w:spacing w:before="9"/>
        <w:rPr>
          <w:sz w:val="15"/>
        </w:rPr>
      </w:pPr>
    </w:p>
    <w:p>
      <w:pPr>
        <w:pStyle w:val="BodyText"/>
        <w:ind w:left="720"/>
        <w:rPr>
          <w:rFonts w:ascii="Times New Roman" w:eastAsia="Times New Roman"/>
        </w:rPr>
      </w:pPr>
      <w:r>
        <w:rPr/>
        <w:t>网址：</w:t>
      </w:r>
      <w:hyperlink r:id="rId204">
        <w:r>
          <w:rPr>
            <w:rFonts w:ascii="Times New Roman" w:eastAsia="Times New Roman"/>
          </w:rPr>
          <w:t>http://www.cczp.com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028-86585518</w:t>
      </w:r>
    </w:p>
    <w:p>
      <w:pPr>
        <w:pStyle w:val="BodyText"/>
        <w:spacing w:before="11"/>
        <w:rPr>
          <w:rFonts w:ascii="Times New Roman"/>
          <w:sz w:val="17"/>
        </w:rPr>
      </w:pPr>
    </w:p>
    <w:p>
      <w:pPr>
        <w:pStyle w:val="ListParagraph"/>
        <w:numPr>
          <w:ilvl w:val="0"/>
          <w:numId w:val="11"/>
        </w:numPr>
        <w:tabs>
          <w:tab w:pos="1459" w:val="left" w:leader="none"/>
        </w:tabs>
        <w:spacing w:line="240" w:lineRule="auto" w:before="0" w:after="0"/>
        <w:ind w:left="1458" w:right="0" w:hanging="739"/>
        <w:jc w:val="left"/>
        <w:rPr>
          <w:sz w:val="21"/>
        </w:rPr>
      </w:pPr>
      <w:r>
        <w:rPr>
          <w:spacing w:val="-3"/>
          <w:sz w:val="21"/>
        </w:rPr>
        <w:t>联储证券有限责任公司</w:t>
      </w:r>
    </w:p>
    <w:p>
      <w:pPr>
        <w:pStyle w:val="BodyText"/>
        <w:spacing w:before="4"/>
        <w:rPr>
          <w:sz w:val="16"/>
        </w:rPr>
      </w:pPr>
    </w:p>
    <w:p>
      <w:pPr>
        <w:pStyle w:val="BodyText"/>
        <w:ind w:left="720"/>
      </w:pPr>
      <w:r>
        <w:rPr/>
        <w:t>住所：深圳市福田区福田街道岗厦社区深南大道南侧金地中心大厦 </w:t>
      </w:r>
      <w:r>
        <w:rPr>
          <w:rFonts w:ascii="Times New Roman" w:eastAsia="Times New Roman"/>
        </w:rPr>
        <w:t>9 </w:t>
      </w:r>
      <w:r>
        <w:rPr/>
        <w:t>楼</w:t>
      </w:r>
    </w:p>
    <w:p>
      <w:pPr>
        <w:pStyle w:val="BodyText"/>
        <w:spacing w:before="1"/>
        <w:rPr>
          <w:sz w:val="16"/>
        </w:rPr>
      </w:pPr>
    </w:p>
    <w:p>
      <w:pPr>
        <w:pStyle w:val="BodyText"/>
        <w:spacing w:line="424" w:lineRule="auto"/>
        <w:ind w:left="720" w:right="2352"/>
      </w:pPr>
      <w:r>
        <w:rPr>
          <w:spacing w:val="-6"/>
        </w:rPr>
        <w:t>办公地址：北京市朝阳区安定路 </w:t>
      </w:r>
      <w:r>
        <w:rPr>
          <w:rFonts w:ascii="Times New Roman" w:eastAsia="Times New Roman"/>
        </w:rPr>
        <w:t>5 </w:t>
      </w:r>
      <w:r>
        <w:rPr>
          <w:spacing w:val="-18"/>
        </w:rPr>
        <w:t>号院 </w:t>
      </w:r>
      <w:r>
        <w:rPr>
          <w:rFonts w:ascii="Times New Roman" w:eastAsia="Times New Roman"/>
        </w:rPr>
        <w:t>3 </w:t>
      </w:r>
      <w:r>
        <w:rPr>
          <w:spacing w:val="-8"/>
        </w:rPr>
        <w:t>号楼中建财富国际中心 </w:t>
      </w:r>
      <w:r>
        <w:rPr>
          <w:rFonts w:ascii="Times New Roman" w:eastAsia="Times New Roman"/>
        </w:rPr>
        <w:t>27 </w:t>
      </w:r>
      <w:r>
        <w:rPr/>
        <w:t>层</w:t>
      </w:r>
      <w:r>
        <w:rPr>
          <w:spacing w:val="-3"/>
        </w:rPr>
        <w:t>法定代表人：吕春卫</w:t>
      </w:r>
    </w:p>
    <w:p>
      <w:pPr>
        <w:pStyle w:val="BodyText"/>
        <w:spacing w:line="424" w:lineRule="auto"/>
        <w:ind w:left="720" w:right="690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spacing w:line="267" w:lineRule="exact"/>
        <w:ind w:left="720"/>
      </w:pPr>
      <w:r>
        <w:rPr/>
        <w:t>联系人：丁倩云</w:t>
      </w:r>
    </w:p>
    <w:p>
      <w:pPr>
        <w:pStyle w:val="BodyText"/>
        <w:spacing w:before="12"/>
        <w:rPr>
          <w:sz w:val="15"/>
        </w:rPr>
      </w:pPr>
    </w:p>
    <w:p>
      <w:pPr>
        <w:pStyle w:val="BodyText"/>
        <w:ind w:left="720"/>
        <w:rPr>
          <w:rFonts w:ascii="Times New Roman" w:eastAsia="Times New Roman"/>
        </w:rPr>
      </w:pPr>
      <w:r>
        <w:rPr/>
        <w:t>网址：</w:t>
      </w:r>
      <w:hyperlink r:id="rId205">
        <w:r>
          <w:rPr>
            <w:rFonts w:ascii="Times New Roman" w:eastAsia="Times New Roman"/>
          </w:rPr>
          <w:t>www.lczq.com</w:t>
        </w:r>
      </w:hyperlink>
    </w:p>
    <w:p>
      <w:pPr>
        <w:pStyle w:val="BodyText"/>
        <w:spacing w:before="11"/>
        <w:rPr>
          <w:rFonts w:ascii="Times New Roman"/>
          <w:sz w:val="17"/>
        </w:rPr>
      </w:pPr>
    </w:p>
    <w:p>
      <w:pPr>
        <w:pStyle w:val="BodyText"/>
        <w:ind w:left="720"/>
        <w:rPr>
          <w:rFonts w:ascii="Times New Roman" w:eastAsia="Times New Roman"/>
        </w:rPr>
      </w:pPr>
      <w:r>
        <w:rPr/>
        <w:t>客户服务电话：</w:t>
      </w:r>
      <w:r>
        <w:rPr>
          <w:rFonts w:ascii="Times New Roman" w:eastAsia="Times New Roman"/>
        </w:rPr>
        <w:t>400-620-6868</w:t>
      </w:r>
    </w:p>
    <w:p>
      <w:pPr>
        <w:spacing w:after="0"/>
        <w:rPr>
          <w:rFonts w:ascii="Times New Roman" w:eastAsia="Times New Roman"/>
        </w:rPr>
        <w:sectPr>
          <w:pgSz w:w="11910" w:h="16840"/>
          <w:pgMar w:header="701" w:footer="683" w:top="1420" w:bottom="880" w:left="1500" w:right="920"/>
        </w:sectPr>
      </w:pPr>
    </w:p>
    <w:p>
      <w:pPr>
        <w:pStyle w:val="ListParagraph"/>
        <w:numPr>
          <w:ilvl w:val="0"/>
          <w:numId w:val="11"/>
        </w:numPr>
        <w:tabs>
          <w:tab w:pos="1459" w:val="left" w:leader="none"/>
        </w:tabs>
        <w:spacing w:line="240" w:lineRule="auto" w:before="115" w:after="0"/>
        <w:ind w:left="1458" w:right="0" w:hanging="739"/>
        <w:jc w:val="left"/>
        <w:rPr>
          <w:sz w:val="21"/>
        </w:rPr>
      </w:pPr>
      <w:r>
        <w:rPr>
          <w:spacing w:val="-3"/>
          <w:sz w:val="21"/>
        </w:rPr>
        <w:t>华瑞保险销售有限公司</w:t>
      </w:r>
    </w:p>
    <w:p>
      <w:pPr>
        <w:pStyle w:val="BodyText"/>
        <w:rPr>
          <w:sz w:val="16"/>
        </w:rPr>
      </w:pPr>
    </w:p>
    <w:p>
      <w:pPr>
        <w:pStyle w:val="BodyText"/>
        <w:spacing w:line="424" w:lineRule="auto" w:before="1"/>
        <w:ind w:left="720" w:right="1478"/>
        <w:rPr>
          <w:rFonts w:ascii="Times New Roman" w:eastAsia="Times New Roman"/>
        </w:rPr>
      </w:pPr>
      <w:r>
        <w:rPr>
          <w:spacing w:val="-6"/>
        </w:rPr>
        <w:t>住所：上海市嘉定区南翔镇众仁路 </w:t>
      </w:r>
      <w:r>
        <w:rPr>
          <w:rFonts w:ascii="Times New Roman" w:eastAsia="Times New Roman"/>
        </w:rPr>
        <w:t>399 </w:t>
      </w:r>
      <w:r>
        <w:rPr>
          <w:spacing w:val="-8"/>
        </w:rPr>
        <w:t>号运通星财富广场 </w:t>
      </w:r>
      <w:r>
        <w:rPr>
          <w:rFonts w:ascii="Times New Roman" w:eastAsia="Times New Roman"/>
        </w:rPr>
        <w:t>1 </w:t>
      </w:r>
      <w:r>
        <w:rPr>
          <w:spacing w:val="-19"/>
        </w:rPr>
        <w:t>号楼 </w:t>
      </w:r>
      <w:r>
        <w:rPr>
          <w:rFonts w:ascii="Times New Roman" w:eastAsia="Times New Roman"/>
        </w:rPr>
        <w:t>B </w:t>
      </w:r>
      <w:r>
        <w:rPr>
          <w:spacing w:val="-26"/>
        </w:rPr>
        <w:t>座 </w:t>
      </w:r>
      <w:r>
        <w:rPr>
          <w:rFonts w:ascii="Times New Roman" w:eastAsia="Times New Roman"/>
        </w:rPr>
        <w:t>13</w:t>
      </w:r>
      <w:r>
        <w:rPr>
          <w:spacing w:val="-3"/>
        </w:rPr>
        <w:t>、</w:t>
      </w:r>
      <w:r>
        <w:rPr>
          <w:rFonts w:ascii="Times New Roman" w:eastAsia="Times New Roman"/>
        </w:rPr>
        <w:t>14 </w:t>
      </w:r>
      <w:r>
        <w:rPr/>
        <w:t>层</w:t>
      </w:r>
      <w:r>
        <w:rPr>
          <w:spacing w:val="-7"/>
        </w:rPr>
        <w:t>办公地址：上海市浦东新区向城路 </w:t>
      </w:r>
      <w:r>
        <w:rPr>
          <w:rFonts w:ascii="Times New Roman" w:eastAsia="Times New Roman"/>
        </w:rPr>
        <w:t>288 </w:t>
      </w:r>
      <w:r>
        <w:rPr>
          <w:spacing w:val="-8"/>
        </w:rPr>
        <w:t>号国华人寿金融大厦 </w:t>
      </w:r>
      <w:r>
        <w:rPr>
          <w:rFonts w:ascii="Times New Roman" w:eastAsia="Times New Roman"/>
        </w:rPr>
        <w:t>8 </w:t>
      </w:r>
      <w:r>
        <w:rPr>
          <w:spacing w:val="-26"/>
        </w:rPr>
        <w:t>层 </w:t>
      </w:r>
      <w:r>
        <w:rPr>
          <w:rFonts w:ascii="Times New Roman" w:eastAsia="Times New Roman"/>
        </w:rPr>
        <w:t>806</w:t>
      </w:r>
    </w:p>
    <w:p>
      <w:pPr>
        <w:pStyle w:val="BodyText"/>
        <w:spacing w:line="424" w:lineRule="auto"/>
        <w:ind w:left="720" w:right="6844"/>
        <w:rPr>
          <w:rFonts w:ascii="Times New Roman" w:eastAsia="Times New Roman"/>
        </w:rPr>
      </w:pPr>
      <w:r>
        <w:rPr/>
        <w:t>法定代表人：路昊电话：</w:t>
      </w:r>
      <w:r>
        <w:rPr>
          <w:rFonts w:ascii="Times New Roman" w:eastAsia="Times New Roman"/>
        </w:rPr>
        <w:t>021-68595698 </w:t>
      </w:r>
      <w:r>
        <w:rPr/>
        <w:t>传真：</w:t>
      </w:r>
      <w:r>
        <w:rPr>
          <w:rFonts w:ascii="Times New Roman" w:eastAsia="Times New Roman"/>
        </w:rPr>
        <w:t>021-68595766</w:t>
      </w:r>
    </w:p>
    <w:p>
      <w:pPr>
        <w:pStyle w:val="BodyText"/>
        <w:spacing w:line="268" w:lineRule="exact"/>
        <w:ind w:left="720"/>
      </w:pPr>
      <w:r>
        <w:rPr/>
        <w:t>联系人：茆勇强</w:t>
      </w:r>
    </w:p>
    <w:p>
      <w:pPr>
        <w:pStyle w:val="BodyText"/>
        <w:spacing w:before="12"/>
        <w:rPr>
          <w:sz w:val="15"/>
        </w:rPr>
      </w:pPr>
    </w:p>
    <w:p>
      <w:pPr>
        <w:pStyle w:val="BodyText"/>
        <w:spacing w:line="424" w:lineRule="auto"/>
        <w:ind w:left="720" w:right="6236"/>
        <w:rPr>
          <w:rFonts w:ascii="Times New Roman" w:eastAsia="Times New Roman"/>
        </w:rPr>
      </w:pPr>
      <w:r>
        <w:rPr/>
        <w:t>网址：</w:t>
      </w:r>
      <w:hyperlink r:id="rId206">
        <w:r>
          <w:rPr>
            <w:rFonts w:ascii="Times New Roman" w:eastAsia="Times New Roman"/>
          </w:rPr>
          <w:t>www.huaruisales.com </w:t>
        </w:r>
      </w:hyperlink>
      <w:r>
        <w:rPr/>
        <w:t>客户服务电话：</w:t>
      </w:r>
      <w:r>
        <w:rPr>
          <w:rFonts w:ascii="Times New Roman" w:eastAsia="Times New Roman"/>
        </w:rPr>
        <w:t>952303</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玄元保险代理有限公司</w:t>
      </w:r>
    </w:p>
    <w:p>
      <w:pPr>
        <w:pStyle w:val="BodyText"/>
        <w:spacing w:before="1"/>
        <w:rPr>
          <w:sz w:val="16"/>
        </w:rPr>
      </w:pPr>
    </w:p>
    <w:p>
      <w:pPr>
        <w:pStyle w:val="BodyText"/>
        <w:ind w:left="720"/>
      </w:pPr>
      <w:r>
        <w:rPr/>
        <w:t>住所：中国（上海）自由贸易试验区张杨路 </w:t>
      </w:r>
      <w:r>
        <w:rPr>
          <w:rFonts w:ascii="Times New Roman" w:eastAsia="Times New Roman"/>
        </w:rPr>
        <w:t>707 </w:t>
      </w:r>
      <w:r>
        <w:rPr/>
        <w:t>号 </w:t>
      </w:r>
      <w:r>
        <w:rPr>
          <w:rFonts w:ascii="Times New Roman" w:eastAsia="Times New Roman"/>
        </w:rPr>
        <w:t>1105 </w:t>
      </w:r>
      <w:r>
        <w:rPr/>
        <w:t>室</w:t>
      </w:r>
    </w:p>
    <w:p>
      <w:pPr>
        <w:pStyle w:val="BodyText"/>
        <w:spacing w:before="1"/>
        <w:rPr>
          <w:sz w:val="16"/>
        </w:rPr>
      </w:pPr>
    </w:p>
    <w:p>
      <w:pPr>
        <w:pStyle w:val="BodyText"/>
        <w:spacing w:line="424" w:lineRule="auto"/>
        <w:ind w:left="720" w:right="2993"/>
      </w:pPr>
      <w:r>
        <w:rPr>
          <w:spacing w:val="-3"/>
        </w:rPr>
        <w:t>办公地址：中国</w:t>
      </w:r>
      <w:r>
        <w:rPr/>
        <w:t>（</w:t>
      </w:r>
      <w:r>
        <w:rPr>
          <w:spacing w:val="-2"/>
        </w:rPr>
        <w:t>上海</w:t>
      </w:r>
      <w:r>
        <w:rPr>
          <w:spacing w:val="-3"/>
        </w:rPr>
        <w:t>）</w:t>
      </w:r>
      <w:r>
        <w:rPr>
          <w:spacing w:val="-7"/>
        </w:rPr>
        <w:t>自由贸易试验区张杨路 </w:t>
      </w:r>
      <w:r>
        <w:rPr>
          <w:rFonts w:ascii="Times New Roman" w:eastAsia="Times New Roman"/>
        </w:rPr>
        <w:t>707 </w:t>
      </w:r>
      <w:r>
        <w:rPr>
          <w:spacing w:val="-24"/>
        </w:rPr>
        <w:t>号 </w:t>
      </w:r>
      <w:r>
        <w:rPr>
          <w:rFonts w:ascii="Times New Roman" w:eastAsia="Times New Roman"/>
          <w:spacing w:val="-3"/>
        </w:rPr>
        <w:t>1105 </w:t>
      </w:r>
      <w:r>
        <w:rPr/>
        <w:t>室</w:t>
      </w:r>
      <w:r>
        <w:rPr>
          <w:spacing w:val="-3"/>
        </w:rPr>
        <w:t>法定代表人：马永谙</w:t>
      </w:r>
    </w:p>
    <w:p>
      <w:pPr>
        <w:pStyle w:val="BodyText"/>
        <w:spacing w:line="424" w:lineRule="auto" w:before="1"/>
        <w:ind w:left="720" w:right="690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7" w:lineRule="exact"/>
        <w:ind w:left="720"/>
      </w:pPr>
      <w:r>
        <w:rPr/>
        <w:t>联系人：卢亚博</w:t>
      </w:r>
    </w:p>
    <w:p>
      <w:pPr>
        <w:pStyle w:val="BodyText"/>
        <w:spacing w:before="1"/>
        <w:rPr>
          <w:sz w:val="16"/>
        </w:rPr>
      </w:pPr>
    </w:p>
    <w:p>
      <w:pPr>
        <w:pStyle w:val="BodyText"/>
        <w:spacing w:line="424" w:lineRule="auto"/>
        <w:ind w:left="720" w:right="460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阳光人寿保险股份有限公司</w:t>
      </w:r>
    </w:p>
    <w:p>
      <w:pPr>
        <w:pStyle w:val="BodyText"/>
        <w:spacing w:before="1"/>
        <w:rPr>
          <w:sz w:val="16"/>
        </w:rPr>
      </w:pPr>
    </w:p>
    <w:p>
      <w:pPr>
        <w:pStyle w:val="BodyText"/>
        <w:ind w:left="72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1"/>
        <w:rPr>
          <w:sz w:val="16"/>
        </w:rPr>
      </w:pPr>
    </w:p>
    <w:p>
      <w:pPr>
        <w:pStyle w:val="BodyText"/>
        <w:spacing w:line="427" w:lineRule="auto"/>
        <w:ind w:left="720" w:right="204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24" w:lineRule="auto"/>
        <w:ind w:left="720" w:right="690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7" w:lineRule="exact"/>
        <w:ind w:left="720"/>
      </w:pPr>
      <w:r>
        <w:rPr/>
        <w:t>联系人：王超</w:t>
      </w:r>
    </w:p>
    <w:p>
      <w:pPr>
        <w:pStyle w:val="BodyText"/>
        <w:spacing w:before="9"/>
        <w:rPr>
          <w:sz w:val="15"/>
        </w:rPr>
      </w:pPr>
    </w:p>
    <w:p>
      <w:pPr>
        <w:pStyle w:val="BodyText"/>
        <w:spacing w:line="424" w:lineRule="auto" w:before="1"/>
        <w:ind w:left="720" w:right="6130"/>
        <w:rPr>
          <w:rFonts w:ascii="Times New Roman" w:eastAsia="Times New Roman"/>
        </w:rPr>
      </w:pPr>
      <w:r>
        <w:rPr/>
        <w:t>网址：</w:t>
      </w:r>
      <w:hyperlink r:id="rId207">
        <w:r>
          <w:rPr>
            <w:rFonts w:ascii="Times New Roman" w:eastAsia="Times New Roman"/>
          </w:rPr>
          <w:t>http://fund.sinosig.com/ </w:t>
        </w:r>
      </w:hyperlink>
      <w:r>
        <w:rPr/>
        <w:t>客户服务电话：</w:t>
      </w:r>
      <w:r>
        <w:rPr>
          <w:rFonts w:ascii="Times New Roman" w:eastAsia="Times New Roman"/>
        </w:rPr>
        <w:t>95510</w:t>
      </w:r>
    </w:p>
    <w:p>
      <w:pPr>
        <w:pStyle w:val="ListParagraph"/>
        <w:numPr>
          <w:ilvl w:val="0"/>
          <w:numId w:val="11"/>
        </w:numPr>
        <w:tabs>
          <w:tab w:pos="1459" w:val="left" w:leader="none"/>
        </w:tabs>
        <w:spacing w:line="267" w:lineRule="exact" w:before="0" w:after="0"/>
        <w:ind w:left="1458" w:right="0" w:hanging="739"/>
        <w:jc w:val="left"/>
        <w:rPr>
          <w:sz w:val="21"/>
        </w:rPr>
      </w:pPr>
      <w:r>
        <w:rPr>
          <w:spacing w:val="-3"/>
          <w:sz w:val="21"/>
        </w:rPr>
        <w:t>中国人寿保险股份有限公司</w:t>
      </w:r>
    </w:p>
    <w:p>
      <w:pPr>
        <w:pStyle w:val="BodyText"/>
        <w:spacing w:before="1"/>
        <w:rPr>
          <w:sz w:val="16"/>
        </w:rPr>
      </w:pPr>
    </w:p>
    <w:p>
      <w:pPr>
        <w:pStyle w:val="BodyText"/>
        <w:ind w:left="720"/>
      </w:pPr>
      <w:r>
        <w:rPr/>
        <w:t>住所：中国北京市西城区金融大街 </w:t>
      </w:r>
      <w:r>
        <w:rPr>
          <w:rFonts w:ascii="Times New Roman" w:eastAsia="Times New Roman"/>
        </w:rPr>
        <w:t>16 </w:t>
      </w:r>
      <w:r>
        <w:rPr/>
        <w:t>号</w:t>
      </w:r>
    </w:p>
    <w:p>
      <w:pPr>
        <w:spacing w:after="0"/>
        <w:sectPr>
          <w:pgSz w:w="11910" w:h="16840"/>
          <w:pgMar w:header="701" w:footer="683" w:top="1420" w:bottom="880" w:left="1500" w:right="920"/>
        </w:sectPr>
      </w:pPr>
    </w:p>
    <w:p>
      <w:pPr>
        <w:pStyle w:val="BodyText"/>
        <w:spacing w:line="424" w:lineRule="auto" w:before="115"/>
        <w:ind w:left="720" w:right="4603"/>
      </w:pPr>
      <w:r>
        <w:rPr/>
        <w:t>办公地址：中国北京市西城区金融大街 </w:t>
      </w:r>
      <w:r>
        <w:rPr>
          <w:rFonts w:ascii="Times New Roman" w:eastAsia="Times New Roman"/>
        </w:rPr>
        <w:t>16 </w:t>
      </w:r>
      <w:r>
        <w:rPr/>
        <w:t>号法定代表人：王滨</w:t>
      </w:r>
    </w:p>
    <w:p>
      <w:pPr>
        <w:pStyle w:val="BodyText"/>
        <w:spacing w:line="424" w:lineRule="auto"/>
        <w:ind w:left="720" w:right="6906"/>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7" w:lineRule="exact"/>
        <w:ind w:left="720"/>
      </w:pPr>
      <w:r>
        <w:rPr/>
        <w:t>联系人：柳亚卿</w:t>
      </w:r>
    </w:p>
    <w:p>
      <w:pPr>
        <w:pStyle w:val="BodyText"/>
        <w:spacing w:before="1"/>
        <w:rPr>
          <w:sz w:val="16"/>
        </w:rPr>
      </w:pPr>
    </w:p>
    <w:p>
      <w:pPr>
        <w:pStyle w:val="BodyText"/>
        <w:spacing w:line="424" w:lineRule="auto"/>
        <w:ind w:left="720" w:right="6283"/>
        <w:rPr>
          <w:rFonts w:ascii="Times New Roman" w:eastAsia="Times New Roman"/>
        </w:rPr>
      </w:pPr>
      <w:r>
        <w:rPr/>
        <w:t>网址：</w:t>
      </w:r>
      <w:hyperlink r:id="rId208">
        <w:r>
          <w:rPr>
            <w:rFonts w:ascii="Times New Roman" w:eastAsia="Times New Roman"/>
          </w:rPr>
          <w:t>www.e-chinalife.com </w:t>
        </w:r>
      </w:hyperlink>
      <w:r>
        <w:rPr/>
        <w:t>客户服务电话：</w:t>
      </w:r>
      <w:r>
        <w:rPr>
          <w:rFonts w:ascii="Times New Roman" w:eastAsia="Times New Roman"/>
        </w:rPr>
        <w:t>95519</w:t>
      </w:r>
    </w:p>
    <w:p>
      <w:pPr>
        <w:pStyle w:val="BodyText"/>
        <w:spacing w:line="424" w:lineRule="auto"/>
        <w:ind w:left="300" w:right="871" w:firstLine="419"/>
      </w:pPr>
      <w:r>
        <w:rPr>
          <w:spacing w:val="-6"/>
        </w:rPr>
        <w:t>基金管理人可依据有关法律法规规定或情况变化增加或者减少销售机构。销售机构可以</w:t>
      </w:r>
      <w:r>
        <w:rPr>
          <w:spacing w:val="-4"/>
        </w:rPr>
        <w:t>根据情况变化增加或者减少其销售城市、网点。</w:t>
      </w:r>
    </w:p>
    <w:p>
      <w:pPr>
        <w:pStyle w:val="BodyText"/>
        <w:spacing w:line="267" w:lineRule="exact"/>
        <w:ind w:left="720"/>
      </w:pPr>
      <w:r>
        <w:rPr/>
        <w:t>（二）登记结算机构</w:t>
      </w:r>
    </w:p>
    <w:p>
      <w:pPr>
        <w:pStyle w:val="BodyText"/>
        <w:spacing w:before="12"/>
        <w:rPr>
          <w:sz w:val="15"/>
        </w:rPr>
      </w:pPr>
    </w:p>
    <w:p>
      <w:pPr>
        <w:pStyle w:val="BodyText"/>
        <w:ind w:left="720"/>
      </w:pPr>
      <w:r>
        <w:rPr/>
        <w:t>名称：华夏基金管理有限公司</w:t>
      </w:r>
    </w:p>
    <w:p>
      <w:pPr>
        <w:pStyle w:val="BodyText"/>
        <w:spacing w:before="1"/>
        <w:rPr>
          <w:sz w:val="16"/>
        </w:rPr>
      </w:pPr>
    </w:p>
    <w:p>
      <w:pPr>
        <w:pStyle w:val="BodyText"/>
        <w:spacing w:before="1"/>
        <w:ind w:left="720"/>
      </w:pPr>
      <w:r>
        <w:rPr/>
        <w:t>住所：北京市顺义区安庆大街甲 </w:t>
      </w:r>
      <w:r>
        <w:rPr>
          <w:rFonts w:ascii="Times New Roman" w:eastAsia="Times New Roman"/>
        </w:rPr>
        <w:t>3 </w:t>
      </w:r>
      <w:r>
        <w:rPr/>
        <w:t>号院</w:t>
      </w:r>
    </w:p>
    <w:p>
      <w:pPr>
        <w:pStyle w:val="BodyText"/>
        <w:spacing w:before="1"/>
        <w:rPr>
          <w:sz w:val="16"/>
        </w:rPr>
      </w:pPr>
    </w:p>
    <w:p>
      <w:pPr>
        <w:pStyle w:val="BodyText"/>
        <w:spacing w:line="427" w:lineRule="auto"/>
        <w:ind w:left="720" w:right="336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24" w:lineRule="auto"/>
        <w:ind w:left="720" w:right="610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7" w:lineRule="exact"/>
        <w:ind w:left="720"/>
      </w:pPr>
      <w:r>
        <w:rPr/>
        <w:t>联系人：朱威</w:t>
      </w:r>
    </w:p>
    <w:p>
      <w:pPr>
        <w:pStyle w:val="BodyText"/>
        <w:spacing w:before="9"/>
        <w:rPr>
          <w:sz w:val="15"/>
        </w:rPr>
      </w:pPr>
    </w:p>
    <w:p>
      <w:pPr>
        <w:pStyle w:val="BodyText"/>
        <w:ind w:left="720"/>
      </w:pPr>
      <w:r>
        <w:rPr/>
        <w:t>（三）律师事务所</w:t>
      </w:r>
    </w:p>
    <w:p>
      <w:pPr>
        <w:pStyle w:val="BodyText"/>
        <w:spacing w:before="1"/>
        <w:rPr>
          <w:sz w:val="16"/>
        </w:rPr>
      </w:pPr>
    </w:p>
    <w:p>
      <w:pPr>
        <w:pStyle w:val="BodyText"/>
        <w:ind w:left="720"/>
      </w:pPr>
      <w:r>
        <w:rPr/>
        <w:t>名称：北京市天元律师事务所</w:t>
      </w:r>
    </w:p>
    <w:p>
      <w:pPr>
        <w:pStyle w:val="BodyText"/>
        <w:spacing w:before="1"/>
        <w:rPr>
          <w:sz w:val="16"/>
        </w:rPr>
      </w:pPr>
    </w:p>
    <w:p>
      <w:pPr>
        <w:pStyle w:val="BodyText"/>
        <w:ind w:left="72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1"/>
        <w:rPr>
          <w:sz w:val="16"/>
        </w:rPr>
      </w:pPr>
    </w:p>
    <w:p>
      <w:pPr>
        <w:pStyle w:val="BodyText"/>
        <w:spacing w:line="427" w:lineRule="auto"/>
        <w:ind w:left="720" w:right="308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24" w:lineRule="auto"/>
        <w:ind w:left="720" w:right="648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7" w:lineRule="exact"/>
        <w:ind w:left="720"/>
      </w:pPr>
      <w:r>
        <w:rPr/>
        <w:t>联系人：李晗</w:t>
      </w:r>
    </w:p>
    <w:p>
      <w:pPr>
        <w:pStyle w:val="BodyText"/>
        <w:spacing w:before="10"/>
        <w:rPr>
          <w:sz w:val="15"/>
        </w:rPr>
      </w:pPr>
    </w:p>
    <w:p>
      <w:pPr>
        <w:pStyle w:val="BodyText"/>
        <w:ind w:left="720"/>
      </w:pPr>
      <w:r>
        <w:rPr/>
        <w:t>经办律师：吴冠雄、李晗</w:t>
      </w:r>
    </w:p>
    <w:p>
      <w:pPr>
        <w:pStyle w:val="BodyText"/>
        <w:spacing w:before="1"/>
        <w:rPr>
          <w:sz w:val="16"/>
        </w:rPr>
      </w:pPr>
    </w:p>
    <w:p>
      <w:pPr>
        <w:pStyle w:val="BodyText"/>
        <w:ind w:left="720"/>
      </w:pPr>
      <w:r>
        <w:rPr/>
        <w:t>（四）会计师事务所</w:t>
      </w:r>
    </w:p>
    <w:p>
      <w:pPr>
        <w:pStyle w:val="BodyText"/>
        <w:spacing w:before="1"/>
        <w:rPr>
          <w:sz w:val="16"/>
        </w:rPr>
      </w:pPr>
    </w:p>
    <w:p>
      <w:pPr>
        <w:pStyle w:val="BodyText"/>
        <w:ind w:left="782"/>
      </w:pPr>
      <w:r>
        <w:rPr/>
        <w:t>名称：普华永道中天会计师事务所（特殊普通合伙）</w:t>
      </w:r>
    </w:p>
    <w:p>
      <w:pPr>
        <w:pStyle w:val="BodyText"/>
        <w:spacing w:before="2"/>
        <w:rPr>
          <w:sz w:val="16"/>
        </w:rPr>
      </w:pPr>
    </w:p>
    <w:p>
      <w:pPr>
        <w:pStyle w:val="BodyText"/>
        <w:ind w:left="782"/>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spacing w:after="0"/>
        <w:sectPr>
          <w:pgSz w:w="11910" w:h="16840"/>
          <w:pgMar w:header="701" w:footer="683" w:top="1420" w:bottom="880" w:left="1500" w:right="920"/>
        </w:sectPr>
      </w:pPr>
    </w:p>
    <w:p>
      <w:pPr>
        <w:pStyle w:val="BodyText"/>
        <w:spacing w:line="424" w:lineRule="auto" w:before="115"/>
        <w:ind w:left="782" w:right="1879"/>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24" w:lineRule="auto"/>
        <w:ind w:left="782" w:right="6423"/>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spacing w:line="267" w:lineRule="exact"/>
        <w:ind w:left="782"/>
      </w:pPr>
      <w:r>
        <w:rPr/>
        <w:t>联系人：单峰、程红粤</w:t>
      </w:r>
    </w:p>
    <w:p>
      <w:pPr>
        <w:pStyle w:val="BodyText"/>
        <w:spacing w:before="1"/>
        <w:rPr>
          <w:sz w:val="16"/>
        </w:rPr>
      </w:pPr>
    </w:p>
    <w:p>
      <w:pPr>
        <w:pStyle w:val="BodyText"/>
        <w:ind w:left="782"/>
      </w:pPr>
      <w:r>
        <w:rPr/>
        <w:t>经办注册会计师：单峰、程红粤</w:t>
      </w:r>
    </w:p>
    <w:p>
      <w:pPr>
        <w:pStyle w:val="BodyText"/>
        <w:rPr>
          <w:sz w:val="20"/>
        </w:rPr>
      </w:pPr>
    </w:p>
    <w:p>
      <w:pPr>
        <w:pStyle w:val="BodyText"/>
        <w:spacing w:before="12"/>
        <w:rPr>
          <w:sz w:val="20"/>
        </w:rPr>
      </w:pPr>
    </w:p>
    <w:p>
      <w:pPr>
        <w:pStyle w:val="Heading1"/>
        <w:ind w:right="876"/>
      </w:pPr>
      <w:bookmarkStart w:name="_bookmark5" w:id="6"/>
      <w:bookmarkEnd w:id="6"/>
      <w:r>
        <w:rPr>
          <w:b w:val="0"/>
        </w:rPr>
      </w:r>
      <w:r>
        <w:rPr/>
        <w:t>六、基金的募集</w:t>
      </w:r>
    </w:p>
    <w:p>
      <w:pPr>
        <w:pStyle w:val="BodyText"/>
        <w:rPr>
          <w:b/>
          <w:sz w:val="24"/>
        </w:rPr>
      </w:pPr>
    </w:p>
    <w:p>
      <w:pPr>
        <w:pStyle w:val="BodyText"/>
        <w:spacing w:line="424" w:lineRule="auto" w:before="212"/>
        <w:ind w:left="300" w:right="873" w:firstLine="419"/>
      </w:pPr>
      <w:r>
        <w:rPr>
          <w:spacing w:val="-27"/>
        </w:rPr>
        <w:t>本基金由基金管理人依照《基金法》、《运作办法》、《销售办法》、基金合同及其他有关</w:t>
      </w:r>
      <w:r>
        <w:rPr>
          <w:spacing w:val="-18"/>
        </w:rPr>
        <w:t>规定募集。本基金募集申请已经中国证监会 </w:t>
      </w:r>
      <w:r>
        <w:rPr>
          <w:rFonts w:ascii="Times New Roman" w:eastAsia="Times New Roman"/>
        </w:rPr>
        <w:t>2009 </w:t>
      </w:r>
      <w:r>
        <w:rPr>
          <w:spacing w:val="-30"/>
        </w:rPr>
        <w:t>年 </w:t>
      </w:r>
      <w:r>
        <w:rPr>
          <w:rFonts w:ascii="Times New Roman" w:eastAsia="Times New Roman"/>
        </w:rPr>
        <w:t>6 </w:t>
      </w:r>
      <w:r>
        <w:rPr>
          <w:spacing w:val="-31"/>
        </w:rPr>
        <w:t>月 </w:t>
      </w:r>
      <w:r>
        <w:rPr>
          <w:rFonts w:ascii="Times New Roman" w:eastAsia="Times New Roman"/>
        </w:rPr>
        <w:t>18 </w:t>
      </w:r>
      <w:r>
        <w:rPr>
          <w:spacing w:val="-3"/>
        </w:rPr>
        <w:t>日证监许可</w:t>
      </w:r>
      <w:r>
        <w:rPr>
          <w:rFonts w:ascii="Times New Roman" w:eastAsia="Times New Roman"/>
        </w:rPr>
        <w:t>[2009]531 </w:t>
      </w:r>
      <w:r>
        <w:rPr>
          <w:spacing w:val="-1"/>
        </w:rPr>
        <w:t>号文核准。</w:t>
      </w:r>
    </w:p>
    <w:p>
      <w:pPr>
        <w:pStyle w:val="BodyText"/>
        <w:spacing w:line="267" w:lineRule="exact"/>
        <w:ind w:left="720"/>
      </w:pPr>
      <w:r>
        <w:rPr/>
        <w:t>本基金为契约型开放式基金，基金存续期限为不定期。</w:t>
      </w:r>
    </w:p>
    <w:p>
      <w:pPr>
        <w:pStyle w:val="BodyText"/>
        <w:spacing w:before="1"/>
        <w:rPr>
          <w:sz w:val="16"/>
        </w:rPr>
      </w:pPr>
    </w:p>
    <w:p>
      <w:pPr>
        <w:pStyle w:val="BodyText"/>
        <w:ind w:left="720"/>
      </w:pPr>
      <w:r>
        <w:rPr/>
        <w:t>本基金募集期间按照每份基金份额面值 </w:t>
      </w:r>
      <w:r>
        <w:rPr>
          <w:rFonts w:ascii="Times New Roman" w:eastAsia="Times New Roman"/>
        </w:rPr>
        <w:t>1.00 </w:t>
      </w:r>
      <w:r>
        <w:rPr/>
        <w:t>元人民币进行募集。</w:t>
      </w:r>
    </w:p>
    <w:p>
      <w:pPr>
        <w:pStyle w:val="BodyText"/>
        <w:spacing w:before="3"/>
        <w:rPr>
          <w:sz w:val="16"/>
        </w:rPr>
      </w:pPr>
    </w:p>
    <w:p>
      <w:pPr>
        <w:pStyle w:val="BodyText"/>
        <w:spacing w:before="1"/>
        <w:ind w:left="720"/>
      </w:pPr>
      <w:r>
        <w:rPr/>
        <w:t>本基金于 </w:t>
      </w:r>
      <w:r>
        <w:rPr>
          <w:rFonts w:ascii="Times New Roman" w:eastAsia="Times New Roman"/>
        </w:rPr>
        <w:t>2009 </w:t>
      </w:r>
      <w:r>
        <w:rPr/>
        <w:t>年 </w:t>
      </w:r>
      <w:r>
        <w:rPr>
          <w:rFonts w:ascii="Times New Roman" w:eastAsia="Times New Roman"/>
        </w:rPr>
        <w:t>7 </w:t>
      </w:r>
      <w:r>
        <w:rPr/>
        <w:t>月 </w:t>
      </w:r>
      <w:r>
        <w:rPr>
          <w:rFonts w:ascii="Times New Roman" w:eastAsia="Times New Roman"/>
        </w:rPr>
        <w:t>6 </w:t>
      </w:r>
      <w:r>
        <w:rPr/>
        <w:t>日至 </w:t>
      </w:r>
      <w:r>
        <w:rPr>
          <w:rFonts w:ascii="Times New Roman" w:eastAsia="Times New Roman"/>
        </w:rPr>
        <w:t>2009 </w:t>
      </w:r>
      <w:r>
        <w:rPr/>
        <w:t>年 </w:t>
      </w:r>
      <w:r>
        <w:rPr>
          <w:rFonts w:ascii="Times New Roman" w:eastAsia="Times New Roman"/>
        </w:rPr>
        <w:t>7 </w:t>
      </w:r>
      <w:r>
        <w:rPr/>
        <w:t>月 </w:t>
      </w:r>
      <w:r>
        <w:rPr>
          <w:rFonts w:ascii="Times New Roman" w:eastAsia="Times New Roman"/>
        </w:rPr>
        <w:t>8 </w:t>
      </w:r>
      <w:r>
        <w:rPr/>
        <w:t>日公开募集。</w:t>
      </w:r>
    </w:p>
    <w:p>
      <w:pPr>
        <w:pStyle w:val="BodyText"/>
        <w:spacing w:before="1"/>
        <w:rPr>
          <w:sz w:val="16"/>
        </w:rPr>
      </w:pPr>
    </w:p>
    <w:p>
      <w:pPr>
        <w:pStyle w:val="BodyText"/>
        <w:ind w:left="720"/>
      </w:pPr>
      <w:r>
        <w:rPr/>
        <w:t>本基金募集期共募集 </w:t>
      </w:r>
      <w:r>
        <w:rPr>
          <w:rFonts w:ascii="Times New Roman" w:eastAsia="Times New Roman"/>
        </w:rPr>
        <w:t>24,771,957,170.09 </w:t>
      </w:r>
      <w:r>
        <w:rPr/>
        <w:t>份基金份额，有效认购户数为 </w:t>
      </w:r>
      <w:r>
        <w:rPr>
          <w:rFonts w:ascii="Times New Roman" w:eastAsia="Times New Roman"/>
        </w:rPr>
        <w:t>356,985 </w:t>
      </w:r>
      <w:r>
        <w:rPr/>
        <w:t>户。</w:t>
      </w:r>
    </w:p>
    <w:p>
      <w:pPr>
        <w:pStyle w:val="BodyText"/>
        <w:rPr>
          <w:sz w:val="22"/>
        </w:rPr>
      </w:pPr>
    </w:p>
    <w:p>
      <w:pPr>
        <w:pStyle w:val="BodyText"/>
        <w:spacing w:before="12"/>
        <w:rPr>
          <w:sz w:val="18"/>
        </w:rPr>
      </w:pPr>
    </w:p>
    <w:p>
      <w:pPr>
        <w:pStyle w:val="Heading1"/>
        <w:ind w:left="298"/>
      </w:pPr>
      <w:bookmarkStart w:name="_bookmark6" w:id="7"/>
      <w:bookmarkEnd w:id="7"/>
      <w:r>
        <w:rPr>
          <w:b w:val="0"/>
        </w:rPr>
      </w:r>
      <w:r>
        <w:rPr/>
        <w:t>七、基金合同的生效</w:t>
      </w:r>
    </w:p>
    <w:p>
      <w:pPr>
        <w:pStyle w:val="BodyText"/>
        <w:rPr>
          <w:b/>
          <w:sz w:val="24"/>
        </w:rPr>
      </w:pPr>
    </w:p>
    <w:p>
      <w:pPr>
        <w:pStyle w:val="BodyText"/>
        <w:spacing w:line="424" w:lineRule="auto" w:before="212"/>
        <w:ind w:left="300" w:right="831" w:firstLine="419"/>
      </w:pPr>
      <w:r>
        <w:rPr>
          <w:spacing w:val="-15"/>
        </w:rPr>
        <w:t>根据有关规定，本基金满足基金合同生效条件，基金合同于</w:t>
      </w:r>
      <w:r>
        <w:rPr>
          <w:rFonts w:ascii="Times New Roman" w:eastAsia="Times New Roman"/>
        </w:rPr>
        <w:t>2009 </w:t>
      </w:r>
      <w:r>
        <w:rPr>
          <w:spacing w:val="36"/>
        </w:rPr>
        <w:t>年</w:t>
      </w:r>
      <w:r>
        <w:rPr>
          <w:rFonts w:ascii="Times New Roman" w:eastAsia="Times New Roman"/>
        </w:rPr>
        <w:t>7 </w:t>
      </w:r>
      <w:r>
        <w:rPr>
          <w:spacing w:val="33"/>
        </w:rPr>
        <w:t>月</w:t>
      </w:r>
      <w:r>
        <w:rPr>
          <w:rFonts w:ascii="Times New Roman" w:eastAsia="Times New Roman"/>
        </w:rPr>
        <w:t>10 </w:t>
      </w:r>
      <w:r>
        <w:rPr>
          <w:spacing w:val="-3"/>
        </w:rPr>
        <w:t>日正式生效。自基金合同生效日起，本基金管理人正式开始管理本基金。</w:t>
      </w:r>
    </w:p>
    <w:p>
      <w:pPr>
        <w:pStyle w:val="BodyText"/>
        <w:spacing w:line="267" w:lineRule="exact"/>
        <w:ind w:left="720"/>
      </w:pPr>
      <w:r>
        <w:rPr>
          <w:spacing w:val="-6"/>
        </w:rPr>
        <w:t>《基金合同》生效后，连续 </w:t>
      </w:r>
      <w:r>
        <w:rPr>
          <w:rFonts w:ascii="Times New Roman" w:eastAsia="Times New Roman"/>
        </w:rPr>
        <w:t>20</w:t>
      </w:r>
      <w:r>
        <w:rPr>
          <w:rFonts w:ascii="Times New Roman" w:eastAsia="Times New Roman"/>
          <w:spacing w:val="12"/>
        </w:rPr>
        <w:t> </w:t>
      </w:r>
      <w:r>
        <w:rPr>
          <w:spacing w:val="-6"/>
        </w:rPr>
        <w:t>个工作日出现基金份额持有人数量不满 </w:t>
      </w:r>
      <w:r>
        <w:rPr>
          <w:rFonts w:ascii="Times New Roman" w:eastAsia="Times New Roman"/>
        </w:rPr>
        <w:t>200</w:t>
      </w:r>
      <w:r>
        <w:rPr>
          <w:rFonts w:ascii="Times New Roman" w:eastAsia="Times New Roman"/>
          <w:spacing w:val="13"/>
        </w:rPr>
        <w:t> </w:t>
      </w:r>
      <w:r>
        <w:rPr>
          <w:spacing w:val="-3"/>
        </w:rPr>
        <w:t>人或者基金</w:t>
      </w:r>
    </w:p>
    <w:p>
      <w:pPr>
        <w:pStyle w:val="BodyText"/>
        <w:spacing w:before="1"/>
        <w:rPr>
          <w:sz w:val="16"/>
        </w:rPr>
      </w:pPr>
    </w:p>
    <w:p>
      <w:pPr>
        <w:pStyle w:val="BodyText"/>
        <w:ind w:left="300" w:right="873"/>
        <w:jc w:val="center"/>
      </w:pPr>
      <w:r>
        <w:rPr>
          <w:spacing w:val="-8"/>
        </w:rPr>
        <w:t>资产净值低于 </w:t>
      </w:r>
      <w:r>
        <w:rPr>
          <w:rFonts w:ascii="Times New Roman" w:eastAsia="Times New Roman"/>
        </w:rPr>
        <w:t>5000</w:t>
      </w:r>
      <w:r>
        <w:rPr>
          <w:rFonts w:ascii="Times New Roman" w:eastAsia="Times New Roman"/>
          <w:spacing w:val="7"/>
        </w:rPr>
        <w:t> </w:t>
      </w:r>
      <w:r>
        <w:rPr>
          <w:spacing w:val="-13"/>
        </w:rPr>
        <w:t>万元情形的，基金管理人应当在定期报告中予以披露；连续 </w:t>
      </w:r>
      <w:r>
        <w:rPr>
          <w:rFonts w:ascii="Times New Roman" w:eastAsia="Times New Roman"/>
        </w:rPr>
        <w:t>60</w:t>
      </w:r>
      <w:r>
        <w:rPr>
          <w:rFonts w:ascii="Times New Roman" w:eastAsia="Times New Roman"/>
          <w:spacing w:val="7"/>
        </w:rPr>
        <w:t> </w:t>
      </w:r>
      <w:r>
        <w:rPr>
          <w:spacing w:val="-2"/>
        </w:rPr>
        <w:t>个工作日</w:t>
      </w:r>
    </w:p>
    <w:p>
      <w:pPr>
        <w:pStyle w:val="BodyText"/>
        <w:spacing w:before="4"/>
        <w:rPr>
          <w:sz w:val="16"/>
        </w:rPr>
      </w:pPr>
    </w:p>
    <w:p>
      <w:pPr>
        <w:pStyle w:val="BodyText"/>
        <w:ind w:left="300"/>
      </w:pPr>
      <w:r>
        <w:rPr>
          <w:spacing w:val="-5"/>
        </w:rPr>
        <w:t>出现前述情形的，基金管理人应当在 </w:t>
      </w:r>
      <w:r>
        <w:rPr>
          <w:rFonts w:ascii="Times New Roman" w:eastAsia="Times New Roman"/>
        </w:rPr>
        <w:t>10</w:t>
      </w:r>
      <w:r>
        <w:rPr>
          <w:rFonts w:ascii="Times New Roman" w:eastAsia="Times New Roman"/>
          <w:spacing w:val="27"/>
        </w:rPr>
        <w:t> </w:t>
      </w:r>
      <w:r>
        <w:rPr>
          <w:spacing w:val="-3"/>
        </w:rPr>
        <w:t>个工作日内向中国证监会报告并提出解决方案，如</w:t>
      </w:r>
    </w:p>
    <w:p>
      <w:pPr>
        <w:pStyle w:val="BodyText"/>
        <w:spacing w:before="1"/>
        <w:rPr>
          <w:sz w:val="16"/>
        </w:rPr>
      </w:pPr>
    </w:p>
    <w:p>
      <w:pPr>
        <w:pStyle w:val="BodyText"/>
        <w:spacing w:line="424" w:lineRule="auto"/>
        <w:ind w:left="300" w:right="870"/>
      </w:pPr>
      <w:r>
        <w:rPr>
          <w:spacing w:val="-12"/>
        </w:rPr>
        <w:t>持续运作、转换运作方式、与其他基金合并或者终止基金合同等，并在 </w:t>
      </w:r>
      <w:r>
        <w:rPr>
          <w:rFonts w:ascii="Times New Roman" w:eastAsia="Times New Roman"/>
        </w:rPr>
        <w:t>6 </w:t>
      </w:r>
      <w:r>
        <w:rPr>
          <w:spacing w:val="-3"/>
        </w:rPr>
        <w:t>个月内召开基金份额持有人大会进行表决。</w:t>
      </w:r>
    </w:p>
    <w:p>
      <w:pPr>
        <w:pStyle w:val="BodyText"/>
        <w:spacing w:line="267" w:lineRule="exact"/>
        <w:ind w:left="720"/>
      </w:pPr>
      <w:r>
        <w:rPr/>
        <w:t>法律法规或监管部门另有规定时，从其规定。</w:t>
      </w:r>
    </w:p>
    <w:p>
      <w:pPr>
        <w:pStyle w:val="BodyText"/>
        <w:rPr>
          <w:sz w:val="20"/>
        </w:rPr>
      </w:pPr>
    </w:p>
    <w:p>
      <w:pPr>
        <w:pStyle w:val="BodyText"/>
        <w:spacing w:before="12"/>
        <w:rPr>
          <w:sz w:val="20"/>
        </w:rPr>
      </w:pPr>
    </w:p>
    <w:p>
      <w:pPr>
        <w:pStyle w:val="Heading1"/>
        <w:ind w:left="298"/>
      </w:pPr>
      <w:bookmarkStart w:name="_bookmark7" w:id="8"/>
      <w:bookmarkEnd w:id="8"/>
      <w:r>
        <w:rPr>
          <w:b w:val="0"/>
        </w:rPr>
      </w:r>
      <w:r>
        <w:rPr/>
        <w:t>八、基金份额的申购、赎回与转换</w:t>
      </w:r>
    </w:p>
    <w:p>
      <w:pPr>
        <w:pStyle w:val="BodyText"/>
        <w:rPr>
          <w:b/>
          <w:sz w:val="24"/>
        </w:rPr>
      </w:pPr>
    </w:p>
    <w:p>
      <w:pPr>
        <w:pStyle w:val="BodyText"/>
        <w:spacing w:before="212"/>
        <w:ind w:left="720"/>
      </w:pPr>
      <w:r>
        <w:rPr/>
        <w:t>（一）本基金与目标 </w:t>
      </w:r>
      <w:r>
        <w:rPr>
          <w:rFonts w:ascii="Times New Roman" w:eastAsia="Times New Roman"/>
        </w:rPr>
        <w:t>ETF </w:t>
      </w:r>
      <w:r>
        <w:rPr/>
        <w:t>的联系与区别</w:t>
      </w:r>
    </w:p>
    <w:p>
      <w:pPr>
        <w:pStyle w:val="BodyText"/>
        <w:spacing w:before="1"/>
        <w:rPr>
          <w:sz w:val="16"/>
        </w:rPr>
      </w:pPr>
    </w:p>
    <w:p>
      <w:pPr>
        <w:pStyle w:val="BodyText"/>
        <w:ind w:left="720"/>
      </w:pPr>
      <w:r>
        <w:rPr/>
        <w:t>本基金为华夏沪深 </w:t>
      </w:r>
      <w:r>
        <w:rPr>
          <w:rFonts w:ascii="Times New Roman" w:eastAsia="Times New Roman"/>
        </w:rPr>
        <w:t>300ETF </w:t>
      </w:r>
      <w:r>
        <w:rPr/>
        <w:t>的联接基金。本基金主要投资于华夏沪深 </w:t>
      </w:r>
      <w:r>
        <w:rPr>
          <w:rFonts w:ascii="Times New Roman" w:eastAsia="Times New Roman"/>
        </w:rPr>
        <w:t>300ETF </w:t>
      </w:r>
      <w:r>
        <w:rPr/>
        <w:t>以求达到</w:t>
      </w:r>
    </w:p>
    <w:p>
      <w:pPr>
        <w:spacing w:after="0"/>
        <w:sectPr>
          <w:pgSz w:w="11910" w:h="16840"/>
          <w:pgMar w:header="701" w:footer="683" w:top="1420" w:bottom="880" w:left="1500" w:right="920"/>
        </w:sectPr>
      </w:pPr>
    </w:p>
    <w:p>
      <w:pPr>
        <w:pStyle w:val="BodyText"/>
        <w:spacing w:before="115"/>
        <w:ind w:left="300"/>
        <w:jc w:val="both"/>
      </w:pPr>
      <w:r>
        <w:rPr/>
        <w:t>投资目标，华夏沪深 </w:t>
      </w:r>
      <w:r>
        <w:rPr>
          <w:rFonts w:ascii="Times New Roman" w:eastAsia="Times New Roman"/>
        </w:rPr>
        <w:t>300ETF </w:t>
      </w:r>
      <w:r>
        <w:rPr/>
        <w:t>的标的指数和本基金的标的指数一致，投资目标相似。</w:t>
      </w:r>
    </w:p>
    <w:p>
      <w:pPr>
        <w:pStyle w:val="BodyText"/>
        <w:rPr>
          <w:sz w:val="16"/>
        </w:rPr>
      </w:pPr>
    </w:p>
    <w:p>
      <w:pPr>
        <w:pStyle w:val="BodyText"/>
        <w:spacing w:line="424" w:lineRule="auto" w:before="1"/>
        <w:ind w:left="300" w:right="873" w:firstLine="419"/>
        <w:jc w:val="both"/>
      </w:pPr>
      <w:r>
        <w:rPr/>
        <w:t>在投资方法上，本基金为目标</w:t>
      </w:r>
      <w:r>
        <w:rPr>
          <w:rFonts w:ascii="Times New Roman" w:eastAsia="Times New Roman"/>
        </w:rPr>
        <w:t>ETF </w:t>
      </w:r>
      <w:r>
        <w:rPr/>
        <w:t>的联接基金，主要通过投资于目标</w:t>
      </w:r>
      <w:r>
        <w:rPr>
          <w:rFonts w:ascii="Times New Roman" w:eastAsia="Times New Roman"/>
        </w:rPr>
        <w:t>ETF </w:t>
      </w:r>
      <w:r>
        <w:rPr/>
        <w:t>来跟踪标的指数；本基金的目标 </w:t>
      </w:r>
      <w:r>
        <w:rPr>
          <w:rFonts w:ascii="Times New Roman" w:eastAsia="Times New Roman"/>
        </w:rPr>
        <w:t>ETF </w:t>
      </w:r>
      <w:r>
        <w:rPr/>
        <w:t>主要采用复制法来跟踪标的指数。</w:t>
      </w:r>
    </w:p>
    <w:p>
      <w:pPr>
        <w:pStyle w:val="BodyText"/>
        <w:spacing w:line="424" w:lineRule="auto"/>
        <w:ind w:left="300" w:right="871" w:firstLine="419"/>
        <w:jc w:val="both"/>
      </w:pPr>
      <w:r>
        <w:rPr>
          <w:spacing w:val="-9"/>
        </w:rPr>
        <w:t>在交易方式上，本基金投资者目前只能通过场外销售机构以现金的方式申购、赎回；本</w:t>
      </w:r>
      <w:r>
        <w:rPr>
          <w:spacing w:val="4"/>
        </w:rPr>
        <w:t>基金的目标</w:t>
      </w:r>
      <w:r>
        <w:rPr>
          <w:rFonts w:ascii="Times New Roman" w:eastAsia="Times New Roman"/>
        </w:rPr>
        <w:t>ETF </w:t>
      </w:r>
      <w:r>
        <w:rPr>
          <w:spacing w:val="-1"/>
        </w:rPr>
        <w:t>属于交易型开放式指数证券投资基金，目标</w:t>
      </w:r>
      <w:r>
        <w:rPr>
          <w:rFonts w:ascii="Times New Roman" w:eastAsia="Times New Roman"/>
        </w:rPr>
        <w:t>ETF </w:t>
      </w:r>
      <w:r>
        <w:rPr>
          <w:spacing w:val="-3"/>
        </w:rPr>
        <w:t>的投资者可以在二级市场</w:t>
      </w:r>
      <w:r>
        <w:rPr>
          <w:spacing w:val="-6"/>
        </w:rPr>
        <w:t>上买卖 </w:t>
      </w:r>
      <w:r>
        <w:rPr>
          <w:rFonts w:ascii="Times New Roman" w:eastAsia="Times New Roman"/>
          <w:spacing w:val="-10"/>
        </w:rPr>
        <w:t>ETF</w:t>
      </w:r>
      <w:r>
        <w:rPr>
          <w:spacing w:val="-6"/>
        </w:rPr>
        <w:t>，也可以根据申购赎回清单按照申购、赎回对价通过申购赎回代理机构申购、赎</w:t>
      </w:r>
      <w:r>
        <w:rPr>
          <w:spacing w:val="-30"/>
        </w:rPr>
        <w:t>回 </w:t>
      </w:r>
      <w:r>
        <w:rPr>
          <w:rFonts w:ascii="Times New Roman" w:eastAsia="Times New Roman"/>
          <w:spacing w:val="-2"/>
        </w:rPr>
        <w:t>ETF</w:t>
      </w:r>
      <w:r>
        <w:rPr/>
        <w:t>。</w:t>
      </w:r>
    </w:p>
    <w:p>
      <w:pPr>
        <w:pStyle w:val="BodyText"/>
        <w:spacing w:line="268" w:lineRule="exact"/>
        <w:ind w:left="720"/>
        <w:jc w:val="both"/>
      </w:pPr>
      <w:r>
        <w:rPr/>
        <w:t>本基金与目标</w:t>
      </w:r>
      <w:r>
        <w:rPr>
          <w:rFonts w:ascii="Times New Roman" w:eastAsia="Times New Roman"/>
        </w:rPr>
        <w:t>ETF </w:t>
      </w:r>
      <w:r>
        <w:rPr/>
        <w:t>业绩表现可能出现差异，可能引发差异的因素主要包括：</w:t>
      </w:r>
    </w:p>
    <w:p>
      <w:pPr>
        <w:pStyle w:val="BodyText"/>
        <w:spacing w:before="11"/>
        <w:rPr>
          <w:sz w:val="15"/>
        </w:rPr>
      </w:pPr>
    </w:p>
    <w:p>
      <w:pPr>
        <w:pStyle w:val="BodyText"/>
        <w:spacing w:line="424" w:lineRule="auto" w:before="1"/>
        <w:ind w:left="300" w:right="871" w:firstLine="419"/>
        <w:jc w:val="both"/>
      </w:pPr>
      <w:r>
        <w:rPr>
          <w:rFonts w:ascii="Times New Roman" w:eastAsia="Times New Roman"/>
        </w:rPr>
        <w:t>1</w:t>
      </w:r>
      <w:r>
        <w:rPr>
          <w:spacing w:val="-3"/>
        </w:rPr>
        <w:t>、法律法规对投资比例的要求。本基金作为普通的开放式基金，需将不低于基金资产</w:t>
      </w:r>
      <w:r>
        <w:rPr>
          <w:spacing w:val="-14"/>
        </w:rPr>
        <w:t>净值 </w:t>
      </w:r>
      <w:r>
        <w:rPr>
          <w:rFonts w:ascii="Times New Roman" w:eastAsia="Times New Roman"/>
        </w:rPr>
        <w:t>5%</w:t>
      </w:r>
      <w:r>
        <w:rPr>
          <w:spacing w:val="-8"/>
        </w:rPr>
        <w:t>的资产投资于现金或者到期日在一年以内的政府债券；目标 </w:t>
      </w:r>
      <w:r>
        <w:rPr>
          <w:rFonts w:ascii="Times New Roman" w:eastAsia="Times New Roman"/>
        </w:rPr>
        <w:t>ETF </w:t>
      </w:r>
      <w:r>
        <w:rPr>
          <w:spacing w:val="-2"/>
        </w:rPr>
        <w:t>不受上述投资比例</w:t>
      </w:r>
      <w:r>
        <w:rPr>
          <w:spacing w:val="-3"/>
        </w:rPr>
        <w:t>的限制。</w:t>
      </w:r>
    </w:p>
    <w:p>
      <w:pPr>
        <w:pStyle w:val="BodyText"/>
        <w:spacing w:line="424" w:lineRule="auto"/>
        <w:ind w:left="300" w:right="871" w:firstLine="419"/>
        <w:jc w:val="both"/>
      </w:pPr>
      <w:r>
        <w:rPr>
          <w:rFonts w:ascii="Times New Roman" w:eastAsia="Times New Roman"/>
        </w:rPr>
        <w:t>2</w:t>
      </w:r>
      <w:r>
        <w:rPr/>
        <w:t>、申购赎回的影响。本基金申赎采取现金方式，大额申赎可能会对基金净值产生一定影响；目标 </w:t>
      </w:r>
      <w:r>
        <w:rPr>
          <w:rFonts w:ascii="Times New Roman" w:eastAsia="Times New Roman"/>
        </w:rPr>
        <w:t>ETF </w:t>
      </w:r>
      <w:r>
        <w:rPr/>
        <w:t>根据申购赎回清单按照申购、赎回对价办理申购、赎回业务，申购赎回对基金净值的影响较小。</w:t>
      </w:r>
    </w:p>
    <w:p>
      <w:pPr>
        <w:pStyle w:val="BodyText"/>
        <w:spacing w:line="269" w:lineRule="exact"/>
        <w:ind w:left="720"/>
      </w:pPr>
      <w:r>
        <w:rPr/>
        <w:t>（二）基金份额的类别</w:t>
      </w:r>
    </w:p>
    <w:p>
      <w:pPr>
        <w:pStyle w:val="BodyText"/>
        <w:spacing w:before="10"/>
        <w:rPr>
          <w:sz w:val="15"/>
        </w:rPr>
      </w:pPr>
    </w:p>
    <w:p>
      <w:pPr>
        <w:pStyle w:val="BodyText"/>
        <w:spacing w:line="424" w:lineRule="auto"/>
        <w:ind w:left="300" w:right="871" w:firstLine="419"/>
        <w:jc w:val="both"/>
      </w:pPr>
      <w:r>
        <w:rPr>
          <w:spacing w:val="-10"/>
        </w:rPr>
        <w:t>本基金根据申购费、销售服务费收取方式的不同，将基金份额分为不同的类别。在投资</w:t>
      </w:r>
      <w:r>
        <w:rPr>
          <w:spacing w:val="-5"/>
        </w:rPr>
        <w:t>者申购时收取前端申购费的，称为 </w:t>
      </w:r>
      <w:r>
        <w:rPr>
          <w:rFonts w:ascii="Times New Roman" w:eastAsia="Times New Roman"/>
        </w:rPr>
        <w:t>A </w:t>
      </w:r>
      <w:r>
        <w:rPr>
          <w:spacing w:val="-3"/>
        </w:rPr>
        <w:t>类；不收取前后端申购费，而从本类别基金资产中计</w:t>
      </w:r>
      <w:r>
        <w:rPr>
          <w:spacing w:val="-5"/>
        </w:rPr>
        <w:t>提销售服务费的，称为 </w:t>
      </w:r>
      <w:r>
        <w:rPr>
          <w:rFonts w:ascii="Times New Roman" w:eastAsia="Times New Roman"/>
        </w:rPr>
        <w:t>C </w:t>
      </w:r>
      <w:r>
        <w:rPr>
          <w:spacing w:val="-2"/>
        </w:rPr>
        <w:t>类。</w:t>
      </w:r>
      <w:r>
        <w:rPr>
          <w:rFonts w:ascii="Times New Roman" w:eastAsia="Times New Roman"/>
        </w:rPr>
        <w:t>A </w:t>
      </w:r>
      <w:r>
        <w:rPr>
          <w:spacing w:val="-2"/>
        </w:rPr>
        <w:t>类、</w:t>
      </w:r>
      <w:r>
        <w:rPr>
          <w:rFonts w:ascii="Times New Roman" w:eastAsia="Times New Roman"/>
        </w:rPr>
        <w:t>C </w:t>
      </w:r>
      <w:r>
        <w:rPr>
          <w:spacing w:val="-3"/>
        </w:rPr>
        <w:t>类基金份额分别设置代码，分别计算和公告基金份额净值和基金份额累计净值。</w:t>
      </w:r>
    </w:p>
    <w:p>
      <w:pPr>
        <w:pStyle w:val="BodyText"/>
        <w:spacing w:line="424" w:lineRule="auto"/>
        <w:ind w:left="300" w:right="871" w:firstLine="419"/>
        <w:jc w:val="both"/>
      </w:pPr>
      <w:r>
        <w:rPr>
          <w:spacing w:val="-11"/>
        </w:rPr>
        <w:t>根据基金销售情况，基金管理人可在不损害已有基金份额持有人权益的情况下，经与基</w:t>
      </w:r>
      <w:r>
        <w:rPr>
          <w:spacing w:val="-12"/>
        </w:rPr>
        <w:t>金托管人协商，增加新的基金份额类别、或者调整现有基金份额类别的费率水平、或者停止现有基金份额类别的销售等，不需召开基金份额持有人大会，调整前基金管理人需及时公告</w:t>
      </w:r>
      <w:r>
        <w:rPr>
          <w:spacing w:val="-6"/>
        </w:rPr>
        <w:t>并报中国证监会备案。</w:t>
      </w:r>
    </w:p>
    <w:p>
      <w:pPr>
        <w:pStyle w:val="BodyText"/>
        <w:spacing w:line="268" w:lineRule="exact"/>
        <w:ind w:left="720"/>
      </w:pPr>
      <w:r>
        <w:rPr/>
        <w:t>（三）申购与赎回场所</w:t>
      </w:r>
    </w:p>
    <w:p>
      <w:pPr>
        <w:pStyle w:val="BodyText"/>
        <w:spacing w:before="10"/>
        <w:rPr>
          <w:sz w:val="15"/>
        </w:rPr>
      </w:pPr>
    </w:p>
    <w:p>
      <w:pPr>
        <w:pStyle w:val="BodyText"/>
        <w:ind w:left="720"/>
      </w:pPr>
      <w:r>
        <w:rPr>
          <w:rFonts w:ascii="Times New Roman" w:eastAsia="Times New Roman"/>
        </w:rPr>
        <w:t>1</w:t>
      </w:r>
      <w:r>
        <w:rPr/>
        <w:t>、直销机构</w:t>
      </w:r>
    </w:p>
    <w:p>
      <w:pPr>
        <w:pStyle w:val="BodyText"/>
        <w:spacing w:before="1"/>
        <w:rPr>
          <w:sz w:val="16"/>
        </w:rPr>
      </w:pPr>
    </w:p>
    <w:p>
      <w:pPr>
        <w:pStyle w:val="BodyText"/>
        <w:spacing w:line="424" w:lineRule="auto"/>
        <w:ind w:left="300" w:right="87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2"/>
        </w:numPr>
        <w:tabs>
          <w:tab w:pos="1250" w:val="left" w:leader="none"/>
        </w:tabs>
        <w:spacing w:line="267" w:lineRule="exact" w:before="0" w:after="0"/>
        <w:ind w:left="1249" w:right="0" w:hanging="530"/>
        <w:jc w:val="left"/>
        <w:rPr>
          <w:sz w:val="21"/>
        </w:rPr>
      </w:pPr>
      <w:r>
        <w:rPr>
          <w:spacing w:val="-3"/>
          <w:sz w:val="21"/>
        </w:rPr>
        <w:t>北京分公司</w:t>
      </w:r>
    </w:p>
    <w:p>
      <w:pPr>
        <w:pStyle w:val="BodyText"/>
        <w:spacing w:before="2"/>
        <w:rPr>
          <w:sz w:val="16"/>
        </w:rPr>
      </w:pPr>
    </w:p>
    <w:p>
      <w:pPr>
        <w:pStyle w:val="BodyText"/>
        <w:ind w:left="720"/>
      </w:pPr>
      <w:r>
        <w:rPr/>
        <w:t>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1</w:t>
      </w:r>
      <w:r>
        <w:rPr/>
        <w:t>层（</w:t>
      </w:r>
      <w:r>
        <w:rPr>
          <w:rFonts w:ascii="Times New Roman" w:eastAsia="Times New Roman"/>
        </w:rPr>
        <w:t>100033</w:t>
      </w:r>
      <w:r>
        <w:rPr/>
        <w:t>）</w:t>
      </w:r>
    </w:p>
    <w:p>
      <w:pPr>
        <w:spacing w:after="0"/>
        <w:sectPr>
          <w:pgSz w:w="11910" w:h="16840"/>
          <w:pgMar w:header="701" w:footer="683" w:top="1420" w:bottom="880" w:left="1500" w:right="920"/>
        </w:sectPr>
      </w:pPr>
    </w:p>
    <w:p>
      <w:pPr>
        <w:pStyle w:val="BodyText"/>
        <w:spacing w:line="424" w:lineRule="auto" w:before="115"/>
        <w:ind w:left="720" w:right="6906"/>
        <w:rPr>
          <w:rFonts w:ascii="Times New Roman" w:eastAsia="Times New Roman"/>
        </w:rPr>
      </w:pPr>
      <w:r>
        <w:rPr/>
        <w:t>电话：</w:t>
      </w:r>
      <w:r>
        <w:rPr>
          <w:rFonts w:ascii="Times New Roman" w:eastAsia="Times New Roman"/>
        </w:rPr>
        <w:t>010-88087226 </w:t>
      </w:r>
      <w:r>
        <w:rPr/>
        <w:t>传真：</w:t>
      </w:r>
      <w:r>
        <w:rPr>
          <w:rFonts w:ascii="Times New Roman" w:eastAsia="Times New Roman"/>
        </w:rPr>
        <w:t>010-88066028</w:t>
      </w:r>
    </w:p>
    <w:p>
      <w:pPr>
        <w:pStyle w:val="ListParagraph"/>
        <w:numPr>
          <w:ilvl w:val="0"/>
          <w:numId w:val="12"/>
        </w:numPr>
        <w:tabs>
          <w:tab w:pos="1250" w:val="left" w:leader="none"/>
        </w:tabs>
        <w:spacing w:line="267" w:lineRule="exact" w:before="0" w:after="0"/>
        <w:ind w:left="1249" w:right="0" w:hanging="530"/>
        <w:jc w:val="left"/>
        <w:rPr>
          <w:sz w:val="21"/>
        </w:rPr>
      </w:pPr>
      <w:r>
        <w:rPr>
          <w:spacing w:val="-3"/>
          <w:sz w:val="21"/>
        </w:rPr>
        <w:t>北京东中街投资理财中心</w:t>
      </w:r>
    </w:p>
    <w:p>
      <w:pPr>
        <w:pStyle w:val="BodyText"/>
        <w:rPr>
          <w:sz w:val="16"/>
        </w:rPr>
      </w:pPr>
    </w:p>
    <w:p>
      <w:pPr>
        <w:pStyle w:val="BodyText"/>
        <w:spacing w:line="424" w:lineRule="auto" w:before="1"/>
        <w:ind w:left="720" w:right="3159"/>
        <w:rPr>
          <w:rFonts w:ascii="Times New Roman" w:eastAsia="Times New Roman"/>
        </w:rPr>
      </w:pPr>
      <w:r>
        <w:rPr>
          <w:spacing w:val="-3"/>
        </w:rPr>
        <w:t>地址：北京市东城区东中街</w:t>
      </w:r>
      <w:r>
        <w:rPr>
          <w:rFonts w:ascii="Times New Roman" w:eastAsia="Times New Roman"/>
        </w:rPr>
        <w:t>29</w:t>
      </w:r>
      <w:r>
        <w:rPr>
          <w:spacing w:val="-3"/>
        </w:rPr>
        <w:t>号东环广场</w:t>
      </w:r>
      <w:r>
        <w:rPr>
          <w:rFonts w:ascii="Times New Roman" w:eastAsia="Times New Roman"/>
        </w:rPr>
        <w:t>B</w:t>
      </w:r>
      <w:r>
        <w:rPr>
          <w:spacing w:val="-2"/>
        </w:rPr>
        <w:t>座一层</w:t>
      </w:r>
      <w:r>
        <w:rPr/>
        <w:t>（</w:t>
      </w:r>
      <w:r>
        <w:rPr>
          <w:rFonts w:ascii="Times New Roman" w:eastAsia="Times New Roman"/>
        </w:rPr>
        <w:t>100027</w:t>
      </w:r>
      <w:r>
        <w:rPr/>
        <w:t>） 电话：</w:t>
      </w:r>
      <w:r>
        <w:rPr>
          <w:rFonts w:ascii="Times New Roman" w:eastAsia="Times New Roman"/>
        </w:rPr>
        <w:t>010-64185183</w:t>
      </w:r>
    </w:p>
    <w:p>
      <w:pPr>
        <w:pStyle w:val="BodyText"/>
        <w:ind w:left="720"/>
        <w:rPr>
          <w:rFonts w:ascii="Times New Roman" w:eastAsia="Times New Roman"/>
        </w:rPr>
      </w:pPr>
      <w:r>
        <w:rPr>
          <w:spacing w:val="-1"/>
        </w:rPr>
        <w:t>传真：</w:t>
      </w:r>
      <w:r>
        <w:rPr>
          <w:rFonts w:ascii="Times New Roman" w:eastAsia="Times New Roman"/>
          <w:spacing w:val="-1"/>
        </w:rPr>
        <w:t>010-64185180</w:t>
      </w:r>
    </w:p>
    <w:p>
      <w:pPr>
        <w:pStyle w:val="BodyText"/>
        <w:spacing w:before="10"/>
        <w:rPr>
          <w:rFonts w:ascii="Times New Roman"/>
          <w:sz w:val="17"/>
        </w:rPr>
      </w:pPr>
    </w:p>
    <w:p>
      <w:pPr>
        <w:pStyle w:val="ListParagraph"/>
        <w:numPr>
          <w:ilvl w:val="0"/>
          <w:numId w:val="12"/>
        </w:numPr>
        <w:tabs>
          <w:tab w:pos="1250" w:val="left" w:leader="none"/>
        </w:tabs>
        <w:spacing w:line="240" w:lineRule="auto" w:before="1" w:after="0"/>
        <w:ind w:left="1249" w:right="0" w:hanging="530"/>
        <w:jc w:val="left"/>
        <w:rPr>
          <w:sz w:val="21"/>
        </w:rPr>
      </w:pPr>
      <w:r>
        <w:rPr>
          <w:spacing w:val="-3"/>
          <w:sz w:val="21"/>
        </w:rPr>
        <w:t>北京科学院南路投资理财中心</w:t>
      </w:r>
    </w:p>
    <w:p>
      <w:pPr>
        <w:pStyle w:val="BodyText"/>
        <w:spacing w:before="1"/>
        <w:rPr>
          <w:sz w:val="16"/>
        </w:rPr>
      </w:pPr>
    </w:p>
    <w:p>
      <w:pPr>
        <w:pStyle w:val="BodyText"/>
        <w:spacing w:line="424" w:lineRule="auto"/>
        <w:ind w:left="720" w:right="1200"/>
        <w:rPr>
          <w:rFonts w:ascii="Times New Roman" w:eastAsia="Times New Roman"/>
        </w:rPr>
      </w:pPr>
      <w:r>
        <w:rPr>
          <w:spacing w:val="-3"/>
          <w:w w:val="100"/>
        </w:rPr>
        <w:t>地址：北京市海淀区中关村科学院南路</w:t>
      </w:r>
      <w:r>
        <w:rPr>
          <w:rFonts w:ascii="Times New Roman" w:eastAsia="Times New Roman"/>
          <w:spacing w:val="-3"/>
          <w:w w:val="100"/>
        </w:rPr>
        <w:t>9</w:t>
      </w:r>
      <w:r>
        <w:rPr>
          <w:w w:val="100"/>
        </w:rPr>
        <w:t>号</w:t>
      </w:r>
      <w:r>
        <w:rPr>
          <w:spacing w:val="-3"/>
          <w:w w:val="100"/>
        </w:rPr>
        <w:t>（新科祥园小区大门口一层</w:t>
      </w:r>
      <w:r>
        <w:rPr>
          <w:spacing w:val="-108"/>
          <w:w w:val="100"/>
        </w:rPr>
        <w:t>）</w:t>
      </w:r>
      <w:r>
        <w:rPr>
          <w:w w:val="100"/>
        </w:rPr>
        <w:t>（</w:t>
      </w:r>
      <w:r>
        <w:rPr>
          <w:rFonts w:ascii="Times New Roman" w:eastAsia="Times New Roman"/>
          <w:w w:val="100"/>
        </w:rPr>
        <w:t>10</w:t>
      </w:r>
      <w:r>
        <w:rPr>
          <w:rFonts w:ascii="Times New Roman" w:eastAsia="Times New Roman"/>
          <w:spacing w:val="-3"/>
          <w:w w:val="100"/>
        </w:rPr>
        <w:t>01</w:t>
      </w:r>
      <w:r>
        <w:rPr>
          <w:rFonts w:ascii="Times New Roman" w:eastAsia="Times New Roman"/>
          <w:w w:val="100"/>
        </w:rPr>
        <w:t>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7" w:lineRule="exact"/>
        <w:ind w:left="720"/>
        <w:rPr>
          <w:rFonts w:ascii="Times New Roman" w:eastAsia="Times New Roman"/>
        </w:rPr>
      </w:pPr>
      <w:r>
        <w:rPr>
          <w:spacing w:val="-1"/>
        </w:rPr>
        <w:t>传真：</w:t>
      </w:r>
      <w:r>
        <w:rPr>
          <w:rFonts w:ascii="Times New Roman" w:eastAsia="Times New Roman"/>
          <w:spacing w:val="-1"/>
        </w:rPr>
        <w:t>010-82523196</w:t>
      </w:r>
    </w:p>
    <w:p>
      <w:pPr>
        <w:pStyle w:val="BodyText"/>
        <w:spacing w:before="11"/>
        <w:rPr>
          <w:rFonts w:ascii="Times New Roman"/>
          <w:sz w:val="17"/>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北京东四环投资理财中心</w:t>
      </w:r>
    </w:p>
    <w:p>
      <w:pPr>
        <w:pStyle w:val="BodyText"/>
        <w:spacing w:before="1"/>
        <w:rPr>
          <w:sz w:val="16"/>
        </w:rPr>
      </w:pPr>
    </w:p>
    <w:p>
      <w:pPr>
        <w:pStyle w:val="BodyText"/>
        <w:spacing w:line="424" w:lineRule="auto"/>
        <w:ind w:left="720" w:right="1620"/>
        <w:rPr>
          <w:rFonts w:ascii="Times New Roman" w:eastAsia="Times New Roman"/>
        </w:rPr>
      </w:pPr>
      <w:r>
        <w:rPr>
          <w:spacing w:val="-3"/>
        </w:rPr>
        <w:t>地址：北京市朝阳区八里庄西里</w:t>
      </w:r>
      <w:r>
        <w:rPr>
          <w:rFonts w:ascii="Times New Roman" w:eastAsia="Times New Roman"/>
        </w:rPr>
        <w:t>100</w:t>
      </w:r>
      <w:r>
        <w:rPr>
          <w:spacing w:val="-2"/>
        </w:rPr>
        <w:t>号住邦</w:t>
      </w:r>
      <w:r>
        <w:rPr>
          <w:rFonts w:ascii="Times New Roman" w:eastAsia="Times New Roman"/>
        </w:rPr>
        <w:t>2000</w:t>
      </w:r>
      <w:r>
        <w:rPr>
          <w:spacing w:val="-2"/>
        </w:rPr>
        <w:t>商务中心</w:t>
      </w:r>
      <w:r>
        <w:rPr>
          <w:rFonts w:ascii="Times New Roman" w:eastAsia="Times New Roman"/>
          <w:spacing w:val="-3"/>
        </w:rPr>
        <w:t>1</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ind w:left="720"/>
        <w:rPr>
          <w:rFonts w:ascii="Times New Roman" w:eastAsia="Times New Roman"/>
        </w:rPr>
      </w:pPr>
      <w:r>
        <w:rPr>
          <w:spacing w:val="-1"/>
        </w:rPr>
        <w:t>传真：</w:t>
      </w:r>
      <w:r>
        <w:rPr>
          <w:rFonts w:ascii="Times New Roman" w:eastAsia="Times New Roman"/>
          <w:spacing w:val="-1"/>
        </w:rPr>
        <w:t>010-85869575</w:t>
      </w:r>
    </w:p>
    <w:p>
      <w:pPr>
        <w:pStyle w:val="BodyText"/>
        <w:rPr>
          <w:rFonts w:ascii="Times New Roman"/>
          <w:sz w:val="18"/>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北京望京投资理财中心</w:t>
      </w:r>
    </w:p>
    <w:p>
      <w:pPr>
        <w:pStyle w:val="BodyText"/>
        <w:spacing w:before="1"/>
        <w:rPr>
          <w:sz w:val="16"/>
        </w:rPr>
      </w:pPr>
    </w:p>
    <w:p>
      <w:pPr>
        <w:pStyle w:val="BodyText"/>
        <w:spacing w:line="424" w:lineRule="auto"/>
        <w:ind w:left="720" w:right="3195"/>
        <w:rPr>
          <w:rFonts w:ascii="Times New Roman" w:eastAsia="Times New Roman"/>
        </w:rPr>
      </w:pPr>
      <w:r>
        <w:rPr>
          <w:spacing w:val="-3"/>
        </w:rPr>
        <w:t>地址：北京市朝阳区望京宏泰东街绿地中国锦</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7" w:lineRule="exact"/>
        <w:ind w:left="72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11"/>
        <w:rPr>
          <w:rFonts w:ascii="Times New Roman"/>
          <w:sz w:val="17"/>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上海分公司</w:t>
      </w:r>
    </w:p>
    <w:p>
      <w:pPr>
        <w:pStyle w:val="BodyText"/>
        <w:spacing w:before="1"/>
        <w:rPr>
          <w:sz w:val="16"/>
        </w:rPr>
      </w:pPr>
    </w:p>
    <w:p>
      <w:pPr>
        <w:pStyle w:val="BodyText"/>
        <w:spacing w:line="424" w:lineRule="auto"/>
        <w:ind w:left="720" w:right="2040"/>
        <w:rPr>
          <w:rFonts w:ascii="Times New Roman" w:eastAsia="Times New Roman"/>
        </w:rPr>
      </w:pPr>
      <w:r>
        <w:rPr>
          <w:spacing w:val="-3"/>
        </w:rPr>
        <w:t>地址：中国</w:t>
      </w:r>
      <w:r>
        <w:rPr>
          <w:spacing w:val="-1"/>
        </w:rPr>
        <w:t>（</w:t>
      </w:r>
      <w:r>
        <w:rPr>
          <w:spacing w:val="-2"/>
        </w:rPr>
        <w:t>上海</w:t>
      </w:r>
      <w:r>
        <w:rPr>
          <w:spacing w:val="-3"/>
        </w:rPr>
        <w:t>）自由贸易试验区陆家嘴环路</w:t>
      </w:r>
      <w:r>
        <w:rPr>
          <w:rFonts w:ascii="Times New Roman" w:eastAsia="Times New Roman"/>
        </w:rPr>
        <w:t>1318</w:t>
      </w:r>
      <w:r>
        <w:rPr/>
        <w:t>号</w:t>
      </w:r>
      <w:r>
        <w:rPr>
          <w:rFonts w:ascii="Times New Roman" w:eastAsia="Times New Roman"/>
        </w:rPr>
        <w:t>1902</w:t>
      </w:r>
      <w:r>
        <w:rPr>
          <w:spacing w:val="-3"/>
        </w:rPr>
        <w:t>室</w:t>
      </w:r>
      <w:r>
        <w:rPr/>
        <w:t>（</w:t>
      </w:r>
      <w:r>
        <w:rPr>
          <w:rFonts w:ascii="Times New Roman" w:eastAsia="Times New Roman"/>
        </w:rPr>
        <w:t>200120</w:t>
      </w:r>
      <w:r>
        <w:rPr/>
        <w:t>） 电话：</w:t>
      </w:r>
      <w:r>
        <w:rPr>
          <w:rFonts w:ascii="Times New Roman" w:eastAsia="Times New Roman"/>
        </w:rPr>
        <w:t>021-58771599</w:t>
      </w:r>
    </w:p>
    <w:p>
      <w:pPr>
        <w:pStyle w:val="BodyText"/>
        <w:spacing w:before="1"/>
        <w:ind w:left="720"/>
        <w:rPr>
          <w:rFonts w:ascii="Times New Roman" w:eastAsia="Times New Roman"/>
        </w:rPr>
      </w:pPr>
      <w:r>
        <w:rPr>
          <w:spacing w:val="-1"/>
        </w:rPr>
        <w:t>传真：</w:t>
      </w:r>
      <w:r>
        <w:rPr>
          <w:rFonts w:ascii="Times New Roman" w:eastAsia="Times New Roman"/>
          <w:spacing w:val="-1"/>
        </w:rPr>
        <w:t>021-58771998</w:t>
      </w:r>
    </w:p>
    <w:p>
      <w:pPr>
        <w:pStyle w:val="BodyText"/>
        <w:spacing w:before="10"/>
        <w:rPr>
          <w:rFonts w:ascii="Times New Roman"/>
          <w:sz w:val="17"/>
        </w:rPr>
      </w:pPr>
    </w:p>
    <w:p>
      <w:pPr>
        <w:pStyle w:val="ListParagraph"/>
        <w:numPr>
          <w:ilvl w:val="0"/>
          <w:numId w:val="12"/>
        </w:numPr>
        <w:tabs>
          <w:tab w:pos="1250" w:val="left" w:leader="none"/>
        </w:tabs>
        <w:spacing w:line="240" w:lineRule="auto" w:before="1" w:after="0"/>
        <w:ind w:left="1249" w:right="0" w:hanging="530"/>
        <w:jc w:val="left"/>
        <w:rPr>
          <w:sz w:val="21"/>
        </w:rPr>
      </w:pPr>
      <w:r>
        <w:rPr>
          <w:spacing w:val="-3"/>
          <w:sz w:val="21"/>
        </w:rPr>
        <w:t>深圳分公司</w:t>
      </w:r>
    </w:p>
    <w:p>
      <w:pPr>
        <w:pStyle w:val="BodyText"/>
        <w:rPr>
          <w:sz w:val="16"/>
        </w:rPr>
      </w:pPr>
    </w:p>
    <w:p>
      <w:pPr>
        <w:pStyle w:val="BodyText"/>
        <w:spacing w:line="424" w:lineRule="auto" w:before="1"/>
        <w:ind w:left="720" w:right="1617"/>
        <w:rPr>
          <w:rFonts w:ascii="Times New Roman" w:eastAsia="Times New Roman"/>
        </w:rPr>
      </w:pPr>
      <w:r>
        <w:rPr>
          <w:spacing w:val="-3"/>
        </w:rPr>
        <w:t>地址：深圳市福田区莲花街道益田路</w:t>
      </w:r>
      <w:r>
        <w:rPr>
          <w:rFonts w:ascii="Times New Roman" w:eastAsia="Times New Roman"/>
        </w:rPr>
        <w:t>6001</w:t>
      </w:r>
      <w:r>
        <w:rPr>
          <w:spacing w:val="-3"/>
        </w:rPr>
        <w:t>号太平金融大厦</w:t>
      </w:r>
      <w:r>
        <w:rPr>
          <w:rFonts w:ascii="Times New Roman" w:eastAsia="Times New Roman"/>
        </w:rPr>
        <w:t>40</w:t>
      </w:r>
      <w:r>
        <w:rPr>
          <w:spacing w:val="-3"/>
        </w:rPr>
        <w:t>层</w:t>
      </w:r>
      <w:r>
        <w:rPr>
          <w:rFonts w:ascii="Times New Roman" w:eastAsia="Times New Roman"/>
        </w:rPr>
        <w:t>02</w:t>
      </w:r>
      <w:r>
        <w:rPr>
          <w:spacing w:val="-3"/>
        </w:rPr>
        <w:t>室</w:t>
      </w:r>
      <w:r>
        <w:rPr/>
        <w:t>（</w:t>
      </w:r>
      <w:r>
        <w:rPr>
          <w:rFonts w:ascii="Times New Roman" w:eastAsia="Times New Roman"/>
        </w:rPr>
        <w:t>518038</w:t>
      </w:r>
      <w:r>
        <w:rPr/>
        <w:t>） 电话：</w:t>
      </w:r>
      <w:r>
        <w:rPr>
          <w:rFonts w:ascii="Times New Roman" w:eastAsia="Times New Roman"/>
        </w:rPr>
        <w:t>0755-82033033</w:t>
      </w:r>
    </w:p>
    <w:p>
      <w:pPr>
        <w:pStyle w:val="BodyText"/>
        <w:spacing w:line="267" w:lineRule="exact"/>
        <w:ind w:left="720"/>
        <w:rPr>
          <w:rFonts w:ascii="Times New Roman" w:eastAsia="Times New Roman"/>
        </w:rPr>
      </w:pPr>
      <w:r>
        <w:rPr>
          <w:spacing w:val="-1"/>
        </w:rPr>
        <w:t>传真：</w:t>
      </w:r>
      <w:r>
        <w:rPr>
          <w:rFonts w:ascii="Times New Roman" w:eastAsia="Times New Roman"/>
          <w:spacing w:val="-1"/>
        </w:rPr>
        <w:t>0755-82031949</w:t>
      </w:r>
    </w:p>
    <w:p>
      <w:pPr>
        <w:pStyle w:val="BodyText"/>
        <w:spacing w:before="10"/>
        <w:rPr>
          <w:rFonts w:ascii="Times New Roman"/>
          <w:sz w:val="17"/>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南京分公司</w:t>
      </w:r>
    </w:p>
    <w:p>
      <w:pPr>
        <w:pStyle w:val="BodyText"/>
        <w:spacing w:before="1"/>
        <w:rPr>
          <w:sz w:val="16"/>
        </w:rPr>
      </w:pPr>
    </w:p>
    <w:p>
      <w:pPr>
        <w:pStyle w:val="BodyText"/>
        <w:spacing w:line="424" w:lineRule="auto"/>
        <w:ind w:left="720" w:right="2215"/>
        <w:rPr>
          <w:rFonts w:ascii="Times New Roman" w:eastAsia="Times New Roman"/>
        </w:rPr>
      </w:pPr>
      <w:r>
        <w:rPr/>
        <w:t>地址：南京市鼓楼区汉中路</w:t>
      </w:r>
      <w:r>
        <w:rPr>
          <w:rFonts w:ascii="Times New Roman" w:eastAsia="Times New Roman"/>
        </w:rPr>
        <w:t>2</w:t>
      </w:r>
      <w:r>
        <w:rPr/>
        <w:t>号金陵饭店亚太商务楼</w:t>
      </w:r>
      <w:r>
        <w:rPr>
          <w:rFonts w:ascii="Times New Roman" w:eastAsia="Times New Roman"/>
        </w:rPr>
        <w:t>30</w:t>
      </w:r>
      <w:r>
        <w:rPr/>
        <w:t>层</w:t>
      </w:r>
      <w:r>
        <w:rPr>
          <w:rFonts w:ascii="Times New Roman" w:eastAsia="Times New Roman"/>
        </w:rPr>
        <w:t>B</w:t>
      </w:r>
      <w:r>
        <w:rPr/>
        <w:t>区（</w:t>
      </w:r>
      <w:r>
        <w:rPr>
          <w:rFonts w:ascii="Times New Roman" w:eastAsia="Times New Roman"/>
        </w:rPr>
        <w:t>210005</w:t>
      </w:r>
      <w:r>
        <w:rPr/>
        <w:t>） 电话：</w:t>
      </w:r>
      <w:r>
        <w:rPr>
          <w:rFonts w:ascii="Times New Roman" w:eastAsia="Times New Roman"/>
        </w:rPr>
        <w:t>025-84733916</w:t>
      </w:r>
    </w:p>
    <w:p>
      <w:pPr>
        <w:spacing w:after="0" w:line="424" w:lineRule="auto"/>
        <w:rPr>
          <w:rFonts w:ascii="Times New Roman" w:eastAsia="Times New Roman"/>
        </w:rPr>
        <w:sectPr>
          <w:pgSz w:w="11910" w:h="16840"/>
          <w:pgMar w:header="701" w:footer="683" w:top="1420" w:bottom="880" w:left="1500" w:right="920"/>
        </w:sectPr>
      </w:pPr>
    </w:p>
    <w:p>
      <w:pPr>
        <w:pStyle w:val="BodyText"/>
        <w:spacing w:before="115"/>
        <w:ind w:left="720"/>
        <w:rPr>
          <w:rFonts w:ascii="Times New Roman" w:eastAsia="Times New Roman"/>
        </w:rPr>
      </w:pPr>
      <w:r>
        <w:rPr/>
        <w:t>传真：</w:t>
      </w:r>
      <w:r>
        <w:rPr>
          <w:rFonts w:ascii="Times New Roman" w:eastAsia="Times New Roman"/>
        </w:rPr>
        <w:t>025-84733928</w:t>
      </w:r>
    </w:p>
    <w:p>
      <w:pPr>
        <w:pStyle w:val="BodyText"/>
        <w:spacing w:before="10"/>
        <w:rPr>
          <w:rFonts w:ascii="Times New Roman"/>
          <w:sz w:val="17"/>
        </w:rPr>
      </w:pPr>
    </w:p>
    <w:p>
      <w:pPr>
        <w:pStyle w:val="ListParagraph"/>
        <w:numPr>
          <w:ilvl w:val="0"/>
          <w:numId w:val="12"/>
        </w:numPr>
        <w:tabs>
          <w:tab w:pos="1250" w:val="left" w:leader="none"/>
        </w:tabs>
        <w:spacing w:line="240" w:lineRule="auto" w:before="0" w:after="0"/>
        <w:ind w:left="1249" w:right="0" w:hanging="530"/>
        <w:jc w:val="left"/>
        <w:rPr>
          <w:sz w:val="21"/>
        </w:rPr>
      </w:pPr>
      <w:r>
        <w:rPr>
          <w:spacing w:val="-3"/>
          <w:sz w:val="21"/>
        </w:rPr>
        <w:t>杭州分公司</w:t>
      </w:r>
    </w:p>
    <w:p>
      <w:pPr>
        <w:pStyle w:val="BodyText"/>
        <w:spacing w:before="1"/>
        <w:rPr>
          <w:sz w:val="16"/>
        </w:rPr>
      </w:pPr>
    </w:p>
    <w:p>
      <w:pPr>
        <w:pStyle w:val="BodyText"/>
        <w:spacing w:line="424" w:lineRule="auto"/>
        <w:ind w:left="720" w:right="1176"/>
        <w:rPr>
          <w:rFonts w:ascii="Times New Roman" w:eastAsia="Times New Roman"/>
        </w:rPr>
      </w:pPr>
      <w:r>
        <w:rPr>
          <w:spacing w:val="-3"/>
        </w:rPr>
        <w:t>地址：浙江省杭州市西湖区杭大路</w:t>
      </w:r>
      <w:r>
        <w:rPr>
          <w:rFonts w:ascii="Times New Roman" w:eastAsia="Times New Roman"/>
          <w:spacing w:val="-3"/>
        </w:rPr>
        <w:t>1</w:t>
      </w:r>
      <w:r>
        <w:rPr>
          <w:spacing w:val="-3"/>
        </w:rPr>
        <w:t>号黄龙世纪广场</w:t>
      </w:r>
      <w:r>
        <w:rPr>
          <w:rFonts w:ascii="Times New Roman" w:eastAsia="Times New Roman"/>
        </w:rPr>
        <w:t>B</w:t>
      </w:r>
      <w:r>
        <w:rPr/>
        <w:t>区</w:t>
      </w:r>
      <w:r>
        <w:rPr>
          <w:rFonts w:ascii="Times New Roman" w:eastAsia="Times New Roman"/>
          <w:spacing w:val="-3"/>
        </w:rPr>
        <w:t>4</w:t>
      </w:r>
      <w:r>
        <w:rPr>
          <w:spacing w:val="-3"/>
        </w:rPr>
        <w:t>层</w:t>
      </w:r>
      <w:r>
        <w:rPr>
          <w:rFonts w:ascii="Times New Roman" w:eastAsia="Times New Roman"/>
        </w:rPr>
        <w:t>G05</w:t>
      </w:r>
      <w:r>
        <w:rPr/>
        <w:t>、</w:t>
      </w:r>
      <w:r>
        <w:rPr>
          <w:rFonts w:ascii="Times New Roman" w:eastAsia="Times New Roman"/>
        </w:rPr>
        <w:t>G06</w:t>
      </w:r>
      <w:r>
        <w:rPr>
          <w:spacing w:val="-3"/>
        </w:rPr>
        <w:t>室</w:t>
      </w:r>
      <w:r>
        <w:rPr/>
        <w:t>（</w:t>
      </w:r>
      <w:r>
        <w:rPr>
          <w:rFonts w:ascii="Times New Roman" w:eastAsia="Times New Roman"/>
        </w:rPr>
        <w:t>310007</w:t>
      </w:r>
      <w:r>
        <w:rPr/>
        <w:t>） 电话：</w:t>
      </w:r>
      <w:r>
        <w:rPr>
          <w:rFonts w:ascii="Times New Roman" w:eastAsia="Times New Roman"/>
        </w:rPr>
        <w:t>0571-89716606</w:t>
      </w:r>
    </w:p>
    <w:p>
      <w:pPr>
        <w:pStyle w:val="BodyText"/>
        <w:spacing w:line="267" w:lineRule="exact"/>
        <w:ind w:left="720"/>
        <w:rPr>
          <w:rFonts w:ascii="Times New Roman" w:eastAsia="Times New Roman"/>
        </w:rPr>
      </w:pPr>
      <w:r>
        <w:rPr>
          <w:spacing w:val="-2"/>
        </w:rPr>
        <w:t>传真：</w:t>
      </w:r>
      <w:r>
        <w:rPr>
          <w:rFonts w:ascii="Times New Roman" w:eastAsia="Times New Roman"/>
          <w:spacing w:val="-2"/>
        </w:rPr>
        <w:t>0571-89716611</w:t>
      </w:r>
    </w:p>
    <w:p>
      <w:pPr>
        <w:pStyle w:val="BodyText"/>
        <w:spacing w:before="2"/>
        <w:rPr>
          <w:rFonts w:ascii="Times New Roman"/>
          <w:sz w:val="18"/>
        </w:rPr>
      </w:pPr>
    </w:p>
    <w:p>
      <w:pPr>
        <w:pStyle w:val="ListParagraph"/>
        <w:numPr>
          <w:ilvl w:val="0"/>
          <w:numId w:val="12"/>
        </w:numPr>
        <w:tabs>
          <w:tab w:pos="1355" w:val="left" w:leader="none"/>
        </w:tabs>
        <w:spacing w:line="240" w:lineRule="auto" w:before="0" w:after="0"/>
        <w:ind w:left="1355" w:right="0" w:hanging="635"/>
        <w:jc w:val="left"/>
        <w:rPr>
          <w:sz w:val="21"/>
        </w:rPr>
      </w:pPr>
      <w:r>
        <w:rPr>
          <w:spacing w:val="-3"/>
          <w:sz w:val="21"/>
        </w:rPr>
        <w:t>广州分公司</w:t>
      </w:r>
    </w:p>
    <w:p>
      <w:pPr>
        <w:pStyle w:val="BodyText"/>
        <w:spacing w:before="1"/>
        <w:rPr>
          <w:sz w:val="16"/>
        </w:rPr>
      </w:pPr>
    </w:p>
    <w:p>
      <w:pPr>
        <w:pStyle w:val="BodyText"/>
        <w:spacing w:line="424" w:lineRule="auto"/>
        <w:ind w:left="720" w:right="1305"/>
        <w:rPr>
          <w:rFonts w:ascii="Times New Roman" w:eastAsia="Times New Roman"/>
        </w:rPr>
      </w:pPr>
      <w:r>
        <w:rPr>
          <w:spacing w:val="-3"/>
        </w:rPr>
        <w:t>地址：广州市天河区珠江西路</w:t>
      </w:r>
      <w:r>
        <w:rPr>
          <w:rFonts w:ascii="Times New Roman" w:eastAsia="Times New Roman"/>
          <w:spacing w:val="-3"/>
        </w:rPr>
        <w:t>5</w:t>
      </w:r>
      <w:r>
        <w:rPr>
          <w:spacing w:val="-3"/>
        </w:rPr>
        <w:t>号广州国际金融中心主塔写字楼</w:t>
      </w:r>
      <w:r>
        <w:rPr>
          <w:rFonts w:ascii="Times New Roman" w:eastAsia="Times New Roman"/>
        </w:rPr>
        <w:t>5305</w:t>
      </w:r>
      <w:r>
        <w:rPr/>
        <w:t>房（</w:t>
      </w:r>
      <w:r>
        <w:rPr>
          <w:rFonts w:ascii="Times New Roman" w:eastAsia="Times New Roman"/>
        </w:rPr>
        <w:t>510623</w:t>
      </w:r>
      <w:r>
        <w:rPr/>
        <w:t>） 电话：</w:t>
      </w:r>
      <w:r>
        <w:rPr>
          <w:rFonts w:ascii="Times New Roman" w:eastAsia="Times New Roman"/>
        </w:rPr>
        <w:t>020-38461058</w:t>
      </w:r>
    </w:p>
    <w:p>
      <w:pPr>
        <w:pStyle w:val="BodyText"/>
        <w:spacing w:line="268" w:lineRule="exact"/>
        <w:ind w:left="720"/>
        <w:rPr>
          <w:rFonts w:ascii="Times New Roman" w:eastAsia="Times New Roman"/>
        </w:rPr>
      </w:pPr>
      <w:r>
        <w:rPr>
          <w:spacing w:val="-1"/>
        </w:rPr>
        <w:t>传真：</w:t>
      </w:r>
      <w:r>
        <w:rPr>
          <w:rFonts w:ascii="Times New Roman" w:eastAsia="Times New Roman"/>
          <w:spacing w:val="-1"/>
        </w:rPr>
        <w:t>020-38067182</w:t>
      </w:r>
    </w:p>
    <w:p>
      <w:pPr>
        <w:pStyle w:val="BodyText"/>
        <w:spacing w:before="10"/>
        <w:rPr>
          <w:rFonts w:ascii="Times New Roman"/>
          <w:sz w:val="17"/>
        </w:rPr>
      </w:pPr>
    </w:p>
    <w:p>
      <w:pPr>
        <w:pStyle w:val="ListParagraph"/>
        <w:numPr>
          <w:ilvl w:val="0"/>
          <w:numId w:val="12"/>
        </w:numPr>
        <w:tabs>
          <w:tab w:pos="1346" w:val="left" w:leader="none"/>
        </w:tabs>
        <w:spacing w:line="240" w:lineRule="auto" w:before="1" w:after="0"/>
        <w:ind w:left="1345" w:right="0" w:hanging="626"/>
        <w:jc w:val="left"/>
        <w:rPr>
          <w:sz w:val="21"/>
        </w:rPr>
      </w:pPr>
      <w:r>
        <w:rPr>
          <w:spacing w:val="-3"/>
          <w:sz w:val="21"/>
        </w:rPr>
        <w:t>广州天河投资理财中心</w:t>
      </w:r>
    </w:p>
    <w:p>
      <w:pPr>
        <w:pStyle w:val="BodyText"/>
        <w:spacing w:before="1"/>
        <w:rPr>
          <w:sz w:val="16"/>
        </w:rPr>
      </w:pPr>
    </w:p>
    <w:p>
      <w:pPr>
        <w:pStyle w:val="BodyText"/>
        <w:spacing w:line="424" w:lineRule="auto"/>
        <w:ind w:left="720" w:right="4035"/>
        <w:rPr>
          <w:rFonts w:ascii="Times New Roman" w:eastAsia="Times New Roman"/>
        </w:rPr>
      </w:pPr>
      <w:r>
        <w:rPr>
          <w:spacing w:val="-3"/>
        </w:rPr>
        <w:t>地址：广州市天河区珠江西路</w:t>
      </w:r>
      <w:r>
        <w:rPr>
          <w:rFonts w:ascii="Times New Roman" w:eastAsia="Times New Roman"/>
          <w:spacing w:val="-3"/>
        </w:rPr>
        <w:t>5</w:t>
      </w:r>
      <w:r>
        <w:rPr/>
        <w:t>号</w:t>
      </w:r>
      <w:r>
        <w:rPr>
          <w:rFonts w:ascii="Times New Roman" w:eastAsia="Times New Roman"/>
        </w:rPr>
        <w:t>5306</w:t>
      </w:r>
      <w:r>
        <w:rPr>
          <w:spacing w:val="-3"/>
        </w:rPr>
        <w:t>房</w:t>
      </w:r>
      <w:r>
        <w:rPr/>
        <w:t>（</w:t>
      </w:r>
      <w:r>
        <w:rPr>
          <w:rFonts w:ascii="Times New Roman" w:eastAsia="Times New Roman"/>
        </w:rPr>
        <w:t>510623</w:t>
      </w:r>
      <w:r>
        <w:rPr/>
        <w:t>） 电话：</w:t>
      </w:r>
      <w:r>
        <w:rPr>
          <w:rFonts w:ascii="Times New Roman" w:eastAsia="Times New Roman"/>
        </w:rPr>
        <w:t>020-38460001</w:t>
      </w:r>
    </w:p>
    <w:p>
      <w:pPr>
        <w:pStyle w:val="BodyText"/>
        <w:spacing w:line="267" w:lineRule="exact"/>
        <w:ind w:left="720"/>
        <w:rPr>
          <w:rFonts w:ascii="Times New Roman" w:eastAsia="Times New Roman"/>
        </w:rPr>
      </w:pPr>
      <w:r>
        <w:rPr>
          <w:spacing w:val="-1"/>
        </w:rPr>
        <w:t>传真：</w:t>
      </w:r>
      <w:r>
        <w:rPr>
          <w:rFonts w:ascii="Times New Roman" w:eastAsia="Times New Roman"/>
          <w:spacing w:val="-1"/>
        </w:rPr>
        <w:t>020-38067182</w:t>
      </w:r>
    </w:p>
    <w:p>
      <w:pPr>
        <w:pStyle w:val="BodyText"/>
        <w:spacing w:before="1"/>
        <w:rPr>
          <w:rFonts w:ascii="Times New Roman"/>
          <w:sz w:val="18"/>
        </w:rPr>
      </w:pPr>
    </w:p>
    <w:p>
      <w:pPr>
        <w:pStyle w:val="ListParagraph"/>
        <w:numPr>
          <w:ilvl w:val="0"/>
          <w:numId w:val="12"/>
        </w:numPr>
        <w:tabs>
          <w:tab w:pos="1355" w:val="left" w:leader="none"/>
        </w:tabs>
        <w:spacing w:line="240" w:lineRule="auto" w:before="0" w:after="0"/>
        <w:ind w:left="1355" w:right="0" w:hanging="635"/>
        <w:jc w:val="left"/>
        <w:rPr>
          <w:sz w:val="21"/>
        </w:rPr>
      </w:pPr>
      <w:r>
        <w:rPr>
          <w:spacing w:val="-3"/>
          <w:sz w:val="21"/>
        </w:rPr>
        <w:t>成都分公司</w:t>
      </w:r>
    </w:p>
    <w:p>
      <w:pPr>
        <w:pStyle w:val="BodyText"/>
        <w:spacing w:before="2"/>
        <w:rPr>
          <w:sz w:val="16"/>
        </w:rPr>
      </w:pPr>
    </w:p>
    <w:p>
      <w:pPr>
        <w:pStyle w:val="BodyText"/>
        <w:spacing w:line="424" w:lineRule="auto"/>
        <w:ind w:left="720" w:right="662"/>
        <w:rPr>
          <w:rFonts w:ascii="Times New Roman" w:eastAsia="Times New Roman"/>
        </w:rPr>
      </w:pPr>
      <w:r>
        <w:rPr>
          <w:spacing w:val="-13"/>
        </w:rPr>
        <w:t>地址：成都市高新区交子大道</w:t>
      </w:r>
      <w:r>
        <w:rPr>
          <w:rFonts w:ascii="Times New Roman" w:eastAsia="Times New Roman"/>
          <w:spacing w:val="-1"/>
        </w:rPr>
        <w:t>177</w:t>
      </w:r>
      <w:r>
        <w:rPr>
          <w:spacing w:val="-3"/>
        </w:rPr>
        <w:t>号中海国际中心</w:t>
      </w:r>
      <w:r>
        <w:rPr>
          <w:rFonts w:ascii="Times New Roman" w:eastAsia="Times New Roman"/>
        </w:rPr>
        <w:t>B</w:t>
      </w:r>
      <w:r>
        <w:rPr/>
        <w:t>座</w:t>
      </w:r>
      <w:r>
        <w:rPr>
          <w:rFonts w:ascii="Times New Roman" w:eastAsia="Times New Roman"/>
          <w:spacing w:val="-3"/>
        </w:rPr>
        <w:t>1</w:t>
      </w:r>
      <w:r>
        <w:rPr/>
        <w:t>栋</w:t>
      </w:r>
      <w:r>
        <w:rPr>
          <w:rFonts w:ascii="Times New Roman" w:eastAsia="Times New Roman"/>
        </w:rPr>
        <w:t>1</w:t>
      </w:r>
      <w:r>
        <w:rPr>
          <w:spacing w:val="-2"/>
        </w:rPr>
        <w:t>单元</w:t>
      </w:r>
      <w:r>
        <w:rPr>
          <w:rFonts w:ascii="Times New Roman" w:eastAsia="Times New Roman"/>
        </w:rPr>
        <w:t>14</w:t>
      </w:r>
      <w:r>
        <w:rPr/>
        <w:t>层</w:t>
      </w:r>
      <w:r>
        <w:rPr>
          <w:rFonts w:ascii="Times New Roman" w:eastAsia="Times New Roman"/>
        </w:rPr>
        <w:t>1406-1407</w:t>
      </w:r>
      <w:r>
        <w:rPr>
          <w:spacing w:val="-101"/>
        </w:rPr>
        <w:t>号</w:t>
      </w:r>
      <w:r>
        <w:rPr/>
        <w:t>（</w:t>
      </w:r>
      <w:r>
        <w:rPr>
          <w:rFonts w:ascii="Times New Roman" w:eastAsia="Times New Roman"/>
        </w:rPr>
        <w:t>610000</w:t>
      </w:r>
      <w:r>
        <w:rPr/>
        <w:t>） 电话：</w:t>
      </w:r>
      <w:r>
        <w:rPr>
          <w:rFonts w:ascii="Times New Roman" w:eastAsia="Times New Roman"/>
        </w:rPr>
        <w:t>028-65730073</w:t>
      </w:r>
    </w:p>
    <w:p>
      <w:pPr>
        <w:pStyle w:val="BodyText"/>
        <w:spacing w:line="267" w:lineRule="exact"/>
        <w:ind w:left="720"/>
        <w:rPr>
          <w:rFonts w:ascii="Times New Roman" w:eastAsia="Times New Roman"/>
        </w:rPr>
      </w:pPr>
      <w:r>
        <w:rPr>
          <w:spacing w:val="-2"/>
        </w:rPr>
        <w:t>传真：</w:t>
      </w:r>
      <w:r>
        <w:rPr>
          <w:rFonts w:ascii="Times New Roman" w:eastAsia="Times New Roman"/>
          <w:spacing w:val="-2"/>
        </w:rPr>
        <w:t>028-86725411</w:t>
      </w:r>
    </w:p>
    <w:p>
      <w:pPr>
        <w:pStyle w:val="BodyText"/>
        <w:spacing w:before="10"/>
        <w:rPr>
          <w:rFonts w:ascii="Times New Roman"/>
          <w:sz w:val="17"/>
        </w:rPr>
      </w:pPr>
    </w:p>
    <w:p>
      <w:pPr>
        <w:pStyle w:val="ListParagraph"/>
        <w:numPr>
          <w:ilvl w:val="0"/>
          <w:numId w:val="12"/>
        </w:numPr>
        <w:tabs>
          <w:tab w:pos="1355" w:val="left" w:leader="none"/>
        </w:tabs>
        <w:spacing w:line="240" w:lineRule="auto" w:before="1" w:after="0"/>
        <w:ind w:left="1355" w:right="0" w:hanging="635"/>
        <w:jc w:val="left"/>
        <w:rPr>
          <w:sz w:val="21"/>
        </w:rPr>
      </w:pPr>
      <w:r>
        <w:rPr>
          <w:spacing w:val="-2"/>
          <w:sz w:val="21"/>
        </w:rPr>
        <w:t>电子交易</w:t>
      </w:r>
    </w:p>
    <w:p>
      <w:pPr>
        <w:pStyle w:val="BodyText"/>
        <w:rPr>
          <w:sz w:val="16"/>
        </w:rPr>
      </w:pPr>
    </w:p>
    <w:p>
      <w:pPr>
        <w:pStyle w:val="BodyText"/>
        <w:spacing w:line="424" w:lineRule="auto" w:before="1"/>
        <w:ind w:left="300" w:right="87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9">
        <w:r>
          <w:rPr>
            <w:rFonts w:ascii="Times New Roman" w:eastAsia="Times New Roman"/>
          </w:rPr>
          <w:t>www.ChinaAMC.com</w:t>
        </w:r>
      </w:hyperlink>
      <w:r>
        <w:rPr/>
        <w:t>。</w:t>
      </w:r>
    </w:p>
    <w:p>
      <w:pPr>
        <w:pStyle w:val="BodyText"/>
        <w:ind w:left="720"/>
      </w:pPr>
      <w:r>
        <w:rPr>
          <w:rFonts w:ascii="Times New Roman" w:eastAsia="Times New Roman"/>
        </w:rPr>
        <w:t>2</w:t>
      </w:r>
      <w:r>
        <w:rPr/>
        <w:t>、代销机构</w:t>
      </w:r>
    </w:p>
    <w:p>
      <w:pPr>
        <w:pStyle w:val="BodyText"/>
        <w:rPr>
          <w:sz w:val="16"/>
        </w:rPr>
      </w:pPr>
    </w:p>
    <w:p>
      <w:pPr>
        <w:pStyle w:val="BodyText"/>
        <w:spacing w:line="424" w:lineRule="auto" w:before="1"/>
        <w:ind w:left="300" w:right="662" w:firstLine="419"/>
      </w:pPr>
      <w:r>
        <w:rPr>
          <w:spacing w:val="-19"/>
          <w:w w:val="100"/>
        </w:rPr>
        <w:t>本基金代销机构的名称、住所等信息请详见本招募说明书“五、相关服务机构”中“</w:t>
      </w:r>
      <w:r>
        <w:rPr>
          <w:w w:val="100"/>
        </w:rPr>
        <w:t>（</w:t>
      </w:r>
      <w:r>
        <w:rPr>
          <w:spacing w:val="-3"/>
          <w:w w:val="100"/>
        </w:rPr>
        <w:t>一</w:t>
      </w:r>
      <w:r>
        <w:rPr>
          <w:w w:val="100"/>
        </w:rPr>
        <w:t>）</w:t>
      </w:r>
      <w:r>
        <w:rPr>
          <w:spacing w:val="-3"/>
        </w:rPr>
        <w:t>销售机构”的相关描述。</w:t>
      </w:r>
    </w:p>
    <w:p>
      <w:pPr>
        <w:pStyle w:val="BodyText"/>
        <w:spacing w:line="424" w:lineRule="auto"/>
        <w:ind w:left="300" w:right="871" w:firstLine="419"/>
        <w:jc w:val="both"/>
      </w:pPr>
      <w:r>
        <w:rPr/>
        <w:t>投资者应当在销售机构办理基金销售业务的营业场所或按销售机构提供的其他方式办</w:t>
      </w:r>
      <w:r>
        <w:rPr>
          <w:spacing w:val="-10"/>
        </w:rPr>
        <w:t>理基金的申购与赎回。基金管理人可根据情况变更或增减销售机构，并在基金管理人网站公示。</w:t>
      </w:r>
    </w:p>
    <w:p>
      <w:pPr>
        <w:pStyle w:val="BodyText"/>
        <w:spacing w:line="266" w:lineRule="exact"/>
        <w:ind w:left="720"/>
      </w:pPr>
      <w:r>
        <w:rPr/>
        <w:t>（四）申购与赎回的开放日及时间</w:t>
      </w:r>
    </w:p>
    <w:p>
      <w:pPr>
        <w:pStyle w:val="BodyText"/>
        <w:spacing w:before="12"/>
        <w:rPr>
          <w:sz w:val="15"/>
        </w:rPr>
      </w:pPr>
    </w:p>
    <w:p>
      <w:pPr>
        <w:pStyle w:val="BodyText"/>
        <w:ind w:left="720"/>
      </w:pPr>
      <w:r>
        <w:rPr>
          <w:rFonts w:ascii="Times New Roman" w:eastAsia="Times New Roman"/>
        </w:rPr>
        <w:t>1</w:t>
      </w:r>
      <w:r>
        <w:rPr/>
        <w:t>、开放日及开放时间</w:t>
      </w:r>
    </w:p>
    <w:p>
      <w:pPr>
        <w:spacing w:after="0"/>
        <w:sectPr>
          <w:pgSz w:w="11910" w:h="16840"/>
          <w:pgMar w:header="701" w:footer="683" w:top="1420" w:bottom="880" w:left="1500" w:right="920"/>
        </w:sectPr>
      </w:pPr>
    </w:p>
    <w:p>
      <w:pPr>
        <w:pStyle w:val="BodyText"/>
        <w:spacing w:line="424" w:lineRule="auto" w:before="115"/>
        <w:ind w:left="300" w:right="871" w:firstLine="419"/>
        <w:jc w:val="both"/>
      </w:pPr>
      <w:r>
        <w:rPr>
          <w:spacing w:val="-7"/>
        </w:rPr>
        <w:t>本基金的开放日通常为上海证券交易所和深圳证券交易所交易日</w:t>
      </w:r>
      <w:r>
        <w:rPr/>
        <w:t>（</w:t>
      </w:r>
      <w:r>
        <w:rPr>
          <w:spacing w:val="-3"/>
        </w:rPr>
        <w:t>基金管理人公告暂停</w:t>
      </w:r>
      <w:r>
        <w:rPr>
          <w:spacing w:val="-3"/>
          <w:w w:val="100"/>
        </w:rPr>
        <w:t>申购、赎回等业务时除外</w:t>
      </w:r>
      <w:r>
        <w:rPr>
          <w:spacing w:val="-108"/>
          <w:w w:val="100"/>
        </w:rPr>
        <w:t>）</w:t>
      </w:r>
      <w:r>
        <w:rPr>
          <w:spacing w:val="-3"/>
          <w:w w:val="100"/>
        </w:rPr>
        <w:t>，投资者应当在开放日办理申购和赎回申请。具体业务办理时间</w:t>
      </w:r>
      <w:r>
        <w:rPr>
          <w:spacing w:val="-3"/>
        </w:rPr>
        <w:t>以销售机构公布时间为准。</w:t>
      </w:r>
    </w:p>
    <w:p>
      <w:pPr>
        <w:pStyle w:val="BodyText"/>
        <w:spacing w:line="424" w:lineRule="auto"/>
        <w:ind w:left="300" w:right="662" w:firstLine="419"/>
      </w:pPr>
      <w:r>
        <w:rPr>
          <w:spacing w:val="-7"/>
        </w:rPr>
        <w:t>若出现新的证券交易市场或交易所交易时间更改或实际情况需要，基金管理人可对申购、</w:t>
      </w:r>
      <w:r>
        <w:rPr>
          <w:spacing w:val="-8"/>
        </w:rPr>
        <w:t>赎回时间进行调整，但此项调整应在实施日 </w:t>
      </w:r>
      <w:r>
        <w:rPr>
          <w:rFonts w:ascii="Times New Roman" w:eastAsia="Times New Roman"/>
        </w:rPr>
        <w:t>2 </w:t>
      </w:r>
      <w:r>
        <w:rPr>
          <w:spacing w:val="-3"/>
        </w:rPr>
        <w:t>日前在规定媒介公告。</w:t>
      </w:r>
    </w:p>
    <w:p>
      <w:pPr>
        <w:pStyle w:val="BodyText"/>
        <w:ind w:left="720"/>
      </w:pPr>
      <w:r>
        <w:rPr>
          <w:rFonts w:ascii="Times New Roman" w:eastAsia="Times New Roman"/>
        </w:rPr>
        <w:t>2</w:t>
      </w:r>
      <w:r>
        <w:rPr/>
        <w:t>、申购、赎回的开始时间</w:t>
      </w:r>
    </w:p>
    <w:p>
      <w:pPr>
        <w:pStyle w:val="BodyText"/>
        <w:spacing w:before="10"/>
        <w:rPr>
          <w:sz w:val="15"/>
        </w:rPr>
      </w:pPr>
    </w:p>
    <w:p>
      <w:pPr>
        <w:pStyle w:val="BodyText"/>
        <w:spacing w:before="1"/>
        <w:ind w:left="720"/>
      </w:pPr>
      <w:r>
        <w:rPr/>
        <w:t>本基金</w:t>
      </w:r>
      <w:r>
        <w:rPr>
          <w:rFonts w:ascii="Times New Roman" w:eastAsia="Times New Roman"/>
        </w:rPr>
        <w:t>A </w:t>
      </w:r>
      <w:r>
        <w:rPr/>
        <w:t>类基金份额已于 </w:t>
      </w:r>
      <w:r>
        <w:rPr>
          <w:rFonts w:ascii="Times New Roman" w:eastAsia="Times New Roman"/>
        </w:rPr>
        <w:t>2009 </w:t>
      </w:r>
      <w:r>
        <w:rPr/>
        <w:t>年 </w:t>
      </w:r>
      <w:r>
        <w:rPr>
          <w:rFonts w:ascii="Times New Roman" w:eastAsia="Times New Roman"/>
        </w:rPr>
        <w:t>7 </w:t>
      </w:r>
      <w:r>
        <w:rPr/>
        <w:t>月 </w:t>
      </w:r>
      <w:r>
        <w:rPr>
          <w:rFonts w:ascii="Times New Roman" w:eastAsia="Times New Roman"/>
        </w:rPr>
        <w:t>31 </w:t>
      </w:r>
      <w:r>
        <w:rPr/>
        <w:t>日起开始办理日常赎回业务，于 </w:t>
      </w:r>
      <w:r>
        <w:rPr>
          <w:rFonts w:ascii="Times New Roman" w:eastAsia="Times New Roman"/>
        </w:rPr>
        <w:t>2009 </w:t>
      </w:r>
      <w:r>
        <w:rPr/>
        <w:t>年 </w:t>
      </w:r>
      <w:r>
        <w:rPr>
          <w:rFonts w:ascii="Times New Roman" w:eastAsia="Times New Roman"/>
        </w:rPr>
        <w:t>8 </w:t>
      </w:r>
      <w:r>
        <w:rPr/>
        <w:t>月</w:t>
      </w:r>
    </w:p>
    <w:p>
      <w:pPr>
        <w:pStyle w:val="BodyText"/>
        <w:spacing w:before="1"/>
        <w:rPr>
          <w:sz w:val="16"/>
        </w:rPr>
      </w:pPr>
    </w:p>
    <w:p>
      <w:pPr>
        <w:pStyle w:val="BodyText"/>
        <w:spacing w:line="424" w:lineRule="auto"/>
        <w:ind w:left="300" w:right="876"/>
      </w:pPr>
      <w:r>
        <w:rPr>
          <w:rFonts w:ascii="Times New Roman" w:eastAsia="Times New Roman"/>
        </w:rPr>
        <w:t>7 </w:t>
      </w:r>
      <w:r>
        <w:rPr>
          <w:spacing w:val="-5"/>
        </w:rPr>
        <w:t>日起开始办理日常申购及基金转换等业务；本基金 </w:t>
      </w:r>
      <w:r>
        <w:rPr>
          <w:rFonts w:ascii="Times New Roman" w:eastAsia="Times New Roman"/>
        </w:rPr>
        <w:t>C </w:t>
      </w:r>
      <w:r>
        <w:rPr>
          <w:spacing w:val="-9"/>
        </w:rPr>
        <w:t>类基金份额已于 </w:t>
      </w:r>
      <w:r>
        <w:rPr>
          <w:rFonts w:ascii="Times New Roman" w:eastAsia="Times New Roman"/>
        </w:rPr>
        <w:t>2018 </w:t>
      </w:r>
      <w:r>
        <w:rPr>
          <w:spacing w:val="-23"/>
        </w:rPr>
        <w:t>年 </w:t>
      </w:r>
      <w:r>
        <w:rPr>
          <w:rFonts w:ascii="Times New Roman" w:eastAsia="Times New Roman"/>
        </w:rPr>
        <w:t>2 </w:t>
      </w:r>
      <w:r>
        <w:rPr>
          <w:spacing w:val="-23"/>
        </w:rPr>
        <w:t>月 </w:t>
      </w:r>
      <w:r>
        <w:rPr>
          <w:rFonts w:ascii="Times New Roman" w:eastAsia="Times New Roman"/>
        </w:rPr>
        <w:t>2 </w:t>
      </w:r>
      <w:r>
        <w:rPr>
          <w:spacing w:val="-3"/>
        </w:rPr>
        <w:t>日起开始办理日常申购、赎回、转换转入、定期定额申购业务。</w:t>
      </w:r>
    </w:p>
    <w:p>
      <w:pPr>
        <w:pStyle w:val="BodyText"/>
        <w:spacing w:line="267" w:lineRule="exact"/>
        <w:ind w:left="720"/>
      </w:pPr>
      <w:r>
        <w:rPr/>
        <w:t>（五）申购与赎回的原则</w:t>
      </w:r>
    </w:p>
    <w:p>
      <w:pPr>
        <w:pStyle w:val="BodyText"/>
        <w:spacing w:before="1"/>
        <w:rPr>
          <w:sz w:val="16"/>
        </w:rPr>
      </w:pPr>
    </w:p>
    <w:p>
      <w:pPr>
        <w:pStyle w:val="BodyText"/>
        <w:spacing w:line="424" w:lineRule="auto" w:before="1"/>
        <w:ind w:left="300" w:right="874" w:firstLine="419"/>
      </w:pPr>
      <w:r>
        <w:rPr>
          <w:rFonts w:ascii="Times New Roman" w:hAnsi="Times New Roman" w:eastAsia="Times New Roman"/>
        </w:rPr>
        <w:t>1</w:t>
      </w:r>
      <w:r>
        <w:rPr/>
        <w:t>、“未知价”原则，即申购、赎回价格以申请当日收市后计算的基金份额净值为基准进行计算。</w:t>
      </w:r>
    </w:p>
    <w:p>
      <w:pPr>
        <w:pStyle w:val="BodyText"/>
        <w:spacing w:line="267" w:lineRule="exact"/>
        <w:ind w:left="720"/>
      </w:pPr>
      <w:r>
        <w:rPr>
          <w:rFonts w:ascii="Times New Roman" w:hAnsi="Times New Roman" w:eastAsia="Times New Roman"/>
        </w:rPr>
        <w:t>2</w:t>
      </w:r>
      <w:r>
        <w:rPr/>
        <w:t>、“金额申购、份额赎回”原则，即申购以金额申请，赎回以份额申请。</w:t>
      </w:r>
    </w:p>
    <w:p>
      <w:pPr>
        <w:pStyle w:val="BodyText"/>
        <w:spacing w:before="3"/>
        <w:rPr>
          <w:sz w:val="16"/>
        </w:rPr>
      </w:pPr>
    </w:p>
    <w:p>
      <w:pPr>
        <w:pStyle w:val="BodyText"/>
        <w:ind w:left="720"/>
      </w:pPr>
      <w:r>
        <w:rPr>
          <w:rFonts w:ascii="Times New Roman" w:hAnsi="Times New Roman" w:eastAsia="Times New Roman"/>
        </w:rPr>
        <w:t>3</w:t>
      </w:r>
      <w:r>
        <w:rPr/>
        <w:t>、赎回遵循“先进先出”的原则，即按照投资者认购、申购的先后次序进行顺序赎回。</w:t>
      </w:r>
    </w:p>
    <w:p>
      <w:pPr>
        <w:pStyle w:val="BodyText"/>
        <w:spacing w:before="1"/>
        <w:rPr>
          <w:sz w:val="16"/>
        </w:rPr>
      </w:pPr>
    </w:p>
    <w:p>
      <w:pPr>
        <w:pStyle w:val="BodyText"/>
        <w:spacing w:line="424" w:lineRule="auto" w:before="1"/>
        <w:ind w:left="300" w:right="874" w:firstLine="419"/>
      </w:pPr>
      <w:r>
        <w:rPr>
          <w:rFonts w:ascii="Times New Roman" w:eastAsia="Times New Roman"/>
        </w:rPr>
        <w:t>4</w:t>
      </w:r>
      <w:r>
        <w:rPr/>
        <w:t>、本基金份额分为多个类别，适用不同的申购费或销售服务费，投资者在申购时可自行选择基金份额类别。</w:t>
      </w:r>
    </w:p>
    <w:p>
      <w:pPr>
        <w:pStyle w:val="BodyText"/>
        <w:spacing w:line="424" w:lineRule="auto"/>
        <w:ind w:left="300" w:right="87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spacing w:line="267" w:lineRule="exact"/>
        <w:ind w:left="720"/>
      </w:pPr>
      <w:r>
        <w:rPr>
          <w:rFonts w:ascii="Times New Roman" w:eastAsia="Times New Roman"/>
        </w:rPr>
        <w:t>6</w:t>
      </w:r>
      <w:r>
        <w:rPr/>
        <w:t>、当日的申购与赎回申请可以在基金管理人规定的时间以内撤销。</w:t>
      </w:r>
    </w:p>
    <w:p>
      <w:pPr>
        <w:pStyle w:val="BodyText"/>
        <w:spacing w:before="11"/>
        <w:rPr>
          <w:sz w:val="15"/>
        </w:rPr>
      </w:pPr>
    </w:p>
    <w:p>
      <w:pPr>
        <w:pStyle w:val="BodyText"/>
        <w:spacing w:line="424" w:lineRule="auto"/>
        <w:ind w:left="300" w:right="871" w:firstLine="419"/>
        <w:jc w:val="both"/>
      </w:pPr>
      <w:r>
        <w:rPr>
          <w:rFonts w:ascii="Times New Roman" w:eastAsia="Times New Roman"/>
        </w:rPr>
        <w:t>7</w:t>
      </w:r>
      <w:r>
        <w:rPr>
          <w:spacing w:val="-3"/>
        </w:rPr>
        <w:t>、基金管理人可根据基金运作的实际情况并在不影响基金份额持有人实质利益的前提</w:t>
      </w:r>
      <w:r>
        <w:rPr>
          <w:spacing w:val="-10"/>
        </w:rPr>
        <w:t>下调整上述原则。基金管理人必须在新规则开始实施前按照《信息披露办法》的有关规定在</w:t>
      </w:r>
      <w:r>
        <w:rPr>
          <w:spacing w:val="-5"/>
        </w:rPr>
        <w:t>规定媒介公告。</w:t>
      </w:r>
    </w:p>
    <w:p>
      <w:pPr>
        <w:pStyle w:val="BodyText"/>
        <w:ind w:left="720"/>
      </w:pPr>
      <w:r>
        <w:rPr/>
        <w:t>（六）申购与赎回的数额限制</w:t>
      </w:r>
    </w:p>
    <w:p>
      <w:pPr>
        <w:pStyle w:val="BodyText"/>
        <w:spacing w:before="1"/>
        <w:rPr>
          <w:sz w:val="16"/>
        </w:rPr>
      </w:pPr>
    </w:p>
    <w:p>
      <w:pPr>
        <w:pStyle w:val="BodyText"/>
        <w:spacing w:line="424" w:lineRule="auto"/>
        <w:ind w:left="300" w:right="769" w:firstLine="419"/>
      </w:pPr>
      <w:r>
        <w:rPr>
          <w:rFonts w:ascii="Times New Roman" w:eastAsia="Times New Roman"/>
        </w:rPr>
        <w:t>1</w:t>
      </w:r>
      <w:r>
        <w:rPr>
          <w:spacing w:val="-3"/>
        </w:rPr>
        <w:t>、投资者通过直销机构或华夏财富办理本基金的申购及赎回业务，每次最低申购金额为</w:t>
      </w:r>
      <w:r>
        <w:rPr>
          <w:rFonts w:ascii="Times New Roman" w:eastAsia="Times New Roman"/>
          <w:spacing w:val="-3"/>
        </w:rPr>
        <w:t>1.00</w:t>
      </w:r>
      <w:r>
        <w:rPr>
          <w:spacing w:val="-32"/>
        </w:rPr>
        <w:t>元</w:t>
      </w:r>
      <w:r>
        <w:rPr>
          <w:spacing w:val="-3"/>
        </w:rPr>
        <w:t>（含申购费</w:t>
      </w:r>
      <w:r>
        <w:rPr>
          <w:spacing w:val="-70"/>
        </w:rPr>
        <w:t>）</w:t>
      </w:r>
      <w:r>
        <w:rPr>
          <w:spacing w:val="-10"/>
        </w:rPr>
        <w:t>，每次赎回申请不得低于</w:t>
      </w:r>
      <w:r>
        <w:rPr>
          <w:rFonts w:ascii="Times New Roman" w:eastAsia="Times New Roman"/>
        </w:rPr>
        <w:t>1.00</w:t>
      </w:r>
      <w:r>
        <w:rPr>
          <w:spacing w:val="-7"/>
        </w:rPr>
        <w:t>份基金份额。基金份额持有人赎回时或赎回后在直销机构或华夏财富保留的基金份额余额不足</w:t>
      </w:r>
      <w:r>
        <w:rPr>
          <w:rFonts w:ascii="Times New Roman" w:eastAsia="Times New Roman"/>
        </w:rPr>
        <w:t>1.00</w:t>
      </w:r>
      <w:r>
        <w:rPr>
          <w:spacing w:val="-1"/>
        </w:rPr>
        <w:t>份的，在赎回时需一次全部赎回。</w:t>
      </w:r>
      <w:r>
        <w:rPr>
          <w:spacing w:val="-3"/>
        </w:rPr>
        <w:t>具体业务办理请遵循基金管理人直销机构及华夏财富的相关规定。</w:t>
      </w:r>
      <w:r>
        <w:rPr/>
        <w:t> </w:t>
      </w:r>
    </w:p>
    <w:p>
      <w:pPr>
        <w:pStyle w:val="BodyText"/>
        <w:spacing w:line="424" w:lineRule="auto"/>
        <w:ind w:left="300" w:right="871" w:firstLine="419"/>
      </w:pPr>
      <w:r>
        <w:rPr>
          <w:rFonts w:ascii="Times New Roman" w:eastAsia="Times New Roman"/>
        </w:rPr>
        <w:t>2</w:t>
      </w:r>
      <w:r>
        <w:rPr>
          <w:spacing w:val="-3"/>
        </w:rPr>
        <w:t>、投资者通过其他代销机构办理本基金的申购及赎回业务，每次最低申购金额、每次</w:t>
      </w:r>
      <w:r>
        <w:rPr>
          <w:spacing w:val="-8"/>
        </w:rPr>
        <w:t>最低赎回份额、基金份额持有人赎回时或赎回后在该代销机构</w:t>
      </w:r>
      <w:r>
        <w:rPr>
          <w:spacing w:val="-3"/>
        </w:rPr>
        <w:t>（</w:t>
      </w:r>
      <w:r>
        <w:rPr>
          <w:spacing w:val="-2"/>
        </w:rPr>
        <w:t>网点</w:t>
      </w:r>
      <w:r>
        <w:rPr>
          <w:spacing w:val="-32"/>
        </w:rPr>
        <w:t>）</w:t>
      </w:r>
      <w:r>
        <w:rPr>
          <w:spacing w:val="-3"/>
        </w:rPr>
        <w:t>保留的最低基金份额</w:t>
      </w:r>
    </w:p>
    <w:p>
      <w:pPr>
        <w:spacing w:after="0" w:line="424" w:lineRule="auto"/>
        <w:sectPr>
          <w:pgSz w:w="11910" w:h="16840"/>
          <w:pgMar w:header="701" w:footer="683" w:top="1420" w:bottom="880" w:left="1500" w:right="920"/>
        </w:sectPr>
      </w:pPr>
    </w:p>
    <w:p>
      <w:pPr>
        <w:pStyle w:val="BodyText"/>
        <w:spacing w:before="115"/>
        <w:ind w:left="300"/>
      </w:pPr>
      <w:r>
        <w:rPr/>
        <w:t>余额以各代销机构的规定为准。具体业务办理请遵循各代销机构的相关规定。</w:t>
      </w:r>
    </w:p>
    <w:p>
      <w:pPr>
        <w:pStyle w:val="BodyText"/>
        <w:rPr>
          <w:sz w:val="16"/>
        </w:rPr>
      </w:pPr>
    </w:p>
    <w:p>
      <w:pPr>
        <w:pStyle w:val="BodyText"/>
        <w:spacing w:line="424" w:lineRule="auto" w:before="1"/>
        <w:ind w:left="300" w:right="87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24" w:lineRule="auto"/>
        <w:ind w:left="300" w:right="871" w:firstLine="419"/>
        <w:jc w:val="both"/>
      </w:pPr>
      <w:r>
        <w:rPr>
          <w:rFonts w:ascii="Times New Roman" w:eastAsia="Times New Roman"/>
        </w:rPr>
        <w:t>4</w:t>
      </w:r>
      <w:r>
        <w:rPr>
          <w:spacing w:val="-3"/>
        </w:rPr>
        <w:t>、基金管理人可根据市场情况，在法律法规允许的情况下，调整上述对申购的金额和</w:t>
      </w:r>
      <w:r>
        <w:rPr>
          <w:spacing w:val="-9"/>
        </w:rPr>
        <w:t>赎回的份额的数量限制，基金管理人必须在调整生效前依照《信息披露办法》的有关规定在</w:t>
      </w:r>
      <w:r>
        <w:rPr>
          <w:spacing w:val="-5"/>
        </w:rPr>
        <w:t>规定媒介公告。</w:t>
      </w:r>
    </w:p>
    <w:p>
      <w:pPr>
        <w:pStyle w:val="BodyText"/>
        <w:ind w:left="720"/>
      </w:pPr>
      <w:r>
        <w:rPr/>
        <w:t>（七）申购与赎回的程序</w:t>
      </w:r>
    </w:p>
    <w:p>
      <w:pPr>
        <w:pStyle w:val="BodyText"/>
        <w:spacing w:before="10"/>
        <w:rPr>
          <w:sz w:val="15"/>
        </w:rPr>
      </w:pPr>
    </w:p>
    <w:p>
      <w:pPr>
        <w:pStyle w:val="BodyText"/>
        <w:ind w:left="720"/>
      </w:pPr>
      <w:r>
        <w:rPr>
          <w:rFonts w:ascii="Times New Roman" w:eastAsia="Times New Roman"/>
        </w:rPr>
        <w:t>1</w:t>
      </w:r>
      <w:r>
        <w:rPr/>
        <w:t>、申购和赎回的申请方式</w:t>
      </w:r>
    </w:p>
    <w:p>
      <w:pPr>
        <w:pStyle w:val="BodyText"/>
        <w:spacing w:before="1"/>
        <w:rPr>
          <w:sz w:val="16"/>
        </w:rPr>
      </w:pPr>
    </w:p>
    <w:p>
      <w:pPr>
        <w:pStyle w:val="BodyText"/>
        <w:spacing w:line="424" w:lineRule="auto"/>
        <w:ind w:left="300" w:right="871" w:firstLine="419"/>
      </w:pPr>
      <w:r>
        <w:rPr>
          <w:spacing w:val="-8"/>
        </w:rPr>
        <w:t>基金投资者必须根据基金销售机构规定的程序，在开放日的业务办理时间向基金销售机</w:t>
      </w:r>
      <w:r>
        <w:rPr>
          <w:spacing w:val="-5"/>
        </w:rPr>
        <w:t>构提出申购或赎回的申请。</w:t>
      </w:r>
    </w:p>
    <w:p>
      <w:pPr>
        <w:pStyle w:val="BodyText"/>
        <w:spacing w:line="424" w:lineRule="auto"/>
        <w:ind w:left="300" w:right="871" w:firstLine="419"/>
      </w:pPr>
      <w:r>
        <w:rPr>
          <w:spacing w:val="-7"/>
        </w:rPr>
        <w:t>投资者在申购本基金时须按销售机构规定的方式备足申购资金，投资者在提交赎回申请</w:t>
      </w:r>
      <w:r>
        <w:rPr>
          <w:spacing w:val="-5"/>
        </w:rPr>
        <w:t>时，必须有足够的基金份额余额，否则所提交的申购、赎回的申请无效而不予成交。</w:t>
      </w:r>
    </w:p>
    <w:p>
      <w:pPr>
        <w:pStyle w:val="BodyText"/>
        <w:ind w:left="720"/>
      </w:pPr>
      <w:r>
        <w:rPr>
          <w:rFonts w:ascii="Times New Roman" w:eastAsia="Times New Roman"/>
        </w:rPr>
        <w:t>2</w:t>
      </w:r>
      <w:r>
        <w:rPr/>
        <w:t>、申购和赎回申请的确认</w:t>
      </w:r>
    </w:p>
    <w:p>
      <w:pPr>
        <w:pStyle w:val="BodyText"/>
        <w:rPr>
          <w:sz w:val="16"/>
        </w:rPr>
      </w:pPr>
    </w:p>
    <w:p>
      <w:pPr>
        <w:pStyle w:val="BodyText"/>
        <w:spacing w:line="424" w:lineRule="auto"/>
        <w:ind w:left="300" w:right="871" w:firstLine="419"/>
        <w:jc w:val="both"/>
      </w:pPr>
      <w:r>
        <w:rPr>
          <w:rFonts w:ascii="Times New Roman" w:eastAsia="Times New Roman"/>
        </w:rPr>
        <w:t>T </w:t>
      </w:r>
      <w:r>
        <w:rPr>
          <w:spacing w:val="-13"/>
        </w:rPr>
        <w:t>日规定时间受理的申请，正常情况下，基金登记结算机构在 </w:t>
      </w:r>
      <w:r>
        <w:rPr>
          <w:rFonts w:ascii="Times New Roman" w:eastAsia="Times New Roman"/>
        </w:rPr>
        <w:t>T+1 </w:t>
      </w:r>
      <w:r>
        <w:rPr>
          <w:spacing w:val="-3"/>
        </w:rPr>
        <w:t>日内为投资者对该交</w:t>
      </w:r>
      <w:r>
        <w:rPr/>
        <w:t>易的有效性进行确认，在</w:t>
      </w:r>
      <w:r>
        <w:rPr>
          <w:rFonts w:ascii="Times New Roman" w:eastAsia="Times New Roman"/>
        </w:rPr>
        <w:t>T</w:t>
      </w:r>
      <w:r>
        <w:rPr/>
        <w:t>＋</w:t>
      </w:r>
      <w:r>
        <w:rPr>
          <w:rFonts w:ascii="Times New Roman" w:eastAsia="Times New Roman"/>
        </w:rPr>
        <w:t>2 </w:t>
      </w:r>
      <w:r>
        <w:rPr>
          <w:spacing w:val="-4"/>
        </w:rPr>
        <w:t>日后</w:t>
      </w:r>
      <w:r>
        <w:rPr/>
        <w:t>（</w:t>
      </w:r>
      <w:r>
        <w:rPr>
          <w:spacing w:val="-3"/>
        </w:rPr>
        <w:t>包括该日</w:t>
      </w:r>
      <w:r>
        <w:rPr>
          <w:spacing w:val="-5"/>
        </w:rPr>
        <w:t>）</w:t>
      </w:r>
      <w:r>
        <w:rPr>
          <w:spacing w:val="-3"/>
        </w:rPr>
        <w:t>投资者应向销售机构或以销售机构规定的其他方式查询申购与赎回的成交情况。</w:t>
      </w:r>
    </w:p>
    <w:p>
      <w:pPr>
        <w:pStyle w:val="BodyText"/>
        <w:spacing w:line="424" w:lineRule="auto"/>
        <w:ind w:left="300" w:right="871" w:firstLine="419"/>
      </w:pPr>
      <w:r>
        <w:rPr>
          <w:spacing w:val="-7"/>
        </w:rPr>
        <w:t>基金销售机构申购申请的受理并不代表该申请一定成功，而仅代表销售机构确实接收到</w:t>
      </w:r>
      <w:r>
        <w:rPr>
          <w:spacing w:val="-5"/>
        </w:rPr>
        <w:t>申购申请。申购的确认以基金登记结算机构或基金管理公司的确认结果为准。</w:t>
      </w:r>
    </w:p>
    <w:p>
      <w:pPr>
        <w:pStyle w:val="BodyText"/>
        <w:spacing w:line="267" w:lineRule="exact"/>
        <w:ind w:left="720"/>
      </w:pPr>
      <w:r>
        <w:rPr>
          <w:rFonts w:ascii="Times New Roman" w:eastAsia="Times New Roman"/>
        </w:rPr>
        <w:t>3</w:t>
      </w:r>
      <w:r>
        <w:rPr/>
        <w:t>、申购和赎回的款项支付</w:t>
      </w:r>
    </w:p>
    <w:p>
      <w:pPr>
        <w:pStyle w:val="BodyText"/>
        <w:spacing w:before="11"/>
        <w:rPr>
          <w:sz w:val="15"/>
        </w:rPr>
      </w:pPr>
    </w:p>
    <w:p>
      <w:pPr>
        <w:pStyle w:val="BodyText"/>
        <w:spacing w:line="427" w:lineRule="auto"/>
        <w:ind w:left="300" w:right="871" w:firstLine="419"/>
      </w:pPr>
      <w:r>
        <w:rPr>
          <w:spacing w:val="-10"/>
        </w:rPr>
        <w:t>申购采用全额缴款方式，若申购资金在规定时间内未全额到账则申购不成功，若申购不</w:t>
      </w:r>
      <w:r>
        <w:rPr>
          <w:spacing w:val="-5"/>
        </w:rPr>
        <w:t>成功或无效，申购款项将退回投资者账户。</w:t>
      </w:r>
    </w:p>
    <w:p>
      <w:pPr>
        <w:pStyle w:val="BodyText"/>
        <w:spacing w:line="424" w:lineRule="auto"/>
        <w:ind w:left="300" w:right="871" w:firstLine="419"/>
        <w:jc w:val="both"/>
      </w:pPr>
      <w:r>
        <w:rPr>
          <w:spacing w:val="2"/>
        </w:rPr>
        <w:t>投资者 </w:t>
      </w:r>
      <w:r>
        <w:rPr>
          <w:rFonts w:ascii="Times New Roman" w:eastAsia="Times New Roman"/>
        </w:rPr>
        <w:t>T </w:t>
      </w:r>
      <w:r>
        <w:rPr>
          <w:spacing w:val="-3"/>
        </w:rPr>
        <w:t>日赎回申请成功后，基金管理人将通过基金登记结算机构及其相关基金销售</w:t>
      </w:r>
      <w:r>
        <w:rPr>
          <w:spacing w:val="-11"/>
        </w:rPr>
        <w:t>机构在 </w:t>
      </w:r>
      <w:r>
        <w:rPr>
          <w:rFonts w:ascii="Times New Roman" w:eastAsia="Times New Roman"/>
        </w:rPr>
        <w:t>T</w:t>
      </w:r>
      <w:r>
        <w:rPr/>
        <w:t>＋</w:t>
      </w:r>
      <w:r>
        <w:rPr>
          <w:rFonts w:ascii="Times New Roman" w:eastAsia="Times New Roman"/>
        </w:rPr>
        <w:t>7 </w:t>
      </w:r>
      <w:r>
        <w:rPr>
          <w:spacing w:val="-5"/>
        </w:rPr>
        <w:t>日</w:t>
      </w:r>
      <w:r>
        <w:rPr/>
        <w:t>（</w:t>
      </w:r>
      <w:r>
        <w:rPr>
          <w:spacing w:val="-3"/>
        </w:rPr>
        <w:t>包括该日</w:t>
      </w:r>
      <w:r>
        <w:rPr>
          <w:spacing w:val="-5"/>
        </w:rPr>
        <w:t>）</w:t>
      </w:r>
      <w:r>
        <w:rPr>
          <w:spacing w:val="-4"/>
        </w:rPr>
        <w:t>内将赎回款项划往基金份额持有人账户。在发生巨额赎回的情</w:t>
      </w:r>
      <w:r>
        <w:rPr>
          <w:spacing w:val="-3"/>
        </w:rPr>
        <w:t>形时，款项的支付办法参照《基金合同》的有关条款处理。</w:t>
      </w:r>
    </w:p>
    <w:p>
      <w:pPr>
        <w:pStyle w:val="BodyText"/>
        <w:spacing w:line="266" w:lineRule="exact"/>
        <w:ind w:left="720"/>
      </w:pPr>
      <w:r>
        <w:rPr/>
        <w:t>基金管理人可以在法律法规允许的范围内，对上述业务办理时间进行调整，并提前公告。</w:t>
      </w:r>
    </w:p>
    <w:p>
      <w:pPr>
        <w:pStyle w:val="BodyText"/>
        <w:spacing w:before="9"/>
        <w:rPr>
          <w:sz w:val="15"/>
        </w:rPr>
      </w:pPr>
    </w:p>
    <w:p>
      <w:pPr>
        <w:pStyle w:val="BodyText"/>
        <w:spacing w:before="1"/>
        <w:ind w:left="720"/>
      </w:pPr>
      <w:r>
        <w:rPr/>
        <w:t>（八）申购费与赎回费</w:t>
      </w:r>
    </w:p>
    <w:p>
      <w:pPr>
        <w:pStyle w:val="BodyText"/>
        <w:spacing w:before="1"/>
        <w:rPr>
          <w:sz w:val="16"/>
        </w:rPr>
      </w:pPr>
    </w:p>
    <w:p>
      <w:pPr>
        <w:pStyle w:val="BodyText"/>
        <w:ind w:left="720"/>
      </w:pPr>
      <w:r>
        <w:rPr>
          <w:rFonts w:ascii="Times New Roman" w:eastAsia="Times New Roman"/>
        </w:rPr>
        <w:t>1</w:t>
      </w:r>
      <w:r>
        <w:rPr/>
        <w:t>、本基金申购费由申购人承担，用于市场推广、销售、登记结算等各项费用。</w:t>
      </w:r>
    </w:p>
    <w:p>
      <w:pPr>
        <w:pStyle w:val="BodyText"/>
        <w:spacing w:before="1"/>
        <w:rPr>
          <w:sz w:val="16"/>
        </w:rPr>
      </w:pPr>
    </w:p>
    <w:p>
      <w:pPr>
        <w:pStyle w:val="ListParagraph"/>
        <w:numPr>
          <w:ilvl w:val="0"/>
          <w:numId w:val="13"/>
        </w:numPr>
        <w:tabs>
          <w:tab w:pos="1250" w:val="left" w:leader="none"/>
        </w:tabs>
        <w:spacing w:line="240" w:lineRule="auto" w:before="0" w:after="0"/>
        <w:ind w:left="1249" w:right="0" w:hanging="530"/>
        <w:jc w:val="left"/>
        <w:rPr>
          <w:sz w:val="21"/>
        </w:rPr>
      </w:pPr>
      <w:r>
        <w:rPr>
          <w:spacing w:val="-6"/>
          <w:sz w:val="21"/>
        </w:rPr>
        <w:t>对于 </w:t>
      </w:r>
      <w:r>
        <w:rPr>
          <w:rFonts w:ascii="Times New Roman" w:eastAsia="Times New Roman"/>
          <w:sz w:val="21"/>
        </w:rPr>
        <w:t>A</w:t>
      </w:r>
      <w:r>
        <w:rPr>
          <w:rFonts w:ascii="Times New Roman" w:eastAsia="Times New Roman"/>
          <w:spacing w:val="37"/>
          <w:sz w:val="21"/>
        </w:rPr>
        <w:t> </w:t>
      </w:r>
      <w:r>
        <w:rPr>
          <w:spacing w:val="-3"/>
          <w:sz w:val="21"/>
        </w:rPr>
        <w:t>类基金份额，投资者在申购时需交纳前端申购费，费率按申购金额递减，</w:t>
      </w:r>
    </w:p>
    <w:p>
      <w:pPr>
        <w:spacing w:after="0" w:line="240" w:lineRule="auto"/>
        <w:jc w:val="left"/>
        <w:rPr>
          <w:sz w:val="21"/>
        </w:rPr>
        <w:sectPr>
          <w:pgSz w:w="11910" w:h="16840"/>
          <w:pgMar w:header="701" w:footer="683" w:top="1420" w:bottom="880" w:left="1500" w:right="920"/>
        </w:sectPr>
      </w:pPr>
    </w:p>
    <w:p>
      <w:pPr>
        <w:pStyle w:val="BodyText"/>
        <w:spacing w:before="115"/>
        <w:ind w:left="300"/>
      </w:pPr>
      <w:r>
        <w:rPr/>
        <w:pict>
          <v:group style="position:absolute;margin-left:148.580002pt;margin-top:25.849993pt;width:298.3pt;height:121.95pt;mso-position-horizontal-relative:page;mso-position-vertical-relative:paragraph;z-index:-261687296" coordorigin="2972,517" coordsize="5966,2439">
            <v:shape style="position:absolute;left:7244;top:517;width:10;height:476" type="#_x0000_t75" stroked="false">
              <v:imagedata r:id="rId209" o:title=""/>
            </v:shape>
            <v:shape style="position:absolute;left:7244;top:992;width:10;height:32" type="#_x0000_t75" stroked="false">
              <v:imagedata r:id="rId210" o:title=""/>
            </v:shape>
            <v:shape style="position:absolute;left:2971;top:1023;width:5966;height:1932" type="#_x0000_t75" stroked="false">
              <v:imagedata r:id="rId211" o:title=""/>
            </v:shape>
            <w10:wrap type="none"/>
          </v:group>
        </w:pict>
      </w:r>
      <w:r>
        <w:rPr/>
        <w:t>具体如下：</w:t>
      </w:r>
    </w:p>
    <w:p>
      <w:pPr>
        <w:pStyle w:val="BodyText"/>
        <w:spacing w:before="11" w:after="1"/>
        <w:rPr>
          <w:sz w:val="7"/>
        </w:rPr>
      </w:pPr>
    </w:p>
    <w:tbl>
      <w:tblPr>
        <w:tblW w:w="0" w:type="auto"/>
        <w:jc w:val="left"/>
        <w:tblInd w:w="1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6"/>
        <w:gridCol w:w="1686"/>
      </w:tblGrid>
      <w:tr>
        <w:trPr>
          <w:trHeight w:val="476" w:hRule="atLeast"/>
        </w:trPr>
        <w:tc>
          <w:tcPr>
            <w:tcW w:w="4286" w:type="dxa"/>
            <w:tcBorders>
              <w:top w:val="single" w:sz="12" w:space="0" w:color="000000"/>
              <w:bottom w:val="single" w:sz="12" w:space="0" w:color="000000"/>
            </w:tcBorders>
          </w:tcPr>
          <w:p>
            <w:pPr>
              <w:pStyle w:val="TableParagraph"/>
              <w:spacing w:before="106"/>
              <w:ind w:left="1092"/>
              <w:rPr>
                <w:b/>
                <w:sz w:val="21"/>
              </w:rPr>
            </w:pPr>
            <w:r>
              <w:rPr>
                <w:b/>
                <w:sz w:val="21"/>
              </w:rPr>
              <w:t>申购金额（含申购费）</w:t>
            </w:r>
          </w:p>
        </w:tc>
        <w:tc>
          <w:tcPr>
            <w:tcW w:w="1686" w:type="dxa"/>
            <w:tcBorders>
              <w:top w:val="single" w:sz="12" w:space="0" w:color="000000"/>
              <w:bottom w:val="single" w:sz="12" w:space="0" w:color="000000"/>
            </w:tcBorders>
          </w:tcPr>
          <w:p>
            <w:pPr>
              <w:pStyle w:val="TableParagraph"/>
              <w:spacing w:before="106"/>
              <w:ind w:left="62" w:right="61"/>
              <w:jc w:val="center"/>
              <w:rPr>
                <w:b/>
                <w:sz w:val="21"/>
              </w:rPr>
            </w:pPr>
            <w:r>
              <w:rPr>
                <w:b/>
                <w:sz w:val="21"/>
              </w:rPr>
              <w:t>前端申购费率</w:t>
            </w:r>
          </w:p>
        </w:tc>
      </w:tr>
      <w:tr>
        <w:trPr>
          <w:trHeight w:val="484" w:hRule="atLeast"/>
        </w:trPr>
        <w:tc>
          <w:tcPr>
            <w:tcW w:w="4286" w:type="dxa"/>
            <w:tcBorders>
              <w:top w:val="single" w:sz="12" w:space="0" w:color="000000"/>
            </w:tcBorders>
          </w:tcPr>
          <w:p>
            <w:pPr>
              <w:pStyle w:val="TableParagraph"/>
              <w:spacing w:before="104"/>
              <w:ind w:left="1522" w:right="1516"/>
              <w:jc w:val="center"/>
              <w:rPr>
                <w:sz w:val="21"/>
              </w:rPr>
            </w:pPr>
            <w:r>
              <w:rPr>
                <w:rFonts w:ascii="Times New Roman" w:eastAsia="Times New Roman"/>
                <w:sz w:val="21"/>
              </w:rPr>
              <w:t>100 </w:t>
            </w:r>
            <w:r>
              <w:rPr>
                <w:sz w:val="21"/>
              </w:rPr>
              <w:t>万元以下</w:t>
            </w:r>
          </w:p>
        </w:tc>
        <w:tc>
          <w:tcPr>
            <w:tcW w:w="1686" w:type="dxa"/>
            <w:tcBorders>
              <w:top w:val="single" w:sz="12" w:space="0" w:color="000000"/>
            </w:tcBorders>
          </w:tcPr>
          <w:p>
            <w:pPr>
              <w:pStyle w:val="TableParagraph"/>
              <w:spacing w:before="115"/>
              <w:ind w:left="61" w:right="61"/>
              <w:jc w:val="center"/>
              <w:rPr>
                <w:rFonts w:ascii="Times New Roman"/>
                <w:sz w:val="21"/>
              </w:rPr>
            </w:pPr>
            <w:r>
              <w:rPr>
                <w:rFonts w:ascii="Times New Roman"/>
                <w:sz w:val="21"/>
              </w:rPr>
              <w:t>1.2%</w:t>
            </w:r>
          </w:p>
        </w:tc>
      </w:tr>
      <w:tr>
        <w:trPr>
          <w:trHeight w:val="485" w:hRule="atLeast"/>
        </w:trPr>
        <w:tc>
          <w:tcPr>
            <w:tcW w:w="4286" w:type="dxa"/>
          </w:tcPr>
          <w:p>
            <w:pPr>
              <w:pStyle w:val="TableParagraph"/>
              <w:spacing w:before="106"/>
              <w:ind w:right="157"/>
              <w:jc w:val="right"/>
              <w:rPr>
                <w:sz w:val="21"/>
              </w:rPr>
            </w:pPr>
            <w:r>
              <w:rPr>
                <w:rFonts w:ascii="Times New Roman" w:eastAsia="Times New Roman"/>
                <w:sz w:val="21"/>
              </w:rPr>
              <w:t>100 </w:t>
            </w:r>
            <w:r>
              <w:rPr>
                <w:sz w:val="21"/>
              </w:rPr>
              <w:t>万元以上（含 </w:t>
            </w:r>
            <w:r>
              <w:rPr>
                <w:rFonts w:ascii="Times New Roman" w:eastAsia="Times New Roman"/>
                <w:sz w:val="21"/>
              </w:rPr>
              <w:t>100 </w:t>
            </w:r>
            <w:r>
              <w:rPr>
                <w:sz w:val="21"/>
              </w:rPr>
              <w:t>万元）</w:t>
            </w:r>
            <w:r>
              <w:rPr>
                <w:rFonts w:ascii="Times New Roman" w:eastAsia="Times New Roman"/>
                <w:sz w:val="21"/>
              </w:rPr>
              <w:t>-500 </w:t>
            </w:r>
            <w:r>
              <w:rPr>
                <w:sz w:val="21"/>
              </w:rPr>
              <w:t>万元以下</w:t>
            </w:r>
          </w:p>
        </w:tc>
        <w:tc>
          <w:tcPr>
            <w:tcW w:w="1686" w:type="dxa"/>
          </w:tcPr>
          <w:p>
            <w:pPr>
              <w:pStyle w:val="TableParagraph"/>
              <w:spacing w:before="117"/>
              <w:ind w:left="61" w:right="61"/>
              <w:jc w:val="center"/>
              <w:rPr>
                <w:rFonts w:ascii="Times New Roman"/>
                <w:sz w:val="21"/>
              </w:rPr>
            </w:pPr>
            <w:r>
              <w:rPr>
                <w:rFonts w:ascii="Times New Roman"/>
                <w:sz w:val="21"/>
              </w:rPr>
              <w:t>0.9%</w:t>
            </w:r>
          </w:p>
        </w:tc>
      </w:tr>
      <w:tr>
        <w:trPr>
          <w:trHeight w:val="485" w:hRule="atLeast"/>
        </w:trPr>
        <w:tc>
          <w:tcPr>
            <w:tcW w:w="4286" w:type="dxa"/>
          </w:tcPr>
          <w:p>
            <w:pPr>
              <w:pStyle w:val="TableParagraph"/>
              <w:spacing w:before="105"/>
              <w:ind w:right="104"/>
              <w:jc w:val="right"/>
              <w:rPr>
                <w:sz w:val="21"/>
              </w:rPr>
            </w:pPr>
            <w:r>
              <w:rPr>
                <w:rFonts w:ascii="Times New Roman" w:eastAsia="Times New Roman"/>
                <w:sz w:val="21"/>
              </w:rPr>
              <w:t>500 </w:t>
            </w:r>
            <w:r>
              <w:rPr>
                <w:sz w:val="21"/>
              </w:rPr>
              <w:t>万元以上（含 </w:t>
            </w:r>
            <w:r>
              <w:rPr>
                <w:rFonts w:ascii="Times New Roman" w:eastAsia="Times New Roman"/>
                <w:sz w:val="21"/>
              </w:rPr>
              <w:t>500 </w:t>
            </w:r>
            <w:r>
              <w:rPr>
                <w:sz w:val="21"/>
              </w:rPr>
              <w:t>万元）</w:t>
            </w:r>
            <w:r>
              <w:rPr>
                <w:rFonts w:ascii="Times New Roman" w:eastAsia="Times New Roman"/>
                <w:sz w:val="21"/>
              </w:rPr>
              <w:t>-1000 </w:t>
            </w:r>
            <w:r>
              <w:rPr>
                <w:sz w:val="21"/>
              </w:rPr>
              <w:t>万元以下</w:t>
            </w:r>
          </w:p>
        </w:tc>
        <w:tc>
          <w:tcPr>
            <w:tcW w:w="1686" w:type="dxa"/>
          </w:tcPr>
          <w:p>
            <w:pPr>
              <w:pStyle w:val="TableParagraph"/>
              <w:spacing w:before="116"/>
              <w:ind w:left="61" w:right="61"/>
              <w:jc w:val="center"/>
              <w:rPr>
                <w:rFonts w:ascii="Times New Roman"/>
                <w:sz w:val="21"/>
              </w:rPr>
            </w:pPr>
            <w:r>
              <w:rPr>
                <w:rFonts w:ascii="Times New Roman"/>
                <w:sz w:val="21"/>
              </w:rPr>
              <w:t>0.6%</w:t>
            </w:r>
          </w:p>
        </w:tc>
      </w:tr>
      <w:tr>
        <w:trPr>
          <w:trHeight w:val="476" w:hRule="atLeast"/>
        </w:trPr>
        <w:tc>
          <w:tcPr>
            <w:tcW w:w="4286" w:type="dxa"/>
            <w:tcBorders>
              <w:bottom w:val="single" w:sz="12" w:space="0" w:color="000000"/>
            </w:tcBorders>
          </w:tcPr>
          <w:p>
            <w:pPr>
              <w:pStyle w:val="TableParagraph"/>
              <w:spacing w:before="103"/>
              <w:ind w:left="700"/>
              <w:rPr>
                <w:sz w:val="21"/>
              </w:rPr>
            </w:pPr>
            <w:r>
              <w:rPr>
                <w:rFonts w:ascii="Times New Roman" w:eastAsia="Times New Roman"/>
                <w:sz w:val="21"/>
              </w:rPr>
              <w:t>1000 </w:t>
            </w:r>
            <w:r>
              <w:rPr>
                <w:sz w:val="21"/>
              </w:rPr>
              <w:t>万元以上（含 </w:t>
            </w:r>
            <w:r>
              <w:rPr>
                <w:rFonts w:ascii="Times New Roman" w:eastAsia="Times New Roman"/>
                <w:sz w:val="21"/>
              </w:rPr>
              <w:t>1000 </w:t>
            </w:r>
            <w:r>
              <w:rPr>
                <w:sz w:val="21"/>
              </w:rPr>
              <w:t>万元）</w:t>
            </w:r>
          </w:p>
        </w:tc>
        <w:tc>
          <w:tcPr>
            <w:tcW w:w="1686" w:type="dxa"/>
            <w:tcBorders>
              <w:bottom w:val="single" w:sz="12" w:space="0" w:color="000000"/>
            </w:tcBorders>
          </w:tcPr>
          <w:p>
            <w:pPr>
              <w:pStyle w:val="TableParagraph"/>
              <w:spacing w:before="103"/>
              <w:ind w:left="62" w:right="61"/>
              <w:jc w:val="center"/>
              <w:rPr>
                <w:sz w:val="21"/>
              </w:rPr>
            </w:pPr>
            <w:r>
              <w:rPr>
                <w:sz w:val="21"/>
              </w:rPr>
              <w:t>每笔 </w:t>
            </w:r>
            <w:r>
              <w:rPr>
                <w:rFonts w:ascii="Times New Roman" w:eastAsia="Times New Roman"/>
                <w:sz w:val="21"/>
              </w:rPr>
              <w:t>1,000.00 </w:t>
            </w:r>
            <w:r>
              <w:rPr>
                <w:sz w:val="21"/>
              </w:rPr>
              <w:t>元</w:t>
            </w:r>
          </w:p>
        </w:tc>
      </w:tr>
    </w:tbl>
    <w:p>
      <w:pPr>
        <w:pStyle w:val="ListParagraph"/>
        <w:numPr>
          <w:ilvl w:val="0"/>
          <w:numId w:val="13"/>
        </w:numPr>
        <w:tabs>
          <w:tab w:pos="1250" w:val="left" w:leader="none"/>
        </w:tabs>
        <w:spacing w:line="240" w:lineRule="auto" w:before="104" w:after="0"/>
        <w:ind w:left="1249" w:right="0" w:hanging="530"/>
        <w:jc w:val="left"/>
        <w:rPr>
          <w:sz w:val="21"/>
        </w:rPr>
      </w:pPr>
      <w:r>
        <w:rPr>
          <w:spacing w:val="15"/>
          <w:sz w:val="21"/>
        </w:rPr>
        <w:t>本基金</w:t>
      </w:r>
      <w:r>
        <w:rPr>
          <w:rFonts w:ascii="Times New Roman" w:eastAsia="Times New Roman"/>
          <w:sz w:val="21"/>
        </w:rPr>
        <w:t>C</w:t>
      </w:r>
      <w:r>
        <w:rPr>
          <w:rFonts w:ascii="Times New Roman" w:eastAsia="Times New Roman"/>
          <w:spacing w:val="1"/>
          <w:sz w:val="21"/>
        </w:rPr>
        <w:t> </w:t>
      </w:r>
      <w:r>
        <w:rPr>
          <w:spacing w:val="-3"/>
          <w:sz w:val="21"/>
        </w:rPr>
        <w:t>类基金份额不收取申购费。</w:t>
      </w:r>
    </w:p>
    <w:p>
      <w:pPr>
        <w:pStyle w:val="BodyText"/>
        <w:spacing w:before="2"/>
        <w:rPr>
          <w:sz w:val="16"/>
        </w:rPr>
      </w:pPr>
    </w:p>
    <w:p>
      <w:pPr>
        <w:pStyle w:val="BodyText"/>
        <w:spacing w:line="424" w:lineRule="auto"/>
        <w:ind w:left="300" w:right="871" w:firstLine="419"/>
      </w:pPr>
      <w:r>
        <w:rPr>
          <w:rFonts w:ascii="Times New Roman" w:eastAsia="Times New Roman"/>
        </w:rPr>
        <w:t>2</w:t>
      </w:r>
      <w:r>
        <w:rPr/>
        <w:t>、本基金</w:t>
      </w:r>
      <w:r>
        <w:rPr>
          <w:rFonts w:ascii="Times New Roman" w:eastAsia="Times New Roman"/>
        </w:rPr>
        <w:t>A </w:t>
      </w:r>
      <w:r>
        <w:rPr/>
        <w:t>类、</w:t>
      </w:r>
      <w:r>
        <w:rPr>
          <w:rFonts w:ascii="Times New Roman" w:eastAsia="Times New Roman"/>
        </w:rPr>
        <w:t>C </w:t>
      </w:r>
      <w:r>
        <w:rPr/>
        <w:t>类基金份额收取赎回费，本基金赎回费由赎回人承担，在投资者赎回基金份额时收取。</w:t>
      </w:r>
    </w:p>
    <w:p>
      <w:pPr>
        <w:pStyle w:val="BodyText"/>
        <w:spacing w:line="267" w:lineRule="exact"/>
        <w:ind w:left="720"/>
      </w:pPr>
      <w:r>
        <w:rPr/>
        <w:pict>
          <v:group style="position:absolute;margin-left:160.940002pt;margin-top:19.875959pt;width:273.55pt;height:97.85pt;mso-position-horizontal-relative:page;mso-position-vertical-relative:paragraph;z-index:-261686272" coordorigin="3219,398" coordsize="5471,1957">
            <v:shape style="position:absolute;left:7623;top:397;width:10;height:3" type="#_x0000_t75" stroked="false">
              <v:imagedata r:id="rId7" o:title=""/>
            </v:shape>
            <v:shape style="position:absolute;left:7623;top:399;width:10;height:476" type="#_x0000_t75" stroked="false">
              <v:imagedata r:id="rId212" o:title=""/>
            </v:shape>
            <v:shape style="position:absolute;left:3218;top:875;width:5471;height:1479" type="#_x0000_t75" stroked="false">
              <v:imagedata r:id="rId213" o:title=""/>
            </v:shape>
            <w10:wrap type="none"/>
          </v:group>
        </w:pict>
      </w:r>
      <w:r>
        <w:rPr/>
        <w:t>（</w:t>
      </w:r>
      <w:r>
        <w:rPr>
          <w:rFonts w:ascii="Times New Roman" w:eastAsia="Times New Roman"/>
        </w:rPr>
        <w:t>1</w:t>
      </w:r>
      <w:r>
        <w:rPr/>
        <w:t>）</w:t>
      </w:r>
      <w:r>
        <w:rPr>
          <w:rFonts w:ascii="Times New Roman" w:eastAsia="Times New Roman"/>
        </w:rPr>
        <w:t>A </w:t>
      </w:r>
      <w:r>
        <w:rPr/>
        <w:t>类基金份额赎回费率如下：</w:t>
      </w:r>
    </w:p>
    <w:p>
      <w:pPr>
        <w:pStyle w:val="BodyText"/>
        <w:spacing w:before="12"/>
        <w:rPr>
          <w:sz w:val="7"/>
        </w:rPr>
      </w:pPr>
    </w:p>
    <w:tbl>
      <w:tblPr>
        <w:tblW w:w="0" w:type="auto"/>
        <w:jc w:val="left"/>
        <w:tblInd w:w="1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4"/>
        <w:gridCol w:w="1434"/>
      </w:tblGrid>
      <w:tr>
        <w:trPr>
          <w:trHeight w:val="476" w:hRule="atLeast"/>
        </w:trPr>
        <w:tc>
          <w:tcPr>
            <w:tcW w:w="4044" w:type="dxa"/>
            <w:tcBorders>
              <w:top w:val="single" w:sz="12" w:space="0" w:color="000000"/>
              <w:bottom w:val="single" w:sz="12" w:space="0" w:color="000000"/>
            </w:tcBorders>
          </w:tcPr>
          <w:p>
            <w:pPr>
              <w:pStyle w:val="TableParagraph"/>
              <w:spacing w:before="106"/>
              <w:ind w:left="818" w:right="436"/>
              <w:jc w:val="center"/>
              <w:rPr>
                <w:b/>
                <w:sz w:val="21"/>
              </w:rPr>
            </w:pPr>
            <w:r>
              <w:rPr>
                <w:b/>
                <w:sz w:val="21"/>
              </w:rPr>
              <w:t>持有期限</w:t>
            </w:r>
          </w:p>
        </w:tc>
        <w:tc>
          <w:tcPr>
            <w:tcW w:w="1434" w:type="dxa"/>
            <w:tcBorders>
              <w:top w:val="single" w:sz="12" w:space="0" w:color="000000"/>
              <w:bottom w:val="single" w:sz="12" w:space="0" w:color="000000"/>
            </w:tcBorders>
          </w:tcPr>
          <w:p>
            <w:pPr>
              <w:pStyle w:val="TableParagraph"/>
              <w:spacing w:before="106"/>
              <w:ind w:left="461" w:right="89"/>
              <w:jc w:val="center"/>
              <w:rPr>
                <w:b/>
                <w:sz w:val="21"/>
              </w:rPr>
            </w:pPr>
            <w:r>
              <w:rPr>
                <w:b/>
                <w:sz w:val="21"/>
              </w:rPr>
              <w:t>赎回费率</w:t>
            </w:r>
          </w:p>
        </w:tc>
      </w:tr>
      <w:tr>
        <w:trPr>
          <w:trHeight w:val="484" w:hRule="atLeast"/>
        </w:trPr>
        <w:tc>
          <w:tcPr>
            <w:tcW w:w="4044" w:type="dxa"/>
            <w:tcBorders>
              <w:top w:val="single" w:sz="12" w:space="0" w:color="000000"/>
            </w:tcBorders>
          </w:tcPr>
          <w:p>
            <w:pPr>
              <w:pStyle w:val="TableParagraph"/>
              <w:spacing w:before="103"/>
              <w:ind w:left="816" w:right="436"/>
              <w:jc w:val="center"/>
              <w:rPr>
                <w:sz w:val="21"/>
              </w:rPr>
            </w:pPr>
            <w:r>
              <w:rPr>
                <w:rFonts w:ascii="Times New Roman" w:eastAsia="Times New Roman"/>
                <w:sz w:val="21"/>
              </w:rPr>
              <w:t>7 </w:t>
            </w:r>
            <w:r>
              <w:rPr>
                <w:sz w:val="21"/>
              </w:rPr>
              <w:t>天以内</w:t>
            </w:r>
          </w:p>
        </w:tc>
        <w:tc>
          <w:tcPr>
            <w:tcW w:w="1434" w:type="dxa"/>
            <w:tcBorders>
              <w:top w:val="single" w:sz="12" w:space="0" w:color="000000"/>
            </w:tcBorders>
          </w:tcPr>
          <w:p>
            <w:pPr>
              <w:pStyle w:val="TableParagraph"/>
              <w:spacing w:before="115"/>
              <w:ind w:left="461" w:right="86"/>
              <w:jc w:val="center"/>
              <w:rPr>
                <w:rFonts w:ascii="Times New Roman"/>
                <w:sz w:val="21"/>
              </w:rPr>
            </w:pPr>
            <w:r>
              <w:rPr>
                <w:rFonts w:ascii="Times New Roman"/>
                <w:sz w:val="21"/>
              </w:rPr>
              <w:t>1.5%</w:t>
            </w:r>
          </w:p>
        </w:tc>
      </w:tr>
      <w:tr>
        <w:trPr>
          <w:trHeight w:val="486" w:hRule="atLeast"/>
        </w:trPr>
        <w:tc>
          <w:tcPr>
            <w:tcW w:w="4044" w:type="dxa"/>
          </w:tcPr>
          <w:p>
            <w:pPr>
              <w:pStyle w:val="TableParagraph"/>
              <w:spacing w:before="106"/>
              <w:ind w:left="819" w:right="436"/>
              <w:jc w:val="center"/>
              <w:rPr>
                <w:sz w:val="21"/>
              </w:rPr>
            </w:pPr>
            <w:r>
              <w:rPr>
                <w:rFonts w:ascii="Times New Roman" w:eastAsia="Times New Roman"/>
                <w:sz w:val="21"/>
              </w:rPr>
              <w:t>7 </w:t>
            </w:r>
            <w:r>
              <w:rPr>
                <w:sz w:val="21"/>
              </w:rPr>
              <w:t>天以上（含 </w:t>
            </w:r>
            <w:r>
              <w:rPr>
                <w:rFonts w:ascii="Times New Roman" w:eastAsia="Times New Roman"/>
                <w:sz w:val="21"/>
              </w:rPr>
              <w:t>7 </w:t>
            </w:r>
            <w:r>
              <w:rPr>
                <w:sz w:val="21"/>
              </w:rPr>
              <w:t>天）</w:t>
            </w:r>
            <w:r>
              <w:rPr>
                <w:rFonts w:ascii="Times New Roman" w:eastAsia="Times New Roman"/>
                <w:sz w:val="21"/>
              </w:rPr>
              <w:t>-1 </w:t>
            </w:r>
            <w:r>
              <w:rPr>
                <w:sz w:val="21"/>
              </w:rPr>
              <w:t>年以内</w:t>
            </w:r>
          </w:p>
        </w:tc>
        <w:tc>
          <w:tcPr>
            <w:tcW w:w="1434" w:type="dxa"/>
          </w:tcPr>
          <w:p>
            <w:pPr>
              <w:pStyle w:val="TableParagraph"/>
              <w:spacing w:before="117"/>
              <w:ind w:left="461" w:right="86"/>
              <w:jc w:val="center"/>
              <w:rPr>
                <w:rFonts w:ascii="Times New Roman"/>
                <w:sz w:val="21"/>
              </w:rPr>
            </w:pPr>
            <w:r>
              <w:rPr>
                <w:rFonts w:ascii="Times New Roman"/>
                <w:sz w:val="21"/>
              </w:rPr>
              <w:t>0.5%</w:t>
            </w:r>
          </w:p>
        </w:tc>
      </w:tr>
      <w:tr>
        <w:trPr>
          <w:trHeight w:val="477" w:hRule="atLeast"/>
        </w:trPr>
        <w:tc>
          <w:tcPr>
            <w:tcW w:w="4044" w:type="dxa"/>
            <w:tcBorders>
              <w:bottom w:val="single" w:sz="12" w:space="0" w:color="000000"/>
            </w:tcBorders>
          </w:tcPr>
          <w:p>
            <w:pPr>
              <w:pStyle w:val="TableParagraph"/>
              <w:spacing w:before="105"/>
              <w:ind w:left="816" w:right="436"/>
              <w:jc w:val="center"/>
              <w:rPr>
                <w:sz w:val="21"/>
              </w:rPr>
            </w:pPr>
            <w:r>
              <w:rPr>
                <w:rFonts w:ascii="Times New Roman" w:eastAsia="Times New Roman"/>
                <w:sz w:val="21"/>
              </w:rPr>
              <w:t>1</w:t>
            </w:r>
            <w:r>
              <w:rPr>
                <w:sz w:val="21"/>
              </w:rPr>
              <w:t>年以上（含</w:t>
            </w:r>
            <w:r>
              <w:rPr>
                <w:rFonts w:ascii="Times New Roman" w:eastAsia="Times New Roman"/>
                <w:sz w:val="21"/>
              </w:rPr>
              <w:t>1</w:t>
            </w:r>
            <w:r>
              <w:rPr>
                <w:sz w:val="21"/>
              </w:rPr>
              <w:t>年）</w:t>
            </w:r>
          </w:p>
        </w:tc>
        <w:tc>
          <w:tcPr>
            <w:tcW w:w="1434" w:type="dxa"/>
            <w:tcBorders>
              <w:bottom w:val="single" w:sz="12" w:space="0" w:color="000000"/>
            </w:tcBorders>
          </w:tcPr>
          <w:p>
            <w:pPr>
              <w:pStyle w:val="TableParagraph"/>
              <w:spacing w:before="116"/>
              <w:ind w:left="372"/>
              <w:jc w:val="center"/>
              <w:rPr>
                <w:rFonts w:ascii="Times New Roman"/>
                <w:sz w:val="21"/>
              </w:rPr>
            </w:pPr>
            <w:r>
              <w:rPr>
                <w:rFonts w:ascii="Times New Roman"/>
                <w:w w:val="100"/>
                <w:sz w:val="21"/>
              </w:rPr>
              <w:t>0</w:t>
            </w:r>
          </w:p>
        </w:tc>
      </w:tr>
    </w:tbl>
    <w:p>
      <w:pPr>
        <w:pStyle w:val="BodyText"/>
        <w:spacing w:before="104"/>
        <w:ind w:left="720"/>
        <w:jc w:val="both"/>
      </w:pPr>
      <w:r>
        <w:rPr/>
        <w:t>（</w:t>
      </w:r>
      <w:r>
        <w:rPr>
          <w:rFonts w:ascii="Times New Roman" w:eastAsia="Times New Roman"/>
        </w:rPr>
        <w:t>2</w:t>
      </w:r>
      <w:r>
        <w:rPr/>
        <w:t>）</w:t>
      </w:r>
      <w:r>
        <w:rPr>
          <w:rFonts w:ascii="Times New Roman" w:eastAsia="Times New Roman"/>
        </w:rPr>
        <w:t>C </w:t>
      </w:r>
      <w:r>
        <w:rPr/>
        <w:t>类基金份额的赎回费率如下：</w:t>
      </w:r>
    </w:p>
    <w:p>
      <w:pPr>
        <w:pStyle w:val="BodyText"/>
        <w:spacing w:before="1"/>
        <w:rPr>
          <w:sz w:val="16"/>
        </w:rPr>
      </w:pPr>
    </w:p>
    <w:p>
      <w:pPr>
        <w:pStyle w:val="BodyText"/>
        <w:spacing w:line="424" w:lineRule="auto"/>
        <w:ind w:left="300" w:right="873" w:firstLine="419"/>
        <w:jc w:val="both"/>
      </w:pPr>
      <w:r>
        <w:rPr>
          <w:spacing w:val="-7"/>
        </w:rPr>
        <w:t>赎回时份额持有不满 </w:t>
      </w:r>
      <w:r>
        <w:rPr>
          <w:rFonts w:ascii="Times New Roman" w:eastAsia="Times New Roman"/>
        </w:rPr>
        <w:t>7 </w:t>
      </w:r>
      <w:r>
        <w:rPr>
          <w:spacing w:val="-10"/>
        </w:rPr>
        <w:t>天的，收取 </w:t>
      </w:r>
      <w:r>
        <w:rPr>
          <w:rFonts w:ascii="Times New Roman" w:eastAsia="Times New Roman"/>
        </w:rPr>
        <w:t>1.5%</w:t>
      </w:r>
      <w:r>
        <w:rPr>
          <w:spacing w:val="-7"/>
        </w:rPr>
        <w:t>的赎回费，持有满 </w:t>
      </w:r>
      <w:r>
        <w:rPr>
          <w:rFonts w:ascii="Times New Roman" w:eastAsia="Times New Roman"/>
        </w:rPr>
        <w:t>7 </w:t>
      </w:r>
      <w:r>
        <w:rPr>
          <w:spacing w:val="-2"/>
        </w:rPr>
        <w:t>天以上</w:t>
      </w:r>
      <w:r>
        <w:rPr>
          <w:spacing w:val="-3"/>
        </w:rPr>
        <w:t>（</w:t>
      </w:r>
      <w:r>
        <w:rPr>
          <w:spacing w:val="-21"/>
        </w:rPr>
        <w:t>含 </w:t>
      </w:r>
      <w:r>
        <w:rPr>
          <w:rFonts w:ascii="Times New Roman" w:eastAsia="Times New Roman"/>
        </w:rPr>
        <w:t>7 </w:t>
      </w:r>
      <w:r>
        <w:rPr>
          <w:spacing w:val="-3"/>
        </w:rPr>
        <w:t>天</w:t>
      </w:r>
      <w:r>
        <w:rPr/>
        <w:t>）</w:t>
      </w:r>
      <w:r>
        <w:rPr>
          <w:spacing w:val="-2"/>
        </w:rPr>
        <w:t>的，赎</w:t>
      </w:r>
      <w:r>
        <w:rPr>
          <w:spacing w:val="-15"/>
        </w:rPr>
        <w:t>回费为 </w:t>
      </w:r>
      <w:r>
        <w:rPr>
          <w:rFonts w:ascii="Times New Roman" w:eastAsia="Times New Roman"/>
        </w:rPr>
        <w:t>0</w:t>
      </w:r>
      <w:r>
        <w:rPr/>
        <w:t>。</w:t>
      </w:r>
    </w:p>
    <w:p>
      <w:pPr>
        <w:pStyle w:val="ListParagraph"/>
        <w:numPr>
          <w:ilvl w:val="0"/>
          <w:numId w:val="13"/>
        </w:numPr>
        <w:tabs>
          <w:tab w:pos="1250" w:val="left" w:leader="none"/>
        </w:tabs>
        <w:spacing w:line="267" w:lineRule="exact" w:before="0" w:after="0"/>
        <w:ind w:left="1249" w:right="0" w:hanging="530"/>
        <w:jc w:val="both"/>
        <w:rPr>
          <w:sz w:val="21"/>
        </w:rPr>
      </w:pPr>
      <w:r>
        <w:rPr>
          <w:spacing w:val="-7"/>
          <w:sz w:val="21"/>
        </w:rPr>
        <w:t>对于赎回时份额持有不满 </w:t>
      </w:r>
      <w:r>
        <w:rPr>
          <w:rFonts w:ascii="Times New Roman" w:eastAsia="Times New Roman"/>
          <w:sz w:val="21"/>
        </w:rPr>
        <w:t>7</w:t>
      </w:r>
      <w:r>
        <w:rPr>
          <w:rFonts w:ascii="Times New Roman" w:eastAsia="Times New Roman"/>
          <w:spacing w:val="7"/>
          <w:sz w:val="21"/>
        </w:rPr>
        <w:t> </w:t>
      </w:r>
      <w:r>
        <w:rPr>
          <w:spacing w:val="-3"/>
          <w:sz w:val="21"/>
        </w:rPr>
        <w:t>天的，收取的赎回费全额计入基金财产。对赎回时份</w:t>
      </w:r>
    </w:p>
    <w:p>
      <w:pPr>
        <w:pStyle w:val="BodyText"/>
        <w:spacing w:before="1"/>
        <w:rPr>
          <w:sz w:val="16"/>
        </w:rPr>
      </w:pPr>
    </w:p>
    <w:p>
      <w:pPr>
        <w:pStyle w:val="BodyText"/>
        <w:spacing w:line="424" w:lineRule="auto"/>
        <w:ind w:left="300" w:right="871"/>
        <w:jc w:val="both"/>
      </w:pPr>
      <w:r>
        <w:rPr>
          <w:spacing w:val="-6"/>
        </w:rPr>
        <w:t>额持有满 </w:t>
      </w:r>
      <w:r>
        <w:rPr>
          <w:rFonts w:ascii="Times New Roman" w:eastAsia="Times New Roman"/>
        </w:rPr>
        <w:t>7 </w:t>
      </w:r>
      <w:r>
        <w:rPr>
          <w:spacing w:val="-2"/>
        </w:rPr>
        <w:t>天以上</w:t>
      </w:r>
      <w:r>
        <w:rPr/>
        <w:t>（</w:t>
      </w:r>
      <w:r>
        <w:rPr>
          <w:spacing w:val="-14"/>
        </w:rPr>
        <w:t>含 </w:t>
      </w:r>
      <w:r>
        <w:rPr>
          <w:rFonts w:ascii="Times New Roman" w:eastAsia="Times New Roman"/>
        </w:rPr>
        <w:t>7 </w:t>
      </w:r>
      <w:r>
        <w:rPr/>
        <w:t>天）</w:t>
      </w:r>
      <w:r>
        <w:rPr>
          <w:spacing w:val="-4"/>
        </w:rPr>
        <w:t>收取的赎回费，须依法扣除所收取赎回费总额的 </w:t>
      </w:r>
      <w:r>
        <w:rPr>
          <w:rFonts w:ascii="Times New Roman" w:eastAsia="Times New Roman"/>
        </w:rPr>
        <w:t>25%</w:t>
      </w:r>
      <w:r>
        <w:rPr>
          <w:spacing w:val="-2"/>
        </w:rPr>
        <w:t>归入基</w:t>
      </w:r>
      <w:r>
        <w:rPr>
          <w:spacing w:val="-3"/>
        </w:rPr>
        <w:t>金资产，其余用于支付登记结算费、销售手续费等各项费用。</w:t>
      </w:r>
    </w:p>
    <w:p>
      <w:pPr>
        <w:pStyle w:val="BodyText"/>
        <w:spacing w:line="424" w:lineRule="auto"/>
        <w:ind w:left="300" w:right="874" w:firstLine="419"/>
        <w:jc w:val="both"/>
      </w:pPr>
      <w:r>
        <w:rPr>
          <w:rFonts w:ascii="Times New Roman" w:eastAsia="Times New Roman"/>
        </w:rPr>
        <w:t>3</w:t>
      </w:r>
      <w:r>
        <w:rPr/>
        <w:t>、基金管理人可以根据《基金合同》的相关约定调整费率或收费方式，基金管理人最迟应于新的费率或收费方式实施日前 </w:t>
      </w:r>
      <w:r>
        <w:rPr>
          <w:rFonts w:ascii="Times New Roman" w:eastAsia="Times New Roman"/>
        </w:rPr>
        <w:t>2 </w:t>
      </w:r>
      <w:r>
        <w:rPr/>
        <w:t>个工作日在规定媒介公告。</w:t>
      </w:r>
    </w:p>
    <w:p>
      <w:pPr>
        <w:pStyle w:val="BodyText"/>
        <w:spacing w:line="424" w:lineRule="auto"/>
        <w:ind w:left="300" w:right="871" w:firstLine="419"/>
        <w:jc w:val="both"/>
      </w:pPr>
      <w:r>
        <w:rPr>
          <w:rFonts w:ascii="Times New Roman" w:eastAsia="Times New Roman"/>
        </w:rPr>
        <w:t>4</w:t>
      </w:r>
      <w:r>
        <w:rPr>
          <w:spacing w:val="-3"/>
        </w:rPr>
        <w:t>、基金管理人可以在不违背法律法规规定及《基金合同》约定的情形下根据市场情况</w:t>
      </w:r>
      <w:r>
        <w:rPr>
          <w:spacing w:val="-8"/>
        </w:rPr>
        <w:t>制定基金促销计划，针对特定交易方式</w:t>
      </w:r>
      <w:r>
        <w:rPr>
          <w:spacing w:val="-3"/>
        </w:rPr>
        <w:t>（</w:t>
      </w:r>
      <w:r>
        <w:rPr>
          <w:spacing w:val="-7"/>
        </w:rPr>
        <w:t>如网上交易、移动客户端交易</w:t>
      </w:r>
      <w:r>
        <w:rPr>
          <w:spacing w:val="-24"/>
        </w:rPr>
        <w:t>）</w:t>
      </w:r>
      <w:r>
        <w:rPr>
          <w:spacing w:val="-3"/>
        </w:rPr>
        <w:t>等进行基金交易的</w:t>
      </w:r>
      <w:r>
        <w:rPr>
          <w:spacing w:val="-8"/>
        </w:rPr>
        <w:t>投资者定期或不定期地开展基金促销活动。在基金促销活动期间，基金管理人可根据法律法</w:t>
      </w:r>
      <w:r>
        <w:rPr>
          <w:spacing w:val="-5"/>
        </w:rPr>
        <w:t>规要求对基金申购费率、赎回费率等进行适当费率优惠。</w:t>
      </w:r>
    </w:p>
    <w:p>
      <w:pPr>
        <w:pStyle w:val="BodyText"/>
        <w:spacing w:line="424" w:lineRule="auto"/>
        <w:ind w:left="300" w:right="771"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7" w:lineRule="exact"/>
        <w:ind w:left="720"/>
      </w:pPr>
      <w:r>
        <w:rPr/>
        <w:t>（九）申购份额与赎回金额的计算方式</w:t>
      </w:r>
    </w:p>
    <w:p>
      <w:pPr>
        <w:spacing w:after="0" w:line="267" w:lineRule="exact"/>
        <w:sectPr>
          <w:pgSz w:w="11910" w:h="16840"/>
          <w:pgMar w:header="701" w:footer="683" w:top="1420" w:bottom="880" w:left="1500" w:right="920"/>
        </w:sectPr>
      </w:pPr>
    </w:p>
    <w:p>
      <w:pPr>
        <w:pStyle w:val="BodyText"/>
        <w:spacing w:before="115"/>
        <w:ind w:left="720"/>
      </w:pPr>
      <w:r>
        <w:rPr>
          <w:rFonts w:ascii="Times New Roman" w:eastAsia="Times New Roman"/>
        </w:rPr>
        <w:t>1</w:t>
      </w:r>
      <w:r>
        <w:rPr/>
        <w:t>、申购份额的计算</w:t>
      </w:r>
    </w:p>
    <w:p>
      <w:pPr>
        <w:pStyle w:val="BodyText"/>
        <w:rPr>
          <w:sz w:val="16"/>
        </w:rPr>
      </w:pPr>
    </w:p>
    <w:p>
      <w:pPr>
        <w:pStyle w:val="ListParagraph"/>
        <w:numPr>
          <w:ilvl w:val="0"/>
          <w:numId w:val="14"/>
        </w:numPr>
        <w:tabs>
          <w:tab w:pos="1250" w:val="left" w:leader="none"/>
        </w:tabs>
        <w:spacing w:line="424" w:lineRule="auto" w:before="1" w:after="0"/>
        <w:ind w:left="720" w:right="2306" w:firstLine="0"/>
        <w:jc w:val="left"/>
        <w:rPr>
          <w:sz w:val="21"/>
        </w:rPr>
      </w:pPr>
      <w:r>
        <w:rPr>
          <w:spacing w:val="3"/>
          <w:sz w:val="21"/>
        </w:rPr>
        <w:t>当投资者选择申购</w:t>
      </w:r>
      <w:r>
        <w:rPr>
          <w:rFonts w:ascii="Times New Roman" w:eastAsia="Times New Roman"/>
          <w:sz w:val="21"/>
        </w:rPr>
        <w:t>A</w:t>
      </w:r>
      <w:r>
        <w:rPr>
          <w:rFonts w:ascii="Times New Roman" w:eastAsia="Times New Roman"/>
          <w:spacing w:val="27"/>
          <w:sz w:val="21"/>
        </w:rPr>
        <w:t> </w:t>
      </w:r>
      <w:r>
        <w:rPr>
          <w:spacing w:val="-3"/>
          <w:sz w:val="21"/>
        </w:rPr>
        <w:t>类基金份额时，申购份额的计算方法如下： 申购费用适用比例费率时，申购份额的计算方法如下：</w:t>
      </w:r>
    </w:p>
    <w:p>
      <w:pPr>
        <w:pStyle w:val="BodyText"/>
        <w:spacing w:line="424" w:lineRule="auto"/>
        <w:ind w:left="1560" w:right="3766"/>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24" w:lineRule="auto"/>
        <w:ind w:left="720" w:right="3802" w:firstLine="840"/>
      </w:pPr>
      <w:r>
        <w:rPr/>
        <w:t>申购份额＝净申购金额</w:t>
      </w:r>
      <w:r>
        <w:rPr>
          <w:rFonts w:ascii="Times New Roman" w:eastAsia="Times New Roman"/>
        </w:rPr>
        <w:t>/T</w:t>
      </w:r>
      <w:r>
        <w:rPr/>
        <w:t>日</w:t>
      </w:r>
      <w:r>
        <w:rPr>
          <w:rFonts w:ascii="Times New Roman" w:eastAsia="Times New Roman"/>
        </w:rPr>
        <w:t>A</w:t>
      </w:r>
      <w:r>
        <w:rPr/>
        <w:t>类基金份额净值申购费用为固定金额时，申购份额的计算方法如下：</w:t>
      </w:r>
    </w:p>
    <w:p>
      <w:pPr>
        <w:pStyle w:val="BodyText"/>
        <w:spacing w:line="268" w:lineRule="exact"/>
        <w:ind w:left="1560"/>
      </w:pPr>
      <w:r>
        <w:rPr/>
        <w:t>前端申购费用＝固定金额</w:t>
      </w:r>
    </w:p>
    <w:p>
      <w:pPr>
        <w:pStyle w:val="BodyText"/>
        <w:spacing w:before="12"/>
        <w:rPr>
          <w:sz w:val="15"/>
        </w:rPr>
      </w:pPr>
    </w:p>
    <w:p>
      <w:pPr>
        <w:pStyle w:val="BodyText"/>
        <w:ind w:left="1560"/>
      </w:pPr>
      <w:r>
        <w:rPr/>
        <w:t>净申购金额</w:t>
      </w:r>
      <w:r>
        <w:rPr>
          <w:rFonts w:ascii="Times New Roman" w:eastAsia="Times New Roman"/>
        </w:rPr>
        <w:t>=</w:t>
      </w:r>
      <w:r>
        <w:rPr/>
        <w:t>申购金额－前端申购费用</w:t>
      </w:r>
    </w:p>
    <w:p>
      <w:pPr>
        <w:pStyle w:val="BodyText"/>
        <w:spacing w:before="1"/>
        <w:rPr>
          <w:sz w:val="16"/>
        </w:rPr>
      </w:pPr>
    </w:p>
    <w:p>
      <w:pPr>
        <w:pStyle w:val="BodyText"/>
        <w:ind w:left="156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1"/>
        <w:rPr>
          <w:sz w:val="16"/>
        </w:rPr>
      </w:pPr>
    </w:p>
    <w:p>
      <w:pPr>
        <w:pStyle w:val="ListParagraph"/>
        <w:numPr>
          <w:ilvl w:val="0"/>
          <w:numId w:val="14"/>
        </w:numPr>
        <w:tabs>
          <w:tab w:pos="1250" w:val="left" w:leader="none"/>
        </w:tabs>
        <w:spacing w:line="424" w:lineRule="auto" w:before="0" w:after="0"/>
        <w:ind w:left="1560" w:right="2424" w:hanging="840"/>
        <w:jc w:val="left"/>
        <w:rPr>
          <w:sz w:val="21"/>
        </w:rPr>
      </w:pPr>
      <w:r>
        <w:rPr>
          <w:spacing w:val="-3"/>
          <w:sz w:val="21"/>
        </w:rPr>
        <w:t>当投资者选择申购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BodyText"/>
        <w:spacing w:line="427" w:lineRule="auto"/>
        <w:ind w:left="300" w:right="76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264" w:lineRule="exact"/>
        <w:ind w:left="720"/>
      </w:pPr>
      <w:r>
        <w:rPr/>
        <w:t>例一：假定 </w:t>
      </w:r>
      <w:r>
        <w:rPr>
          <w:rFonts w:ascii="Times New Roman" w:eastAsia="Times New Roman"/>
        </w:rPr>
        <w:t>T </w:t>
      </w:r>
      <w:r>
        <w:rPr/>
        <w:t>日的 </w:t>
      </w:r>
      <w:r>
        <w:rPr>
          <w:rFonts w:ascii="Times New Roman" w:eastAsia="Times New Roman"/>
        </w:rPr>
        <w:t>A </w:t>
      </w:r>
      <w:r>
        <w:rPr/>
        <w:t>类基金份额净值为 </w:t>
      </w:r>
      <w:r>
        <w:rPr>
          <w:rFonts w:ascii="Times New Roman" w:eastAsia="Times New Roman"/>
        </w:rPr>
        <w:t>1.2300 </w:t>
      </w:r>
      <w:r>
        <w:rPr/>
        <w:t>元。若三笔申购金额分别为 </w:t>
      </w:r>
      <w:r>
        <w:rPr>
          <w:rFonts w:ascii="Times New Roman" w:eastAsia="Times New Roman"/>
        </w:rPr>
        <w:t>1,000 </w:t>
      </w:r>
      <w:r>
        <w:rPr/>
        <w:t>元、</w:t>
      </w:r>
    </w:p>
    <w:p>
      <w:pPr>
        <w:pStyle w:val="BodyText"/>
        <w:spacing w:before="12"/>
        <w:rPr>
          <w:sz w:val="15"/>
        </w:rPr>
      </w:pPr>
    </w:p>
    <w:p>
      <w:pPr>
        <w:pStyle w:val="BodyText"/>
        <w:ind w:left="300"/>
      </w:pPr>
      <w:r>
        <w:rPr/>
        <w:pict>
          <v:group style="position:absolute;margin-left:160.220001pt;margin-top:19.979959pt;width:275pt;height:170.55pt;mso-position-horizontal-relative:page;mso-position-vertical-relative:paragraph;z-index:-261685248" coordorigin="3204,400" coordsize="5500,3411">
            <v:shape style="position:absolute;left:5576;top:399;width:10;height:3" type="#_x0000_t75" stroked="false">
              <v:imagedata r:id="rId7" o:title=""/>
            </v:shape>
            <v:shape style="position:absolute;left:5576;top:402;width:10;height:507" type="#_x0000_t75" stroked="false">
              <v:imagedata r:id="rId214" o:title=""/>
            </v:shape>
            <v:shape style="position:absolute;left:6373;top:399;width:10;height:3" type="#_x0000_t75" stroked="false">
              <v:imagedata r:id="rId7" o:title=""/>
            </v:shape>
            <v:shape style="position:absolute;left:6373;top:402;width:10;height:476" type="#_x0000_t75" stroked="false">
              <v:imagedata r:id="rId215" o:title=""/>
            </v:shape>
            <v:shape style="position:absolute;left:6373;top:877;width:10;height:32" type="#_x0000_t75" stroked="false">
              <v:imagedata r:id="rId216" o:title=""/>
            </v:shape>
            <v:shape style="position:absolute;left:7535;top:399;width:10;height:3" type="#_x0000_t75" stroked="false">
              <v:imagedata r:id="rId7" o:title=""/>
            </v:shape>
            <v:shape style="position:absolute;left:7535;top:402;width:10;height:476" type="#_x0000_t75" stroked="false">
              <v:imagedata r:id="rId215" o:title=""/>
            </v:shape>
            <v:shape style="position:absolute;left:7535;top:877;width:10;height:32" type="#_x0000_t75" stroked="false">
              <v:imagedata r:id="rId216" o:title=""/>
            </v:shape>
            <v:shape style="position:absolute;left:3204;top:908;width:5500;height:2903" type="#_x0000_t75" stroked="false">
              <v:imagedata r:id="rId217" o:title=""/>
            </v:shape>
            <w10:wrap type="none"/>
          </v:group>
        </w:pict>
      </w:r>
      <w:r>
        <w:rPr>
          <w:rFonts w:ascii="Times New Roman" w:eastAsia="Times New Roman"/>
        </w:rPr>
        <w:t>100 </w:t>
      </w:r>
      <w:r>
        <w:rPr/>
        <w:t>万元、</w:t>
      </w:r>
      <w:r>
        <w:rPr>
          <w:rFonts w:ascii="Times New Roman" w:eastAsia="Times New Roman"/>
        </w:rPr>
        <w:t>500 </w:t>
      </w:r>
      <w:r>
        <w:rPr/>
        <w:t>万元，则各笔申购负担的前端申购费用和获得的</w:t>
      </w:r>
      <w:r>
        <w:rPr>
          <w:rFonts w:ascii="Times New Roman" w:eastAsia="Times New Roman"/>
        </w:rPr>
        <w:t>A </w:t>
      </w:r>
      <w:r>
        <w:rPr/>
        <w:t>类基金份额计算如下：</w:t>
      </w:r>
    </w:p>
    <w:p>
      <w:pPr>
        <w:pStyle w:val="BodyText"/>
        <w:spacing w:before="12"/>
        <w:rPr>
          <w:sz w:val="7"/>
        </w:rPr>
      </w:pPr>
    </w:p>
    <w:tbl>
      <w:tblPr>
        <w:tblW w:w="0" w:type="auto"/>
        <w:jc w:val="left"/>
        <w:tblInd w:w="1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0"/>
        <w:gridCol w:w="745"/>
        <w:gridCol w:w="1165"/>
        <w:gridCol w:w="1161"/>
      </w:tblGrid>
      <w:tr>
        <w:trPr>
          <w:trHeight w:val="476" w:hRule="atLeast"/>
        </w:trPr>
        <w:tc>
          <w:tcPr>
            <w:tcW w:w="2440" w:type="dxa"/>
            <w:tcBorders>
              <w:top w:val="single" w:sz="12" w:space="0" w:color="000000"/>
              <w:bottom w:val="single" w:sz="12" w:space="0" w:color="000000"/>
            </w:tcBorders>
          </w:tcPr>
          <w:p>
            <w:pPr>
              <w:pStyle w:val="TableParagraph"/>
              <w:spacing w:before="0"/>
              <w:rPr>
                <w:rFonts w:ascii="Times New Roman"/>
                <w:sz w:val="20"/>
              </w:rPr>
            </w:pPr>
          </w:p>
        </w:tc>
        <w:tc>
          <w:tcPr>
            <w:tcW w:w="745" w:type="dxa"/>
            <w:tcBorders>
              <w:top w:val="single" w:sz="12" w:space="0" w:color="000000"/>
              <w:bottom w:val="single" w:sz="12" w:space="0" w:color="000000"/>
            </w:tcBorders>
          </w:tcPr>
          <w:p>
            <w:pPr>
              <w:pStyle w:val="TableParagraph"/>
              <w:spacing w:before="103"/>
              <w:ind w:left="80"/>
              <w:rPr>
                <w:rFonts w:ascii="Times New Roman" w:eastAsia="Times New Roman"/>
                <w:sz w:val="21"/>
              </w:rPr>
            </w:pPr>
            <w:r>
              <w:rPr>
                <w:sz w:val="21"/>
              </w:rPr>
              <w:t>申购</w:t>
            </w:r>
            <w:r>
              <w:rPr>
                <w:rFonts w:ascii="Times New Roman" w:eastAsia="Times New Roman"/>
                <w:sz w:val="21"/>
              </w:rPr>
              <w:t>1</w:t>
            </w:r>
          </w:p>
        </w:tc>
        <w:tc>
          <w:tcPr>
            <w:tcW w:w="1165" w:type="dxa"/>
            <w:tcBorders>
              <w:top w:val="single" w:sz="12" w:space="0" w:color="000000"/>
              <w:bottom w:val="single" w:sz="12" w:space="0" w:color="000000"/>
            </w:tcBorders>
          </w:tcPr>
          <w:p>
            <w:pPr>
              <w:pStyle w:val="TableParagraph"/>
              <w:spacing w:before="103"/>
              <w:ind w:left="314"/>
              <w:rPr>
                <w:rFonts w:ascii="Times New Roman" w:eastAsia="Times New Roman"/>
                <w:sz w:val="21"/>
              </w:rPr>
            </w:pPr>
            <w:r>
              <w:rPr>
                <w:sz w:val="21"/>
              </w:rPr>
              <w:t>申购</w:t>
            </w:r>
            <w:r>
              <w:rPr>
                <w:rFonts w:ascii="Times New Roman" w:eastAsia="Times New Roman"/>
                <w:sz w:val="21"/>
              </w:rPr>
              <w:t>2</w:t>
            </w:r>
          </w:p>
        </w:tc>
        <w:tc>
          <w:tcPr>
            <w:tcW w:w="1161" w:type="dxa"/>
            <w:tcBorders>
              <w:top w:val="single" w:sz="12" w:space="0" w:color="000000"/>
              <w:bottom w:val="single" w:sz="12" w:space="0" w:color="000000"/>
            </w:tcBorders>
          </w:tcPr>
          <w:p>
            <w:pPr>
              <w:pStyle w:val="TableParagraph"/>
              <w:spacing w:before="103"/>
              <w:ind w:left="313"/>
              <w:rPr>
                <w:rFonts w:ascii="Times New Roman" w:eastAsia="Times New Roman"/>
                <w:sz w:val="21"/>
              </w:rPr>
            </w:pPr>
            <w:r>
              <w:rPr>
                <w:sz w:val="21"/>
              </w:rPr>
              <w:t>申购</w:t>
            </w:r>
            <w:r>
              <w:rPr>
                <w:rFonts w:ascii="Times New Roman" w:eastAsia="Times New Roman"/>
                <w:sz w:val="21"/>
              </w:rPr>
              <w:t>3</w:t>
            </w:r>
          </w:p>
        </w:tc>
      </w:tr>
      <w:tr>
        <w:trPr>
          <w:trHeight w:val="483" w:hRule="atLeast"/>
        </w:trPr>
        <w:tc>
          <w:tcPr>
            <w:tcW w:w="2440" w:type="dxa"/>
            <w:tcBorders>
              <w:top w:val="single" w:sz="12" w:space="0" w:color="000000"/>
            </w:tcBorders>
          </w:tcPr>
          <w:p>
            <w:pPr>
              <w:pStyle w:val="TableParagraph"/>
              <w:spacing w:before="103"/>
              <w:ind w:left="37"/>
              <w:rPr>
                <w:sz w:val="21"/>
              </w:rPr>
            </w:pPr>
            <w:r>
              <w:rPr>
                <w:sz w:val="21"/>
              </w:rPr>
              <w:t>申购金额（元，</w:t>
            </w:r>
            <w:r>
              <w:rPr>
                <w:rFonts w:ascii="Times New Roman" w:eastAsia="Times New Roman"/>
                <w:sz w:val="21"/>
              </w:rPr>
              <w:t>a</w:t>
            </w:r>
            <w:r>
              <w:rPr>
                <w:sz w:val="21"/>
              </w:rPr>
              <w:t>）</w:t>
            </w:r>
          </w:p>
        </w:tc>
        <w:tc>
          <w:tcPr>
            <w:tcW w:w="745" w:type="dxa"/>
            <w:tcBorders>
              <w:top w:val="single" w:sz="12" w:space="0" w:color="000000"/>
            </w:tcBorders>
          </w:tcPr>
          <w:p>
            <w:pPr>
              <w:pStyle w:val="TableParagraph"/>
              <w:spacing w:before="115"/>
              <w:ind w:left="-24" w:right="29"/>
              <w:jc w:val="right"/>
              <w:rPr>
                <w:rFonts w:ascii="Times New Roman"/>
                <w:sz w:val="21"/>
              </w:rPr>
            </w:pPr>
            <w:r>
              <w:rPr>
                <w:rFonts w:ascii="Times New Roman"/>
                <w:spacing w:val="-1"/>
                <w:sz w:val="21"/>
              </w:rPr>
              <w:t>1,000.00</w:t>
            </w:r>
          </w:p>
        </w:tc>
        <w:tc>
          <w:tcPr>
            <w:tcW w:w="1165" w:type="dxa"/>
            <w:tcBorders>
              <w:top w:val="single" w:sz="12" w:space="0" w:color="000000"/>
            </w:tcBorders>
          </w:tcPr>
          <w:p>
            <w:pPr>
              <w:pStyle w:val="TableParagraph"/>
              <w:spacing w:before="115"/>
              <w:ind w:right="29"/>
              <w:jc w:val="right"/>
              <w:rPr>
                <w:rFonts w:ascii="Times New Roman"/>
                <w:sz w:val="21"/>
              </w:rPr>
            </w:pPr>
            <w:r>
              <w:rPr>
                <w:rFonts w:ascii="Times New Roman"/>
                <w:sz w:val="21"/>
              </w:rPr>
              <w:t>1,000,000.00</w:t>
            </w:r>
          </w:p>
        </w:tc>
        <w:tc>
          <w:tcPr>
            <w:tcW w:w="1161" w:type="dxa"/>
            <w:tcBorders>
              <w:top w:val="single" w:sz="12" w:space="0" w:color="000000"/>
            </w:tcBorders>
          </w:tcPr>
          <w:p>
            <w:pPr>
              <w:pStyle w:val="TableParagraph"/>
              <w:spacing w:before="115"/>
              <w:ind w:right="26"/>
              <w:jc w:val="right"/>
              <w:rPr>
                <w:rFonts w:ascii="Times New Roman"/>
                <w:sz w:val="21"/>
              </w:rPr>
            </w:pPr>
            <w:r>
              <w:rPr>
                <w:rFonts w:ascii="Times New Roman"/>
                <w:sz w:val="21"/>
              </w:rPr>
              <w:t>5,000,000.00</w:t>
            </w:r>
          </w:p>
        </w:tc>
      </w:tr>
      <w:tr>
        <w:trPr>
          <w:trHeight w:val="486" w:hRule="atLeast"/>
        </w:trPr>
        <w:tc>
          <w:tcPr>
            <w:tcW w:w="2440" w:type="dxa"/>
          </w:tcPr>
          <w:p>
            <w:pPr>
              <w:pStyle w:val="TableParagraph"/>
              <w:spacing w:before="105"/>
              <w:ind w:left="37"/>
              <w:rPr>
                <w:sz w:val="21"/>
              </w:rPr>
            </w:pPr>
            <w:r>
              <w:rPr>
                <w:sz w:val="21"/>
              </w:rPr>
              <w:t>适用前端申购费率（</w:t>
            </w:r>
            <w:r>
              <w:rPr>
                <w:rFonts w:ascii="Times New Roman" w:eastAsia="Times New Roman"/>
                <w:sz w:val="21"/>
              </w:rPr>
              <w:t>b</w:t>
            </w:r>
            <w:r>
              <w:rPr>
                <w:sz w:val="21"/>
              </w:rPr>
              <w:t>）</w:t>
            </w:r>
          </w:p>
        </w:tc>
        <w:tc>
          <w:tcPr>
            <w:tcW w:w="745" w:type="dxa"/>
          </w:tcPr>
          <w:p>
            <w:pPr>
              <w:pStyle w:val="TableParagraph"/>
              <w:spacing w:before="116"/>
              <w:ind w:left="-24" w:right="28"/>
              <w:jc w:val="right"/>
              <w:rPr>
                <w:rFonts w:ascii="Times New Roman"/>
                <w:sz w:val="21"/>
              </w:rPr>
            </w:pPr>
            <w:r>
              <w:rPr>
                <w:rFonts w:ascii="Times New Roman"/>
                <w:sz w:val="21"/>
              </w:rPr>
              <w:t>1.2%</w:t>
            </w:r>
          </w:p>
        </w:tc>
        <w:tc>
          <w:tcPr>
            <w:tcW w:w="1165" w:type="dxa"/>
          </w:tcPr>
          <w:p>
            <w:pPr>
              <w:pStyle w:val="TableParagraph"/>
              <w:spacing w:before="116"/>
              <w:ind w:right="29"/>
              <w:jc w:val="right"/>
              <w:rPr>
                <w:rFonts w:ascii="Times New Roman"/>
                <w:sz w:val="21"/>
              </w:rPr>
            </w:pPr>
            <w:r>
              <w:rPr>
                <w:rFonts w:ascii="Times New Roman"/>
                <w:sz w:val="21"/>
              </w:rPr>
              <w:t>0.9%</w:t>
            </w:r>
          </w:p>
        </w:tc>
        <w:tc>
          <w:tcPr>
            <w:tcW w:w="1161" w:type="dxa"/>
          </w:tcPr>
          <w:p>
            <w:pPr>
              <w:pStyle w:val="TableParagraph"/>
              <w:spacing w:before="116"/>
              <w:ind w:right="26"/>
              <w:jc w:val="right"/>
              <w:rPr>
                <w:rFonts w:ascii="Times New Roman"/>
                <w:sz w:val="21"/>
              </w:rPr>
            </w:pPr>
            <w:r>
              <w:rPr>
                <w:rFonts w:ascii="Times New Roman"/>
                <w:sz w:val="21"/>
              </w:rPr>
              <w:t>0.6%</w:t>
            </w:r>
          </w:p>
        </w:tc>
      </w:tr>
      <w:tr>
        <w:trPr>
          <w:trHeight w:val="486" w:hRule="atLeast"/>
        </w:trPr>
        <w:tc>
          <w:tcPr>
            <w:tcW w:w="2440" w:type="dxa"/>
          </w:tcPr>
          <w:p>
            <w:pPr>
              <w:pStyle w:val="TableParagraph"/>
              <w:spacing w:before="106"/>
              <w:ind w:left="37"/>
              <w:rPr>
                <w:sz w:val="21"/>
              </w:rPr>
            </w:pPr>
            <w:r>
              <w:rPr>
                <w:spacing w:val="-7"/>
                <w:w w:val="100"/>
                <w:sz w:val="21"/>
              </w:rPr>
              <w:t>净申购金额</w:t>
            </w:r>
            <w:r>
              <w:rPr>
                <w:spacing w:val="-2"/>
                <w:w w:val="100"/>
                <w:sz w:val="21"/>
              </w:rPr>
              <w:t>（</w:t>
            </w:r>
            <w:r>
              <w:rPr>
                <w:rFonts w:ascii="Times New Roman" w:eastAsia="Times New Roman"/>
                <w:w w:val="100"/>
                <w:sz w:val="21"/>
              </w:rPr>
              <w:t>c=a</w:t>
            </w:r>
            <w:r>
              <w:rPr>
                <w:rFonts w:ascii="Times New Roman" w:eastAsia="Times New Roman"/>
                <w:spacing w:val="-30"/>
                <w:w w:val="100"/>
                <w:sz w:val="21"/>
              </w:rPr>
              <w:t>/</w:t>
            </w:r>
            <w:r>
              <w:rPr>
                <w:w w:val="100"/>
                <w:sz w:val="21"/>
              </w:rPr>
              <w:t>（</w:t>
            </w:r>
            <w:r>
              <w:rPr>
                <w:rFonts w:ascii="Times New Roman" w:eastAsia="Times New Roman"/>
                <w:spacing w:val="-3"/>
                <w:w w:val="100"/>
                <w:sz w:val="21"/>
              </w:rPr>
              <w:t>1</w:t>
            </w:r>
            <w:r>
              <w:rPr>
                <w:rFonts w:ascii="Times New Roman" w:eastAsia="Times New Roman"/>
                <w:w w:val="100"/>
                <w:sz w:val="21"/>
              </w:rPr>
              <w:t>+b</w:t>
            </w:r>
            <w:r>
              <w:rPr>
                <w:spacing w:val="-108"/>
                <w:w w:val="100"/>
                <w:sz w:val="21"/>
              </w:rPr>
              <w:t>））</w:t>
            </w:r>
          </w:p>
        </w:tc>
        <w:tc>
          <w:tcPr>
            <w:tcW w:w="745" w:type="dxa"/>
          </w:tcPr>
          <w:p>
            <w:pPr>
              <w:pStyle w:val="TableParagraph"/>
              <w:spacing w:before="117"/>
              <w:ind w:left="-24" w:right="29"/>
              <w:jc w:val="right"/>
              <w:rPr>
                <w:rFonts w:ascii="Times New Roman"/>
                <w:sz w:val="21"/>
              </w:rPr>
            </w:pPr>
            <w:r>
              <w:rPr>
                <w:rFonts w:ascii="Times New Roman"/>
                <w:sz w:val="21"/>
              </w:rPr>
              <w:t>988.14</w:t>
            </w:r>
          </w:p>
        </w:tc>
        <w:tc>
          <w:tcPr>
            <w:tcW w:w="1165" w:type="dxa"/>
          </w:tcPr>
          <w:p>
            <w:pPr>
              <w:pStyle w:val="TableParagraph"/>
              <w:spacing w:before="117"/>
              <w:ind w:right="29"/>
              <w:jc w:val="right"/>
              <w:rPr>
                <w:rFonts w:ascii="Times New Roman"/>
                <w:sz w:val="21"/>
              </w:rPr>
            </w:pPr>
            <w:r>
              <w:rPr>
                <w:rFonts w:ascii="Times New Roman"/>
                <w:sz w:val="21"/>
              </w:rPr>
              <w:t>991,080.28</w:t>
            </w:r>
          </w:p>
        </w:tc>
        <w:tc>
          <w:tcPr>
            <w:tcW w:w="1161" w:type="dxa"/>
          </w:tcPr>
          <w:p>
            <w:pPr>
              <w:pStyle w:val="TableParagraph"/>
              <w:spacing w:before="117"/>
              <w:ind w:right="26"/>
              <w:jc w:val="right"/>
              <w:rPr>
                <w:rFonts w:ascii="Times New Roman"/>
                <w:sz w:val="21"/>
              </w:rPr>
            </w:pPr>
            <w:r>
              <w:rPr>
                <w:rFonts w:ascii="Times New Roman"/>
                <w:sz w:val="21"/>
              </w:rPr>
              <w:t>4,970,178.93</w:t>
            </w:r>
          </w:p>
        </w:tc>
      </w:tr>
      <w:tr>
        <w:trPr>
          <w:trHeight w:val="485" w:hRule="atLeast"/>
        </w:trPr>
        <w:tc>
          <w:tcPr>
            <w:tcW w:w="2440" w:type="dxa"/>
          </w:tcPr>
          <w:p>
            <w:pPr>
              <w:pStyle w:val="TableParagraph"/>
              <w:spacing w:before="105"/>
              <w:ind w:left="37"/>
              <w:rPr>
                <w:sz w:val="21"/>
              </w:rPr>
            </w:pPr>
            <w:r>
              <w:rPr>
                <w:sz w:val="21"/>
              </w:rPr>
              <w:t>前端申购费（</w:t>
            </w:r>
            <w:r>
              <w:rPr>
                <w:rFonts w:ascii="Times New Roman" w:eastAsia="Times New Roman"/>
                <w:sz w:val="21"/>
              </w:rPr>
              <w:t>d=a-c</w:t>
            </w:r>
            <w:r>
              <w:rPr>
                <w:sz w:val="21"/>
              </w:rPr>
              <w:t>）</w:t>
            </w:r>
          </w:p>
        </w:tc>
        <w:tc>
          <w:tcPr>
            <w:tcW w:w="745" w:type="dxa"/>
          </w:tcPr>
          <w:p>
            <w:pPr>
              <w:pStyle w:val="TableParagraph"/>
              <w:spacing w:before="116"/>
              <w:ind w:left="-24" w:right="29"/>
              <w:jc w:val="right"/>
              <w:rPr>
                <w:rFonts w:ascii="Times New Roman"/>
                <w:sz w:val="21"/>
              </w:rPr>
            </w:pPr>
            <w:r>
              <w:rPr>
                <w:rFonts w:ascii="Times New Roman"/>
                <w:sz w:val="21"/>
              </w:rPr>
              <w:t>11.86</w:t>
            </w:r>
          </w:p>
        </w:tc>
        <w:tc>
          <w:tcPr>
            <w:tcW w:w="1165" w:type="dxa"/>
          </w:tcPr>
          <w:p>
            <w:pPr>
              <w:pStyle w:val="TableParagraph"/>
              <w:spacing w:before="116"/>
              <w:ind w:right="29"/>
              <w:jc w:val="right"/>
              <w:rPr>
                <w:rFonts w:ascii="Times New Roman"/>
                <w:sz w:val="21"/>
              </w:rPr>
            </w:pPr>
            <w:r>
              <w:rPr>
                <w:rFonts w:ascii="Times New Roman"/>
                <w:sz w:val="21"/>
              </w:rPr>
              <w:t>8,919.72</w:t>
            </w:r>
          </w:p>
        </w:tc>
        <w:tc>
          <w:tcPr>
            <w:tcW w:w="1161" w:type="dxa"/>
          </w:tcPr>
          <w:p>
            <w:pPr>
              <w:pStyle w:val="TableParagraph"/>
              <w:spacing w:before="116"/>
              <w:ind w:right="26"/>
              <w:jc w:val="right"/>
              <w:rPr>
                <w:rFonts w:ascii="Times New Roman"/>
                <w:sz w:val="21"/>
              </w:rPr>
            </w:pPr>
            <w:r>
              <w:rPr>
                <w:rFonts w:ascii="Times New Roman"/>
                <w:sz w:val="21"/>
              </w:rPr>
              <w:t>29,821.07</w:t>
            </w:r>
          </w:p>
        </w:tc>
      </w:tr>
      <w:tr>
        <w:trPr>
          <w:trHeight w:val="486" w:hRule="atLeast"/>
        </w:trPr>
        <w:tc>
          <w:tcPr>
            <w:tcW w:w="2440" w:type="dxa"/>
          </w:tcPr>
          <w:p>
            <w:pPr>
              <w:pStyle w:val="TableParagraph"/>
              <w:spacing w:before="105"/>
              <w:ind w:left="37" w:right="-29"/>
              <w:rPr>
                <w:sz w:val="21"/>
              </w:rPr>
            </w:pPr>
            <w:r>
              <w:rPr>
                <w:rFonts w:ascii="Times New Roman" w:eastAsia="Times New Roman"/>
                <w:sz w:val="21"/>
              </w:rPr>
              <w:t>T</w:t>
            </w:r>
            <w:r>
              <w:rPr>
                <w:spacing w:val="-3"/>
                <w:sz w:val="21"/>
              </w:rPr>
              <w:t>日</w:t>
            </w:r>
            <w:r>
              <w:rPr>
                <w:rFonts w:ascii="Times New Roman" w:eastAsia="Times New Roman"/>
                <w:sz w:val="21"/>
              </w:rPr>
              <w:t>A</w:t>
            </w:r>
            <w:r>
              <w:rPr>
                <w:spacing w:val="-11"/>
                <w:sz w:val="21"/>
              </w:rPr>
              <w:t>类基金份额净值</w:t>
            </w:r>
            <w:r>
              <w:rPr>
                <w:sz w:val="21"/>
              </w:rPr>
              <w:t>（</w:t>
            </w:r>
            <w:r>
              <w:rPr>
                <w:rFonts w:ascii="Times New Roman" w:eastAsia="Times New Roman"/>
                <w:sz w:val="21"/>
              </w:rPr>
              <w:t>e</w:t>
            </w:r>
            <w:r>
              <w:rPr>
                <w:sz w:val="21"/>
              </w:rPr>
              <w:t>）</w:t>
            </w:r>
          </w:p>
        </w:tc>
        <w:tc>
          <w:tcPr>
            <w:tcW w:w="745" w:type="dxa"/>
          </w:tcPr>
          <w:p>
            <w:pPr>
              <w:pStyle w:val="TableParagraph"/>
              <w:spacing w:before="116"/>
              <w:ind w:left="-24" w:right="29"/>
              <w:jc w:val="right"/>
              <w:rPr>
                <w:rFonts w:ascii="Times New Roman"/>
                <w:sz w:val="21"/>
              </w:rPr>
            </w:pPr>
            <w:r>
              <w:rPr>
                <w:rFonts w:ascii="Times New Roman"/>
                <w:sz w:val="21"/>
              </w:rPr>
              <w:t>1.2300</w:t>
            </w:r>
          </w:p>
        </w:tc>
        <w:tc>
          <w:tcPr>
            <w:tcW w:w="1165" w:type="dxa"/>
          </w:tcPr>
          <w:p>
            <w:pPr>
              <w:pStyle w:val="TableParagraph"/>
              <w:spacing w:before="116"/>
              <w:ind w:right="31"/>
              <w:jc w:val="right"/>
              <w:rPr>
                <w:rFonts w:ascii="Times New Roman"/>
                <w:sz w:val="21"/>
              </w:rPr>
            </w:pPr>
            <w:r>
              <w:rPr>
                <w:rFonts w:ascii="Times New Roman"/>
                <w:sz w:val="21"/>
              </w:rPr>
              <w:t>1.2300</w:t>
            </w:r>
          </w:p>
        </w:tc>
        <w:tc>
          <w:tcPr>
            <w:tcW w:w="1161" w:type="dxa"/>
          </w:tcPr>
          <w:p>
            <w:pPr>
              <w:pStyle w:val="TableParagraph"/>
              <w:spacing w:before="116"/>
              <w:ind w:right="28"/>
              <w:jc w:val="right"/>
              <w:rPr>
                <w:rFonts w:ascii="Times New Roman"/>
                <w:sz w:val="21"/>
              </w:rPr>
            </w:pPr>
            <w:r>
              <w:rPr>
                <w:rFonts w:ascii="Times New Roman"/>
                <w:sz w:val="21"/>
              </w:rPr>
              <w:t>1.2300</w:t>
            </w:r>
          </w:p>
        </w:tc>
      </w:tr>
      <w:tr>
        <w:trPr>
          <w:trHeight w:val="476" w:hRule="atLeast"/>
        </w:trPr>
        <w:tc>
          <w:tcPr>
            <w:tcW w:w="2440" w:type="dxa"/>
            <w:tcBorders>
              <w:bottom w:val="single" w:sz="12" w:space="0" w:color="000000"/>
            </w:tcBorders>
          </w:tcPr>
          <w:p>
            <w:pPr>
              <w:pStyle w:val="TableParagraph"/>
              <w:spacing w:before="106"/>
              <w:ind w:left="37"/>
              <w:rPr>
                <w:sz w:val="21"/>
              </w:rPr>
            </w:pPr>
            <w:r>
              <w:rPr>
                <w:sz w:val="21"/>
              </w:rPr>
              <w:t>申购份额（</w:t>
            </w:r>
            <w:r>
              <w:rPr>
                <w:rFonts w:ascii="Times New Roman" w:eastAsia="Times New Roman"/>
                <w:sz w:val="21"/>
              </w:rPr>
              <w:t>f=c/e</w:t>
            </w:r>
            <w:r>
              <w:rPr>
                <w:sz w:val="21"/>
              </w:rPr>
              <w:t>）</w:t>
            </w:r>
          </w:p>
        </w:tc>
        <w:tc>
          <w:tcPr>
            <w:tcW w:w="745" w:type="dxa"/>
            <w:tcBorders>
              <w:bottom w:val="single" w:sz="12" w:space="0" w:color="000000"/>
            </w:tcBorders>
          </w:tcPr>
          <w:p>
            <w:pPr>
              <w:pStyle w:val="TableParagraph"/>
              <w:spacing w:before="117"/>
              <w:ind w:left="-24" w:right="29"/>
              <w:jc w:val="right"/>
              <w:rPr>
                <w:rFonts w:ascii="Times New Roman"/>
                <w:sz w:val="21"/>
              </w:rPr>
            </w:pPr>
            <w:r>
              <w:rPr>
                <w:rFonts w:ascii="Times New Roman"/>
                <w:sz w:val="21"/>
              </w:rPr>
              <w:t>803.37</w:t>
            </w:r>
          </w:p>
        </w:tc>
        <w:tc>
          <w:tcPr>
            <w:tcW w:w="1165" w:type="dxa"/>
            <w:tcBorders>
              <w:bottom w:val="single" w:sz="12" w:space="0" w:color="000000"/>
            </w:tcBorders>
          </w:tcPr>
          <w:p>
            <w:pPr>
              <w:pStyle w:val="TableParagraph"/>
              <w:spacing w:before="117"/>
              <w:ind w:right="29"/>
              <w:jc w:val="right"/>
              <w:rPr>
                <w:rFonts w:ascii="Times New Roman"/>
                <w:sz w:val="21"/>
              </w:rPr>
            </w:pPr>
            <w:r>
              <w:rPr>
                <w:rFonts w:ascii="Times New Roman"/>
                <w:sz w:val="21"/>
              </w:rPr>
              <w:t>805,756.33</w:t>
            </w:r>
          </w:p>
        </w:tc>
        <w:tc>
          <w:tcPr>
            <w:tcW w:w="1161" w:type="dxa"/>
            <w:tcBorders>
              <w:bottom w:val="single" w:sz="12" w:space="0" w:color="000000"/>
            </w:tcBorders>
          </w:tcPr>
          <w:p>
            <w:pPr>
              <w:pStyle w:val="TableParagraph"/>
              <w:spacing w:before="117"/>
              <w:ind w:right="26"/>
              <w:jc w:val="right"/>
              <w:rPr>
                <w:rFonts w:ascii="Times New Roman"/>
                <w:sz w:val="21"/>
              </w:rPr>
            </w:pPr>
            <w:r>
              <w:rPr>
                <w:rFonts w:ascii="Times New Roman"/>
                <w:sz w:val="21"/>
              </w:rPr>
              <w:t>4,040,795.88</w:t>
            </w:r>
          </w:p>
        </w:tc>
      </w:tr>
    </w:tbl>
    <w:p>
      <w:pPr>
        <w:pStyle w:val="BodyText"/>
        <w:spacing w:before="104"/>
        <w:ind w:left="720"/>
      </w:pPr>
      <w:r>
        <w:rPr/>
        <w:pict>
          <v:group style="position:absolute;margin-left:200.210007pt;margin-top:25.180073pt;width:194.9pt;height:98.8pt;mso-position-horizontal-relative:page;mso-position-vertical-relative:paragraph;z-index:-261684224" coordorigin="4004,504" coordsize="3898,1976">
            <v:shape style="position:absolute;left:6630;top:503;width:10;height:351" type="#_x0000_t75" stroked="false">
              <v:imagedata r:id="rId218" o:title=""/>
            </v:shape>
            <v:shape style="position:absolute;left:4004;top:854;width:3898;height:1626" type="#_x0000_t75" stroked="false">
              <v:imagedata r:id="rId219" o:title=""/>
            </v:shape>
            <w10:wrap type="none"/>
          </v:group>
        </w:pict>
      </w:r>
      <w:r>
        <w:rPr/>
        <w:t>若申购金额为 </w:t>
      </w:r>
      <w:r>
        <w:rPr>
          <w:rFonts w:ascii="Times New Roman" w:eastAsia="Times New Roman"/>
        </w:rPr>
        <w:t>1000 </w:t>
      </w:r>
      <w:r>
        <w:rPr/>
        <w:t>万元，则申购负担的前端申购费用和获得的 </w:t>
      </w:r>
      <w:r>
        <w:rPr>
          <w:rFonts w:ascii="Times New Roman" w:eastAsia="Times New Roman"/>
        </w:rPr>
        <w:t>A </w:t>
      </w:r>
      <w:r>
        <w:rPr/>
        <w:t>类基金份额计算如下：</w:t>
      </w:r>
    </w:p>
    <w:p>
      <w:pPr>
        <w:pStyle w:val="BodyText"/>
        <w:spacing w:before="12"/>
        <w:rPr>
          <w:sz w:val="7"/>
        </w:rPr>
      </w:pPr>
    </w:p>
    <w:tbl>
      <w:tblPr>
        <w:tblW w:w="0" w:type="auto"/>
        <w:jc w:val="left"/>
        <w:tblInd w:w="2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8"/>
        <w:gridCol w:w="1309"/>
      </w:tblGrid>
      <w:tr>
        <w:trPr>
          <w:trHeight w:val="318" w:hRule="atLeast"/>
        </w:trPr>
        <w:tc>
          <w:tcPr>
            <w:tcW w:w="2598" w:type="dxa"/>
            <w:tcBorders>
              <w:top w:val="single" w:sz="12" w:space="0" w:color="000000"/>
              <w:bottom w:val="single" w:sz="12" w:space="0" w:color="000000"/>
            </w:tcBorders>
          </w:tcPr>
          <w:p>
            <w:pPr>
              <w:pStyle w:val="TableParagraph"/>
              <w:spacing w:before="0"/>
              <w:rPr>
                <w:rFonts w:ascii="Times New Roman"/>
                <w:sz w:val="20"/>
              </w:rPr>
            </w:pPr>
          </w:p>
        </w:tc>
        <w:tc>
          <w:tcPr>
            <w:tcW w:w="1309" w:type="dxa"/>
            <w:tcBorders>
              <w:top w:val="single" w:sz="12" w:space="0" w:color="000000"/>
              <w:bottom w:val="single" w:sz="12" w:space="0" w:color="000000"/>
            </w:tcBorders>
          </w:tcPr>
          <w:p>
            <w:pPr>
              <w:pStyle w:val="TableParagraph"/>
              <w:spacing w:before="27"/>
              <w:ind w:left="411"/>
              <w:rPr>
                <w:rFonts w:ascii="Times New Roman" w:eastAsia="Times New Roman"/>
                <w:sz w:val="21"/>
              </w:rPr>
            </w:pPr>
            <w:r>
              <w:rPr>
                <w:sz w:val="21"/>
              </w:rPr>
              <w:t>申购</w:t>
            </w:r>
            <w:r>
              <w:rPr>
                <w:rFonts w:ascii="Times New Roman" w:eastAsia="Times New Roman"/>
                <w:sz w:val="21"/>
              </w:rPr>
              <w:t>4</w:t>
            </w:r>
          </w:p>
        </w:tc>
      </w:tr>
      <w:tr>
        <w:trPr>
          <w:trHeight w:val="326" w:hRule="atLeast"/>
        </w:trPr>
        <w:tc>
          <w:tcPr>
            <w:tcW w:w="2598" w:type="dxa"/>
            <w:tcBorders>
              <w:top w:val="single" w:sz="12" w:space="0" w:color="000000"/>
            </w:tcBorders>
          </w:tcPr>
          <w:p>
            <w:pPr>
              <w:pStyle w:val="TableParagraph"/>
              <w:spacing w:before="24"/>
              <w:ind w:left="40"/>
              <w:rPr>
                <w:sz w:val="21"/>
              </w:rPr>
            </w:pPr>
            <w:r>
              <w:rPr>
                <w:sz w:val="21"/>
              </w:rPr>
              <w:t>申购金额（元，</w:t>
            </w:r>
            <w:r>
              <w:rPr>
                <w:rFonts w:ascii="Times New Roman" w:eastAsia="Times New Roman"/>
                <w:sz w:val="21"/>
              </w:rPr>
              <w:t>a</w:t>
            </w:r>
            <w:r>
              <w:rPr>
                <w:sz w:val="21"/>
              </w:rPr>
              <w:t>）</w:t>
            </w:r>
          </w:p>
        </w:tc>
        <w:tc>
          <w:tcPr>
            <w:tcW w:w="1309" w:type="dxa"/>
            <w:tcBorders>
              <w:top w:val="single" w:sz="12" w:space="0" w:color="000000"/>
            </w:tcBorders>
          </w:tcPr>
          <w:p>
            <w:pPr>
              <w:pStyle w:val="TableParagraph"/>
              <w:spacing w:before="36"/>
              <w:ind w:right="26"/>
              <w:jc w:val="right"/>
              <w:rPr>
                <w:rFonts w:ascii="Times New Roman"/>
                <w:sz w:val="21"/>
              </w:rPr>
            </w:pPr>
            <w:r>
              <w:rPr>
                <w:rFonts w:ascii="Times New Roman"/>
                <w:sz w:val="21"/>
              </w:rPr>
              <w:t>10,000,000.00</w:t>
            </w:r>
          </w:p>
        </w:tc>
      </w:tr>
      <w:tr>
        <w:trPr>
          <w:trHeight w:val="327" w:hRule="atLeast"/>
        </w:trPr>
        <w:tc>
          <w:tcPr>
            <w:tcW w:w="2598" w:type="dxa"/>
          </w:tcPr>
          <w:p>
            <w:pPr>
              <w:pStyle w:val="TableParagraph"/>
              <w:spacing w:before="27"/>
              <w:ind w:left="40"/>
              <w:rPr>
                <w:sz w:val="21"/>
              </w:rPr>
            </w:pPr>
            <w:r>
              <w:rPr>
                <w:sz w:val="21"/>
              </w:rPr>
              <w:t>前端申购费（</w:t>
            </w:r>
            <w:r>
              <w:rPr>
                <w:rFonts w:ascii="Times New Roman" w:eastAsia="Times New Roman"/>
                <w:sz w:val="21"/>
              </w:rPr>
              <w:t>b</w:t>
            </w:r>
            <w:r>
              <w:rPr>
                <w:sz w:val="21"/>
              </w:rPr>
              <w:t>）</w:t>
            </w:r>
          </w:p>
        </w:tc>
        <w:tc>
          <w:tcPr>
            <w:tcW w:w="1309" w:type="dxa"/>
          </w:tcPr>
          <w:p>
            <w:pPr>
              <w:pStyle w:val="TableParagraph"/>
              <w:spacing w:before="38"/>
              <w:ind w:right="26"/>
              <w:jc w:val="right"/>
              <w:rPr>
                <w:rFonts w:ascii="Times New Roman"/>
                <w:sz w:val="21"/>
              </w:rPr>
            </w:pPr>
            <w:r>
              <w:rPr>
                <w:rFonts w:ascii="Times New Roman"/>
                <w:sz w:val="21"/>
              </w:rPr>
              <w:t>1,000.00</w:t>
            </w:r>
          </w:p>
        </w:tc>
      </w:tr>
      <w:tr>
        <w:trPr>
          <w:trHeight w:val="326" w:hRule="atLeast"/>
        </w:trPr>
        <w:tc>
          <w:tcPr>
            <w:tcW w:w="2598" w:type="dxa"/>
          </w:tcPr>
          <w:p>
            <w:pPr>
              <w:pStyle w:val="TableParagraph"/>
              <w:ind w:left="40"/>
              <w:rPr>
                <w:sz w:val="21"/>
              </w:rPr>
            </w:pPr>
            <w:r>
              <w:rPr>
                <w:sz w:val="21"/>
              </w:rPr>
              <w:t>净申购金额（</w:t>
            </w:r>
            <w:r>
              <w:rPr>
                <w:rFonts w:ascii="Times New Roman" w:eastAsia="Times New Roman"/>
                <w:sz w:val="21"/>
              </w:rPr>
              <w:t>c=a-b</w:t>
            </w:r>
            <w:r>
              <w:rPr>
                <w:sz w:val="21"/>
              </w:rPr>
              <w:t>）</w:t>
            </w:r>
          </w:p>
        </w:tc>
        <w:tc>
          <w:tcPr>
            <w:tcW w:w="1309" w:type="dxa"/>
          </w:tcPr>
          <w:p>
            <w:pPr>
              <w:pStyle w:val="TableParagraph"/>
              <w:spacing w:before="37"/>
              <w:ind w:right="29"/>
              <w:jc w:val="right"/>
              <w:rPr>
                <w:rFonts w:ascii="Times New Roman"/>
                <w:sz w:val="21"/>
              </w:rPr>
            </w:pPr>
            <w:r>
              <w:rPr>
                <w:rFonts w:ascii="Times New Roman"/>
                <w:sz w:val="21"/>
              </w:rPr>
              <w:t>9,999,000.00</w:t>
            </w:r>
          </w:p>
        </w:tc>
      </w:tr>
      <w:tr>
        <w:trPr>
          <w:trHeight w:val="326" w:hRule="atLeast"/>
        </w:trPr>
        <w:tc>
          <w:tcPr>
            <w:tcW w:w="2598" w:type="dxa"/>
          </w:tcPr>
          <w:p>
            <w:pPr>
              <w:pStyle w:val="TableParagraph"/>
              <w:ind w:left="40"/>
              <w:rPr>
                <w:sz w:val="21"/>
              </w:rPr>
            </w:pPr>
            <w:r>
              <w:rPr>
                <w:rFonts w:ascii="Times New Roman" w:eastAsia="Times New Roman"/>
                <w:sz w:val="21"/>
              </w:rPr>
              <w:t>T</w:t>
            </w:r>
            <w:r>
              <w:rPr>
                <w:sz w:val="21"/>
              </w:rPr>
              <w:t>日</w:t>
            </w:r>
            <w:r>
              <w:rPr>
                <w:rFonts w:ascii="Times New Roman" w:eastAsia="Times New Roman"/>
                <w:sz w:val="21"/>
              </w:rPr>
              <w:t>A</w:t>
            </w:r>
            <w:r>
              <w:rPr>
                <w:sz w:val="21"/>
              </w:rPr>
              <w:t>类基金份额净值（</w:t>
            </w:r>
            <w:r>
              <w:rPr>
                <w:rFonts w:ascii="Times New Roman" w:eastAsia="Times New Roman"/>
                <w:sz w:val="21"/>
              </w:rPr>
              <w:t>d</w:t>
            </w:r>
            <w:r>
              <w:rPr>
                <w:sz w:val="21"/>
              </w:rPr>
              <w:t>）</w:t>
            </w:r>
          </w:p>
        </w:tc>
        <w:tc>
          <w:tcPr>
            <w:tcW w:w="1309" w:type="dxa"/>
          </w:tcPr>
          <w:p>
            <w:pPr>
              <w:pStyle w:val="TableParagraph"/>
              <w:spacing w:before="37"/>
              <w:ind w:right="26"/>
              <w:jc w:val="right"/>
              <w:rPr>
                <w:rFonts w:ascii="Times New Roman"/>
                <w:sz w:val="21"/>
              </w:rPr>
            </w:pPr>
            <w:r>
              <w:rPr>
                <w:rFonts w:ascii="Times New Roman"/>
                <w:sz w:val="21"/>
              </w:rPr>
              <w:t>1.2300</w:t>
            </w:r>
          </w:p>
        </w:tc>
      </w:tr>
      <w:tr>
        <w:trPr>
          <w:trHeight w:val="319" w:hRule="atLeast"/>
        </w:trPr>
        <w:tc>
          <w:tcPr>
            <w:tcW w:w="2598" w:type="dxa"/>
            <w:tcBorders>
              <w:bottom w:val="single" w:sz="12" w:space="0" w:color="000000"/>
            </w:tcBorders>
          </w:tcPr>
          <w:p>
            <w:pPr>
              <w:pStyle w:val="TableParagraph"/>
              <w:spacing w:before="26"/>
              <w:ind w:left="40"/>
              <w:rPr>
                <w:sz w:val="21"/>
              </w:rPr>
            </w:pPr>
            <w:r>
              <w:rPr>
                <w:sz w:val="21"/>
              </w:rPr>
              <w:t>申购份额（</w:t>
            </w:r>
            <w:r>
              <w:rPr>
                <w:rFonts w:ascii="Times New Roman" w:eastAsia="Times New Roman"/>
                <w:sz w:val="21"/>
              </w:rPr>
              <w:t>e=c/d</w:t>
            </w:r>
            <w:r>
              <w:rPr>
                <w:sz w:val="21"/>
              </w:rPr>
              <w:t>）</w:t>
            </w:r>
          </w:p>
        </w:tc>
        <w:tc>
          <w:tcPr>
            <w:tcW w:w="1309" w:type="dxa"/>
            <w:tcBorders>
              <w:bottom w:val="single" w:sz="12" w:space="0" w:color="000000"/>
            </w:tcBorders>
          </w:tcPr>
          <w:p>
            <w:pPr>
              <w:pStyle w:val="TableParagraph"/>
              <w:spacing w:before="37"/>
              <w:ind w:right="29"/>
              <w:jc w:val="right"/>
              <w:rPr>
                <w:rFonts w:ascii="Times New Roman"/>
                <w:sz w:val="21"/>
              </w:rPr>
            </w:pPr>
            <w:r>
              <w:rPr>
                <w:rFonts w:ascii="Times New Roman"/>
                <w:sz w:val="21"/>
              </w:rPr>
              <w:t>8,129,268.29</w:t>
            </w:r>
          </w:p>
        </w:tc>
      </w:tr>
    </w:tbl>
    <w:p>
      <w:pPr>
        <w:pStyle w:val="BodyText"/>
        <w:spacing w:before="104"/>
        <w:ind w:left="720"/>
      </w:pPr>
      <w:r>
        <w:rPr/>
        <w:t>例二：假定 </w:t>
      </w:r>
      <w:r>
        <w:rPr>
          <w:rFonts w:ascii="Times New Roman" w:eastAsia="Times New Roman"/>
        </w:rPr>
        <w:t>T </w:t>
      </w:r>
      <w:r>
        <w:rPr/>
        <w:t>日的 </w:t>
      </w:r>
      <w:r>
        <w:rPr>
          <w:rFonts w:ascii="Times New Roman" w:eastAsia="Times New Roman"/>
        </w:rPr>
        <w:t>C </w:t>
      </w:r>
      <w:r>
        <w:rPr/>
        <w:t>类基金份额净值为 </w:t>
      </w:r>
      <w:r>
        <w:rPr>
          <w:rFonts w:ascii="Times New Roman" w:eastAsia="Times New Roman"/>
        </w:rPr>
        <w:t>1.2500 </w:t>
      </w:r>
      <w:r>
        <w:rPr/>
        <w:t>元，投资者申购金额为 </w:t>
      </w:r>
      <w:r>
        <w:rPr>
          <w:rFonts w:ascii="Times New Roman" w:eastAsia="Times New Roman"/>
        </w:rPr>
        <w:t>5,000,000.00 </w:t>
      </w:r>
      <w:r>
        <w:rPr/>
        <w:t>元，</w:t>
      </w:r>
    </w:p>
    <w:p>
      <w:pPr>
        <w:spacing w:after="0"/>
        <w:sectPr>
          <w:pgSz w:w="11910" w:h="16840"/>
          <w:pgMar w:header="701" w:footer="683" w:top="1420" w:bottom="880" w:left="1500" w:right="920"/>
        </w:sectPr>
      </w:pPr>
    </w:p>
    <w:p>
      <w:pPr>
        <w:pStyle w:val="BodyText"/>
        <w:spacing w:before="115"/>
        <w:ind w:left="300"/>
      </w:pPr>
      <w:r>
        <w:rPr/>
        <w:t>则申购获得的</w:t>
      </w:r>
      <w:r>
        <w:rPr>
          <w:rFonts w:ascii="Times New Roman" w:eastAsia="Times New Roman"/>
        </w:rPr>
        <w:t>C </w:t>
      </w:r>
      <w:r>
        <w:rPr/>
        <w:t>类基金份额计算如下：</w:t>
      </w:r>
    </w:p>
    <w:p>
      <w:pPr>
        <w:pStyle w:val="BodyText"/>
        <w:rPr>
          <w:sz w:val="16"/>
        </w:rPr>
      </w:pPr>
    </w:p>
    <w:p>
      <w:pPr>
        <w:pStyle w:val="BodyText"/>
        <w:spacing w:before="1"/>
        <w:ind w:left="1560"/>
      </w:pPr>
      <w:r>
        <w:rPr/>
        <w:t>申购份额＝</w:t>
      </w:r>
      <w:r>
        <w:rPr>
          <w:rFonts w:ascii="Times New Roman" w:eastAsia="Times New Roman"/>
        </w:rPr>
        <w:t>5,000,000.00/1.2500=4,000,000.00 </w:t>
      </w:r>
      <w:r>
        <w:rPr/>
        <w:t>份</w:t>
      </w:r>
    </w:p>
    <w:p>
      <w:pPr>
        <w:pStyle w:val="BodyText"/>
        <w:spacing w:before="1"/>
        <w:rPr>
          <w:sz w:val="16"/>
        </w:rPr>
      </w:pPr>
    </w:p>
    <w:p>
      <w:pPr>
        <w:pStyle w:val="BodyText"/>
        <w:ind w:left="720"/>
      </w:pPr>
      <w:r>
        <w:rPr>
          <w:rFonts w:ascii="Times New Roman" w:eastAsia="Times New Roman"/>
        </w:rPr>
        <w:t>2</w:t>
      </w:r>
      <w:r>
        <w:rPr/>
        <w:t>、赎回金额的计算</w:t>
      </w:r>
    </w:p>
    <w:p>
      <w:pPr>
        <w:pStyle w:val="BodyText"/>
        <w:spacing w:before="1"/>
        <w:rPr>
          <w:sz w:val="16"/>
        </w:rPr>
      </w:pPr>
    </w:p>
    <w:p>
      <w:pPr>
        <w:pStyle w:val="BodyText"/>
        <w:spacing w:line="424" w:lineRule="auto"/>
        <w:ind w:left="1560" w:right="3682" w:hanging="840"/>
        <w:jc w:val="both"/>
      </w:pPr>
      <w:r>
        <w:rPr/>
        <w:t>当投资者赎回基金份额时，赎回金额的计算方法如下： 赎回总金额＝赎回份额</w:t>
      </w:r>
      <w:r>
        <w:rPr>
          <w:rFonts w:ascii="Times New Roman" w:hAnsi="Times New Roman" w:eastAsia="Times New Roman"/>
        </w:rPr>
        <w:t>×T</w:t>
      </w:r>
      <w:r>
        <w:rPr/>
        <w:t>日该类基金份额净值赎回费用＝赎回总金额</w:t>
      </w:r>
      <w:r>
        <w:rPr>
          <w:rFonts w:ascii="Times New Roman" w:hAnsi="Times New Roman" w:eastAsia="Times New Roman"/>
        </w:rPr>
        <w:t>×</w:t>
      </w:r>
      <w:r>
        <w:rPr/>
        <w:t>赎回费率</w:t>
      </w:r>
    </w:p>
    <w:p>
      <w:pPr>
        <w:pStyle w:val="BodyText"/>
        <w:spacing w:line="268" w:lineRule="exact"/>
        <w:ind w:left="1560"/>
      </w:pPr>
      <w:r>
        <w:rPr/>
        <w:t>净赎回金额</w:t>
      </w:r>
      <w:r>
        <w:rPr>
          <w:rFonts w:ascii="Times New Roman" w:eastAsia="Times New Roman"/>
        </w:rPr>
        <w:t>=</w:t>
      </w:r>
      <w:r>
        <w:rPr/>
        <w:t>赎回总金额</w:t>
      </w:r>
      <w:r>
        <w:rPr>
          <w:rFonts w:ascii="Times New Roman" w:eastAsia="Times New Roman"/>
        </w:rPr>
        <w:t>-</w:t>
      </w:r>
      <w:r>
        <w:rPr/>
        <w:t>赎回费用</w:t>
      </w:r>
    </w:p>
    <w:p>
      <w:pPr>
        <w:pStyle w:val="BodyText"/>
        <w:spacing w:before="1"/>
        <w:rPr>
          <w:sz w:val="16"/>
        </w:rPr>
      </w:pPr>
    </w:p>
    <w:p>
      <w:pPr>
        <w:pStyle w:val="BodyText"/>
        <w:spacing w:before="1"/>
        <w:ind w:left="720"/>
        <w:rPr>
          <w:rFonts w:ascii="Times New Roman" w:eastAsia="Times New Roman"/>
        </w:rPr>
      </w:pPr>
      <w:r>
        <w:rPr/>
        <w:t>例三：假定某投资者在 </w:t>
      </w:r>
      <w:r>
        <w:rPr>
          <w:rFonts w:ascii="Times New Roman" w:eastAsia="Times New Roman"/>
        </w:rPr>
        <w:t>T </w:t>
      </w:r>
      <w:r>
        <w:rPr/>
        <w:t>日赎回 </w:t>
      </w:r>
      <w:r>
        <w:rPr>
          <w:rFonts w:ascii="Times New Roman" w:eastAsia="Times New Roman"/>
        </w:rPr>
        <w:t>10,000.00 </w:t>
      </w:r>
      <w:r>
        <w:rPr/>
        <w:t>份 </w:t>
      </w:r>
      <w:r>
        <w:rPr>
          <w:rFonts w:ascii="Times New Roman" w:eastAsia="Times New Roman"/>
        </w:rPr>
        <w:t>A </w:t>
      </w:r>
      <w:r>
        <w:rPr/>
        <w:t>类基金份额，持有期限半年，该日 </w:t>
      </w:r>
      <w:r>
        <w:rPr>
          <w:rFonts w:ascii="Times New Roman" w:eastAsia="Times New Roman"/>
        </w:rPr>
        <w:t>A</w:t>
      </w:r>
    </w:p>
    <w:p>
      <w:pPr>
        <w:pStyle w:val="BodyText"/>
        <w:spacing w:before="10"/>
        <w:rPr>
          <w:rFonts w:ascii="Times New Roman"/>
          <w:sz w:val="17"/>
        </w:rPr>
      </w:pPr>
    </w:p>
    <w:p>
      <w:pPr>
        <w:pStyle w:val="BodyText"/>
        <w:spacing w:line="424" w:lineRule="auto"/>
        <w:ind w:left="1560" w:right="3395" w:hanging="1260"/>
      </w:pPr>
      <w:r>
        <w:rPr/>
        <w:t>类基金份额净值为 </w:t>
      </w:r>
      <w:r>
        <w:rPr>
          <w:rFonts w:ascii="Times New Roman" w:hAnsi="Times New Roman" w:eastAsia="Times New Roman"/>
        </w:rPr>
        <w:t>1.2500 </w:t>
      </w:r>
      <w:r>
        <w:rPr/>
        <w:t>元，则其获得的赎回金额计算如下： 赎回总金额</w:t>
      </w:r>
      <w:r>
        <w:rPr>
          <w:rFonts w:ascii="Times New Roman" w:hAnsi="Times New Roman" w:eastAsia="Times New Roman"/>
        </w:rPr>
        <w:t>=10,000.00×1.250 0=12,500.00</w:t>
      </w:r>
      <w:r>
        <w:rPr/>
        <w:t>元</w:t>
      </w:r>
    </w:p>
    <w:p>
      <w:pPr>
        <w:pStyle w:val="BodyText"/>
        <w:spacing w:line="267" w:lineRule="exact"/>
        <w:ind w:left="1560"/>
      </w:pPr>
      <w:r>
        <w:rPr/>
        <w:t>赎回费用＝</w:t>
      </w:r>
      <w:r>
        <w:rPr>
          <w:rFonts w:ascii="Times New Roman" w:hAnsi="Times New Roman" w:eastAsia="Times New Roman"/>
        </w:rPr>
        <w:t>12,500.00×0.5 </w:t>
      </w:r>
      <w:r>
        <w:rPr/>
        <w:t>％＝</w:t>
      </w:r>
      <w:r>
        <w:rPr>
          <w:rFonts w:ascii="Times New Roman" w:hAnsi="Times New Roman" w:eastAsia="Times New Roman"/>
        </w:rPr>
        <w:t>62.50</w:t>
      </w:r>
      <w:r>
        <w:rPr/>
        <w:t>元</w:t>
      </w:r>
    </w:p>
    <w:p>
      <w:pPr>
        <w:pStyle w:val="BodyText"/>
        <w:spacing w:before="1"/>
        <w:rPr>
          <w:sz w:val="16"/>
        </w:rPr>
      </w:pPr>
    </w:p>
    <w:p>
      <w:pPr>
        <w:pStyle w:val="BodyText"/>
        <w:ind w:left="1560"/>
      </w:pPr>
      <w:r>
        <w:rPr/>
        <w:t>净赎回金额</w:t>
      </w:r>
      <w:r>
        <w:rPr>
          <w:rFonts w:ascii="Times New Roman" w:eastAsia="Times New Roman"/>
        </w:rPr>
        <w:t>=12,500.00-62.50</w:t>
      </w:r>
      <w:r>
        <w:rPr/>
        <w:t>＝</w:t>
      </w:r>
      <w:r>
        <w:rPr>
          <w:rFonts w:ascii="Times New Roman" w:eastAsia="Times New Roman"/>
        </w:rPr>
        <w:t>12,437.50</w:t>
      </w:r>
      <w:r>
        <w:rPr/>
        <w:t>元</w:t>
      </w:r>
    </w:p>
    <w:p>
      <w:pPr>
        <w:pStyle w:val="BodyText"/>
        <w:spacing w:before="1"/>
        <w:rPr>
          <w:sz w:val="16"/>
        </w:rPr>
      </w:pPr>
    </w:p>
    <w:p>
      <w:pPr>
        <w:pStyle w:val="BodyText"/>
        <w:spacing w:line="427" w:lineRule="auto" w:before="1"/>
        <w:ind w:left="300" w:right="873" w:firstLine="419"/>
        <w:jc w:val="both"/>
      </w:pPr>
      <w:r>
        <w:rPr>
          <w:spacing w:val="-7"/>
        </w:rPr>
        <w:t>例四：假定某投资者在 </w:t>
      </w:r>
      <w:r>
        <w:rPr>
          <w:rFonts w:ascii="Times New Roman" w:eastAsia="Times New Roman"/>
        </w:rPr>
        <w:t>T </w:t>
      </w:r>
      <w:r>
        <w:rPr>
          <w:spacing w:val="-10"/>
        </w:rPr>
        <w:t>日赎回 </w:t>
      </w:r>
      <w:r>
        <w:rPr>
          <w:rFonts w:ascii="Times New Roman" w:eastAsia="Times New Roman"/>
        </w:rPr>
        <w:t>10,000.00 </w:t>
      </w:r>
      <w:r>
        <w:rPr>
          <w:spacing w:val="-21"/>
        </w:rPr>
        <w:t>份 </w:t>
      </w:r>
      <w:r>
        <w:rPr>
          <w:rFonts w:ascii="Times New Roman" w:eastAsia="Times New Roman"/>
        </w:rPr>
        <w:t>A </w:t>
      </w:r>
      <w:r>
        <w:rPr>
          <w:spacing w:val="-7"/>
        </w:rPr>
        <w:t>类基金份额，持有 </w:t>
      </w:r>
      <w:r>
        <w:rPr>
          <w:rFonts w:ascii="Times New Roman" w:eastAsia="Times New Roman"/>
        </w:rPr>
        <w:t>2 </w:t>
      </w:r>
      <w:r>
        <w:rPr>
          <w:spacing w:val="-11"/>
        </w:rPr>
        <w:t>年，该日 </w:t>
      </w:r>
      <w:r>
        <w:rPr>
          <w:rFonts w:ascii="Times New Roman" w:eastAsia="Times New Roman"/>
        </w:rPr>
        <w:t>A </w:t>
      </w:r>
      <w:r>
        <w:rPr>
          <w:spacing w:val="-2"/>
        </w:rPr>
        <w:t>类基</w:t>
      </w:r>
      <w:r>
        <w:rPr>
          <w:spacing w:val="-11"/>
        </w:rPr>
        <w:t>金份额净值为 </w:t>
      </w:r>
      <w:r>
        <w:rPr>
          <w:rFonts w:ascii="Times New Roman" w:eastAsia="Times New Roman"/>
        </w:rPr>
        <w:t>1.2250 </w:t>
      </w:r>
      <w:r>
        <w:rPr>
          <w:spacing w:val="-3"/>
        </w:rPr>
        <w:t>元，则其获得的赎回金额计算如下：</w:t>
      </w:r>
    </w:p>
    <w:p>
      <w:pPr>
        <w:pStyle w:val="BodyText"/>
        <w:spacing w:line="264" w:lineRule="exact"/>
        <w:ind w:left="1560"/>
      </w:pPr>
      <w:r>
        <w:rPr/>
        <w:t>赎回金额</w:t>
      </w:r>
      <w:r>
        <w:rPr>
          <w:rFonts w:ascii="Times New Roman" w:hAnsi="Times New Roman" w:eastAsia="Times New Roman"/>
        </w:rPr>
        <w:t>=10,000.00×1.225 0=12,250.00</w:t>
      </w:r>
      <w:r>
        <w:rPr/>
        <w:t>元</w:t>
      </w:r>
    </w:p>
    <w:p>
      <w:pPr>
        <w:pStyle w:val="BodyText"/>
        <w:spacing w:before="1"/>
        <w:rPr>
          <w:sz w:val="16"/>
        </w:rPr>
      </w:pPr>
    </w:p>
    <w:p>
      <w:pPr>
        <w:pStyle w:val="BodyText"/>
        <w:spacing w:line="424" w:lineRule="auto"/>
        <w:ind w:left="300" w:right="871" w:firstLine="419"/>
        <w:jc w:val="both"/>
      </w:pPr>
      <w:r>
        <w:rPr>
          <w:spacing w:val="-11"/>
        </w:rPr>
        <w:t>例五：假定某投资者在 </w:t>
      </w:r>
      <w:r>
        <w:rPr>
          <w:rFonts w:ascii="Times New Roman" w:eastAsia="Times New Roman"/>
        </w:rPr>
        <w:t>T </w:t>
      </w:r>
      <w:r>
        <w:rPr>
          <w:spacing w:val="-14"/>
        </w:rPr>
        <w:t>日赎回 </w:t>
      </w:r>
      <w:r>
        <w:rPr>
          <w:rFonts w:ascii="Times New Roman" w:eastAsia="Times New Roman"/>
        </w:rPr>
        <w:t>10,000.00 </w:t>
      </w:r>
      <w:r>
        <w:rPr>
          <w:spacing w:val="50"/>
        </w:rPr>
        <w:t>份</w:t>
      </w:r>
      <w:r>
        <w:rPr>
          <w:rFonts w:ascii="Times New Roman" w:eastAsia="Times New Roman"/>
        </w:rPr>
        <w:t>C </w:t>
      </w:r>
      <w:r>
        <w:rPr>
          <w:spacing w:val="-11"/>
        </w:rPr>
        <w:t>类基金份额，持有期限 </w:t>
      </w:r>
      <w:r>
        <w:rPr>
          <w:rFonts w:ascii="Times New Roman" w:eastAsia="Times New Roman"/>
        </w:rPr>
        <w:t>5 </w:t>
      </w:r>
      <w:r>
        <w:rPr>
          <w:spacing w:val="-18"/>
        </w:rPr>
        <w:t>天，该日 </w:t>
      </w:r>
      <w:r>
        <w:rPr>
          <w:rFonts w:ascii="Times New Roman" w:eastAsia="Times New Roman"/>
        </w:rPr>
        <w:t>C </w:t>
      </w:r>
      <w:r>
        <w:rPr/>
        <w:t>类</w:t>
      </w:r>
      <w:r>
        <w:rPr>
          <w:spacing w:val="-10"/>
        </w:rPr>
        <w:t>基金份额净值为 </w:t>
      </w:r>
      <w:r>
        <w:rPr>
          <w:rFonts w:ascii="Times New Roman" w:eastAsia="Times New Roman"/>
        </w:rPr>
        <w:t>1.2500 </w:t>
      </w:r>
      <w:r>
        <w:rPr>
          <w:spacing w:val="-3"/>
        </w:rPr>
        <w:t>元，则其获得的赎回金额计算如下：</w:t>
      </w:r>
    </w:p>
    <w:p>
      <w:pPr>
        <w:pStyle w:val="BodyText"/>
        <w:spacing w:line="424" w:lineRule="auto"/>
        <w:ind w:left="1560" w:right="3955"/>
      </w:pPr>
      <w:r>
        <w:rPr/>
        <w:t>赎回总金额</w:t>
      </w:r>
      <w:r>
        <w:rPr>
          <w:rFonts w:ascii="Times New Roman" w:hAnsi="Times New Roman" w:eastAsia="Times New Roman"/>
        </w:rPr>
        <w:t>=10,000.00</w:t>
      </w:r>
      <w:r>
        <w:rPr/>
        <w:t>×</w:t>
      </w:r>
      <w:r>
        <w:rPr>
          <w:rFonts w:ascii="Times New Roman" w:hAnsi="Times New Roman" w:eastAsia="Times New Roman"/>
        </w:rPr>
        <w:t>1.2500=12,500.00</w:t>
      </w:r>
      <w:r>
        <w:rPr/>
        <w:t>元赎回费用＝</w:t>
      </w:r>
      <w:r>
        <w:rPr>
          <w:rFonts w:ascii="Times New Roman" w:hAnsi="Times New Roman" w:eastAsia="Times New Roman"/>
        </w:rPr>
        <w:t>12,500.00</w:t>
      </w:r>
      <w:r>
        <w:rPr/>
        <w:t>×</w:t>
      </w:r>
      <w:r>
        <w:rPr>
          <w:rFonts w:ascii="Times New Roman" w:hAnsi="Times New Roman" w:eastAsia="Times New Roman"/>
        </w:rPr>
        <w:t>1.5%</w:t>
      </w:r>
      <w:r>
        <w:rPr/>
        <w:t>＝</w:t>
      </w:r>
      <w:r>
        <w:rPr>
          <w:rFonts w:ascii="Times New Roman" w:hAnsi="Times New Roman" w:eastAsia="Times New Roman"/>
        </w:rPr>
        <w:t>187.50</w:t>
      </w:r>
      <w:r>
        <w:rPr/>
        <w:t>元</w:t>
      </w:r>
    </w:p>
    <w:p>
      <w:pPr>
        <w:pStyle w:val="BodyText"/>
        <w:spacing w:line="267" w:lineRule="exact"/>
        <w:ind w:left="1560"/>
      </w:pPr>
      <w:r>
        <w:rPr/>
        <w:t>净赎回金额</w:t>
      </w:r>
      <w:r>
        <w:rPr>
          <w:rFonts w:ascii="Times New Roman" w:eastAsia="Times New Roman"/>
        </w:rPr>
        <w:t>=12,500.00-187.50</w:t>
      </w:r>
      <w:r>
        <w:rPr/>
        <w:t>＝</w:t>
      </w:r>
      <w:r>
        <w:rPr>
          <w:rFonts w:ascii="Times New Roman" w:eastAsia="Times New Roman"/>
        </w:rPr>
        <w:t>12,312.50 </w:t>
      </w:r>
      <w:r>
        <w:rPr/>
        <w:t>元</w:t>
      </w:r>
    </w:p>
    <w:p>
      <w:pPr>
        <w:pStyle w:val="BodyText"/>
        <w:spacing w:before="11"/>
        <w:rPr>
          <w:sz w:val="15"/>
        </w:rPr>
      </w:pPr>
    </w:p>
    <w:p>
      <w:pPr>
        <w:pStyle w:val="BodyText"/>
        <w:spacing w:line="424" w:lineRule="auto" w:before="1"/>
        <w:ind w:left="300" w:right="871" w:firstLine="419"/>
        <w:jc w:val="both"/>
      </w:pPr>
      <w:r>
        <w:rPr>
          <w:rFonts w:ascii="Times New Roman" w:eastAsia="Times New Roman"/>
        </w:rPr>
        <w:t>3</w:t>
      </w:r>
      <w:r>
        <w:rPr/>
        <w:t>、</w:t>
      </w:r>
      <w:r>
        <w:rPr>
          <w:rFonts w:ascii="Times New Roman" w:eastAsia="Times New Roman"/>
        </w:rPr>
        <w:t>T </w:t>
      </w:r>
      <w:r>
        <w:rPr>
          <w:spacing w:val="-5"/>
        </w:rPr>
        <w:t>日的基金份额净值在当天收市后计算，并在 </w:t>
      </w:r>
      <w:r>
        <w:rPr>
          <w:rFonts w:ascii="Times New Roman" w:eastAsia="Times New Roman"/>
        </w:rPr>
        <w:t>T+1 </w:t>
      </w:r>
      <w:r>
        <w:rPr>
          <w:spacing w:val="-3"/>
        </w:rPr>
        <w:t>日内公告。计算公式为计算日基</w:t>
      </w:r>
      <w:r>
        <w:rPr>
          <w:spacing w:val="-8"/>
        </w:rPr>
        <w:t>金资产净值除以计算日发售在外的基金份额总数。遇特殊情况，经中国证监会同意，可以适</w:t>
      </w:r>
      <w:r>
        <w:rPr>
          <w:spacing w:val="-13"/>
        </w:rPr>
        <w:t>当延迟计算或公告。本基金基金份额净值的计算，保留到小数点后 </w:t>
      </w:r>
      <w:r>
        <w:rPr>
          <w:rFonts w:ascii="Times New Roman" w:eastAsia="Times New Roman"/>
        </w:rPr>
        <w:t>4 </w:t>
      </w:r>
      <w:r>
        <w:rPr>
          <w:spacing w:val="-11"/>
        </w:rPr>
        <w:t>位，小数点后第 </w:t>
      </w:r>
      <w:r>
        <w:rPr>
          <w:rFonts w:ascii="Times New Roman" w:eastAsia="Times New Roman"/>
        </w:rPr>
        <w:t>5 </w:t>
      </w:r>
      <w:r>
        <w:rPr>
          <w:spacing w:val="-3"/>
        </w:rPr>
        <w:t>位四舍五入，由此产生的误差计入基金财产。</w:t>
      </w:r>
    </w:p>
    <w:p>
      <w:pPr>
        <w:pStyle w:val="BodyText"/>
        <w:spacing w:line="268" w:lineRule="exact"/>
        <w:ind w:left="720"/>
      </w:pPr>
      <w:r>
        <w:rPr/>
        <w:t>（十）申购和赎回的登记结算</w:t>
      </w:r>
    </w:p>
    <w:p>
      <w:pPr>
        <w:pStyle w:val="BodyText"/>
        <w:spacing w:before="1"/>
        <w:rPr>
          <w:sz w:val="16"/>
        </w:rPr>
      </w:pPr>
    </w:p>
    <w:p>
      <w:pPr>
        <w:pStyle w:val="BodyText"/>
        <w:spacing w:line="424" w:lineRule="auto"/>
        <w:ind w:left="300" w:right="871" w:firstLine="419"/>
      </w:pPr>
      <w:r>
        <w:rPr/>
        <w:t>投资者申购基金成功后，基金登记结算机构在 </w:t>
      </w:r>
      <w:r>
        <w:rPr>
          <w:rFonts w:ascii="Times New Roman" w:eastAsia="Times New Roman"/>
        </w:rPr>
        <w:t>T+1 </w:t>
      </w:r>
      <w:r>
        <w:rPr/>
        <w:t>日为投资者登记权益并办理登记结算手续，投资者自</w:t>
      </w:r>
      <w:r>
        <w:rPr>
          <w:rFonts w:ascii="Times New Roman" w:eastAsia="Times New Roman"/>
        </w:rPr>
        <w:t>T+2 </w:t>
      </w:r>
      <w:r>
        <w:rPr/>
        <w:t>日（含该日）起有权赎回该部分基金份额。</w:t>
      </w:r>
    </w:p>
    <w:p>
      <w:pPr>
        <w:pStyle w:val="BodyText"/>
        <w:spacing w:line="424" w:lineRule="auto"/>
        <w:ind w:left="300" w:right="871" w:firstLine="419"/>
      </w:pPr>
      <w:r>
        <w:rPr/>
        <w:t>投资者赎回基金成功后，基金登记结算机构在 </w:t>
      </w:r>
      <w:r>
        <w:rPr>
          <w:rFonts w:ascii="Times New Roman" w:eastAsia="Times New Roman"/>
        </w:rPr>
        <w:t>T+1 </w:t>
      </w:r>
      <w:r>
        <w:rPr/>
        <w:t>日为投资者办理扣除权益的登记结算手续。</w:t>
      </w:r>
    </w:p>
    <w:p>
      <w:pPr>
        <w:spacing w:after="0" w:line="424" w:lineRule="auto"/>
        <w:sectPr>
          <w:pgSz w:w="11910" w:h="16840"/>
          <w:pgMar w:header="701" w:footer="683" w:top="1420" w:bottom="880" w:left="1500" w:right="920"/>
        </w:sectPr>
      </w:pPr>
    </w:p>
    <w:p>
      <w:pPr>
        <w:pStyle w:val="BodyText"/>
        <w:spacing w:line="424" w:lineRule="auto" w:before="115"/>
        <w:ind w:left="300" w:right="871" w:firstLine="419"/>
      </w:pPr>
      <w:r>
        <w:rPr>
          <w:spacing w:val="-8"/>
        </w:rPr>
        <w:t>基金管理人可以在法律法规允许的范围内，对上述登记结算办理时间进行调整，但不得实质影响投资者的合法权益，并最迟于开始实施前 </w:t>
      </w:r>
      <w:r>
        <w:rPr>
          <w:rFonts w:ascii="Times New Roman" w:eastAsia="Times New Roman"/>
        </w:rPr>
        <w:t>3 </w:t>
      </w:r>
      <w:r>
        <w:rPr>
          <w:spacing w:val="-3"/>
        </w:rPr>
        <w:t>个工作日在规定媒介公告。</w:t>
      </w:r>
    </w:p>
    <w:p>
      <w:pPr>
        <w:pStyle w:val="BodyText"/>
        <w:spacing w:line="267" w:lineRule="exact"/>
        <w:ind w:left="720"/>
      </w:pPr>
      <w:r>
        <w:rPr/>
        <w:t>（十一）拒绝或暂停申购的情形及处理方式</w:t>
      </w:r>
    </w:p>
    <w:p>
      <w:pPr>
        <w:pStyle w:val="BodyText"/>
        <w:rPr>
          <w:sz w:val="16"/>
        </w:rPr>
      </w:pPr>
    </w:p>
    <w:p>
      <w:pPr>
        <w:pStyle w:val="BodyText"/>
        <w:spacing w:before="1"/>
        <w:ind w:left="720"/>
      </w:pPr>
      <w:r>
        <w:rPr/>
        <w:t>除非出现如下情形，基金管理人不得暂停或拒绝基金投资者的申购申请：</w:t>
      </w:r>
    </w:p>
    <w:p>
      <w:pPr>
        <w:pStyle w:val="BodyText"/>
        <w:spacing w:before="1"/>
        <w:rPr>
          <w:sz w:val="16"/>
        </w:rPr>
      </w:pPr>
    </w:p>
    <w:p>
      <w:pPr>
        <w:pStyle w:val="BodyText"/>
        <w:ind w:left="720"/>
      </w:pPr>
      <w:r>
        <w:rPr>
          <w:rFonts w:ascii="Times New Roman" w:eastAsia="Times New Roman"/>
        </w:rPr>
        <w:t>1</w:t>
      </w:r>
      <w:r>
        <w:rPr/>
        <w:t>、不可抗力的原因导致基金无法正常运作。</w:t>
      </w:r>
    </w:p>
    <w:p>
      <w:pPr>
        <w:pStyle w:val="BodyText"/>
        <w:spacing w:before="3"/>
        <w:rPr>
          <w:sz w:val="16"/>
        </w:rPr>
      </w:pPr>
    </w:p>
    <w:p>
      <w:pPr>
        <w:pStyle w:val="BodyText"/>
        <w:ind w:left="720"/>
      </w:pPr>
      <w:r>
        <w:rPr>
          <w:rFonts w:ascii="Times New Roman" w:eastAsia="Times New Roman"/>
        </w:rPr>
        <w:t>2</w:t>
      </w:r>
      <w:r>
        <w:rPr/>
        <w:t>、证券</w:t>
      </w:r>
      <w:r>
        <w:rPr>
          <w:rFonts w:ascii="Times New Roman" w:eastAsia="Times New Roman"/>
        </w:rPr>
        <w:t>/</w:t>
      </w:r>
      <w:r>
        <w:rPr/>
        <w:t>期货交易场所在交易时间非正常停市，导致当日基金资产净值无法计算。</w:t>
      </w:r>
    </w:p>
    <w:p>
      <w:pPr>
        <w:pStyle w:val="BodyText"/>
        <w:spacing w:before="1"/>
        <w:rPr>
          <w:sz w:val="16"/>
        </w:rPr>
      </w:pPr>
    </w:p>
    <w:p>
      <w:pPr>
        <w:pStyle w:val="BodyText"/>
        <w:spacing w:line="424" w:lineRule="auto"/>
        <w:ind w:left="300" w:right="873" w:firstLine="419"/>
        <w:jc w:val="both"/>
      </w:pPr>
      <w:r>
        <w:rPr>
          <w:rFonts w:ascii="Times New Roman" w:eastAsia="Times New Roman"/>
        </w:rPr>
        <w:t>3</w:t>
      </w:r>
      <w:r>
        <w:rPr>
          <w:spacing w:val="-5"/>
        </w:rPr>
        <w:t>、发生基金合同规定的暂停基金资产估值的情况。当前一估值日基金资产净值 </w:t>
      </w:r>
      <w:r>
        <w:rPr>
          <w:rFonts w:ascii="Times New Roman" w:eastAsia="Times New Roman"/>
        </w:rPr>
        <w:t>50%</w:t>
      </w:r>
      <w:r>
        <w:rPr/>
        <w:t>以上的资产出现无可参考的活跃市场价格且采用估值技术仍导致公允价值存在重大不确定性</w:t>
      </w:r>
      <w:r>
        <w:rPr>
          <w:spacing w:val="-3"/>
        </w:rPr>
        <w:t>时，经与基金托管人协商确认后，基金管理人应当暂停接受基金申购申请。</w:t>
      </w:r>
    </w:p>
    <w:p>
      <w:pPr>
        <w:pStyle w:val="BodyText"/>
        <w:spacing w:line="267" w:lineRule="exact"/>
        <w:ind w:left="720"/>
        <w:jc w:val="both"/>
      </w:pPr>
      <w:r>
        <w:rPr>
          <w:rFonts w:ascii="Times New Roman" w:eastAsia="Times New Roman"/>
        </w:rPr>
        <w:t>4</w:t>
      </w:r>
      <w:r>
        <w:rPr/>
        <w:t>、本基金的目标 </w:t>
      </w:r>
      <w:r>
        <w:rPr>
          <w:rFonts w:ascii="Times New Roman" w:eastAsia="Times New Roman"/>
        </w:rPr>
        <w:t>ETF </w:t>
      </w:r>
      <w:r>
        <w:rPr/>
        <w:t>暂停估值。</w:t>
      </w:r>
    </w:p>
    <w:p>
      <w:pPr>
        <w:pStyle w:val="BodyText"/>
        <w:spacing w:before="1"/>
        <w:rPr>
          <w:sz w:val="16"/>
        </w:rPr>
      </w:pPr>
    </w:p>
    <w:p>
      <w:pPr>
        <w:pStyle w:val="BodyText"/>
        <w:spacing w:line="424" w:lineRule="auto" w:before="1"/>
        <w:ind w:left="300" w:right="871" w:firstLine="419"/>
      </w:pPr>
      <w:r>
        <w:rPr>
          <w:rFonts w:ascii="Times New Roman" w:eastAsia="Times New Roman"/>
        </w:rPr>
        <w:t>5</w:t>
      </w:r>
      <w:r>
        <w:rPr>
          <w:spacing w:val="-11"/>
        </w:rPr>
        <w:t>、本基金的目标 </w:t>
      </w:r>
      <w:r>
        <w:rPr>
          <w:rFonts w:ascii="Times New Roman" w:eastAsia="Times New Roman"/>
        </w:rPr>
        <w:t>ETF </w:t>
      </w:r>
      <w:r>
        <w:rPr>
          <w:spacing w:val="-5"/>
        </w:rPr>
        <w:t>暂停申购或二级市场交易停牌，且基金管理人认为有必要暂停本</w:t>
      </w:r>
      <w:r>
        <w:rPr>
          <w:spacing w:val="-4"/>
        </w:rPr>
        <w:t>基金申购的。</w:t>
      </w:r>
    </w:p>
    <w:p>
      <w:pPr>
        <w:pStyle w:val="BodyText"/>
        <w:spacing w:line="427" w:lineRule="auto"/>
        <w:ind w:left="300" w:right="770" w:firstLine="419"/>
      </w:pPr>
      <w:r>
        <w:rPr>
          <w:rFonts w:ascii="Times New Roman" w:eastAsia="Times New Roman"/>
        </w:rPr>
        <w:t>6</w:t>
      </w:r>
      <w:r>
        <w:rPr>
          <w:spacing w:val="-3"/>
        </w:rPr>
        <w:t>、因基金收益分配、或基金投资组合内某个或某些证券即将上市或进行权益分派等原因，使基金管理人认为短期内继续接受申购可能会影响或损害已有基金份额持有人利益的。</w:t>
      </w:r>
    </w:p>
    <w:p>
      <w:pPr>
        <w:pStyle w:val="BodyText"/>
        <w:spacing w:line="424" w:lineRule="auto"/>
        <w:ind w:left="300" w:right="874" w:firstLine="419"/>
      </w:pPr>
      <w:r>
        <w:rPr>
          <w:rFonts w:ascii="Times New Roman" w:eastAsia="Times New Roman"/>
        </w:rPr>
        <w:t>7</w:t>
      </w:r>
      <w:r>
        <w:rPr/>
        <w:t>、基金资产规模过大，使基金管理人无法找到合适的投资品种，或可能对基金业绩产生负面影响，从而损害现有基金份额持有人的利益。</w:t>
      </w:r>
    </w:p>
    <w:p>
      <w:pPr>
        <w:pStyle w:val="BodyText"/>
        <w:spacing w:line="267" w:lineRule="exact"/>
        <w:ind w:left="720"/>
      </w:pPr>
      <w:r>
        <w:rPr>
          <w:rFonts w:ascii="Times New Roman" w:eastAsia="Times New Roman"/>
        </w:rPr>
        <w:t>8</w:t>
      </w:r>
      <w:r>
        <w:rPr/>
        <w:t>、法律法规规定或中国证监会认定的其他可暂停申购的情形。</w:t>
      </w:r>
    </w:p>
    <w:p>
      <w:pPr>
        <w:pStyle w:val="BodyText"/>
        <w:spacing w:before="7"/>
        <w:rPr>
          <w:sz w:val="15"/>
        </w:rPr>
      </w:pPr>
    </w:p>
    <w:p>
      <w:pPr>
        <w:pStyle w:val="BodyText"/>
        <w:spacing w:line="424" w:lineRule="auto"/>
        <w:ind w:left="300" w:right="871" w:firstLine="419"/>
        <w:jc w:val="both"/>
      </w:pPr>
      <w:r>
        <w:rPr>
          <w:rFonts w:ascii="Times New Roman" w:eastAsia="Times New Roman"/>
        </w:rPr>
        <w:t>9</w:t>
      </w:r>
      <w:r>
        <w:rPr>
          <w:spacing w:val="-3"/>
        </w:rPr>
        <w:t>、个别投资者的申购、赎回过于频繁，导致基金的交易费用和变现成本增加，或使得</w:t>
      </w:r>
      <w:r>
        <w:rPr>
          <w:spacing w:val="-9"/>
        </w:rPr>
        <w:t>基金管理人无法顺利实施投资策略，继续接受其申购可能对其他基金份额持有人的利益产生损害。</w:t>
      </w:r>
    </w:p>
    <w:p>
      <w:pPr>
        <w:pStyle w:val="BodyText"/>
        <w:spacing w:line="266" w:lineRule="exact"/>
        <w:ind w:left="720"/>
      </w:pPr>
      <w:r>
        <w:rPr>
          <w:rFonts w:ascii="Times New Roman" w:eastAsia="Times New Roman"/>
        </w:rPr>
        <w:t>10</w:t>
      </w:r>
      <w:r>
        <w:rPr/>
        <w:t>、基金管理人认为会有损于现有基金份额持有人利益的某笔申购。</w:t>
      </w:r>
    </w:p>
    <w:p>
      <w:pPr>
        <w:pStyle w:val="BodyText"/>
        <w:spacing w:before="4"/>
        <w:rPr>
          <w:sz w:val="16"/>
        </w:rPr>
      </w:pPr>
    </w:p>
    <w:p>
      <w:pPr>
        <w:pStyle w:val="BodyText"/>
        <w:spacing w:line="424" w:lineRule="auto"/>
        <w:ind w:left="300" w:right="873" w:firstLine="419"/>
      </w:pPr>
      <w:r>
        <w:rPr>
          <w:spacing w:val="-16"/>
        </w:rPr>
        <w:t>发生上述情形之一的，申购款项将全额退还投资者。发生上述</w:t>
      </w:r>
      <w:r>
        <w:rPr>
          <w:rFonts w:ascii="Times New Roman" w:eastAsia="Times New Roman"/>
        </w:rPr>
        <w:t>1</w:t>
      </w:r>
      <w:r>
        <w:rPr>
          <w:rFonts w:ascii="Times New Roman" w:eastAsia="Times New Roman"/>
          <w:spacing w:val="-7"/>
        </w:rPr>
        <w:t> </w:t>
      </w:r>
      <w:r>
        <w:rPr>
          <w:spacing w:val="28"/>
        </w:rPr>
        <w:t>到</w:t>
      </w:r>
      <w:r>
        <w:rPr>
          <w:rFonts w:ascii="Times New Roman" w:eastAsia="Times New Roman"/>
        </w:rPr>
        <w:t>8</w:t>
      </w:r>
      <w:r>
        <w:rPr>
          <w:rFonts w:ascii="Times New Roman" w:eastAsia="Times New Roman"/>
          <w:spacing w:val="-11"/>
        </w:rPr>
        <w:t> </w:t>
      </w:r>
      <w:r>
        <w:rPr>
          <w:spacing w:val="-3"/>
        </w:rPr>
        <w:t>项暂停申购情形时， 基金管理人应当在规定媒介刊登暂停申购公告。</w:t>
      </w:r>
    </w:p>
    <w:p>
      <w:pPr>
        <w:pStyle w:val="BodyText"/>
        <w:spacing w:line="267" w:lineRule="exact"/>
        <w:ind w:left="720"/>
      </w:pPr>
      <w:r>
        <w:rPr/>
        <w:t>（十二）暂停赎回或者延缓支付赎回款项的情形及处理方式</w:t>
      </w:r>
    </w:p>
    <w:p>
      <w:pPr>
        <w:pStyle w:val="BodyText"/>
        <w:spacing w:before="1"/>
        <w:rPr>
          <w:sz w:val="16"/>
        </w:rPr>
      </w:pPr>
    </w:p>
    <w:p>
      <w:pPr>
        <w:pStyle w:val="BodyText"/>
        <w:spacing w:line="424" w:lineRule="auto"/>
        <w:ind w:left="300" w:right="871" w:firstLine="419"/>
      </w:pPr>
      <w:r>
        <w:rPr>
          <w:spacing w:val="-12"/>
        </w:rPr>
        <w:t>除非出现如下情形，基金管理人不得拒绝接受或暂停基金份额持有人的赎回申请或者延</w:t>
      </w:r>
      <w:r>
        <w:rPr>
          <w:spacing w:val="-6"/>
        </w:rPr>
        <w:t>缓支付赎回款项：</w:t>
      </w:r>
    </w:p>
    <w:p>
      <w:pPr>
        <w:pStyle w:val="BodyText"/>
        <w:spacing w:line="267" w:lineRule="exact"/>
        <w:ind w:left="720"/>
      </w:pPr>
      <w:r>
        <w:rPr>
          <w:rFonts w:ascii="Times New Roman" w:eastAsia="Times New Roman"/>
        </w:rPr>
        <w:t>1</w:t>
      </w:r>
      <w:r>
        <w:rPr/>
        <w:t>、不可抗力的原因导致基金管理人不能支付赎回款项。</w:t>
      </w:r>
    </w:p>
    <w:p>
      <w:pPr>
        <w:pStyle w:val="BodyText"/>
        <w:spacing w:before="1"/>
        <w:rPr>
          <w:sz w:val="16"/>
        </w:rPr>
      </w:pPr>
    </w:p>
    <w:p>
      <w:pPr>
        <w:pStyle w:val="BodyText"/>
        <w:ind w:left="720"/>
      </w:pPr>
      <w:r>
        <w:rPr>
          <w:rFonts w:ascii="Times New Roman" w:eastAsia="Times New Roman"/>
        </w:rPr>
        <w:t>2</w:t>
      </w:r>
      <w:r>
        <w:rPr/>
        <w:t>、证券</w:t>
      </w:r>
      <w:r>
        <w:rPr>
          <w:rFonts w:ascii="Times New Roman" w:eastAsia="Times New Roman"/>
        </w:rPr>
        <w:t>/</w:t>
      </w:r>
      <w:r>
        <w:rPr/>
        <w:t>期货交易场所依法决定临时停市，导致基金管理人无法计算当日基金资产净值。</w:t>
      </w:r>
    </w:p>
    <w:p>
      <w:pPr>
        <w:pStyle w:val="BodyText"/>
        <w:spacing w:before="2"/>
        <w:rPr>
          <w:sz w:val="16"/>
        </w:rPr>
      </w:pPr>
    </w:p>
    <w:p>
      <w:pPr>
        <w:pStyle w:val="BodyText"/>
        <w:ind w:left="720"/>
      </w:pPr>
      <w:r>
        <w:rPr>
          <w:rFonts w:ascii="Times New Roman" w:eastAsia="Times New Roman"/>
        </w:rPr>
        <w:t>3</w:t>
      </w:r>
      <w:r>
        <w:rPr/>
        <w:t>、发生基金合同规定的暂停基金资产估值的情况。当前一估值日基金资产净值 </w:t>
      </w:r>
      <w:r>
        <w:rPr>
          <w:rFonts w:ascii="Times New Roman" w:eastAsia="Times New Roman"/>
        </w:rPr>
        <w:t>50%</w:t>
      </w:r>
      <w:r>
        <w:rPr/>
        <w:t>以</w:t>
      </w:r>
    </w:p>
    <w:p>
      <w:pPr>
        <w:spacing w:after="0"/>
        <w:sectPr>
          <w:pgSz w:w="11910" w:h="16840"/>
          <w:pgMar w:header="701" w:footer="683" w:top="1420" w:bottom="880" w:left="1500" w:right="920"/>
        </w:sectPr>
      </w:pPr>
    </w:p>
    <w:p>
      <w:pPr>
        <w:pStyle w:val="BodyText"/>
        <w:spacing w:line="424" w:lineRule="auto" w:before="115"/>
        <w:ind w:left="300" w:right="871"/>
        <w:jc w:val="both"/>
      </w:pPr>
      <w:r>
        <w:rPr/>
        <w:t>上的资产出现无可参考的活跃市场价格且采用估值技术仍导致公允价值存在重大不确定性</w:t>
      </w:r>
      <w:r>
        <w:rPr>
          <w:spacing w:val="-11"/>
        </w:rPr>
        <w:t>时，经与基金托管人协商确认后，基金管理人应当暂停接受基金赎回申请或延缓支付赎回款项。</w:t>
      </w:r>
    </w:p>
    <w:p>
      <w:pPr>
        <w:pStyle w:val="BodyText"/>
        <w:spacing w:line="266" w:lineRule="exact"/>
        <w:ind w:left="720"/>
      </w:pPr>
      <w:r>
        <w:rPr>
          <w:rFonts w:ascii="Times New Roman" w:eastAsia="Times New Roman"/>
        </w:rPr>
        <w:t>4</w:t>
      </w:r>
      <w:r>
        <w:rPr/>
        <w:t>、本基金的目标 </w:t>
      </w:r>
      <w:r>
        <w:rPr>
          <w:rFonts w:ascii="Times New Roman" w:eastAsia="Times New Roman"/>
        </w:rPr>
        <w:t>ETF </w:t>
      </w:r>
      <w:r>
        <w:rPr/>
        <w:t>暂停估值。</w:t>
      </w:r>
    </w:p>
    <w:p>
      <w:pPr>
        <w:pStyle w:val="BodyText"/>
        <w:rPr>
          <w:sz w:val="16"/>
        </w:rPr>
      </w:pPr>
    </w:p>
    <w:p>
      <w:pPr>
        <w:pStyle w:val="BodyText"/>
        <w:spacing w:line="427" w:lineRule="auto" w:before="1"/>
        <w:ind w:left="300" w:right="871" w:firstLine="419"/>
      </w:pPr>
      <w:r>
        <w:rPr>
          <w:rFonts w:ascii="Times New Roman" w:eastAsia="Times New Roman"/>
        </w:rPr>
        <w:t>5</w:t>
      </w:r>
      <w:r>
        <w:rPr>
          <w:spacing w:val="-11"/>
        </w:rPr>
        <w:t>、本基金的目标 </w:t>
      </w:r>
      <w:r>
        <w:rPr>
          <w:rFonts w:ascii="Times New Roman" w:eastAsia="Times New Roman"/>
        </w:rPr>
        <w:t>ETF </w:t>
      </w:r>
      <w:r>
        <w:rPr>
          <w:spacing w:val="-5"/>
        </w:rPr>
        <w:t>暂停赎回或二级市场交易停牌，且基金管理人认为有必要暂停本</w:t>
      </w:r>
      <w:r>
        <w:rPr>
          <w:spacing w:val="-4"/>
        </w:rPr>
        <w:t>基金赎回的。</w:t>
      </w:r>
    </w:p>
    <w:p>
      <w:pPr>
        <w:pStyle w:val="BodyText"/>
        <w:spacing w:line="424" w:lineRule="auto"/>
        <w:ind w:left="300" w:right="873" w:firstLine="419"/>
      </w:pPr>
      <w:r>
        <w:rPr>
          <w:rFonts w:ascii="Times New Roman" w:eastAsia="Times New Roman"/>
        </w:rPr>
        <w:t>6</w:t>
      </w:r>
      <w:r>
        <w:rPr>
          <w:spacing w:val="-6"/>
        </w:rPr>
        <w:t>、因市场剧烈波动或其他原因而出现连续 </w:t>
      </w:r>
      <w:r>
        <w:rPr>
          <w:rFonts w:ascii="Times New Roman" w:eastAsia="Times New Roman"/>
        </w:rPr>
        <w:t>2 </w:t>
      </w:r>
      <w:r>
        <w:rPr>
          <w:spacing w:val="-15"/>
        </w:rPr>
        <w:t>个或 </w:t>
      </w:r>
      <w:r>
        <w:rPr>
          <w:rFonts w:ascii="Times New Roman" w:eastAsia="Times New Roman"/>
        </w:rPr>
        <w:t>2 </w:t>
      </w:r>
      <w:r>
        <w:rPr>
          <w:spacing w:val="-3"/>
        </w:rPr>
        <w:t>个以上开放日巨额赎回，导致本基金的现金支付出现困难。</w:t>
      </w:r>
    </w:p>
    <w:p>
      <w:pPr>
        <w:pStyle w:val="BodyText"/>
        <w:spacing w:line="268" w:lineRule="exact"/>
        <w:ind w:left="720"/>
      </w:pPr>
      <w:r>
        <w:rPr>
          <w:rFonts w:ascii="Times New Roman" w:eastAsia="Times New Roman"/>
        </w:rPr>
        <w:t>7</w:t>
      </w:r>
      <w:r>
        <w:rPr/>
        <w:t>、法律法规规定或中国证监会认定的其他情形。</w:t>
      </w:r>
    </w:p>
    <w:p>
      <w:pPr>
        <w:pStyle w:val="BodyText"/>
        <w:spacing w:before="8"/>
        <w:rPr>
          <w:sz w:val="15"/>
        </w:rPr>
      </w:pPr>
    </w:p>
    <w:p>
      <w:pPr>
        <w:pStyle w:val="BodyText"/>
        <w:spacing w:line="424" w:lineRule="auto" w:before="1"/>
        <w:ind w:left="300" w:right="765" w:firstLine="419"/>
      </w:pPr>
      <w:r>
        <w:rPr>
          <w:spacing w:val="-15"/>
        </w:rPr>
        <w:t>发生上述情形之一的，基金管理人应在当日立即向中国证监会备案。已接受的赎回申请， </w:t>
      </w:r>
      <w:r>
        <w:rPr>
          <w:spacing w:val="-13"/>
        </w:rPr>
        <w:t>基金管理人将足额支付；如暂时不能足额支付的，可延期支付部分赎回款项，按每个赎回申</w:t>
      </w:r>
      <w:r>
        <w:rPr>
          <w:spacing w:val="-9"/>
        </w:rPr>
        <w:t>请人已被接受的赎回申请量占已接受赎回申请总量的比例分配给赎回申请人，未支付部分由</w:t>
      </w:r>
      <w:r>
        <w:rPr>
          <w:spacing w:val="-5"/>
        </w:rPr>
        <w:t>基金管理人按照发生的情况制定相应的处理办法在后续开放日予以支付。</w:t>
      </w:r>
    </w:p>
    <w:p>
      <w:pPr>
        <w:pStyle w:val="BodyText"/>
        <w:spacing w:line="267" w:lineRule="exact"/>
        <w:ind w:left="720"/>
      </w:pPr>
      <w:r>
        <w:rPr/>
        <w:t>同时，在出现上述第 </w:t>
      </w:r>
      <w:r>
        <w:rPr>
          <w:rFonts w:ascii="Times New Roman" w:eastAsia="Times New Roman"/>
        </w:rPr>
        <w:t>6 </w:t>
      </w:r>
      <w:r>
        <w:rPr/>
        <w:t>的情形时，对已接受的赎回申请可延期支付赎回款项，但延缓期</w:t>
      </w:r>
    </w:p>
    <w:p>
      <w:pPr>
        <w:pStyle w:val="BodyText"/>
        <w:spacing w:before="1"/>
        <w:rPr>
          <w:sz w:val="16"/>
        </w:rPr>
      </w:pPr>
    </w:p>
    <w:p>
      <w:pPr>
        <w:pStyle w:val="BodyText"/>
        <w:spacing w:line="424" w:lineRule="auto"/>
        <w:ind w:left="300" w:right="816"/>
      </w:pPr>
      <w:r>
        <w:rPr/>
        <w:t>限不得超过 </w:t>
      </w:r>
      <w:r>
        <w:rPr>
          <w:rFonts w:ascii="Times New Roman" w:eastAsia="Times New Roman"/>
        </w:rPr>
        <w:t>20 </w:t>
      </w:r>
      <w:r>
        <w:rPr/>
        <w:t>个工作日，并在规定媒介公告。投资者在申请赎回时可事先选择将当日可能未获受理部分予以撤销。</w:t>
      </w:r>
    </w:p>
    <w:p>
      <w:pPr>
        <w:pStyle w:val="BodyText"/>
        <w:spacing w:line="267" w:lineRule="exact"/>
        <w:ind w:left="720"/>
      </w:pPr>
      <w:r>
        <w:rPr/>
        <w:t>暂停基金的赎回，基金管理人应及时在规定媒介上刊登暂停赎回公告。</w:t>
      </w:r>
    </w:p>
    <w:p>
      <w:pPr>
        <w:pStyle w:val="BodyText"/>
        <w:spacing w:before="1"/>
        <w:rPr>
          <w:sz w:val="16"/>
        </w:rPr>
      </w:pPr>
    </w:p>
    <w:p>
      <w:pPr>
        <w:pStyle w:val="BodyText"/>
        <w:spacing w:line="424" w:lineRule="auto"/>
        <w:ind w:left="300" w:right="871" w:firstLine="419"/>
      </w:pPr>
      <w:r>
        <w:rPr>
          <w:spacing w:val="-9"/>
        </w:rPr>
        <w:t>在暂停赎回的情况消除时，基金管理人应及时恢复赎回业务的办理，并依照有关规定在</w:t>
      </w:r>
      <w:r>
        <w:rPr>
          <w:spacing w:val="-5"/>
        </w:rPr>
        <w:t>规定媒介公告。</w:t>
      </w:r>
    </w:p>
    <w:p>
      <w:pPr>
        <w:pStyle w:val="BodyText"/>
        <w:spacing w:line="267" w:lineRule="exact"/>
        <w:ind w:left="720"/>
      </w:pPr>
      <w:r>
        <w:rPr/>
        <w:t>（十三）巨额赎回的情形及处理方式</w:t>
      </w:r>
    </w:p>
    <w:p>
      <w:pPr>
        <w:pStyle w:val="BodyText"/>
        <w:spacing w:before="1"/>
        <w:rPr>
          <w:sz w:val="16"/>
        </w:rPr>
      </w:pPr>
    </w:p>
    <w:p>
      <w:pPr>
        <w:pStyle w:val="BodyText"/>
        <w:ind w:left="720"/>
      </w:pPr>
      <w:r>
        <w:rPr>
          <w:rFonts w:ascii="Times New Roman" w:eastAsia="Times New Roman"/>
        </w:rPr>
        <w:t>1</w:t>
      </w:r>
      <w:r>
        <w:rPr/>
        <w:t>、巨额赎回的认定</w:t>
      </w:r>
    </w:p>
    <w:p>
      <w:pPr>
        <w:pStyle w:val="BodyText"/>
        <w:spacing w:before="4"/>
        <w:rPr>
          <w:sz w:val="16"/>
        </w:rPr>
      </w:pPr>
    </w:p>
    <w:p>
      <w:pPr>
        <w:pStyle w:val="BodyText"/>
        <w:spacing w:line="424" w:lineRule="auto"/>
        <w:ind w:left="300" w:right="871" w:firstLine="419"/>
        <w:jc w:val="both"/>
      </w:pPr>
      <w:r>
        <w:rPr>
          <w:spacing w:val="-12"/>
        </w:rPr>
        <w:t>本基金单个开放日，基金净赎回申请</w:t>
      </w:r>
      <w:r>
        <w:rPr/>
        <w:t>（</w:t>
      </w:r>
      <w:r>
        <w:rPr>
          <w:spacing w:val="-3"/>
        </w:rPr>
        <w:t>赎回申请总数加上基金转换中转出申请份额总数后扣除申购申请总数及基金转换中转入申请份额总数后的余额</w:t>
      </w:r>
      <w:r>
        <w:rPr/>
        <w:t>）</w:t>
      </w:r>
      <w:r>
        <w:rPr>
          <w:spacing w:val="-1"/>
        </w:rPr>
        <w:t>超过上一日基金总份额的</w:t>
      </w:r>
      <w:r>
        <w:rPr>
          <w:rFonts w:ascii="Times New Roman" w:eastAsia="Times New Roman"/>
        </w:rPr>
        <w:t>10%</w:t>
      </w:r>
      <w:r>
        <w:rPr>
          <w:spacing w:val="-3"/>
        </w:rPr>
        <w:t>时，即认为发生了巨额赎回。</w:t>
      </w:r>
    </w:p>
    <w:p>
      <w:pPr>
        <w:pStyle w:val="BodyText"/>
        <w:spacing w:line="266" w:lineRule="exact"/>
        <w:ind w:left="720"/>
      </w:pPr>
      <w:r>
        <w:rPr>
          <w:rFonts w:ascii="Times New Roman" w:eastAsia="Times New Roman"/>
        </w:rPr>
        <w:t>2</w:t>
      </w:r>
      <w:r>
        <w:rPr/>
        <w:t>、巨额赎回的处理方式</w:t>
      </w:r>
    </w:p>
    <w:p>
      <w:pPr>
        <w:pStyle w:val="BodyText"/>
        <w:spacing w:before="1"/>
        <w:rPr>
          <w:sz w:val="16"/>
        </w:rPr>
      </w:pPr>
    </w:p>
    <w:p>
      <w:pPr>
        <w:pStyle w:val="BodyText"/>
        <w:spacing w:line="424" w:lineRule="auto" w:before="1"/>
        <w:ind w:left="300" w:right="871" w:firstLine="419"/>
      </w:pPr>
      <w:r>
        <w:rPr>
          <w:spacing w:val="-12"/>
        </w:rPr>
        <w:t>当出现巨额赎回时，基金管理人可以根据本基金当时的资产组合状况决定全额赎回或部</w:t>
      </w:r>
      <w:r>
        <w:rPr>
          <w:spacing w:val="-6"/>
        </w:rPr>
        <w:t>分顺延赎回。</w:t>
      </w:r>
    </w:p>
    <w:p>
      <w:pPr>
        <w:pStyle w:val="ListParagraph"/>
        <w:numPr>
          <w:ilvl w:val="0"/>
          <w:numId w:val="15"/>
        </w:numPr>
        <w:tabs>
          <w:tab w:pos="1250" w:val="left" w:leader="none"/>
        </w:tabs>
        <w:spacing w:line="424" w:lineRule="auto" w:before="0" w:after="0"/>
        <w:ind w:left="300" w:right="874" w:firstLine="419"/>
        <w:jc w:val="left"/>
        <w:rPr>
          <w:sz w:val="21"/>
        </w:rPr>
      </w:pPr>
      <w:r>
        <w:rPr>
          <w:spacing w:val="-3"/>
          <w:sz w:val="21"/>
        </w:rPr>
        <w:t>全额赎回：当基金管理人认为有能力支付投资者的全部赎回申请时，按正常赎回程序执行。</w:t>
      </w:r>
    </w:p>
    <w:p>
      <w:pPr>
        <w:spacing w:after="0" w:line="424" w:lineRule="auto"/>
        <w:jc w:val="left"/>
        <w:rPr>
          <w:sz w:val="21"/>
        </w:rPr>
        <w:sectPr>
          <w:pgSz w:w="11910" w:h="16840"/>
          <w:pgMar w:header="701" w:footer="683" w:top="1420" w:bottom="880" w:left="1500" w:right="920"/>
        </w:sectPr>
      </w:pPr>
    </w:p>
    <w:p>
      <w:pPr>
        <w:pStyle w:val="ListParagraph"/>
        <w:numPr>
          <w:ilvl w:val="0"/>
          <w:numId w:val="15"/>
        </w:numPr>
        <w:tabs>
          <w:tab w:pos="1250" w:val="left" w:leader="none"/>
        </w:tabs>
        <w:spacing w:line="424" w:lineRule="auto" w:before="115" w:after="0"/>
        <w:ind w:left="300" w:right="871" w:firstLine="419"/>
        <w:jc w:val="both"/>
        <w:rPr>
          <w:sz w:val="21"/>
        </w:rPr>
      </w:pPr>
      <w:r>
        <w:rPr>
          <w:spacing w:val="-3"/>
          <w:sz w:val="21"/>
        </w:rPr>
        <w:t>部分顺延赎回：当基金管理人认为支付投资者的赎回申请有困难或认为支付投资</w:t>
      </w:r>
      <w:r>
        <w:rPr>
          <w:spacing w:val="-7"/>
          <w:sz w:val="21"/>
        </w:rPr>
        <w:t>者的赎回申请可能会对基金的资产净值造成较大波动时，基金管理人在当日接受赎回比例不</w:t>
      </w:r>
      <w:r>
        <w:rPr>
          <w:spacing w:val="-4"/>
          <w:sz w:val="21"/>
        </w:rPr>
        <w:t>低于上一日基金总份额的 </w:t>
      </w:r>
      <w:r>
        <w:rPr>
          <w:rFonts w:ascii="Times New Roman" w:eastAsia="Times New Roman"/>
          <w:sz w:val="21"/>
        </w:rPr>
        <w:t>10%</w:t>
      </w:r>
      <w:r>
        <w:rPr>
          <w:spacing w:val="-1"/>
          <w:sz w:val="21"/>
        </w:rPr>
        <w:t>的前提下，对其余赎回申请延期予以办理。对于单个基金份</w:t>
      </w:r>
      <w:r>
        <w:rPr>
          <w:spacing w:val="-10"/>
          <w:sz w:val="21"/>
        </w:rPr>
        <w:t>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w:t>
      </w:r>
      <w:r>
        <w:rPr>
          <w:spacing w:val="-5"/>
          <w:sz w:val="21"/>
        </w:rPr>
        <w:t>回为止。部分顺延赎回不受单笔赎回最低份额的限制。</w:t>
      </w:r>
    </w:p>
    <w:p>
      <w:pPr>
        <w:pStyle w:val="ListParagraph"/>
        <w:numPr>
          <w:ilvl w:val="0"/>
          <w:numId w:val="15"/>
        </w:numPr>
        <w:tabs>
          <w:tab w:pos="1247" w:val="left" w:leader="none"/>
        </w:tabs>
        <w:spacing w:line="424" w:lineRule="auto" w:before="0" w:after="0"/>
        <w:ind w:left="300" w:right="871" w:firstLine="419"/>
        <w:jc w:val="both"/>
        <w:rPr>
          <w:sz w:val="21"/>
        </w:rPr>
      </w:pPr>
      <w:r>
        <w:rPr>
          <w:spacing w:val="-5"/>
          <w:sz w:val="21"/>
        </w:rPr>
        <w:t>如果基金发生巨额赎回，在单个基金份额持有人超过基金总份额 </w:t>
      </w:r>
      <w:r>
        <w:rPr>
          <w:rFonts w:ascii="Times New Roman" w:eastAsia="Times New Roman"/>
          <w:sz w:val="21"/>
        </w:rPr>
        <w:t>40%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24" w:lineRule="auto"/>
        <w:ind w:left="300" w:right="87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40%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24" w:lineRule="auto"/>
        <w:ind w:left="300" w:right="87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40%</w:t>
      </w:r>
      <w:r>
        <w:rPr>
          <w:spacing w:val="-3"/>
        </w:rPr>
        <w:t>以上的大额赎回申请和其他投资人的赎回申请</w:t>
      </w:r>
      <w:r>
        <w:rPr/>
        <w:t>） </w:t>
      </w: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ListParagraph"/>
        <w:numPr>
          <w:ilvl w:val="0"/>
          <w:numId w:val="15"/>
        </w:numPr>
        <w:tabs>
          <w:tab w:pos="1250" w:val="left" w:leader="none"/>
        </w:tabs>
        <w:spacing w:line="424" w:lineRule="auto" w:before="0" w:after="0"/>
        <w:ind w:left="300" w:right="873" w:firstLine="419"/>
        <w:jc w:val="both"/>
        <w:rPr>
          <w:sz w:val="21"/>
        </w:rPr>
      </w:pPr>
      <w:r>
        <w:rPr>
          <w:spacing w:val="-4"/>
          <w:sz w:val="21"/>
        </w:rPr>
        <w:t>巨额赎回的公告：当发生巨额赎回并顺延赎回时，基金管理人应在 </w:t>
      </w:r>
      <w:r>
        <w:rPr>
          <w:rFonts w:ascii="Times New Roman" w:eastAsia="Times New Roman"/>
          <w:sz w:val="21"/>
        </w:rPr>
        <w:t>2</w:t>
      </w:r>
      <w:r>
        <w:rPr>
          <w:rFonts w:ascii="Times New Roman" w:eastAsia="Times New Roman"/>
          <w:spacing w:val="20"/>
          <w:sz w:val="21"/>
        </w:rPr>
        <w:t> </w:t>
      </w:r>
      <w:r>
        <w:rPr>
          <w:spacing w:val="-3"/>
          <w:sz w:val="21"/>
        </w:rPr>
        <w:t>日内通过规定媒介刊登公告。</w:t>
      </w:r>
    </w:p>
    <w:p>
      <w:pPr>
        <w:pStyle w:val="BodyText"/>
        <w:spacing w:line="267" w:lineRule="exact"/>
        <w:ind w:left="720"/>
        <w:jc w:val="both"/>
      </w:pPr>
      <w:r>
        <w:rPr/>
        <w:t>本基金连续 </w:t>
      </w:r>
      <w:r>
        <w:rPr>
          <w:rFonts w:ascii="Times New Roman" w:eastAsia="Times New Roman"/>
        </w:rPr>
        <w:t>2 </w:t>
      </w:r>
      <w:r>
        <w:rPr/>
        <w:t>个开放日以上（含 </w:t>
      </w:r>
      <w:r>
        <w:rPr>
          <w:rFonts w:ascii="Times New Roman" w:eastAsia="Times New Roman"/>
        </w:rPr>
        <w:t>2 </w:t>
      </w:r>
      <w:r>
        <w:rPr/>
        <w:t>日）发生巨额赎回，如基金管理人认为有必要，可暂</w:t>
      </w:r>
    </w:p>
    <w:p>
      <w:pPr>
        <w:pStyle w:val="BodyText"/>
        <w:spacing w:line="424" w:lineRule="auto" w:before="192"/>
        <w:ind w:left="300" w:right="871"/>
        <w:jc w:val="both"/>
      </w:pPr>
      <w:r>
        <w:rPr>
          <w:spacing w:val="-4"/>
        </w:rPr>
        <w:t>停接受赎回申请；已经接受的赎回申请可以延缓支付赎回款项，但延缓期限不得超过 </w:t>
      </w:r>
      <w:r>
        <w:rPr>
          <w:rFonts w:ascii="Times New Roman" w:eastAsia="Times New Roman"/>
        </w:rPr>
        <w:t>20 </w:t>
      </w:r>
      <w:r>
        <w:rPr/>
        <w:t>个</w:t>
      </w:r>
      <w:r>
        <w:rPr>
          <w:spacing w:val="-3"/>
        </w:rPr>
        <w:t>工作日，并应当在规定媒介公告。</w:t>
      </w:r>
    </w:p>
    <w:p>
      <w:pPr>
        <w:pStyle w:val="BodyText"/>
        <w:spacing w:line="267" w:lineRule="exact"/>
        <w:ind w:left="720"/>
      </w:pPr>
      <w:r>
        <w:rPr/>
        <w:t>（十四）重新开放申购或赎回的公告</w:t>
      </w:r>
    </w:p>
    <w:p>
      <w:pPr>
        <w:pStyle w:val="BodyText"/>
        <w:spacing w:before="1"/>
        <w:rPr>
          <w:sz w:val="16"/>
        </w:rPr>
      </w:pPr>
    </w:p>
    <w:p>
      <w:pPr>
        <w:pStyle w:val="BodyText"/>
        <w:ind w:left="720"/>
      </w:pPr>
      <w:r>
        <w:rPr/>
        <w:t>如果发生暂停的时间为一天，基金管理人应于重新开放日在规定媒介刊登基金重新开放</w:t>
      </w:r>
    </w:p>
    <w:p>
      <w:pPr>
        <w:spacing w:after="0"/>
        <w:sectPr>
          <w:pgSz w:w="11910" w:h="16840"/>
          <w:pgMar w:header="701" w:footer="683" w:top="1420" w:bottom="880" w:left="1500" w:right="920"/>
        </w:sectPr>
      </w:pPr>
    </w:p>
    <w:p>
      <w:pPr>
        <w:pStyle w:val="BodyText"/>
        <w:spacing w:before="115"/>
        <w:ind w:left="300"/>
      </w:pPr>
      <w:r>
        <w:rPr/>
        <w:t>申购或赎回的公告并公布最近一个开放日的基金份额净值。</w:t>
      </w:r>
    </w:p>
    <w:p>
      <w:pPr>
        <w:pStyle w:val="BodyText"/>
        <w:rPr>
          <w:sz w:val="16"/>
        </w:rPr>
      </w:pPr>
    </w:p>
    <w:p>
      <w:pPr>
        <w:pStyle w:val="BodyText"/>
        <w:spacing w:line="424" w:lineRule="auto" w:before="1"/>
        <w:ind w:left="300" w:right="871" w:firstLine="419"/>
        <w:jc w:val="both"/>
      </w:pPr>
      <w:r>
        <w:rPr>
          <w:spacing w:val="-8"/>
        </w:rPr>
        <w:t>如果发生暂停的时间超过一天但少于两周，暂停结束基金重新开放申购或赎回时，基金</w:t>
      </w:r>
      <w:r>
        <w:rPr>
          <w:spacing w:val="-9"/>
        </w:rPr>
        <w:t>管理人应提前 </w:t>
      </w:r>
      <w:r>
        <w:rPr>
          <w:rFonts w:ascii="Times New Roman" w:eastAsia="Times New Roman"/>
        </w:rPr>
        <w:t>2 </w:t>
      </w:r>
      <w:r>
        <w:rPr>
          <w:spacing w:val="-8"/>
        </w:rPr>
        <w:t>日在规定媒介刊登基金重新开放申购或赎回的公告，并在重新开始办理申购</w:t>
      </w:r>
      <w:r>
        <w:rPr>
          <w:spacing w:val="-5"/>
        </w:rPr>
        <w:t>或赎回的开放日公告最近一个工作日的基金份额净值。</w:t>
      </w:r>
    </w:p>
    <w:p>
      <w:pPr>
        <w:pStyle w:val="BodyText"/>
        <w:spacing w:line="424" w:lineRule="auto"/>
        <w:ind w:left="300" w:right="871" w:firstLine="419"/>
        <w:jc w:val="both"/>
      </w:pPr>
      <w:r>
        <w:rPr>
          <w:spacing w:val="-10"/>
        </w:rPr>
        <w:t>如果发生暂停的时间超过两周，暂停期间，基金管理人应每两周至少重复刊登暂停公告</w:t>
      </w:r>
      <w:r>
        <w:rPr>
          <w:spacing w:val="-11"/>
        </w:rPr>
        <w:t>一次。当连续暂停时间超过两个月时，可对重复刊登暂停公告的频率进行调整。暂停结束基</w:t>
      </w:r>
      <w:r>
        <w:rPr>
          <w:spacing w:val="-15"/>
        </w:rPr>
        <w:t>金重新开放申购或赎回时，基金管理人应提前 </w:t>
      </w:r>
      <w:r>
        <w:rPr>
          <w:rFonts w:ascii="Times New Roman" w:eastAsia="Times New Roman"/>
        </w:rPr>
        <w:t>2 </w:t>
      </w:r>
      <w:r>
        <w:rPr>
          <w:spacing w:val="-3"/>
        </w:rPr>
        <w:t>日在规定媒介刊登基金重新开放申购或赎回的公告，并在重新开放申购或赎回日公告最近一个工作日的基金份额净值。</w:t>
      </w:r>
    </w:p>
    <w:p>
      <w:pPr>
        <w:pStyle w:val="BodyText"/>
        <w:spacing w:line="268" w:lineRule="exact"/>
        <w:ind w:left="720"/>
      </w:pPr>
      <w:r>
        <w:rPr/>
        <w:t>（十五）基金份额的转换</w:t>
      </w:r>
    </w:p>
    <w:p>
      <w:pPr>
        <w:pStyle w:val="BodyText"/>
        <w:spacing w:before="10"/>
        <w:rPr>
          <w:sz w:val="15"/>
        </w:rPr>
      </w:pPr>
    </w:p>
    <w:p>
      <w:pPr>
        <w:pStyle w:val="BodyText"/>
        <w:ind w:left="720"/>
      </w:pPr>
      <w:r>
        <w:rPr>
          <w:rFonts w:ascii="Times New Roman" w:eastAsia="Times New Roman"/>
        </w:rPr>
        <w:t>1</w:t>
      </w:r>
      <w:r>
        <w:rPr/>
        <w:t>、基金转换的原则</w:t>
      </w:r>
    </w:p>
    <w:p>
      <w:pPr>
        <w:pStyle w:val="BodyText"/>
        <w:spacing w:before="1"/>
        <w:rPr>
          <w:sz w:val="16"/>
        </w:rPr>
      </w:pPr>
    </w:p>
    <w:p>
      <w:pPr>
        <w:pStyle w:val="ListParagraph"/>
        <w:numPr>
          <w:ilvl w:val="0"/>
          <w:numId w:val="16"/>
        </w:numPr>
        <w:tabs>
          <w:tab w:pos="1250" w:val="left" w:leader="none"/>
        </w:tabs>
        <w:spacing w:line="240" w:lineRule="auto" w:before="1" w:after="0"/>
        <w:ind w:left="1249" w:right="0" w:hanging="530"/>
        <w:jc w:val="left"/>
        <w:rPr>
          <w:sz w:val="21"/>
        </w:rPr>
      </w:pPr>
      <w:r>
        <w:rPr>
          <w:spacing w:val="-3"/>
          <w:sz w:val="21"/>
        </w:rPr>
        <w:t>投资者只可在同时销售转出基金及转入基金的机构办理基金转换业务。</w:t>
      </w:r>
    </w:p>
    <w:p>
      <w:pPr>
        <w:pStyle w:val="BodyText"/>
        <w:spacing w:before="1"/>
        <w:rPr>
          <w:sz w:val="16"/>
        </w:rPr>
      </w:pPr>
    </w:p>
    <w:p>
      <w:pPr>
        <w:pStyle w:val="ListParagraph"/>
        <w:numPr>
          <w:ilvl w:val="0"/>
          <w:numId w:val="16"/>
        </w:numPr>
        <w:tabs>
          <w:tab w:pos="1250" w:val="left" w:leader="none"/>
        </w:tabs>
        <w:spacing w:line="240" w:lineRule="auto" w:before="0" w:after="0"/>
        <w:ind w:left="1249" w:right="0" w:hanging="530"/>
        <w:jc w:val="left"/>
        <w:rPr>
          <w:sz w:val="21"/>
        </w:rPr>
      </w:pPr>
      <w:r>
        <w:rPr>
          <w:spacing w:val="-3"/>
          <w:sz w:val="21"/>
        </w:rPr>
        <w:t>基金转换以份额为单位进行申请。</w:t>
      </w:r>
    </w:p>
    <w:p>
      <w:pPr>
        <w:pStyle w:val="BodyText"/>
        <w:spacing w:before="1"/>
        <w:rPr>
          <w:sz w:val="16"/>
        </w:rPr>
      </w:pPr>
    </w:p>
    <w:p>
      <w:pPr>
        <w:pStyle w:val="ListParagraph"/>
        <w:numPr>
          <w:ilvl w:val="0"/>
          <w:numId w:val="16"/>
        </w:numPr>
        <w:tabs>
          <w:tab w:pos="1250" w:val="left" w:leader="none"/>
        </w:tabs>
        <w:spacing w:line="427" w:lineRule="auto" w:before="0" w:after="0"/>
        <w:ind w:left="300" w:right="873"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6"/>
        </w:numPr>
        <w:tabs>
          <w:tab w:pos="1250" w:val="left" w:leader="none"/>
        </w:tabs>
        <w:spacing w:line="264" w:lineRule="exact" w:before="0" w:after="0"/>
        <w:ind w:left="1249" w:right="0" w:hanging="530"/>
        <w:jc w:val="left"/>
        <w:rPr>
          <w:sz w:val="21"/>
        </w:rPr>
      </w:pPr>
      <w:r>
        <w:rPr>
          <w:spacing w:val="-2"/>
          <w:sz w:val="21"/>
        </w:rPr>
        <w:t>投资者</w:t>
      </w:r>
      <w:r>
        <w:rPr>
          <w:rFonts w:ascii="Times New Roman" w:eastAsia="Times New Roman"/>
          <w:sz w:val="21"/>
        </w:rPr>
        <w:t>T</w:t>
      </w:r>
      <w:r>
        <w:rPr>
          <w:spacing w:val="-3"/>
          <w:sz w:val="21"/>
        </w:rPr>
        <w:t>日申请基金转换后，</w:t>
      </w:r>
      <w:r>
        <w:rPr>
          <w:rFonts w:ascii="Times New Roman" w:eastAsia="Times New Roman"/>
          <w:sz w:val="21"/>
        </w:rPr>
        <w:t>T+1</w:t>
      </w:r>
      <w:r>
        <w:rPr>
          <w:spacing w:val="-3"/>
          <w:sz w:val="21"/>
        </w:rPr>
        <w:t>日可获得确认。</w:t>
      </w:r>
    </w:p>
    <w:p>
      <w:pPr>
        <w:pStyle w:val="BodyText"/>
        <w:spacing w:before="1"/>
        <w:rPr>
          <w:sz w:val="16"/>
        </w:rPr>
      </w:pPr>
    </w:p>
    <w:p>
      <w:pPr>
        <w:pStyle w:val="ListParagraph"/>
        <w:numPr>
          <w:ilvl w:val="0"/>
          <w:numId w:val="16"/>
        </w:numPr>
        <w:tabs>
          <w:tab w:pos="1247" w:val="left" w:leader="none"/>
        </w:tabs>
        <w:spacing w:line="424" w:lineRule="auto" w:before="0" w:after="0"/>
        <w:ind w:left="300" w:right="87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6"/>
        </w:numPr>
        <w:tabs>
          <w:tab w:pos="1250" w:val="left" w:leader="none"/>
        </w:tabs>
        <w:spacing w:line="424" w:lineRule="auto" w:before="0" w:after="0"/>
        <w:ind w:left="300" w:right="87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6"/>
        </w:numPr>
        <w:tabs>
          <w:tab w:pos="1250" w:val="left" w:leader="none"/>
        </w:tabs>
        <w:spacing w:line="424" w:lineRule="auto" w:before="0" w:after="0"/>
        <w:ind w:left="300" w:right="874" w:firstLine="419"/>
        <w:jc w:val="left"/>
        <w:rPr>
          <w:sz w:val="21"/>
        </w:rPr>
      </w:pPr>
      <w:r>
        <w:rPr>
          <w:spacing w:val="-3"/>
          <w:sz w:val="21"/>
        </w:rPr>
        <w:t>投资者办理基金转换业务时，转出基金必须处于可赎回状态，转入基金必须处于可申购状态。</w:t>
      </w:r>
    </w:p>
    <w:p>
      <w:pPr>
        <w:pStyle w:val="BodyText"/>
        <w:spacing w:line="424" w:lineRule="auto"/>
        <w:ind w:left="300" w:right="871" w:firstLine="419"/>
      </w:pPr>
      <w:r>
        <w:rPr>
          <w:spacing w:val="-8"/>
        </w:rPr>
        <w:t>由于各代销机构系统及业务安排等原因，可能开展基金转换业务的时间有所不同，投资</w:t>
      </w:r>
      <w:r>
        <w:rPr>
          <w:spacing w:val="-5"/>
        </w:rPr>
        <w:t>者应参照各代销机构的具体规定。</w:t>
      </w:r>
    </w:p>
    <w:p>
      <w:pPr>
        <w:pStyle w:val="BodyText"/>
        <w:spacing w:line="424" w:lineRule="auto"/>
        <w:ind w:left="300" w:right="873" w:firstLine="419"/>
      </w:pPr>
      <w:r>
        <w:rPr/>
        <w:t>基金管理人有权根据市场情况调整转换的程序及有关限制，但应最迟在调整生效前</w:t>
      </w:r>
      <w:r>
        <w:rPr>
          <w:rFonts w:ascii="Times New Roman" w:eastAsia="Times New Roman"/>
        </w:rPr>
        <w:t>2</w:t>
      </w:r>
      <w:r>
        <w:rPr/>
        <w:t>个工作日在至少一种中国证监会规定媒介公告。</w:t>
      </w:r>
    </w:p>
    <w:p>
      <w:pPr>
        <w:pStyle w:val="BodyText"/>
        <w:spacing w:line="267" w:lineRule="exact"/>
        <w:ind w:left="720"/>
      </w:pPr>
      <w:r>
        <w:rPr>
          <w:rFonts w:ascii="Times New Roman" w:eastAsia="Times New Roman"/>
        </w:rPr>
        <w:t>2</w:t>
      </w:r>
      <w:r>
        <w:rPr/>
        <w:t>、暂停基金转换的情形及处理</w:t>
      </w:r>
    </w:p>
    <w:p>
      <w:pPr>
        <w:pStyle w:val="BodyText"/>
        <w:spacing w:before="7"/>
        <w:rPr>
          <w:sz w:val="15"/>
        </w:rPr>
      </w:pPr>
    </w:p>
    <w:p>
      <w:pPr>
        <w:pStyle w:val="BodyText"/>
        <w:ind w:left="720"/>
      </w:pPr>
      <w:r>
        <w:rPr/>
        <w:t>出现下列情况之一时，基金管理人可以暂停基金转换业务：</w:t>
      </w:r>
    </w:p>
    <w:p>
      <w:pPr>
        <w:spacing w:after="0"/>
        <w:sectPr>
          <w:pgSz w:w="11910" w:h="16840"/>
          <w:pgMar w:header="701" w:footer="683" w:top="1420" w:bottom="880" w:left="1500" w:right="920"/>
        </w:sectPr>
      </w:pPr>
    </w:p>
    <w:p>
      <w:pPr>
        <w:pStyle w:val="ListParagraph"/>
        <w:numPr>
          <w:ilvl w:val="0"/>
          <w:numId w:val="17"/>
        </w:numPr>
        <w:tabs>
          <w:tab w:pos="1250" w:val="left" w:leader="none"/>
        </w:tabs>
        <w:spacing w:line="240" w:lineRule="auto" w:before="115" w:after="0"/>
        <w:ind w:left="1249" w:right="0" w:hanging="530"/>
        <w:jc w:val="left"/>
        <w:rPr>
          <w:sz w:val="21"/>
        </w:rPr>
      </w:pPr>
      <w:r>
        <w:rPr>
          <w:spacing w:val="-3"/>
          <w:sz w:val="21"/>
        </w:rPr>
        <w:t>不可抗力的原因导致基金无法正常运作。</w:t>
      </w:r>
    </w:p>
    <w:p>
      <w:pPr>
        <w:pStyle w:val="BodyText"/>
        <w:rPr>
          <w:sz w:val="16"/>
        </w:rPr>
      </w:pPr>
    </w:p>
    <w:p>
      <w:pPr>
        <w:pStyle w:val="ListParagraph"/>
        <w:numPr>
          <w:ilvl w:val="0"/>
          <w:numId w:val="17"/>
        </w:numPr>
        <w:tabs>
          <w:tab w:pos="1250" w:val="left" w:leader="none"/>
        </w:tabs>
        <w:spacing w:line="424" w:lineRule="auto" w:before="1" w:after="0"/>
        <w:ind w:left="300" w:right="874" w:firstLine="419"/>
        <w:jc w:val="left"/>
        <w:rPr>
          <w:sz w:val="21"/>
        </w:rPr>
      </w:pPr>
      <w:r>
        <w:rPr>
          <w:spacing w:val="-3"/>
          <w:sz w:val="21"/>
        </w:rPr>
        <w:t>证券交易场所在交易时间非正常停市，导致基金管理人无法计算当日基金资产净值。</w:t>
      </w:r>
    </w:p>
    <w:p>
      <w:pPr>
        <w:pStyle w:val="ListParagraph"/>
        <w:numPr>
          <w:ilvl w:val="0"/>
          <w:numId w:val="17"/>
        </w:numPr>
        <w:tabs>
          <w:tab w:pos="1250" w:val="left" w:leader="none"/>
        </w:tabs>
        <w:spacing w:line="424" w:lineRule="auto" w:before="0" w:after="0"/>
        <w:ind w:left="300" w:right="87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7"/>
        </w:numPr>
        <w:tabs>
          <w:tab w:pos="1250" w:val="left" w:leader="none"/>
        </w:tabs>
        <w:spacing w:line="240" w:lineRule="auto" w:before="0" w:after="0"/>
        <w:ind w:left="1249" w:right="0" w:hanging="530"/>
        <w:jc w:val="left"/>
        <w:rPr>
          <w:sz w:val="21"/>
        </w:rPr>
      </w:pPr>
      <w:r>
        <w:rPr>
          <w:spacing w:val="-3"/>
          <w:sz w:val="21"/>
        </w:rPr>
        <w:t>基金管理人认为会有损于现有基金份额持有人利益的某笔转换申请。</w:t>
      </w:r>
    </w:p>
    <w:p>
      <w:pPr>
        <w:pStyle w:val="BodyText"/>
        <w:spacing w:before="12"/>
        <w:rPr>
          <w:sz w:val="15"/>
        </w:rPr>
      </w:pPr>
    </w:p>
    <w:p>
      <w:pPr>
        <w:pStyle w:val="ListParagraph"/>
        <w:numPr>
          <w:ilvl w:val="0"/>
          <w:numId w:val="17"/>
        </w:numPr>
        <w:tabs>
          <w:tab w:pos="1250" w:val="left" w:leader="none"/>
        </w:tabs>
        <w:spacing w:line="240" w:lineRule="auto" w:before="0" w:after="0"/>
        <w:ind w:left="1249" w:right="0" w:hanging="530"/>
        <w:jc w:val="left"/>
        <w:rPr>
          <w:sz w:val="21"/>
        </w:rPr>
      </w:pPr>
      <w:r>
        <w:rPr>
          <w:spacing w:val="-3"/>
          <w:sz w:val="21"/>
        </w:rPr>
        <w:t>基金管理人有正当理由认为需要拒绝或暂停接受基金转换申请的。</w:t>
      </w:r>
    </w:p>
    <w:p>
      <w:pPr>
        <w:pStyle w:val="BodyText"/>
        <w:spacing w:before="1"/>
        <w:rPr>
          <w:sz w:val="16"/>
        </w:rPr>
      </w:pPr>
    </w:p>
    <w:p>
      <w:pPr>
        <w:pStyle w:val="ListParagraph"/>
        <w:numPr>
          <w:ilvl w:val="0"/>
          <w:numId w:val="17"/>
        </w:numPr>
        <w:tabs>
          <w:tab w:pos="1250" w:val="left" w:leader="none"/>
        </w:tabs>
        <w:spacing w:line="240" w:lineRule="auto" w:before="1" w:after="0"/>
        <w:ind w:left="1249" w:right="0" w:hanging="530"/>
        <w:jc w:val="left"/>
        <w:rPr>
          <w:sz w:val="21"/>
        </w:rPr>
      </w:pPr>
      <w:r>
        <w:rPr>
          <w:spacing w:val="-3"/>
          <w:sz w:val="21"/>
        </w:rPr>
        <w:t>发生基金合同规定的暂停基金申购或赎回的情形。</w:t>
      </w:r>
    </w:p>
    <w:p>
      <w:pPr>
        <w:pStyle w:val="BodyText"/>
        <w:spacing w:before="1"/>
        <w:rPr>
          <w:sz w:val="16"/>
        </w:rPr>
      </w:pPr>
    </w:p>
    <w:p>
      <w:pPr>
        <w:pStyle w:val="ListParagraph"/>
        <w:numPr>
          <w:ilvl w:val="0"/>
          <w:numId w:val="17"/>
        </w:numPr>
        <w:tabs>
          <w:tab w:pos="1250" w:val="left" w:leader="none"/>
        </w:tabs>
        <w:spacing w:line="240" w:lineRule="auto" w:before="0" w:after="0"/>
        <w:ind w:left="1249" w:right="0" w:hanging="530"/>
        <w:jc w:val="left"/>
        <w:rPr>
          <w:sz w:val="21"/>
        </w:rPr>
      </w:pPr>
      <w:r>
        <w:rPr>
          <w:spacing w:val="-3"/>
          <w:sz w:val="21"/>
        </w:rPr>
        <w:t>法律法规规定或中国证监会认定的其他情形。</w:t>
      </w:r>
    </w:p>
    <w:p>
      <w:pPr>
        <w:pStyle w:val="BodyText"/>
        <w:spacing w:before="1"/>
        <w:rPr>
          <w:sz w:val="16"/>
        </w:rPr>
      </w:pPr>
    </w:p>
    <w:p>
      <w:pPr>
        <w:pStyle w:val="BodyText"/>
        <w:spacing w:line="424" w:lineRule="auto"/>
        <w:ind w:left="300" w:right="871" w:firstLine="419"/>
        <w:jc w:val="both"/>
      </w:pPr>
      <w:r>
        <w:rPr>
          <w:spacing w:val="-12"/>
        </w:rPr>
        <w:t>发生上述情形之一的，基金管理人应于规定期限内在至少一种中国证监会规定媒介上刊</w:t>
      </w:r>
      <w:r>
        <w:rPr>
          <w:spacing w:val="-11"/>
        </w:rPr>
        <w:t>登暂停公告。重新开放基金转换时，基金管理人应及时在至少一种中国证监会规定媒介上刊</w:t>
      </w:r>
      <w:r>
        <w:rPr>
          <w:spacing w:val="-6"/>
        </w:rPr>
        <w:t>登重新开放基金转换的公告。</w:t>
      </w:r>
    </w:p>
    <w:p>
      <w:pPr>
        <w:pStyle w:val="BodyText"/>
        <w:spacing w:line="266" w:lineRule="exact"/>
        <w:ind w:left="720"/>
      </w:pPr>
      <w:r>
        <w:rPr>
          <w:rFonts w:ascii="Times New Roman" w:eastAsia="Times New Roman"/>
        </w:rPr>
        <w:t>3</w:t>
      </w:r>
      <w:r>
        <w:rPr/>
        <w:t>、转换费</w:t>
      </w:r>
    </w:p>
    <w:p>
      <w:pPr>
        <w:pStyle w:val="BodyText"/>
        <w:spacing w:before="3"/>
        <w:rPr>
          <w:sz w:val="16"/>
        </w:rPr>
      </w:pPr>
    </w:p>
    <w:p>
      <w:pPr>
        <w:pStyle w:val="ListParagraph"/>
        <w:numPr>
          <w:ilvl w:val="0"/>
          <w:numId w:val="18"/>
        </w:numPr>
        <w:tabs>
          <w:tab w:pos="1250" w:val="left" w:leader="none"/>
        </w:tabs>
        <w:spacing w:line="240" w:lineRule="auto" w:before="0" w:after="0"/>
        <w:ind w:left="1249" w:right="0" w:hanging="530"/>
        <w:jc w:val="left"/>
        <w:rPr>
          <w:sz w:val="21"/>
        </w:rPr>
      </w:pPr>
      <w:r>
        <w:rPr>
          <w:spacing w:val="-3"/>
          <w:sz w:val="21"/>
        </w:rPr>
        <w:t>基金转换费：无。</w:t>
      </w:r>
    </w:p>
    <w:p>
      <w:pPr>
        <w:pStyle w:val="BodyText"/>
        <w:spacing w:before="2"/>
        <w:rPr>
          <w:sz w:val="16"/>
        </w:rPr>
      </w:pPr>
    </w:p>
    <w:p>
      <w:pPr>
        <w:pStyle w:val="ListParagraph"/>
        <w:numPr>
          <w:ilvl w:val="0"/>
          <w:numId w:val="18"/>
        </w:numPr>
        <w:tabs>
          <w:tab w:pos="1250" w:val="left" w:leader="none"/>
        </w:tabs>
        <w:spacing w:line="424" w:lineRule="auto" w:before="0" w:after="0"/>
        <w:ind w:left="300" w:right="870"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8"/>
        </w:numPr>
        <w:tabs>
          <w:tab w:pos="1250" w:val="left" w:leader="none"/>
        </w:tabs>
        <w:spacing w:line="266" w:lineRule="exact" w:before="0" w:after="0"/>
        <w:ind w:left="1249" w:right="0" w:hanging="530"/>
        <w:jc w:val="left"/>
        <w:rPr>
          <w:sz w:val="21"/>
        </w:rPr>
      </w:pPr>
      <w:r>
        <w:rPr>
          <w:spacing w:val="-3"/>
          <w:sz w:val="21"/>
        </w:rPr>
        <w:t>转入基金费用：转入基金申购费用根据适用的转换情形收取，详细如下：</w:t>
      </w:r>
    </w:p>
    <w:p>
      <w:pPr>
        <w:pStyle w:val="BodyText"/>
        <w:spacing w:before="1"/>
        <w:rPr>
          <w:sz w:val="16"/>
        </w:rPr>
      </w:pPr>
    </w:p>
    <w:p>
      <w:pPr>
        <w:pStyle w:val="BodyText"/>
        <w:ind w:left="720"/>
      </w:pPr>
      <w:r>
        <w:rPr/>
        <w:t>①从前端（比例费率）收费基金转出，转入其他前端（比例费率）收费基金</w:t>
      </w:r>
    </w:p>
    <w:p>
      <w:pPr>
        <w:pStyle w:val="BodyText"/>
        <w:spacing w:before="1"/>
        <w:rPr>
          <w:sz w:val="16"/>
        </w:rPr>
      </w:pPr>
    </w:p>
    <w:p>
      <w:pPr>
        <w:pStyle w:val="BodyText"/>
        <w:spacing w:line="424" w:lineRule="auto"/>
        <w:ind w:left="300" w:right="87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24" w:lineRule="auto" w:before="1"/>
        <w:ind w:left="300" w:right="87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7" w:lineRule="exact"/>
        <w:ind w:left="720"/>
      </w:pPr>
      <w:r>
        <w:rPr/>
        <w:t>业务举例：详见“</w:t>
      </w:r>
      <w:r>
        <w:rPr>
          <w:rFonts w:ascii="Times New Roman" w:hAnsi="Times New Roman" w:eastAsia="Times New Roman"/>
        </w:rPr>
        <w:t>4</w:t>
      </w:r>
      <w:r>
        <w:rPr/>
        <w:t>、业务举例”中例一。</w:t>
      </w:r>
    </w:p>
    <w:p>
      <w:pPr>
        <w:pStyle w:val="BodyText"/>
        <w:spacing w:before="1"/>
        <w:rPr>
          <w:sz w:val="16"/>
        </w:rPr>
      </w:pPr>
    </w:p>
    <w:p>
      <w:pPr>
        <w:pStyle w:val="BodyText"/>
        <w:ind w:left="720"/>
      </w:pPr>
      <w:r>
        <w:rPr/>
        <w:t>②从前端（比例费率）收费基金转出，转入其他前端（固定费用）收费基金</w:t>
      </w:r>
    </w:p>
    <w:p>
      <w:pPr>
        <w:pStyle w:val="BodyText"/>
        <w:spacing w:before="1"/>
        <w:rPr>
          <w:sz w:val="16"/>
        </w:rPr>
      </w:pPr>
    </w:p>
    <w:p>
      <w:pPr>
        <w:pStyle w:val="BodyText"/>
        <w:spacing w:line="424" w:lineRule="auto"/>
        <w:ind w:left="300" w:right="765"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24" w:lineRule="auto"/>
        <w:ind w:left="300" w:right="87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spacing w:after="0" w:line="424" w:lineRule="auto"/>
        <w:sectPr>
          <w:pgSz w:w="11910" w:h="16840"/>
          <w:pgMar w:header="701" w:footer="683" w:top="1420" w:bottom="880" w:left="1500" w:right="920"/>
        </w:sectPr>
      </w:pPr>
    </w:p>
    <w:p>
      <w:pPr>
        <w:pStyle w:val="BodyText"/>
        <w:spacing w:before="115"/>
        <w:ind w:left="720"/>
      </w:pPr>
      <w:r>
        <w:rPr/>
        <w:t>业务举例：详见“</w:t>
      </w:r>
      <w:r>
        <w:rPr>
          <w:rFonts w:ascii="Times New Roman" w:hAnsi="Times New Roman" w:eastAsia="Times New Roman"/>
        </w:rPr>
        <w:t>4</w:t>
      </w:r>
      <w:r>
        <w:rPr/>
        <w:t>、业务举例”中例二。</w:t>
      </w:r>
    </w:p>
    <w:p>
      <w:pPr>
        <w:pStyle w:val="BodyText"/>
        <w:rPr>
          <w:sz w:val="16"/>
        </w:rPr>
      </w:pPr>
    </w:p>
    <w:p>
      <w:pPr>
        <w:pStyle w:val="BodyText"/>
        <w:spacing w:before="1"/>
        <w:ind w:left="720"/>
      </w:pPr>
      <w:r>
        <w:rPr/>
        <w:t>③从前端（比例费率）收费基金转出，转入其他后端收费基金</w:t>
      </w:r>
    </w:p>
    <w:p>
      <w:pPr>
        <w:pStyle w:val="BodyText"/>
        <w:spacing w:before="1"/>
        <w:rPr>
          <w:sz w:val="16"/>
        </w:rPr>
      </w:pPr>
    </w:p>
    <w:p>
      <w:pPr>
        <w:pStyle w:val="BodyText"/>
        <w:spacing w:line="424" w:lineRule="auto"/>
        <w:ind w:left="300" w:right="87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27" w:lineRule="auto"/>
        <w:ind w:left="300" w:right="87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4" w:lineRule="exact"/>
        <w:ind w:left="720"/>
      </w:pPr>
      <w:r>
        <w:rPr/>
        <w:t>业务举例：详见“</w:t>
      </w:r>
      <w:r>
        <w:rPr>
          <w:rFonts w:ascii="Times New Roman" w:hAnsi="Times New Roman" w:eastAsia="Times New Roman"/>
        </w:rPr>
        <w:t>4</w:t>
      </w:r>
      <w:r>
        <w:rPr/>
        <w:t>、业务举例”中例三。 </w:t>
      </w:r>
    </w:p>
    <w:p>
      <w:pPr>
        <w:pStyle w:val="BodyText"/>
        <w:spacing w:before="12"/>
        <w:rPr>
          <w:sz w:val="15"/>
        </w:rPr>
      </w:pPr>
    </w:p>
    <w:p>
      <w:pPr>
        <w:pStyle w:val="BodyText"/>
        <w:ind w:left="720"/>
      </w:pPr>
      <w:r>
        <w:rPr/>
        <w:t>④从前端（比例费率）收费基金转出，转入其他不收取申购费用的基金</w:t>
      </w:r>
    </w:p>
    <w:p>
      <w:pPr>
        <w:pStyle w:val="BodyText"/>
        <w:spacing w:before="1"/>
        <w:rPr>
          <w:sz w:val="16"/>
        </w:rPr>
      </w:pPr>
    </w:p>
    <w:p>
      <w:pPr>
        <w:pStyle w:val="BodyText"/>
        <w:spacing w:line="424" w:lineRule="auto"/>
        <w:ind w:left="300" w:right="87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7" w:lineRule="exact"/>
        <w:ind w:left="720"/>
      </w:pPr>
      <w:r>
        <w:rPr/>
        <w:t>费用收取方式：不收取申购费用。</w:t>
      </w:r>
    </w:p>
    <w:p>
      <w:pPr>
        <w:pStyle w:val="BodyText"/>
        <w:spacing w:before="1"/>
        <w:rPr>
          <w:sz w:val="16"/>
        </w:rPr>
      </w:pPr>
    </w:p>
    <w:p>
      <w:pPr>
        <w:pStyle w:val="BodyText"/>
        <w:spacing w:before="1"/>
        <w:ind w:left="720"/>
      </w:pPr>
      <w:r>
        <w:rPr/>
        <w:t>业务举例：详见“</w:t>
      </w:r>
      <w:r>
        <w:rPr>
          <w:rFonts w:ascii="Times New Roman" w:hAnsi="Times New Roman" w:eastAsia="Times New Roman"/>
        </w:rPr>
        <w:t>4</w:t>
      </w:r>
      <w:r>
        <w:rPr/>
        <w:t>、业务举例”中例四。 </w:t>
      </w:r>
    </w:p>
    <w:p>
      <w:pPr>
        <w:pStyle w:val="BodyText"/>
        <w:rPr>
          <w:sz w:val="16"/>
        </w:rPr>
      </w:pPr>
    </w:p>
    <w:p>
      <w:pPr>
        <w:pStyle w:val="BodyText"/>
        <w:spacing w:before="1"/>
        <w:ind w:left="720"/>
      </w:pPr>
      <w:r>
        <w:rPr/>
        <w:t>⑤从前端（固定费用）收费基金转出，转入其他前端（比例费率）收费基金</w:t>
      </w:r>
    </w:p>
    <w:p>
      <w:pPr>
        <w:pStyle w:val="BodyText"/>
        <w:spacing w:before="3"/>
        <w:rPr>
          <w:sz w:val="16"/>
        </w:rPr>
      </w:pPr>
    </w:p>
    <w:p>
      <w:pPr>
        <w:pStyle w:val="BodyText"/>
        <w:spacing w:line="424" w:lineRule="auto"/>
        <w:ind w:left="300" w:right="765"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24" w:lineRule="auto"/>
        <w:ind w:left="300" w:right="87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7" w:lineRule="exact"/>
        <w:ind w:left="720"/>
      </w:pPr>
      <w:r>
        <w:rPr/>
        <w:t>业务举例：详见“</w:t>
      </w:r>
      <w:r>
        <w:rPr>
          <w:rFonts w:ascii="Times New Roman" w:hAnsi="Times New Roman" w:eastAsia="Times New Roman"/>
        </w:rPr>
        <w:t>4</w:t>
      </w:r>
      <w:r>
        <w:rPr/>
        <w:t>、业务举例”中例五。</w:t>
      </w:r>
    </w:p>
    <w:p>
      <w:pPr>
        <w:pStyle w:val="BodyText"/>
        <w:spacing w:before="12"/>
        <w:rPr>
          <w:sz w:val="15"/>
        </w:rPr>
      </w:pPr>
    </w:p>
    <w:p>
      <w:pPr>
        <w:pStyle w:val="BodyText"/>
        <w:ind w:left="720"/>
      </w:pPr>
      <w:r>
        <w:rPr/>
        <w:t>⑥从前端（固定费用）收费基金转出，转入其他前端（固定费用）收费基金</w:t>
      </w:r>
    </w:p>
    <w:p>
      <w:pPr>
        <w:pStyle w:val="BodyText"/>
        <w:spacing w:before="1"/>
        <w:rPr>
          <w:sz w:val="16"/>
        </w:rPr>
      </w:pPr>
    </w:p>
    <w:p>
      <w:pPr>
        <w:pStyle w:val="BodyText"/>
        <w:spacing w:line="424" w:lineRule="auto" w:before="1"/>
        <w:ind w:left="300" w:right="87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24" w:lineRule="auto" w:before="1"/>
        <w:ind w:left="720" w:right="77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 </w:t>
      </w:r>
    </w:p>
    <w:p>
      <w:pPr>
        <w:pStyle w:val="BodyText"/>
        <w:spacing w:line="267" w:lineRule="exact"/>
        <w:ind w:left="720"/>
      </w:pPr>
      <w:r>
        <w:rPr/>
        <w:t>⑦从前端（固定费用）收费基金转出，转入其他后端收费基金</w:t>
      </w:r>
    </w:p>
    <w:p>
      <w:pPr>
        <w:pStyle w:val="BodyText"/>
        <w:rPr>
          <w:sz w:val="16"/>
        </w:rPr>
      </w:pPr>
    </w:p>
    <w:p>
      <w:pPr>
        <w:pStyle w:val="BodyText"/>
        <w:spacing w:line="424" w:lineRule="auto" w:before="1"/>
        <w:ind w:left="300" w:right="87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24" w:lineRule="auto"/>
        <w:ind w:left="300" w:right="87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7" w:lineRule="exact"/>
        <w:ind w:left="720"/>
      </w:pPr>
      <w:r>
        <w:rPr/>
        <w:t>业务举例：详见“</w:t>
      </w:r>
      <w:r>
        <w:rPr>
          <w:rFonts w:ascii="Times New Roman" w:hAnsi="Times New Roman" w:eastAsia="Times New Roman"/>
        </w:rPr>
        <w:t>4</w:t>
      </w:r>
      <w:r>
        <w:rPr/>
        <w:t>、业务举例”中例七。 </w:t>
      </w:r>
    </w:p>
    <w:p>
      <w:pPr>
        <w:spacing w:after="0" w:line="267" w:lineRule="exact"/>
        <w:sectPr>
          <w:pgSz w:w="11910" w:h="16840"/>
          <w:pgMar w:header="701" w:footer="683" w:top="1420" w:bottom="880" w:left="1500" w:right="920"/>
        </w:sectPr>
      </w:pPr>
    </w:p>
    <w:p>
      <w:pPr>
        <w:pStyle w:val="BodyText"/>
        <w:spacing w:before="115"/>
        <w:ind w:left="720"/>
      </w:pPr>
      <w:r>
        <w:rPr/>
        <w:t>⑧从前端（固定费用）收费基金转出，转入其他不收取申购费用的基金</w:t>
      </w:r>
    </w:p>
    <w:p>
      <w:pPr>
        <w:pStyle w:val="BodyText"/>
        <w:rPr>
          <w:sz w:val="16"/>
        </w:rPr>
      </w:pPr>
    </w:p>
    <w:p>
      <w:pPr>
        <w:pStyle w:val="BodyText"/>
        <w:spacing w:line="424" w:lineRule="auto" w:before="1"/>
        <w:ind w:left="300" w:right="87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7" w:lineRule="exact"/>
        <w:ind w:left="720"/>
      </w:pPr>
      <w:r>
        <w:rPr/>
        <w:t>费用收取方式：不收取申购费用。</w:t>
      </w:r>
    </w:p>
    <w:p>
      <w:pPr>
        <w:pStyle w:val="BodyText"/>
        <w:spacing w:before="1"/>
        <w:rPr>
          <w:sz w:val="16"/>
        </w:rPr>
      </w:pPr>
    </w:p>
    <w:p>
      <w:pPr>
        <w:pStyle w:val="BodyText"/>
        <w:ind w:left="720"/>
      </w:pPr>
      <w:r>
        <w:rPr/>
        <w:t>业务举例：详见“</w:t>
      </w:r>
      <w:r>
        <w:rPr>
          <w:rFonts w:ascii="Times New Roman" w:hAnsi="Times New Roman" w:eastAsia="Times New Roman"/>
        </w:rPr>
        <w:t>4</w:t>
      </w:r>
      <w:r>
        <w:rPr/>
        <w:t>、业务举例”中例八。 </w:t>
      </w:r>
    </w:p>
    <w:p>
      <w:pPr>
        <w:pStyle w:val="BodyText"/>
        <w:spacing w:before="3"/>
        <w:rPr>
          <w:sz w:val="16"/>
        </w:rPr>
      </w:pPr>
    </w:p>
    <w:p>
      <w:pPr>
        <w:pStyle w:val="BodyText"/>
        <w:ind w:left="720"/>
      </w:pPr>
      <w:r>
        <w:rPr/>
        <w:t>⑨从后端收费基金转出，转入其他前端（比例费率）收费基金</w:t>
      </w:r>
    </w:p>
    <w:p>
      <w:pPr>
        <w:pStyle w:val="BodyText"/>
        <w:spacing w:before="1"/>
        <w:rPr>
          <w:sz w:val="16"/>
        </w:rPr>
      </w:pPr>
    </w:p>
    <w:p>
      <w:pPr>
        <w:pStyle w:val="BodyText"/>
        <w:spacing w:line="424" w:lineRule="auto"/>
        <w:ind w:left="300" w:right="87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24" w:lineRule="auto"/>
        <w:ind w:left="300" w:right="87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7" w:lineRule="exact"/>
        <w:ind w:left="720"/>
      </w:pPr>
      <w:r>
        <w:rPr/>
        <w:t>业务举例：详见“</w:t>
      </w:r>
      <w:r>
        <w:rPr>
          <w:rFonts w:ascii="Times New Roman" w:hAnsi="Times New Roman" w:eastAsia="Times New Roman"/>
        </w:rPr>
        <w:t>4</w:t>
      </w:r>
      <w:r>
        <w:rPr/>
        <w:t>、业务举例”中例九。</w:t>
      </w:r>
    </w:p>
    <w:p>
      <w:pPr>
        <w:pStyle w:val="BodyText"/>
        <w:rPr>
          <w:sz w:val="16"/>
        </w:rPr>
      </w:pPr>
    </w:p>
    <w:p>
      <w:pPr>
        <w:pStyle w:val="BodyText"/>
        <w:ind w:left="720"/>
      </w:pPr>
      <w:r>
        <w:rPr/>
        <w:t>⑩从后端收费基金转出，转入其他前端（固定费用）收费基金</w:t>
      </w:r>
    </w:p>
    <w:p>
      <w:pPr>
        <w:pStyle w:val="BodyText"/>
        <w:spacing w:before="1"/>
        <w:rPr>
          <w:sz w:val="16"/>
        </w:rPr>
      </w:pPr>
    </w:p>
    <w:p>
      <w:pPr>
        <w:pStyle w:val="BodyText"/>
        <w:spacing w:line="427" w:lineRule="auto"/>
        <w:ind w:left="300" w:right="87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24" w:lineRule="auto"/>
        <w:ind w:left="300" w:right="87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7" w:lineRule="exact"/>
        <w:ind w:left="720"/>
      </w:pPr>
      <w:r>
        <w:rPr/>
        <w:t>业务举例：详见“</w:t>
      </w:r>
      <w:r>
        <w:rPr>
          <w:rFonts w:ascii="Times New Roman" w:hAnsi="Times New Roman" w:eastAsia="Times New Roman"/>
        </w:rPr>
        <w:t>4</w:t>
      </w:r>
      <w:r>
        <w:rPr/>
        <w:t>、业务举例”中例十。</w:t>
      </w:r>
    </w:p>
    <w:p>
      <w:pPr>
        <w:pStyle w:val="BodyText"/>
        <w:spacing w:before="3"/>
        <w:rPr>
          <w:sz w:val="17"/>
        </w:rPr>
      </w:pPr>
    </w:p>
    <w:p>
      <w:pPr>
        <w:pStyle w:val="BodyText"/>
        <w:ind w:left="720"/>
      </w:pPr>
      <w:r>
        <w:rPr>
          <w:rFonts w:ascii="Malgun Gothic" w:hAnsi="Malgun Gothic" w:eastAsia="Malgun Gothic" w:hint="eastAsia"/>
        </w:rPr>
        <w:t>⑪</w:t>
      </w:r>
      <w:r>
        <w:rPr/>
        <w:t>从后端收费基金转出，转入其他后端收费基金</w:t>
      </w:r>
    </w:p>
    <w:p>
      <w:pPr>
        <w:pStyle w:val="BodyText"/>
        <w:spacing w:line="424" w:lineRule="auto" w:before="234"/>
        <w:ind w:left="300" w:right="871" w:firstLine="419"/>
      </w:pPr>
      <w:r>
        <w:rPr>
          <w:spacing w:val="-12"/>
        </w:rPr>
        <w:t>情形描述：投资者将其持有的某一后端收费基金的基金份额转换为本公司管理的其他后</w:t>
      </w:r>
      <w:r>
        <w:rPr>
          <w:spacing w:val="-6"/>
        </w:rPr>
        <w:t>端收费基金基金份额。</w:t>
      </w:r>
    </w:p>
    <w:p>
      <w:pPr>
        <w:pStyle w:val="BodyText"/>
        <w:spacing w:line="427" w:lineRule="auto"/>
        <w:ind w:left="300" w:right="87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4" w:lineRule="exact"/>
        <w:ind w:left="720"/>
      </w:pPr>
      <w:r>
        <w:rPr/>
        <w:t>业务举例：详见“</w:t>
      </w:r>
      <w:r>
        <w:rPr>
          <w:rFonts w:ascii="Times New Roman" w:hAnsi="Times New Roman" w:eastAsia="Times New Roman"/>
        </w:rPr>
        <w:t>4</w:t>
      </w:r>
      <w:r>
        <w:rPr/>
        <w:t>、业务举例”中例十一。</w:t>
      </w:r>
    </w:p>
    <w:p>
      <w:pPr>
        <w:pStyle w:val="BodyText"/>
        <w:spacing w:before="6"/>
        <w:rPr>
          <w:sz w:val="17"/>
        </w:rPr>
      </w:pPr>
    </w:p>
    <w:p>
      <w:pPr>
        <w:pStyle w:val="BodyText"/>
        <w:ind w:left="720"/>
      </w:pPr>
      <w:r>
        <w:rPr>
          <w:rFonts w:ascii="Malgun Gothic" w:hAnsi="Malgun Gothic" w:eastAsia="Malgun Gothic" w:hint="eastAsia"/>
        </w:rPr>
        <w:t>⑫</w:t>
      </w:r>
      <w:r>
        <w:rPr/>
        <w:t>从后端收费基金转出，转入其他不收取申购费用的基金</w:t>
      </w:r>
    </w:p>
    <w:p>
      <w:pPr>
        <w:pStyle w:val="BodyText"/>
        <w:spacing w:line="424" w:lineRule="auto" w:before="233"/>
        <w:ind w:left="300" w:right="87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7" w:lineRule="exact"/>
        <w:ind w:left="720"/>
      </w:pPr>
      <w:r>
        <w:rPr/>
        <w:t>费用收取方式：不收取申购费用。</w:t>
      </w:r>
    </w:p>
    <w:p>
      <w:pPr>
        <w:pStyle w:val="BodyText"/>
        <w:spacing w:before="2"/>
        <w:rPr>
          <w:sz w:val="16"/>
        </w:rPr>
      </w:pPr>
    </w:p>
    <w:p>
      <w:pPr>
        <w:pStyle w:val="BodyText"/>
        <w:ind w:left="720"/>
      </w:pPr>
      <w:r>
        <w:rPr/>
        <w:t>业务举例：详见“</w:t>
      </w:r>
      <w:r>
        <w:rPr>
          <w:rFonts w:ascii="Times New Roman" w:hAnsi="Times New Roman" w:eastAsia="Times New Roman"/>
        </w:rPr>
        <w:t>4</w:t>
      </w:r>
      <w:r>
        <w:rPr/>
        <w:t>、业务举例”中例十二。</w:t>
      </w:r>
    </w:p>
    <w:p>
      <w:pPr>
        <w:spacing w:after="0"/>
        <w:sectPr>
          <w:pgSz w:w="11910" w:h="16840"/>
          <w:pgMar w:header="701" w:footer="683" w:top="1420" w:bottom="880" w:left="1500" w:right="920"/>
        </w:sectPr>
      </w:pPr>
    </w:p>
    <w:p>
      <w:pPr>
        <w:pStyle w:val="BodyText"/>
        <w:spacing w:before="134"/>
        <w:ind w:left="720"/>
      </w:pPr>
      <w:r>
        <w:rPr>
          <w:rFonts w:ascii="Malgun Gothic" w:hAnsi="Malgun Gothic" w:eastAsia="Malgun Gothic" w:hint="eastAsia"/>
        </w:rPr>
        <w:t>⑬</w:t>
      </w:r>
      <w:r>
        <w:rPr/>
        <w:t>从不收取申购费用的基金转出，转入其他前端（比例费率）收费基金</w:t>
      </w:r>
    </w:p>
    <w:p>
      <w:pPr>
        <w:pStyle w:val="BodyText"/>
        <w:spacing w:line="424" w:lineRule="auto" w:before="233"/>
        <w:ind w:left="300" w:right="87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27" w:lineRule="auto"/>
        <w:ind w:left="300" w:right="87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4" w:lineRule="exact"/>
        <w:ind w:left="720"/>
      </w:pPr>
      <w:r>
        <w:rPr/>
        <w:t>业务举例：详见“</w:t>
      </w:r>
      <w:r>
        <w:rPr>
          <w:rFonts w:ascii="Times New Roman" w:hAnsi="Times New Roman" w:eastAsia="Times New Roman"/>
        </w:rPr>
        <w:t>4</w:t>
      </w:r>
      <w:r>
        <w:rPr/>
        <w:t>、业务举例”中例十三。</w:t>
      </w:r>
    </w:p>
    <w:p>
      <w:pPr>
        <w:pStyle w:val="BodyText"/>
        <w:spacing w:before="6"/>
        <w:rPr>
          <w:sz w:val="17"/>
        </w:rPr>
      </w:pPr>
    </w:p>
    <w:p>
      <w:pPr>
        <w:pStyle w:val="BodyText"/>
        <w:spacing w:before="1"/>
        <w:ind w:left="720"/>
      </w:pPr>
      <w:r>
        <w:rPr>
          <w:rFonts w:ascii="Malgun Gothic" w:hAnsi="Malgun Gothic" w:eastAsia="Malgun Gothic" w:hint="eastAsia"/>
        </w:rPr>
        <w:t>⑭</w:t>
      </w:r>
      <w:r>
        <w:rPr/>
        <w:t>从不收取申购费用基金转出，转入其他前端（固定费用）收费基金</w:t>
      </w:r>
    </w:p>
    <w:p>
      <w:pPr>
        <w:pStyle w:val="BodyText"/>
        <w:spacing w:line="424" w:lineRule="auto" w:before="233"/>
        <w:ind w:left="300" w:right="87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24" w:lineRule="auto"/>
        <w:ind w:left="300" w:right="87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7" w:lineRule="exact"/>
        <w:ind w:left="720"/>
      </w:pPr>
      <w:r>
        <w:rPr/>
        <w:t>业务举例：详见“</w:t>
      </w:r>
      <w:r>
        <w:rPr>
          <w:rFonts w:ascii="Times New Roman" w:hAnsi="Times New Roman" w:eastAsia="Times New Roman"/>
        </w:rPr>
        <w:t>4</w:t>
      </w:r>
      <w:r>
        <w:rPr/>
        <w:t>、业务举例”中例十四。</w:t>
      </w:r>
    </w:p>
    <w:p>
      <w:pPr>
        <w:pStyle w:val="BodyText"/>
        <w:spacing w:before="8"/>
        <w:rPr>
          <w:sz w:val="17"/>
        </w:rPr>
      </w:pPr>
    </w:p>
    <w:p>
      <w:pPr>
        <w:pStyle w:val="BodyText"/>
        <w:ind w:left="720"/>
      </w:pPr>
      <w:r>
        <w:rPr>
          <w:rFonts w:ascii="Malgun Gothic" w:hAnsi="Malgun Gothic" w:eastAsia="Malgun Gothic" w:hint="eastAsia"/>
        </w:rPr>
        <w:t>⑮</w:t>
      </w:r>
      <w:r>
        <w:rPr/>
        <w:t>从不收取申购费用的基金转出，转入其他后端收费基金</w:t>
      </w:r>
    </w:p>
    <w:p>
      <w:pPr>
        <w:pStyle w:val="BodyText"/>
        <w:spacing w:line="424" w:lineRule="auto" w:before="234"/>
        <w:ind w:left="300" w:right="87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24" w:lineRule="auto"/>
        <w:ind w:left="300" w:right="87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7" w:lineRule="exact"/>
        <w:ind w:left="720"/>
      </w:pPr>
      <w:r>
        <w:rPr/>
        <w:t>业务举例：详见“</w:t>
      </w:r>
      <w:r>
        <w:rPr>
          <w:rFonts w:ascii="Times New Roman" w:hAnsi="Times New Roman" w:eastAsia="Times New Roman"/>
        </w:rPr>
        <w:t>4</w:t>
      </w:r>
      <w:r>
        <w:rPr/>
        <w:t>、业务举例”中例十五。</w:t>
      </w:r>
    </w:p>
    <w:p>
      <w:pPr>
        <w:pStyle w:val="BodyText"/>
        <w:spacing w:before="7"/>
        <w:rPr>
          <w:sz w:val="19"/>
        </w:rPr>
      </w:pPr>
    </w:p>
    <w:p>
      <w:pPr>
        <w:pStyle w:val="BodyText"/>
        <w:ind w:left="720"/>
      </w:pPr>
      <w:r>
        <w:rPr>
          <w:rFonts w:ascii="Arial Unicode MS" w:hAnsi="Arial Unicode MS" w:eastAsia="Arial Unicode MS" w:hint="eastAsia"/>
        </w:rPr>
        <w:t>⑯</w:t>
      </w:r>
      <w:r>
        <w:rPr/>
        <w:t>从不收取申购费用的基金转出，转入其他不收取申购费用的基金</w:t>
      </w:r>
    </w:p>
    <w:p>
      <w:pPr>
        <w:pStyle w:val="BodyText"/>
        <w:spacing w:line="427" w:lineRule="auto" w:before="222"/>
        <w:ind w:left="300" w:right="87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4" w:lineRule="exact"/>
        <w:ind w:left="720"/>
      </w:pPr>
      <w:r>
        <w:rPr>
          <w:spacing w:val="-3"/>
        </w:rPr>
        <w:t>费用收取方式：不收取申购费用。</w:t>
      </w:r>
    </w:p>
    <w:p>
      <w:pPr>
        <w:pStyle w:val="BodyText"/>
        <w:spacing w:before="1"/>
        <w:rPr>
          <w:sz w:val="16"/>
        </w:rPr>
      </w:pPr>
    </w:p>
    <w:p>
      <w:pPr>
        <w:pStyle w:val="BodyText"/>
        <w:ind w:left="720"/>
      </w:pPr>
      <w:r>
        <w:rPr/>
        <w:t>业务举例：详见“</w:t>
      </w:r>
      <w:r>
        <w:rPr>
          <w:rFonts w:ascii="Times New Roman" w:hAnsi="Times New Roman" w:eastAsia="Times New Roman"/>
        </w:rPr>
        <w:t>4</w:t>
      </w:r>
      <w:r>
        <w:rPr/>
        <w:t>、业务举例”中例十六。</w:t>
      </w:r>
    </w:p>
    <w:p>
      <w:pPr>
        <w:pStyle w:val="BodyText"/>
        <w:spacing w:before="10"/>
        <w:rPr>
          <w:sz w:val="19"/>
        </w:rPr>
      </w:pPr>
    </w:p>
    <w:p>
      <w:pPr>
        <w:pStyle w:val="BodyText"/>
        <w:ind w:left="720"/>
      </w:pPr>
      <w:r>
        <w:rPr>
          <w:rFonts w:ascii="Arial Unicode MS" w:hAnsi="Arial Unicode MS" w:eastAsia="Arial Unicode MS" w:hint="eastAsia"/>
        </w:rPr>
        <w:t>⑰</w:t>
      </w:r>
      <w:r>
        <w:rPr/>
        <w:t>对于货币基金的基金份额转出情况的补充说明</w:t>
      </w:r>
    </w:p>
    <w:p>
      <w:pPr>
        <w:pStyle w:val="BodyText"/>
        <w:spacing w:line="424" w:lineRule="auto" w:before="221"/>
        <w:ind w:left="720" w:right="161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8"/>
        </w:numPr>
        <w:tabs>
          <w:tab w:pos="1250" w:val="left" w:leader="none"/>
        </w:tabs>
        <w:spacing w:line="267" w:lineRule="exact" w:before="0" w:after="0"/>
        <w:ind w:left="1249" w:right="0" w:hanging="530"/>
        <w:jc w:val="left"/>
        <w:rPr>
          <w:sz w:val="21"/>
        </w:rPr>
      </w:pPr>
      <w:r>
        <w:rPr>
          <w:spacing w:val="-3"/>
          <w:sz w:val="21"/>
        </w:rPr>
        <w:t>上述费用另有优惠的，从其规定。</w:t>
      </w:r>
    </w:p>
    <w:p>
      <w:pPr>
        <w:spacing w:after="0" w:line="267" w:lineRule="exact"/>
        <w:jc w:val="left"/>
        <w:rPr>
          <w:sz w:val="21"/>
        </w:rPr>
        <w:sectPr>
          <w:pgSz w:w="11910" w:h="16840"/>
          <w:pgMar w:header="701" w:footer="683" w:top="1420" w:bottom="880" w:left="1500" w:right="920"/>
        </w:sectPr>
      </w:pPr>
    </w:p>
    <w:p>
      <w:pPr>
        <w:pStyle w:val="BodyText"/>
        <w:spacing w:before="115"/>
        <w:ind w:left="720"/>
      </w:pPr>
      <w:r>
        <w:rPr/>
        <w:t>基金管理人可以在法律法规和本基金合同规定范围内调整基金转换的有关业务规则。</w:t>
      </w:r>
    </w:p>
    <w:p>
      <w:pPr>
        <w:pStyle w:val="BodyText"/>
        <w:rPr>
          <w:sz w:val="16"/>
        </w:rPr>
      </w:pPr>
    </w:p>
    <w:p>
      <w:pPr>
        <w:pStyle w:val="BodyText"/>
        <w:spacing w:before="1"/>
        <w:ind w:left="720"/>
      </w:pPr>
      <w:r>
        <w:rPr>
          <w:rFonts w:ascii="Times New Roman" w:eastAsia="Times New Roman"/>
        </w:rPr>
        <w:t>4</w:t>
      </w:r>
      <w:r>
        <w:rPr/>
        <w:t>、业务举例</w:t>
      </w:r>
    </w:p>
    <w:p>
      <w:pPr>
        <w:pStyle w:val="BodyText"/>
        <w:spacing w:before="1"/>
        <w:rPr>
          <w:sz w:val="16"/>
        </w:rPr>
      </w:pPr>
    </w:p>
    <w:p>
      <w:pPr>
        <w:pStyle w:val="BodyText"/>
        <w:spacing w:line="424" w:lineRule="auto"/>
        <w:ind w:left="300" w:right="873" w:firstLine="419"/>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9"/>
        </w:numPr>
        <w:tabs>
          <w:tab w:pos="1250" w:val="left" w:leader="none"/>
        </w:tabs>
        <w:spacing w:line="427" w:lineRule="auto" w:before="0" w:after="0"/>
        <w:ind w:left="300" w:right="768" w:firstLine="419"/>
        <w:jc w:val="left"/>
        <w:rPr>
          <w:sz w:val="21"/>
        </w:rPr>
      </w:pPr>
      <w:r>
        <w:rPr/>
        <w:pict>
          <v:shape style="position:absolute;margin-left:110.300003pt;margin-top:42.420006pt;width:375.1pt;height:196.75pt;mso-position-horizontal-relative:page;mso-position-vertical-relative:paragraph;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6" w:hRule="atLeast"/>
                    </w:trPr>
                    <w:tc>
                      <w:tcPr>
                        <w:tcW w:w="4261" w:type="dxa"/>
                      </w:tcPr>
                      <w:p>
                        <w:pPr>
                          <w:pStyle w:val="TableParagraph"/>
                          <w:ind w:left="1953" w:right="1838"/>
                          <w:jc w:val="center"/>
                          <w:rPr>
                            <w:sz w:val="21"/>
                          </w:rPr>
                        </w:pPr>
                        <w:r>
                          <w:rPr>
                            <w:sz w:val="21"/>
                          </w:rPr>
                          <w:t>项目 </w:t>
                        </w:r>
                      </w:p>
                    </w:tc>
                    <w:tc>
                      <w:tcPr>
                        <w:tcW w:w="3226" w:type="dxa"/>
                      </w:tcPr>
                      <w:p>
                        <w:pPr>
                          <w:pStyle w:val="TableParagraph"/>
                          <w:ind w:left="1225" w:right="1111"/>
                          <w:jc w:val="center"/>
                          <w:rPr>
                            <w:sz w:val="21"/>
                          </w:rPr>
                        </w:pPr>
                        <w:r>
                          <w:rPr>
                            <w:sz w:val="21"/>
                          </w:rPr>
                          <w:t>费用计算 </w:t>
                        </w:r>
                      </w:p>
                    </w:tc>
                  </w:tr>
                  <w:tr>
                    <w:trPr>
                      <w:trHeight w:val="316" w:hRule="atLeast"/>
                    </w:trPr>
                    <w:tc>
                      <w:tcPr>
                        <w:tcW w:w="4261"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26" w:type="dxa"/>
                      </w:tcPr>
                      <w:p>
                        <w:pPr>
                          <w:pStyle w:val="TableParagraph"/>
                          <w:spacing w:before="37"/>
                          <w:ind w:right="93"/>
                          <w:jc w:val="right"/>
                          <w:rPr>
                            <w:rFonts w:ascii="Times New Roman"/>
                            <w:sz w:val="21"/>
                          </w:rPr>
                        </w:pPr>
                        <w:r>
                          <w:rPr>
                            <w:rFonts w:ascii="Times New Roman"/>
                            <w:sz w:val="21"/>
                          </w:rPr>
                          <w:t>1,000.00</w:t>
                        </w:r>
                      </w:p>
                    </w:tc>
                  </w:tr>
                  <w:tr>
                    <w:trPr>
                      <w:trHeight w:val="316" w:hRule="atLeast"/>
                    </w:trPr>
                    <w:tc>
                      <w:tcPr>
                        <w:tcW w:w="4261"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6" w:type="dxa"/>
                      </w:tcPr>
                      <w:p>
                        <w:pPr>
                          <w:pStyle w:val="TableParagraph"/>
                          <w:spacing w:before="36"/>
                          <w:ind w:right="93"/>
                          <w:jc w:val="right"/>
                          <w:rPr>
                            <w:rFonts w:ascii="Times New Roman"/>
                            <w:sz w:val="21"/>
                          </w:rPr>
                        </w:pPr>
                        <w:r>
                          <w:rPr>
                            <w:rFonts w:ascii="Times New Roman"/>
                            <w:sz w:val="21"/>
                          </w:rPr>
                          <w:t>1.200</w:t>
                        </w:r>
                      </w:p>
                    </w:tc>
                  </w:tr>
                  <w:tr>
                    <w:trPr>
                      <w:trHeight w:val="318" w:hRule="atLeast"/>
                    </w:trPr>
                    <w:tc>
                      <w:tcPr>
                        <w:tcW w:w="4261" w:type="dxa"/>
                      </w:tcPr>
                      <w:p>
                        <w:pPr>
                          <w:pStyle w:val="TableParagraph"/>
                          <w:spacing w:before="27"/>
                          <w:ind w:left="107"/>
                          <w:rPr>
                            <w:sz w:val="21"/>
                          </w:rPr>
                        </w:pPr>
                        <w:r>
                          <w:rPr>
                            <w:sz w:val="21"/>
                          </w:rPr>
                          <w:t>转出总金额（</w:t>
                        </w:r>
                        <w:r>
                          <w:rPr>
                            <w:rFonts w:ascii="Times New Roman" w:eastAsia="Times New Roman"/>
                            <w:sz w:val="21"/>
                          </w:rPr>
                          <w:t>C=A*B</w:t>
                        </w:r>
                        <w:r>
                          <w:rPr>
                            <w:sz w:val="21"/>
                          </w:rPr>
                          <w:t>）</w:t>
                        </w:r>
                      </w:p>
                    </w:tc>
                    <w:tc>
                      <w:tcPr>
                        <w:tcW w:w="3226" w:type="dxa"/>
                      </w:tcPr>
                      <w:p>
                        <w:pPr>
                          <w:pStyle w:val="TableParagraph"/>
                          <w:spacing w:before="39"/>
                          <w:ind w:right="93"/>
                          <w:jc w:val="right"/>
                          <w:rPr>
                            <w:rFonts w:ascii="Times New Roman"/>
                            <w:sz w:val="21"/>
                          </w:rPr>
                        </w:pPr>
                        <w:r>
                          <w:rPr>
                            <w:rFonts w:ascii="Times New Roman"/>
                            <w:sz w:val="21"/>
                          </w:rPr>
                          <w:t>1,200.00</w:t>
                        </w:r>
                      </w:p>
                    </w:tc>
                  </w:tr>
                  <w:tr>
                    <w:trPr>
                      <w:trHeight w:val="316" w:hRule="atLeast"/>
                    </w:trPr>
                    <w:tc>
                      <w:tcPr>
                        <w:tcW w:w="4261"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26" w:type="dxa"/>
                      </w:tcPr>
                      <w:p>
                        <w:pPr>
                          <w:pStyle w:val="TableParagraph"/>
                          <w:spacing w:before="36"/>
                          <w:ind w:right="92"/>
                          <w:jc w:val="right"/>
                          <w:rPr>
                            <w:rFonts w:ascii="Times New Roman"/>
                            <w:sz w:val="21"/>
                          </w:rPr>
                        </w:pPr>
                        <w:r>
                          <w:rPr>
                            <w:rFonts w:ascii="Times New Roman"/>
                            <w:sz w:val="21"/>
                          </w:rPr>
                          <w:t>0.5%</w:t>
                        </w:r>
                      </w:p>
                    </w:tc>
                  </w:tr>
                  <w:tr>
                    <w:trPr>
                      <w:trHeight w:val="316" w:hRule="atLeast"/>
                    </w:trPr>
                    <w:tc>
                      <w:tcPr>
                        <w:tcW w:w="4261"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26" w:type="dxa"/>
                      </w:tcPr>
                      <w:p>
                        <w:pPr>
                          <w:pStyle w:val="TableParagraph"/>
                          <w:spacing w:before="36"/>
                          <w:ind w:right="93"/>
                          <w:jc w:val="right"/>
                          <w:rPr>
                            <w:rFonts w:ascii="Times New Roman"/>
                            <w:sz w:val="21"/>
                          </w:rPr>
                        </w:pPr>
                        <w:r>
                          <w:rPr>
                            <w:rFonts w:ascii="Times New Roman"/>
                            <w:sz w:val="21"/>
                          </w:rPr>
                          <w:t>6.00</w:t>
                        </w:r>
                      </w:p>
                    </w:tc>
                  </w:tr>
                  <w:tr>
                    <w:trPr>
                      <w:trHeight w:val="316" w:hRule="atLeast"/>
                    </w:trPr>
                    <w:tc>
                      <w:tcPr>
                        <w:tcW w:w="4261"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26" w:type="dxa"/>
                      </w:tcPr>
                      <w:p>
                        <w:pPr>
                          <w:pStyle w:val="TableParagraph"/>
                          <w:spacing w:before="36"/>
                          <w:ind w:right="93"/>
                          <w:jc w:val="right"/>
                          <w:rPr>
                            <w:rFonts w:ascii="Times New Roman"/>
                            <w:sz w:val="21"/>
                          </w:rPr>
                        </w:pPr>
                        <w:r>
                          <w:rPr>
                            <w:rFonts w:ascii="Times New Roman"/>
                            <w:sz w:val="21"/>
                          </w:rPr>
                          <w:t>1,194.00</w:t>
                        </w:r>
                      </w:p>
                    </w:tc>
                  </w:tr>
                  <w:tr>
                    <w:trPr>
                      <w:trHeight w:val="318" w:hRule="atLeast"/>
                    </w:trPr>
                    <w:tc>
                      <w:tcPr>
                        <w:tcW w:w="4261" w:type="dxa"/>
                      </w:tcPr>
                      <w:p>
                        <w:pPr>
                          <w:pStyle w:val="TableParagraph"/>
                          <w:spacing w:before="27"/>
                          <w:ind w:left="107"/>
                          <w:rPr>
                            <w:sz w:val="21"/>
                          </w:rPr>
                        </w:pPr>
                        <w:r>
                          <w:rPr>
                            <w:sz w:val="21"/>
                          </w:rPr>
                          <w:t>转入时收取申购费率（</w:t>
                        </w:r>
                        <w:r>
                          <w:rPr>
                            <w:rFonts w:ascii="Times New Roman" w:eastAsia="Times New Roman"/>
                            <w:sz w:val="21"/>
                          </w:rPr>
                          <w:t>G</w:t>
                        </w:r>
                        <w:r>
                          <w:rPr>
                            <w:sz w:val="21"/>
                          </w:rPr>
                          <w:t>）</w:t>
                        </w:r>
                      </w:p>
                    </w:tc>
                    <w:tc>
                      <w:tcPr>
                        <w:tcW w:w="3226" w:type="dxa"/>
                      </w:tcPr>
                      <w:p>
                        <w:pPr>
                          <w:pStyle w:val="TableParagraph"/>
                          <w:spacing w:before="39"/>
                          <w:ind w:right="92"/>
                          <w:jc w:val="right"/>
                          <w:rPr>
                            <w:rFonts w:ascii="Times New Roman"/>
                            <w:sz w:val="21"/>
                          </w:rPr>
                        </w:pPr>
                        <w:r>
                          <w:rPr>
                            <w:rFonts w:ascii="Times New Roman"/>
                            <w:sz w:val="21"/>
                          </w:rPr>
                          <w:t>2.0%-1.5%=0.5%</w:t>
                        </w:r>
                      </w:p>
                    </w:tc>
                  </w:tr>
                  <w:tr>
                    <w:trPr>
                      <w:trHeight w:val="316" w:hRule="atLeast"/>
                    </w:trPr>
                    <w:tc>
                      <w:tcPr>
                        <w:tcW w:w="4261" w:type="dxa"/>
                      </w:tcPr>
                      <w:p>
                        <w:pPr>
                          <w:pStyle w:val="TableParagraph"/>
                          <w:ind w:left="107"/>
                          <w:rPr>
                            <w:sz w:val="21"/>
                          </w:rPr>
                        </w:pPr>
                        <w:r>
                          <w:rPr>
                            <w:sz w:val="21"/>
                          </w:rPr>
                          <w:t>净转入金额（</w:t>
                        </w:r>
                        <w:r>
                          <w:rPr>
                            <w:rFonts w:ascii="Times New Roman" w:eastAsia="Times New Roman"/>
                            <w:sz w:val="21"/>
                          </w:rPr>
                          <w:t>H=F/</w:t>
                        </w:r>
                        <w:r>
                          <w:rPr>
                            <w:sz w:val="21"/>
                          </w:rPr>
                          <w:t>(</w:t>
                        </w:r>
                        <w:r>
                          <w:rPr>
                            <w:rFonts w:ascii="Times New Roman" w:eastAsia="Times New Roman"/>
                            <w:sz w:val="21"/>
                          </w:rPr>
                          <w:t>1+G</w:t>
                        </w:r>
                        <w:r>
                          <w:rPr>
                            <w:sz w:val="21"/>
                          </w:rPr>
                          <w:t>)）</w:t>
                        </w:r>
                      </w:p>
                    </w:tc>
                    <w:tc>
                      <w:tcPr>
                        <w:tcW w:w="3226" w:type="dxa"/>
                      </w:tcPr>
                      <w:p>
                        <w:pPr>
                          <w:pStyle w:val="TableParagraph"/>
                          <w:spacing w:before="36"/>
                          <w:ind w:right="97"/>
                          <w:jc w:val="right"/>
                          <w:rPr>
                            <w:rFonts w:ascii="Times New Roman"/>
                            <w:sz w:val="21"/>
                          </w:rPr>
                        </w:pPr>
                        <w:r>
                          <w:rPr>
                            <w:rFonts w:ascii="Times New Roman"/>
                            <w:sz w:val="21"/>
                          </w:rPr>
                          <w:t>1,188.06</w:t>
                        </w:r>
                      </w:p>
                    </w:tc>
                  </w:tr>
                  <w:tr>
                    <w:trPr>
                      <w:trHeight w:val="316" w:hRule="atLeast"/>
                    </w:trPr>
                    <w:tc>
                      <w:tcPr>
                        <w:tcW w:w="4261" w:type="dxa"/>
                      </w:tcPr>
                      <w:p>
                        <w:pPr>
                          <w:pStyle w:val="TableParagraph"/>
                          <w:ind w:left="107"/>
                          <w:rPr>
                            <w:sz w:val="21"/>
                          </w:rPr>
                        </w:pPr>
                        <w:r>
                          <w:rPr>
                            <w:sz w:val="21"/>
                          </w:rPr>
                          <w:t>转入基金费用（</w:t>
                        </w:r>
                        <w:r>
                          <w:rPr>
                            <w:rFonts w:ascii="Times New Roman" w:eastAsia="Times New Roman"/>
                            <w:sz w:val="21"/>
                          </w:rPr>
                          <w:t>I=F-H</w:t>
                        </w:r>
                        <w:r>
                          <w:rPr>
                            <w:sz w:val="21"/>
                          </w:rPr>
                          <w:t>）</w:t>
                        </w:r>
                      </w:p>
                    </w:tc>
                    <w:tc>
                      <w:tcPr>
                        <w:tcW w:w="3226" w:type="dxa"/>
                      </w:tcPr>
                      <w:p>
                        <w:pPr>
                          <w:pStyle w:val="TableParagraph"/>
                          <w:spacing w:before="36"/>
                          <w:ind w:right="93"/>
                          <w:jc w:val="right"/>
                          <w:rPr>
                            <w:rFonts w:ascii="Times New Roman"/>
                            <w:sz w:val="21"/>
                          </w:rPr>
                        </w:pPr>
                        <w:r>
                          <w:rPr>
                            <w:rFonts w:ascii="Times New Roman"/>
                            <w:sz w:val="21"/>
                          </w:rPr>
                          <w:t>5.94</w:t>
                        </w:r>
                      </w:p>
                    </w:tc>
                  </w:tr>
                  <w:tr>
                    <w:trPr>
                      <w:trHeight w:val="316" w:hRule="atLeast"/>
                    </w:trPr>
                    <w:tc>
                      <w:tcPr>
                        <w:tcW w:w="4261"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J</w:t>
                        </w:r>
                        <w:r>
                          <w:rPr>
                            <w:sz w:val="21"/>
                          </w:rPr>
                          <w:t>）</w:t>
                        </w:r>
                      </w:p>
                    </w:tc>
                    <w:tc>
                      <w:tcPr>
                        <w:tcW w:w="3226" w:type="dxa"/>
                      </w:tcPr>
                      <w:p>
                        <w:pPr>
                          <w:pStyle w:val="TableParagraph"/>
                          <w:spacing w:before="36"/>
                          <w:ind w:right="93"/>
                          <w:jc w:val="right"/>
                          <w:rPr>
                            <w:rFonts w:ascii="Times New Roman"/>
                            <w:sz w:val="21"/>
                          </w:rPr>
                        </w:pPr>
                        <w:r>
                          <w:rPr>
                            <w:rFonts w:ascii="Times New Roman"/>
                            <w:sz w:val="21"/>
                          </w:rPr>
                          <w:t>1.300</w:t>
                        </w:r>
                      </w:p>
                    </w:tc>
                  </w:tr>
                  <w:tr>
                    <w:trPr>
                      <w:trHeight w:val="319" w:hRule="atLeast"/>
                    </w:trPr>
                    <w:tc>
                      <w:tcPr>
                        <w:tcW w:w="4261" w:type="dxa"/>
                      </w:tcPr>
                      <w:p>
                        <w:pPr>
                          <w:pStyle w:val="TableParagraph"/>
                          <w:spacing w:before="28"/>
                          <w:ind w:left="107"/>
                          <w:rPr>
                            <w:sz w:val="21"/>
                          </w:rPr>
                        </w:pPr>
                        <w:r>
                          <w:rPr>
                            <w:sz w:val="21"/>
                          </w:rPr>
                          <w:t>转入基金份额（</w:t>
                        </w:r>
                        <w:r>
                          <w:rPr>
                            <w:rFonts w:ascii="Times New Roman" w:eastAsia="Times New Roman"/>
                            <w:sz w:val="21"/>
                          </w:rPr>
                          <w:t>K=H/J</w:t>
                        </w:r>
                        <w:r>
                          <w:rPr>
                            <w:sz w:val="21"/>
                          </w:rPr>
                          <w:t>）</w:t>
                        </w:r>
                      </w:p>
                    </w:tc>
                    <w:tc>
                      <w:tcPr>
                        <w:tcW w:w="3226" w:type="dxa"/>
                      </w:tcPr>
                      <w:p>
                        <w:pPr>
                          <w:pStyle w:val="TableParagraph"/>
                          <w:spacing w:before="39"/>
                          <w:ind w:right="93"/>
                          <w:jc w:val="right"/>
                          <w:rPr>
                            <w:rFonts w:ascii="Times New Roman"/>
                            <w:sz w:val="21"/>
                          </w:rPr>
                        </w:pPr>
                        <w:r>
                          <w:rPr>
                            <w:rFonts w:ascii="Times New Roman"/>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0"/>
        </w:rPr>
      </w:pPr>
    </w:p>
    <w:p>
      <w:pPr>
        <w:pStyle w:val="ListParagraph"/>
        <w:numPr>
          <w:ilvl w:val="0"/>
          <w:numId w:val="19"/>
        </w:numPr>
        <w:tabs>
          <w:tab w:pos="1250" w:val="left" w:leader="none"/>
        </w:tabs>
        <w:spacing w:line="424" w:lineRule="auto" w:before="1" w:after="0"/>
        <w:ind w:left="300" w:right="768" w:firstLine="419"/>
        <w:jc w:val="left"/>
        <w:rPr>
          <w:sz w:val="21"/>
        </w:rPr>
      </w:pPr>
      <w:r>
        <w:rPr/>
        <w:pict>
          <v:shape style="position:absolute;margin-left:110.779999pt;margin-top:42.349979pt;width:374.15pt;height:196.75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6" w:hRule="atLeast"/>
                    </w:trPr>
                    <w:tc>
                      <w:tcPr>
                        <w:tcW w:w="4261" w:type="dxa"/>
                      </w:tcPr>
                      <w:p>
                        <w:pPr>
                          <w:pStyle w:val="TableParagraph"/>
                          <w:ind w:left="1953" w:right="1838"/>
                          <w:jc w:val="center"/>
                          <w:rPr>
                            <w:sz w:val="21"/>
                          </w:rPr>
                        </w:pPr>
                        <w:r>
                          <w:rPr>
                            <w:sz w:val="21"/>
                          </w:rPr>
                          <w:t>项目 </w:t>
                        </w:r>
                      </w:p>
                    </w:tc>
                    <w:tc>
                      <w:tcPr>
                        <w:tcW w:w="3207" w:type="dxa"/>
                      </w:tcPr>
                      <w:p>
                        <w:pPr>
                          <w:pStyle w:val="TableParagraph"/>
                          <w:ind w:left="1164" w:right="1050"/>
                          <w:jc w:val="center"/>
                          <w:rPr>
                            <w:sz w:val="21"/>
                          </w:rPr>
                        </w:pPr>
                        <w:r>
                          <w:rPr>
                            <w:sz w:val="21"/>
                          </w:rPr>
                          <w:t>费用计算 </w:t>
                        </w:r>
                      </w:p>
                    </w:tc>
                  </w:tr>
                  <w:tr>
                    <w:trPr>
                      <w:trHeight w:val="318" w:hRule="atLeast"/>
                    </w:trPr>
                    <w:tc>
                      <w:tcPr>
                        <w:tcW w:w="4261"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07" w:type="dxa"/>
                      </w:tcPr>
                      <w:p>
                        <w:pPr>
                          <w:pStyle w:val="TableParagraph"/>
                          <w:spacing w:before="39"/>
                          <w:ind w:right="93"/>
                          <w:jc w:val="right"/>
                          <w:rPr>
                            <w:rFonts w:ascii="Times New Roman"/>
                            <w:sz w:val="21"/>
                          </w:rPr>
                        </w:pPr>
                        <w:r>
                          <w:rPr>
                            <w:rFonts w:ascii="Times New Roman"/>
                            <w:sz w:val="21"/>
                          </w:rPr>
                          <w:t>1,000.00</w:t>
                        </w:r>
                      </w:p>
                    </w:tc>
                  </w:tr>
                  <w:tr>
                    <w:trPr>
                      <w:trHeight w:val="316" w:hRule="atLeast"/>
                    </w:trPr>
                    <w:tc>
                      <w:tcPr>
                        <w:tcW w:w="4261"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07" w:type="dxa"/>
                      </w:tcPr>
                      <w:p>
                        <w:pPr>
                          <w:pStyle w:val="TableParagraph"/>
                          <w:spacing w:before="36"/>
                          <w:ind w:right="93"/>
                          <w:jc w:val="right"/>
                          <w:rPr>
                            <w:rFonts w:ascii="Times New Roman"/>
                            <w:sz w:val="21"/>
                          </w:rPr>
                        </w:pPr>
                        <w:r>
                          <w:rPr>
                            <w:rFonts w:ascii="Times New Roman"/>
                            <w:sz w:val="21"/>
                          </w:rPr>
                          <w:t>1.200</w:t>
                        </w:r>
                      </w:p>
                    </w:tc>
                  </w:tr>
                  <w:tr>
                    <w:trPr>
                      <w:trHeight w:val="316" w:hRule="atLeast"/>
                    </w:trPr>
                    <w:tc>
                      <w:tcPr>
                        <w:tcW w:w="4261"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07" w:type="dxa"/>
                      </w:tcPr>
                      <w:p>
                        <w:pPr>
                          <w:pStyle w:val="TableParagraph"/>
                          <w:spacing w:before="36"/>
                          <w:ind w:right="93"/>
                          <w:jc w:val="right"/>
                          <w:rPr>
                            <w:rFonts w:ascii="Times New Roman"/>
                            <w:sz w:val="21"/>
                          </w:rPr>
                        </w:pPr>
                        <w:r>
                          <w:rPr>
                            <w:rFonts w:ascii="Times New Roman"/>
                            <w:sz w:val="21"/>
                          </w:rPr>
                          <w:t>1,200.00</w:t>
                        </w:r>
                      </w:p>
                    </w:tc>
                  </w:tr>
                  <w:tr>
                    <w:trPr>
                      <w:trHeight w:val="316" w:hRule="atLeast"/>
                    </w:trPr>
                    <w:tc>
                      <w:tcPr>
                        <w:tcW w:w="4261"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07" w:type="dxa"/>
                      </w:tcPr>
                      <w:p>
                        <w:pPr>
                          <w:pStyle w:val="TableParagraph"/>
                          <w:spacing w:before="36"/>
                          <w:ind w:right="93"/>
                          <w:jc w:val="right"/>
                          <w:rPr>
                            <w:rFonts w:ascii="Times New Roman"/>
                            <w:sz w:val="21"/>
                          </w:rPr>
                        </w:pPr>
                        <w:r>
                          <w:rPr>
                            <w:rFonts w:ascii="Times New Roman"/>
                            <w:sz w:val="21"/>
                          </w:rPr>
                          <w:t>0.5%</w:t>
                        </w:r>
                      </w:p>
                    </w:tc>
                  </w:tr>
                  <w:tr>
                    <w:trPr>
                      <w:trHeight w:val="318" w:hRule="atLeast"/>
                    </w:trPr>
                    <w:tc>
                      <w:tcPr>
                        <w:tcW w:w="4261" w:type="dxa"/>
                      </w:tcPr>
                      <w:p>
                        <w:pPr>
                          <w:pStyle w:val="TableParagraph"/>
                          <w:spacing w:before="27"/>
                          <w:ind w:left="107"/>
                          <w:rPr>
                            <w:sz w:val="21"/>
                          </w:rPr>
                        </w:pPr>
                        <w:r>
                          <w:rPr>
                            <w:sz w:val="21"/>
                          </w:rPr>
                          <w:t>转出基金费用（</w:t>
                        </w:r>
                        <w:r>
                          <w:rPr>
                            <w:rFonts w:ascii="Times New Roman" w:eastAsia="Times New Roman"/>
                            <w:sz w:val="21"/>
                          </w:rPr>
                          <w:t>E=C*D</w:t>
                        </w:r>
                        <w:r>
                          <w:rPr>
                            <w:sz w:val="21"/>
                          </w:rPr>
                          <w:t>）</w:t>
                        </w:r>
                      </w:p>
                    </w:tc>
                    <w:tc>
                      <w:tcPr>
                        <w:tcW w:w="3207" w:type="dxa"/>
                      </w:tcPr>
                      <w:p>
                        <w:pPr>
                          <w:pStyle w:val="TableParagraph"/>
                          <w:spacing w:before="39"/>
                          <w:ind w:right="93"/>
                          <w:jc w:val="right"/>
                          <w:rPr>
                            <w:rFonts w:ascii="Times New Roman"/>
                            <w:sz w:val="21"/>
                          </w:rPr>
                        </w:pPr>
                        <w:r>
                          <w:rPr>
                            <w:rFonts w:ascii="Times New Roman"/>
                            <w:sz w:val="21"/>
                          </w:rPr>
                          <w:t>6.00</w:t>
                        </w:r>
                      </w:p>
                    </w:tc>
                  </w:tr>
                  <w:tr>
                    <w:trPr>
                      <w:trHeight w:val="316" w:hRule="atLeast"/>
                    </w:trPr>
                    <w:tc>
                      <w:tcPr>
                        <w:tcW w:w="4261"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07" w:type="dxa"/>
                      </w:tcPr>
                      <w:p>
                        <w:pPr>
                          <w:pStyle w:val="TableParagraph"/>
                          <w:spacing w:before="37"/>
                          <w:ind w:right="93"/>
                          <w:jc w:val="right"/>
                          <w:rPr>
                            <w:rFonts w:ascii="Times New Roman"/>
                            <w:sz w:val="21"/>
                          </w:rPr>
                        </w:pPr>
                        <w:r>
                          <w:rPr>
                            <w:rFonts w:ascii="Times New Roman"/>
                            <w:sz w:val="21"/>
                          </w:rPr>
                          <w:t>1,194.00</w:t>
                        </w:r>
                      </w:p>
                    </w:tc>
                  </w:tr>
                  <w:tr>
                    <w:trPr>
                      <w:trHeight w:val="316" w:hRule="atLeast"/>
                    </w:trPr>
                    <w:tc>
                      <w:tcPr>
                        <w:tcW w:w="4261" w:type="dxa"/>
                      </w:tcPr>
                      <w:p>
                        <w:pPr>
                          <w:pStyle w:val="TableParagraph"/>
                          <w:ind w:left="107"/>
                          <w:rPr>
                            <w:sz w:val="21"/>
                          </w:rPr>
                        </w:pPr>
                        <w:r>
                          <w:rPr>
                            <w:sz w:val="21"/>
                          </w:rPr>
                          <w:t>转入时收取申购费率（</w:t>
                        </w:r>
                        <w:r>
                          <w:rPr>
                            <w:rFonts w:ascii="Times New Roman" w:eastAsia="Times New Roman"/>
                            <w:sz w:val="21"/>
                          </w:rPr>
                          <w:t>G</w:t>
                        </w:r>
                        <w:r>
                          <w:rPr>
                            <w:sz w:val="21"/>
                          </w:rPr>
                          <w:t>）</w:t>
                        </w:r>
                      </w:p>
                    </w:tc>
                    <w:tc>
                      <w:tcPr>
                        <w:tcW w:w="3207" w:type="dxa"/>
                      </w:tcPr>
                      <w:p>
                        <w:pPr>
                          <w:pStyle w:val="TableParagraph"/>
                          <w:spacing w:before="36"/>
                          <w:ind w:right="93"/>
                          <w:jc w:val="right"/>
                          <w:rPr>
                            <w:rFonts w:ascii="Times New Roman"/>
                            <w:sz w:val="21"/>
                          </w:rPr>
                        </w:pPr>
                        <w:r>
                          <w:rPr>
                            <w:rFonts w:ascii="Times New Roman"/>
                            <w:sz w:val="21"/>
                          </w:rPr>
                          <w:t>0.00%</w:t>
                        </w:r>
                      </w:p>
                    </w:tc>
                  </w:tr>
                  <w:tr>
                    <w:trPr>
                      <w:trHeight w:val="316" w:hRule="atLeast"/>
                    </w:trPr>
                    <w:tc>
                      <w:tcPr>
                        <w:tcW w:w="4261" w:type="dxa"/>
                      </w:tcPr>
                      <w:p>
                        <w:pPr>
                          <w:pStyle w:val="TableParagraph"/>
                          <w:ind w:left="107"/>
                          <w:rPr>
                            <w:sz w:val="21"/>
                          </w:rPr>
                        </w:pPr>
                        <w:r>
                          <w:rPr>
                            <w:sz w:val="21"/>
                          </w:rPr>
                          <w:t>净转入金额（</w:t>
                        </w:r>
                        <w:r>
                          <w:rPr>
                            <w:rFonts w:ascii="Times New Roman" w:eastAsia="Times New Roman"/>
                            <w:sz w:val="21"/>
                          </w:rPr>
                          <w:t>H=F/</w:t>
                        </w:r>
                        <w:r>
                          <w:rPr>
                            <w:sz w:val="21"/>
                          </w:rPr>
                          <w:t>(</w:t>
                        </w:r>
                        <w:r>
                          <w:rPr>
                            <w:rFonts w:ascii="Times New Roman" w:eastAsia="Times New Roman"/>
                            <w:sz w:val="21"/>
                          </w:rPr>
                          <w:t>1+G</w:t>
                        </w:r>
                        <w:r>
                          <w:rPr>
                            <w:sz w:val="21"/>
                          </w:rPr>
                          <w:t>)）</w:t>
                        </w:r>
                      </w:p>
                    </w:tc>
                    <w:tc>
                      <w:tcPr>
                        <w:tcW w:w="3207" w:type="dxa"/>
                      </w:tcPr>
                      <w:p>
                        <w:pPr>
                          <w:pStyle w:val="TableParagraph"/>
                          <w:spacing w:before="36"/>
                          <w:ind w:right="93"/>
                          <w:jc w:val="right"/>
                          <w:rPr>
                            <w:rFonts w:ascii="Times New Roman"/>
                            <w:sz w:val="21"/>
                          </w:rPr>
                        </w:pPr>
                        <w:r>
                          <w:rPr>
                            <w:rFonts w:ascii="Times New Roman"/>
                            <w:sz w:val="21"/>
                          </w:rPr>
                          <w:t>1,194.00</w:t>
                        </w:r>
                      </w:p>
                    </w:tc>
                  </w:tr>
                  <w:tr>
                    <w:trPr>
                      <w:trHeight w:val="318" w:hRule="atLeast"/>
                    </w:trPr>
                    <w:tc>
                      <w:tcPr>
                        <w:tcW w:w="4261" w:type="dxa"/>
                      </w:tcPr>
                      <w:p>
                        <w:pPr>
                          <w:pStyle w:val="TableParagraph"/>
                          <w:spacing w:before="27"/>
                          <w:ind w:left="107"/>
                          <w:rPr>
                            <w:sz w:val="21"/>
                          </w:rPr>
                        </w:pPr>
                        <w:r>
                          <w:rPr>
                            <w:sz w:val="21"/>
                          </w:rPr>
                          <w:t>转入基金费用（</w:t>
                        </w:r>
                        <w:r>
                          <w:rPr>
                            <w:rFonts w:ascii="Times New Roman" w:eastAsia="Times New Roman"/>
                            <w:sz w:val="21"/>
                          </w:rPr>
                          <w:t>I=F-H</w:t>
                        </w:r>
                        <w:r>
                          <w:rPr>
                            <w:sz w:val="21"/>
                          </w:rPr>
                          <w:t>）</w:t>
                        </w:r>
                      </w:p>
                    </w:tc>
                    <w:tc>
                      <w:tcPr>
                        <w:tcW w:w="3207" w:type="dxa"/>
                      </w:tcPr>
                      <w:p>
                        <w:pPr>
                          <w:pStyle w:val="TableParagraph"/>
                          <w:spacing w:before="39"/>
                          <w:ind w:right="93"/>
                          <w:jc w:val="right"/>
                          <w:rPr>
                            <w:rFonts w:ascii="Times New Roman"/>
                            <w:sz w:val="21"/>
                          </w:rPr>
                        </w:pPr>
                        <w:r>
                          <w:rPr>
                            <w:rFonts w:ascii="Times New Roman"/>
                            <w:sz w:val="21"/>
                          </w:rPr>
                          <w:t>0.00</w:t>
                        </w:r>
                      </w:p>
                    </w:tc>
                  </w:tr>
                  <w:tr>
                    <w:trPr>
                      <w:trHeight w:val="316" w:hRule="atLeast"/>
                    </w:trPr>
                    <w:tc>
                      <w:tcPr>
                        <w:tcW w:w="4261"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J</w:t>
                        </w:r>
                        <w:r>
                          <w:rPr>
                            <w:sz w:val="21"/>
                          </w:rPr>
                          <w:t>）</w:t>
                        </w:r>
                      </w:p>
                    </w:tc>
                    <w:tc>
                      <w:tcPr>
                        <w:tcW w:w="3207" w:type="dxa"/>
                      </w:tcPr>
                      <w:p>
                        <w:pPr>
                          <w:pStyle w:val="TableParagraph"/>
                          <w:spacing w:before="36"/>
                          <w:ind w:right="93"/>
                          <w:jc w:val="right"/>
                          <w:rPr>
                            <w:rFonts w:ascii="Times New Roman"/>
                            <w:sz w:val="21"/>
                          </w:rPr>
                        </w:pPr>
                        <w:r>
                          <w:rPr>
                            <w:rFonts w:ascii="Times New Roman"/>
                            <w:sz w:val="21"/>
                          </w:rPr>
                          <w:t>1.300</w:t>
                        </w:r>
                      </w:p>
                    </w:tc>
                  </w:tr>
                  <w:tr>
                    <w:trPr>
                      <w:trHeight w:val="316" w:hRule="atLeast"/>
                    </w:trPr>
                    <w:tc>
                      <w:tcPr>
                        <w:tcW w:w="4261" w:type="dxa"/>
                      </w:tcPr>
                      <w:p>
                        <w:pPr>
                          <w:pStyle w:val="TableParagraph"/>
                          <w:ind w:left="107"/>
                          <w:rPr>
                            <w:sz w:val="21"/>
                          </w:rPr>
                        </w:pPr>
                        <w:r>
                          <w:rPr>
                            <w:sz w:val="21"/>
                          </w:rPr>
                          <w:t>转入基金份额（</w:t>
                        </w:r>
                        <w:r>
                          <w:rPr>
                            <w:rFonts w:ascii="Times New Roman" w:eastAsia="Times New Roman"/>
                            <w:sz w:val="21"/>
                          </w:rPr>
                          <w:t>K=H/J</w:t>
                        </w:r>
                        <w:r>
                          <w:rPr>
                            <w:sz w:val="21"/>
                          </w:rPr>
                          <w:t>）</w:t>
                        </w:r>
                      </w:p>
                    </w:tc>
                    <w:tc>
                      <w:tcPr>
                        <w:tcW w:w="3207" w:type="dxa"/>
                      </w:tcPr>
                      <w:p>
                        <w:pPr>
                          <w:pStyle w:val="TableParagraph"/>
                          <w:spacing w:before="36"/>
                          <w:ind w:right="93"/>
                          <w:jc w:val="right"/>
                          <w:rPr>
                            <w:rFonts w:ascii="Times New Roman"/>
                            <w:sz w:val="21"/>
                          </w:rPr>
                        </w:pPr>
                        <w:r>
                          <w:rPr>
                            <w:rFonts w:ascii="Times New Roman"/>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0"/>
        </w:rPr>
      </w:pPr>
    </w:p>
    <w:p>
      <w:pPr>
        <w:pStyle w:val="BodyText"/>
        <w:spacing w:line="424" w:lineRule="auto"/>
        <w:ind w:left="300" w:right="87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20"/>
        </w:numPr>
        <w:tabs>
          <w:tab w:pos="1250" w:val="left" w:leader="none"/>
        </w:tabs>
        <w:spacing w:line="424" w:lineRule="auto" w:before="0" w:after="0"/>
        <w:ind w:left="300" w:right="873" w:firstLine="419"/>
        <w:jc w:val="both"/>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3"/>
          <w:sz w:val="21"/>
        </w:rPr>
        <w:t> </w:t>
      </w:r>
      <w:r>
        <w:rPr>
          <w:spacing w:val="-7"/>
          <w:w w:val="100"/>
          <w:sz w:val="21"/>
        </w:rPr>
        <w:t>元，乙</w:t>
      </w:r>
      <w:r>
        <w:rPr>
          <w:spacing w:val="-3"/>
          <w:sz w:val="21"/>
        </w:rPr>
        <w:t>基</w:t>
      </w:r>
      <w:r>
        <w:rPr>
          <w:spacing w:val="-4"/>
          <w:sz w:val="21"/>
        </w:rPr>
        <w:t>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w:t>
      </w:r>
    </w:p>
    <w:p>
      <w:pPr>
        <w:spacing w:after="0" w:line="424" w:lineRule="auto"/>
        <w:jc w:val="both"/>
        <w:rPr>
          <w:sz w:val="21"/>
        </w:rPr>
        <w:sectPr>
          <w:pgSz w:w="11910" w:h="16840"/>
          <w:pgMar w:header="701" w:footer="683" w:top="1420" w:bottom="880" w:left="1500" w:right="920"/>
        </w:sectPr>
      </w:pPr>
    </w:p>
    <w:p>
      <w:pPr>
        <w:pStyle w:val="BodyText"/>
        <w:spacing w:before="115"/>
        <w:ind w:left="300"/>
      </w:pPr>
      <w:r>
        <w:rPr/>
        <w:t>转入基金费用及份额计算如下：</w:t>
      </w:r>
    </w:p>
    <w:p>
      <w:pPr>
        <w:pStyle w:val="BodyText"/>
        <w:spacing w:before="11" w:after="1"/>
        <w:rPr>
          <w:sz w:val="7"/>
        </w:r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6" w:hRule="atLeast"/>
        </w:trPr>
        <w:tc>
          <w:tcPr>
            <w:tcW w:w="4230" w:type="dxa"/>
          </w:tcPr>
          <w:p>
            <w:pPr>
              <w:pStyle w:val="TableParagraph"/>
              <w:ind w:left="1884" w:right="1875"/>
              <w:jc w:val="center"/>
              <w:rPr>
                <w:sz w:val="21"/>
              </w:rPr>
            </w:pPr>
            <w:r>
              <w:rPr>
                <w:sz w:val="21"/>
              </w:rPr>
              <w:t>项目</w:t>
            </w:r>
          </w:p>
        </w:tc>
        <w:tc>
          <w:tcPr>
            <w:tcW w:w="3210" w:type="dxa"/>
          </w:tcPr>
          <w:p>
            <w:pPr>
              <w:pStyle w:val="TableParagraph"/>
              <w:ind w:left="1164" w:right="1156"/>
              <w:jc w:val="center"/>
              <w:rPr>
                <w:sz w:val="21"/>
              </w:rPr>
            </w:pPr>
            <w:r>
              <w:rPr>
                <w:sz w:val="21"/>
              </w:rPr>
              <w:t>费用计算</w:t>
            </w:r>
          </w:p>
        </w:tc>
      </w:tr>
      <w:tr>
        <w:trPr>
          <w:trHeight w:val="318" w:hRule="atLeast"/>
        </w:trPr>
        <w:tc>
          <w:tcPr>
            <w:tcW w:w="4230"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10" w:type="dxa"/>
          </w:tcPr>
          <w:p>
            <w:pPr>
              <w:pStyle w:val="TableParagraph"/>
              <w:spacing w:before="39"/>
              <w:ind w:right="95"/>
              <w:jc w:val="right"/>
              <w:rPr>
                <w:rFonts w:ascii="Times New Roman"/>
                <w:sz w:val="21"/>
              </w:rPr>
            </w:pPr>
            <w:r>
              <w:rPr>
                <w:rFonts w:ascii="Times New Roman"/>
                <w:sz w:val="21"/>
              </w:rPr>
              <w:t>10,000,000.00</w:t>
            </w:r>
          </w:p>
        </w:tc>
      </w:tr>
      <w:tr>
        <w:trPr>
          <w:trHeight w:val="316" w:hRule="atLeast"/>
        </w:trPr>
        <w:tc>
          <w:tcPr>
            <w:tcW w:w="4230"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0" w:type="dxa"/>
          </w:tcPr>
          <w:p>
            <w:pPr>
              <w:pStyle w:val="TableParagraph"/>
              <w:spacing w:before="36"/>
              <w:ind w:right="94"/>
              <w:jc w:val="right"/>
              <w:rPr>
                <w:rFonts w:ascii="Times New Roman"/>
                <w:sz w:val="21"/>
              </w:rPr>
            </w:pPr>
            <w:r>
              <w:rPr>
                <w:rFonts w:ascii="Times New Roman"/>
                <w:sz w:val="21"/>
              </w:rPr>
              <w:t>1.200</w:t>
            </w:r>
          </w:p>
        </w:tc>
      </w:tr>
      <w:tr>
        <w:trPr>
          <w:trHeight w:val="316" w:hRule="atLeast"/>
        </w:trPr>
        <w:tc>
          <w:tcPr>
            <w:tcW w:w="4230"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0" w:type="dxa"/>
          </w:tcPr>
          <w:p>
            <w:pPr>
              <w:pStyle w:val="TableParagraph"/>
              <w:spacing w:before="36"/>
              <w:ind w:right="95"/>
              <w:jc w:val="right"/>
              <w:rPr>
                <w:rFonts w:ascii="Times New Roman"/>
                <w:sz w:val="21"/>
              </w:rPr>
            </w:pPr>
            <w:r>
              <w:rPr>
                <w:rFonts w:ascii="Times New Roman"/>
                <w:sz w:val="21"/>
              </w:rPr>
              <w:t>12,000,000.00</w:t>
            </w:r>
          </w:p>
        </w:tc>
      </w:tr>
      <w:tr>
        <w:trPr>
          <w:trHeight w:val="316" w:hRule="atLeast"/>
        </w:trPr>
        <w:tc>
          <w:tcPr>
            <w:tcW w:w="4230"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10" w:type="dxa"/>
          </w:tcPr>
          <w:p>
            <w:pPr>
              <w:pStyle w:val="TableParagraph"/>
              <w:spacing w:before="36"/>
              <w:ind w:right="93"/>
              <w:jc w:val="right"/>
              <w:rPr>
                <w:rFonts w:ascii="Times New Roman"/>
                <w:sz w:val="21"/>
              </w:rPr>
            </w:pPr>
            <w:r>
              <w:rPr>
                <w:rFonts w:ascii="Times New Roman"/>
                <w:sz w:val="21"/>
              </w:rPr>
              <w:t>0.5%</w:t>
            </w:r>
          </w:p>
        </w:tc>
      </w:tr>
      <w:tr>
        <w:trPr>
          <w:trHeight w:val="318" w:hRule="atLeast"/>
        </w:trPr>
        <w:tc>
          <w:tcPr>
            <w:tcW w:w="4230" w:type="dxa"/>
          </w:tcPr>
          <w:p>
            <w:pPr>
              <w:pStyle w:val="TableParagraph"/>
              <w:spacing w:before="27"/>
              <w:ind w:left="107"/>
              <w:rPr>
                <w:sz w:val="21"/>
              </w:rPr>
            </w:pPr>
            <w:r>
              <w:rPr>
                <w:sz w:val="21"/>
              </w:rPr>
              <w:t>转出基金费用（</w:t>
            </w:r>
            <w:r>
              <w:rPr>
                <w:rFonts w:ascii="Times New Roman" w:eastAsia="Times New Roman"/>
                <w:sz w:val="21"/>
              </w:rPr>
              <w:t>E=C*D</w:t>
            </w:r>
            <w:r>
              <w:rPr>
                <w:sz w:val="21"/>
              </w:rPr>
              <w:t>）</w:t>
            </w:r>
          </w:p>
        </w:tc>
        <w:tc>
          <w:tcPr>
            <w:tcW w:w="3210" w:type="dxa"/>
          </w:tcPr>
          <w:p>
            <w:pPr>
              <w:pStyle w:val="TableParagraph"/>
              <w:spacing w:before="39"/>
              <w:ind w:right="95"/>
              <w:jc w:val="right"/>
              <w:rPr>
                <w:rFonts w:ascii="Times New Roman"/>
                <w:sz w:val="21"/>
              </w:rPr>
            </w:pPr>
            <w:r>
              <w:rPr>
                <w:rFonts w:ascii="Times New Roman"/>
                <w:sz w:val="21"/>
              </w:rPr>
              <w:t>60,000.00</w:t>
            </w:r>
          </w:p>
        </w:tc>
      </w:tr>
      <w:tr>
        <w:trPr>
          <w:trHeight w:val="316" w:hRule="atLeast"/>
        </w:trPr>
        <w:tc>
          <w:tcPr>
            <w:tcW w:w="4230"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10" w:type="dxa"/>
          </w:tcPr>
          <w:p>
            <w:pPr>
              <w:pStyle w:val="TableParagraph"/>
              <w:spacing w:before="36"/>
              <w:ind w:right="95"/>
              <w:jc w:val="right"/>
              <w:rPr>
                <w:rFonts w:ascii="Times New Roman"/>
                <w:sz w:val="21"/>
              </w:rPr>
            </w:pPr>
            <w:r>
              <w:rPr>
                <w:rFonts w:ascii="Times New Roman"/>
                <w:sz w:val="21"/>
              </w:rPr>
              <w:t>11,940,000.00</w:t>
            </w:r>
          </w:p>
        </w:tc>
      </w:tr>
      <w:tr>
        <w:trPr>
          <w:trHeight w:val="316" w:hRule="atLeast"/>
        </w:trPr>
        <w:tc>
          <w:tcPr>
            <w:tcW w:w="4230"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10" w:type="dxa"/>
          </w:tcPr>
          <w:p>
            <w:pPr>
              <w:pStyle w:val="TableParagraph"/>
              <w:spacing w:before="36"/>
              <w:ind w:right="94"/>
              <w:jc w:val="right"/>
              <w:rPr>
                <w:rFonts w:ascii="Times New Roman"/>
                <w:sz w:val="21"/>
              </w:rPr>
            </w:pPr>
            <w:r>
              <w:rPr>
                <w:rFonts w:ascii="Times New Roman"/>
                <w:sz w:val="21"/>
              </w:rPr>
              <w:t>1,000.00</w:t>
            </w:r>
          </w:p>
        </w:tc>
      </w:tr>
      <w:tr>
        <w:trPr>
          <w:trHeight w:val="317" w:hRule="atLeast"/>
        </w:trPr>
        <w:tc>
          <w:tcPr>
            <w:tcW w:w="4230"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10" w:type="dxa"/>
          </w:tcPr>
          <w:p>
            <w:pPr>
              <w:pStyle w:val="TableParagraph"/>
              <w:spacing w:before="36"/>
              <w:ind w:right="94"/>
              <w:jc w:val="right"/>
              <w:rPr>
                <w:rFonts w:ascii="Times New Roman"/>
                <w:sz w:val="21"/>
              </w:rPr>
            </w:pPr>
            <w:r>
              <w:rPr>
                <w:rFonts w:ascii="Times New Roman"/>
                <w:sz w:val="21"/>
              </w:rPr>
              <w:t>11,939,000.00</w:t>
            </w:r>
          </w:p>
        </w:tc>
      </w:tr>
      <w:tr>
        <w:trPr>
          <w:trHeight w:val="318" w:hRule="atLeast"/>
        </w:trPr>
        <w:tc>
          <w:tcPr>
            <w:tcW w:w="4230" w:type="dxa"/>
          </w:tcPr>
          <w:p>
            <w:pPr>
              <w:pStyle w:val="TableParagraph"/>
              <w:spacing w:before="27"/>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10" w:type="dxa"/>
          </w:tcPr>
          <w:p>
            <w:pPr>
              <w:pStyle w:val="TableParagraph"/>
              <w:spacing w:before="39"/>
              <w:ind w:right="94"/>
              <w:jc w:val="right"/>
              <w:rPr>
                <w:rFonts w:ascii="Times New Roman"/>
                <w:sz w:val="21"/>
              </w:rPr>
            </w:pPr>
            <w:r>
              <w:rPr>
                <w:rFonts w:ascii="Times New Roman"/>
                <w:sz w:val="21"/>
              </w:rPr>
              <w:t>1.300</w:t>
            </w:r>
          </w:p>
        </w:tc>
      </w:tr>
      <w:tr>
        <w:trPr>
          <w:trHeight w:val="316" w:hRule="atLeast"/>
        </w:trPr>
        <w:tc>
          <w:tcPr>
            <w:tcW w:w="4230" w:type="dxa"/>
          </w:tcPr>
          <w:p>
            <w:pPr>
              <w:pStyle w:val="TableParagraph"/>
              <w:ind w:left="107"/>
              <w:rPr>
                <w:sz w:val="21"/>
              </w:rPr>
            </w:pPr>
            <w:r>
              <w:rPr>
                <w:sz w:val="21"/>
              </w:rPr>
              <w:t>转入基金份额（</w:t>
            </w:r>
            <w:r>
              <w:rPr>
                <w:rFonts w:ascii="Times New Roman" w:eastAsia="Times New Roman"/>
                <w:sz w:val="21"/>
              </w:rPr>
              <w:t>J=H/I</w:t>
            </w:r>
            <w:r>
              <w:rPr>
                <w:sz w:val="21"/>
              </w:rPr>
              <w:t>）</w:t>
            </w:r>
          </w:p>
        </w:tc>
        <w:tc>
          <w:tcPr>
            <w:tcW w:w="3210" w:type="dxa"/>
          </w:tcPr>
          <w:p>
            <w:pPr>
              <w:pStyle w:val="TableParagraph"/>
              <w:spacing w:before="36"/>
              <w:ind w:right="98"/>
              <w:jc w:val="right"/>
              <w:rPr>
                <w:rFonts w:ascii="Times New Roman"/>
                <w:sz w:val="21"/>
              </w:rPr>
            </w:pPr>
            <w:r>
              <w:rPr>
                <w:rFonts w:ascii="Times New Roman"/>
                <w:sz w:val="21"/>
              </w:rPr>
              <w:t>9,183,846.15</w:t>
            </w:r>
          </w:p>
        </w:tc>
      </w:tr>
    </w:tbl>
    <w:p>
      <w:pPr>
        <w:pStyle w:val="ListParagraph"/>
        <w:numPr>
          <w:ilvl w:val="0"/>
          <w:numId w:val="20"/>
        </w:numPr>
        <w:tabs>
          <w:tab w:pos="1250" w:val="left" w:leader="none"/>
        </w:tabs>
        <w:spacing w:line="424" w:lineRule="auto" w:before="104" w:after="0"/>
        <w:ind w:left="300" w:right="873" w:firstLine="419"/>
        <w:jc w:val="both"/>
        <w:rPr>
          <w:sz w:val="21"/>
        </w:rPr>
      </w:pPr>
      <w:r>
        <w:rPr/>
        <w:pict>
          <v:shape style="position:absolute;margin-left:111.139999pt;margin-top:71.260017pt;width:373.4pt;height:180.4pt;mso-position-horizontal-relative:page;mso-position-vertical-relative:paragraph;z-index:2516654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8" w:hRule="atLeast"/>
                    </w:trPr>
                    <w:tc>
                      <w:tcPr>
                        <w:tcW w:w="4237" w:type="dxa"/>
                      </w:tcPr>
                      <w:p>
                        <w:pPr>
                          <w:pStyle w:val="TableParagraph"/>
                          <w:spacing w:before="27"/>
                          <w:ind w:left="1647" w:right="1640"/>
                          <w:jc w:val="center"/>
                          <w:rPr>
                            <w:sz w:val="21"/>
                          </w:rPr>
                        </w:pPr>
                        <w:r>
                          <w:rPr>
                            <w:sz w:val="21"/>
                          </w:rPr>
                          <w:t>项目</w:t>
                        </w:r>
                      </w:p>
                    </w:tc>
                    <w:tc>
                      <w:tcPr>
                        <w:tcW w:w="3217" w:type="dxa"/>
                      </w:tcPr>
                      <w:p>
                        <w:pPr>
                          <w:pStyle w:val="TableParagraph"/>
                          <w:spacing w:before="27"/>
                          <w:ind w:left="1169" w:right="1158"/>
                          <w:jc w:val="center"/>
                          <w:rPr>
                            <w:sz w:val="21"/>
                          </w:rPr>
                        </w:pPr>
                        <w:r>
                          <w:rPr>
                            <w:sz w:val="21"/>
                          </w:rPr>
                          <w:t>费用计算</w:t>
                        </w:r>
                      </w:p>
                    </w:tc>
                  </w:tr>
                  <w:tr>
                    <w:trPr>
                      <w:trHeight w:val="316" w:hRule="atLeast"/>
                    </w:trPr>
                    <w:tc>
                      <w:tcPr>
                        <w:tcW w:w="4237"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17" w:type="dxa"/>
                      </w:tcPr>
                      <w:p>
                        <w:pPr>
                          <w:pStyle w:val="TableParagraph"/>
                          <w:spacing w:before="36"/>
                          <w:ind w:right="94"/>
                          <w:jc w:val="right"/>
                          <w:rPr>
                            <w:rFonts w:ascii="Times New Roman"/>
                            <w:sz w:val="21"/>
                          </w:rPr>
                        </w:pPr>
                        <w:r>
                          <w:rPr>
                            <w:rFonts w:ascii="Times New Roman"/>
                            <w:sz w:val="21"/>
                          </w:rPr>
                          <w:t>10,000,000.00</w:t>
                        </w:r>
                      </w:p>
                    </w:tc>
                  </w:tr>
                  <w:tr>
                    <w:trPr>
                      <w:trHeight w:val="316" w:hRule="atLeast"/>
                    </w:trPr>
                    <w:tc>
                      <w:tcPr>
                        <w:tcW w:w="4237"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w:t>
                        </w:r>
                      </w:p>
                    </w:tc>
                  </w:tr>
                  <w:tr>
                    <w:trPr>
                      <w:trHeight w:val="316" w:hRule="atLeast"/>
                    </w:trPr>
                    <w:tc>
                      <w:tcPr>
                        <w:tcW w:w="4237"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7" w:type="dxa"/>
                      </w:tcPr>
                      <w:p>
                        <w:pPr>
                          <w:pStyle w:val="TableParagraph"/>
                          <w:spacing w:before="37"/>
                          <w:ind w:right="94"/>
                          <w:jc w:val="right"/>
                          <w:rPr>
                            <w:rFonts w:ascii="Times New Roman"/>
                            <w:sz w:val="21"/>
                          </w:rPr>
                        </w:pPr>
                        <w:r>
                          <w:rPr>
                            <w:rFonts w:ascii="Times New Roman"/>
                            <w:sz w:val="21"/>
                          </w:rPr>
                          <w:t>12,000,000.00</w:t>
                        </w:r>
                      </w:p>
                    </w:tc>
                  </w:tr>
                  <w:tr>
                    <w:trPr>
                      <w:trHeight w:val="318" w:hRule="atLeast"/>
                    </w:trPr>
                    <w:tc>
                      <w:tcPr>
                        <w:tcW w:w="4237" w:type="dxa"/>
                      </w:tcPr>
                      <w:p>
                        <w:pPr>
                          <w:pStyle w:val="TableParagraph"/>
                          <w:spacing w:before="27"/>
                          <w:ind w:left="107"/>
                          <w:rPr>
                            <w:sz w:val="21"/>
                          </w:rPr>
                        </w:pPr>
                        <w:r>
                          <w:rPr>
                            <w:sz w:val="21"/>
                          </w:rPr>
                          <w:t>转出基金赎回费率（</w:t>
                        </w:r>
                        <w:r>
                          <w:rPr>
                            <w:rFonts w:ascii="Times New Roman" w:eastAsia="Times New Roman"/>
                            <w:sz w:val="21"/>
                          </w:rPr>
                          <w:t>D</w:t>
                        </w:r>
                        <w:r>
                          <w:rPr>
                            <w:sz w:val="21"/>
                          </w:rPr>
                          <w:t>）</w:t>
                        </w:r>
                      </w:p>
                    </w:tc>
                    <w:tc>
                      <w:tcPr>
                        <w:tcW w:w="3217" w:type="dxa"/>
                      </w:tcPr>
                      <w:p>
                        <w:pPr>
                          <w:pStyle w:val="TableParagraph"/>
                          <w:spacing w:before="39"/>
                          <w:ind w:right="93"/>
                          <w:jc w:val="right"/>
                          <w:rPr>
                            <w:rFonts w:ascii="Times New Roman"/>
                            <w:sz w:val="21"/>
                          </w:rPr>
                        </w:pPr>
                        <w:r>
                          <w:rPr>
                            <w:rFonts w:ascii="Times New Roman"/>
                            <w:sz w:val="21"/>
                          </w:rPr>
                          <w:t>0.5%</w:t>
                        </w:r>
                      </w:p>
                    </w:tc>
                  </w:tr>
                  <w:tr>
                    <w:trPr>
                      <w:trHeight w:val="316" w:hRule="atLeast"/>
                    </w:trPr>
                    <w:tc>
                      <w:tcPr>
                        <w:tcW w:w="4237"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17" w:type="dxa"/>
                      </w:tcPr>
                      <w:p>
                        <w:pPr>
                          <w:pStyle w:val="TableParagraph"/>
                          <w:spacing w:before="36"/>
                          <w:ind w:right="94"/>
                          <w:jc w:val="right"/>
                          <w:rPr>
                            <w:rFonts w:ascii="Times New Roman"/>
                            <w:sz w:val="21"/>
                          </w:rPr>
                        </w:pPr>
                        <w:r>
                          <w:rPr>
                            <w:rFonts w:ascii="Times New Roman"/>
                            <w:sz w:val="21"/>
                          </w:rPr>
                          <w:t>60,000.00</w:t>
                        </w:r>
                      </w:p>
                    </w:tc>
                  </w:tr>
                  <w:tr>
                    <w:trPr>
                      <w:trHeight w:val="316" w:hRule="atLeast"/>
                    </w:trPr>
                    <w:tc>
                      <w:tcPr>
                        <w:tcW w:w="4237"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17" w:type="dxa"/>
                      </w:tcPr>
                      <w:p>
                        <w:pPr>
                          <w:pStyle w:val="TableParagraph"/>
                          <w:spacing w:before="36"/>
                          <w:ind w:right="94"/>
                          <w:jc w:val="right"/>
                          <w:rPr>
                            <w:rFonts w:ascii="Times New Roman"/>
                            <w:sz w:val="21"/>
                          </w:rPr>
                        </w:pPr>
                        <w:r>
                          <w:rPr>
                            <w:rFonts w:ascii="Times New Roman"/>
                            <w:sz w:val="21"/>
                          </w:rPr>
                          <w:t>11,940,000.00</w:t>
                        </w:r>
                      </w:p>
                    </w:tc>
                  </w:tr>
                  <w:tr>
                    <w:trPr>
                      <w:trHeight w:val="316" w:hRule="atLeast"/>
                    </w:trPr>
                    <w:tc>
                      <w:tcPr>
                        <w:tcW w:w="4237"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17" w:type="dxa"/>
                      </w:tcPr>
                      <w:p>
                        <w:pPr>
                          <w:pStyle w:val="TableParagraph"/>
                          <w:spacing w:before="36"/>
                          <w:ind w:right="94"/>
                          <w:jc w:val="right"/>
                          <w:rPr>
                            <w:rFonts w:ascii="Times New Roman"/>
                            <w:sz w:val="21"/>
                          </w:rPr>
                        </w:pPr>
                        <w:r>
                          <w:rPr>
                            <w:rFonts w:ascii="Times New Roman"/>
                            <w:sz w:val="21"/>
                          </w:rPr>
                          <w:t>0.00</w:t>
                        </w:r>
                      </w:p>
                    </w:tc>
                  </w:tr>
                  <w:tr>
                    <w:trPr>
                      <w:trHeight w:val="318" w:hRule="atLeast"/>
                    </w:trPr>
                    <w:tc>
                      <w:tcPr>
                        <w:tcW w:w="4237" w:type="dxa"/>
                      </w:tcPr>
                      <w:p>
                        <w:pPr>
                          <w:pStyle w:val="TableParagraph"/>
                          <w:spacing w:before="27"/>
                          <w:ind w:left="107"/>
                          <w:rPr>
                            <w:sz w:val="21"/>
                          </w:rPr>
                        </w:pPr>
                        <w:r>
                          <w:rPr>
                            <w:sz w:val="21"/>
                          </w:rPr>
                          <w:t>净转入金额（</w:t>
                        </w:r>
                        <w:r>
                          <w:rPr>
                            <w:rFonts w:ascii="Times New Roman" w:eastAsia="Times New Roman"/>
                            <w:sz w:val="21"/>
                          </w:rPr>
                          <w:t>H=F-G</w:t>
                        </w:r>
                        <w:r>
                          <w:rPr>
                            <w:sz w:val="21"/>
                          </w:rPr>
                          <w:t>）</w:t>
                        </w:r>
                      </w:p>
                    </w:tc>
                    <w:tc>
                      <w:tcPr>
                        <w:tcW w:w="3217" w:type="dxa"/>
                      </w:tcPr>
                      <w:p>
                        <w:pPr>
                          <w:pStyle w:val="TableParagraph"/>
                          <w:spacing w:before="39"/>
                          <w:ind w:right="94"/>
                          <w:jc w:val="right"/>
                          <w:rPr>
                            <w:rFonts w:ascii="Times New Roman"/>
                            <w:sz w:val="21"/>
                          </w:rPr>
                        </w:pPr>
                        <w:r>
                          <w:rPr>
                            <w:rFonts w:ascii="Times New Roman"/>
                            <w:sz w:val="21"/>
                          </w:rPr>
                          <w:t>11,940,000.00</w:t>
                        </w:r>
                      </w:p>
                    </w:tc>
                  </w:tr>
                  <w:tr>
                    <w:trPr>
                      <w:trHeight w:val="316" w:hRule="atLeast"/>
                    </w:trPr>
                    <w:tc>
                      <w:tcPr>
                        <w:tcW w:w="4237"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17" w:type="dxa"/>
                      </w:tcPr>
                      <w:p>
                        <w:pPr>
                          <w:pStyle w:val="TableParagraph"/>
                          <w:spacing w:before="36"/>
                          <w:ind w:right="94"/>
                          <w:jc w:val="right"/>
                          <w:rPr>
                            <w:rFonts w:ascii="Times New Roman"/>
                            <w:sz w:val="21"/>
                          </w:rPr>
                        </w:pPr>
                        <w:r>
                          <w:rPr>
                            <w:rFonts w:ascii="Times New Roman"/>
                            <w:sz w:val="21"/>
                          </w:rPr>
                          <w:t>1.300</w:t>
                        </w:r>
                      </w:p>
                    </w:tc>
                  </w:tr>
                  <w:tr>
                    <w:trPr>
                      <w:trHeight w:val="316" w:hRule="atLeast"/>
                    </w:trPr>
                    <w:tc>
                      <w:tcPr>
                        <w:tcW w:w="4237" w:type="dxa"/>
                      </w:tcPr>
                      <w:p>
                        <w:pPr>
                          <w:pStyle w:val="TableParagraph"/>
                          <w:ind w:left="107"/>
                          <w:rPr>
                            <w:sz w:val="21"/>
                          </w:rPr>
                        </w:pPr>
                        <w:r>
                          <w:rPr>
                            <w:sz w:val="21"/>
                          </w:rPr>
                          <w:t>转入基金份额（</w:t>
                        </w:r>
                        <w:r>
                          <w:rPr>
                            <w:rFonts w:ascii="Times New Roman" w:eastAsia="Times New Roman"/>
                            <w:sz w:val="21"/>
                          </w:rPr>
                          <w:t>J=H/I</w:t>
                        </w:r>
                        <w:r>
                          <w:rPr>
                            <w:sz w:val="21"/>
                          </w:rPr>
                          <w:t>）</w:t>
                        </w:r>
                      </w:p>
                    </w:tc>
                    <w:tc>
                      <w:tcPr>
                        <w:tcW w:w="3217" w:type="dxa"/>
                      </w:tcPr>
                      <w:p>
                        <w:pPr>
                          <w:pStyle w:val="TableParagraph"/>
                          <w:spacing w:before="36"/>
                          <w:ind w:right="94"/>
                          <w:jc w:val="right"/>
                          <w:rPr>
                            <w:rFonts w:ascii="Times New Roman"/>
                            <w:sz w:val="21"/>
                          </w:rPr>
                        </w:pPr>
                        <w:r>
                          <w:rPr>
                            <w:rFonts w:ascii="Times New Roman"/>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3"/>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3"/>
          <w:sz w:val="21"/>
        </w:rPr>
        <w:t> </w:t>
      </w:r>
      <w:r>
        <w:rPr>
          <w:spacing w:val="-7"/>
          <w:w w:val="100"/>
          <w:sz w:val="21"/>
        </w:rPr>
        <w:t>元，丙</w:t>
      </w:r>
      <w:r>
        <w:rPr>
          <w:spacing w:val="-3"/>
          <w:sz w:val="21"/>
        </w:rPr>
        <w:t>基</w:t>
      </w:r>
      <w:r>
        <w:rPr>
          <w:spacing w:val="-4"/>
          <w:sz w:val="21"/>
        </w:rPr>
        <w:t>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BodyText"/>
        <w:spacing w:line="424" w:lineRule="auto"/>
        <w:ind w:left="300" w:right="871" w:firstLine="419"/>
        <w:jc w:val="both"/>
      </w:pPr>
      <w:r>
        <w:rPr/>
        <w:pict>
          <v:shape style="position:absolute;margin-left:111.260002pt;margin-top:89.969955pt;width:373.2pt;height:137.3pt;mso-position-horizontal-relative:page;mso-position-vertical-relative:paragraph;z-index:2516664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36" w:hRule="atLeast"/>
                    </w:trPr>
                    <w:tc>
                      <w:tcPr>
                        <w:tcW w:w="4235" w:type="dxa"/>
                      </w:tcPr>
                      <w:p>
                        <w:pPr>
                          <w:pStyle w:val="TableParagraph"/>
                          <w:spacing w:before="87"/>
                          <w:ind w:left="2127" w:right="1638"/>
                          <w:jc w:val="center"/>
                          <w:rPr>
                            <w:sz w:val="21"/>
                          </w:rPr>
                        </w:pPr>
                        <w:r>
                          <w:rPr>
                            <w:sz w:val="21"/>
                          </w:rPr>
                          <w:t>项目</w:t>
                        </w:r>
                      </w:p>
                    </w:tc>
                    <w:tc>
                      <w:tcPr>
                        <w:tcW w:w="3215" w:type="dxa"/>
                      </w:tcPr>
                      <w:p>
                        <w:pPr>
                          <w:pStyle w:val="TableParagraph"/>
                          <w:spacing w:before="87"/>
                          <w:ind w:left="1427"/>
                          <w:rPr>
                            <w:sz w:val="21"/>
                          </w:rPr>
                        </w:pPr>
                        <w:r>
                          <w:rPr>
                            <w:sz w:val="21"/>
                          </w:rPr>
                          <w:t>费用计算</w:t>
                        </w:r>
                      </w:p>
                    </w:tc>
                  </w:tr>
                  <w:tr>
                    <w:trPr>
                      <w:trHeight w:val="318" w:hRule="atLeast"/>
                    </w:trPr>
                    <w:tc>
                      <w:tcPr>
                        <w:tcW w:w="4235"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15" w:type="dxa"/>
                      </w:tcPr>
                      <w:p>
                        <w:pPr>
                          <w:pStyle w:val="TableParagraph"/>
                          <w:spacing w:before="39"/>
                          <w:ind w:right="92"/>
                          <w:jc w:val="right"/>
                          <w:rPr>
                            <w:rFonts w:ascii="Times New Roman"/>
                            <w:sz w:val="21"/>
                          </w:rPr>
                        </w:pPr>
                        <w:r>
                          <w:rPr>
                            <w:rFonts w:ascii="Times New Roman"/>
                            <w:sz w:val="21"/>
                          </w:rPr>
                          <w:t>1,000.00</w:t>
                        </w:r>
                      </w:p>
                    </w:tc>
                  </w:tr>
                  <w:tr>
                    <w:trPr>
                      <w:trHeight w:val="316" w:hRule="atLeast"/>
                    </w:trPr>
                    <w:tc>
                      <w:tcPr>
                        <w:tcW w:w="4235"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5" w:type="dxa"/>
                      </w:tcPr>
                      <w:p>
                        <w:pPr>
                          <w:pStyle w:val="TableParagraph"/>
                          <w:spacing w:before="36"/>
                          <w:ind w:right="92"/>
                          <w:jc w:val="right"/>
                          <w:rPr>
                            <w:rFonts w:ascii="Times New Roman"/>
                            <w:sz w:val="21"/>
                          </w:rPr>
                        </w:pPr>
                        <w:r>
                          <w:rPr>
                            <w:rFonts w:ascii="Times New Roman"/>
                            <w:sz w:val="21"/>
                          </w:rPr>
                          <w:t>1.200</w:t>
                        </w:r>
                      </w:p>
                    </w:tc>
                  </w:tr>
                  <w:tr>
                    <w:trPr>
                      <w:trHeight w:val="316" w:hRule="atLeast"/>
                    </w:trPr>
                    <w:tc>
                      <w:tcPr>
                        <w:tcW w:w="4235"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5" w:type="dxa"/>
                      </w:tcPr>
                      <w:p>
                        <w:pPr>
                          <w:pStyle w:val="TableParagraph"/>
                          <w:spacing w:before="36"/>
                          <w:ind w:right="92"/>
                          <w:jc w:val="right"/>
                          <w:rPr>
                            <w:rFonts w:ascii="Times New Roman"/>
                            <w:sz w:val="21"/>
                          </w:rPr>
                        </w:pPr>
                        <w:r>
                          <w:rPr>
                            <w:rFonts w:ascii="Times New Roman"/>
                            <w:sz w:val="21"/>
                          </w:rPr>
                          <w:t>1,200.00</w:t>
                        </w:r>
                      </w:p>
                    </w:tc>
                  </w:tr>
                  <w:tr>
                    <w:trPr>
                      <w:trHeight w:val="316" w:hRule="atLeast"/>
                    </w:trPr>
                    <w:tc>
                      <w:tcPr>
                        <w:tcW w:w="4235"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15" w:type="dxa"/>
                      </w:tcPr>
                      <w:p>
                        <w:pPr>
                          <w:pStyle w:val="TableParagraph"/>
                          <w:spacing w:before="36"/>
                          <w:ind w:right="91"/>
                          <w:jc w:val="right"/>
                          <w:rPr>
                            <w:rFonts w:ascii="Times New Roman"/>
                            <w:sz w:val="21"/>
                          </w:rPr>
                        </w:pPr>
                        <w:r>
                          <w:rPr>
                            <w:rFonts w:ascii="Times New Roman"/>
                            <w:sz w:val="21"/>
                          </w:rPr>
                          <w:t>0.5%</w:t>
                        </w:r>
                      </w:p>
                    </w:tc>
                  </w:tr>
                  <w:tr>
                    <w:trPr>
                      <w:trHeight w:val="318" w:hRule="atLeast"/>
                    </w:trPr>
                    <w:tc>
                      <w:tcPr>
                        <w:tcW w:w="4235" w:type="dxa"/>
                      </w:tcPr>
                      <w:p>
                        <w:pPr>
                          <w:pStyle w:val="TableParagraph"/>
                          <w:spacing w:before="27"/>
                          <w:ind w:left="107"/>
                          <w:rPr>
                            <w:sz w:val="21"/>
                          </w:rPr>
                        </w:pPr>
                        <w:r>
                          <w:rPr>
                            <w:sz w:val="21"/>
                          </w:rPr>
                          <w:t>转出基金费用（</w:t>
                        </w:r>
                        <w:r>
                          <w:rPr>
                            <w:rFonts w:ascii="Times New Roman" w:eastAsia="Times New Roman"/>
                            <w:sz w:val="21"/>
                          </w:rPr>
                          <w:t>E=C*D</w:t>
                        </w:r>
                        <w:r>
                          <w:rPr>
                            <w:sz w:val="21"/>
                          </w:rPr>
                          <w:t>）</w:t>
                        </w:r>
                      </w:p>
                    </w:tc>
                    <w:tc>
                      <w:tcPr>
                        <w:tcW w:w="3215" w:type="dxa"/>
                      </w:tcPr>
                      <w:p>
                        <w:pPr>
                          <w:pStyle w:val="TableParagraph"/>
                          <w:spacing w:before="39"/>
                          <w:ind w:right="92"/>
                          <w:jc w:val="right"/>
                          <w:rPr>
                            <w:rFonts w:ascii="Times New Roman"/>
                            <w:sz w:val="21"/>
                          </w:rPr>
                        </w:pPr>
                        <w:r>
                          <w:rPr>
                            <w:rFonts w:ascii="Times New Roman"/>
                            <w:sz w:val="21"/>
                          </w:rPr>
                          <w:t>6.00</w:t>
                        </w:r>
                      </w:p>
                    </w:tc>
                  </w:tr>
                  <w:tr>
                    <w:trPr>
                      <w:trHeight w:val="316" w:hRule="atLeast"/>
                    </w:trPr>
                    <w:tc>
                      <w:tcPr>
                        <w:tcW w:w="4235"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15" w:type="dxa"/>
                      </w:tcPr>
                      <w:p>
                        <w:pPr>
                          <w:pStyle w:val="TableParagraph"/>
                          <w:spacing w:before="37"/>
                          <w:ind w:right="92"/>
                          <w:jc w:val="right"/>
                          <w:rPr>
                            <w:rFonts w:ascii="Times New Roman"/>
                            <w:sz w:val="21"/>
                          </w:rPr>
                        </w:pPr>
                        <w:r>
                          <w:rPr>
                            <w:rFonts w:ascii="Times New Roman"/>
                            <w:sz w:val="21"/>
                          </w:rPr>
                          <w:t>1,194.00</w:t>
                        </w:r>
                      </w:p>
                    </w:tc>
                  </w:tr>
                  <w:tr>
                    <w:trPr>
                      <w:trHeight w:val="316" w:hRule="atLeast"/>
                    </w:trPr>
                    <w:tc>
                      <w:tcPr>
                        <w:tcW w:w="4235"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15" w:type="dxa"/>
                      </w:tcPr>
                      <w:p>
                        <w:pPr>
                          <w:pStyle w:val="TableParagraph"/>
                          <w:spacing w:before="36"/>
                          <w:ind w:right="92"/>
                          <w:jc w:val="right"/>
                          <w:rPr>
                            <w:rFonts w:ascii="Times New Roman"/>
                            <w:sz w:val="21"/>
                          </w:rPr>
                        </w:pPr>
                        <w:r>
                          <w:rPr>
                            <w:rFonts w:ascii="Times New Roman"/>
                            <w:sz w:val="21"/>
                          </w:rPr>
                          <w:t>0.00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spacing w:after="0" w:line="424" w:lineRule="auto"/>
        <w:jc w:val="both"/>
        <w:sectPr>
          <w:pgSz w:w="11910" w:h="16840"/>
          <w:pgMar w:header="701" w:footer="683" w:top="1420" w:bottom="880" w:left="1500" w:right="920"/>
        </w:sect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6" w:hRule="atLeast"/>
        </w:trPr>
        <w:tc>
          <w:tcPr>
            <w:tcW w:w="4235"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15" w:type="dxa"/>
          </w:tcPr>
          <w:p>
            <w:pPr>
              <w:pStyle w:val="TableParagraph"/>
              <w:spacing w:before="37"/>
              <w:ind w:right="92"/>
              <w:jc w:val="right"/>
              <w:rPr>
                <w:rFonts w:ascii="Times New Roman"/>
                <w:sz w:val="21"/>
              </w:rPr>
            </w:pPr>
            <w:r>
              <w:rPr>
                <w:rFonts w:ascii="Times New Roman"/>
                <w:sz w:val="21"/>
              </w:rPr>
              <w:t>1,194.00</w:t>
            </w:r>
          </w:p>
        </w:tc>
      </w:tr>
      <w:tr>
        <w:trPr>
          <w:trHeight w:val="316" w:hRule="atLeast"/>
        </w:trPr>
        <w:tc>
          <w:tcPr>
            <w:tcW w:w="4235"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15" w:type="dxa"/>
          </w:tcPr>
          <w:p>
            <w:pPr>
              <w:pStyle w:val="TableParagraph"/>
              <w:spacing w:before="36"/>
              <w:ind w:right="92"/>
              <w:jc w:val="right"/>
              <w:rPr>
                <w:rFonts w:ascii="Times New Roman"/>
                <w:sz w:val="21"/>
              </w:rPr>
            </w:pPr>
            <w:r>
              <w:rPr>
                <w:rFonts w:ascii="Times New Roman"/>
                <w:sz w:val="21"/>
              </w:rPr>
              <w:t>1.500</w:t>
            </w:r>
          </w:p>
        </w:tc>
      </w:tr>
      <w:tr>
        <w:trPr>
          <w:trHeight w:val="318" w:hRule="atLeast"/>
        </w:trPr>
        <w:tc>
          <w:tcPr>
            <w:tcW w:w="4235" w:type="dxa"/>
          </w:tcPr>
          <w:p>
            <w:pPr>
              <w:pStyle w:val="TableParagraph"/>
              <w:spacing w:before="27"/>
              <w:ind w:left="107"/>
              <w:rPr>
                <w:sz w:val="21"/>
              </w:rPr>
            </w:pPr>
            <w:r>
              <w:rPr>
                <w:sz w:val="21"/>
              </w:rPr>
              <w:t>转入基金份额（</w:t>
            </w:r>
            <w:r>
              <w:rPr>
                <w:rFonts w:ascii="Times New Roman" w:eastAsia="Times New Roman"/>
                <w:sz w:val="21"/>
              </w:rPr>
              <w:t>J=H/I</w:t>
            </w:r>
            <w:r>
              <w:rPr>
                <w:sz w:val="21"/>
              </w:rPr>
              <w:t>）</w:t>
            </w:r>
          </w:p>
        </w:tc>
        <w:tc>
          <w:tcPr>
            <w:tcW w:w="3215" w:type="dxa"/>
          </w:tcPr>
          <w:p>
            <w:pPr>
              <w:pStyle w:val="TableParagraph"/>
              <w:spacing w:before="39"/>
              <w:ind w:right="92"/>
              <w:jc w:val="right"/>
              <w:rPr>
                <w:rFonts w:ascii="Times New Roman"/>
                <w:sz w:val="21"/>
              </w:rPr>
            </w:pPr>
            <w:r>
              <w:rPr>
                <w:rFonts w:ascii="Times New Roman"/>
                <w:sz w:val="21"/>
              </w:rPr>
              <w:t>796.00</w:t>
            </w:r>
          </w:p>
        </w:tc>
      </w:tr>
    </w:tbl>
    <w:p>
      <w:pPr>
        <w:pStyle w:val="BodyText"/>
        <w:spacing w:line="424" w:lineRule="auto" w:before="114"/>
        <w:ind w:left="300" w:right="871" w:firstLine="419"/>
        <w:jc w:val="both"/>
      </w:pPr>
      <w:r>
        <w:rPr/>
        <w:pict>
          <v:shape style="position:absolute;margin-left:111.379997pt;margin-top:71.759995pt;width:372.95pt;height:137.450pt;mso-position-horizontal-relative:page;mso-position-vertical-relative:paragraph;z-index:2516674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38" w:hRule="atLeast"/>
                    </w:trPr>
                    <w:tc>
                      <w:tcPr>
                        <w:tcW w:w="4232" w:type="dxa"/>
                      </w:tcPr>
                      <w:p>
                        <w:pPr>
                          <w:pStyle w:val="TableParagraph"/>
                          <w:spacing w:before="87"/>
                          <w:ind w:left="1884" w:right="1392"/>
                          <w:jc w:val="center"/>
                          <w:rPr>
                            <w:sz w:val="21"/>
                          </w:rPr>
                        </w:pPr>
                        <w:r>
                          <w:rPr>
                            <w:sz w:val="21"/>
                          </w:rPr>
                          <w:t>项目</w:t>
                        </w:r>
                      </w:p>
                    </w:tc>
                    <w:tc>
                      <w:tcPr>
                        <w:tcW w:w="3212" w:type="dxa"/>
                      </w:tcPr>
                      <w:p>
                        <w:pPr>
                          <w:pStyle w:val="TableParagraph"/>
                          <w:spacing w:before="87"/>
                          <w:ind w:left="1425"/>
                          <w:rPr>
                            <w:sz w:val="21"/>
                          </w:rPr>
                        </w:pPr>
                        <w:r>
                          <w:rPr>
                            <w:sz w:val="21"/>
                          </w:rPr>
                          <w:t>费用计算</w:t>
                        </w:r>
                      </w:p>
                    </w:tc>
                  </w:tr>
                  <w:tr>
                    <w:trPr>
                      <w:trHeight w:val="316" w:hRule="atLeast"/>
                    </w:trPr>
                    <w:tc>
                      <w:tcPr>
                        <w:tcW w:w="4232" w:type="dxa"/>
                      </w:tcPr>
                      <w:p>
                        <w:pPr>
                          <w:pStyle w:val="TableParagraph"/>
                          <w:ind w:left="107"/>
                          <w:rPr>
                            <w:sz w:val="21"/>
                          </w:rPr>
                        </w:pPr>
                        <w:r>
                          <w:rPr>
                            <w:sz w:val="21"/>
                          </w:rPr>
                          <w:t>赎回份额（</w:t>
                        </w:r>
                        <w:r>
                          <w:rPr>
                            <w:rFonts w:ascii="Times New Roman" w:eastAsia="Times New Roman"/>
                            <w:sz w:val="21"/>
                          </w:rPr>
                          <w:t>K</w:t>
                        </w:r>
                        <w:r>
                          <w:rPr>
                            <w:sz w:val="21"/>
                          </w:rPr>
                          <w:t>）</w:t>
                        </w:r>
                      </w:p>
                    </w:tc>
                    <w:tc>
                      <w:tcPr>
                        <w:tcW w:w="3212" w:type="dxa"/>
                      </w:tcPr>
                      <w:p>
                        <w:pPr>
                          <w:pStyle w:val="TableParagraph"/>
                          <w:spacing w:before="36"/>
                          <w:ind w:right="93"/>
                          <w:jc w:val="right"/>
                          <w:rPr>
                            <w:rFonts w:ascii="Times New Roman"/>
                            <w:sz w:val="21"/>
                          </w:rPr>
                        </w:pPr>
                        <w:r>
                          <w:rPr>
                            <w:rFonts w:ascii="Times New Roman"/>
                            <w:sz w:val="21"/>
                          </w:rPr>
                          <w:t>796.00</w:t>
                        </w:r>
                      </w:p>
                    </w:tc>
                  </w:tr>
                  <w:tr>
                    <w:trPr>
                      <w:trHeight w:val="317" w:hRule="atLeast"/>
                    </w:trPr>
                    <w:tc>
                      <w:tcPr>
                        <w:tcW w:w="4232" w:type="dxa"/>
                      </w:tcPr>
                      <w:p>
                        <w:pPr>
                          <w:pStyle w:val="TableParagraph"/>
                          <w:ind w:left="107"/>
                          <w:rPr>
                            <w:sz w:val="21"/>
                          </w:rPr>
                        </w:pPr>
                        <w:r>
                          <w:rPr>
                            <w:sz w:val="21"/>
                          </w:rPr>
                          <w:t>赎回日基金份额净值（</w:t>
                        </w:r>
                        <w:r>
                          <w:rPr>
                            <w:rFonts w:ascii="Times New Roman" w:eastAsia="Times New Roman"/>
                            <w:sz w:val="21"/>
                          </w:rPr>
                          <w:t>L</w:t>
                        </w:r>
                        <w:r>
                          <w:rPr>
                            <w:sz w:val="21"/>
                          </w:rPr>
                          <w:t>）</w:t>
                        </w:r>
                      </w:p>
                    </w:tc>
                    <w:tc>
                      <w:tcPr>
                        <w:tcW w:w="3212" w:type="dxa"/>
                      </w:tcPr>
                      <w:p>
                        <w:pPr>
                          <w:pStyle w:val="TableParagraph"/>
                          <w:spacing w:before="37"/>
                          <w:ind w:right="93"/>
                          <w:jc w:val="right"/>
                          <w:rPr>
                            <w:rFonts w:ascii="Times New Roman"/>
                            <w:sz w:val="21"/>
                          </w:rPr>
                        </w:pPr>
                        <w:r>
                          <w:rPr>
                            <w:rFonts w:ascii="Times New Roman"/>
                            <w:sz w:val="21"/>
                          </w:rPr>
                          <w:t>1.300</w:t>
                        </w:r>
                      </w:p>
                    </w:tc>
                  </w:tr>
                  <w:tr>
                    <w:trPr>
                      <w:trHeight w:val="318" w:hRule="atLeast"/>
                    </w:trPr>
                    <w:tc>
                      <w:tcPr>
                        <w:tcW w:w="4232" w:type="dxa"/>
                      </w:tcPr>
                      <w:p>
                        <w:pPr>
                          <w:pStyle w:val="TableParagraph"/>
                          <w:spacing w:before="27"/>
                          <w:ind w:left="107"/>
                          <w:rPr>
                            <w:sz w:val="21"/>
                          </w:rPr>
                        </w:pPr>
                        <w:r>
                          <w:rPr>
                            <w:sz w:val="21"/>
                          </w:rPr>
                          <w:t>赎回总金额（</w:t>
                        </w:r>
                        <w:r>
                          <w:rPr>
                            <w:rFonts w:ascii="Times New Roman" w:eastAsia="Times New Roman"/>
                            <w:sz w:val="21"/>
                          </w:rPr>
                          <w:t>M=K*L</w:t>
                        </w:r>
                        <w:r>
                          <w:rPr>
                            <w:sz w:val="21"/>
                          </w:rPr>
                          <w:t>）</w:t>
                        </w:r>
                      </w:p>
                    </w:tc>
                    <w:tc>
                      <w:tcPr>
                        <w:tcW w:w="3212" w:type="dxa"/>
                      </w:tcPr>
                      <w:p>
                        <w:pPr>
                          <w:pStyle w:val="TableParagraph"/>
                          <w:spacing w:before="39"/>
                          <w:ind w:right="93"/>
                          <w:jc w:val="right"/>
                          <w:rPr>
                            <w:rFonts w:ascii="Times New Roman"/>
                            <w:sz w:val="21"/>
                          </w:rPr>
                        </w:pPr>
                        <w:r>
                          <w:rPr>
                            <w:rFonts w:ascii="Times New Roman"/>
                            <w:sz w:val="21"/>
                          </w:rPr>
                          <w:t>1,034.80</w:t>
                        </w:r>
                      </w:p>
                    </w:tc>
                  </w:tr>
                  <w:tr>
                    <w:trPr>
                      <w:trHeight w:val="316" w:hRule="atLeast"/>
                    </w:trPr>
                    <w:tc>
                      <w:tcPr>
                        <w:tcW w:w="4232" w:type="dxa"/>
                      </w:tcPr>
                      <w:p>
                        <w:pPr>
                          <w:pStyle w:val="TableParagraph"/>
                          <w:ind w:left="107"/>
                          <w:rPr>
                            <w:sz w:val="21"/>
                          </w:rPr>
                        </w:pPr>
                        <w:r>
                          <w:rPr>
                            <w:sz w:val="21"/>
                          </w:rPr>
                          <w:t>赎回费用（</w:t>
                        </w:r>
                        <w:r>
                          <w:rPr>
                            <w:rFonts w:ascii="Times New Roman" w:eastAsia="Times New Roman"/>
                            <w:sz w:val="21"/>
                          </w:rPr>
                          <w:t>N</w:t>
                        </w:r>
                        <w:r>
                          <w:rPr>
                            <w:sz w:val="21"/>
                          </w:rPr>
                          <w:t>）</w:t>
                        </w:r>
                      </w:p>
                    </w:tc>
                    <w:tc>
                      <w:tcPr>
                        <w:tcW w:w="3212" w:type="dxa"/>
                      </w:tcPr>
                      <w:p>
                        <w:pPr>
                          <w:pStyle w:val="TableParagraph"/>
                          <w:spacing w:before="36"/>
                          <w:ind w:right="93"/>
                          <w:jc w:val="right"/>
                          <w:rPr>
                            <w:rFonts w:ascii="Times New Roman"/>
                            <w:sz w:val="21"/>
                          </w:rPr>
                        </w:pPr>
                        <w:r>
                          <w:rPr>
                            <w:rFonts w:ascii="Times New Roman"/>
                            <w:sz w:val="21"/>
                          </w:rPr>
                          <w:t>0.00</w:t>
                        </w:r>
                      </w:p>
                    </w:tc>
                  </w:tr>
                  <w:tr>
                    <w:trPr>
                      <w:trHeight w:val="316" w:hRule="atLeast"/>
                    </w:trPr>
                    <w:tc>
                      <w:tcPr>
                        <w:tcW w:w="4232" w:type="dxa"/>
                      </w:tcPr>
                      <w:p>
                        <w:pPr>
                          <w:pStyle w:val="TableParagraph"/>
                          <w:ind w:left="107"/>
                          <w:rPr>
                            <w:sz w:val="21"/>
                          </w:rPr>
                        </w:pPr>
                        <w:r>
                          <w:rPr>
                            <w:sz w:val="21"/>
                          </w:rPr>
                          <w:t>适用后端申购费率（</w:t>
                        </w:r>
                        <w:r>
                          <w:rPr>
                            <w:rFonts w:ascii="Times New Roman" w:eastAsia="Times New Roman"/>
                            <w:sz w:val="21"/>
                          </w:rPr>
                          <w:t>O</w:t>
                        </w:r>
                        <w:r>
                          <w:rPr>
                            <w:sz w:val="21"/>
                          </w:rPr>
                          <w:t>）</w:t>
                        </w:r>
                      </w:p>
                    </w:tc>
                    <w:tc>
                      <w:tcPr>
                        <w:tcW w:w="3212" w:type="dxa"/>
                      </w:tcPr>
                      <w:p>
                        <w:pPr>
                          <w:pStyle w:val="TableParagraph"/>
                          <w:spacing w:before="36"/>
                          <w:ind w:right="93"/>
                          <w:jc w:val="right"/>
                          <w:rPr>
                            <w:rFonts w:ascii="Times New Roman"/>
                            <w:sz w:val="21"/>
                          </w:rPr>
                        </w:pPr>
                        <w:r>
                          <w:rPr>
                            <w:rFonts w:ascii="Times New Roman"/>
                            <w:sz w:val="21"/>
                          </w:rPr>
                          <w:t>1.2%</w:t>
                        </w:r>
                      </w:p>
                    </w:tc>
                  </w:tr>
                  <w:tr>
                    <w:trPr>
                      <w:trHeight w:val="316" w:hRule="atLeast"/>
                    </w:trPr>
                    <w:tc>
                      <w:tcPr>
                        <w:tcW w:w="4232" w:type="dxa"/>
                      </w:tcPr>
                      <w:p>
                        <w:pPr>
                          <w:pStyle w:val="TableParagraph"/>
                          <w:ind w:left="107"/>
                          <w:rPr>
                            <w:sz w:val="21"/>
                          </w:rPr>
                        </w:pPr>
                        <w:r>
                          <w:rPr>
                            <w:sz w:val="21"/>
                          </w:rPr>
                          <w:t>后端申购费（</w:t>
                        </w:r>
                        <w:r>
                          <w:rPr>
                            <w:rFonts w:ascii="Times New Roman" w:eastAsia="Times New Roman"/>
                            <w:sz w:val="21"/>
                          </w:rPr>
                          <w:t>P=K*I*O/</w:t>
                        </w:r>
                        <w:r>
                          <w:rPr>
                            <w:sz w:val="21"/>
                          </w:rPr>
                          <w:t>(</w:t>
                        </w:r>
                        <w:r>
                          <w:rPr>
                            <w:rFonts w:ascii="Times New Roman" w:eastAsia="Times New Roman"/>
                            <w:sz w:val="21"/>
                          </w:rPr>
                          <w:t>1+O</w:t>
                        </w:r>
                        <w:r>
                          <w:rPr>
                            <w:sz w:val="21"/>
                          </w:rPr>
                          <w:t>)）</w:t>
                        </w:r>
                      </w:p>
                    </w:tc>
                    <w:tc>
                      <w:tcPr>
                        <w:tcW w:w="3212" w:type="dxa"/>
                      </w:tcPr>
                      <w:p>
                        <w:pPr>
                          <w:pStyle w:val="TableParagraph"/>
                          <w:spacing w:before="36"/>
                          <w:ind w:right="93"/>
                          <w:jc w:val="right"/>
                          <w:rPr>
                            <w:rFonts w:ascii="Times New Roman"/>
                            <w:sz w:val="21"/>
                          </w:rPr>
                        </w:pPr>
                        <w:r>
                          <w:rPr>
                            <w:rFonts w:ascii="Times New Roman"/>
                            <w:sz w:val="21"/>
                          </w:rPr>
                          <w:t>14.16</w:t>
                        </w:r>
                      </w:p>
                    </w:tc>
                  </w:tr>
                  <w:tr>
                    <w:trPr>
                      <w:trHeight w:val="318" w:hRule="atLeast"/>
                    </w:trPr>
                    <w:tc>
                      <w:tcPr>
                        <w:tcW w:w="4232" w:type="dxa"/>
                      </w:tcPr>
                      <w:p>
                        <w:pPr>
                          <w:pStyle w:val="TableParagraph"/>
                          <w:spacing w:before="27"/>
                          <w:ind w:left="107"/>
                          <w:rPr>
                            <w:sz w:val="21"/>
                          </w:rPr>
                        </w:pPr>
                        <w:r>
                          <w:rPr>
                            <w:sz w:val="21"/>
                          </w:rPr>
                          <w:t>赎回金额（</w:t>
                        </w:r>
                        <w:r>
                          <w:rPr>
                            <w:rFonts w:ascii="Times New Roman" w:eastAsia="Times New Roman"/>
                            <w:sz w:val="21"/>
                          </w:rPr>
                          <w:t>Q=M-N-P</w:t>
                        </w:r>
                        <w:r>
                          <w:rPr>
                            <w:sz w:val="21"/>
                          </w:rPr>
                          <w:t>）</w:t>
                        </w:r>
                      </w:p>
                    </w:tc>
                    <w:tc>
                      <w:tcPr>
                        <w:tcW w:w="3212" w:type="dxa"/>
                      </w:tcPr>
                      <w:p>
                        <w:pPr>
                          <w:pStyle w:val="TableParagraph"/>
                          <w:spacing w:before="39"/>
                          <w:ind w:right="93"/>
                          <w:jc w:val="right"/>
                          <w:rPr>
                            <w:rFonts w:ascii="Times New Roman"/>
                            <w:sz w:val="21"/>
                          </w:rPr>
                        </w:pPr>
                        <w:r>
                          <w:rPr>
                            <w:rFonts w:ascii="Times New Roman"/>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0"/>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p>
    <w:p>
      <w:pPr>
        <w:pStyle w:val="BodyText"/>
        <w:spacing w:line="424" w:lineRule="auto"/>
        <w:ind w:left="300" w:right="765" w:firstLine="419"/>
      </w:pPr>
      <w:r>
        <w:rPr/>
        <w:pict>
          <v:shape style="position:absolute;margin-left:110.779999pt;margin-top:66.05999pt;width:374.15pt;height:180.45pt;mso-position-horizontal-relative:page;mso-position-vertical-relative:paragraph;z-index:2516684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6" w:hRule="atLeast"/>
                    </w:trPr>
                    <w:tc>
                      <w:tcPr>
                        <w:tcW w:w="4244" w:type="dxa"/>
                      </w:tcPr>
                      <w:p>
                        <w:pPr>
                          <w:pStyle w:val="TableParagraph"/>
                          <w:ind w:left="1652" w:right="1642"/>
                          <w:jc w:val="center"/>
                          <w:rPr>
                            <w:sz w:val="21"/>
                          </w:rPr>
                        </w:pPr>
                        <w:r>
                          <w:rPr>
                            <w:sz w:val="21"/>
                          </w:rPr>
                          <w:t>项目</w:t>
                        </w:r>
                      </w:p>
                    </w:tc>
                    <w:tc>
                      <w:tcPr>
                        <w:tcW w:w="3224" w:type="dxa"/>
                      </w:tcPr>
                      <w:p>
                        <w:pPr>
                          <w:pStyle w:val="TableParagraph"/>
                          <w:ind w:left="1171" w:right="1162"/>
                          <w:jc w:val="center"/>
                          <w:rPr>
                            <w:sz w:val="21"/>
                          </w:rPr>
                        </w:pPr>
                        <w:r>
                          <w:rPr>
                            <w:sz w:val="21"/>
                          </w:rPr>
                          <w:t>费用计算</w:t>
                        </w:r>
                      </w:p>
                    </w:tc>
                  </w:tr>
                  <w:tr>
                    <w:trPr>
                      <w:trHeight w:val="318" w:hRule="atLeast"/>
                    </w:trPr>
                    <w:tc>
                      <w:tcPr>
                        <w:tcW w:w="4244"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24" w:type="dxa"/>
                      </w:tcPr>
                      <w:p>
                        <w:pPr>
                          <w:pStyle w:val="TableParagraph"/>
                          <w:spacing w:before="39"/>
                          <w:ind w:right="93"/>
                          <w:jc w:val="right"/>
                          <w:rPr>
                            <w:rFonts w:ascii="Times New Roman"/>
                            <w:sz w:val="21"/>
                          </w:rPr>
                        </w:pPr>
                        <w:r>
                          <w:rPr>
                            <w:rFonts w:ascii="Times New Roman"/>
                            <w:sz w:val="21"/>
                          </w:rPr>
                          <w:t>1,000.00</w:t>
                        </w:r>
                      </w:p>
                    </w:tc>
                  </w:tr>
                  <w:tr>
                    <w:trPr>
                      <w:trHeight w:val="316" w:hRule="atLeast"/>
                    </w:trPr>
                    <w:tc>
                      <w:tcPr>
                        <w:tcW w:w="4244"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4" w:type="dxa"/>
                      </w:tcPr>
                      <w:p>
                        <w:pPr>
                          <w:pStyle w:val="TableParagraph"/>
                          <w:spacing w:before="36"/>
                          <w:ind w:right="93"/>
                          <w:jc w:val="right"/>
                          <w:rPr>
                            <w:rFonts w:ascii="Times New Roman"/>
                            <w:sz w:val="21"/>
                          </w:rPr>
                        </w:pPr>
                        <w:r>
                          <w:rPr>
                            <w:rFonts w:ascii="Times New Roman"/>
                            <w:sz w:val="21"/>
                          </w:rPr>
                          <w:t>1.300</w:t>
                        </w:r>
                      </w:p>
                    </w:tc>
                  </w:tr>
                  <w:tr>
                    <w:trPr>
                      <w:trHeight w:val="316" w:hRule="atLeast"/>
                    </w:trPr>
                    <w:tc>
                      <w:tcPr>
                        <w:tcW w:w="4244"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24" w:type="dxa"/>
                      </w:tcPr>
                      <w:p>
                        <w:pPr>
                          <w:pStyle w:val="TableParagraph"/>
                          <w:spacing w:before="36"/>
                          <w:ind w:right="93"/>
                          <w:jc w:val="right"/>
                          <w:rPr>
                            <w:rFonts w:ascii="Times New Roman"/>
                            <w:sz w:val="21"/>
                          </w:rPr>
                        </w:pPr>
                        <w:r>
                          <w:rPr>
                            <w:rFonts w:ascii="Times New Roman"/>
                            <w:sz w:val="21"/>
                          </w:rPr>
                          <w:t>1,300.00</w:t>
                        </w:r>
                      </w:p>
                    </w:tc>
                  </w:tr>
                  <w:tr>
                    <w:trPr>
                      <w:trHeight w:val="316" w:hRule="atLeast"/>
                    </w:trPr>
                    <w:tc>
                      <w:tcPr>
                        <w:tcW w:w="4244"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24" w:type="dxa"/>
                      </w:tcPr>
                      <w:p>
                        <w:pPr>
                          <w:pStyle w:val="TableParagraph"/>
                          <w:spacing w:before="36"/>
                          <w:ind w:right="93"/>
                          <w:jc w:val="right"/>
                          <w:rPr>
                            <w:rFonts w:ascii="Times New Roman"/>
                            <w:sz w:val="21"/>
                          </w:rPr>
                        </w:pPr>
                        <w:r>
                          <w:rPr>
                            <w:rFonts w:ascii="Times New Roman"/>
                            <w:sz w:val="21"/>
                          </w:rPr>
                          <w:t>0.5%</w:t>
                        </w:r>
                      </w:p>
                    </w:tc>
                  </w:tr>
                  <w:tr>
                    <w:trPr>
                      <w:trHeight w:val="318" w:hRule="atLeast"/>
                    </w:trPr>
                    <w:tc>
                      <w:tcPr>
                        <w:tcW w:w="4244" w:type="dxa"/>
                      </w:tcPr>
                      <w:p>
                        <w:pPr>
                          <w:pStyle w:val="TableParagraph"/>
                          <w:spacing w:before="27"/>
                          <w:ind w:left="107"/>
                          <w:rPr>
                            <w:sz w:val="21"/>
                          </w:rPr>
                        </w:pPr>
                        <w:r>
                          <w:rPr>
                            <w:sz w:val="21"/>
                          </w:rPr>
                          <w:t>转出基金费用（</w:t>
                        </w:r>
                        <w:r>
                          <w:rPr>
                            <w:rFonts w:ascii="Times New Roman" w:eastAsia="Times New Roman"/>
                            <w:sz w:val="21"/>
                          </w:rPr>
                          <w:t>E=C*D</w:t>
                        </w:r>
                        <w:r>
                          <w:rPr>
                            <w:sz w:val="21"/>
                          </w:rPr>
                          <w:t>）</w:t>
                        </w:r>
                      </w:p>
                    </w:tc>
                    <w:tc>
                      <w:tcPr>
                        <w:tcW w:w="3224" w:type="dxa"/>
                      </w:tcPr>
                      <w:p>
                        <w:pPr>
                          <w:pStyle w:val="TableParagraph"/>
                          <w:spacing w:before="39"/>
                          <w:ind w:right="93"/>
                          <w:jc w:val="right"/>
                          <w:rPr>
                            <w:rFonts w:ascii="Times New Roman"/>
                            <w:sz w:val="21"/>
                          </w:rPr>
                        </w:pPr>
                        <w:r>
                          <w:rPr>
                            <w:rFonts w:ascii="Times New Roman"/>
                            <w:sz w:val="21"/>
                          </w:rPr>
                          <w:t>6.50</w:t>
                        </w:r>
                      </w:p>
                    </w:tc>
                  </w:tr>
                  <w:tr>
                    <w:trPr>
                      <w:trHeight w:val="316" w:hRule="atLeast"/>
                    </w:trPr>
                    <w:tc>
                      <w:tcPr>
                        <w:tcW w:w="4244"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24" w:type="dxa"/>
                      </w:tcPr>
                      <w:p>
                        <w:pPr>
                          <w:pStyle w:val="TableParagraph"/>
                          <w:spacing w:before="36"/>
                          <w:ind w:right="93"/>
                          <w:jc w:val="right"/>
                          <w:rPr>
                            <w:rFonts w:ascii="Times New Roman"/>
                            <w:sz w:val="21"/>
                          </w:rPr>
                        </w:pPr>
                        <w:r>
                          <w:rPr>
                            <w:rFonts w:ascii="Times New Roman"/>
                            <w:sz w:val="21"/>
                          </w:rPr>
                          <w:t>1,293.50</w:t>
                        </w:r>
                      </w:p>
                    </w:tc>
                  </w:tr>
                  <w:tr>
                    <w:trPr>
                      <w:trHeight w:val="316" w:hRule="atLeast"/>
                    </w:trPr>
                    <w:tc>
                      <w:tcPr>
                        <w:tcW w:w="4244"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24" w:type="dxa"/>
                      </w:tcPr>
                      <w:p>
                        <w:pPr>
                          <w:pStyle w:val="TableParagraph"/>
                          <w:spacing w:before="36"/>
                          <w:ind w:right="93"/>
                          <w:jc w:val="right"/>
                          <w:rPr>
                            <w:rFonts w:ascii="Times New Roman"/>
                            <w:sz w:val="21"/>
                          </w:rPr>
                        </w:pPr>
                        <w:r>
                          <w:rPr>
                            <w:rFonts w:ascii="Times New Roman"/>
                            <w:sz w:val="21"/>
                          </w:rPr>
                          <w:t>0.00</w:t>
                        </w:r>
                      </w:p>
                    </w:tc>
                  </w:tr>
                  <w:tr>
                    <w:trPr>
                      <w:trHeight w:val="316" w:hRule="atLeast"/>
                    </w:trPr>
                    <w:tc>
                      <w:tcPr>
                        <w:tcW w:w="4244"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24" w:type="dxa"/>
                      </w:tcPr>
                      <w:p>
                        <w:pPr>
                          <w:pStyle w:val="TableParagraph"/>
                          <w:spacing w:before="36"/>
                          <w:ind w:right="93"/>
                          <w:jc w:val="right"/>
                          <w:rPr>
                            <w:rFonts w:ascii="Times New Roman"/>
                            <w:sz w:val="21"/>
                          </w:rPr>
                        </w:pPr>
                        <w:r>
                          <w:rPr>
                            <w:rFonts w:ascii="Times New Roman"/>
                            <w:sz w:val="21"/>
                          </w:rPr>
                          <w:t>1,293.50</w:t>
                        </w:r>
                      </w:p>
                    </w:tc>
                  </w:tr>
                  <w:tr>
                    <w:trPr>
                      <w:trHeight w:val="318" w:hRule="atLeast"/>
                    </w:trPr>
                    <w:tc>
                      <w:tcPr>
                        <w:tcW w:w="4244" w:type="dxa"/>
                      </w:tcPr>
                      <w:p>
                        <w:pPr>
                          <w:pStyle w:val="TableParagraph"/>
                          <w:spacing w:before="27"/>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24" w:type="dxa"/>
                      </w:tcPr>
                      <w:p>
                        <w:pPr>
                          <w:pStyle w:val="TableParagraph"/>
                          <w:spacing w:before="39"/>
                          <w:ind w:right="93"/>
                          <w:jc w:val="right"/>
                          <w:rPr>
                            <w:rFonts w:ascii="Times New Roman"/>
                            <w:sz w:val="21"/>
                          </w:rPr>
                        </w:pPr>
                        <w:r>
                          <w:rPr>
                            <w:rFonts w:ascii="Times New Roman"/>
                            <w:sz w:val="21"/>
                          </w:rPr>
                          <w:t>1.500</w:t>
                        </w:r>
                      </w:p>
                    </w:tc>
                  </w:tr>
                  <w:tr>
                    <w:trPr>
                      <w:trHeight w:val="317" w:hRule="atLeast"/>
                    </w:trPr>
                    <w:tc>
                      <w:tcPr>
                        <w:tcW w:w="4244" w:type="dxa"/>
                      </w:tcPr>
                      <w:p>
                        <w:pPr>
                          <w:pStyle w:val="TableParagraph"/>
                          <w:ind w:left="107"/>
                          <w:rPr>
                            <w:sz w:val="21"/>
                          </w:rPr>
                        </w:pPr>
                        <w:r>
                          <w:rPr>
                            <w:sz w:val="21"/>
                          </w:rPr>
                          <w:t>转入基金份额（</w:t>
                        </w:r>
                        <w:r>
                          <w:rPr>
                            <w:rFonts w:ascii="Times New Roman" w:eastAsia="Times New Roman"/>
                            <w:sz w:val="21"/>
                          </w:rPr>
                          <w:t>J=H/I</w:t>
                        </w:r>
                        <w:r>
                          <w:rPr>
                            <w:sz w:val="21"/>
                          </w:rPr>
                          <w:t>）</w:t>
                        </w:r>
                      </w:p>
                    </w:tc>
                    <w:tc>
                      <w:tcPr>
                        <w:tcW w:w="3224" w:type="dxa"/>
                      </w:tcPr>
                      <w:p>
                        <w:pPr>
                          <w:pStyle w:val="TableParagraph"/>
                          <w:spacing w:before="37"/>
                          <w:ind w:right="93"/>
                          <w:jc w:val="right"/>
                          <w:rPr>
                            <w:rFonts w:ascii="Times New Roman"/>
                            <w:sz w:val="21"/>
                          </w:rPr>
                        </w:pPr>
                        <w:r>
                          <w:rPr>
                            <w:rFonts w:ascii="Times New Roman"/>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BodyText"/>
        <w:spacing w:line="424" w:lineRule="auto"/>
        <w:ind w:left="300" w:right="87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21"/>
        </w:numPr>
        <w:tabs>
          <w:tab w:pos="1250" w:val="left" w:leader="none"/>
        </w:tabs>
        <w:spacing w:line="424" w:lineRule="auto" w:before="0" w:after="0"/>
        <w:ind w:left="300" w:right="873" w:firstLine="419"/>
        <w:jc w:val="both"/>
        <w:rPr>
          <w:sz w:val="21"/>
        </w:rPr>
      </w:pPr>
      <w:r>
        <w:rPr/>
        <w:pict>
          <v:shape style="position:absolute;margin-left:110.540001pt;margin-top:66.180023pt;width:374.6pt;height:33.3pt;mso-position-horizontal-relative:page;mso-position-vertical-relative:paragraph;z-index:2516695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6" w:hRule="atLeast"/>
                    </w:trPr>
                    <w:tc>
                      <w:tcPr>
                        <w:tcW w:w="4266" w:type="dxa"/>
                      </w:tcPr>
                      <w:p>
                        <w:pPr>
                          <w:pStyle w:val="TableParagraph"/>
                          <w:ind w:left="1901" w:right="1894"/>
                          <w:jc w:val="center"/>
                          <w:rPr>
                            <w:sz w:val="21"/>
                          </w:rPr>
                        </w:pPr>
                        <w:r>
                          <w:rPr>
                            <w:sz w:val="21"/>
                          </w:rPr>
                          <w:t>项目</w:t>
                        </w:r>
                      </w:p>
                    </w:tc>
                    <w:tc>
                      <w:tcPr>
                        <w:tcW w:w="3212" w:type="dxa"/>
                      </w:tcPr>
                      <w:p>
                        <w:pPr>
                          <w:pStyle w:val="TableParagraph"/>
                          <w:ind w:left="1165" w:right="1155"/>
                          <w:jc w:val="center"/>
                          <w:rPr>
                            <w:sz w:val="21"/>
                          </w:rPr>
                        </w:pPr>
                        <w:r>
                          <w:rPr>
                            <w:sz w:val="21"/>
                          </w:rPr>
                          <w:t>费用计算</w:t>
                        </w:r>
                      </w:p>
                    </w:tc>
                  </w:tr>
                  <w:tr>
                    <w:trPr>
                      <w:trHeight w:val="318" w:hRule="atLeast"/>
                    </w:trPr>
                    <w:tc>
                      <w:tcPr>
                        <w:tcW w:w="4266" w:type="dxa"/>
                      </w:tcPr>
                      <w:p>
                        <w:pPr>
                          <w:pStyle w:val="TableParagraph"/>
                          <w:ind w:left="105"/>
                          <w:rPr>
                            <w:sz w:val="21"/>
                          </w:rPr>
                        </w:pPr>
                        <w:r>
                          <w:rPr>
                            <w:sz w:val="21"/>
                          </w:rPr>
                          <w:t>转出份额（</w:t>
                        </w:r>
                        <w:r>
                          <w:rPr>
                            <w:rFonts w:ascii="Times New Roman" w:eastAsia="Times New Roman"/>
                            <w:sz w:val="21"/>
                          </w:rPr>
                          <w:t>A</w:t>
                        </w:r>
                        <w:r>
                          <w:rPr>
                            <w:sz w:val="21"/>
                          </w:rPr>
                          <w:t>）</w:t>
                        </w:r>
                      </w:p>
                    </w:tc>
                    <w:tc>
                      <w:tcPr>
                        <w:tcW w:w="3212" w:type="dxa"/>
                      </w:tcPr>
                      <w:p>
                        <w:pPr>
                          <w:pStyle w:val="TableParagraph"/>
                          <w:spacing w:before="36"/>
                          <w:ind w:left="1895"/>
                          <w:rPr>
                            <w:rFonts w:ascii="Times New Roman"/>
                            <w:sz w:val="21"/>
                          </w:rPr>
                        </w:pPr>
                        <w:r>
                          <w:rPr>
                            <w:rFonts w:ascii="Times New Roman"/>
                            <w:sz w:val="21"/>
                          </w:rPr>
                          <w:t>10,000,000.00</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24" w:lineRule="auto"/>
        <w:jc w:val="both"/>
        <w:rPr>
          <w:sz w:val="21"/>
        </w:rPr>
        <w:sectPr>
          <w:pgSz w:w="11910" w:h="16840"/>
          <w:pgMar w:header="701" w:footer="683" w:top="1420" w:bottom="880" w:left="1500" w:right="920"/>
        </w:sectPr>
      </w:pPr>
    </w:p>
    <w:tbl>
      <w:tblPr>
        <w:tblW w:w="0" w:type="auto"/>
        <w:jc w:val="lef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6" w:hRule="atLeast"/>
        </w:trPr>
        <w:tc>
          <w:tcPr>
            <w:tcW w:w="4266" w:type="dxa"/>
          </w:tcPr>
          <w:p>
            <w:pPr>
              <w:pStyle w:val="TableParagraph"/>
              <w:ind w:left="105"/>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2" w:type="dxa"/>
          </w:tcPr>
          <w:p>
            <w:pPr>
              <w:pStyle w:val="TableParagraph"/>
              <w:spacing w:before="37"/>
              <w:ind w:right="94"/>
              <w:jc w:val="right"/>
              <w:rPr>
                <w:rFonts w:ascii="Times New Roman"/>
                <w:sz w:val="21"/>
              </w:rPr>
            </w:pPr>
            <w:r>
              <w:rPr>
                <w:rFonts w:ascii="Times New Roman"/>
                <w:sz w:val="21"/>
              </w:rPr>
              <w:t>1.200</w:t>
            </w:r>
          </w:p>
        </w:tc>
      </w:tr>
      <w:tr>
        <w:trPr>
          <w:trHeight w:val="316" w:hRule="atLeast"/>
        </w:trPr>
        <w:tc>
          <w:tcPr>
            <w:tcW w:w="4266" w:type="dxa"/>
          </w:tcPr>
          <w:p>
            <w:pPr>
              <w:pStyle w:val="TableParagraph"/>
              <w:ind w:left="105"/>
              <w:rPr>
                <w:sz w:val="21"/>
              </w:rPr>
            </w:pPr>
            <w:r>
              <w:rPr>
                <w:sz w:val="21"/>
              </w:rPr>
              <w:t>转出总金额（</w:t>
            </w:r>
            <w:r>
              <w:rPr>
                <w:rFonts w:ascii="Times New Roman" w:eastAsia="Times New Roman"/>
                <w:sz w:val="21"/>
              </w:rPr>
              <w:t>C=A*B</w:t>
            </w:r>
            <w:r>
              <w:rPr>
                <w:sz w:val="21"/>
              </w:rPr>
              <w:t>）</w:t>
            </w:r>
          </w:p>
        </w:tc>
        <w:tc>
          <w:tcPr>
            <w:tcW w:w="3212" w:type="dxa"/>
          </w:tcPr>
          <w:p>
            <w:pPr>
              <w:pStyle w:val="TableParagraph"/>
              <w:spacing w:before="36"/>
              <w:ind w:right="94"/>
              <w:jc w:val="right"/>
              <w:rPr>
                <w:rFonts w:ascii="Times New Roman"/>
                <w:sz w:val="21"/>
              </w:rPr>
            </w:pPr>
            <w:r>
              <w:rPr>
                <w:rFonts w:ascii="Times New Roman"/>
                <w:sz w:val="21"/>
              </w:rPr>
              <w:t>12,000,000.00</w:t>
            </w:r>
          </w:p>
        </w:tc>
      </w:tr>
      <w:tr>
        <w:trPr>
          <w:trHeight w:val="318" w:hRule="atLeast"/>
        </w:trPr>
        <w:tc>
          <w:tcPr>
            <w:tcW w:w="4266" w:type="dxa"/>
          </w:tcPr>
          <w:p>
            <w:pPr>
              <w:pStyle w:val="TableParagraph"/>
              <w:spacing w:before="27"/>
              <w:ind w:left="105"/>
              <w:rPr>
                <w:sz w:val="21"/>
              </w:rPr>
            </w:pPr>
            <w:r>
              <w:rPr>
                <w:sz w:val="21"/>
              </w:rPr>
              <w:t>转出基金赎回费率（</w:t>
            </w:r>
            <w:r>
              <w:rPr>
                <w:rFonts w:ascii="Times New Roman" w:eastAsia="Times New Roman"/>
                <w:sz w:val="21"/>
              </w:rPr>
              <w:t>D</w:t>
            </w:r>
            <w:r>
              <w:rPr>
                <w:sz w:val="21"/>
              </w:rPr>
              <w:t>）</w:t>
            </w:r>
          </w:p>
        </w:tc>
        <w:tc>
          <w:tcPr>
            <w:tcW w:w="3212" w:type="dxa"/>
          </w:tcPr>
          <w:p>
            <w:pPr>
              <w:pStyle w:val="TableParagraph"/>
              <w:spacing w:before="39"/>
              <w:ind w:right="93"/>
              <w:jc w:val="right"/>
              <w:rPr>
                <w:rFonts w:ascii="Times New Roman"/>
                <w:sz w:val="21"/>
              </w:rPr>
            </w:pPr>
            <w:r>
              <w:rPr>
                <w:rFonts w:ascii="Times New Roman"/>
                <w:sz w:val="21"/>
              </w:rPr>
              <w:t>0.5%</w:t>
            </w:r>
          </w:p>
        </w:tc>
      </w:tr>
      <w:tr>
        <w:trPr>
          <w:trHeight w:val="316" w:hRule="atLeast"/>
        </w:trPr>
        <w:tc>
          <w:tcPr>
            <w:tcW w:w="4266" w:type="dxa"/>
          </w:tcPr>
          <w:p>
            <w:pPr>
              <w:pStyle w:val="TableParagraph"/>
              <w:ind w:left="105"/>
              <w:rPr>
                <w:sz w:val="21"/>
              </w:rPr>
            </w:pPr>
            <w:r>
              <w:rPr>
                <w:sz w:val="21"/>
              </w:rPr>
              <w:t>转出基金费用（</w:t>
            </w:r>
            <w:r>
              <w:rPr>
                <w:rFonts w:ascii="Times New Roman" w:eastAsia="Times New Roman"/>
                <w:sz w:val="21"/>
              </w:rPr>
              <w:t>E=C*D</w:t>
            </w:r>
            <w:r>
              <w:rPr>
                <w:sz w:val="21"/>
              </w:rPr>
              <w:t>）</w:t>
            </w:r>
          </w:p>
        </w:tc>
        <w:tc>
          <w:tcPr>
            <w:tcW w:w="3212" w:type="dxa"/>
          </w:tcPr>
          <w:p>
            <w:pPr>
              <w:pStyle w:val="TableParagraph"/>
              <w:spacing w:before="36"/>
              <w:ind w:right="94"/>
              <w:jc w:val="right"/>
              <w:rPr>
                <w:rFonts w:ascii="Times New Roman"/>
                <w:sz w:val="21"/>
              </w:rPr>
            </w:pPr>
            <w:r>
              <w:rPr>
                <w:rFonts w:ascii="Times New Roman"/>
                <w:sz w:val="21"/>
              </w:rPr>
              <w:t>60,000.00</w:t>
            </w:r>
          </w:p>
        </w:tc>
      </w:tr>
      <w:tr>
        <w:trPr>
          <w:trHeight w:val="316" w:hRule="atLeast"/>
        </w:trPr>
        <w:tc>
          <w:tcPr>
            <w:tcW w:w="4266" w:type="dxa"/>
          </w:tcPr>
          <w:p>
            <w:pPr>
              <w:pStyle w:val="TableParagraph"/>
              <w:ind w:left="105"/>
              <w:rPr>
                <w:sz w:val="21"/>
              </w:rPr>
            </w:pPr>
            <w:r>
              <w:rPr>
                <w:sz w:val="21"/>
              </w:rPr>
              <w:t>转换金额（</w:t>
            </w:r>
            <w:r>
              <w:rPr>
                <w:rFonts w:ascii="Times New Roman" w:eastAsia="Times New Roman"/>
                <w:sz w:val="21"/>
              </w:rPr>
              <w:t>F=C-E</w:t>
            </w:r>
            <w:r>
              <w:rPr>
                <w:sz w:val="21"/>
              </w:rPr>
              <w:t>）</w:t>
            </w:r>
          </w:p>
        </w:tc>
        <w:tc>
          <w:tcPr>
            <w:tcW w:w="3212" w:type="dxa"/>
          </w:tcPr>
          <w:p>
            <w:pPr>
              <w:pStyle w:val="TableParagraph"/>
              <w:spacing w:before="36"/>
              <w:ind w:right="94"/>
              <w:jc w:val="right"/>
              <w:rPr>
                <w:rFonts w:ascii="Times New Roman"/>
                <w:sz w:val="21"/>
              </w:rPr>
            </w:pPr>
            <w:r>
              <w:rPr>
                <w:rFonts w:ascii="Times New Roman"/>
                <w:sz w:val="21"/>
              </w:rPr>
              <w:t>11,940,000.00</w:t>
            </w:r>
          </w:p>
        </w:tc>
      </w:tr>
      <w:tr>
        <w:trPr>
          <w:trHeight w:val="316" w:hRule="atLeast"/>
        </w:trPr>
        <w:tc>
          <w:tcPr>
            <w:tcW w:w="4266" w:type="dxa"/>
          </w:tcPr>
          <w:p>
            <w:pPr>
              <w:pStyle w:val="TableParagraph"/>
              <w:ind w:left="105"/>
              <w:rPr>
                <w:sz w:val="21"/>
              </w:rPr>
            </w:pPr>
            <w:r>
              <w:rPr>
                <w:sz w:val="21"/>
              </w:rPr>
              <w:t>转入时收取申购费率（</w:t>
            </w:r>
            <w:r>
              <w:rPr>
                <w:rFonts w:ascii="Times New Roman" w:eastAsia="Times New Roman"/>
                <w:sz w:val="21"/>
              </w:rPr>
              <w:t>G</w:t>
            </w:r>
            <w:r>
              <w:rPr>
                <w:sz w:val="21"/>
              </w:rPr>
              <w:t>）</w:t>
            </w:r>
          </w:p>
        </w:tc>
        <w:tc>
          <w:tcPr>
            <w:tcW w:w="3212" w:type="dxa"/>
          </w:tcPr>
          <w:p>
            <w:pPr>
              <w:pStyle w:val="TableParagraph"/>
              <w:spacing w:before="36"/>
              <w:ind w:right="94"/>
              <w:jc w:val="right"/>
              <w:rPr>
                <w:rFonts w:ascii="Times New Roman"/>
                <w:sz w:val="21"/>
              </w:rPr>
            </w:pPr>
            <w:r>
              <w:rPr>
                <w:rFonts w:ascii="Times New Roman"/>
                <w:sz w:val="21"/>
              </w:rPr>
              <w:t>1.5%-1.2%=0.3%</w:t>
            </w:r>
          </w:p>
        </w:tc>
      </w:tr>
      <w:tr>
        <w:trPr>
          <w:trHeight w:val="318" w:hRule="atLeast"/>
        </w:trPr>
        <w:tc>
          <w:tcPr>
            <w:tcW w:w="4266" w:type="dxa"/>
          </w:tcPr>
          <w:p>
            <w:pPr>
              <w:pStyle w:val="TableParagraph"/>
              <w:spacing w:before="27"/>
              <w:ind w:left="105"/>
              <w:rPr>
                <w:sz w:val="21"/>
              </w:rPr>
            </w:pPr>
            <w:r>
              <w:rPr>
                <w:sz w:val="21"/>
              </w:rPr>
              <w:t>净转入金额（</w:t>
            </w:r>
            <w:r>
              <w:rPr>
                <w:rFonts w:ascii="Times New Roman" w:eastAsia="Times New Roman"/>
                <w:sz w:val="21"/>
              </w:rPr>
              <w:t>H=F/</w:t>
            </w:r>
            <w:r>
              <w:rPr>
                <w:sz w:val="21"/>
              </w:rPr>
              <w:t>(</w:t>
            </w:r>
            <w:r>
              <w:rPr>
                <w:rFonts w:ascii="Times New Roman" w:eastAsia="Times New Roman"/>
                <w:sz w:val="21"/>
              </w:rPr>
              <w:t>1+G</w:t>
            </w:r>
            <w:r>
              <w:rPr>
                <w:sz w:val="21"/>
              </w:rPr>
              <w:t>)）</w:t>
            </w:r>
          </w:p>
        </w:tc>
        <w:tc>
          <w:tcPr>
            <w:tcW w:w="3212" w:type="dxa"/>
          </w:tcPr>
          <w:p>
            <w:pPr>
              <w:pStyle w:val="TableParagraph"/>
              <w:spacing w:before="39"/>
              <w:ind w:right="94"/>
              <w:jc w:val="right"/>
              <w:rPr>
                <w:rFonts w:ascii="Times New Roman"/>
                <w:sz w:val="21"/>
              </w:rPr>
            </w:pPr>
            <w:r>
              <w:rPr>
                <w:rFonts w:ascii="Times New Roman"/>
                <w:sz w:val="21"/>
              </w:rPr>
              <w:t>11,904,287.14</w:t>
            </w:r>
          </w:p>
        </w:tc>
      </w:tr>
      <w:tr>
        <w:trPr>
          <w:trHeight w:val="316" w:hRule="atLeast"/>
        </w:trPr>
        <w:tc>
          <w:tcPr>
            <w:tcW w:w="4266" w:type="dxa"/>
          </w:tcPr>
          <w:p>
            <w:pPr>
              <w:pStyle w:val="TableParagraph"/>
              <w:ind w:left="105"/>
              <w:rPr>
                <w:sz w:val="21"/>
              </w:rPr>
            </w:pPr>
            <w:r>
              <w:rPr>
                <w:sz w:val="21"/>
              </w:rPr>
              <w:t>转入基金费用（</w:t>
            </w:r>
            <w:r>
              <w:rPr>
                <w:rFonts w:ascii="Times New Roman" w:eastAsia="Times New Roman"/>
                <w:sz w:val="21"/>
              </w:rPr>
              <w:t>I=F-H</w:t>
            </w:r>
            <w:r>
              <w:rPr>
                <w:sz w:val="21"/>
              </w:rPr>
              <w:t>）</w:t>
            </w:r>
          </w:p>
        </w:tc>
        <w:tc>
          <w:tcPr>
            <w:tcW w:w="3212" w:type="dxa"/>
          </w:tcPr>
          <w:p>
            <w:pPr>
              <w:pStyle w:val="TableParagraph"/>
              <w:spacing w:before="36"/>
              <w:ind w:right="94"/>
              <w:jc w:val="right"/>
              <w:rPr>
                <w:rFonts w:ascii="Times New Roman"/>
                <w:sz w:val="21"/>
              </w:rPr>
            </w:pPr>
            <w:r>
              <w:rPr>
                <w:rFonts w:ascii="Times New Roman"/>
                <w:sz w:val="21"/>
              </w:rPr>
              <w:t>35,712.86</w:t>
            </w:r>
          </w:p>
        </w:tc>
      </w:tr>
      <w:tr>
        <w:trPr>
          <w:trHeight w:val="316" w:hRule="atLeast"/>
        </w:trPr>
        <w:tc>
          <w:tcPr>
            <w:tcW w:w="4266" w:type="dxa"/>
          </w:tcPr>
          <w:p>
            <w:pPr>
              <w:pStyle w:val="TableParagraph"/>
              <w:ind w:left="105"/>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J</w:t>
            </w:r>
            <w:r>
              <w:rPr>
                <w:sz w:val="21"/>
              </w:rPr>
              <w:t>）</w:t>
            </w:r>
          </w:p>
        </w:tc>
        <w:tc>
          <w:tcPr>
            <w:tcW w:w="3212" w:type="dxa"/>
          </w:tcPr>
          <w:p>
            <w:pPr>
              <w:pStyle w:val="TableParagraph"/>
              <w:spacing w:before="36"/>
              <w:ind w:right="94"/>
              <w:jc w:val="right"/>
              <w:rPr>
                <w:rFonts w:ascii="Times New Roman"/>
                <w:sz w:val="21"/>
              </w:rPr>
            </w:pPr>
            <w:r>
              <w:rPr>
                <w:rFonts w:ascii="Times New Roman"/>
                <w:sz w:val="21"/>
              </w:rPr>
              <w:t>1.300</w:t>
            </w:r>
          </w:p>
        </w:tc>
      </w:tr>
      <w:tr>
        <w:trPr>
          <w:trHeight w:val="318" w:hRule="atLeast"/>
        </w:trPr>
        <w:tc>
          <w:tcPr>
            <w:tcW w:w="4266" w:type="dxa"/>
          </w:tcPr>
          <w:p>
            <w:pPr>
              <w:pStyle w:val="TableParagraph"/>
              <w:ind w:left="105"/>
              <w:rPr>
                <w:sz w:val="21"/>
              </w:rPr>
            </w:pPr>
            <w:r>
              <w:rPr>
                <w:sz w:val="21"/>
              </w:rPr>
              <w:t>转入基金份额（</w:t>
            </w:r>
            <w:r>
              <w:rPr>
                <w:rFonts w:ascii="Times New Roman" w:eastAsia="Times New Roman"/>
                <w:sz w:val="21"/>
              </w:rPr>
              <w:t>K=H/J</w:t>
            </w:r>
            <w:r>
              <w:rPr>
                <w:sz w:val="21"/>
              </w:rPr>
              <w:t>）</w:t>
            </w:r>
          </w:p>
        </w:tc>
        <w:tc>
          <w:tcPr>
            <w:tcW w:w="3212" w:type="dxa"/>
          </w:tcPr>
          <w:p>
            <w:pPr>
              <w:pStyle w:val="TableParagraph"/>
              <w:spacing w:before="36"/>
              <w:ind w:right="94"/>
              <w:jc w:val="right"/>
              <w:rPr>
                <w:rFonts w:ascii="Times New Roman"/>
                <w:sz w:val="21"/>
              </w:rPr>
            </w:pPr>
            <w:r>
              <w:rPr>
                <w:rFonts w:ascii="Times New Roman"/>
                <w:sz w:val="21"/>
              </w:rPr>
              <w:t>9,157,143.95</w:t>
            </w:r>
          </w:p>
        </w:tc>
      </w:tr>
    </w:tbl>
    <w:p>
      <w:pPr>
        <w:pStyle w:val="ListParagraph"/>
        <w:numPr>
          <w:ilvl w:val="0"/>
          <w:numId w:val="21"/>
        </w:numPr>
        <w:tabs>
          <w:tab w:pos="1250" w:val="left" w:leader="none"/>
        </w:tabs>
        <w:spacing w:line="424" w:lineRule="auto" w:before="115" w:after="0"/>
        <w:ind w:left="300" w:right="873" w:firstLine="419"/>
        <w:jc w:val="both"/>
        <w:rPr>
          <w:sz w:val="21"/>
        </w:rPr>
      </w:pPr>
      <w:r>
        <w:rPr/>
        <w:pict>
          <v:shape style="position:absolute;margin-left:110.779999pt;margin-top:71.810005pt;width:374.15pt;height:202.85pt;mso-position-horizontal-relative:page;mso-position-vertical-relative:paragraph;z-index:2516705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38" w:hRule="atLeast"/>
                    </w:trPr>
                    <w:tc>
                      <w:tcPr>
                        <w:tcW w:w="4244" w:type="dxa"/>
                      </w:tcPr>
                      <w:p>
                        <w:pPr>
                          <w:pStyle w:val="TableParagraph"/>
                          <w:spacing w:before="87"/>
                          <w:ind w:left="1892" w:right="1402"/>
                          <w:jc w:val="center"/>
                          <w:rPr>
                            <w:sz w:val="21"/>
                          </w:rPr>
                        </w:pPr>
                        <w:r>
                          <w:rPr>
                            <w:sz w:val="21"/>
                          </w:rPr>
                          <w:t>项目</w:t>
                        </w:r>
                      </w:p>
                    </w:tc>
                    <w:tc>
                      <w:tcPr>
                        <w:tcW w:w="3224" w:type="dxa"/>
                      </w:tcPr>
                      <w:p>
                        <w:pPr>
                          <w:pStyle w:val="TableParagraph"/>
                          <w:spacing w:before="87"/>
                          <w:ind w:left="1432"/>
                          <w:rPr>
                            <w:sz w:val="21"/>
                          </w:rPr>
                        </w:pPr>
                        <w:r>
                          <w:rPr>
                            <w:sz w:val="21"/>
                          </w:rPr>
                          <w:t>费用计算</w:t>
                        </w:r>
                      </w:p>
                    </w:tc>
                  </w:tr>
                  <w:tr>
                    <w:trPr>
                      <w:trHeight w:val="316" w:hRule="atLeast"/>
                    </w:trPr>
                    <w:tc>
                      <w:tcPr>
                        <w:tcW w:w="4244"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24" w:type="dxa"/>
                      </w:tcPr>
                      <w:p>
                        <w:pPr>
                          <w:pStyle w:val="TableParagraph"/>
                          <w:spacing w:before="36"/>
                          <w:ind w:right="91"/>
                          <w:jc w:val="right"/>
                          <w:rPr>
                            <w:rFonts w:ascii="Times New Roman"/>
                            <w:sz w:val="21"/>
                          </w:rPr>
                        </w:pPr>
                        <w:r>
                          <w:rPr>
                            <w:rFonts w:ascii="Times New Roman"/>
                            <w:sz w:val="21"/>
                          </w:rPr>
                          <w:t>10,000,000.00</w:t>
                        </w:r>
                      </w:p>
                    </w:tc>
                  </w:tr>
                  <w:tr>
                    <w:trPr>
                      <w:trHeight w:val="316" w:hRule="atLeast"/>
                    </w:trPr>
                    <w:tc>
                      <w:tcPr>
                        <w:tcW w:w="4244"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4" w:type="dxa"/>
                      </w:tcPr>
                      <w:p>
                        <w:pPr>
                          <w:pStyle w:val="TableParagraph"/>
                          <w:spacing w:before="36"/>
                          <w:ind w:right="91"/>
                          <w:jc w:val="right"/>
                          <w:rPr>
                            <w:rFonts w:ascii="Times New Roman"/>
                            <w:sz w:val="21"/>
                          </w:rPr>
                        </w:pPr>
                        <w:r>
                          <w:rPr>
                            <w:rFonts w:ascii="Times New Roman"/>
                            <w:sz w:val="21"/>
                          </w:rPr>
                          <w:t>1.200</w:t>
                        </w:r>
                      </w:p>
                    </w:tc>
                  </w:tr>
                  <w:tr>
                    <w:trPr>
                      <w:trHeight w:val="316" w:hRule="atLeast"/>
                    </w:trPr>
                    <w:tc>
                      <w:tcPr>
                        <w:tcW w:w="4244"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24" w:type="dxa"/>
                      </w:tcPr>
                      <w:p>
                        <w:pPr>
                          <w:pStyle w:val="TableParagraph"/>
                          <w:spacing w:before="36"/>
                          <w:ind w:right="91"/>
                          <w:jc w:val="right"/>
                          <w:rPr>
                            <w:rFonts w:ascii="Times New Roman"/>
                            <w:sz w:val="21"/>
                          </w:rPr>
                        </w:pPr>
                        <w:r>
                          <w:rPr>
                            <w:rFonts w:ascii="Times New Roman"/>
                            <w:sz w:val="21"/>
                          </w:rPr>
                          <w:t>12,000,000.00</w:t>
                        </w:r>
                      </w:p>
                    </w:tc>
                  </w:tr>
                  <w:tr>
                    <w:trPr>
                      <w:trHeight w:val="318" w:hRule="atLeast"/>
                    </w:trPr>
                    <w:tc>
                      <w:tcPr>
                        <w:tcW w:w="4244" w:type="dxa"/>
                      </w:tcPr>
                      <w:p>
                        <w:pPr>
                          <w:pStyle w:val="TableParagraph"/>
                          <w:spacing w:before="27"/>
                          <w:ind w:left="107"/>
                          <w:rPr>
                            <w:sz w:val="21"/>
                          </w:rPr>
                        </w:pPr>
                        <w:r>
                          <w:rPr>
                            <w:sz w:val="21"/>
                          </w:rPr>
                          <w:t>转出基金赎回费率（</w:t>
                        </w:r>
                        <w:r>
                          <w:rPr>
                            <w:rFonts w:ascii="Times New Roman" w:eastAsia="Times New Roman"/>
                            <w:sz w:val="21"/>
                          </w:rPr>
                          <w:t>D</w:t>
                        </w:r>
                        <w:r>
                          <w:rPr>
                            <w:sz w:val="21"/>
                          </w:rPr>
                          <w:t>）</w:t>
                        </w:r>
                      </w:p>
                    </w:tc>
                    <w:tc>
                      <w:tcPr>
                        <w:tcW w:w="3224" w:type="dxa"/>
                      </w:tcPr>
                      <w:p>
                        <w:pPr>
                          <w:pStyle w:val="TableParagraph"/>
                          <w:spacing w:before="39"/>
                          <w:ind w:right="90"/>
                          <w:jc w:val="right"/>
                          <w:rPr>
                            <w:rFonts w:ascii="Times New Roman"/>
                            <w:sz w:val="21"/>
                          </w:rPr>
                        </w:pPr>
                        <w:r>
                          <w:rPr>
                            <w:rFonts w:ascii="Times New Roman"/>
                            <w:sz w:val="21"/>
                          </w:rPr>
                          <w:t>0.5%</w:t>
                        </w:r>
                      </w:p>
                    </w:tc>
                  </w:tr>
                  <w:tr>
                    <w:trPr>
                      <w:trHeight w:val="316" w:hRule="atLeast"/>
                    </w:trPr>
                    <w:tc>
                      <w:tcPr>
                        <w:tcW w:w="4244"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24" w:type="dxa"/>
                      </w:tcPr>
                      <w:p>
                        <w:pPr>
                          <w:pStyle w:val="TableParagraph"/>
                          <w:spacing w:before="37"/>
                          <w:ind w:right="91"/>
                          <w:jc w:val="right"/>
                          <w:rPr>
                            <w:rFonts w:ascii="Times New Roman"/>
                            <w:sz w:val="21"/>
                          </w:rPr>
                        </w:pPr>
                        <w:r>
                          <w:rPr>
                            <w:rFonts w:ascii="Times New Roman"/>
                            <w:sz w:val="21"/>
                          </w:rPr>
                          <w:t>60,000.00</w:t>
                        </w:r>
                      </w:p>
                    </w:tc>
                  </w:tr>
                  <w:tr>
                    <w:trPr>
                      <w:trHeight w:val="316" w:hRule="atLeast"/>
                    </w:trPr>
                    <w:tc>
                      <w:tcPr>
                        <w:tcW w:w="4244"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24" w:type="dxa"/>
                      </w:tcPr>
                      <w:p>
                        <w:pPr>
                          <w:pStyle w:val="TableParagraph"/>
                          <w:spacing w:before="36"/>
                          <w:ind w:right="91"/>
                          <w:jc w:val="right"/>
                          <w:rPr>
                            <w:rFonts w:ascii="Times New Roman"/>
                            <w:sz w:val="21"/>
                          </w:rPr>
                        </w:pPr>
                        <w:r>
                          <w:rPr>
                            <w:rFonts w:ascii="Times New Roman"/>
                            <w:sz w:val="21"/>
                          </w:rPr>
                          <w:t>11,940,000.00</w:t>
                        </w:r>
                      </w:p>
                    </w:tc>
                  </w:tr>
                  <w:tr>
                    <w:trPr>
                      <w:trHeight w:val="316" w:hRule="atLeast"/>
                    </w:trPr>
                    <w:tc>
                      <w:tcPr>
                        <w:tcW w:w="4244" w:type="dxa"/>
                      </w:tcPr>
                      <w:p>
                        <w:pPr>
                          <w:pStyle w:val="TableParagraph"/>
                          <w:ind w:left="107"/>
                          <w:rPr>
                            <w:sz w:val="21"/>
                          </w:rPr>
                        </w:pPr>
                        <w:r>
                          <w:rPr>
                            <w:sz w:val="21"/>
                          </w:rPr>
                          <w:t>转入时收取申购费率（</w:t>
                        </w:r>
                        <w:r>
                          <w:rPr>
                            <w:rFonts w:ascii="Times New Roman" w:eastAsia="Times New Roman"/>
                            <w:sz w:val="21"/>
                          </w:rPr>
                          <w:t>G</w:t>
                        </w:r>
                        <w:r>
                          <w:rPr>
                            <w:sz w:val="21"/>
                          </w:rPr>
                          <w:t>）</w:t>
                        </w:r>
                      </w:p>
                    </w:tc>
                    <w:tc>
                      <w:tcPr>
                        <w:tcW w:w="3224" w:type="dxa"/>
                      </w:tcPr>
                      <w:p>
                        <w:pPr>
                          <w:pStyle w:val="TableParagraph"/>
                          <w:spacing w:before="36"/>
                          <w:ind w:right="90"/>
                          <w:jc w:val="right"/>
                          <w:rPr>
                            <w:rFonts w:ascii="Times New Roman"/>
                            <w:sz w:val="21"/>
                          </w:rPr>
                        </w:pPr>
                        <w:r>
                          <w:rPr>
                            <w:rFonts w:ascii="Times New Roman"/>
                            <w:sz w:val="21"/>
                          </w:rPr>
                          <w:t>0.00%</w:t>
                        </w:r>
                      </w:p>
                    </w:tc>
                  </w:tr>
                  <w:tr>
                    <w:trPr>
                      <w:trHeight w:val="318" w:hRule="atLeast"/>
                    </w:trPr>
                    <w:tc>
                      <w:tcPr>
                        <w:tcW w:w="4244" w:type="dxa"/>
                      </w:tcPr>
                      <w:p>
                        <w:pPr>
                          <w:pStyle w:val="TableParagraph"/>
                          <w:spacing w:before="27"/>
                          <w:ind w:left="107"/>
                          <w:rPr>
                            <w:sz w:val="21"/>
                          </w:rPr>
                        </w:pPr>
                        <w:r>
                          <w:rPr>
                            <w:sz w:val="21"/>
                          </w:rPr>
                          <w:t>净转入金额（</w:t>
                        </w:r>
                        <w:r>
                          <w:rPr>
                            <w:rFonts w:ascii="Times New Roman" w:eastAsia="Times New Roman"/>
                            <w:sz w:val="21"/>
                          </w:rPr>
                          <w:t>H=F/</w:t>
                        </w:r>
                        <w:r>
                          <w:rPr>
                            <w:sz w:val="21"/>
                          </w:rPr>
                          <w:t>(</w:t>
                        </w:r>
                        <w:r>
                          <w:rPr>
                            <w:rFonts w:ascii="Times New Roman" w:eastAsia="Times New Roman"/>
                            <w:sz w:val="21"/>
                          </w:rPr>
                          <w:t>1+G</w:t>
                        </w:r>
                        <w:r>
                          <w:rPr>
                            <w:sz w:val="21"/>
                          </w:rPr>
                          <w:t>)）</w:t>
                        </w:r>
                      </w:p>
                    </w:tc>
                    <w:tc>
                      <w:tcPr>
                        <w:tcW w:w="3224" w:type="dxa"/>
                      </w:tcPr>
                      <w:p>
                        <w:pPr>
                          <w:pStyle w:val="TableParagraph"/>
                          <w:spacing w:before="39"/>
                          <w:ind w:right="91"/>
                          <w:jc w:val="right"/>
                          <w:rPr>
                            <w:rFonts w:ascii="Times New Roman"/>
                            <w:sz w:val="21"/>
                          </w:rPr>
                        </w:pPr>
                        <w:r>
                          <w:rPr>
                            <w:rFonts w:ascii="Times New Roman"/>
                            <w:sz w:val="21"/>
                          </w:rPr>
                          <w:t>11,940,000.00</w:t>
                        </w:r>
                      </w:p>
                    </w:tc>
                  </w:tr>
                  <w:tr>
                    <w:trPr>
                      <w:trHeight w:val="316" w:hRule="atLeast"/>
                    </w:trPr>
                    <w:tc>
                      <w:tcPr>
                        <w:tcW w:w="4244" w:type="dxa"/>
                      </w:tcPr>
                      <w:p>
                        <w:pPr>
                          <w:pStyle w:val="TableParagraph"/>
                          <w:ind w:left="107"/>
                          <w:rPr>
                            <w:sz w:val="21"/>
                          </w:rPr>
                        </w:pPr>
                        <w:r>
                          <w:rPr>
                            <w:sz w:val="21"/>
                          </w:rPr>
                          <w:t>转入基金费用（</w:t>
                        </w:r>
                        <w:r>
                          <w:rPr>
                            <w:rFonts w:ascii="Times New Roman" w:eastAsia="Times New Roman"/>
                            <w:sz w:val="21"/>
                          </w:rPr>
                          <w:t>I=F-H</w:t>
                        </w:r>
                        <w:r>
                          <w:rPr>
                            <w:sz w:val="21"/>
                          </w:rPr>
                          <w:t>）</w:t>
                        </w:r>
                      </w:p>
                    </w:tc>
                    <w:tc>
                      <w:tcPr>
                        <w:tcW w:w="3224" w:type="dxa"/>
                      </w:tcPr>
                      <w:p>
                        <w:pPr>
                          <w:pStyle w:val="TableParagraph"/>
                          <w:spacing w:before="36"/>
                          <w:ind w:right="91"/>
                          <w:jc w:val="right"/>
                          <w:rPr>
                            <w:rFonts w:ascii="Times New Roman"/>
                            <w:sz w:val="21"/>
                          </w:rPr>
                        </w:pPr>
                        <w:r>
                          <w:rPr>
                            <w:rFonts w:ascii="Times New Roman"/>
                            <w:sz w:val="21"/>
                          </w:rPr>
                          <w:t>0.00</w:t>
                        </w:r>
                      </w:p>
                    </w:tc>
                  </w:tr>
                  <w:tr>
                    <w:trPr>
                      <w:trHeight w:val="316" w:hRule="atLeast"/>
                    </w:trPr>
                    <w:tc>
                      <w:tcPr>
                        <w:tcW w:w="4244"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J</w:t>
                        </w:r>
                        <w:r>
                          <w:rPr>
                            <w:sz w:val="21"/>
                          </w:rPr>
                          <w:t>）</w:t>
                        </w:r>
                      </w:p>
                    </w:tc>
                    <w:tc>
                      <w:tcPr>
                        <w:tcW w:w="3224" w:type="dxa"/>
                      </w:tcPr>
                      <w:p>
                        <w:pPr>
                          <w:pStyle w:val="TableParagraph"/>
                          <w:spacing w:before="36"/>
                          <w:ind w:right="91"/>
                          <w:jc w:val="right"/>
                          <w:rPr>
                            <w:rFonts w:ascii="Times New Roman"/>
                            <w:sz w:val="21"/>
                          </w:rPr>
                        </w:pPr>
                        <w:r>
                          <w:rPr>
                            <w:rFonts w:ascii="Times New Roman"/>
                            <w:sz w:val="21"/>
                          </w:rPr>
                          <w:t>1.300</w:t>
                        </w:r>
                      </w:p>
                    </w:tc>
                  </w:tr>
                  <w:tr>
                    <w:trPr>
                      <w:trHeight w:val="318" w:hRule="atLeast"/>
                    </w:trPr>
                    <w:tc>
                      <w:tcPr>
                        <w:tcW w:w="4244" w:type="dxa"/>
                      </w:tcPr>
                      <w:p>
                        <w:pPr>
                          <w:pStyle w:val="TableParagraph"/>
                          <w:ind w:left="107"/>
                          <w:rPr>
                            <w:sz w:val="21"/>
                          </w:rPr>
                        </w:pPr>
                        <w:r>
                          <w:rPr>
                            <w:sz w:val="21"/>
                          </w:rPr>
                          <w:t>转入基金份额（</w:t>
                        </w:r>
                        <w:r>
                          <w:rPr>
                            <w:rFonts w:ascii="Times New Roman" w:eastAsia="Times New Roman"/>
                            <w:sz w:val="21"/>
                          </w:rPr>
                          <w:t>K=H/J</w:t>
                        </w:r>
                        <w:r>
                          <w:rPr>
                            <w:sz w:val="21"/>
                          </w:rPr>
                          <w:t>）</w:t>
                        </w:r>
                      </w:p>
                    </w:tc>
                    <w:tc>
                      <w:tcPr>
                        <w:tcW w:w="3224" w:type="dxa"/>
                      </w:tcPr>
                      <w:p>
                        <w:pPr>
                          <w:pStyle w:val="TableParagraph"/>
                          <w:spacing w:before="36"/>
                          <w:ind w:right="91"/>
                          <w:jc w:val="right"/>
                          <w:rPr>
                            <w:rFonts w:ascii="Times New Roman"/>
                            <w:sz w:val="21"/>
                          </w:rPr>
                        </w:pPr>
                        <w:r>
                          <w:rPr>
                            <w:rFonts w:ascii="Times New Roman"/>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p>
    <w:p>
      <w:pPr>
        <w:pStyle w:val="BodyText"/>
        <w:spacing w:line="424" w:lineRule="auto"/>
        <w:ind w:left="300" w:right="87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22"/>
        </w:numPr>
        <w:tabs>
          <w:tab w:pos="1250" w:val="left" w:leader="none"/>
        </w:tabs>
        <w:spacing w:line="424" w:lineRule="auto" w:before="0" w:after="0"/>
        <w:ind w:left="300" w:right="871" w:firstLine="419"/>
        <w:jc w:val="both"/>
        <w:rPr>
          <w:sz w:val="21"/>
        </w:rPr>
      </w:pPr>
      <w:r>
        <w:rPr/>
        <w:pict>
          <v:shape style="position:absolute;margin-left:111.019997pt;margin-top:66.059952pt;width:373.65pt;height:131.3pt;mso-position-horizontal-relative:page;mso-position-vertical-relative:paragraph;z-index:251671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6" w:hRule="atLeast"/>
                    </w:trPr>
                    <w:tc>
                      <w:tcPr>
                        <w:tcW w:w="4239" w:type="dxa"/>
                      </w:tcPr>
                      <w:p>
                        <w:pPr>
                          <w:pStyle w:val="TableParagraph"/>
                          <w:ind w:left="1889" w:right="1879"/>
                          <w:jc w:val="center"/>
                          <w:rPr>
                            <w:sz w:val="21"/>
                          </w:rPr>
                        </w:pPr>
                        <w:r>
                          <w:rPr>
                            <w:sz w:val="21"/>
                          </w:rPr>
                          <w:t>项目</w:t>
                        </w:r>
                      </w:p>
                    </w:tc>
                    <w:tc>
                      <w:tcPr>
                        <w:tcW w:w="3219" w:type="dxa"/>
                      </w:tcPr>
                      <w:p>
                        <w:pPr>
                          <w:pStyle w:val="TableParagraph"/>
                          <w:ind w:left="1169" w:right="1160"/>
                          <w:jc w:val="center"/>
                          <w:rPr>
                            <w:sz w:val="21"/>
                          </w:rPr>
                        </w:pPr>
                        <w:r>
                          <w:rPr>
                            <w:sz w:val="21"/>
                          </w:rPr>
                          <w:t>费用计算</w:t>
                        </w:r>
                      </w:p>
                    </w:tc>
                  </w:tr>
                  <w:tr>
                    <w:trPr>
                      <w:trHeight w:val="318" w:hRule="atLeast"/>
                    </w:trPr>
                    <w:tc>
                      <w:tcPr>
                        <w:tcW w:w="4239"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19" w:type="dxa"/>
                      </w:tcPr>
                      <w:p>
                        <w:pPr>
                          <w:pStyle w:val="TableParagraph"/>
                          <w:spacing w:before="39"/>
                          <w:ind w:right="93"/>
                          <w:jc w:val="right"/>
                          <w:rPr>
                            <w:rFonts w:ascii="Times New Roman"/>
                            <w:sz w:val="21"/>
                          </w:rPr>
                        </w:pPr>
                        <w:r>
                          <w:rPr>
                            <w:rFonts w:ascii="Times New Roman"/>
                            <w:sz w:val="21"/>
                          </w:rPr>
                          <w:t>10,000,000.00</w:t>
                        </w:r>
                      </w:p>
                    </w:tc>
                  </w:tr>
                  <w:tr>
                    <w:trPr>
                      <w:trHeight w:val="316" w:hRule="atLeast"/>
                    </w:trPr>
                    <w:tc>
                      <w:tcPr>
                        <w:tcW w:w="4239"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9" w:type="dxa"/>
                      </w:tcPr>
                      <w:p>
                        <w:pPr>
                          <w:pStyle w:val="TableParagraph"/>
                          <w:spacing w:before="36"/>
                          <w:ind w:right="93"/>
                          <w:jc w:val="right"/>
                          <w:rPr>
                            <w:rFonts w:ascii="Times New Roman"/>
                            <w:sz w:val="21"/>
                          </w:rPr>
                        </w:pPr>
                        <w:r>
                          <w:rPr>
                            <w:rFonts w:ascii="Times New Roman"/>
                            <w:sz w:val="21"/>
                          </w:rPr>
                          <w:t>1.200</w:t>
                        </w:r>
                      </w:p>
                    </w:tc>
                  </w:tr>
                  <w:tr>
                    <w:trPr>
                      <w:trHeight w:val="316" w:hRule="atLeast"/>
                    </w:trPr>
                    <w:tc>
                      <w:tcPr>
                        <w:tcW w:w="4239"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9" w:type="dxa"/>
                      </w:tcPr>
                      <w:p>
                        <w:pPr>
                          <w:pStyle w:val="TableParagraph"/>
                          <w:spacing w:before="36"/>
                          <w:ind w:right="93"/>
                          <w:jc w:val="right"/>
                          <w:rPr>
                            <w:rFonts w:ascii="Times New Roman"/>
                            <w:sz w:val="21"/>
                          </w:rPr>
                        </w:pPr>
                        <w:r>
                          <w:rPr>
                            <w:rFonts w:ascii="Times New Roman"/>
                            <w:sz w:val="21"/>
                          </w:rPr>
                          <w:t>12,000,000.00</w:t>
                        </w:r>
                      </w:p>
                    </w:tc>
                  </w:tr>
                  <w:tr>
                    <w:trPr>
                      <w:trHeight w:val="316" w:hRule="atLeast"/>
                    </w:trPr>
                    <w:tc>
                      <w:tcPr>
                        <w:tcW w:w="4239"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19" w:type="dxa"/>
                      </w:tcPr>
                      <w:p>
                        <w:pPr>
                          <w:pStyle w:val="TableParagraph"/>
                          <w:spacing w:before="36"/>
                          <w:ind w:right="92"/>
                          <w:jc w:val="right"/>
                          <w:rPr>
                            <w:rFonts w:ascii="Times New Roman"/>
                            <w:sz w:val="21"/>
                          </w:rPr>
                        </w:pPr>
                        <w:r>
                          <w:rPr>
                            <w:rFonts w:ascii="Times New Roman"/>
                            <w:sz w:val="21"/>
                          </w:rPr>
                          <w:t>0.5%</w:t>
                        </w:r>
                      </w:p>
                    </w:tc>
                  </w:tr>
                  <w:tr>
                    <w:trPr>
                      <w:trHeight w:val="318" w:hRule="atLeast"/>
                    </w:trPr>
                    <w:tc>
                      <w:tcPr>
                        <w:tcW w:w="4239" w:type="dxa"/>
                      </w:tcPr>
                      <w:p>
                        <w:pPr>
                          <w:pStyle w:val="TableParagraph"/>
                          <w:spacing w:before="27"/>
                          <w:ind w:left="107"/>
                          <w:rPr>
                            <w:sz w:val="21"/>
                          </w:rPr>
                        </w:pPr>
                        <w:r>
                          <w:rPr>
                            <w:sz w:val="21"/>
                          </w:rPr>
                          <w:t>转出基金费用（</w:t>
                        </w:r>
                        <w:r>
                          <w:rPr>
                            <w:rFonts w:ascii="Times New Roman" w:eastAsia="Times New Roman"/>
                            <w:sz w:val="21"/>
                          </w:rPr>
                          <w:t>E=C*D</w:t>
                        </w:r>
                        <w:r>
                          <w:rPr>
                            <w:sz w:val="21"/>
                          </w:rPr>
                          <w:t>）</w:t>
                        </w:r>
                      </w:p>
                    </w:tc>
                    <w:tc>
                      <w:tcPr>
                        <w:tcW w:w="3219" w:type="dxa"/>
                      </w:tcPr>
                      <w:p>
                        <w:pPr>
                          <w:pStyle w:val="TableParagraph"/>
                          <w:spacing w:before="39"/>
                          <w:ind w:right="93"/>
                          <w:jc w:val="right"/>
                          <w:rPr>
                            <w:rFonts w:ascii="Times New Roman"/>
                            <w:sz w:val="21"/>
                          </w:rPr>
                        </w:pPr>
                        <w:r>
                          <w:rPr>
                            <w:rFonts w:ascii="Times New Roman"/>
                            <w:sz w:val="21"/>
                          </w:rPr>
                          <w:t>60,000.00</w:t>
                        </w:r>
                      </w:p>
                    </w:tc>
                  </w:tr>
                  <w:tr>
                    <w:trPr>
                      <w:trHeight w:val="316" w:hRule="atLeast"/>
                    </w:trPr>
                    <w:tc>
                      <w:tcPr>
                        <w:tcW w:w="4239"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19" w:type="dxa"/>
                      </w:tcPr>
                      <w:p>
                        <w:pPr>
                          <w:pStyle w:val="TableParagraph"/>
                          <w:spacing w:before="37"/>
                          <w:ind w:right="93"/>
                          <w:jc w:val="right"/>
                          <w:rPr>
                            <w:rFonts w:ascii="Times New Roman"/>
                            <w:sz w:val="21"/>
                          </w:rPr>
                        </w:pPr>
                        <w:r>
                          <w:rPr>
                            <w:rFonts w:ascii="Times New Roman"/>
                            <w:sz w:val="21"/>
                          </w:rPr>
                          <w:t>11,940,000.00</w:t>
                        </w:r>
                      </w:p>
                    </w:tc>
                  </w:tr>
                  <w:tr>
                    <w:trPr>
                      <w:trHeight w:val="316" w:hRule="atLeast"/>
                    </w:trPr>
                    <w:tc>
                      <w:tcPr>
                        <w:tcW w:w="4239"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19" w:type="dxa"/>
                      </w:tcPr>
                      <w:p>
                        <w:pPr>
                          <w:pStyle w:val="TableParagraph"/>
                          <w:spacing w:before="36"/>
                          <w:ind w:right="93"/>
                          <w:jc w:val="right"/>
                          <w:rPr>
                            <w:rFonts w:ascii="Times New Roman"/>
                            <w:sz w:val="21"/>
                          </w:rPr>
                        </w:pPr>
                        <w:r>
                          <w:rPr>
                            <w:rFonts w:ascii="Times New Roman"/>
                            <w:sz w:val="21"/>
                          </w:rPr>
                          <w:t>1,000-500=500.00</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spacing w:after="0" w:line="424" w:lineRule="auto"/>
        <w:jc w:val="both"/>
        <w:rPr>
          <w:sz w:val="21"/>
        </w:rPr>
        <w:sectPr>
          <w:pgSz w:w="11910" w:h="16840"/>
          <w:pgMar w:header="701" w:footer="683" w:top="1420" w:bottom="880" w:left="1500" w:right="92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6" w:hRule="atLeast"/>
        </w:trPr>
        <w:tc>
          <w:tcPr>
            <w:tcW w:w="4239"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19" w:type="dxa"/>
          </w:tcPr>
          <w:p>
            <w:pPr>
              <w:pStyle w:val="TableParagraph"/>
              <w:spacing w:before="37"/>
              <w:ind w:right="93"/>
              <w:jc w:val="right"/>
              <w:rPr>
                <w:rFonts w:ascii="Times New Roman"/>
                <w:sz w:val="21"/>
              </w:rPr>
            </w:pPr>
            <w:r>
              <w:rPr>
                <w:rFonts w:ascii="Times New Roman"/>
                <w:sz w:val="21"/>
              </w:rPr>
              <w:t>11,939,500.00</w:t>
            </w:r>
          </w:p>
        </w:tc>
      </w:tr>
      <w:tr>
        <w:trPr>
          <w:trHeight w:val="316" w:hRule="atLeast"/>
        </w:trPr>
        <w:tc>
          <w:tcPr>
            <w:tcW w:w="4239"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19" w:type="dxa"/>
          </w:tcPr>
          <w:p>
            <w:pPr>
              <w:pStyle w:val="TableParagraph"/>
              <w:spacing w:before="36"/>
              <w:ind w:right="93"/>
              <w:jc w:val="right"/>
              <w:rPr>
                <w:rFonts w:ascii="Times New Roman"/>
                <w:sz w:val="21"/>
              </w:rPr>
            </w:pPr>
            <w:r>
              <w:rPr>
                <w:rFonts w:ascii="Times New Roman"/>
                <w:sz w:val="21"/>
              </w:rPr>
              <w:t>1.300</w:t>
            </w:r>
          </w:p>
        </w:tc>
      </w:tr>
      <w:tr>
        <w:trPr>
          <w:trHeight w:val="318" w:hRule="atLeast"/>
        </w:trPr>
        <w:tc>
          <w:tcPr>
            <w:tcW w:w="4239" w:type="dxa"/>
          </w:tcPr>
          <w:p>
            <w:pPr>
              <w:pStyle w:val="TableParagraph"/>
              <w:spacing w:before="27"/>
              <w:ind w:left="107"/>
              <w:rPr>
                <w:sz w:val="21"/>
              </w:rPr>
            </w:pPr>
            <w:r>
              <w:rPr>
                <w:sz w:val="21"/>
              </w:rPr>
              <w:t>转入基金份额（</w:t>
            </w:r>
            <w:r>
              <w:rPr>
                <w:rFonts w:ascii="Times New Roman" w:eastAsia="Times New Roman"/>
                <w:sz w:val="21"/>
              </w:rPr>
              <w:t>J=H/I</w:t>
            </w:r>
            <w:r>
              <w:rPr>
                <w:sz w:val="21"/>
              </w:rPr>
              <w:t>）</w:t>
            </w:r>
          </w:p>
        </w:tc>
        <w:tc>
          <w:tcPr>
            <w:tcW w:w="3219" w:type="dxa"/>
          </w:tcPr>
          <w:p>
            <w:pPr>
              <w:pStyle w:val="TableParagraph"/>
              <w:spacing w:before="39"/>
              <w:ind w:right="93"/>
              <w:jc w:val="right"/>
              <w:rPr>
                <w:rFonts w:ascii="Times New Roman"/>
                <w:sz w:val="21"/>
              </w:rPr>
            </w:pPr>
            <w:r>
              <w:rPr>
                <w:rFonts w:ascii="Times New Roman"/>
                <w:sz w:val="21"/>
              </w:rPr>
              <w:t>9,184,230.77</w:t>
            </w:r>
          </w:p>
        </w:tc>
      </w:tr>
    </w:tbl>
    <w:p>
      <w:pPr>
        <w:pStyle w:val="ListParagraph"/>
        <w:numPr>
          <w:ilvl w:val="0"/>
          <w:numId w:val="22"/>
        </w:numPr>
        <w:tabs>
          <w:tab w:pos="1250" w:val="left" w:leader="none"/>
        </w:tabs>
        <w:spacing w:line="424" w:lineRule="auto" w:before="114" w:after="0"/>
        <w:ind w:left="300" w:right="871" w:firstLine="419"/>
        <w:jc w:val="both"/>
        <w:rPr>
          <w:sz w:val="21"/>
        </w:rPr>
      </w:pPr>
      <w:r>
        <w:rPr/>
        <w:pict>
          <v:shape style="position:absolute;margin-left:111.379997pt;margin-top:71.759995pt;width:372.8pt;height:180.4pt;mso-position-horizontal-relative:page;mso-position-vertical-relative:paragraph;z-index:2516725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8" w:hRule="atLeast"/>
                    </w:trPr>
                    <w:tc>
                      <w:tcPr>
                        <w:tcW w:w="4232" w:type="dxa"/>
                      </w:tcPr>
                      <w:p>
                        <w:pPr>
                          <w:pStyle w:val="TableParagraph"/>
                          <w:ind w:left="1642" w:right="1635"/>
                          <w:jc w:val="center"/>
                          <w:rPr>
                            <w:sz w:val="21"/>
                          </w:rPr>
                        </w:pPr>
                        <w:r>
                          <w:rPr>
                            <w:sz w:val="21"/>
                          </w:rPr>
                          <w:t>项目</w:t>
                        </w:r>
                      </w:p>
                    </w:tc>
                    <w:tc>
                      <w:tcPr>
                        <w:tcW w:w="3209" w:type="dxa"/>
                      </w:tcPr>
                      <w:p>
                        <w:pPr>
                          <w:pStyle w:val="TableParagraph"/>
                          <w:ind w:left="1166" w:right="1152"/>
                          <w:jc w:val="center"/>
                          <w:rPr>
                            <w:sz w:val="21"/>
                          </w:rPr>
                        </w:pPr>
                        <w:r>
                          <w:rPr>
                            <w:sz w:val="21"/>
                          </w:rPr>
                          <w:t>费用计算</w:t>
                        </w:r>
                      </w:p>
                    </w:tc>
                  </w:tr>
                  <w:tr>
                    <w:trPr>
                      <w:trHeight w:val="316" w:hRule="atLeast"/>
                    </w:trPr>
                    <w:tc>
                      <w:tcPr>
                        <w:tcW w:w="4232"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09" w:type="dxa"/>
                      </w:tcPr>
                      <w:p>
                        <w:pPr>
                          <w:pStyle w:val="TableParagraph"/>
                          <w:spacing w:before="36"/>
                          <w:ind w:right="91"/>
                          <w:jc w:val="right"/>
                          <w:rPr>
                            <w:rFonts w:ascii="Times New Roman"/>
                            <w:sz w:val="21"/>
                          </w:rPr>
                        </w:pPr>
                        <w:r>
                          <w:rPr>
                            <w:rFonts w:ascii="Times New Roman"/>
                            <w:sz w:val="21"/>
                          </w:rPr>
                          <w:t>10,000,000.00</w:t>
                        </w:r>
                      </w:p>
                    </w:tc>
                  </w:tr>
                  <w:tr>
                    <w:trPr>
                      <w:trHeight w:val="317" w:hRule="atLeast"/>
                    </w:trPr>
                    <w:tc>
                      <w:tcPr>
                        <w:tcW w:w="4232"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09" w:type="dxa"/>
                      </w:tcPr>
                      <w:p>
                        <w:pPr>
                          <w:pStyle w:val="TableParagraph"/>
                          <w:spacing w:before="36"/>
                          <w:ind w:right="90"/>
                          <w:jc w:val="right"/>
                          <w:rPr>
                            <w:rFonts w:ascii="Times New Roman"/>
                            <w:sz w:val="21"/>
                          </w:rPr>
                        </w:pPr>
                        <w:r>
                          <w:rPr>
                            <w:rFonts w:ascii="Times New Roman"/>
                            <w:sz w:val="21"/>
                          </w:rPr>
                          <w:t>1.200</w:t>
                        </w:r>
                      </w:p>
                    </w:tc>
                  </w:tr>
                  <w:tr>
                    <w:trPr>
                      <w:trHeight w:val="316" w:hRule="atLeast"/>
                    </w:trPr>
                    <w:tc>
                      <w:tcPr>
                        <w:tcW w:w="4232"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09" w:type="dxa"/>
                      </w:tcPr>
                      <w:p>
                        <w:pPr>
                          <w:pStyle w:val="TableParagraph"/>
                          <w:spacing w:before="36"/>
                          <w:ind w:right="91"/>
                          <w:jc w:val="right"/>
                          <w:rPr>
                            <w:rFonts w:ascii="Times New Roman"/>
                            <w:sz w:val="21"/>
                          </w:rPr>
                        </w:pPr>
                        <w:r>
                          <w:rPr>
                            <w:rFonts w:ascii="Times New Roman"/>
                            <w:sz w:val="21"/>
                          </w:rPr>
                          <w:t>12,000,000.00</w:t>
                        </w:r>
                      </w:p>
                    </w:tc>
                  </w:tr>
                  <w:tr>
                    <w:trPr>
                      <w:trHeight w:val="318" w:hRule="atLeast"/>
                    </w:trPr>
                    <w:tc>
                      <w:tcPr>
                        <w:tcW w:w="4232"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09" w:type="dxa"/>
                      </w:tcPr>
                      <w:p>
                        <w:pPr>
                          <w:pStyle w:val="TableParagraph"/>
                          <w:spacing w:before="36"/>
                          <w:ind w:right="90"/>
                          <w:jc w:val="right"/>
                          <w:rPr>
                            <w:rFonts w:ascii="Times New Roman"/>
                            <w:sz w:val="21"/>
                          </w:rPr>
                        </w:pPr>
                        <w:r>
                          <w:rPr>
                            <w:rFonts w:ascii="Times New Roman"/>
                            <w:sz w:val="21"/>
                          </w:rPr>
                          <w:t>0.5%</w:t>
                        </w:r>
                      </w:p>
                    </w:tc>
                  </w:tr>
                  <w:tr>
                    <w:trPr>
                      <w:trHeight w:val="316" w:hRule="atLeast"/>
                    </w:trPr>
                    <w:tc>
                      <w:tcPr>
                        <w:tcW w:w="4232"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09" w:type="dxa"/>
                      </w:tcPr>
                      <w:p>
                        <w:pPr>
                          <w:pStyle w:val="TableParagraph"/>
                          <w:spacing w:before="36"/>
                          <w:ind w:right="91"/>
                          <w:jc w:val="right"/>
                          <w:rPr>
                            <w:rFonts w:ascii="Times New Roman"/>
                            <w:sz w:val="21"/>
                          </w:rPr>
                        </w:pPr>
                        <w:r>
                          <w:rPr>
                            <w:rFonts w:ascii="Times New Roman"/>
                            <w:sz w:val="21"/>
                          </w:rPr>
                          <w:t>60,000.00</w:t>
                        </w:r>
                      </w:p>
                    </w:tc>
                  </w:tr>
                  <w:tr>
                    <w:trPr>
                      <w:trHeight w:val="316" w:hRule="atLeast"/>
                    </w:trPr>
                    <w:tc>
                      <w:tcPr>
                        <w:tcW w:w="4232"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09" w:type="dxa"/>
                      </w:tcPr>
                      <w:p>
                        <w:pPr>
                          <w:pStyle w:val="TableParagraph"/>
                          <w:spacing w:before="36"/>
                          <w:ind w:right="91"/>
                          <w:jc w:val="right"/>
                          <w:rPr>
                            <w:rFonts w:ascii="Times New Roman"/>
                            <w:sz w:val="21"/>
                          </w:rPr>
                        </w:pPr>
                        <w:r>
                          <w:rPr>
                            <w:rFonts w:ascii="Times New Roman"/>
                            <w:sz w:val="21"/>
                          </w:rPr>
                          <w:t>11,940,000.00</w:t>
                        </w:r>
                      </w:p>
                    </w:tc>
                  </w:tr>
                  <w:tr>
                    <w:trPr>
                      <w:trHeight w:val="316" w:hRule="atLeast"/>
                    </w:trPr>
                    <w:tc>
                      <w:tcPr>
                        <w:tcW w:w="4232"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09" w:type="dxa"/>
                      </w:tcPr>
                      <w:p>
                        <w:pPr>
                          <w:pStyle w:val="TableParagraph"/>
                          <w:spacing w:before="36"/>
                          <w:ind w:right="90"/>
                          <w:jc w:val="right"/>
                          <w:rPr>
                            <w:rFonts w:ascii="Times New Roman"/>
                            <w:sz w:val="21"/>
                          </w:rPr>
                        </w:pPr>
                        <w:r>
                          <w:rPr>
                            <w:rFonts w:ascii="Times New Roman"/>
                            <w:sz w:val="21"/>
                          </w:rPr>
                          <w:t>0.00</w:t>
                        </w:r>
                      </w:p>
                    </w:tc>
                  </w:tr>
                  <w:tr>
                    <w:trPr>
                      <w:trHeight w:val="318" w:hRule="atLeast"/>
                    </w:trPr>
                    <w:tc>
                      <w:tcPr>
                        <w:tcW w:w="4232"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09" w:type="dxa"/>
                      </w:tcPr>
                      <w:p>
                        <w:pPr>
                          <w:pStyle w:val="TableParagraph"/>
                          <w:spacing w:before="36"/>
                          <w:ind w:right="91"/>
                          <w:jc w:val="right"/>
                          <w:rPr>
                            <w:rFonts w:ascii="Times New Roman"/>
                            <w:sz w:val="21"/>
                          </w:rPr>
                        </w:pPr>
                        <w:r>
                          <w:rPr>
                            <w:rFonts w:ascii="Times New Roman"/>
                            <w:sz w:val="21"/>
                          </w:rPr>
                          <w:t>11,940,000.00</w:t>
                        </w:r>
                      </w:p>
                    </w:tc>
                  </w:tr>
                  <w:tr>
                    <w:trPr>
                      <w:trHeight w:val="316" w:hRule="atLeast"/>
                    </w:trPr>
                    <w:tc>
                      <w:tcPr>
                        <w:tcW w:w="4232"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09" w:type="dxa"/>
                      </w:tcPr>
                      <w:p>
                        <w:pPr>
                          <w:pStyle w:val="TableParagraph"/>
                          <w:spacing w:before="36"/>
                          <w:ind w:right="90"/>
                          <w:jc w:val="right"/>
                          <w:rPr>
                            <w:rFonts w:ascii="Times New Roman"/>
                            <w:sz w:val="21"/>
                          </w:rPr>
                        </w:pPr>
                        <w:r>
                          <w:rPr>
                            <w:rFonts w:ascii="Times New Roman"/>
                            <w:sz w:val="21"/>
                          </w:rPr>
                          <w:t>1.300</w:t>
                        </w:r>
                      </w:p>
                    </w:tc>
                  </w:tr>
                  <w:tr>
                    <w:trPr>
                      <w:trHeight w:val="316" w:hRule="atLeast"/>
                    </w:trPr>
                    <w:tc>
                      <w:tcPr>
                        <w:tcW w:w="4232" w:type="dxa"/>
                      </w:tcPr>
                      <w:p>
                        <w:pPr>
                          <w:pStyle w:val="TableParagraph"/>
                          <w:ind w:left="107"/>
                          <w:rPr>
                            <w:sz w:val="21"/>
                          </w:rPr>
                        </w:pPr>
                        <w:r>
                          <w:rPr>
                            <w:sz w:val="21"/>
                          </w:rPr>
                          <w:t>转入基金份额（</w:t>
                        </w:r>
                        <w:r>
                          <w:rPr>
                            <w:rFonts w:ascii="Times New Roman" w:eastAsia="Times New Roman"/>
                            <w:sz w:val="21"/>
                          </w:rPr>
                          <w:t>J=H/I</w:t>
                        </w:r>
                        <w:r>
                          <w:rPr>
                            <w:sz w:val="21"/>
                          </w:rPr>
                          <w:t>）</w:t>
                        </w:r>
                      </w:p>
                    </w:tc>
                    <w:tc>
                      <w:tcPr>
                        <w:tcW w:w="3209" w:type="dxa"/>
                      </w:tcPr>
                      <w:p>
                        <w:pPr>
                          <w:pStyle w:val="TableParagraph"/>
                          <w:spacing w:before="36"/>
                          <w:ind w:right="90"/>
                          <w:jc w:val="right"/>
                          <w:rPr>
                            <w:rFonts w:ascii="Times New Roman"/>
                            <w:sz w:val="21"/>
                          </w:rPr>
                        </w:pPr>
                        <w:r>
                          <w:rPr>
                            <w:rFonts w:ascii="Times New Roman"/>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pStyle w:val="BodyText"/>
        <w:ind w:left="72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2"/>
        <w:rPr>
          <w:sz w:val="16"/>
        </w:rPr>
      </w:pPr>
    </w:p>
    <w:p>
      <w:pPr>
        <w:pStyle w:val="BodyText"/>
        <w:spacing w:line="424" w:lineRule="auto"/>
        <w:ind w:left="300" w:right="872"/>
        <w:jc w:val="both"/>
      </w:pPr>
      <w:r>
        <w:rPr/>
        <w:pict>
          <v:shape style="position:absolute;margin-left:111.260002pt;margin-top:66.180pt;width:373.2pt;height:186.4pt;mso-position-horizontal-relative:page;mso-position-vertical-relative:paragraph;z-index:2516736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36" w:hRule="atLeast"/>
                    </w:trPr>
                    <w:tc>
                      <w:tcPr>
                        <w:tcW w:w="4235" w:type="dxa"/>
                      </w:tcPr>
                      <w:p>
                        <w:pPr>
                          <w:pStyle w:val="TableParagraph"/>
                          <w:spacing w:before="87"/>
                          <w:ind w:left="2127" w:right="1638"/>
                          <w:jc w:val="center"/>
                          <w:rPr>
                            <w:sz w:val="21"/>
                          </w:rPr>
                        </w:pPr>
                        <w:r>
                          <w:rPr>
                            <w:sz w:val="21"/>
                          </w:rPr>
                          <w:t>项目</w:t>
                        </w:r>
                      </w:p>
                    </w:tc>
                    <w:tc>
                      <w:tcPr>
                        <w:tcW w:w="3215" w:type="dxa"/>
                      </w:tcPr>
                      <w:p>
                        <w:pPr>
                          <w:pStyle w:val="TableParagraph"/>
                          <w:spacing w:before="87"/>
                          <w:ind w:left="1427"/>
                          <w:rPr>
                            <w:sz w:val="21"/>
                          </w:rPr>
                        </w:pPr>
                        <w:r>
                          <w:rPr>
                            <w:sz w:val="21"/>
                          </w:rPr>
                          <w:t>费用计算</w:t>
                        </w:r>
                      </w:p>
                    </w:tc>
                  </w:tr>
                  <w:tr>
                    <w:trPr>
                      <w:trHeight w:val="318" w:hRule="atLeast"/>
                    </w:trPr>
                    <w:tc>
                      <w:tcPr>
                        <w:tcW w:w="4235"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15" w:type="dxa"/>
                      </w:tcPr>
                      <w:p>
                        <w:pPr>
                          <w:pStyle w:val="TableParagraph"/>
                          <w:spacing w:before="39"/>
                          <w:ind w:right="93"/>
                          <w:jc w:val="right"/>
                          <w:rPr>
                            <w:rFonts w:ascii="Times New Roman"/>
                            <w:sz w:val="21"/>
                          </w:rPr>
                        </w:pPr>
                        <w:r>
                          <w:rPr>
                            <w:rFonts w:ascii="Times New Roman"/>
                            <w:sz w:val="21"/>
                          </w:rPr>
                          <w:t>10,000,000.00</w:t>
                        </w:r>
                      </w:p>
                    </w:tc>
                  </w:tr>
                  <w:tr>
                    <w:trPr>
                      <w:trHeight w:val="316" w:hRule="atLeast"/>
                    </w:trPr>
                    <w:tc>
                      <w:tcPr>
                        <w:tcW w:w="4235"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5" w:type="dxa"/>
                      </w:tcPr>
                      <w:p>
                        <w:pPr>
                          <w:pStyle w:val="TableParagraph"/>
                          <w:spacing w:before="36"/>
                          <w:ind w:right="92"/>
                          <w:jc w:val="right"/>
                          <w:rPr>
                            <w:rFonts w:ascii="Times New Roman"/>
                            <w:sz w:val="21"/>
                          </w:rPr>
                        </w:pPr>
                        <w:r>
                          <w:rPr>
                            <w:rFonts w:ascii="Times New Roman"/>
                            <w:sz w:val="21"/>
                          </w:rPr>
                          <w:t>1.200</w:t>
                        </w:r>
                      </w:p>
                    </w:tc>
                  </w:tr>
                  <w:tr>
                    <w:trPr>
                      <w:trHeight w:val="316" w:hRule="atLeast"/>
                    </w:trPr>
                    <w:tc>
                      <w:tcPr>
                        <w:tcW w:w="4235"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5" w:type="dxa"/>
                      </w:tcPr>
                      <w:p>
                        <w:pPr>
                          <w:pStyle w:val="TableParagraph"/>
                          <w:spacing w:before="36"/>
                          <w:ind w:right="93"/>
                          <w:jc w:val="right"/>
                          <w:rPr>
                            <w:rFonts w:ascii="Times New Roman"/>
                            <w:sz w:val="21"/>
                          </w:rPr>
                        </w:pPr>
                        <w:r>
                          <w:rPr>
                            <w:rFonts w:ascii="Times New Roman"/>
                            <w:sz w:val="21"/>
                          </w:rPr>
                          <w:t>12,000,000.00</w:t>
                        </w:r>
                      </w:p>
                    </w:tc>
                  </w:tr>
                  <w:tr>
                    <w:trPr>
                      <w:trHeight w:val="316" w:hRule="atLeast"/>
                    </w:trPr>
                    <w:tc>
                      <w:tcPr>
                        <w:tcW w:w="4235"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15" w:type="dxa"/>
                      </w:tcPr>
                      <w:p>
                        <w:pPr>
                          <w:pStyle w:val="TableParagraph"/>
                          <w:spacing w:before="36"/>
                          <w:ind w:right="91"/>
                          <w:jc w:val="right"/>
                          <w:rPr>
                            <w:rFonts w:ascii="Times New Roman"/>
                            <w:sz w:val="21"/>
                          </w:rPr>
                        </w:pPr>
                        <w:r>
                          <w:rPr>
                            <w:rFonts w:ascii="Times New Roman"/>
                            <w:sz w:val="21"/>
                          </w:rPr>
                          <w:t>0.5%</w:t>
                        </w:r>
                      </w:p>
                    </w:tc>
                  </w:tr>
                  <w:tr>
                    <w:trPr>
                      <w:trHeight w:val="319" w:hRule="atLeast"/>
                    </w:trPr>
                    <w:tc>
                      <w:tcPr>
                        <w:tcW w:w="4235"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15" w:type="dxa"/>
                      </w:tcPr>
                      <w:p>
                        <w:pPr>
                          <w:pStyle w:val="TableParagraph"/>
                          <w:spacing w:before="37"/>
                          <w:ind w:right="93"/>
                          <w:jc w:val="right"/>
                          <w:rPr>
                            <w:rFonts w:ascii="Times New Roman"/>
                            <w:sz w:val="21"/>
                          </w:rPr>
                        </w:pPr>
                        <w:r>
                          <w:rPr>
                            <w:rFonts w:ascii="Times New Roman"/>
                            <w:sz w:val="21"/>
                          </w:rPr>
                          <w:t>60,000.00</w:t>
                        </w:r>
                      </w:p>
                    </w:tc>
                  </w:tr>
                  <w:tr>
                    <w:trPr>
                      <w:trHeight w:val="316" w:hRule="atLeast"/>
                    </w:trPr>
                    <w:tc>
                      <w:tcPr>
                        <w:tcW w:w="4235"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15" w:type="dxa"/>
                      </w:tcPr>
                      <w:p>
                        <w:pPr>
                          <w:pStyle w:val="TableParagraph"/>
                          <w:spacing w:before="36"/>
                          <w:ind w:right="93"/>
                          <w:jc w:val="right"/>
                          <w:rPr>
                            <w:rFonts w:ascii="Times New Roman"/>
                            <w:sz w:val="21"/>
                          </w:rPr>
                        </w:pPr>
                        <w:r>
                          <w:rPr>
                            <w:rFonts w:ascii="Times New Roman"/>
                            <w:sz w:val="21"/>
                          </w:rPr>
                          <w:t>11,940,000.00</w:t>
                        </w:r>
                      </w:p>
                    </w:tc>
                  </w:tr>
                  <w:tr>
                    <w:trPr>
                      <w:trHeight w:val="316" w:hRule="atLeast"/>
                    </w:trPr>
                    <w:tc>
                      <w:tcPr>
                        <w:tcW w:w="4235"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15" w:type="dxa"/>
                      </w:tcPr>
                      <w:p>
                        <w:pPr>
                          <w:pStyle w:val="TableParagraph"/>
                          <w:spacing w:before="36"/>
                          <w:ind w:right="92"/>
                          <w:jc w:val="right"/>
                          <w:rPr>
                            <w:rFonts w:ascii="Times New Roman"/>
                            <w:sz w:val="21"/>
                          </w:rPr>
                        </w:pPr>
                        <w:r>
                          <w:rPr>
                            <w:rFonts w:ascii="Times New Roman"/>
                            <w:sz w:val="21"/>
                          </w:rPr>
                          <w:t>0.00</w:t>
                        </w:r>
                      </w:p>
                    </w:tc>
                  </w:tr>
                  <w:tr>
                    <w:trPr>
                      <w:trHeight w:val="316" w:hRule="atLeast"/>
                    </w:trPr>
                    <w:tc>
                      <w:tcPr>
                        <w:tcW w:w="4235"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15" w:type="dxa"/>
                      </w:tcPr>
                      <w:p>
                        <w:pPr>
                          <w:pStyle w:val="TableParagraph"/>
                          <w:spacing w:before="36"/>
                          <w:ind w:right="93"/>
                          <w:jc w:val="right"/>
                          <w:rPr>
                            <w:rFonts w:ascii="Times New Roman"/>
                            <w:sz w:val="21"/>
                          </w:rPr>
                        </w:pPr>
                        <w:r>
                          <w:rPr>
                            <w:rFonts w:ascii="Times New Roman"/>
                            <w:sz w:val="21"/>
                          </w:rPr>
                          <w:t>11,940,000.00</w:t>
                        </w:r>
                      </w:p>
                    </w:tc>
                  </w:tr>
                  <w:tr>
                    <w:trPr>
                      <w:trHeight w:val="318" w:hRule="atLeast"/>
                    </w:trPr>
                    <w:tc>
                      <w:tcPr>
                        <w:tcW w:w="4235"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15" w:type="dxa"/>
                      </w:tcPr>
                      <w:p>
                        <w:pPr>
                          <w:pStyle w:val="TableParagraph"/>
                          <w:spacing w:before="36"/>
                          <w:ind w:right="92"/>
                          <w:jc w:val="right"/>
                          <w:rPr>
                            <w:rFonts w:ascii="Times New Roman"/>
                            <w:sz w:val="21"/>
                          </w:rPr>
                        </w:pPr>
                        <w:r>
                          <w:rPr>
                            <w:rFonts w:ascii="Times New Roman"/>
                            <w:sz w:val="21"/>
                          </w:rPr>
                          <w:t>1.500</w:t>
                        </w:r>
                      </w:p>
                    </w:tc>
                  </w:tr>
                  <w:tr>
                    <w:trPr>
                      <w:trHeight w:val="316" w:hRule="atLeast"/>
                    </w:trPr>
                    <w:tc>
                      <w:tcPr>
                        <w:tcW w:w="4235" w:type="dxa"/>
                      </w:tcPr>
                      <w:p>
                        <w:pPr>
                          <w:pStyle w:val="TableParagraph"/>
                          <w:ind w:left="107"/>
                          <w:rPr>
                            <w:sz w:val="21"/>
                          </w:rPr>
                        </w:pPr>
                        <w:r>
                          <w:rPr>
                            <w:sz w:val="21"/>
                          </w:rPr>
                          <w:t>转入基金份额（</w:t>
                        </w:r>
                        <w:r>
                          <w:rPr>
                            <w:rFonts w:ascii="Times New Roman" w:eastAsia="Times New Roman"/>
                            <w:sz w:val="21"/>
                          </w:rPr>
                          <w:t>J=H/I</w:t>
                        </w:r>
                        <w:r>
                          <w:rPr>
                            <w:sz w:val="21"/>
                          </w:rPr>
                          <w:t>）</w:t>
                        </w:r>
                      </w:p>
                    </w:tc>
                    <w:tc>
                      <w:tcPr>
                        <w:tcW w:w="3215" w:type="dxa"/>
                      </w:tcPr>
                      <w:p>
                        <w:pPr>
                          <w:pStyle w:val="TableParagraph"/>
                          <w:spacing w:before="36"/>
                          <w:ind w:right="93"/>
                          <w:jc w:val="right"/>
                          <w:rPr>
                            <w:rFonts w:ascii="Times New Roman"/>
                            <w:sz w:val="21"/>
                          </w:rPr>
                        </w:pPr>
                        <w:r>
                          <w:rPr>
                            <w:rFonts w:ascii="Times New Roman"/>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6"/>
        </w:rPr>
      </w:pPr>
    </w:p>
    <w:p>
      <w:pPr>
        <w:pStyle w:val="BodyText"/>
        <w:spacing w:line="424" w:lineRule="auto"/>
        <w:ind w:left="300" w:right="871" w:firstLine="419"/>
        <w:jc w:val="both"/>
      </w:pPr>
      <w:r>
        <w:rPr/>
        <w:pict>
          <v:shape style="position:absolute;margin-left:111.379997pt;margin-top:66.060028pt;width:372.95pt;height:39.3pt;mso-position-horizontal-relative:page;mso-position-vertical-relative:paragraph;z-index:2516746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39" w:hRule="atLeast"/>
                    </w:trPr>
                    <w:tc>
                      <w:tcPr>
                        <w:tcW w:w="4232" w:type="dxa"/>
                      </w:tcPr>
                      <w:p>
                        <w:pPr>
                          <w:pStyle w:val="TableParagraph"/>
                          <w:spacing w:before="90"/>
                          <w:ind w:left="1884" w:right="1392"/>
                          <w:jc w:val="center"/>
                          <w:rPr>
                            <w:sz w:val="21"/>
                          </w:rPr>
                        </w:pPr>
                        <w:r>
                          <w:rPr>
                            <w:sz w:val="21"/>
                          </w:rPr>
                          <w:t>项目</w:t>
                        </w:r>
                      </w:p>
                    </w:tc>
                    <w:tc>
                      <w:tcPr>
                        <w:tcW w:w="3212" w:type="dxa"/>
                      </w:tcPr>
                      <w:p>
                        <w:pPr>
                          <w:pStyle w:val="TableParagraph"/>
                          <w:spacing w:before="90"/>
                          <w:ind w:left="1425"/>
                          <w:rPr>
                            <w:sz w:val="21"/>
                          </w:rPr>
                        </w:pPr>
                        <w:r>
                          <w:rPr>
                            <w:sz w:val="21"/>
                          </w:rPr>
                          <w:t>费用计算</w:t>
                        </w:r>
                      </w:p>
                    </w:tc>
                  </w:tr>
                  <w:tr>
                    <w:trPr>
                      <w:trHeight w:val="316" w:hRule="atLeast"/>
                    </w:trPr>
                    <w:tc>
                      <w:tcPr>
                        <w:tcW w:w="4232" w:type="dxa"/>
                      </w:tcPr>
                      <w:p>
                        <w:pPr>
                          <w:pStyle w:val="TableParagraph"/>
                          <w:ind w:left="107"/>
                          <w:rPr>
                            <w:sz w:val="21"/>
                          </w:rPr>
                        </w:pPr>
                        <w:r>
                          <w:rPr>
                            <w:sz w:val="21"/>
                          </w:rPr>
                          <w:t>赎回份额（</w:t>
                        </w:r>
                        <w:r>
                          <w:rPr>
                            <w:rFonts w:ascii="Times New Roman" w:eastAsia="Times New Roman"/>
                            <w:sz w:val="21"/>
                          </w:rPr>
                          <w:t>K</w:t>
                        </w:r>
                        <w:r>
                          <w:rPr>
                            <w:sz w:val="21"/>
                          </w:rPr>
                          <w:t>）</w:t>
                        </w:r>
                      </w:p>
                    </w:tc>
                    <w:tc>
                      <w:tcPr>
                        <w:tcW w:w="3212" w:type="dxa"/>
                      </w:tcPr>
                      <w:p>
                        <w:pPr>
                          <w:pStyle w:val="TableParagraph"/>
                          <w:spacing w:before="36"/>
                          <w:ind w:left="2001"/>
                          <w:rPr>
                            <w:rFonts w:ascii="Times New Roman"/>
                            <w:sz w:val="21"/>
                          </w:rPr>
                        </w:pPr>
                        <w:r>
                          <w:rPr>
                            <w:rFonts w:ascii="Times New Roman"/>
                            <w:sz w:val="21"/>
                          </w:rPr>
                          <w:t>7,960,000.00</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0"/>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24" w:lineRule="auto"/>
        <w:jc w:val="both"/>
        <w:sectPr>
          <w:pgSz w:w="11910" w:h="16840"/>
          <w:pgMar w:header="701" w:footer="683" w:top="1420" w:bottom="880" w:left="1500" w:right="9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6" w:hRule="atLeast"/>
        </w:trPr>
        <w:tc>
          <w:tcPr>
            <w:tcW w:w="4232" w:type="dxa"/>
          </w:tcPr>
          <w:p>
            <w:pPr>
              <w:pStyle w:val="TableParagraph"/>
              <w:ind w:left="107"/>
              <w:rPr>
                <w:sz w:val="21"/>
              </w:rPr>
            </w:pPr>
            <w:r>
              <w:rPr>
                <w:sz w:val="21"/>
              </w:rPr>
              <w:t>赎回日基金份额净值（</w:t>
            </w:r>
            <w:r>
              <w:rPr>
                <w:rFonts w:ascii="Times New Roman" w:eastAsia="Times New Roman"/>
                <w:sz w:val="21"/>
              </w:rPr>
              <w:t>L</w:t>
            </w:r>
            <w:r>
              <w:rPr>
                <w:sz w:val="21"/>
              </w:rPr>
              <w:t>）</w:t>
            </w:r>
          </w:p>
        </w:tc>
        <w:tc>
          <w:tcPr>
            <w:tcW w:w="3212" w:type="dxa"/>
          </w:tcPr>
          <w:p>
            <w:pPr>
              <w:pStyle w:val="TableParagraph"/>
              <w:spacing w:before="37"/>
              <w:ind w:right="93"/>
              <w:jc w:val="right"/>
              <w:rPr>
                <w:rFonts w:ascii="Times New Roman"/>
                <w:sz w:val="21"/>
              </w:rPr>
            </w:pPr>
            <w:r>
              <w:rPr>
                <w:rFonts w:ascii="Times New Roman"/>
                <w:sz w:val="21"/>
              </w:rPr>
              <w:t>1.300</w:t>
            </w:r>
          </w:p>
        </w:tc>
      </w:tr>
      <w:tr>
        <w:trPr>
          <w:trHeight w:val="316" w:hRule="atLeast"/>
        </w:trPr>
        <w:tc>
          <w:tcPr>
            <w:tcW w:w="4232" w:type="dxa"/>
          </w:tcPr>
          <w:p>
            <w:pPr>
              <w:pStyle w:val="TableParagraph"/>
              <w:ind w:left="107"/>
              <w:rPr>
                <w:sz w:val="21"/>
              </w:rPr>
            </w:pPr>
            <w:r>
              <w:rPr>
                <w:sz w:val="21"/>
              </w:rPr>
              <w:t>赎回总金额（</w:t>
            </w:r>
            <w:r>
              <w:rPr>
                <w:rFonts w:ascii="Times New Roman" w:eastAsia="Times New Roman"/>
                <w:sz w:val="21"/>
              </w:rPr>
              <w:t>M=K*L</w:t>
            </w:r>
            <w:r>
              <w:rPr>
                <w:sz w:val="21"/>
              </w:rPr>
              <w:t>）</w:t>
            </w:r>
          </w:p>
        </w:tc>
        <w:tc>
          <w:tcPr>
            <w:tcW w:w="3212" w:type="dxa"/>
          </w:tcPr>
          <w:p>
            <w:pPr>
              <w:pStyle w:val="TableParagraph"/>
              <w:spacing w:before="36"/>
              <w:ind w:right="94"/>
              <w:jc w:val="right"/>
              <w:rPr>
                <w:rFonts w:ascii="Times New Roman"/>
                <w:sz w:val="21"/>
              </w:rPr>
            </w:pPr>
            <w:r>
              <w:rPr>
                <w:rFonts w:ascii="Times New Roman"/>
                <w:sz w:val="21"/>
              </w:rPr>
              <w:t>10,348,000.00</w:t>
            </w:r>
          </w:p>
        </w:tc>
      </w:tr>
      <w:tr>
        <w:trPr>
          <w:trHeight w:val="318" w:hRule="atLeast"/>
        </w:trPr>
        <w:tc>
          <w:tcPr>
            <w:tcW w:w="4232" w:type="dxa"/>
          </w:tcPr>
          <w:p>
            <w:pPr>
              <w:pStyle w:val="TableParagraph"/>
              <w:spacing w:before="27"/>
              <w:ind w:left="107"/>
              <w:rPr>
                <w:sz w:val="21"/>
              </w:rPr>
            </w:pPr>
            <w:r>
              <w:rPr>
                <w:sz w:val="21"/>
              </w:rPr>
              <w:t>赎回费用（</w:t>
            </w:r>
            <w:r>
              <w:rPr>
                <w:rFonts w:ascii="Times New Roman" w:eastAsia="Times New Roman"/>
                <w:sz w:val="21"/>
              </w:rPr>
              <w:t>N</w:t>
            </w:r>
            <w:r>
              <w:rPr>
                <w:sz w:val="21"/>
              </w:rPr>
              <w:t>）</w:t>
            </w:r>
          </w:p>
        </w:tc>
        <w:tc>
          <w:tcPr>
            <w:tcW w:w="3212" w:type="dxa"/>
          </w:tcPr>
          <w:p>
            <w:pPr>
              <w:pStyle w:val="TableParagraph"/>
              <w:spacing w:before="39"/>
              <w:ind w:right="93"/>
              <w:jc w:val="right"/>
              <w:rPr>
                <w:rFonts w:ascii="Times New Roman"/>
                <w:sz w:val="21"/>
              </w:rPr>
            </w:pPr>
            <w:r>
              <w:rPr>
                <w:rFonts w:ascii="Times New Roman"/>
                <w:sz w:val="21"/>
              </w:rPr>
              <w:t>0.00</w:t>
            </w:r>
          </w:p>
        </w:tc>
      </w:tr>
      <w:tr>
        <w:trPr>
          <w:trHeight w:val="316" w:hRule="atLeast"/>
        </w:trPr>
        <w:tc>
          <w:tcPr>
            <w:tcW w:w="4232" w:type="dxa"/>
          </w:tcPr>
          <w:p>
            <w:pPr>
              <w:pStyle w:val="TableParagraph"/>
              <w:ind w:left="107"/>
              <w:rPr>
                <w:sz w:val="21"/>
              </w:rPr>
            </w:pPr>
            <w:r>
              <w:rPr>
                <w:sz w:val="21"/>
              </w:rPr>
              <w:t>适用后端申购费率（</w:t>
            </w:r>
            <w:r>
              <w:rPr>
                <w:rFonts w:ascii="Times New Roman" w:eastAsia="Times New Roman"/>
                <w:sz w:val="21"/>
              </w:rPr>
              <w:t>O</w:t>
            </w:r>
            <w:r>
              <w:rPr>
                <w:sz w:val="21"/>
              </w:rPr>
              <w:t>）</w:t>
            </w:r>
          </w:p>
        </w:tc>
        <w:tc>
          <w:tcPr>
            <w:tcW w:w="3212" w:type="dxa"/>
          </w:tcPr>
          <w:p>
            <w:pPr>
              <w:pStyle w:val="TableParagraph"/>
              <w:spacing w:before="36"/>
              <w:ind w:right="93"/>
              <w:jc w:val="right"/>
              <w:rPr>
                <w:rFonts w:ascii="Times New Roman"/>
                <w:sz w:val="21"/>
              </w:rPr>
            </w:pPr>
            <w:r>
              <w:rPr>
                <w:rFonts w:ascii="Times New Roman"/>
                <w:sz w:val="21"/>
              </w:rPr>
              <w:t>1.2%</w:t>
            </w:r>
          </w:p>
        </w:tc>
      </w:tr>
      <w:tr>
        <w:trPr>
          <w:trHeight w:val="316" w:hRule="atLeast"/>
        </w:trPr>
        <w:tc>
          <w:tcPr>
            <w:tcW w:w="4232" w:type="dxa"/>
          </w:tcPr>
          <w:p>
            <w:pPr>
              <w:pStyle w:val="TableParagraph"/>
              <w:ind w:left="107"/>
              <w:rPr>
                <w:sz w:val="21"/>
              </w:rPr>
            </w:pPr>
            <w:r>
              <w:rPr>
                <w:sz w:val="21"/>
              </w:rPr>
              <w:t>后端申购费（</w:t>
            </w:r>
            <w:r>
              <w:rPr>
                <w:rFonts w:ascii="Times New Roman" w:eastAsia="Times New Roman"/>
                <w:sz w:val="21"/>
              </w:rPr>
              <w:t>P=K*I*O/</w:t>
            </w:r>
            <w:r>
              <w:rPr>
                <w:sz w:val="21"/>
              </w:rPr>
              <w:t>(</w:t>
            </w:r>
            <w:r>
              <w:rPr>
                <w:rFonts w:ascii="Times New Roman" w:eastAsia="Times New Roman"/>
                <w:sz w:val="21"/>
              </w:rPr>
              <w:t>1+O</w:t>
            </w:r>
            <w:r>
              <w:rPr>
                <w:sz w:val="21"/>
              </w:rPr>
              <w:t>)）</w:t>
            </w:r>
          </w:p>
        </w:tc>
        <w:tc>
          <w:tcPr>
            <w:tcW w:w="3212" w:type="dxa"/>
          </w:tcPr>
          <w:p>
            <w:pPr>
              <w:pStyle w:val="TableParagraph"/>
              <w:spacing w:before="36"/>
              <w:ind w:right="94"/>
              <w:jc w:val="right"/>
              <w:rPr>
                <w:rFonts w:ascii="Times New Roman"/>
                <w:sz w:val="21"/>
              </w:rPr>
            </w:pPr>
            <w:r>
              <w:rPr>
                <w:rFonts w:ascii="Times New Roman"/>
                <w:sz w:val="21"/>
              </w:rPr>
              <w:t>141,581.03</w:t>
            </w:r>
          </w:p>
        </w:tc>
      </w:tr>
      <w:tr>
        <w:trPr>
          <w:trHeight w:val="318" w:hRule="atLeast"/>
        </w:trPr>
        <w:tc>
          <w:tcPr>
            <w:tcW w:w="4232" w:type="dxa"/>
          </w:tcPr>
          <w:p>
            <w:pPr>
              <w:pStyle w:val="TableParagraph"/>
              <w:ind w:left="107"/>
              <w:rPr>
                <w:sz w:val="21"/>
              </w:rPr>
            </w:pPr>
            <w:r>
              <w:rPr>
                <w:sz w:val="21"/>
              </w:rPr>
              <w:t>赎回金额（</w:t>
            </w:r>
            <w:r>
              <w:rPr>
                <w:rFonts w:ascii="Times New Roman" w:eastAsia="Times New Roman"/>
                <w:sz w:val="21"/>
              </w:rPr>
              <w:t>Q=M-N-P</w:t>
            </w:r>
            <w:r>
              <w:rPr>
                <w:sz w:val="21"/>
              </w:rPr>
              <w:t>）</w:t>
            </w:r>
          </w:p>
        </w:tc>
        <w:tc>
          <w:tcPr>
            <w:tcW w:w="3212" w:type="dxa"/>
          </w:tcPr>
          <w:p>
            <w:pPr>
              <w:pStyle w:val="TableParagraph"/>
              <w:spacing w:before="36"/>
              <w:ind w:right="94"/>
              <w:jc w:val="right"/>
              <w:rPr>
                <w:rFonts w:ascii="Times New Roman"/>
                <w:sz w:val="21"/>
              </w:rPr>
            </w:pPr>
            <w:r>
              <w:rPr>
                <w:rFonts w:ascii="Times New Roman"/>
                <w:sz w:val="21"/>
              </w:rPr>
              <w:t>10,206,418.97</w:t>
            </w:r>
          </w:p>
        </w:tc>
      </w:tr>
    </w:tbl>
    <w:p>
      <w:pPr>
        <w:pStyle w:val="BodyText"/>
        <w:spacing w:line="424" w:lineRule="auto" w:before="114"/>
        <w:ind w:left="300" w:right="871" w:firstLine="419"/>
        <w:jc w:val="both"/>
      </w:pPr>
      <w:r>
        <w:rPr/>
        <w:pict>
          <v:shape style="position:absolute;margin-left:110.779999pt;margin-top:71.789978pt;width:374.15pt;height:180.4pt;mso-position-horizontal-relative:page;mso-position-vertical-relative:paragraph;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6" w:hRule="atLeast"/>
                    </w:trPr>
                    <w:tc>
                      <w:tcPr>
                        <w:tcW w:w="4244" w:type="dxa"/>
                      </w:tcPr>
                      <w:p>
                        <w:pPr>
                          <w:pStyle w:val="TableParagraph"/>
                          <w:ind w:left="1652" w:right="1642"/>
                          <w:jc w:val="center"/>
                          <w:rPr>
                            <w:sz w:val="21"/>
                          </w:rPr>
                        </w:pPr>
                        <w:r>
                          <w:rPr>
                            <w:sz w:val="21"/>
                          </w:rPr>
                          <w:t>项目</w:t>
                        </w:r>
                      </w:p>
                    </w:tc>
                    <w:tc>
                      <w:tcPr>
                        <w:tcW w:w="3224" w:type="dxa"/>
                      </w:tcPr>
                      <w:p>
                        <w:pPr>
                          <w:pStyle w:val="TableParagraph"/>
                          <w:ind w:left="1171" w:right="1162"/>
                          <w:jc w:val="center"/>
                          <w:rPr>
                            <w:sz w:val="21"/>
                          </w:rPr>
                        </w:pPr>
                        <w:r>
                          <w:rPr>
                            <w:sz w:val="21"/>
                          </w:rPr>
                          <w:t>费用计算</w:t>
                        </w:r>
                      </w:p>
                    </w:tc>
                  </w:tr>
                  <w:tr>
                    <w:trPr>
                      <w:trHeight w:val="318" w:hRule="atLeast"/>
                    </w:trPr>
                    <w:tc>
                      <w:tcPr>
                        <w:tcW w:w="4244"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24" w:type="dxa"/>
                      </w:tcPr>
                      <w:p>
                        <w:pPr>
                          <w:pStyle w:val="TableParagraph"/>
                          <w:spacing w:before="36"/>
                          <w:ind w:right="94"/>
                          <w:jc w:val="right"/>
                          <w:rPr>
                            <w:rFonts w:ascii="Times New Roman"/>
                            <w:sz w:val="21"/>
                          </w:rPr>
                        </w:pPr>
                        <w:r>
                          <w:rPr>
                            <w:rFonts w:ascii="Times New Roman"/>
                            <w:sz w:val="21"/>
                          </w:rPr>
                          <w:t>10,000,000.00</w:t>
                        </w:r>
                      </w:p>
                    </w:tc>
                  </w:tr>
                  <w:tr>
                    <w:trPr>
                      <w:trHeight w:val="316" w:hRule="atLeast"/>
                    </w:trPr>
                    <w:tc>
                      <w:tcPr>
                        <w:tcW w:w="4244"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4" w:type="dxa"/>
                      </w:tcPr>
                      <w:p>
                        <w:pPr>
                          <w:pStyle w:val="TableParagraph"/>
                          <w:spacing w:before="36"/>
                          <w:ind w:right="93"/>
                          <w:jc w:val="right"/>
                          <w:rPr>
                            <w:rFonts w:ascii="Times New Roman"/>
                            <w:sz w:val="21"/>
                          </w:rPr>
                        </w:pPr>
                        <w:r>
                          <w:rPr>
                            <w:rFonts w:ascii="Times New Roman"/>
                            <w:sz w:val="21"/>
                          </w:rPr>
                          <w:t>1.300</w:t>
                        </w:r>
                      </w:p>
                    </w:tc>
                  </w:tr>
                  <w:tr>
                    <w:trPr>
                      <w:trHeight w:val="316" w:hRule="atLeast"/>
                    </w:trPr>
                    <w:tc>
                      <w:tcPr>
                        <w:tcW w:w="4244"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24" w:type="dxa"/>
                      </w:tcPr>
                      <w:p>
                        <w:pPr>
                          <w:pStyle w:val="TableParagraph"/>
                          <w:spacing w:before="36"/>
                          <w:ind w:right="94"/>
                          <w:jc w:val="right"/>
                          <w:rPr>
                            <w:rFonts w:ascii="Times New Roman"/>
                            <w:sz w:val="21"/>
                          </w:rPr>
                        </w:pPr>
                        <w:r>
                          <w:rPr>
                            <w:rFonts w:ascii="Times New Roman"/>
                            <w:sz w:val="21"/>
                          </w:rPr>
                          <w:t>13,000,000.00</w:t>
                        </w:r>
                      </w:p>
                    </w:tc>
                  </w:tr>
                  <w:tr>
                    <w:trPr>
                      <w:trHeight w:val="316" w:hRule="atLeast"/>
                    </w:trPr>
                    <w:tc>
                      <w:tcPr>
                        <w:tcW w:w="4244"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24" w:type="dxa"/>
                      </w:tcPr>
                      <w:p>
                        <w:pPr>
                          <w:pStyle w:val="TableParagraph"/>
                          <w:spacing w:before="36"/>
                          <w:ind w:right="93"/>
                          <w:jc w:val="right"/>
                          <w:rPr>
                            <w:rFonts w:ascii="Times New Roman"/>
                            <w:sz w:val="21"/>
                          </w:rPr>
                        </w:pPr>
                        <w:r>
                          <w:rPr>
                            <w:rFonts w:ascii="Times New Roman"/>
                            <w:sz w:val="21"/>
                          </w:rPr>
                          <w:t>0.5%</w:t>
                        </w:r>
                      </w:p>
                    </w:tc>
                  </w:tr>
                  <w:tr>
                    <w:trPr>
                      <w:trHeight w:val="318" w:hRule="atLeast"/>
                    </w:trPr>
                    <w:tc>
                      <w:tcPr>
                        <w:tcW w:w="4244"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24" w:type="dxa"/>
                      </w:tcPr>
                      <w:p>
                        <w:pPr>
                          <w:pStyle w:val="TableParagraph"/>
                          <w:spacing w:before="36"/>
                          <w:ind w:right="94"/>
                          <w:jc w:val="right"/>
                          <w:rPr>
                            <w:rFonts w:ascii="Times New Roman"/>
                            <w:sz w:val="21"/>
                          </w:rPr>
                        </w:pPr>
                        <w:r>
                          <w:rPr>
                            <w:rFonts w:ascii="Times New Roman"/>
                            <w:sz w:val="21"/>
                          </w:rPr>
                          <w:t>65,000.00</w:t>
                        </w:r>
                      </w:p>
                    </w:tc>
                  </w:tr>
                  <w:tr>
                    <w:trPr>
                      <w:trHeight w:val="316" w:hRule="atLeast"/>
                    </w:trPr>
                    <w:tc>
                      <w:tcPr>
                        <w:tcW w:w="4244"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24" w:type="dxa"/>
                      </w:tcPr>
                      <w:p>
                        <w:pPr>
                          <w:pStyle w:val="TableParagraph"/>
                          <w:spacing w:before="36"/>
                          <w:ind w:right="94"/>
                          <w:jc w:val="right"/>
                          <w:rPr>
                            <w:rFonts w:ascii="Times New Roman"/>
                            <w:sz w:val="21"/>
                          </w:rPr>
                        </w:pPr>
                        <w:r>
                          <w:rPr>
                            <w:rFonts w:ascii="Times New Roman"/>
                            <w:sz w:val="21"/>
                          </w:rPr>
                          <w:t>12,935,000.00</w:t>
                        </w:r>
                      </w:p>
                    </w:tc>
                  </w:tr>
                  <w:tr>
                    <w:trPr>
                      <w:trHeight w:val="316" w:hRule="atLeast"/>
                    </w:trPr>
                    <w:tc>
                      <w:tcPr>
                        <w:tcW w:w="4244" w:type="dxa"/>
                      </w:tcPr>
                      <w:p>
                        <w:pPr>
                          <w:pStyle w:val="TableParagraph"/>
                          <w:ind w:left="107"/>
                          <w:rPr>
                            <w:sz w:val="21"/>
                          </w:rPr>
                        </w:pPr>
                        <w:r>
                          <w:rPr>
                            <w:sz w:val="21"/>
                          </w:rPr>
                          <w:t>转入基金费用（</w:t>
                        </w:r>
                        <w:r>
                          <w:rPr>
                            <w:rFonts w:ascii="Times New Roman" w:eastAsia="Times New Roman"/>
                            <w:sz w:val="21"/>
                          </w:rPr>
                          <w:t>G</w:t>
                        </w:r>
                        <w:r>
                          <w:rPr>
                            <w:sz w:val="21"/>
                          </w:rPr>
                          <w:t>）</w:t>
                        </w:r>
                      </w:p>
                    </w:tc>
                    <w:tc>
                      <w:tcPr>
                        <w:tcW w:w="3224" w:type="dxa"/>
                      </w:tcPr>
                      <w:p>
                        <w:pPr>
                          <w:pStyle w:val="TableParagraph"/>
                          <w:spacing w:before="36"/>
                          <w:ind w:right="93"/>
                          <w:jc w:val="right"/>
                          <w:rPr>
                            <w:rFonts w:ascii="Times New Roman"/>
                            <w:sz w:val="21"/>
                          </w:rPr>
                        </w:pPr>
                        <w:r>
                          <w:rPr>
                            <w:rFonts w:ascii="Times New Roman"/>
                            <w:sz w:val="21"/>
                          </w:rPr>
                          <w:t>0.00</w:t>
                        </w:r>
                      </w:p>
                    </w:tc>
                  </w:tr>
                  <w:tr>
                    <w:trPr>
                      <w:trHeight w:val="316" w:hRule="atLeast"/>
                    </w:trPr>
                    <w:tc>
                      <w:tcPr>
                        <w:tcW w:w="4244" w:type="dxa"/>
                      </w:tcPr>
                      <w:p>
                        <w:pPr>
                          <w:pStyle w:val="TableParagraph"/>
                          <w:ind w:left="107"/>
                          <w:rPr>
                            <w:sz w:val="21"/>
                          </w:rPr>
                        </w:pPr>
                        <w:r>
                          <w:rPr>
                            <w:sz w:val="21"/>
                          </w:rPr>
                          <w:t>净转入金额（</w:t>
                        </w:r>
                        <w:r>
                          <w:rPr>
                            <w:rFonts w:ascii="Times New Roman" w:eastAsia="Times New Roman"/>
                            <w:sz w:val="21"/>
                          </w:rPr>
                          <w:t>H=F-G</w:t>
                        </w:r>
                        <w:r>
                          <w:rPr>
                            <w:sz w:val="21"/>
                          </w:rPr>
                          <w:t>）</w:t>
                        </w:r>
                      </w:p>
                    </w:tc>
                    <w:tc>
                      <w:tcPr>
                        <w:tcW w:w="3224" w:type="dxa"/>
                      </w:tcPr>
                      <w:p>
                        <w:pPr>
                          <w:pStyle w:val="TableParagraph"/>
                          <w:spacing w:before="36"/>
                          <w:ind w:right="94"/>
                          <w:jc w:val="right"/>
                          <w:rPr>
                            <w:rFonts w:ascii="Times New Roman"/>
                            <w:sz w:val="21"/>
                          </w:rPr>
                        </w:pPr>
                        <w:r>
                          <w:rPr>
                            <w:rFonts w:ascii="Times New Roman"/>
                            <w:sz w:val="21"/>
                          </w:rPr>
                          <w:t>12,935,000.00</w:t>
                        </w:r>
                      </w:p>
                    </w:tc>
                  </w:tr>
                  <w:tr>
                    <w:trPr>
                      <w:trHeight w:val="319" w:hRule="atLeast"/>
                    </w:trPr>
                    <w:tc>
                      <w:tcPr>
                        <w:tcW w:w="4244"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I</w:t>
                        </w:r>
                        <w:r>
                          <w:rPr>
                            <w:sz w:val="21"/>
                          </w:rPr>
                          <w:t>）</w:t>
                        </w:r>
                      </w:p>
                    </w:tc>
                    <w:tc>
                      <w:tcPr>
                        <w:tcW w:w="3224" w:type="dxa"/>
                      </w:tcPr>
                      <w:p>
                        <w:pPr>
                          <w:pStyle w:val="TableParagraph"/>
                          <w:spacing w:before="36"/>
                          <w:ind w:right="93"/>
                          <w:jc w:val="right"/>
                          <w:rPr>
                            <w:rFonts w:ascii="Times New Roman"/>
                            <w:sz w:val="21"/>
                          </w:rPr>
                        </w:pPr>
                        <w:r>
                          <w:rPr>
                            <w:rFonts w:ascii="Times New Roman"/>
                            <w:sz w:val="21"/>
                          </w:rPr>
                          <w:t>1.500</w:t>
                        </w:r>
                      </w:p>
                    </w:tc>
                  </w:tr>
                  <w:tr>
                    <w:trPr>
                      <w:trHeight w:val="316" w:hRule="atLeast"/>
                    </w:trPr>
                    <w:tc>
                      <w:tcPr>
                        <w:tcW w:w="4244" w:type="dxa"/>
                      </w:tcPr>
                      <w:p>
                        <w:pPr>
                          <w:pStyle w:val="TableParagraph"/>
                          <w:ind w:left="107"/>
                          <w:rPr>
                            <w:sz w:val="21"/>
                          </w:rPr>
                        </w:pPr>
                        <w:r>
                          <w:rPr>
                            <w:sz w:val="21"/>
                          </w:rPr>
                          <w:t>转入基金份额（</w:t>
                        </w:r>
                        <w:r>
                          <w:rPr>
                            <w:rFonts w:ascii="Times New Roman" w:eastAsia="Times New Roman"/>
                            <w:sz w:val="21"/>
                          </w:rPr>
                          <w:t>J=H/I</w:t>
                        </w:r>
                        <w:r>
                          <w:rPr>
                            <w:sz w:val="21"/>
                          </w:rPr>
                          <w:t>）</w:t>
                        </w:r>
                      </w:p>
                    </w:tc>
                    <w:tc>
                      <w:tcPr>
                        <w:tcW w:w="3224" w:type="dxa"/>
                      </w:tcPr>
                      <w:p>
                        <w:pPr>
                          <w:pStyle w:val="TableParagraph"/>
                          <w:spacing w:before="36"/>
                          <w:ind w:right="94"/>
                          <w:jc w:val="right"/>
                          <w:rPr>
                            <w:rFonts w:ascii="Times New Roman"/>
                            <w:sz w:val="21"/>
                          </w:rPr>
                        </w:pPr>
                        <w:r>
                          <w:rPr>
                            <w:rFonts w:ascii="Times New Roman"/>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7"/>
        </w:rPr>
      </w:pPr>
    </w:p>
    <w:p>
      <w:pPr>
        <w:pStyle w:val="BodyText"/>
        <w:spacing w:line="424" w:lineRule="auto"/>
        <w:ind w:left="300" w:right="76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3"/>
        </w:numPr>
        <w:tabs>
          <w:tab w:pos="1250" w:val="left" w:leader="none"/>
        </w:tabs>
        <w:spacing w:line="424" w:lineRule="auto" w:before="0" w:after="0"/>
        <w:ind w:left="300" w:right="768" w:firstLine="419"/>
        <w:jc w:val="left"/>
        <w:rPr>
          <w:sz w:val="21"/>
        </w:rPr>
      </w:pPr>
      <w:r>
        <w:rPr/>
        <w:pict>
          <v:shape style="position:absolute;margin-left:111.139999pt;margin-top:42.420029pt;width:373.4pt;height:213.05pt;mso-position-horizontal-relative:page;mso-position-vertical-relative:paragraph;z-index:2516766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6" w:hRule="atLeast"/>
                    </w:trPr>
                    <w:tc>
                      <w:tcPr>
                        <w:tcW w:w="4237" w:type="dxa"/>
                      </w:tcPr>
                      <w:p>
                        <w:pPr>
                          <w:pStyle w:val="TableParagraph"/>
                          <w:ind w:left="1652" w:right="1640"/>
                          <w:jc w:val="center"/>
                          <w:rPr>
                            <w:sz w:val="21"/>
                          </w:rPr>
                        </w:pPr>
                        <w:r>
                          <w:rPr>
                            <w:sz w:val="21"/>
                          </w:rPr>
                          <w:t>项目</w:t>
                        </w:r>
                      </w:p>
                    </w:tc>
                    <w:tc>
                      <w:tcPr>
                        <w:tcW w:w="3217" w:type="dxa"/>
                      </w:tcPr>
                      <w:p>
                        <w:pPr>
                          <w:pStyle w:val="TableParagraph"/>
                          <w:ind w:left="1169" w:right="1158"/>
                          <w:jc w:val="center"/>
                          <w:rPr>
                            <w:sz w:val="21"/>
                          </w:rPr>
                        </w:pPr>
                        <w:r>
                          <w:rPr>
                            <w:sz w:val="21"/>
                          </w:rPr>
                          <w:t>费用计算</w:t>
                        </w:r>
                      </w:p>
                    </w:tc>
                  </w:tr>
                  <w:tr>
                    <w:trPr>
                      <w:trHeight w:val="317" w:hRule="atLeast"/>
                    </w:trPr>
                    <w:tc>
                      <w:tcPr>
                        <w:tcW w:w="4237"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17" w:type="dxa"/>
                      </w:tcPr>
                      <w:p>
                        <w:pPr>
                          <w:pStyle w:val="TableParagraph"/>
                          <w:spacing w:before="37"/>
                          <w:ind w:right="94"/>
                          <w:jc w:val="right"/>
                          <w:rPr>
                            <w:rFonts w:ascii="Times New Roman"/>
                            <w:sz w:val="21"/>
                          </w:rPr>
                        </w:pPr>
                        <w:r>
                          <w:rPr>
                            <w:rFonts w:ascii="Times New Roman"/>
                            <w:sz w:val="21"/>
                          </w:rPr>
                          <w:t>1,000.00</w:t>
                        </w:r>
                      </w:p>
                    </w:tc>
                  </w:tr>
                  <w:tr>
                    <w:trPr>
                      <w:trHeight w:val="316" w:hRule="atLeast"/>
                    </w:trPr>
                    <w:tc>
                      <w:tcPr>
                        <w:tcW w:w="4237"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w:t>
                        </w:r>
                      </w:p>
                    </w:tc>
                  </w:tr>
                  <w:tr>
                    <w:trPr>
                      <w:trHeight w:val="318" w:hRule="atLeast"/>
                    </w:trPr>
                    <w:tc>
                      <w:tcPr>
                        <w:tcW w:w="4237"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1,200.00</w:t>
                        </w:r>
                      </w:p>
                    </w:tc>
                  </w:tr>
                  <w:tr>
                    <w:trPr>
                      <w:trHeight w:val="316" w:hRule="atLeast"/>
                    </w:trPr>
                    <w:tc>
                      <w:tcPr>
                        <w:tcW w:w="4237"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17" w:type="dxa"/>
                      </w:tcPr>
                      <w:p>
                        <w:pPr>
                          <w:pStyle w:val="TableParagraph"/>
                          <w:spacing w:before="36"/>
                          <w:ind w:right="93"/>
                          <w:jc w:val="right"/>
                          <w:rPr>
                            <w:rFonts w:ascii="Times New Roman"/>
                            <w:sz w:val="21"/>
                          </w:rPr>
                        </w:pPr>
                        <w:r>
                          <w:rPr>
                            <w:rFonts w:ascii="Times New Roman"/>
                            <w:sz w:val="21"/>
                          </w:rPr>
                          <w:t>0.5%</w:t>
                        </w:r>
                      </w:p>
                    </w:tc>
                  </w:tr>
                  <w:tr>
                    <w:trPr>
                      <w:trHeight w:val="316" w:hRule="atLeast"/>
                    </w:trPr>
                    <w:tc>
                      <w:tcPr>
                        <w:tcW w:w="4237" w:type="dxa"/>
                      </w:tcPr>
                      <w:p>
                        <w:pPr>
                          <w:pStyle w:val="TableParagraph"/>
                          <w:ind w:left="107"/>
                          <w:rPr>
                            <w:sz w:val="21"/>
                          </w:rPr>
                        </w:pPr>
                        <w:r>
                          <w:rPr>
                            <w:sz w:val="21"/>
                          </w:rPr>
                          <w:t>赎回费（</w:t>
                        </w:r>
                        <w:r>
                          <w:rPr>
                            <w:rFonts w:ascii="Times New Roman" w:eastAsia="Times New Roman"/>
                            <w:sz w:val="21"/>
                          </w:rPr>
                          <w:t>E=C*D</w:t>
                        </w:r>
                        <w:r>
                          <w:rPr>
                            <w:sz w:val="21"/>
                          </w:rPr>
                          <w:t>）</w:t>
                        </w:r>
                      </w:p>
                    </w:tc>
                    <w:tc>
                      <w:tcPr>
                        <w:tcW w:w="3217" w:type="dxa"/>
                      </w:tcPr>
                      <w:p>
                        <w:pPr>
                          <w:pStyle w:val="TableParagraph"/>
                          <w:spacing w:before="36"/>
                          <w:ind w:right="94"/>
                          <w:jc w:val="right"/>
                          <w:rPr>
                            <w:rFonts w:ascii="Times New Roman"/>
                            <w:sz w:val="21"/>
                          </w:rPr>
                        </w:pPr>
                        <w:r>
                          <w:rPr>
                            <w:rFonts w:ascii="Times New Roman"/>
                            <w:sz w:val="21"/>
                          </w:rPr>
                          <w:t>6.00</w:t>
                        </w:r>
                      </w:p>
                    </w:tc>
                  </w:tr>
                  <w:tr>
                    <w:trPr>
                      <w:trHeight w:val="316" w:hRule="atLeast"/>
                    </w:trPr>
                    <w:tc>
                      <w:tcPr>
                        <w:tcW w:w="4237" w:type="dxa"/>
                      </w:tcPr>
                      <w:p>
                        <w:pPr>
                          <w:pStyle w:val="TableParagraph"/>
                          <w:ind w:left="107"/>
                          <w:rPr>
                            <w:sz w:val="21"/>
                          </w:rPr>
                        </w:pPr>
                        <w:r>
                          <w:rPr>
                            <w:sz w:val="21"/>
                          </w:rPr>
                          <w:t>申购日转出基金基金份额净值（</w:t>
                        </w:r>
                        <w:r>
                          <w:rPr>
                            <w:rFonts w:ascii="Times New Roman" w:eastAsia="Times New Roman"/>
                            <w:sz w:val="21"/>
                          </w:rPr>
                          <w:t>F</w:t>
                        </w:r>
                        <w:r>
                          <w:rPr>
                            <w:sz w:val="21"/>
                          </w:rPr>
                          <w:t>）</w:t>
                        </w:r>
                      </w:p>
                    </w:tc>
                    <w:tc>
                      <w:tcPr>
                        <w:tcW w:w="3217" w:type="dxa"/>
                      </w:tcPr>
                      <w:p>
                        <w:pPr>
                          <w:pStyle w:val="TableParagraph"/>
                          <w:spacing w:before="36"/>
                          <w:ind w:right="94"/>
                          <w:jc w:val="right"/>
                          <w:rPr>
                            <w:rFonts w:ascii="Times New Roman"/>
                            <w:sz w:val="21"/>
                          </w:rPr>
                        </w:pPr>
                        <w:r>
                          <w:rPr>
                            <w:rFonts w:ascii="Times New Roman"/>
                            <w:sz w:val="21"/>
                          </w:rPr>
                          <w:t>1.100</w:t>
                        </w:r>
                      </w:p>
                    </w:tc>
                  </w:tr>
                  <w:tr>
                    <w:trPr>
                      <w:trHeight w:val="318" w:hRule="atLeast"/>
                    </w:trPr>
                    <w:tc>
                      <w:tcPr>
                        <w:tcW w:w="4237" w:type="dxa"/>
                      </w:tcPr>
                      <w:p>
                        <w:pPr>
                          <w:pStyle w:val="TableParagraph"/>
                          <w:ind w:left="107"/>
                          <w:rPr>
                            <w:sz w:val="21"/>
                          </w:rPr>
                        </w:pPr>
                        <w:r>
                          <w:rPr>
                            <w:sz w:val="21"/>
                          </w:rPr>
                          <w:t>适用后端申购费率（</w:t>
                        </w:r>
                        <w:r>
                          <w:rPr>
                            <w:rFonts w:ascii="Times New Roman" w:eastAsia="Times New Roman"/>
                            <w:sz w:val="21"/>
                          </w:rPr>
                          <w:t>G</w:t>
                        </w:r>
                        <w:r>
                          <w:rPr>
                            <w:sz w:val="21"/>
                          </w:rPr>
                          <w:t>）</w:t>
                        </w:r>
                      </w:p>
                    </w:tc>
                    <w:tc>
                      <w:tcPr>
                        <w:tcW w:w="3217" w:type="dxa"/>
                      </w:tcPr>
                      <w:p>
                        <w:pPr>
                          <w:pStyle w:val="TableParagraph"/>
                          <w:spacing w:before="36"/>
                          <w:ind w:right="93"/>
                          <w:jc w:val="right"/>
                          <w:rPr>
                            <w:rFonts w:ascii="Times New Roman"/>
                            <w:sz w:val="21"/>
                          </w:rPr>
                        </w:pPr>
                        <w:r>
                          <w:rPr>
                            <w:rFonts w:ascii="Times New Roman"/>
                            <w:sz w:val="21"/>
                          </w:rPr>
                          <w:t>1.8%</w:t>
                        </w:r>
                      </w:p>
                    </w:tc>
                  </w:tr>
                  <w:tr>
                    <w:trPr>
                      <w:trHeight w:val="316" w:hRule="atLeast"/>
                    </w:trPr>
                    <w:tc>
                      <w:tcPr>
                        <w:tcW w:w="4237" w:type="dxa"/>
                      </w:tcPr>
                      <w:p>
                        <w:pPr>
                          <w:pStyle w:val="TableParagraph"/>
                          <w:ind w:left="107"/>
                          <w:rPr>
                            <w:sz w:val="21"/>
                          </w:rPr>
                        </w:pPr>
                        <w:r>
                          <w:rPr>
                            <w:spacing w:val="-2"/>
                            <w:w w:val="100"/>
                            <w:sz w:val="21"/>
                          </w:rPr>
                          <w:t>后端申购费</w:t>
                        </w:r>
                        <w:r>
                          <w:rPr>
                            <w:spacing w:val="-3"/>
                            <w:w w:val="100"/>
                            <w:sz w:val="21"/>
                          </w:rPr>
                          <w:t>（</w:t>
                        </w:r>
                        <w:r>
                          <w:rPr>
                            <w:rFonts w:ascii="Times New Roman" w:hAnsi="Times New Roman" w:eastAsia="Times New Roman"/>
                            <w:w w:val="100"/>
                            <w:sz w:val="21"/>
                          </w:rPr>
                          <w:t>H</w:t>
                        </w:r>
                        <w:r>
                          <w:rPr>
                            <w:rFonts w:ascii="Times New Roman" w:hAnsi="Times New Roman" w:eastAsia="Times New Roman"/>
                            <w:spacing w:val="-2"/>
                            <w:w w:val="100"/>
                            <w:sz w:val="21"/>
                          </w:rPr>
                          <w:t>=</w:t>
                        </w:r>
                        <w:r>
                          <w:rPr>
                            <w:rFonts w:ascii="Times New Roman" w:hAnsi="Times New Roman" w:eastAsia="Times New Roman"/>
                            <w:w w:val="100"/>
                            <w:sz w:val="21"/>
                          </w:rPr>
                          <w:t>A</w:t>
                        </w:r>
                        <w:r>
                          <w:rPr>
                            <w:rFonts w:ascii="Times New Roman" w:hAnsi="Times New Roman" w:eastAsia="Times New Roman"/>
                            <w:spacing w:val="-24"/>
                            <w:w w:val="100"/>
                            <w:sz w:val="21"/>
                          </w:rPr>
                          <w:t>×</w:t>
                        </w:r>
                        <w:r>
                          <w:rPr>
                            <w:rFonts w:ascii="Times New Roman" w:hAnsi="Times New Roman" w:eastAsia="Times New Roman"/>
                            <w:spacing w:val="-3"/>
                            <w:w w:val="100"/>
                            <w:sz w:val="21"/>
                          </w:rPr>
                          <w:t>F</w:t>
                        </w:r>
                        <w:r>
                          <w:rPr>
                            <w:rFonts w:ascii="Times New Roman" w:hAnsi="Times New Roman" w:eastAsia="Times New Roman"/>
                            <w:spacing w:val="-24"/>
                            <w:w w:val="100"/>
                            <w:sz w:val="21"/>
                          </w:rPr>
                          <w:t>×</w:t>
                        </w:r>
                        <w:r>
                          <w:rPr>
                            <w:rFonts w:ascii="Times New Roman" w:hAnsi="Times New Roman" w:eastAsia="Times New Roman"/>
                            <w:w w:val="100"/>
                            <w:sz w:val="21"/>
                          </w:rPr>
                          <w:t>G</w:t>
                        </w:r>
                        <w:r>
                          <w:rPr>
                            <w:rFonts w:ascii="Times New Roman" w:hAnsi="Times New Roman" w:eastAsia="Times New Roman"/>
                            <w:w w:val="100"/>
                            <w:sz w:val="21"/>
                          </w:rPr>
                          <w:t>/</w:t>
                        </w:r>
                        <w:r>
                          <w:rPr>
                            <w:rFonts w:ascii="Times New Roman" w:hAnsi="Times New Roman" w:eastAsia="Times New Roman"/>
                            <w:spacing w:val="-8"/>
                            <w:sz w:val="21"/>
                          </w:rPr>
                          <w:t> </w:t>
                        </w:r>
                        <w:r>
                          <w:rPr>
                            <w:spacing w:val="-3"/>
                            <w:w w:val="100"/>
                            <w:sz w:val="21"/>
                          </w:rPr>
                          <w:t>（</w:t>
                        </w:r>
                        <w:r>
                          <w:rPr>
                            <w:rFonts w:ascii="Times New Roman" w:hAnsi="Times New Roman" w:eastAsia="Times New Roman"/>
                            <w:w w:val="100"/>
                            <w:sz w:val="21"/>
                          </w:rPr>
                          <w:t>1</w:t>
                        </w:r>
                        <w:r>
                          <w:rPr>
                            <w:rFonts w:ascii="Times New Roman" w:hAnsi="Times New Roman" w:eastAsia="Times New Roman"/>
                            <w:spacing w:val="-2"/>
                            <w:w w:val="100"/>
                            <w:sz w:val="21"/>
                          </w:rPr>
                          <w:t>+</w:t>
                        </w:r>
                        <w:r>
                          <w:rPr>
                            <w:rFonts w:ascii="Times New Roman" w:hAnsi="Times New Roman" w:eastAsia="Times New Roman"/>
                            <w:spacing w:val="1"/>
                            <w:w w:val="100"/>
                            <w:sz w:val="21"/>
                          </w:rPr>
                          <w:t>G</w:t>
                        </w:r>
                        <w:r>
                          <w:rPr>
                            <w:spacing w:val="-106"/>
                            <w:w w:val="100"/>
                            <w:sz w:val="21"/>
                          </w:rPr>
                          <w:t>））</w:t>
                        </w:r>
                      </w:p>
                    </w:tc>
                    <w:tc>
                      <w:tcPr>
                        <w:tcW w:w="3217" w:type="dxa"/>
                      </w:tcPr>
                      <w:p>
                        <w:pPr>
                          <w:pStyle w:val="TableParagraph"/>
                          <w:spacing w:before="36"/>
                          <w:ind w:right="94"/>
                          <w:jc w:val="right"/>
                          <w:rPr>
                            <w:rFonts w:ascii="Times New Roman"/>
                            <w:sz w:val="21"/>
                          </w:rPr>
                        </w:pPr>
                        <w:r>
                          <w:rPr>
                            <w:rFonts w:ascii="Times New Roman"/>
                            <w:sz w:val="21"/>
                          </w:rPr>
                          <w:t>19.45</w:t>
                        </w:r>
                      </w:p>
                    </w:tc>
                  </w:tr>
                  <w:tr>
                    <w:trPr>
                      <w:trHeight w:val="316" w:hRule="atLeast"/>
                    </w:trPr>
                    <w:tc>
                      <w:tcPr>
                        <w:tcW w:w="4237" w:type="dxa"/>
                      </w:tcPr>
                      <w:p>
                        <w:pPr>
                          <w:pStyle w:val="TableParagraph"/>
                          <w:ind w:left="107"/>
                          <w:rPr>
                            <w:sz w:val="21"/>
                          </w:rPr>
                        </w:pPr>
                        <w:r>
                          <w:rPr>
                            <w:sz w:val="21"/>
                          </w:rPr>
                          <w:t>转出基金费用（</w:t>
                        </w:r>
                        <w:r>
                          <w:rPr>
                            <w:rFonts w:ascii="Times New Roman" w:eastAsia="Times New Roman"/>
                            <w:sz w:val="21"/>
                          </w:rPr>
                          <w:t>I=E+H</w:t>
                        </w:r>
                        <w:r>
                          <w:rPr>
                            <w:sz w:val="21"/>
                          </w:rPr>
                          <w:t>）</w:t>
                        </w:r>
                      </w:p>
                    </w:tc>
                    <w:tc>
                      <w:tcPr>
                        <w:tcW w:w="3217" w:type="dxa"/>
                      </w:tcPr>
                      <w:p>
                        <w:pPr>
                          <w:pStyle w:val="TableParagraph"/>
                          <w:spacing w:before="36"/>
                          <w:ind w:right="94"/>
                          <w:jc w:val="right"/>
                          <w:rPr>
                            <w:rFonts w:ascii="Times New Roman"/>
                            <w:sz w:val="21"/>
                          </w:rPr>
                        </w:pPr>
                        <w:r>
                          <w:rPr>
                            <w:rFonts w:ascii="Times New Roman"/>
                            <w:sz w:val="21"/>
                          </w:rPr>
                          <w:t>25.45</w:t>
                        </w:r>
                      </w:p>
                    </w:tc>
                  </w:tr>
                  <w:tr>
                    <w:trPr>
                      <w:trHeight w:val="316" w:hRule="atLeast"/>
                    </w:trPr>
                    <w:tc>
                      <w:tcPr>
                        <w:tcW w:w="4237" w:type="dxa"/>
                      </w:tcPr>
                      <w:p>
                        <w:pPr>
                          <w:pStyle w:val="TableParagraph"/>
                          <w:ind w:left="107"/>
                          <w:rPr>
                            <w:sz w:val="21"/>
                          </w:rPr>
                        </w:pPr>
                        <w:r>
                          <w:rPr>
                            <w:sz w:val="21"/>
                          </w:rPr>
                          <w:t>转换金额（</w:t>
                        </w:r>
                        <w:r>
                          <w:rPr>
                            <w:rFonts w:ascii="Times New Roman" w:eastAsia="Times New Roman"/>
                            <w:sz w:val="21"/>
                          </w:rPr>
                          <w:t>J=C-I</w:t>
                        </w:r>
                        <w:r>
                          <w:rPr>
                            <w:sz w:val="21"/>
                          </w:rPr>
                          <w:t>）</w:t>
                        </w:r>
                      </w:p>
                    </w:tc>
                    <w:tc>
                      <w:tcPr>
                        <w:tcW w:w="3217" w:type="dxa"/>
                      </w:tcPr>
                      <w:p>
                        <w:pPr>
                          <w:pStyle w:val="TableParagraph"/>
                          <w:spacing w:before="36"/>
                          <w:ind w:right="94"/>
                          <w:jc w:val="right"/>
                          <w:rPr>
                            <w:rFonts w:ascii="Times New Roman"/>
                            <w:sz w:val="21"/>
                          </w:rPr>
                        </w:pPr>
                        <w:r>
                          <w:rPr>
                            <w:rFonts w:ascii="Times New Roman"/>
                            <w:sz w:val="21"/>
                          </w:rPr>
                          <w:t>1,174.55</w:t>
                        </w:r>
                      </w:p>
                    </w:tc>
                  </w:tr>
                  <w:tr>
                    <w:trPr>
                      <w:trHeight w:val="319" w:hRule="atLeast"/>
                    </w:trPr>
                    <w:tc>
                      <w:tcPr>
                        <w:tcW w:w="4237" w:type="dxa"/>
                      </w:tcPr>
                      <w:p>
                        <w:pPr>
                          <w:pStyle w:val="TableParagraph"/>
                          <w:ind w:left="107"/>
                          <w:rPr>
                            <w:sz w:val="21"/>
                          </w:rPr>
                        </w:pPr>
                        <w:r>
                          <w:rPr>
                            <w:sz w:val="21"/>
                          </w:rPr>
                          <w:t>转入时收取申购费率（</w:t>
                        </w:r>
                        <w:r>
                          <w:rPr>
                            <w:rFonts w:ascii="Times New Roman" w:eastAsia="Times New Roman"/>
                            <w:sz w:val="21"/>
                          </w:rPr>
                          <w:t>K</w:t>
                        </w:r>
                        <w:r>
                          <w:rPr>
                            <w:sz w:val="21"/>
                          </w:rPr>
                          <w:t>）</w:t>
                        </w:r>
                      </w:p>
                    </w:tc>
                    <w:tc>
                      <w:tcPr>
                        <w:tcW w:w="3217" w:type="dxa"/>
                      </w:tcPr>
                      <w:p>
                        <w:pPr>
                          <w:pStyle w:val="TableParagraph"/>
                          <w:spacing w:before="37"/>
                          <w:ind w:right="94"/>
                          <w:jc w:val="right"/>
                          <w:rPr>
                            <w:rFonts w:ascii="Times New Roman"/>
                            <w:sz w:val="21"/>
                          </w:rPr>
                        </w:pPr>
                        <w:r>
                          <w:rPr>
                            <w:rFonts w:ascii="Times New Roman"/>
                            <w:sz w:val="21"/>
                          </w:rPr>
                          <w:t>2.0%-1.5%=0.5%</w:t>
                        </w:r>
                      </w:p>
                    </w:tc>
                  </w:tr>
                  <w:tr>
                    <w:trPr>
                      <w:trHeight w:val="316" w:hRule="atLeast"/>
                    </w:trPr>
                    <w:tc>
                      <w:tcPr>
                        <w:tcW w:w="4237" w:type="dxa"/>
                      </w:tcPr>
                      <w:p>
                        <w:pPr>
                          <w:pStyle w:val="TableParagraph"/>
                          <w:ind w:left="107"/>
                          <w:rPr>
                            <w:sz w:val="21"/>
                          </w:rPr>
                        </w:pPr>
                        <w:r>
                          <w:rPr>
                            <w:sz w:val="21"/>
                          </w:rPr>
                          <w:t>净转入金额（</w:t>
                        </w:r>
                        <w:r>
                          <w:rPr>
                            <w:rFonts w:ascii="Times New Roman" w:eastAsia="Times New Roman"/>
                            <w:sz w:val="21"/>
                          </w:rPr>
                          <w:t>L=J/</w:t>
                        </w:r>
                        <w:r>
                          <w:rPr>
                            <w:sz w:val="21"/>
                          </w:rPr>
                          <w:t>(</w:t>
                        </w:r>
                        <w:r>
                          <w:rPr>
                            <w:rFonts w:ascii="Times New Roman" w:eastAsia="Times New Roman"/>
                            <w:sz w:val="21"/>
                          </w:rPr>
                          <w:t>1+K</w:t>
                        </w:r>
                        <w:r>
                          <w:rPr>
                            <w:sz w:val="21"/>
                          </w:rPr>
                          <w:t>)）</w:t>
                        </w:r>
                      </w:p>
                    </w:tc>
                    <w:tc>
                      <w:tcPr>
                        <w:tcW w:w="3217" w:type="dxa"/>
                      </w:tcPr>
                      <w:p>
                        <w:pPr>
                          <w:pStyle w:val="TableParagraph"/>
                          <w:spacing w:before="36"/>
                          <w:ind w:right="94"/>
                          <w:jc w:val="right"/>
                          <w:rPr>
                            <w:rFonts w:ascii="Times New Roman"/>
                            <w:sz w:val="21"/>
                          </w:rPr>
                        </w:pPr>
                        <w:r>
                          <w:rPr>
                            <w:rFonts w:ascii="Times New Roman"/>
                            <w:sz w:val="21"/>
                          </w:rPr>
                          <w:t>1,168.71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24" w:lineRule="auto"/>
        <w:jc w:val="left"/>
        <w:rPr>
          <w:sz w:val="21"/>
        </w:rPr>
        <w:sectPr>
          <w:pgSz w:w="11910" w:h="16840"/>
          <w:pgMar w:header="701" w:footer="683" w:top="1420" w:bottom="880" w:left="1500" w:right="920"/>
        </w:sectPr>
      </w:pP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6" w:hRule="atLeast"/>
        </w:trPr>
        <w:tc>
          <w:tcPr>
            <w:tcW w:w="4237" w:type="dxa"/>
          </w:tcPr>
          <w:p>
            <w:pPr>
              <w:pStyle w:val="TableParagraph"/>
              <w:ind w:left="107"/>
              <w:rPr>
                <w:sz w:val="21"/>
              </w:rPr>
            </w:pPr>
            <w:r>
              <w:rPr>
                <w:sz w:val="21"/>
              </w:rPr>
              <w:t>转入基金费用（</w:t>
            </w:r>
            <w:r>
              <w:rPr>
                <w:rFonts w:ascii="Times New Roman" w:eastAsia="Times New Roman"/>
                <w:sz w:val="21"/>
              </w:rPr>
              <w:t>M=J-L</w:t>
            </w:r>
            <w:r>
              <w:rPr>
                <w:sz w:val="21"/>
              </w:rPr>
              <w:t>）</w:t>
            </w:r>
          </w:p>
        </w:tc>
        <w:tc>
          <w:tcPr>
            <w:tcW w:w="3217" w:type="dxa"/>
          </w:tcPr>
          <w:p>
            <w:pPr>
              <w:pStyle w:val="TableParagraph"/>
              <w:spacing w:before="37"/>
              <w:ind w:right="94"/>
              <w:jc w:val="right"/>
              <w:rPr>
                <w:rFonts w:ascii="Times New Roman"/>
                <w:sz w:val="21"/>
              </w:rPr>
            </w:pPr>
            <w:r>
              <w:rPr>
                <w:rFonts w:ascii="Times New Roman"/>
                <w:sz w:val="21"/>
              </w:rPr>
              <w:t>5.84</w:t>
            </w:r>
          </w:p>
        </w:tc>
      </w:tr>
      <w:tr>
        <w:trPr>
          <w:trHeight w:val="316" w:hRule="atLeast"/>
        </w:trPr>
        <w:tc>
          <w:tcPr>
            <w:tcW w:w="4237"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N</w:t>
            </w:r>
            <w:r>
              <w:rPr>
                <w:sz w:val="21"/>
              </w:rPr>
              <w:t>）</w:t>
            </w:r>
          </w:p>
        </w:tc>
        <w:tc>
          <w:tcPr>
            <w:tcW w:w="3217" w:type="dxa"/>
          </w:tcPr>
          <w:p>
            <w:pPr>
              <w:pStyle w:val="TableParagraph"/>
              <w:spacing w:before="36"/>
              <w:ind w:right="94"/>
              <w:jc w:val="right"/>
              <w:rPr>
                <w:rFonts w:ascii="Times New Roman"/>
                <w:sz w:val="21"/>
              </w:rPr>
            </w:pPr>
            <w:r>
              <w:rPr>
                <w:rFonts w:ascii="Times New Roman"/>
                <w:sz w:val="21"/>
              </w:rPr>
              <w:t>1.300</w:t>
            </w:r>
          </w:p>
        </w:tc>
      </w:tr>
      <w:tr>
        <w:trPr>
          <w:trHeight w:val="318" w:hRule="atLeast"/>
        </w:trPr>
        <w:tc>
          <w:tcPr>
            <w:tcW w:w="4237" w:type="dxa"/>
          </w:tcPr>
          <w:p>
            <w:pPr>
              <w:pStyle w:val="TableParagraph"/>
              <w:spacing w:before="27"/>
              <w:ind w:left="107"/>
              <w:rPr>
                <w:sz w:val="21"/>
              </w:rPr>
            </w:pPr>
            <w:r>
              <w:rPr>
                <w:sz w:val="21"/>
              </w:rPr>
              <w:t>转入基金份额（</w:t>
            </w:r>
            <w:r>
              <w:rPr>
                <w:rFonts w:ascii="Times New Roman" w:eastAsia="Times New Roman"/>
                <w:sz w:val="21"/>
              </w:rPr>
              <w:t>O=L/N</w:t>
            </w:r>
            <w:r>
              <w:rPr>
                <w:sz w:val="21"/>
              </w:rPr>
              <w:t>）</w:t>
            </w:r>
          </w:p>
        </w:tc>
        <w:tc>
          <w:tcPr>
            <w:tcW w:w="3217" w:type="dxa"/>
          </w:tcPr>
          <w:p>
            <w:pPr>
              <w:pStyle w:val="TableParagraph"/>
              <w:spacing w:before="39"/>
              <w:ind w:right="94"/>
              <w:jc w:val="right"/>
              <w:rPr>
                <w:rFonts w:ascii="Times New Roman"/>
                <w:sz w:val="21"/>
              </w:rPr>
            </w:pPr>
            <w:r>
              <w:rPr>
                <w:rFonts w:ascii="Times New Roman"/>
                <w:sz w:val="21"/>
              </w:rPr>
              <w:t>899.01</w:t>
            </w:r>
          </w:p>
        </w:tc>
      </w:tr>
    </w:tbl>
    <w:p>
      <w:pPr>
        <w:pStyle w:val="ListParagraph"/>
        <w:numPr>
          <w:ilvl w:val="0"/>
          <w:numId w:val="23"/>
        </w:numPr>
        <w:tabs>
          <w:tab w:pos="1250" w:val="left" w:leader="none"/>
        </w:tabs>
        <w:spacing w:line="424" w:lineRule="auto" w:before="114" w:after="0"/>
        <w:ind w:left="300" w:right="768" w:firstLine="419"/>
        <w:jc w:val="left"/>
        <w:rPr>
          <w:sz w:val="21"/>
        </w:rPr>
      </w:pPr>
      <w:r>
        <w:rPr/>
        <w:pict>
          <v:shape style="position:absolute;margin-left:111.739998pt;margin-top:47.999996pt;width:372.2pt;height:262.150pt;mso-position-horizontal-relative:page;mso-position-vertical-relative:paragraph;z-index:2516776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6" w:hRule="atLeast"/>
                    </w:trPr>
                    <w:tc>
                      <w:tcPr>
                        <w:tcW w:w="4225" w:type="dxa"/>
                      </w:tcPr>
                      <w:p>
                        <w:pPr>
                          <w:pStyle w:val="TableParagraph"/>
                          <w:ind w:left="1880" w:right="1875"/>
                          <w:jc w:val="center"/>
                          <w:rPr>
                            <w:sz w:val="21"/>
                          </w:rPr>
                        </w:pPr>
                        <w:r>
                          <w:rPr>
                            <w:sz w:val="21"/>
                          </w:rPr>
                          <w:t>项目</w:t>
                        </w:r>
                      </w:p>
                    </w:tc>
                    <w:tc>
                      <w:tcPr>
                        <w:tcW w:w="3205" w:type="dxa"/>
                      </w:tcPr>
                      <w:p>
                        <w:pPr>
                          <w:pStyle w:val="TableParagraph"/>
                          <w:ind w:left="1164" w:right="1151"/>
                          <w:jc w:val="center"/>
                          <w:rPr>
                            <w:sz w:val="21"/>
                          </w:rPr>
                        </w:pPr>
                        <w:r>
                          <w:rPr>
                            <w:sz w:val="21"/>
                          </w:rPr>
                          <w:t>费用计算</w:t>
                        </w:r>
                      </w:p>
                    </w:tc>
                  </w:tr>
                  <w:tr>
                    <w:trPr>
                      <w:trHeight w:val="318" w:hRule="atLeast"/>
                    </w:trPr>
                    <w:tc>
                      <w:tcPr>
                        <w:tcW w:w="4225" w:type="dxa"/>
                      </w:tcPr>
                      <w:p>
                        <w:pPr>
                          <w:pStyle w:val="TableParagraph"/>
                          <w:spacing w:before="27"/>
                          <w:ind w:left="105"/>
                          <w:rPr>
                            <w:sz w:val="21"/>
                          </w:rPr>
                        </w:pPr>
                        <w:r>
                          <w:rPr>
                            <w:sz w:val="21"/>
                          </w:rPr>
                          <w:t>转出份额（</w:t>
                        </w:r>
                        <w:r>
                          <w:rPr>
                            <w:rFonts w:ascii="Times New Roman" w:eastAsia="Times New Roman"/>
                            <w:sz w:val="21"/>
                          </w:rPr>
                          <w:t>A</w:t>
                        </w:r>
                        <w:r>
                          <w:rPr>
                            <w:sz w:val="21"/>
                          </w:rPr>
                          <w:t>）</w:t>
                        </w:r>
                      </w:p>
                    </w:tc>
                    <w:tc>
                      <w:tcPr>
                        <w:tcW w:w="3205" w:type="dxa"/>
                      </w:tcPr>
                      <w:p>
                        <w:pPr>
                          <w:pStyle w:val="TableParagraph"/>
                          <w:spacing w:before="39"/>
                          <w:ind w:right="91"/>
                          <w:jc w:val="right"/>
                          <w:rPr>
                            <w:rFonts w:ascii="Times New Roman"/>
                            <w:sz w:val="21"/>
                          </w:rPr>
                        </w:pPr>
                        <w:r>
                          <w:rPr>
                            <w:rFonts w:ascii="Times New Roman"/>
                            <w:sz w:val="21"/>
                          </w:rPr>
                          <w:t>1,000.00</w:t>
                        </w:r>
                      </w:p>
                    </w:tc>
                  </w:tr>
                  <w:tr>
                    <w:trPr>
                      <w:trHeight w:val="316" w:hRule="atLeast"/>
                    </w:trPr>
                    <w:tc>
                      <w:tcPr>
                        <w:tcW w:w="4225" w:type="dxa"/>
                      </w:tcPr>
                      <w:p>
                        <w:pPr>
                          <w:pStyle w:val="TableParagraph"/>
                          <w:ind w:left="105"/>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05" w:type="dxa"/>
                      </w:tcPr>
                      <w:p>
                        <w:pPr>
                          <w:pStyle w:val="TableParagraph"/>
                          <w:spacing w:before="36"/>
                          <w:ind w:right="91"/>
                          <w:jc w:val="right"/>
                          <w:rPr>
                            <w:rFonts w:ascii="Times New Roman"/>
                            <w:sz w:val="21"/>
                          </w:rPr>
                        </w:pPr>
                        <w:r>
                          <w:rPr>
                            <w:rFonts w:ascii="Times New Roman"/>
                            <w:sz w:val="21"/>
                          </w:rPr>
                          <w:t>1.200</w:t>
                        </w:r>
                      </w:p>
                    </w:tc>
                  </w:tr>
                  <w:tr>
                    <w:trPr>
                      <w:trHeight w:val="316" w:hRule="atLeast"/>
                    </w:trPr>
                    <w:tc>
                      <w:tcPr>
                        <w:tcW w:w="4225" w:type="dxa"/>
                      </w:tcPr>
                      <w:p>
                        <w:pPr>
                          <w:pStyle w:val="TableParagraph"/>
                          <w:ind w:left="105"/>
                          <w:rPr>
                            <w:sz w:val="21"/>
                          </w:rPr>
                        </w:pPr>
                        <w:r>
                          <w:rPr>
                            <w:sz w:val="21"/>
                          </w:rPr>
                          <w:t>转出总金额（</w:t>
                        </w:r>
                        <w:r>
                          <w:rPr>
                            <w:rFonts w:ascii="Times New Roman" w:eastAsia="Times New Roman"/>
                            <w:sz w:val="21"/>
                          </w:rPr>
                          <w:t>C=A*B</w:t>
                        </w:r>
                        <w:r>
                          <w:rPr>
                            <w:sz w:val="21"/>
                          </w:rPr>
                          <w:t>）</w:t>
                        </w:r>
                      </w:p>
                    </w:tc>
                    <w:tc>
                      <w:tcPr>
                        <w:tcW w:w="3205" w:type="dxa"/>
                      </w:tcPr>
                      <w:p>
                        <w:pPr>
                          <w:pStyle w:val="TableParagraph"/>
                          <w:spacing w:before="36"/>
                          <w:ind w:right="91"/>
                          <w:jc w:val="right"/>
                          <w:rPr>
                            <w:rFonts w:ascii="Times New Roman"/>
                            <w:sz w:val="21"/>
                          </w:rPr>
                        </w:pPr>
                        <w:r>
                          <w:rPr>
                            <w:rFonts w:ascii="Times New Roman"/>
                            <w:sz w:val="21"/>
                          </w:rPr>
                          <w:t>1,200.00</w:t>
                        </w:r>
                      </w:p>
                    </w:tc>
                  </w:tr>
                  <w:tr>
                    <w:trPr>
                      <w:trHeight w:val="317" w:hRule="atLeast"/>
                    </w:trPr>
                    <w:tc>
                      <w:tcPr>
                        <w:tcW w:w="4225" w:type="dxa"/>
                      </w:tcPr>
                      <w:p>
                        <w:pPr>
                          <w:pStyle w:val="TableParagraph"/>
                          <w:ind w:left="105"/>
                          <w:rPr>
                            <w:sz w:val="21"/>
                          </w:rPr>
                        </w:pPr>
                        <w:r>
                          <w:rPr>
                            <w:sz w:val="21"/>
                          </w:rPr>
                          <w:t>转出基金赎回费率（</w:t>
                        </w:r>
                        <w:r>
                          <w:rPr>
                            <w:rFonts w:ascii="Times New Roman" w:eastAsia="Times New Roman"/>
                            <w:sz w:val="21"/>
                          </w:rPr>
                          <w:t>D</w:t>
                        </w:r>
                        <w:r>
                          <w:rPr>
                            <w:sz w:val="21"/>
                          </w:rPr>
                          <w:t>）</w:t>
                        </w:r>
                      </w:p>
                    </w:tc>
                    <w:tc>
                      <w:tcPr>
                        <w:tcW w:w="3205" w:type="dxa"/>
                      </w:tcPr>
                      <w:p>
                        <w:pPr>
                          <w:pStyle w:val="TableParagraph"/>
                          <w:spacing w:before="37"/>
                          <w:ind w:right="91"/>
                          <w:jc w:val="right"/>
                          <w:rPr>
                            <w:rFonts w:ascii="Times New Roman"/>
                            <w:sz w:val="21"/>
                          </w:rPr>
                        </w:pPr>
                        <w:r>
                          <w:rPr>
                            <w:rFonts w:ascii="Times New Roman"/>
                            <w:sz w:val="21"/>
                          </w:rPr>
                          <w:t>0.5%</w:t>
                        </w:r>
                      </w:p>
                    </w:tc>
                  </w:tr>
                  <w:tr>
                    <w:trPr>
                      <w:trHeight w:val="318" w:hRule="atLeast"/>
                    </w:trPr>
                    <w:tc>
                      <w:tcPr>
                        <w:tcW w:w="4225" w:type="dxa"/>
                      </w:tcPr>
                      <w:p>
                        <w:pPr>
                          <w:pStyle w:val="TableParagraph"/>
                          <w:spacing w:before="27"/>
                          <w:ind w:left="105"/>
                          <w:rPr>
                            <w:sz w:val="21"/>
                          </w:rPr>
                        </w:pPr>
                        <w:r>
                          <w:rPr>
                            <w:sz w:val="21"/>
                          </w:rPr>
                          <w:t>赎回费（</w:t>
                        </w:r>
                        <w:r>
                          <w:rPr>
                            <w:rFonts w:ascii="Times New Roman" w:eastAsia="Times New Roman"/>
                            <w:sz w:val="21"/>
                          </w:rPr>
                          <w:t>E=C*D</w:t>
                        </w:r>
                        <w:r>
                          <w:rPr>
                            <w:sz w:val="21"/>
                          </w:rPr>
                          <w:t>）</w:t>
                        </w:r>
                      </w:p>
                    </w:tc>
                    <w:tc>
                      <w:tcPr>
                        <w:tcW w:w="3205" w:type="dxa"/>
                      </w:tcPr>
                      <w:p>
                        <w:pPr>
                          <w:pStyle w:val="TableParagraph"/>
                          <w:spacing w:before="39"/>
                          <w:ind w:right="91"/>
                          <w:jc w:val="right"/>
                          <w:rPr>
                            <w:rFonts w:ascii="Times New Roman"/>
                            <w:sz w:val="21"/>
                          </w:rPr>
                        </w:pPr>
                        <w:r>
                          <w:rPr>
                            <w:rFonts w:ascii="Times New Roman"/>
                            <w:sz w:val="21"/>
                          </w:rPr>
                          <w:t>6.00</w:t>
                        </w:r>
                      </w:p>
                    </w:tc>
                  </w:tr>
                  <w:tr>
                    <w:trPr>
                      <w:trHeight w:val="316" w:hRule="atLeast"/>
                    </w:trPr>
                    <w:tc>
                      <w:tcPr>
                        <w:tcW w:w="4225" w:type="dxa"/>
                      </w:tcPr>
                      <w:p>
                        <w:pPr>
                          <w:pStyle w:val="TableParagraph"/>
                          <w:ind w:left="105"/>
                          <w:rPr>
                            <w:sz w:val="21"/>
                          </w:rPr>
                        </w:pPr>
                        <w:r>
                          <w:rPr>
                            <w:sz w:val="21"/>
                          </w:rPr>
                          <w:t>申购日转出基金基金份额净值（</w:t>
                        </w:r>
                        <w:r>
                          <w:rPr>
                            <w:rFonts w:ascii="Times New Roman" w:eastAsia="Times New Roman"/>
                            <w:sz w:val="21"/>
                          </w:rPr>
                          <w:t>F</w:t>
                        </w:r>
                        <w:r>
                          <w:rPr>
                            <w:sz w:val="21"/>
                          </w:rPr>
                          <w:t>）</w:t>
                        </w:r>
                      </w:p>
                    </w:tc>
                    <w:tc>
                      <w:tcPr>
                        <w:tcW w:w="3205" w:type="dxa"/>
                      </w:tcPr>
                      <w:p>
                        <w:pPr>
                          <w:pStyle w:val="TableParagraph"/>
                          <w:spacing w:before="36"/>
                          <w:ind w:right="91"/>
                          <w:jc w:val="right"/>
                          <w:rPr>
                            <w:rFonts w:ascii="Times New Roman"/>
                            <w:sz w:val="21"/>
                          </w:rPr>
                        </w:pPr>
                        <w:r>
                          <w:rPr>
                            <w:rFonts w:ascii="Times New Roman"/>
                            <w:sz w:val="21"/>
                          </w:rPr>
                          <w:t>1.100</w:t>
                        </w:r>
                      </w:p>
                    </w:tc>
                  </w:tr>
                  <w:tr>
                    <w:trPr>
                      <w:trHeight w:val="316" w:hRule="atLeast"/>
                    </w:trPr>
                    <w:tc>
                      <w:tcPr>
                        <w:tcW w:w="4225" w:type="dxa"/>
                      </w:tcPr>
                      <w:p>
                        <w:pPr>
                          <w:pStyle w:val="TableParagraph"/>
                          <w:ind w:left="105"/>
                          <w:rPr>
                            <w:sz w:val="21"/>
                          </w:rPr>
                        </w:pPr>
                        <w:r>
                          <w:rPr>
                            <w:sz w:val="21"/>
                          </w:rPr>
                          <w:t>适用后端申购费率（</w:t>
                        </w:r>
                        <w:r>
                          <w:rPr>
                            <w:rFonts w:ascii="Times New Roman" w:eastAsia="Times New Roman"/>
                            <w:sz w:val="21"/>
                          </w:rPr>
                          <w:t>G</w:t>
                        </w:r>
                        <w:r>
                          <w:rPr>
                            <w:sz w:val="21"/>
                          </w:rPr>
                          <w:t>）</w:t>
                        </w:r>
                      </w:p>
                    </w:tc>
                    <w:tc>
                      <w:tcPr>
                        <w:tcW w:w="3205" w:type="dxa"/>
                      </w:tcPr>
                      <w:p>
                        <w:pPr>
                          <w:pStyle w:val="TableParagraph"/>
                          <w:spacing w:before="36"/>
                          <w:ind w:right="91"/>
                          <w:jc w:val="right"/>
                          <w:rPr>
                            <w:rFonts w:ascii="Times New Roman"/>
                            <w:sz w:val="21"/>
                          </w:rPr>
                        </w:pPr>
                        <w:r>
                          <w:rPr>
                            <w:rFonts w:ascii="Times New Roman"/>
                            <w:sz w:val="21"/>
                          </w:rPr>
                          <w:t>1.8%</w:t>
                        </w:r>
                      </w:p>
                    </w:tc>
                  </w:tr>
                  <w:tr>
                    <w:trPr>
                      <w:trHeight w:val="316" w:hRule="atLeast"/>
                    </w:trPr>
                    <w:tc>
                      <w:tcPr>
                        <w:tcW w:w="4225" w:type="dxa"/>
                      </w:tcPr>
                      <w:p>
                        <w:pPr>
                          <w:pStyle w:val="TableParagraph"/>
                          <w:ind w:left="105"/>
                          <w:rPr>
                            <w:sz w:val="21"/>
                          </w:rPr>
                        </w:pPr>
                        <w:r>
                          <w:rPr>
                            <w:spacing w:val="-2"/>
                            <w:w w:val="100"/>
                            <w:sz w:val="21"/>
                          </w:rPr>
                          <w:t>后端申购费</w:t>
                        </w:r>
                        <w:r>
                          <w:rPr>
                            <w:spacing w:val="-3"/>
                            <w:w w:val="100"/>
                            <w:sz w:val="21"/>
                          </w:rPr>
                          <w:t>（</w:t>
                        </w:r>
                        <w:r>
                          <w:rPr>
                            <w:rFonts w:ascii="Times New Roman" w:hAnsi="Times New Roman" w:eastAsia="Times New Roman"/>
                            <w:w w:val="100"/>
                            <w:sz w:val="21"/>
                          </w:rPr>
                          <w:t>H</w:t>
                        </w:r>
                        <w:r>
                          <w:rPr>
                            <w:rFonts w:ascii="Times New Roman" w:hAnsi="Times New Roman" w:eastAsia="Times New Roman"/>
                            <w:spacing w:val="-2"/>
                            <w:w w:val="100"/>
                            <w:sz w:val="21"/>
                          </w:rPr>
                          <w:t>=</w:t>
                        </w:r>
                        <w:r>
                          <w:rPr>
                            <w:rFonts w:ascii="Times New Roman" w:hAnsi="Times New Roman" w:eastAsia="Times New Roman"/>
                            <w:w w:val="100"/>
                            <w:sz w:val="21"/>
                          </w:rPr>
                          <w:t>A</w:t>
                        </w:r>
                        <w:r>
                          <w:rPr>
                            <w:rFonts w:ascii="Times New Roman" w:hAnsi="Times New Roman" w:eastAsia="Times New Roman"/>
                            <w:spacing w:val="-24"/>
                            <w:w w:val="100"/>
                            <w:sz w:val="21"/>
                          </w:rPr>
                          <w:t>×</w:t>
                        </w:r>
                        <w:r>
                          <w:rPr>
                            <w:rFonts w:ascii="Times New Roman" w:hAnsi="Times New Roman" w:eastAsia="Times New Roman"/>
                            <w:spacing w:val="-3"/>
                            <w:w w:val="100"/>
                            <w:sz w:val="21"/>
                          </w:rPr>
                          <w:t>F</w:t>
                        </w:r>
                        <w:r>
                          <w:rPr>
                            <w:rFonts w:ascii="Times New Roman" w:hAnsi="Times New Roman" w:eastAsia="Times New Roman"/>
                            <w:spacing w:val="-24"/>
                            <w:w w:val="100"/>
                            <w:sz w:val="21"/>
                          </w:rPr>
                          <w:t>×</w:t>
                        </w:r>
                        <w:r>
                          <w:rPr>
                            <w:rFonts w:ascii="Times New Roman" w:hAnsi="Times New Roman" w:eastAsia="Times New Roman"/>
                            <w:w w:val="100"/>
                            <w:sz w:val="21"/>
                          </w:rPr>
                          <w:t>G</w:t>
                        </w:r>
                        <w:r>
                          <w:rPr>
                            <w:rFonts w:ascii="Times New Roman" w:hAnsi="Times New Roman" w:eastAsia="Times New Roman"/>
                            <w:w w:val="100"/>
                            <w:sz w:val="21"/>
                          </w:rPr>
                          <w:t>/</w:t>
                        </w:r>
                        <w:r>
                          <w:rPr>
                            <w:rFonts w:ascii="Times New Roman" w:hAnsi="Times New Roman" w:eastAsia="Times New Roman"/>
                            <w:spacing w:val="-8"/>
                            <w:sz w:val="21"/>
                          </w:rPr>
                          <w:t> </w:t>
                        </w:r>
                        <w:r>
                          <w:rPr>
                            <w:spacing w:val="-3"/>
                            <w:w w:val="100"/>
                            <w:sz w:val="21"/>
                          </w:rPr>
                          <w:t>（</w:t>
                        </w:r>
                        <w:r>
                          <w:rPr>
                            <w:rFonts w:ascii="Times New Roman" w:hAnsi="Times New Roman" w:eastAsia="Times New Roman"/>
                            <w:w w:val="100"/>
                            <w:sz w:val="21"/>
                          </w:rPr>
                          <w:t>1</w:t>
                        </w:r>
                        <w:r>
                          <w:rPr>
                            <w:rFonts w:ascii="Times New Roman" w:hAnsi="Times New Roman" w:eastAsia="Times New Roman"/>
                            <w:spacing w:val="-2"/>
                            <w:w w:val="100"/>
                            <w:sz w:val="21"/>
                          </w:rPr>
                          <w:t>+</w:t>
                        </w:r>
                        <w:r>
                          <w:rPr>
                            <w:rFonts w:ascii="Times New Roman" w:hAnsi="Times New Roman" w:eastAsia="Times New Roman"/>
                            <w:spacing w:val="1"/>
                            <w:w w:val="100"/>
                            <w:sz w:val="21"/>
                          </w:rPr>
                          <w:t>G</w:t>
                        </w:r>
                        <w:r>
                          <w:rPr>
                            <w:spacing w:val="-106"/>
                            <w:w w:val="100"/>
                            <w:sz w:val="21"/>
                          </w:rPr>
                          <w:t>））</w:t>
                        </w:r>
                      </w:p>
                    </w:tc>
                    <w:tc>
                      <w:tcPr>
                        <w:tcW w:w="3205" w:type="dxa"/>
                      </w:tcPr>
                      <w:p>
                        <w:pPr>
                          <w:pStyle w:val="TableParagraph"/>
                          <w:spacing w:before="36"/>
                          <w:ind w:right="91"/>
                          <w:jc w:val="right"/>
                          <w:rPr>
                            <w:rFonts w:ascii="Times New Roman"/>
                            <w:sz w:val="21"/>
                          </w:rPr>
                        </w:pPr>
                        <w:r>
                          <w:rPr>
                            <w:rFonts w:ascii="Times New Roman"/>
                            <w:sz w:val="21"/>
                          </w:rPr>
                          <w:t>19.45</w:t>
                        </w:r>
                      </w:p>
                    </w:tc>
                  </w:tr>
                  <w:tr>
                    <w:trPr>
                      <w:trHeight w:val="318" w:hRule="atLeast"/>
                    </w:trPr>
                    <w:tc>
                      <w:tcPr>
                        <w:tcW w:w="4225" w:type="dxa"/>
                      </w:tcPr>
                      <w:p>
                        <w:pPr>
                          <w:pStyle w:val="TableParagraph"/>
                          <w:spacing w:before="27"/>
                          <w:ind w:left="105"/>
                          <w:rPr>
                            <w:sz w:val="21"/>
                          </w:rPr>
                        </w:pPr>
                        <w:r>
                          <w:rPr>
                            <w:sz w:val="21"/>
                          </w:rPr>
                          <w:t>转出基金费用（</w:t>
                        </w:r>
                        <w:r>
                          <w:rPr>
                            <w:rFonts w:ascii="Times New Roman" w:eastAsia="Times New Roman"/>
                            <w:sz w:val="21"/>
                          </w:rPr>
                          <w:t>I=E+H</w:t>
                        </w:r>
                        <w:r>
                          <w:rPr>
                            <w:sz w:val="21"/>
                          </w:rPr>
                          <w:t>）</w:t>
                        </w:r>
                      </w:p>
                    </w:tc>
                    <w:tc>
                      <w:tcPr>
                        <w:tcW w:w="3205" w:type="dxa"/>
                      </w:tcPr>
                      <w:p>
                        <w:pPr>
                          <w:pStyle w:val="TableParagraph"/>
                          <w:spacing w:before="39"/>
                          <w:ind w:right="91"/>
                          <w:jc w:val="right"/>
                          <w:rPr>
                            <w:rFonts w:ascii="Times New Roman"/>
                            <w:sz w:val="21"/>
                          </w:rPr>
                        </w:pPr>
                        <w:r>
                          <w:rPr>
                            <w:rFonts w:ascii="Times New Roman"/>
                            <w:sz w:val="21"/>
                          </w:rPr>
                          <w:t>25.45</w:t>
                        </w:r>
                      </w:p>
                    </w:tc>
                  </w:tr>
                  <w:tr>
                    <w:trPr>
                      <w:trHeight w:val="316" w:hRule="atLeast"/>
                    </w:trPr>
                    <w:tc>
                      <w:tcPr>
                        <w:tcW w:w="4225" w:type="dxa"/>
                      </w:tcPr>
                      <w:p>
                        <w:pPr>
                          <w:pStyle w:val="TableParagraph"/>
                          <w:ind w:left="105"/>
                          <w:rPr>
                            <w:sz w:val="21"/>
                          </w:rPr>
                        </w:pPr>
                        <w:r>
                          <w:rPr>
                            <w:sz w:val="21"/>
                          </w:rPr>
                          <w:t>转换金额（</w:t>
                        </w:r>
                        <w:r>
                          <w:rPr>
                            <w:rFonts w:ascii="Times New Roman" w:eastAsia="Times New Roman"/>
                            <w:sz w:val="21"/>
                          </w:rPr>
                          <w:t>J=C-I</w:t>
                        </w:r>
                        <w:r>
                          <w:rPr>
                            <w:sz w:val="21"/>
                          </w:rPr>
                          <w:t>）</w:t>
                        </w:r>
                      </w:p>
                    </w:tc>
                    <w:tc>
                      <w:tcPr>
                        <w:tcW w:w="3205" w:type="dxa"/>
                      </w:tcPr>
                      <w:p>
                        <w:pPr>
                          <w:pStyle w:val="TableParagraph"/>
                          <w:spacing w:before="36"/>
                          <w:ind w:right="91"/>
                          <w:jc w:val="right"/>
                          <w:rPr>
                            <w:rFonts w:ascii="Times New Roman"/>
                            <w:sz w:val="21"/>
                          </w:rPr>
                        </w:pPr>
                        <w:r>
                          <w:rPr>
                            <w:rFonts w:ascii="Times New Roman"/>
                            <w:sz w:val="21"/>
                          </w:rPr>
                          <w:t>1,174.55</w:t>
                        </w:r>
                      </w:p>
                    </w:tc>
                  </w:tr>
                  <w:tr>
                    <w:trPr>
                      <w:trHeight w:val="316" w:hRule="atLeast"/>
                    </w:trPr>
                    <w:tc>
                      <w:tcPr>
                        <w:tcW w:w="4225" w:type="dxa"/>
                      </w:tcPr>
                      <w:p>
                        <w:pPr>
                          <w:pStyle w:val="TableParagraph"/>
                          <w:ind w:left="105"/>
                          <w:rPr>
                            <w:sz w:val="21"/>
                          </w:rPr>
                        </w:pPr>
                        <w:r>
                          <w:rPr>
                            <w:sz w:val="21"/>
                          </w:rPr>
                          <w:t>转入时收取申购费率（</w:t>
                        </w:r>
                        <w:r>
                          <w:rPr>
                            <w:rFonts w:ascii="Times New Roman" w:eastAsia="Times New Roman"/>
                            <w:sz w:val="21"/>
                          </w:rPr>
                          <w:t>K</w:t>
                        </w:r>
                        <w:r>
                          <w:rPr>
                            <w:sz w:val="21"/>
                          </w:rPr>
                          <w:t>）</w:t>
                        </w:r>
                      </w:p>
                    </w:tc>
                    <w:tc>
                      <w:tcPr>
                        <w:tcW w:w="3205" w:type="dxa"/>
                      </w:tcPr>
                      <w:p>
                        <w:pPr>
                          <w:pStyle w:val="TableParagraph"/>
                          <w:spacing w:before="36"/>
                          <w:ind w:right="91"/>
                          <w:jc w:val="right"/>
                          <w:rPr>
                            <w:rFonts w:ascii="Times New Roman"/>
                            <w:sz w:val="21"/>
                          </w:rPr>
                        </w:pPr>
                        <w:r>
                          <w:rPr>
                            <w:rFonts w:ascii="Times New Roman"/>
                            <w:sz w:val="21"/>
                          </w:rPr>
                          <w:t>0.00%</w:t>
                        </w:r>
                      </w:p>
                    </w:tc>
                  </w:tr>
                  <w:tr>
                    <w:trPr>
                      <w:trHeight w:val="316" w:hRule="atLeast"/>
                    </w:trPr>
                    <w:tc>
                      <w:tcPr>
                        <w:tcW w:w="4225" w:type="dxa"/>
                      </w:tcPr>
                      <w:p>
                        <w:pPr>
                          <w:pStyle w:val="TableParagraph"/>
                          <w:ind w:left="105"/>
                          <w:rPr>
                            <w:sz w:val="21"/>
                          </w:rPr>
                        </w:pPr>
                        <w:r>
                          <w:rPr>
                            <w:sz w:val="21"/>
                          </w:rPr>
                          <w:t>净转入金额（</w:t>
                        </w:r>
                        <w:r>
                          <w:rPr>
                            <w:rFonts w:ascii="Times New Roman" w:eastAsia="Times New Roman"/>
                            <w:sz w:val="21"/>
                          </w:rPr>
                          <w:t>L=J/</w:t>
                        </w:r>
                        <w:r>
                          <w:rPr>
                            <w:sz w:val="21"/>
                          </w:rPr>
                          <w:t>(</w:t>
                        </w:r>
                        <w:r>
                          <w:rPr>
                            <w:rFonts w:ascii="Times New Roman" w:eastAsia="Times New Roman"/>
                            <w:sz w:val="21"/>
                          </w:rPr>
                          <w:t>1+K</w:t>
                        </w:r>
                        <w:r>
                          <w:rPr>
                            <w:sz w:val="21"/>
                          </w:rPr>
                          <w:t>)）</w:t>
                        </w:r>
                      </w:p>
                    </w:tc>
                    <w:tc>
                      <w:tcPr>
                        <w:tcW w:w="3205" w:type="dxa"/>
                      </w:tcPr>
                      <w:p>
                        <w:pPr>
                          <w:pStyle w:val="TableParagraph"/>
                          <w:spacing w:before="36"/>
                          <w:ind w:right="91"/>
                          <w:jc w:val="right"/>
                          <w:rPr>
                            <w:rFonts w:ascii="Times New Roman"/>
                            <w:sz w:val="21"/>
                          </w:rPr>
                        </w:pPr>
                        <w:r>
                          <w:rPr>
                            <w:rFonts w:ascii="Times New Roman"/>
                            <w:sz w:val="21"/>
                          </w:rPr>
                          <w:t>1,174.55</w:t>
                        </w:r>
                      </w:p>
                    </w:tc>
                  </w:tr>
                  <w:tr>
                    <w:trPr>
                      <w:trHeight w:val="318" w:hRule="atLeast"/>
                    </w:trPr>
                    <w:tc>
                      <w:tcPr>
                        <w:tcW w:w="4225" w:type="dxa"/>
                      </w:tcPr>
                      <w:p>
                        <w:pPr>
                          <w:pStyle w:val="TableParagraph"/>
                          <w:spacing w:before="27"/>
                          <w:ind w:left="105"/>
                          <w:rPr>
                            <w:sz w:val="21"/>
                          </w:rPr>
                        </w:pPr>
                        <w:r>
                          <w:rPr>
                            <w:sz w:val="21"/>
                          </w:rPr>
                          <w:t>转入基金费用（</w:t>
                        </w:r>
                        <w:r>
                          <w:rPr>
                            <w:rFonts w:ascii="Times New Roman" w:eastAsia="Times New Roman"/>
                            <w:sz w:val="21"/>
                          </w:rPr>
                          <w:t>M=J-L</w:t>
                        </w:r>
                        <w:r>
                          <w:rPr>
                            <w:sz w:val="21"/>
                          </w:rPr>
                          <w:t>）</w:t>
                        </w:r>
                      </w:p>
                    </w:tc>
                    <w:tc>
                      <w:tcPr>
                        <w:tcW w:w="3205" w:type="dxa"/>
                      </w:tcPr>
                      <w:p>
                        <w:pPr>
                          <w:pStyle w:val="TableParagraph"/>
                          <w:spacing w:before="39"/>
                          <w:ind w:right="91"/>
                          <w:jc w:val="right"/>
                          <w:rPr>
                            <w:rFonts w:ascii="Times New Roman"/>
                            <w:sz w:val="21"/>
                          </w:rPr>
                        </w:pPr>
                        <w:r>
                          <w:rPr>
                            <w:rFonts w:ascii="Times New Roman"/>
                            <w:sz w:val="21"/>
                          </w:rPr>
                          <w:t>0.00</w:t>
                        </w:r>
                      </w:p>
                    </w:tc>
                  </w:tr>
                  <w:tr>
                    <w:trPr>
                      <w:trHeight w:val="316" w:hRule="atLeast"/>
                    </w:trPr>
                    <w:tc>
                      <w:tcPr>
                        <w:tcW w:w="4225" w:type="dxa"/>
                      </w:tcPr>
                      <w:p>
                        <w:pPr>
                          <w:pStyle w:val="TableParagraph"/>
                          <w:ind w:left="105"/>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N</w:t>
                        </w:r>
                        <w:r>
                          <w:rPr>
                            <w:sz w:val="21"/>
                          </w:rPr>
                          <w:t>）</w:t>
                        </w:r>
                      </w:p>
                    </w:tc>
                    <w:tc>
                      <w:tcPr>
                        <w:tcW w:w="3205" w:type="dxa"/>
                      </w:tcPr>
                      <w:p>
                        <w:pPr>
                          <w:pStyle w:val="TableParagraph"/>
                          <w:spacing w:before="37"/>
                          <w:ind w:right="91"/>
                          <w:jc w:val="right"/>
                          <w:rPr>
                            <w:rFonts w:ascii="Times New Roman"/>
                            <w:sz w:val="21"/>
                          </w:rPr>
                        </w:pPr>
                        <w:r>
                          <w:rPr>
                            <w:rFonts w:ascii="Times New Roman"/>
                            <w:sz w:val="21"/>
                          </w:rPr>
                          <w:t>1.300</w:t>
                        </w:r>
                      </w:p>
                    </w:tc>
                  </w:tr>
                  <w:tr>
                    <w:trPr>
                      <w:trHeight w:val="316" w:hRule="atLeast"/>
                    </w:trPr>
                    <w:tc>
                      <w:tcPr>
                        <w:tcW w:w="4225" w:type="dxa"/>
                      </w:tcPr>
                      <w:p>
                        <w:pPr>
                          <w:pStyle w:val="TableParagraph"/>
                          <w:ind w:left="105"/>
                          <w:rPr>
                            <w:sz w:val="21"/>
                          </w:rPr>
                        </w:pPr>
                        <w:r>
                          <w:rPr>
                            <w:sz w:val="21"/>
                          </w:rPr>
                          <w:t>转入基金份额（</w:t>
                        </w:r>
                        <w:r>
                          <w:rPr>
                            <w:rFonts w:ascii="Times New Roman" w:eastAsia="Times New Roman"/>
                            <w:sz w:val="21"/>
                          </w:rPr>
                          <w:t>O=L/N</w:t>
                        </w:r>
                        <w:r>
                          <w:rPr>
                            <w:sz w:val="21"/>
                          </w:rPr>
                          <w:t>）</w:t>
                        </w:r>
                      </w:p>
                    </w:tc>
                    <w:tc>
                      <w:tcPr>
                        <w:tcW w:w="3205" w:type="dxa"/>
                      </w:tcPr>
                      <w:p>
                        <w:pPr>
                          <w:pStyle w:val="TableParagraph"/>
                          <w:spacing w:before="36"/>
                          <w:ind w:right="91"/>
                          <w:jc w:val="right"/>
                          <w:rPr>
                            <w:rFonts w:ascii="Times New Roman"/>
                            <w:sz w:val="21"/>
                          </w:rPr>
                        </w:pPr>
                        <w:r>
                          <w:rPr>
                            <w:rFonts w:ascii="Times New Roman"/>
                            <w:sz w:val="21"/>
                          </w:rPr>
                          <w:t>903.50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24" w:lineRule="auto" w:before="167"/>
        <w:ind w:left="300" w:right="76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4"/>
        </w:numPr>
        <w:tabs>
          <w:tab w:pos="1250" w:val="left" w:leader="none"/>
        </w:tabs>
        <w:spacing w:line="424" w:lineRule="auto" w:before="0" w:after="0"/>
        <w:ind w:left="300" w:right="871" w:firstLine="419"/>
        <w:jc w:val="both"/>
        <w:rPr>
          <w:sz w:val="21"/>
        </w:rPr>
      </w:pPr>
      <w:r>
        <w:rPr/>
        <w:pict>
          <v:shape style="position:absolute;margin-left:111.5pt;margin-top:66.089958pt;width:372.6pt;height:164.1pt;mso-position-horizontal-relative:page;mso-position-vertical-relative:paragraph;z-index:2516787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6" w:hRule="atLeast"/>
                    </w:trPr>
                    <w:tc>
                      <w:tcPr>
                        <w:tcW w:w="4230" w:type="dxa"/>
                      </w:tcPr>
                      <w:p>
                        <w:pPr>
                          <w:pStyle w:val="TableParagraph"/>
                          <w:ind w:left="1884" w:right="1875"/>
                          <w:jc w:val="center"/>
                          <w:rPr>
                            <w:sz w:val="21"/>
                          </w:rPr>
                        </w:pPr>
                        <w:r>
                          <w:rPr>
                            <w:sz w:val="21"/>
                          </w:rPr>
                          <w:t>项目</w:t>
                        </w:r>
                      </w:p>
                    </w:tc>
                    <w:tc>
                      <w:tcPr>
                        <w:tcW w:w="3207" w:type="dxa"/>
                      </w:tcPr>
                      <w:p>
                        <w:pPr>
                          <w:pStyle w:val="TableParagraph"/>
                          <w:ind w:left="1112" w:right="1101"/>
                          <w:jc w:val="center"/>
                          <w:rPr>
                            <w:sz w:val="21"/>
                          </w:rPr>
                        </w:pPr>
                        <w:r>
                          <w:rPr>
                            <w:sz w:val="21"/>
                          </w:rPr>
                          <w:t>费用计算</w:t>
                        </w:r>
                      </w:p>
                    </w:tc>
                  </w:tr>
                  <w:tr>
                    <w:trPr>
                      <w:trHeight w:val="318" w:hRule="atLeast"/>
                    </w:trPr>
                    <w:tc>
                      <w:tcPr>
                        <w:tcW w:w="4230"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07" w:type="dxa"/>
                      </w:tcPr>
                      <w:p>
                        <w:pPr>
                          <w:pStyle w:val="TableParagraph"/>
                          <w:spacing w:before="39"/>
                          <w:ind w:right="92"/>
                          <w:jc w:val="right"/>
                          <w:rPr>
                            <w:rFonts w:ascii="Times New Roman"/>
                            <w:sz w:val="21"/>
                          </w:rPr>
                        </w:pPr>
                        <w:r>
                          <w:rPr>
                            <w:rFonts w:ascii="Times New Roman"/>
                            <w:sz w:val="21"/>
                          </w:rPr>
                          <w:t>10,000,000.00</w:t>
                        </w:r>
                      </w:p>
                    </w:tc>
                  </w:tr>
                  <w:tr>
                    <w:trPr>
                      <w:trHeight w:val="316" w:hRule="atLeast"/>
                    </w:trPr>
                    <w:tc>
                      <w:tcPr>
                        <w:tcW w:w="4230"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07" w:type="dxa"/>
                      </w:tcPr>
                      <w:p>
                        <w:pPr>
                          <w:pStyle w:val="TableParagraph"/>
                          <w:spacing w:before="36"/>
                          <w:ind w:right="91"/>
                          <w:jc w:val="right"/>
                          <w:rPr>
                            <w:rFonts w:ascii="Times New Roman"/>
                            <w:sz w:val="21"/>
                          </w:rPr>
                        </w:pPr>
                        <w:r>
                          <w:rPr>
                            <w:rFonts w:ascii="Times New Roman"/>
                            <w:sz w:val="21"/>
                          </w:rPr>
                          <w:t>1.200</w:t>
                        </w:r>
                      </w:p>
                    </w:tc>
                  </w:tr>
                  <w:tr>
                    <w:trPr>
                      <w:trHeight w:val="316" w:hRule="atLeast"/>
                    </w:trPr>
                    <w:tc>
                      <w:tcPr>
                        <w:tcW w:w="4230"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07" w:type="dxa"/>
                      </w:tcPr>
                      <w:p>
                        <w:pPr>
                          <w:pStyle w:val="TableParagraph"/>
                          <w:spacing w:before="36"/>
                          <w:ind w:right="92"/>
                          <w:jc w:val="right"/>
                          <w:rPr>
                            <w:rFonts w:ascii="Times New Roman"/>
                            <w:sz w:val="21"/>
                          </w:rPr>
                        </w:pPr>
                        <w:r>
                          <w:rPr>
                            <w:rFonts w:ascii="Times New Roman"/>
                            <w:sz w:val="21"/>
                          </w:rPr>
                          <w:t>12,000,000.00</w:t>
                        </w:r>
                      </w:p>
                    </w:tc>
                  </w:tr>
                  <w:tr>
                    <w:trPr>
                      <w:trHeight w:val="316" w:hRule="atLeast"/>
                    </w:trPr>
                    <w:tc>
                      <w:tcPr>
                        <w:tcW w:w="4230"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07" w:type="dxa"/>
                      </w:tcPr>
                      <w:p>
                        <w:pPr>
                          <w:pStyle w:val="TableParagraph"/>
                          <w:spacing w:before="36"/>
                          <w:ind w:right="90"/>
                          <w:jc w:val="right"/>
                          <w:rPr>
                            <w:rFonts w:ascii="Times New Roman"/>
                            <w:sz w:val="21"/>
                          </w:rPr>
                        </w:pPr>
                        <w:r>
                          <w:rPr>
                            <w:rFonts w:ascii="Times New Roman"/>
                            <w:sz w:val="21"/>
                          </w:rPr>
                          <w:t>0.5%</w:t>
                        </w:r>
                      </w:p>
                    </w:tc>
                  </w:tr>
                  <w:tr>
                    <w:trPr>
                      <w:trHeight w:val="318" w:hRule="atLeast"/>
                    </w:trPr>
                    <w:tc>
                      <w:tcPr>
                        <w:tcW w:w="4230" w:type="dxa"/>
                      </w:tcPr>
                      <w:p>
                        <w:pPr>
                          <w:pStyle w:val="TableParagraph"/>
                          <w:spacing w:before="27"/>
                          <w:ind w:left="107"/>
                          <w:rPr>
                            <w:sz w:val="21"/>
                          </w:rPr>
                        </w:pPr>
                        <w:r>
                          <w:rPr>
                            <w:sz w:val="21"/>
                          </w:rPr>
                          <w:t>赎回费（</w:t>
                        </w:r>
                        <w:r>
                          <w:rPr>
                            <w:rFonts w:ascii="Times New Roman" w:eastAsia="Times New Roman"/>
                            <w:sz w:val="21"/>
                          </w:rPr>
                          <w:t>E=C*D</w:t>
                        </w:r>
                        <w:r>
                          <w:rPr>
                            <w:sz w:val="21"/>
                          </w:rPr>
                          <w:t>）</w:t>
                        </w:r>
                      </w:p>
                    </w:tc>
                    <w:tc>
                      <w:tcPr>
                        <w:tcW w:w="3207" w:type="dxa"/>
                      </w:tcPr>
                      <w:p>
                        <w:pPr>
                          <w:pStyle w:val="TableParagraph"/>
                          <w:spacing w:before="39"/>
                          <w:ind w:right="92"/>
                          <w:jc w:val="right"/>
                          <w:rPr>
                            <w:rFonts w:ascii="Times New Roman"/>
                            <w:sz w:val="21"/>
                          </w:rPr>
                        </w:pPr>
                        <w:r>
                          <w:rPr>
                            <w:rFonts w:ascii="Times New Roman"/>
                            <w:sz w:val="21"/>
                          </w:rPr>
                          <w:t>60,000.00</w:t>
                        </w:r>
                      </w:p>
                    </w:tc>
                  </w:tr>
                  <w:tr>
                    <w:trPr>
                      <w:trHeight w:val="316" w:hRule="atLeast"/>
                    </w:trPr>
                    <w:tc>
                      <w:tcPr>
                        <w:tcW w:w="4230" w:type="dxa"/>
                      </w:tcPr>
                      <w:p>
                        <w:pPr>
                          <w:pStyle w:val="TableParagraph"/>
                          <w:ind w:left="107"/>
                          <w:rPr>
                            <w:sz w:val="21"/>
                          </w:rPr>
                        </w:pPr>
                        <w:r>
                          <w:rPr>
                            <w:sz w:val="21"/>
                          </w:rPr>
                          <w:t>申购日转出基金基金份额净值（</w:t>
                        </w:r>
                        <w:r>
                          <w:rPr>
                            <w:rFonts w:ascii="Times New Roman" w:eastAsia="Times New Roman"/>
                            <w:sz w:val="21"/>
                          </w:rPr>
                          <w:t>F</w:t>
                        </w:r>
                        <w:r>
                          <w:rPr>
                            <w:sz w:val="21"/>
                          </w:rPr>
                          <w:t>）</w:t>
                        </w:r>
                      </w:p>
                    </w:tc>
                    <w:tc>
                      <w:tcPr>
                        <w:tcW w:w="3207" w:type="dxa"/>
                      </w:tcPr>
                      <w:p>
                        <w:pPr>
                          <w:pStyle w:val="TableParagraph"/>
                          <w:spacing w:before="36"/>
                          <w:ind w:right="91"/>
                          <w:jc w:val="right"/>
                          <w:rPr>
                            <w:rFonts w:ascii="Times New Roman"/>
                            <w:sz w:val="21"/>
                          </w:rPr>
                        </w:pPr>
                        <w:r>
                          <w:rPr>
                            <w:rFonts w:ascii="Times New Roman"/>
                            <w:sz w:val="21"/>
                          </w:rPr>
                          <w:t>1.100</w:t>
                        </w:r>
                      </w:p>
                    </w:tc>
                  </w:tr>
                  <w:tr>
                    <w:trPr>
                      <w:trHeight w:val="316" w:hRule="atLeast"/>
                    </w:trPr>
                    <w:tc>
                      <w:tcPr>
                        <w:tcW w:w="4230" w:type="dxa"/>
                      </w:tcPr>
                      <w:p>
                        <w:pPr>
                          <w:pStyle w:val="TableParagraph"/>
                          <w:ind w:left="107"/>
                          <w:rPr>
                            <w:sz w:val="21"/>
                          </w:rPr>
                        </w:pPr>
                        <w:r>
                          <w:rPr>
                            <w:sz w:val="21"/>
                          </w:rPr>
                          <w:t>适用后端申购费率（</w:t>
                        </w:r>
                        <w:r>
                          <w:rPr>
                            <w:rFonts w:ascii="Times New Roman" w:eastAsia="Times New Roman"/>
                            <w:sz w:val="21"/>
                          </w:rPr>
                          <w:t>G</w:t>
                        </w:r>
                        <w:r>
                          <w:rPr>
                            <w:sz w:val="21"/>
                          </w:rPr>
                          <w:t>）</w:t>
                        </w:r>
                      </w:p>
                    </w:tc>
                    <w:tc>
                      <w:tcPr>
                        <w:tcW w:w="3207" w:type="dxa"/>
                      </w:tcPr>
                      <w:p>
                        <w:pPr>
                          <w:pStyle w:val="TableParagraph"/>
                          <w:spacing w:before="36"/>
                          <w:ind w:right="90"/>
                          <w:jc w:val="right"/>
                          <w:rPr>
                            <w:rFonts w:ascii="Times New Roman"/>
                            <w:sz w:val="21"/>
                          </w:rPr>
                        </w:pPr>
                        <w:r>
                          <w:rPr>
                            <w:rFonts w:ascii="Times New Roman"/>
                            <w:sz w:val="21"/>
                          </w:rPr>
                          <w:t>1.8%</w:t>
                        </w:r>
                      </w:p>
                    </w:tc>
                  </w:tr>
                  <w:tr>
                    <w:trPr>
                      <w:trHeight w:val="316" w:hRule="atLeast"/>
                    </w:trPr>
                    <w:tc>
                      <w:tcPr>
                        <w:tcW w:w="4230" w:type="dxa"/>
                      </w:tcPr>
                      <w:p>
                        <w:pPr>
                          <w:pStyle w:val="TableParagraph"/>
                          <w:ind w:left="107"/>
                          <w:rPr>
                            <w:sz w:val="21"/>
                          </w:rPr>
                        </w:pPr>
                        <w:r>
                          <w:rPr>
                            <w:spacing w:val="-2"/>
                            <w:w w:val="100"/>
                            <w:sz w:val="21"/>
                          </w:rPr>
                          <w:t>后端申购费</w:t>
                        </w:r>
                        <w:r>
                          <w:rPr>
                            <w:spacing w:val="-3"/>
                            <w:w w:val="100"/>
                            <w:sz w:val="21"/>
                          </w:rPr>
                          <w:t>（</w:t>
                        </w:r>
                        <w:r>
                          <w:rPr>
                            <w:rFonts w:ascii="Times New Roman" w:hAnsi="Times New Roman" w:eastAsia="Times New Roman"/>
                            <w:w w:val="100"/>
                            <w:sz w:val="21"/>
                          </w:rPr>
                          <w:t>H</w:t>
                        </w:r>
                        <w:r>
                          <w:rPr>
                            <w:rFonts w:ascii="Times New Roman" w:hAnsi="Times New Roman" w:eastAsia="Times New Roman"/>
                            <w:spacing w:val="-2"/>
                            <w:w w:val="100"/>
                            <w:sz w:val="21"/>
                          </w:rPr>
                          <w:t>=</w:t>
                        </w:r>
                        <w:r>
                          <w:rPr>
                            <w:rFonts w:ascii="Times New Roman" w:hAnsi="Times New Roman" w:eastAsia="Times New Roman"/>
                            <w:w w:val="100"/>
                            <w:sz w:val="21"/>
                          </w:rPr>
                          <w:t>A</w:t>
                        </w:r>
                        <w:r>
                          <w:rPr>
                            <w:rFonts w:ascii="Times New Roman" w:hAnsi="Times New Roman" w:eastAsia="Times New Roman"/>
                            <w:spacing w:val="-24"/>
                            <w:w w:val="100"/>
                            <w:sz w:val="21"/>
                          </w:rPr>
                          <w:t>×</w:t>
                        </w:r>
                        <w:r>
                          <w:rPr>
                            <w:rFonts w:ascii="Times New Roman" w:hAnsi="Times New Roman" w:eastAsia="Times New Roman"/>
                            <w:spacing w:val="-3"/>
                            <w:w w:val="100"/>
                            <w:sz w:val="21"/>
                          </w:rPr>
                          <w:t>F</w:t>
                        </w:r>
                        <w:r>
                          <w:rPr>
                            <w:rFonts w:ascii="Times New Roman" w:hAnsi="Times New Roman" w:eastAsia="Times New Roman"/>
                            <w:spacing w:val="-24"/>
                            <w:w w:val="100"/>
                            <w:sz w:val="21"/>
                          </w:rPr>
                          <w:t>×</w:t>
                        </w:r>
                        <w:r>
                          <w:rPr>
                            <w:rFonts w:ascii="Times New Roman" w:hAnsi="Times New Roman" w:eastAsia="Times New Roman"/>
                            <w:w w:val="100"/>
                            <w:sz w:val="21"/>
                          </w:rPr>
                          <w:t>G</w:t>
                        </w:r>
                        <w:r>
                          <w:rPr>
                            <w:rFonts w:ascii="Times New Roman" w:hAnsi="Times New Roman" w:eastAsia="Times New Roman"/>
                            <w:w w:val="100"/>
                            <w:sz w:val="21"/>
                          </w:rPr>
                          <w:t>/</w:t>
                        </w:r>
                        <w:r>
                          <w:rPr>
                            <w:rFonts w:ascii="Times New Roman" w:hAnsi="Times New Roman" w:eastAsia="Times New Roman"/>
                            <w:spacing w:val="-8"/>
                            <w:sz w:val="21"/>
                          </w:rPr>
                          <w:t> </w:t>
                        </w:r>
                        <w:r>
                          <w:rPr>
                            <w:spacing w:val="-3"/>
                            <w:w w:val="100"/>
                            <w:sz w:val="21"/>
                          </w:rPr>
                          <w:t>（</w:t>
                        </w:r>
                        <w:r>
                          <w:rPr>
                            <w:rFonts w:ascii="Times New Roman" w:hAnsi="Times New Roman" w:eastAsia="Times New Roman"/>
                            <w:w w:val="100"/>
                            <w:sz w:val="21"/>
                          </w:rPr>
                          <w:t>1</w:t>
                        </w:r>
                        <w:r>
                          <w:rPr>
                            <w:rFonts w:ascii="Times New Roman" w:hAnsi="Times New Roman" w:eastAsia="Times New Roman"/>
                            <w:spacing w:val="-2"/>
                            <w:w w:val="100"/>
                            <w:sz w:val="21"/>
                          </w:rPr>
                          <w:t>+</w:t>
                        </w:r>
                        <w:r>
                          <w:rPr>
                            <w:rFonts w:ascii="Times New Roman" w:hAnsi="Times New Roman" w:eastAsia="Times New Roman"/>
                            <w:spacing w:val="1"/>
                            <w:w w:val="100"/>
                            <w:sz w:val="21"/>
                          </w:rPr>
                          <w:t>G</w:t>
                        </w:r>
                        <w:r>
                          <w:rPr>
                            <w:spacing w:val="-106"/>
                            <w:w w:val="100"/>
                            <w:sz w:val="21"/>
                          </w:rPr>
                          <w:t>））</w:t>
                        </w:r>
                      </w:p>
                    </w:tc>
                    <w:tc>
                      <w:tcPr>
                        <w:tcW w:w="3207" w:type="dxa"/>
                      </w:tcPr>
                      <w:p>
                        <w:pPr>
                          <w:pStyle w:val="TableParagraph"/>
                          <w:spacing w:before="37"/>
                          <w:ind w:right="92"/>
                          <w:jc w:val="right"/>
                          <w:rPr>
                            <w:rFonts w:ascii="Times New Roman"/>
                            <w:sz w:val="21"/>
                          </w:rPr>
                        </w:pPr>
                        <w:r>
                          <w:rPr>
                            <w:rFonts w:ascii="Times New Roman"/>
                            <w:sz w:val="21"/>
                          </w:rPr>
                          <w:t>194,499.02</w:t>
                        </w:r>
                      </w:p>
                    </w:tc>
                  </w:tr>
                  <w:tr>
                    <w:trPr>
                      <w:trHeight w:val="318" w:hRule="atLeast"/>
                    </w:trPr>
                    <w:tc>
                      <w:tcPr>
                        <w:tcW w:w="4230" w:type="dxa"/>
                      </w:tcPr>
                      <w:p>
                        <w:pPr>
                          <w:pStyle w:val="TableParagraph"/>
                          <w:spacing w:before="27"/>
                          <w:ind w:left="107"/>
                          <w:rPr>
                            <w:sz w:val="21"/>
                          </w:rPr>
                        </w:pPr>
                        <w:r>
                          <w:rPr>
                            <w:sz w:val="21"/>
                          </w:rPr>
                          <w:t>转出基金费用（</w:t>
                        </w:r>
                        <w:r>
                          <w:rPr>
                            <w:rFonts w:ascii="Times New Roman" w:eastAsia="Times New Roman"/>
                            <w:sz w:val="21"/>
                          </w:rPr>
                          <w:t>I=E+H</w:t>
                        </w:r>
                        <w:r>
                          <w:rPr>
                            <w:sz w:val="21"/>
                          </w:rPr>
                          <w:t>）</w:t>
                        </w:r>
                      </w:p>
                    </w:tc>
                    <w:tc>
                      <w:tcPr>
                        <w:tcW w:w="3207" w:type="dxa"/>
                      </w:tcPr>
                      <w:p>
                        <w:pPr>
                          <w:pStyle w:val="TableParagraph"/>
                          <w:spacing w:before="39"/>
                          <w:ind w:right="92"/>
                          <w:jc w:val="right"/>
                          <w:rPr>
                            <w:rFonts w:ascii="Times New Roman"/>
                            <w:sz w:val="21"/>
                          </w:rPr>
                        </w:pPr>
                        <w:r>
                          <w:rPr>
                            <w:rFonts w:ascii="Times New Roman"/>
                            <w:sz w:val="21"/>
                          </w:rPr>
                          <w:t>254,499.02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24" w:lineRule="auto"/>
        <w:jc w:val="both"/>
        <w:rPr>
          <w:sz w:val="21"/>
        </w:rPr>
        <w:sectPr>
          <w:pgSz w:w="11910" w:h="16840"/>
          <w:pgMar w:header="701" w:footer="683" w:top="1420" w:bottom="880" w:left="1500" w:right="920"/>
        </w:sectPr>
      </w:pPr>
    </w:p>
    <w:tbl>
      <w:tblPr>
        <w:tblW w:w="0" w:type="auto"/>
        <w:jc w:val="left"/>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6" w:hRule="atLeast"/>
        </w:trPr>
        <w:tc>
          <w:tcPr>
            <w:tcW w:w="4230" w:type="dxa"/>
          </w:tcPr>
          <w:p>
            <w:pPr>
              <w:pStyle w:val="TableParagraph"/>
              <w:ind w:left="107"/>
              <w:rPr>
                <w:sz w:val="21"/>
              </w:rPr>
            </w:pPr>
            <w:r>
              <w:rPr>
                <w:sz w:val="21"/>
              </w:rPr>
              <w:t>转换金额（</w:t>
            </w:r>
            <w:r>
              <w:rPr>
                <w:rFonts w:ascii="Times New Roman" w:eastAsia="Times New Roman"/>
                <w:sz w:val="21"/>
              </w:rPr>
              <w:t>J=C-I</w:t>
            </w:r>
            <w:r>
              <w:rPr>
                <w:sz w:val="21"/>
              </w:rPr>
              <w:t>）</w:t>
            </w:r>
          </w:p>
        </w:tc>
        <w:tc>
          <w:tcPr>
            <w:tcW w:w="3207" w:type="dxa"/>
          </w:tcPr>
          <w:p>
            <w:pPr>
              <w:pStyle w:val="TableParagraph"/>
              <w:spacing w:before="37"/>
              <w:ind w:right="92"/>
              <w:jc w:val="right"/>
              <w:rPr>
                <w:rFonts w:ascii="Times New Roman"/>
                <w:sz w:val="21"/>
              </w:rPr>
            </w:pPr>
            <w:r>
              <w:rPr>
                <w:rFonts w:ascii="Times New Roman"/>
                <w:sz w:val="21"/>
              </w:rPr>
              <w:t>11,745,500.98</w:t>
            </w:r>
          </w:p>
        </w:tc>
      </w:tr>
      <w:tr>
        <w:trPr>
          <w:trHeight w:val="316" w:hRule="atLeast"/>
        </w:trPr>
        <w:tc>
          <w:tcPr>
            <w:tcW w:w="4230" w:type="dxa"/>
          </w:tcPr>
          <w:p>
            <w:pPr>
              <w:pStyle w:val="TableParagraph"/>
              <w:ind w:left="107"/>
              <w:rPr>
                <w:sz w:val="21"/>
              </w:rPr>
            </w:pPr>
            <w:r>
              <w:rPr>
                <w:sz w:val="21"/>
              </w:rPr>
              <w:t>转入基金费用（</w:t>
            </w:r>
            <w:r>
              <w:rPr>
                <w:rFonts w:ascii="Times New Roman" w:eastAsia="Times New Roman"/>
                <w:sz w:val="21"/>
              </w:rPr>
              <w:t>K</w:t>
            </w:r>
            <w:r>
              <w:rPr>
                <w:sz w:val="21"/>
              </w:rPr>
              <w:t>）</w:t>
            </w:r>
          </w:p>
        </w:tc>
        <w:tc>
          <w:tcPr>
            <w:tcW w:w="3207" w:type="dxa"/>
          </w:tcPr>
          <w:p>
            <w:pPr>
              <w:pStyle w:val="TableParagraph"/>
              <w:spacing w:before="36"/>
              <w:ind w:right="91"/>
              <w:jc w:val="right"/>
              <w:rPr>
                <w:rFonts w:ascii="Times New Roman"/>
                <w:sz w:val="21"/>
              </w:rPr>
            </w:pPr>
            <w:r>
              <w:rPr>
                <w:rFonts w:ascii="Times New Roman"/>
                <w:sz w:val="21"/>
              </w:rPr>
              <w:t>1,000.00</w:t>
            </w:r>
          </w:p>
        </w:tc>
      </w:tr>
      <w:tr>
        <w:trPr>
          <w:trHeight w:val="318" w:hRule="atLeast"/>
        </w:trPr>
        <w:tc>
          <w:tcPr>
            <w:tcW w:w="4230" w:type="dxa"/>
          </w:tcPr>
          <w:p>
            <w:pPr>
              <w:pStyle w:val="TableParagraph"/>
              <w:spacing w:before="27"/>
              <w:ind w:left="107"/>
              <w:rPr>
                <w:sz w:val="21"/>
              </w:rPr>
            </w:pPr>
            <w:r>
              <w:rPr>
                <w:sz w:val="21"/>
              </w:rPr>
              <w:t>净转入金额（</w:t>
            </w:r>
            <w:r>
              <w:rPr>
                <w:rFonts w:ascii="Times New Roman" w:eastAsia="Times New Roman"/>
                <w:sz w:val="21"/>
              </w:rPr>
              <w:t>L=J-K</w:t>
            </w:r>
            <w:r>
              <w:rPr>
                <w:sz w:val="21"/>
              </w:rPr>
              <w:t>）</w:t>
            </w:r>
          </w:p>
        </w:tc>
        <w:tc>
          <w:tcPr>
            <w:tcW w:w="3207" w:type="dxa"/>
          </w:tcPr>
          <w:p>
            <w:pPr>
              <w:pStyle w:val="TableParagraph"/>
              <w:spacing w:before="39"/>
              <w:ind w:right="92"/>
              <w:jc w:val="right"/>
              <w:rPr>
                <w:rFonts w:ascii="Times New Roman"/>
                <w:sz w:val="21"/>
              </w:rPr>
            </w:pPr>
            <w:r>
              <w:rPr>
                <w:rFonts w:ascii="Times New Roman"/>
                <w:sz w:val="21"/>
              </w:rPr>
              <w:t>11,744,500.98</w:t>
            </w:r>
          </w:p>
        </w:tc>
      </w:tr>
      <w:tr>
        <w:trPr>
          <w:trHeight w:val="316" w:hRule="atLeast"/>
        </w:trPr>
        <w:tc>
          <w:tcPr>
            <w:tcW w:w="4230"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M</w:t>
            </w:r>
            <w:r>
              <w:rPr>
                <w:sz w:val="21"/>
              </w:rPr>
              <w:t>）</w:t>
            </w:r>
          </w:p>
        </w:tc>
        <w:tc>
          <w:tcPr>
            <w:tcW w:w="3207" w:type="dxa"/>
          </w:tcPr>
          <w:p>
            <w:pPr>
              <w:pStyle w:val="TableParagraph"/>
              <w:spacing w:before="36"/>
              <w:ind w:right="91"/>
              <w:jc w:val="right"/>
              <w:rPr>
                <w:rFonts w:ascii="Times New Roman"/>
                <w:sz w:val="21"/>
              </w:rPr>
            </w:pPr>
            <w:r>
              <w:rPr>
                <w:rFonts w:ascii="Times New Roman"/>
                <w:sz w:val="21"/>
              </w:rPr>
              <w:t>1.300</w:t>
            </w:r>
          </w:p>
        </w:tc>
      </w:tr>
      <w:tr>
        <w:trPr>
          <w:trHeight w:val="316" w:hRule="atLeast"/>
        </w:trPr>
        <w:tc>
          <w:tcPr>
            <w:tcW w:w="4230" w:type="dxa"/>
          </w:tcPr>
          <w:p>
            <w:pPr>
              <w:pStyle w:val="TableParagraph"/>
              <w:ind w:left="107"/>
              <w:rPr>
                <w:sz w:val="21"/>
              </w:rPr>
            </w:pPr>
            <w:r>
              <w:rPr>
                <w:sz w:val="21"/>
              </w:rPr>
              <w:t>转入基金份额（</w:t>
            </w:r>
            <w:r>
              <w:rPr>
                <w:rFonts w:ascii="Times New Roman" w:eastAsia="Times New Roman"/>
                <w:sz w:val="21"/>
              </w:rPr>
              <w:t>N=L/M</w:t>
            </w:r>
            <w:r>
              <w:rPr>
                <w:sz w:val="21"/>
              </w:rPr>
              <w:t>）</w:t>
            </w:r>
          </w:p>
        </w:tc>
        <w:tc>
          <w:tcPr>
            <w:tcW w:w="3207" w:type="dxa"/>
          </w:tcPr>
          <w:p>
            <w:pPr>
              <w:pStyle w:val="TableParagraph"/>
              <w:spacing w:before="36"/>
              <w:ind w:right="92"/>
              <w:jc w:val="right"/>
              <w:rPr>
                <w:rFonts w:ascii="Times New Roman"/>
                <w:sz w:val="21"/>
              </w:rPr>
            </w:pPr>
            <w:r>
              <w:rPr>
                <w:rFonts w:ascii="Times New Roman"/>
                <w:sz w:val="21"/>
              </w:rPr>
              <w:t>9,034,231.52</w:t>
            </w:r>
          </w:p>
        </w:tc>
      </w:tr>
    </w:tbl>
    <w:p>
      <w:pPr>
        <w:pStyle w:val="ListParagraph"/>
        <w:numPr>
          <w:ilvl w:val="0"/>
          <w:numId w:val="24"/>
        </w:numPr>
        <w:tabs>
          <w:tab w:pos="1250" w:val="left" w:leader="none"/>
        </w:tabs>
        <w:spacing w:line="424" w:lineRule="auto" w:before="114" w:after="0"/>
        <w:ind w:left="300" w:right="871" w:firstLine="419"/>
        <w:jc w:val="both"/>
        <w:rPr>
          <w:sz w:val="21"/>
        </w:rPr>
      </w:pPr>
      <w:r>
        <w:rPr/>
        <w:pict>
          <v:shape style="position:absolute;margin-left:111.139999pt;margin-top:71.879982pt;width:373.4pt;height:245.85pt;mso-position-horizontal-relative:page;mso-position-vertical-relative:paragraph;z-index:2516797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7" w:hRule="atLeast"/>
                    </w:trPr>
                    <w:tc>
                      <w:tcPr>
                        <w:tcW w:w="4237" w:type="dxa"/>
                      </w:tcPr>
                      <w:p>
                        <w:pPr>
                          <w:pStyle w:val="TableParagraph"/>
                          <w:ind w:left="1647" w:right="1640"/>
                          <w:jc w:val="center"/>
                          <w:rPr>
                            <w:sz w:val="21"/>
                          </w:rPr>
                        </w:pPr>
                        <w:r>
                          <w:rPr>
                            <w:sz w:val="21"/>
                          </w:rPr>
                          <w:t>项目</w:t>
                        </w:r>
                      </w:p>
                    </w:tc>
                    <w:tc>
                      <w:tcPr>
                        <w:tcW w:w="3217" w:type="dxa"/>
                      </w:tcPr>
                      <w:p>
                        <w:pPr>
                          <w:pStyle w:val="TableParagraph"/>
                          <w:ind w:left="1169" w:right="1158"/>
                          <w:jc w:val="center"/>
                          <w:rPr>
                            <w:sz w:val="21"/>
                          </w:rPr>
                        </w:pPr>
                        <w:r>
                          <w:rPr>
                            <w:sz w:val="21"/>
                          </w:rPr>
                          <w:t>费用计算</w:t>
                        </w:r>
                      </w:p>
                    </w:tc>
                  </w:tr>
                  <w:tr>
                    <w:trPr>
                      <w:trHeight w:val="316" w:hRule="atLeast"/>
                    </w:trPr>
                    <w:tc>
                      <w:tcPr>
                        <w:tcW w:w="4237" w:type="dxa"/>
                      </w:tcPr>
                      <w:p>
                        <w:pPr>
                          <w:pStyle w:val="TableParagraph"/>
                          <w:ind w:left="105"/>
                          <w:rPr>
                            <w:sz w:val="21"/>
                          </w:rPr>
                        </w:pPr>
                        <w:r>
                          <w:rPr>
                            <w:sz w:val="21"/>
                          </w:rPr>
                          <w:t>转出份额（</w:t>
                        </w:r>
                        <w:r>
                          <w:rPr>
                            <w:rFonts w:ascii="Times New Roman" w:eastAsia="Times New Roman"/>
                            <w:sz w:val="21"/>
                          </w:rPr>
                          <w:t>A</w:t>
                        </w:r>
                        <w:r>
                          <w:rPr>
                            <w:sz w:val="21"/>
                          </w:rPr>
                          <w:t>）</w:t>
                        </w:r>
                      </w:p>
                    </w:tc>
                    <w:tc>
                      <w:tcPr>
                        <w:tcW w:w="3217" w:type="dxa"/>
                      </w:tcPr>
                      <w:p>
                        <w:pPr>
                          <w:pStyle w:val="TableParagraph"/>
                          <w:spacing w:before="36"/>
                          <w:ind w:right="94"/>
                          <w:jc w:val="right"/>
                          <w:rPr>
                            <w:rFonts w:ascii="Times New Roman"/>
                            <w:sz w:val="21"/>
                          </w:rPr>
                        </w:pPr>
                        <w:r>
                          <w:rPr>
                            <w:rFonts w:ascii="Times New Roman"/>
                            <w:sz w:val="21"/>
                          </w:rPr>
                          <w:t>10,000,000.00</w:t>
                        </w:r>
                      </w:p>
                    </w:tc>
                  </w:tr>
                  <w:tr>
                    <w:trPr>
                      <w:trHeight w:val="318" w:hRule="atLeast"/>
                    </w:trPr>
                    <w:tc>
                      <w:tcPr>
                        <w:tcW w:w="4237" w:type="dxa"/>
                      </w:tcPr>
                      <w:p>
                        <w:pPr>
                          <w:pStyle w:val="TableParagraph"/>
                          <w:ind w:left="105"/>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w:t>
                        </w:r>
                      </w:p>
                    </w:tc>
                  </w:tr>
                  <w:tr>
                    <w:trPr>
                      <w:trHeight w:val="316" w:hRule="atLeast"/>
                    </w:trPr>
                    <w:tc>
                      <w:tcPr>
                        <w:tcW w:w="4237" w:type="dxa"/>
                      </w:tcPr>
                      <w:p>
                        <w:pPr>
                          <w:pStyle w:val="TableParagraph"/>
                          <w:ind w:left="105"/>
                          <w:rPr>
                            <w:sz w:val="21"/>
                          </w:rPr>
                        </w:pPr>
                        <w:r>
                          <w:rPr>
                            <w:sz w:val="21"/>
                          </w:rPr>
                          <w:t>转出总金额（</w:t>
                        </w:r>
                        <w:r>
                          <w:rPr>
                            <w:rFonts w:ascii="Times New Roman" w:eastAsia="Times New Roman"/>
                            <w:sz w:val="21"/>
                          </w:rPr>
                          <w:t>C=A*B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12,000,000.00</w:t>
                        </w:r>
                      </w:p>
                    </w:tc>
                  </w:tr>
                  <w:tr>
                    <w:trPr>
                      <w:trHeight w:val="316" w:hRule="atLeast"/>
                    </w:trPr>
                    <w:tc>
                      <w:tcPr>
                        <w:tcW w:w="4237" w:type="dxa"/>
                      </w:tcPr>
                      <w:p>
                        <w:pPr>
                          <w:pStyle w:val="TableParagraph"/>
                          <w:ind w:left="105"/>
                          <w:rPr>
                            <w:sz w:val="21"/>
                          </w:rPr>
                        </w:pPr>
                        <w:r>
                          <w:rPr>
                            <w:sz w:val="21"/>
                          </w:rPr>
                          <w:t>转出基金赎回费率（</w:t>
                        </w:r>
                        <w:r>
                          <w:rPr>
                            <w:rFonts w:ascii="Times New Roman" w:eastAsia="Times New Roman"/>
                            <w:sz w:val="21"/>
                          </w:rPr>
                          <w:t>D</w:t>
                        </w:r>
                        <w:r>
                          <w:rPr>
                            <w:sz w:val="21"/>
                          </w:rPr>
                          <w:t>）</w:t>
                        </w:r>
                      </w:p>
                    </w:tc>
                    <w:tc>
                      <w:tcPr>
                        <w:tcW w:w="3217" w:type="dxa"/>
                      </w:tcPr>
                      <w:p>
                        <w:pPr>
                          <w:pStyle w:val="TableParagraph"/>
                          <w:spacing w:before="36"/>
                          <w:ind w:right="93"/>
                          <w:jc w:val="right"/>
                          <w:rPr>
                            <w:rFonts w:ascii="Times New Roman"/>
                            <w:sz w:val="21"/>
                          </w:rPr>
                        </w:pPr>
                        <w:r>
                          <w:rPr>
                            <w:rFonts w:ascii="Times New Roman"/>
                            <w:sz w:val="21"/>
                          </w:rPr>
                          <w:t>0.5%</w:t>
                        </w:r>
                      </w:p>
                    </w:tc>
                  </w:tr>
                  <w:tr>
                    <w:trPr>
                      <w:trHeight w:val="316" w:hRule="atLeast"/>
                    </w:trPr>
                    <w:tc>
                      <w:tcPr>
                        <w:tcW w:w="4237" w:type="dxa"/>
                      </w:tcPr>
                      <w:p>
                        <w:pPr>
                          <w:pStyle w:val="TableParagraph"/>
                          <w:ind w:left="105"/>
                          <w:rPr>
                            <w:sz w:val="21"/>
                          </w:rPr>
                        </w:pPr>
                        <w:r>
                          <w:rPr>
                            <w:sz w:val="21"/>
                          </w:rPr>
                          <w:t>赎回费（</w:t>
                        </w:r>
                        <w:r>
                          <w:rPr>
                            <w:rFonts w:ascii="Times New Roman" w:eastAsia="Times New Roman"/>
                            <w:sz w:val="21"/>
                          </w:rPr>
                          <w:t>E=C*D</w:t>
                        </w:r>
                        <w:r>
                          <w:rPr>
                            <w:sz w:val="21"/>
                          </w:rPr>
                          <w:t>）</w:t>
                        </w:r>
                      </w:p>
                    </w:tc>
                    <w:tc>
                      <w:tcPr>
                        <w:tcW w:w="3217" w:type="dxa"/>
                      </w:tcPr>
                      <w:p>
                        <w:pPr>
                          <w:pStyle w:val="TableParagraph"/>
                          <w:spacing w:before="36"/>
                          <w:ind w:right="94"/>
                          <w:jc w:val="right"/>
                          <w:rPr>
                            <w:rFonts w:ascii="Times New Roman"/>
                            <w:sz w:val="21"/>
                          </w:rPr>
                        </w:pPr>
                        <w:r>
                          <w:rPr>
                            <w:rFonts w:ascii="Times New Roman"/>
                            <w:sz w:val="21"/>
                          </w:rPr>
                          <w:t>60,000.00</w:t>
                        </w:r>
                      </w:p>
                    </w:tc>
                  </w:tr>
                  <w:tr>
                    <w:trPr>
                      <w:trHeight w:val="318" w:hRule="atLeast"/>
                    </w:trPr>
                    <w:tc>
                      <w:tcPr>
                        <w:tcW w:w="4237" w:type="dxa"/>
                      </w:tcPr>
                      <w:p>
                        <w:pPr>
                          <w:pStyle w:val="TableParagraph"/>
                          <w:ind w:left="105"/>
                          <w:rPr>
                            <w:sz w:val="21"/>
                          </w:rPr>
                        </w:pPr>
                        <w:r>
                          <w:rPr>
                            <w:sz w:val="21"/>
                          </w:rPr>
                          <w:t>申购日转出基金基金份额净值（</w:t>
                        </w:r>
                        <w:r>
                          <w:rPr>
                            <w:rFonts w:ascii="Times New Roman" w:eastAsia="Times New Roman"/>
                            <w:sz w:val="21"/>
                          </w:rPr>
                          <w:t>F</w:t>
                        </w:r>
                        <w:r>
                          <w:rPr>
                            <w:sz w:val="21"/>
                          </w:rPr>
                          <w:t>）</w:t>
                        </w:r>
                      </w:p>
                    </w:tc>
                    <w:tc>
                      <w:tcPr>
                        <w:tcW w:w="3217" w:type="dxa"/>
                      </w:tcPr>
                      <w:p>
                        <w:pPr>
                          <w:pStyle w:val="TableParagraph"/>
                          <w:spacing w:before="36"/>
                          <w:ind w:right="94"/>
                          <w:jc w:val="right"/>
                          <w:rPr>
                            <w:rFonts w:ascii="Times New Roman"/>
                            <w:sz w:val="21"/>
                          </w:rPr>
                        </w:pPr>
                        <w:r>
                          <w:rPr>
                            <w:rFonts w:ascii="Times New Roman"/>
                            <w:sz w:val="21"/>
                          </w:rPr>
                          <w:t>1.100</w:t>
                        </w:r>
                      </w:p>
                    </w:tc>
                  </w:tr>
                  <w:tr>
                    <w:trPr>
                      <w:trHeight w:val="316" w:hRule="atLeast"/>
                    </w:trPr>
                    <w:tc>
                      <w:tcPr>
                        <w:tcW w:w="4237" w:type="dxa"/>
                      </w:tcPr>
                      <w:p>
                        <w:pPr>
                          <w:pStyle w:val="TableParagraph"/>
                          <w:ind w:left="105"/>
                          <w:rPr>
                            <w:sz w:val="21"/>
                          </w:rPr>
                        </w:pPr>
                        <w:r>
                          <w:rPr>
                            <w:sz w:val="21"/>
                          </w:rPr>
                          <w:t>适用后端申购费率（</w:t>
                        </w:r>
                        <w:r>
                          <w:rPr>
                            <w:rFonts w:ascii="Times New Roman" w:eastAsia="Times New Roman"/>
                            <w:sz w:val="21"/>
                          </w:rPr>
                          <w:t>G</w:t>
                        </w:r>
                        <w:r>
                          <w:rPr>
                            <w:sz w:val="21"/>
                          </w:rPr>
                          <w:t>）</w:t>
                        </w:r>
                      </w:p>
                    </w:tc>
                    <w:tc>
                      <w:tcPr>
                        <w:tcW w:w="3217" w:type="dxa"/>
                      </w:tcPr>
                      <w:p>
                        <w:pPr>
                          <w:pStyle w:val="TableParagraph"/>
                          <w:spacing w:before="36"/>
                          <w:ind w:right="93"/>
                          <w:jc w:val="right"/>
                          <w:rPr>
                            <w:rFonts w:ascii="Times New Roman"/>
                            <w:sz w:val="21"/>
                          </w:rPr>
                        </w:pPr>
                        <w:r>
                          <w:rPr>
                            <w:rFonts w:ascii="Times New Roman"/>
                            <w:sz w:val="21"/>
                          </w:rPr>
                          <w:t>1.8%</w:t>
                        </w:r>
                      </w:p>
                    </w:tc>
                  </w:tr>
                  <w:tr>
                    <w:trPr>
                      <w:trHeight w:val="316" w:hRule="atLeast"/>
                    </w:trPr>
                    <w:tc>
                      <w:tcPr>
                        <w:tcW w:w="4237" w:type="dxa"/>
                      </w:tcPr>
                      <w:p>
                        <w:pPr>
                          <w:pStyle w:val="TableParagraph"/>
                          <w:ind w:left="105"/>
                          <w:rPr>
                            <w:sz w:val="21"/>
                          </w:rPr>
                        </w:pPr>
                        <w:r>
                          <w:rPr>
                            <w:spacing w:val="-2"/>
                            <w:w w:val="100"/>
                            <w:sz w:val="21"/>
                          </w:rPr>
                          <w:t>后端申购费</w:t>
                        </w:r>
                        <w:r>
                          <w:rPr>
                            <w:spacing w:val="-3"/>
                            <w:w w:val="100"/>
                            <w:sz w:val="21"/>
                          </w:rPr>
                          <w:t>（</w:t>
                        </w:r>
                        <w:r>
                          <w:rPr>
                            <w:rFonts w:ascii="Times New Roman" w:hAnsi="Times New Roman" w:eastAsia="Times New Roman"/>
                            <w:w w:val="100"/>
                            <w:sz w:val="21"/>
                          </w:rPr>
                          <w:t>H</w:t>
                        </w:r>
                        <w:r>
                          <w:rPr>
                            <w:rFonts w:ascii="Times New Roman" w:hAnsi="Times New Roman" w:eastAsia="Times New Roman"/>
                            <w:spacing w:val="-2"/>
                            <w:w w:val="100"/>
                            <w:sz w:val="21"/>
                          </w:rPr>
                          <w:t>=</w:t>
                        </w:r>
                        <w:r>
                          <w:rPr>
                            <w:rFonts w:ascii="Times New Roman" w:hAnsi="Times New Roman" w:eastAsia="Times New Roman"/>
                            <w:w w:val="100"/>
                            <w:sz w:val="21"/>
                          </w:rPr>
                          <w:t>A</w:t>
                        </w:r>
                        <w:r>
                          <w:rPr>
                            <w:rFonts w:ascii="Times New Roman" w:hAnsi="Times New Roman" w:eastAsia="Times New Roman"/>
                            <w:spacing w:val="-24"/>
                            <w:w w:val="100"/>
                            <w:sz w:val="21"/>
                          </w:rPr>
                          <w:t>×</w:t>
                        </w:r>
                        <w:r>
                          <w:rPr>
                            <w:rFonts w:ascii="Times New Roman" w:hAnsi="Times New Roman" w:eastAsia="Times New Roman"/>
                            <w:spacing w:val="-3"/>
                            <w:w w:val="100"/>
                            <w:sz w:val="21"/>
                          </w:rPr>
                          <w:t>F</w:t>
                        </w:r>
                        <w:r>
                          <w:rPr>
                            <w:rFonts w:ascii="Times New Roman" w:hAnsi="Times New Roman" w:eastAsia="Times New Roman"/>
                            <w:spacing w:val="-24"/>
                            <w:w w:val="100"/>
                            <w:sz w:val="21"/>
                          </w:rPr>
                          <w:t>×</w:t>
                        </w:r>
                        <w:r>
                          <w:rPr>
                            <w:rFonts w:ascii="Times New Roman" w:hAnsi="Times New Roman" w:eastAsia="Times New Roman"/>
                            <w:w w:val="100"/>
                            <w:sz w:val="21"/>
                          </w:rPr>
                          <w:t>G</w:t>
                        </w:r>
                        <w:r>
                          <w:rPr>
                            <w:rFonts w:ascii="Times New Roman" w:hAnsi="Times New Roman" w:eastAsia="Times New Roman"/>
                            <w:w w:val="100"/>
                            <w:sz w:val="21"/>
                          </w:rPr>
                          <w:t>/</w:t>
                        </w:r>
                        <w:r>
                          <w:rPr>
                            <w:rFonts w:ascii="Times New Roman" w:hAnsi="Times New Roman" w:eastAsia="Times New Roman"/>
                            <w:spacing w:val="-8"/>
                            <w:sz w:val="21"/>
                          </w:rPr>
                          <w:t> </w:t>
                        </w:r>
                        <w:r>
                          <w:rPr>
                            <w:spacing w:val="-3"/>
                            <w:w w:val="100"/>
                            <w:sz w:val="21"/>
                          </w:rPr>
                          <w:t>（</w:t>
                        </w:r>
                        <w:r>
                          <w:rPr>
                            <w:rFonts w:ascii="Times New Roman" w:hAnsi="Times New Roman" w:eastAsia="Times New Roman"/>
                            <w:w w:val="100"/>
                            <w:sz w:val="21"/>
                          </w:rPr>
                          <w:t>1</w:t>
                        </w:r>
                        <w:r>
                          <w:rPr>
                            <w:rFonts w:ascii="Times New Roman" w:hAnsi="Times New Roman" w:eastAsia="Times New Roman"/>
                            <w:spacing w:val="-2"/>
                            <w:w w:val="100"/>
                            <w:sz w:val="21"/>
                          </w:rPr>
                          <w:t>+</w:t>
                        </w:r>
                        <w:r>
                          <w:rPr>
                            <w:rFonts w:ascii="Times New Roman" w:hAnsi="Times New Roman" w:eastAsia="Times New Roman"/>
                            <w:spacing w:val="1"/>
                            <w:w w:val="100"/>
                            <w:sz w:val="21"/>
                          </w:rPr>
                          <w:t>G</w:t>
                        </w:r>
                        <w:r>
                          <w:rPr>
                            <w:spacing w:val="-106"/>
                            <w:w w:val="100"/>
                            <w:sz w:val="21"/>
                          </w:rPr>
                          <w:t>））</w:t>
                        </w:r>
                      </w:p>
                    </w:tc>
                    <w:tc>
                      <w:tcPr>
                        <w:tcW w:w="3217" w:type="dxa"/>
                      </w:tcPr>
                      <w:p>
                        <w:pPr>
                          <w:pStyle w:val="TableParagraph"/>
                          <w:spacing w:before="36"/>
                          <w:ind w:right="94"/>
                          <w:jc w:val="right"/>
                          <w:rPr>
                            <w:rFonts w:ascii="Times New Roman"/>
                            <w:sz w:val="21"/>
                          </w:rPr>
                        </w:pPr>
                        <w:r>
                          <w:rPr>
                            <w:rFonts w:ascii="Times New Roman"/>
                            <w:sz w:val="21"/>
                          </w:rPr>
                          <w:t>194,499.02</w:t>
                        </w:r>
                      </w:p>
                    </w:tc>
                  </w:tr>
                  <w:tr>
                    <w:trPr>
                      <w:trHeight w:val="316" w:hRule="atLeast"/>
                    </w:trPr>
                    <w:tc>
                      <w:tcPr>
                        <w:tcW w:w="4237" w:type="dxa"/>
                      </w:tcPr>
                      <w:p>
                        <w:pPr>
                          <w:pStyle w:val="TableParagraph"/>
                          <w:ind w:left="105"/>
                          <w:rPr>
                            <w:sz w:val="21"/>
                          </w:rPr>
                        </w:pPr>
                        <w:r>
                          <w:rPr>
                            <w:sz w:val="21"/>
                          </w:rPr>
                          <w:t>转出基金费用（</w:t>
                        </w:r>
                        <w:r>
                          <w:rPr>
                            <w:rFonts w:ascii="Times New Roman" w:eastAsia="Times New Roman"/>
                            <w:sz w:val="21"/>
                          </w:rPr>
                          <w:t>I=E+H</w:t>
                        </w:r>
                        <w:r>
                          <w:rPr>
                            <w:sz w:val="21"/>
                          </w:rPr>
                          <w:t>）</w:t>
                        </w:r>
                      </w:p>
                    </w:tc>
                    <w:tc>
                      <w:tcPr>
                        <w:tcW w:w="3217" w:type="dxa"/>
                      </w:tcPr>
                      <w:p>
                        <w:pPr>
                          <w:pStyle w:val="TableParagraph"/>
                          <w:spacing w:before="36"/>
                          <w:ind w:right="94"/>
                          <w:jc w:val="right"/>
                          <w:rPr>
                            <w:rFonts w:ascii="Times New Roman"/>
                            <w:sz w:val="21"/>
                          </w:rPr>
                        </w:pPr>
                        <w:r>
                          <w:rPr>
                            <w:rFonts w:ascii="Times New Roman"/>
                            <w:sz w:val="21"/>
                          </w:rPr>
                          <w:t>254,499.02</w:t>
                        </w:r>
                      </w:p>
                    </w:tc>
                  </w:tr>
                  <w:tr>
                    <w:trPr>
                      <w:trHeight w:val="319" w:hRule="atLeast"/>
                    </w:trPr>
                    <w:tc>
                      <w:tcPr>
                        <w:tcW w:w="4237" w:type="dxa"/>
                      </w:tcPr>
                      <w:p>
                        <w:pPr>
                          <w:pStyle w:val="TableParagraph"/>
                          <w:ind w:left="105"/>
                          <w:rPr>
                            <w:sz w:val="21"/>
                          </w:rPr>
                        </w:pPr>
                        <w:r>
                          <w:rPr>
                            <w:sz w:val="21"/>
                          </w:rPr>
                          <w:t>转换金额（</w:t>
                        </w:r>
                        <w:r>
                          <w:rPr>
                            <w:rFonts w:ascii="Times New Roman" w:eastAsia="Times New Roman"/>
                            <w:sz w:val="21"/>
                          </w:rPr>
                          <w:t>J=C-I</w:t>
                        </w:r>
                        <w:r>
                          <w:rPr>
                            <w:sz w:val="21"/>
                          </w:rPr>
                          <w:t>）</w:t>
                        </w:r>
                      </w:p>
                    </w:tc>
                    <w:tc>
                      <w:tcPr>
                        <w:tcW w:w="3217" w:type="dxa"/>
                      </w:tcPr>
                      <w:p>
                        <w:pPr>
                          <w:pStyle w:val="TableParagraph"/>
                          <w:spacing w:before="36"/>
                          <w:ind w:right="94"/>
                          <w:jc w:val="right"/>
                          <w:rPr>
                            <w:rFonts w:ascii="Times New Roman"/>
                            <w:sz w:val="21"/>
                          </w:rPr>
                        </w:pPr>
                        <w:r>
                          <w:rPr>
                            <w:rFonts w:ascii="Times New Roman"/>
                            <w:sz w:val="21"/>
                          </w:rPr>
                          <w:t>11,745,500.98</w:t>
                        </w:r>
                      </w:p>
                    </w:tc>
                  </w:tr>
                  <w:tr>
                    <w:trPr>
                      <w:trHeight w:val="316" w:hRule="atLeast"/>
                    </w:trPr>
                    <w:tc>
                      <w:tcPr>
                        <w:tcW w:w="4237" w:type="dxa"/>
                      </w:tcPr>
                      <w:p>
                        <w:pPr>
                          <w:pStyle w:val="TableParagraph"/>
                          <w:ind w:left="105"/>
                          <w:rPr>
                            <w:sz w:val="21"/>
                          </w:rPr>
                        </w:pPr>
                        <w:r>
                          <w:rPr>
                            <w:sz w:val="21"/>
                          </w:rPr>
                          <w:t>转入基金费用（</w:t>
                        </w:r>
                        <w:r>
                          <w:rPr>
                            <w:rFonts w:ascii="Times New Roman" w:eastAsia="Times New Roman"/>
                            <w:sz w:val="21"/>
                          </w:rPr>
                          <w:t>K</w:t>
                        </w:r>
                        <w:r>
                          <w:rPr>
                            <w:sz w:val="21"/>
                          </w:rPr>
                          <w:t>）</w:t>
                        </w:r>
                      </w:p>
                    </w:tc>
                    <w:tc>
                      <w:tcPr>
                        <w:tcW w:w="3217" w:type="dxa"/>
                      </w:tcPr>
                      <w:p>
                        <w:pPr>
                          <w:pStyle w:val="TableParagraph"/>
                          <w:spacing w:before="36"/>
                          <w:ind w:right="94"/>
                          <w:jc w:val="right"/>
                          <w:rPr>
                            <w:rFonts w:ascii="Times New Roman"/>
                            <w:sz w:val="21"/>
                          </w:rPr>
                        </w:pPr>
                        <w:r>
                          <w:rPr>
                            <w:rFonts w:ascii="Times New Roman"/>
                            <w:sz w:val="21"/>
                          </w:rPr>
                          <w:t>0.00</w:t>
                        </w:r>
                      </w:p>
                    </w:tc>
                  </w:tr>
                  <w:tr>
                    <w:trPr>
                      <w:trHeight w:val="316" w:hRule="atLeast"/>
                    </w:trPr>
                    <w:tc>
                      <w:tcPr>
                        <w:tcW w:w="4237" w:type="dxa"/>
                      </w:tcPr>
                      <w:p>
                        <w:pPr>
                          <w:pStyle w:val="TableParagraph"/>
                          <w:ind w:left="105"/>
                          <w:rPr>
                            <w:sz w:val="21"/>
                          </w:rPr>
                        </w:pPr>
                        <w:r>
                          <w:rPr>
                            <w:sz w:val="21"/>
                          </w:rPr>
                          <w:t>净转入金额（</w:t>
                        </w:r>
                        <w:r>
                          <w:rPr>
                            <w:rFonts w:ascii="Times New Roman" w:eastAsia="Times New Roman"/>
                            <w:sz w:val="21"/>
                          </w:rPr>
                          <w:t>L=J-K</w:t>
                        </w:r>
                        <w:r>
                          <w:rPr>
                            <w:sz w:val="21"/>
                          </w:rPr>
                          <w:t>）</w:t>
                        </w:r>
                      </w:p>
                    </w:tc>
                    <w:tc>
                      <w:tcPr>
                        <w:tcW w:w="3217" w:type="dxa"/>
                      </w:tcPr>
                      <w:p>
                        <w:pPr>
                          <w:pStyle w:val="TableParagraph"/>
                          <w:spacing w:before="36"/>
                          <w:ind w:right="94"/>
                          <w:jc w:val="right"/>
                          <w:rPr>
                            <w:rFonts w:ascii="Times New Roman"/>
                            <w:sz w:val="21"/>
                          </w:rPr>
                        </w:pPr>
                        <w:r>
                          <w:rPr>
                            <w:rFonts w:ascii="Times New Roman"/>
                            <w:sz w:val="21"/>
                          </w:rPr>
                          <w:t>11,745,500.98</w:t>
                        </w:r>
                      </w:p>
                    </w:tc>
                  </w:tr>
                  <w:tr>
                    <w:trPr>
                      <w:trHeight w:val="316" w:hRule="atLeast"/>
                    </w:trPr>
                    <w:tc>
                      <w:tcPr>
                        <w:tcW w:w="4237" w:type="dxa"/>
                      </w:tcPr>
                      <w:p>
                        <w:pPr>
                          <w:pStyle w:val="TableParagraph"/>
                          <w:ind w:left="105"/>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M</w:t>
                        </w:r>
                        <w:r>
                          <w:rPr>
                            <w:sz w:val="21"/>
                          </w:rPr>
                          <w:t>）</w:t>
                        </w:r>
                      </w:p>
                    </w:tc>
                    <w:tc>
                      <w:tcPr>
                        <w:tcW w:w="3217" w:type="dxa"/>
                      </w:tcPr>
                      <w:p>
                        <w:pPr>
                          <w:pStyle w:val="TableParagraph"/>
                          <w:spacing w:before="36"/>
                          <w:ind w:right="94"/>
                          <w:jc w:val="right"/>
                          <w:rPr>
                            <w:rFonts w:ascii="Times New Roman"/>
                            <w:sz w:val="21"/>
                          </w:rPr>
                        </w:pPr>
                        <w:r>
                          <w:rPr>
                            <w:rFonts w:ascii="Times New Roman"/>
                            <w:sz w:val="21"/>
                          </w:rPr>
                          <w:t>1.300</w:t>
                        </w:r>
                      </w:p>
                    </w:tc>
                  </w:tr>
                  <w:tr>
                    <w:trPr>
                      <w:trHeight w:val="318" w:hRule="atLeast"/>
                    </w:trPr>
                    <w:tc>
                      <w:tcPr>
                        <w:tcW w:w="4237" w:type="dxa"/>
                      </w:tcPr>
                      <w:p>
                        <w:pPr>
                          <w:pStyle w:val="TableParagraph"/>
                          <w:ind w:left="105"/>
                          <w:rPr>
                            <w:sz w:val="21"/>
                          </w:rPr>
                        </w:pPr>
                        <w:r>
                          <w:rPr>
                            <w:sz w:val="21"/>
                          </w:rPr>
                          <w:t>转入基金份额（</w:t>
                        </w:r>
                        <w:r>
                          <w:rPr>
                            <w:rFonts w:ascii="Times New Roman" w:eastAsia="Times New Roman"/>
                            <w:sz w:val="21"/>
                          </w:rPr>
                          <w:t>N=L/M</w:t>
                        </w:r>
                        <w:r>
                          <w:rPr>
                            <w:sz w:val="21"/>
                          </w:rPr>
                          <w:t>）</w:t>
                        </w:r>
                      </w:p>
                    </w:tc>
                    <w:tc>
                      <w:tcPr>
                        <w:tcW w:w="3217" w:type="dxa"/>
                      </w:tcPr>
                      <w:p>
                        <w:pPr>
                          <w:pStyle w:val="TableParagraph"/>
                          <w:spacing w:before="36"/>
                          <w:ind w:right="94"/>
                          <w:jc w:val="right"/>
                          <w:rPr>
                            <w:rFonts w:ascii="Times New Roman"/>
                            <w:sz w:val="21"/>
                          </w:rPr>
                        </w:pPr>
                        <w:r>
                          <w:rPr>
                            <w:rFonts w:ascii="Times New Roman"/>
                            <w:sz w:val="21"/>
                          </w:rPr>
                          <w:t>9,035,000.75</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BodyText"/>
        <w:ind w:left="72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11"/>
        <w:rPr>
          <w:rFonts w:ascii="Times New Roman"/>
          <w:sz w:val="17"/>
        </w:rPr>
      </w:pPr>
    </w:p>
    <w:p>
      <w:pPr>
        <w:pStyle w:val="BodyText"/>
        <w:spacing w:line="424" w:lineRule="auto"/>
        <w:ind w:left="300" w:right="873"/>
        <w:jc w:val="both"/>
      </w:pPr>
      <w:r>
        <w:rPr/>
        <w:pict>
          <v:shape style="position:absolute;margin-left:111.139999pt;margin-top:89.849968pt;width:373.4pt;height:170.1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38" w:hRule="atLeast"/>
                    </w:trPr>
                    <w:tc>
                      <w:tcPr>
                        <w:tcW w:w="4237" w:type="dxa"/>
                      </w:tcPr>
                      <w:p>
                        <w:pPr>
                          <w:pStyle w:val="TableParagraph"/>
                          <w:spacing w:before="87"/>
                          <w:ind w:left="1887" w:right="1400"/>
                          <w:jc w:val="center"/>
                          <w:rPr>
                            <w:sz w:val="21"/>
                          </w:rPr>
                        </w:pPr>
                        <w:r>
                          <w:rPr>
                            <w:sz w:val="21"/>
                          </w:rPr>
                          <w:t>项目</w:t>
                        </w:r>
                      </w:p>
                    </w:tc>
                    <w:tc>
                      <w:tcPr>
                        <w:tcW w:w="3217" w:type="dxa"/>
                      </w:tcPr>
                      <w:p>
                        <w:pPr>
                          <w:pStyle w:val="TableParagraph"/>
                          <w:spacing w:before="87"/>
                          <w:ind w:left="1427"/>
                          <w:rPr>
                            <w:sz w:val="21"/>
                          </w:rPr>
                        </w:pPr>
                        <w:r>
                          <w:rPr>
                            <w:sz w:val="21"/>
                          </w:rPr>
                          <w:t>费用计算</w:t>
                        </w:r>
                      </w:p>
                    </w:tc>
                  </w:tr>
                  <w:tr>
                    <w:trPr>
                      <w:trHeight w:val="316" w:hRule="atLeast"/>
                    </w:trPr>
                    <w:tc>
                      <w:tcPr>
                        <w:tcW w:w="4237"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17" w:type="dxa"/>
                      </w:tcPr>
                      <w:p>
                        <w:pPr>
                          <w:pStyle w:val="TableParagraph"/>
                          <w:spacing w:before="36"/>
                          <w:ind w:right="94"/>
                          <w:jc w:val="right"/>
                          <w:rPr>
                            <w:rFonts w:ascii="Times New Roman"/>
                            <w:sz w:val="21"/>
                          </w:rPr>
                        </w:pPr>
                        <w:r>
                          <w:rPr>
                            <w:rFonts w:ascii="Times New Roman"/>
                            <w:sz w:val="21"/>
                          </w:rPr>
                          <w:t>1,000.00</w:t>
                        </w:r>
                      </w:p>
                    </w:tc>
                  </w:tr>
                  <w:tr>
                    <w:trPr>
                      <w:trHeight w:val="316" w:hRule="atLeast"/>
                    </w:trPr>
                    <w:tc>
                      <w:tcPr>
                        <w:tcW w:w="4237"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7" w:type="dxa"/>
                      </w:tcPr>
                      <w:p>
                        <w:pPr>
                          <w:pStyle w:val="TableParagraph"/>
                          <w:spacing w:before="36"/>
                          <w:ind w:right="94"/>
                          <w:jc w:val="right"/>
                          <w:rPr>
                            <w:rFonts w:ascii="Times New Roman"/>
                            <w:sz w:val="21"/>
                          </w:rPr>
                        </w:pPr>
                        <w:r>
                          <w:rPr>
                            <w:rFonts w:ascii="Times New Roman"/>
                            <w:sz w:val="21"/>
                          </w:rPr>
                          <w:t>1.300</w:t>
                        </w:r>
                      </w:p>
                    </w:tc>
                  </w:tr>
                  <w:tr>
                    <w:trPr>
                      <w:trHeight w:val="318" w:hRule="atLeast"/>
                    </w:trPr>
                    <w:tc>
                      <w:tcPr>
                        <w:tcW w:w="4237" w:type="dxa"/>
                      </w:tcPr>
                      <w:p>
                        <w:pPr>
                          <w:pStyle w:val="TableParagraph"/>
                          <w:spacing w:before="27"/>
                          <w:ind w:left="107"/>
                          <w:rPr>
                            <w:sz w:val="21"/>
                          </w:rPr>
                        </w:pPr>
                        <w:r>
                          <w:rPr>
                            <w:sz w:val="21"/>
                          </w:rPr>
                          <w:t>转出总金额（</w:t>
                        </w:r>
                        <w:r>
                          <w:rPr>
                            <w:rFonts w:ascii="Times New Roman" w:eastAsia="Times New Roman"/>
                            <w:sz w:val="21"/>
                          </w:rPr>
                          <w:t>C=A*B</w:t>
                        </w:r>
                        <w:r>
                          <w:rPr>
                            <w:sz w:val="21"/>
                          </w:rPr>
                          <w:t>）</w:t>
                        </w:r>
                      </w:p>
                    </w:tc>
                    <w:tc>
                      <w:tcPr>
                        <w:tcW w:w="3217" w:type="dxa"/>
                      </w:tcPr>
                      <w:p>
                        <w:pPr>
                          <w:pStyle w:val="TableParagraph"/>
                          <w:spacing w:before="39"/>
                          <w:ind w:right="94"/>
                          <w:jc w:val="right"/>
                          <w:rPr>
                            <w:rFonts w:ascii="Times New Roman"/>
                            <w:sz w:val="21"/>
                          </w:rPr>
                        </w:pPr>
                        <w:r>
                          <w:rPr>
                            <w:rFonts w:ascii="Times New Roman"/>
                            <w:sz w:val="21"/>
                          </w:rPr>
                          <w:t>1,300.00</w:t>
                        </w:r>
                      </w:p>
                    </w:tc>
                  </w:tr>
                  <w:tr>
                    <w:trPr>
                      <w:trHeight w:val="316" w:hRule="atLeast"/>
                    </w:trPr>
                    <w:tc>
                      <w:tcPr>
                        <w:tcW w:w="4237"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17" w:type="dxa"/>
                      </w:tcPr>
                      <w:p>
                        <w:pPr>
                          <w:pStyle w:val="TableParagraph"/>
                          <w:spacing w:before="36"/>
                          <w:ind w:right="93"/>
                          <w:jc w:val="right"/>
                          <w:rPr>
                            <w:rFonts w:ascii="Times New Roman"/>
                            <w:sz w:val="21"/>
                          </w:rPr>
                        </w:pPr>
                        <w:r>
                          <w:rPr>
                            <w:rFonts w:ascii="Times New Roman"/>
                            <w:sz w:val="21"/>
                          </w:rPr>
                          <w:t>0.5%</w:t>
                        </w:r>
                      </w:p>
                    </w:tc>
                  </w:tr>
                  <w:tr>
                    <w:trPr>
                      <w:trHeight w:val="316" w:hRule="atLeast"/>
                    </w:trPr>
                    <w:tc>
                      <w:tcPr>
                        <w:tcW w:w="4237" w:type="dxa"/>
                      </w:tcPr>
                      <w:p>
                        <w:pPr>
                          <w:pStyle w:val="TableParagraph"/>
                          <w:ind w:left="107"/>
                          <w:rPr>
                            <w:sz w:val="21"/>
                          </w:rPr>
                        </w:pPr>
                        <w:r>
                          <w:rPr>
                            <w:sz w:val="21"/>
                          </w:rPr>
                          <w:t>赎回费（</w:t>
                        </w:r>
                        <w:r>
                          <w:rPr>
                            <w:rFonts w:ascii="Times New Roman" w:eastAsia="Times New Roman"/>
                            <w:sz w:val="21"/>
                          </w:rPr>
                          <w:t>E=C*D</w:t>
                        </w:r>
                        <w:r>
                          <w:rPr>
                            <w:sz w:val="21"/>
                          </w:rPr>
                          <w:t>）</w:t>
                        </w:r>
                      </w:p>
                    </w:tc>
                    <w:tc>
                      <w:tcPr>
                        <w:tcW w:w="3217" w:type="dxa"/>
                      </w:tcPr>
                      <w:p>
                        <w:pPr>
                          <w:pStyle w:val="TableParagraph"/>
                          <w:spacing w:before="36"/>
                          <w:ind w:right="94"/>
                          <w:jc w:val="right"/>
                          <w:rPr>
                            <w:rFonts w:ascii="Times New Roman"/>
                            <w:sz w:val="21"/>
                          </w:rPr>
                        </w:pPr>
                        <w:r>
                          <w:rPr>
                            <w:rFonts w:ascii="Times New Roman"/>
                            <w:sz w:val="21"/>
                          </w:rPr>
                          <w:t>6.50</w:t>
                        </w:r>
                      </w:p>
                    </w:tc>
                  </w:tr>
                  <w:tr>
                    <w:trPr>
                      <w:trHeight w:val="316" w:hRule="atLeast"/>
                    </w:trPr>
                    <w:tc>
                      <w:tcPr>
                        <w:tcW w:w="4237" w:type="dxa"/>
                      </w:tcPr>
                      <w:p>
                        <w:pPr>
                          <w:pStyle w:val="TableParagraph"/>
                          <w:ind w:left="107"/>
                          <w:rPr>
                            <w:sz w:val="21"/>
                          </w:rPr>
                        </w:pPr>
                        <w:r>
                          <w:rPr>
                            <w:sz w:val="21"/>
                          </w:rPr>
                          <w:t>申购日转出基金基金份额净值（</w:t>
                        </w:r>
                        <w:r>
                          <w:rPr>
                            <w:rFonts w:ascii="Times New Roman" w:eastAsia="Times New Roman"/>
                            <w:sz w:val="21"/>
                          </w:rPr>
                          <w:t>F</w:t>
                        </w:r>
                        <w:r>
                          <w:rPr>
                            <w:sz w:val="21"/>
                          </w:rPr>
                          <w:t>）</w:t>
                        </w:r>
                      </w:p>
                    </w:tc>
                    <w:tc>
                      <w:tcPr>
                        <w:tcW w:w="3217" w:type="dxa"/>
                      </w:tcPr>
                      <w:p>
                        <w:pPr>
                          <w:pStyle w:val="TableParagraph"/>
                          <w:spacing w:before="36"/>
                          <w:ind w:right="94"/>
                          <w:jc w:val="right"/>
                          <w:rPr>
                            <w:rFonts w:ascii="Times New Roman"/>
                            <w:sz w:val="21"/>
                          </w:rPr>
                        </w:pPr>
                        <w:r>
                          <w:rPr>
                            <w:rFonts w:ascii="Times New Roman"/>
                            <w:sz w:val="21"/>
                          </w:rPr>
                          <w:t>1.100</w:t>
                        </w:r>
                      </w:p>
                    </w:tc>
                  </w:tr>
                  <w:tr>
                    <w:trPr>
                      <w:trHeight w:val="318" w:hRule="atLeast"/>
                    </w:trPr>
                    <w:tc>
                      <w:tcPr>
                        <w:tcW w:w="4237" w:type="dxa"/>
                      </w:tcPr>
                      <w:p>
                        <w:pPr>
                          <w:pStyle w:val="TableParagraph"/>
                          <w:spacing w:before="27"/>
                          <w:ind w:left="107"/>
                          <w:rPr>
                            <w:sz w:val="21"/>
                          </w:rPr>
                        </w:pPr>
                        <w:r>
                          <w:rPr>
                            <w:sz w:val="21"/>
                          </w:rPr>
                          <w:t>适用后端申购费率（</w:t>
                        </w:r>
                        <w:r>
                          <w:rPr>
                            <w:rFonts w:ascii="Times New Roman" w:eastAsia="Times New Roman"/>
                            <w:sz w:val="21"/>
                          </w:rPr>
                          <w:t>G</w:t>
                        </w:r>
                        <w:r>
                          <w:rPr>
                            <w:sz w:val="21"/>
                          </w:rPr>
                          <w:t>）</w:t>
                        </w:r>
                      </w:p>
                    </w:tc>
                    <w:tc>
                      <w:tcPr>
                        <w:tcW w:w="3217" w:type="dxa"/>
                      </w:tcPr>
                      <w:p>
                        <w:pPr>
                          <w:pStyle w:val="TableParagraph"/>
                          <w:spacing w:before="39"/>
                          <w:ind w:right="93"/>
                          <w:jc w:val="right"/>
                          <w:rPr>
                            <w:rFonts w:ascii="Times New Roman"/>
                            <w:sz w:val="21"/>
                          </w:rPr>
                        </w:pPr>
                        <w:r>
                          <w:rPr>
                            <w:rFonts w:ascii="Times New Roman"/>
                            <w:sz w:val="21"/>
                          </w:rPr>
                          <w:t>1.0%</w:t>
                        </w:r>
                      </w:p>
                    </w:tc>
                  </w:tr>
                  <w:tr>
                    <w:trPr>
                      <w:trHeight w:val="316" w:hRule="atLeast"/>
                    </w:trPr>
                    <w:tc>
                      <w:tcPr>
                        <w:tcW w:w="4237" w:type="dxa"/>
                      </w:tcPr>
                      <w:p>
                        <w:pPr>
                          <w:pStyle w:val="TableParagraph"/>
                          <w:ind w:left="107"/>
                          <w:rPr>
                            <w:sz w:val="21"/>
                          </w:rPr>
                        </w:pPr>
                        <w:r>
                          <w:rPr>
                            <w:spacing w:val="-2"/>
                            <w:w w:val="100"/>
                            <w:sz w:val="21"/>
                          </w:rPr>
                          <w:t>后端申购费</w:t>
                        </w:r>
                        <w:r>
                          <w:rPr>
                            <w:spacing w:val="-3"/>
                            <w:w w:val="100"/>
                            <w:sz w:val="21"/>
                          </w:rPr>
                          <w:t>（</w:t>
                        </w:r>
                        <w:r>
                          <w:rPr>
                            <w:rFonts w:ascii="Times New Roman" w:hAnsi="Times New Roman" w:eastAsia="Times New Roman"/>
                            <w:w w:val="100"/>
                            <w:sz w:val="21"/>
                          </w:rPr>
                          <w:t>H</w:t>
                        </w:r>
                        <w:r>
                          <w:rPr>
                            <w:rFonts w:ascii="Times New Roman" w:hAnsi="Times New Roman" w:eastAsia="Times New Roman"/>
                            <w:spacing w:val="-2"/>
                            <w:w w:val="100"/>
                            <w:sz w:val="21"/>
                          </w:rPr>
                          <w:t>=</w:t>
                        </w:r>
                        <w:r>
                          <w:rPr>
                            <w:rFonts w:ascii="Times New Roman" w:hAnsi="Times New Roman" w:eastAsia="Times New Roman"/>
                            <w:spacing w:val="-1"/>
                            <w:w w:val="100"/>
                            <w:sz w:val="21"/>
                          </w:rPr>
                          <w:t>A</w:t>
                        </w:r>
                        <w:r>
                          <w:rPr>
                            <w:w w:val="100"/>
                            <w:sz w:val="21"/>
                          </w:rPr>
                          <w:t>×</w:t>
                        </w:r>
                        <w:r>
                          <w:rPr>
                            <w:rFonts w:ascii="Times New Roman" w:hAnsi="Times New Roman" w:eastAsia="Times New Roman"/>
                            <w:spacing w:val="-5"/>
                            <w:w w:val="100"/>
                            <w:sz w:val="21"/>
                          </w:rPr>
                          <w:t>F</w:t>
                        </w:r>
                        <w:r>
                          <w:rPr>
                            <w:w w:val="100"/>
                            <w:sz w:val="21"/>
                          </w:rPr>
                          <w:t>×</w:t>
                        </w:r>
                        <w:r>
                          <w:rPr>
                            <w:rFonts w:ascii="Times New Roman" w:hAnsi="Times New Roman" w:eastAsia="Times New Roman"/>
                            <w:spacing w:val="1"/>
                            <w:w w:val="100"/>
                            <w:sz w:val="21"/>
                          </w:rPr>
                          <w:t>G</w:t>
                        </w:r>
                        <w:r>
                          <w:rPr>
                            <w:rFonts w:ascii="Times New Roman" w:hAnsi="Times New Roman" w:eastAsia="Times New Roman"/>
                            <w:spacing w:val="-2"/>
                            <w:w w:val="100"/>
                            <w:sz w:val="21"/>
                          </w:rPr>
                          <w:t>/</w:t>
                        </w:r>
                        <w:r>
                          <w:rPr>
                            <w:w w:val="100"/>
                            <w:sz w:val="21"/>
                          </w:rPr>
                          <w:t>（</w:t>
                        </w:r>
                        <w:r>
                          <w:rPr>
                            <w:rFonts w:ascii="Times New Roman" w:hAnsi="Times New Roman" w:eastAsia="Times New Roman"/>
                            <w:w w:val="100"/>
                            <w:sz w:val="21"/>
                          </w:rPr>
                          <w:t>1</w:t>
                        </w:r>
                        <w:r>
                          <w:rPr>
                            <w:rFonts w:ascii="Times New Roman" w:hAnsi="Times New Roman" w:eastAsia="Times New Roman"/>
                            <w:spacing w:val="-2"/>
                            <w:w w:val="100"/>
                            <w:sz w:val="21"/>
                          </w:rPr>
                          <w:t>+</w:t>
                        </w:r>
                        <w:r>
                          <w:rPr>
                            <w:rFonts w:ascii="Times New Roman" w:hAnsi="Times New Roman" w:eastAsia="Times New Roman"/>
                            <w:spacing w:val="1"/>
                            <w:w w:val="100"/>
                            <w:sz w:val="21"/>
                          </w:rPr>
                          <w:t>G</w:t>
                        </w:r>
                        <w:r>
                          <w:rPr>
                            <w:spacing w:val="-108"/>
                            <w:w w:val="100"/>
                            <w:sz w:val="21"/>
                          </w:rPr>
                          <w:t>））</w:t>
                        </w:r>
                      </w:p>
                    </w:tc>
                    <w:tc>
                      <w:tcPr>
                        <w:tcW w:w="3217" w:type="dxa"/>
                      </w:tcPr>
                      <w:p>
                        <w:pPr>
                          <w:pStyle w:val="TableParagraph"/>
                          <w:spacing w:before="37"/>
                          <w:ind w:right="94"/>
                          <w:jc w:val="right"/>
                          <w:rPr>
                            <w:rFonts w:ascii="Times New Roman"/>
                            <w:sz w:val="21"/>
                          </w:rPr>
                        </w:pPr>
                        <w:r>
                          <w:rPr>
                            <w:rFonts w:ascii="Times New Roman"/>
                            <w:sz w:val="21"/>
                          </w:rPr>
                          <w:t>10.89</w:t>
                        </w:r>
                      </w:p>
                    </w:tc>
                  </w:tr>
                  <w:tr>
                    <w:trPr>
                      <w:trHeight w:val="316" w:hRule="atLeast"/>
                    </w:trPr>
                    <w:tc>
                      <w:tcPr>
                        <w:tcW w:w="4237" w:type="dxa"/>
                      </w:tcPr>
                      <w:p>
                        <w:pPr>
                          <w:pStyle w:val="TableParagraph"/>
                          <w:ind w:left="107"/>
                          <w:rPr>
                            <w:sz w:val="21"/>
                          </w:rPr>
                        </w:pPr>
                        <w:r>
                          <w:rPr>
                            <w:sz w:val="21"/>
                          </w:rPr>
                          <w:t>转出基金费用（</w:t>
                        </w:r>
                        <w:r>
                          <w:rPr>
                            <w:rFonts w:ascii="Times New Roman" w:eastAsia="Times New Roman"/>
                            <w:sz w:val="21"/>
                          </w:rPr>
                          <w:t>I=E+H</w:t>
                        </w:r>
                        <w:r>
                          <w:rPr>
                            <w:sz w:val="21"/>
                          </w:rPr>
                          <w:t>）</w:t>
                        </w:r>
                      </w:p>
                    </w:tc>
                    <w:tc>
                      <w:tcPr>
                        <w:tcW w:w="3217" w:type="dxa"/>
                      </w:tcPr>
                      <w:p>
                        <w:pPr>
                          <w:pStyle w:val="TableParagraph"/>
                          <w:spacing w:before="36"/>
                          <w:ind w:right="94"/>
                          <w:jc w:val="right"/>
                          <w:rPr>
                            <w:rFonts w:ascii="Times New Roman"/>
                            <w:sz w:val="21"/>
                          </w:rPr>
                        </w:pPr>
                        <w:r>
                          <w:rPr>
                            <w:rFonts w:ascii="Times New Roman"/>
                            <w:sz w:val="21"/>
                          </w:rPr>
                          <w:t>17.39</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spacing w:after="0" w:line="424" w:lineRule="auto"/>
        <w:jc w:val="both"/>
        <w:sectPr>
          <w:pgSz w:w="11910" w:h="16840"/>
          <w:pgMar w:header="701" w:footer="683" w:top="1420" w:bottom="880" w:left="1500" w:right="920"/>
        </w:sectPr>
      </w:pP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6" w:hRule="atLeast"/>
        </w:trPr>
        <w:tc>
          <w:tcPr>
            <w:tcW w:w="4237" w:type="dxa"/>
          </w:tcPr>
          <w:p>
            <w:pPr>
              <w:pStyle w:val="TableParagraph"/>
              <w:ind w:left="107"/>
              <w:rPr>
                <w:sz w:val="21"/>
              </w:rPr>
            </w:pPr>
            <w:r>
              <w:rPr>
                <w:sz w:val="21"/>
              </w:rPr>
              <w:t>转换金额（</w:t>
            </w:r>
            <w:r>
              <w:rPr>
                <w:rFonts w:ascii="Times New Roman" w:eastAsia="Times New Roman"/>
                <w:sz w:val="21"/>
              </w:rPr>
              <w:t>J=C-I</w:t>
            </w:r>
            <w:r>
              <w:rPr>
                <w:sz w:val="21"/>
              </w:rPr>
              <w:t>）</w:t>
            </w:r>
          </w:p>
        </w:tc>
        <w:tc>
          <w:tcPr>
            <w:tcW w:w="3217" w:type="dxa"/>
          </w:tcPr>
          <w:p>
            <w:pPr>
              <w:pStyle w:val="TableParagraph"/>
              <w:spacing w:before="37"/>
              <w:ind w:right="94"/>
              <w:jc w:val="right"/>
              <w:rPr>
                <w:rFonts w:ascii="Times New Roman"/>
                <w:sz w:val="21"/>
              </w:rPr>
            </w:pPr>
            <w:r>
              <w:rPr>
                <w:rFonts w:ascii="Times New Roman"/>
                <w:sz w:val="21"/>
              </w:rPr>
              <w:t>1,282.61</w:t>
            </w:r>
          </w:p>
        </w:tc>
      </w:tr>
      <w:tr>
        <w:trPr>
          <w:trHeight w:val="316" w:hRule="atLeast"/>
        </w:trPr>
        <w:tc>
          <w:tcPr>
            <w:tcW w:w="4237" w:type="dxa"/>
          </w:tcPr>
          <w:p>
            <w:pPr>
              <w:pStyle w:val="TableParagraph"/>
              <w:ind w:left="107"/>
              <w:rPr>
                <w:sz w:val="21"/>
              </w:rPr>
            </w:pPr>
            <w:r>
              <w:rPr>
                <w:sz w:val="21"/>
              </w:rPr>
              <w:t>转入基金费用（</w:t>
            </w:r>
            <w:r>
              <w:rPr>
                <w:rFonts w:ascii="Times New Roman" w:eastAsia="Times New Roman"/>
                <w:sz w:val="21"/>
              </w:rPr>
              <w:t>K</w:t>
            </w:r>
            <w:r>
              <w:rPr>
                <w:sz w:val="21"/>
              </w:rPr>
              <w:t>）</w:t>
            </w:r>
          </w:p>
        </w:tc>
        <w:tc>
          <w:tcPr>
            <w:tcW w:w="3217" w:type="dxa"/>
          </w:tcPr>
          <w:p>
            <w:pPr>
              <w:pStyle w:val="TableParagraph"/>
              <w:spacing w:before="36"/>
              <w:ind w:right="94"/>
              <w:jc w:val="right"/>
              <w:rPr>
                <w:rFonts w:ascii="Times New Roman"/>
                <w:sz w:val="21"/>
              </w:rPr>
            </w:pPr>
            <w:r>
              <w:rPr>
                <w:rFonts w:ascii="Times New Roman"/>
                <w:sz w:val="21"/>
              </w:rPr>
              <w:t>0.00</w:t>
            </w:r>
          </w:p>
        </w:tc>
      </w:tr>
      <w:tr>
        <w:trPr>
          <w:trHeight w:val="318" w:hRule="atLeast"/>
        </w:trPr>
        <w:tc>
          <w:tcPr>
            <w:tcW w:w="4237" w:type="dxa"/>
          </w:tcPr>
          <w:p>
            <w:pPr>
              <w:pStyle w:val="TableParagraph"/>
              <w:spacing w:before="27"/>
              <w:ind w:left="107"/>
              <w:rPr>
                <w:sz w:val="21"/>
              </w:rPr>
            </w:pPr>
            <w:r>
              <w:rPr>
                <w:sz w:val="21"/>
              </w:rPr>
              <w:t>净转入金额（</w:t>
            </w:r>
            <w:r>
              <w:rPr>
                <w:rFonts w:ascii="Times New Roman" w:eastAsia="Times New Roman"/>
                <w:sz w:val="21"/>
              </w:rPr>
              <w:t>L=J-K</w:t>
            </w:r>
            <w:r>
              <w:rPr>
                <w:sz w:val="21"/>
              </w:rPr>
              <w:t>）</w:t>
            </w:r>
          </w:p>
        </w:tc>
        <w:tc>
          <w:tcPr>
            <w:tcW w:w="3217" w:type="dxa"/>
          </w:tcPr>
          <w:p>
            <w:pPr>
              <w:pStyle w:val="TableParagraph"/>
              <w:spacing w:before="39"/>
              <w:ind w:right="94"/>
              <w:jc w:val="right"/>
              <w:rPr>
                <w:rFonts w:ascii="Times New Roman"/>
                <w:sz w:val="21"/>
              </w:rPr>
            </w:pPr>
            <w:r>
              <w:rPr>
                <w:rFonts w:ascii="Times New Roman"/>
                <w:sz w:val="21"/>
              </w:rPr>
              <w:t>1,282.61</w:t>
            </w:r>
          </w:p>
        </w:tc>
      </w:tr>
      <w:tr>
        <w:trPr>
          <w:trHeight w:val="316" w:hRule="atLeast"/>
        </w:trPr>
        <w:tc>
          <w:tcPr>
            <w:tcW w:w="4237"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M</w:t>
            </w:r>
            <w:r>
              <w:rPr>
                <w:sz w:val="21"/>
              </w:rPr>
              <w:t>）</w:t>
            </w:r>
          </w:p>
        </w:tc>
        <w:tc>
          <w:tcPr>
            <w:tcW w:w="3217" w:type="dxa"/>
          </w:tcPr>
          <w:p>
            <w:pPr>
              <w:pStyle w:val="TableParagraph"/>
              <w:spacing w:before="36"/>
              <w:ind w:right="94"/>
              <w:jc w:val="right"/>
              <w:rPr>
                <w:rFonts w:ascii="Times New Roman"/>
                <w:sz w:val="21"/>
              </w:rPr>
            </w:pPr>
            <w:r>
              <w:rPr>
                <w:rFonts w:ascii="Times New Roman"/>
                <w:sz w:val="21"/>
              </w:rPr>
              <w:t>1.500</w:t>
            </w:r>
          </w:p>
        </w:tc>
      </w:tr>
      <w:tr>
        <w:trPr>
          <w:trHeight w:val="316" w:hRule="atLeast"/>
        </w:trPr>
        <w:tc>
          <w:tcPr>
            <w:tcW w:w="4237" w:type="dxa"/>
          </w:tcPr>
          <w:p>
            <w:pPr>
              <w:pStyle w:val="TableParagraph"/>
              <w:ind w:left="107"/>
              <w:rPr>
                <w:sz w:val="21"/>
              </w:rPr>
            </w:pPr>
            <w:r>
              <w:rPr>
                <w:sz w:val="21"/>
              </w:rPr>
              <w:t>转入基金份额（</w:t>
            </w:r>
            <w:r>
              <w:rPr>
                <w:rFonts w:ascii="Times New Roman" w:eastAsia="Times New Roman"/>
                <w:sz w:val="21"/>
              </w:rPr>
              <w:t>N=L/M</w:t>
            </w:r>
            <w:r>
              <w:rPr>
                <w:sz w:val="21"/>
              </w:rPr>
              <w:t>）</w:t>
            </w:r>
          </w:p>
        </w:tc>
        <w:tc>
          <w:tcPr>
            <w:tcW w:w="3217" w:type="dxa"/>
          </w:tcPr>
          <w:p>
            <w:pPr>
              <w:pStyle w:val="TableParagraph"/>
              <w:spacing w:before="36"/>
              <w:ind w:right="94"/>
              <w:jc w:val="right"/>
              <w:rPr>
                <w:rFonts w:ascii="Times New Roman"/>
                <w:sz w:val="21"/>
              </w:rPr>
            </w:pPr>
            <w:r>
              <w:rPr>
                <w:rFonts w:ascii="Times New Roman"/>
                <w:sz w:val="21"/>
              </w:rPr>
              <w:t>855.07</w:t>
            </w:r>
          </w:p>
        </w:tc>
      </w:tr>
    </w:tbl>
    <w:p>
      <w:pPr>
        <w:pStyle w:val="BodyText"/>
        <w:spacing w:line="424" w:lineRule="auto" w:before="114"/>
        <w:ind w:left="300" w:right="871" w:firstLine="419"/>
        <w:jc w:val="both"/>
      </w:pPr>
      <w:r>
        <w:rPr/>
        <w:pict>
          <v:shape style="position:absolute;margin-left:110.540001pt;margin-top:71.879982pt;width:374.6pt;height:153.75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37" w:hRule="atLeast"/>
                    </w:trPr>
                    <w:tc>
                      <w:tcPr>
                        <w:tcW w:w="4249" w:type="dxa"/>
                      </w:tcPr>
                      <w:p>
                        <w:pPr>
                          <w:pStyle w:val="TableParagraph"/>
                          <w:spacing w:before="88"/>
                          <w:ind w:left="2134" w:right="1645"/>
                          <w:jc w:val="center"/>
                          <w:rPr>
                            <w:sz w:val="21"/>
                          </w:rPr>
                        </w:pPr>
                        <w:r>
                          <w:rPr>
                            <w:sz w:val="21"/>
                          </w:rPr>
                          <w:t>项目</w:t>
                        </w:r>
                      </w:p>
                    </w:tc>
                    <w:tc>
                      <w:tcPr>
                        <w:tcW w:w="3229" w:type="dxa"/>
                      </w:tcPr>
                      <w:p>
                        <w:pPr>
                          <w:pStyle w:val="TableParagraph"/>
                          <w:spacing w:before="88"/>
                          <w:ind w:left="1432"/>
                          <w:rPr>
                            <w:sz w:val="21"/>
                          </w:rPr>
                        </w:pPr>
                        <w:r>
                          <w:rPr>
                            <w:sz w:val="21"/>
                          </w:rPr>
                          <w:t>费用计算</w:t>
                        </w:r>
                      </w:p>
                    </w:tc>
                  </w:tr>
                  <w:tr>
                    <w:trPr>
                      <w:trHeight w:val="318" w:hRule="atLeast"/>
                    </w:trPr>
                    <w:tc>
                      <w:tcPr>
                        <w:tcW w:w="4249" w:type="dxa"/>
                      </w:tcPr>
                      <w:p>
                        <w:pPr>
                          <w:pStyle w:val="TableParagraph"/>
                          <w:spacing w:before="27"/>
                          <w:ind w:left="107"/>
                          <w:rPr>
                            <w:sz w:val="21"/>
                          </w:rPr>
                        </w:pPr>
                        <w:r>
                          <w:rPr>
                            <w:sz w:val="21"/>
                          </w:rPr>
                          <w:t>赎回份额（</w:t>
                        </w:r>
                        <w:r>
                          <w:rPr>
                            <w:rFonts w:ascii="Times New Roman" w:eastAsia="Times New Roman"/>
                            <w:sz w:val="21"/>
                          </w:rPr>
                          <w:t>O</w:t>
                        </w:r>
                        <w:r>
                          <w:rPr>
                            <w:sz w:val="21"/>
                          </w:rPr>
                          <w:t>）</w:t>
                        </w:r>
                      </w:p>
                    </w:tc>
                    <w:tc>
                      <w:tcPr>
                        <w:tcW w:w="3229" w:type="dxa"/>
                      </w:tcPr>
                      <w:p>
                        <w:pPr>
                          <w:pStyle w:val="TableParagraph"/>
                          <w:spacing w:before="39"/>
                          <w:ind w:right="94"/>
                          <w:jc w:val="right"/>
                          <w:rPr>
                            <w:rFonts w:ascii="Times New Roman"/>
                            <w:sz w:val="21"/>
                          </w:rPr>
                        </w:pPr>
                        <w:r>
                          <w:rPr>
                            <w:rFonts w:ascii="Times New Roman"/>
                            <w:sz w:val="21"/>
                          </w:rPr>
                          <w:t>855.07</w:t>
                        </w:r>
                      </w:p>
                    </w:tc>
                  </w:tr>
                  <w:tr>
                    <w:trPr>
                      <w:trHeight w:val="316" w:hRule="atLeast"/>
                    </w:trPr>
                    <w:tc>
                      <w:tcPr>
                        <w:tcW w:w="4249" w:type="dxa"/>
                      </w:tcPr>
                      <w:p>
                        <w:pPr>
                          <w:pStyle w:val="TableParagraph"/>
                          <w:ind w:left="107"/>
                          <w:rPr>
                            <w:sz w:val="21"/>
                          </w:rPr>
                        </w:pPr>
                        <w:r>
                          <w:rPr>
                            <w:sz w:val="21"/>
                          </w:rPr>
                          <w:t>赎回日基金份额净值（</w:t>
                        </w:r>
                        <w:r>
                          <w:rPr>
                            <w:rFonts w:ascii="Times New Roman" w:eastAsia="Times New Roman"/>
                            <w:sz w:val="21"/>
                          </w:rPr>
                          <w:t>P</w:t>
                        </w:r>
                        <w:r>
                          <w:rPr>
                            <w:sz w:val="21"/>
                          </w:rPr>
                          <w:t>）</w:t>
                        </w:r>
                      </w:p>
                    </w:tc>
                    <w:tc>
                      <w:tcPr>
                        <w:tcW w:w="3229" w:type="dxa"/>
                      </w:tcPr>
                      <w:p>
                        <w:pPr>
                          <w:pStyle w:val="TableParagraph"/>
                          <w:spacing w:before="36"/>
                          <w:ind w:right="94"/>
                          <w:jc w:val="right"/>
                          <w:rPr>
                            <w:rFonts w:ascii="Times New Roman"/>
                            <w:sz w:val="21"/>
                          </w:rPr>
                        </w:pPr>
                        <w:r>
                          <w:rPr>
                            <w:rFonts w:ascii="Times New Roman"/>
                            <w:sz w:val="21"/>
                          </w:rPr>
                          <w:t>1.300</w:t>
                        </w:r>
                      </w:p>
                    </w:tc>
                  </w:tr>
                  <w:tr>
                    <w:trPr>
                      <w:trHeight w:val="316" w:hRule="atLeast"/>
                    </w:trPr>
                    <w:tc>
                      <w:tcPr>
                        <w:tcW w:w="4249" w:type="dxa"/>
                      </w:tcPr>
                      <w:p>
                        <w:pPr>
                          <w:pStyle w:val="TableParagraph"/>
                          <w:ind w:left="107"/>
                          <w:rPr>
                            <w:sz w:val="21"/>
                          </w:rPr>
                        </w:pPr>
                        <w:r>
                          <w:rPr>
                            <w:sz w:val="21"/>
                          </w:rPr>
                          <w:t>赎回总金额（</w:t>
                        </w:r>
                        <w:r>
                          <w:rPr>
                            <w:rFonts w:ascii="Times New Roman" w:eastAsia="Times New Roman"/>
                            <w:sz w:val="21"/>
                          </w:rPr>
                          <w:t>Q=O*P</w:t>
                        </w:r>
                        <w:r>
                          <w:rPr>
                            <w:sz w:val="21"/>
                          </w:rPr>
                          <w:t>）</w:t>
                        </w:r>
                      </w:p>
                    </w:tc>
                    <w:tc>
                      <w:tcPr>
                        <w:tcW w:w="3229" w:type="dxa"/>
                      </w:tcPr>
                      <w:p>
                        <w:pPr>
                          <w:pStyle w:val="TableParagraph"/>
                          <w:spacing w:before="36"/>
                          <w:ind w:right="94"/>
                          <w:jc w:val="right"/>
                          <w:rPr>
                            <w:rFonts w:ascii="Times New Roman"/>
                            <w:sz w:val="21"/>
                          </w:rPr>
                        </w:pPr>
                        <w:r>
                          <w:rPr>
                            <w:rFonts w:ascii="Times New Roman"/>
                            <w:sz w:val="21"/>
                          </w:rPr>
                          <w:t>1,111.59</w:t>
                        </w:r>
                      </w:p>
                    </w:tc>
                  </w:tr>
                  <w:tr>
                    <w:trPr>
                      <w:trHeight w:val="316" w:hRule="atLeast"/>
                    </w:trPr>
                    <w:tc>
                      <w:tcPr>
                        <w:tcW w:w="4249" w:type="dxa"/>
                      </w:tcPr>
                      <w:p>
                        <w:pPr>
                          <w:pStyle w:val="TableParagraph"/>
                          <w:ind w:left="107"/>
                          <w:rPr>
                            <w:sz w:val="21"/>
                          </w:rPr>
                        </w:pPr>
                        <w:r>
                          <w:rPr>
                            <w:sz w:val="21"/>
                          </w:rPr>
                          <w:t>赎回费率（</w:t>
                        </w:r>
                        <w:r>
                          <w:rPr>
                            <w:rFonts w:ascii="Times New Roman" w:eastAsia="Times New Roman"/>
                            <w:sz w:val="21"/>
                          </w:rPr>
                          <w:t>R</w:t>
                        </w:r>
                        <w:r>
                          <w:rPr>
                            <w:sz w:val="21"/>
                          </w:rPr>
                          <w:t>）</w:t>
                        </w:r>
                      </w:p>
                    </w:tc>
                    <w:tc>
                      <w:tcPr>
                        <w:tcW w:w="3229" w:type="dxa"/>
                      </w:tcPr>
                      <w:p>
                        <w:pPr>
                          <w:pStyle w:val="TableParagraph"/>
                          <w:spacing w:before="36"/>
                          <w:ind w:right="93"/>
                          <w:jc w:val="right"/>
                          <w:rPr>
                            <w:rFonts w:ascii="Times New Roman"/>
                            <w:sz w:val="21"/>
                          </w:rPr>
                        </w:pPr>
                        <w:r>
                          <w:rPr>
                            <w:rFonts w:ascii="Times New Roman"/>
                            <w:sz w:val="21"/>
                          </w:rPr>
                          <w:t>0.5%</w:t>
                        </w:r>
                      </w:p>
                    </w:tc>
                  </w:tr>
                  <w:tr>
                    <w:trPr>
                      <w:trHeight w:val="318" w:hRule="atLeast"/>
                    </w:trPr>
                    <w:tc>
                      <w:tcPr>
                        <w:tcW w:w="4249" w:type="dxa"/>
                      </w:tcPr>
                      <w:p>
                        <w:pPr>
                          <w:pStyle w:val="TableParagraph"/>
                          <w:spacing w:before="27"/>
                          <w:ind w:left="107"/>
                          <w:rPr>
                            <w:sz w:val="21"/>
                          </w:rPr>
                        </w:pPr>
                        <w:r>
                          <w:rPr>
                            <w:sz w:val="21"/>
                          </w:rPr>
                          <w:t>赎回费（</w:t>
                        </w:r>
                        <w:r>
                          <w:rPr>
                            <w:rFonts w:ascii="Times New Roman" w:eastAsia="Times New Roman"/>
                            <w:sz w:val="21"/>
                          </w:rPr>
                          <w:t>S=Q*R</w:t>
                        </w:r>
                        <w:r>
                          <w:rPr>
                            <w:sz w:val="21"/>
                          </w:rPr>
                          <w:t>）</w:t>
                        </w:r>
                      </w:p>
                    </w:tc>
                    <w:tc>
                      <w:tcPr>
                        <w:tcW w:w="3229" w:type="dxa"/>
                      </w:tcPr>
                      <w:p>
                        <w:pPr>
                          <w:pStyle w:val="TableParagraph"/>
                          <w:spacing w:before="39"/>
                          <w:ind w:right="94"/>
                          <w:jc w:val="right"/>
                          <w:rPr>
                            <w:rFonts w:ascii="Times New Roman"/>
                            <w:sz w:val="21"/>
                          </w:rPr>
                        </w:pPr>
                        <w:r>
                          <w:rPr>
                            <w:rFonts w:ascii="Times New Roman"/>
                            <w:sz w:val="21"/>
                          </w:rPr>
                          <w:t>5.56</w:t>
                        </w:r>
                      </w:p>
                    </w:tc>
                  </w:tr>
                  <w:tr>
                    <w:trPr>
                      <w:trHeight w:val="316" w:hRule="atLeast"/>
                    </w:trPr>
                    <w:tc>
                      <w:tcPr>
                        <w:tcW w:w="4249" w:type="dxa"/>
                      </w:tcPr>
                      <w:p>
                        <w:pPr>
                          <w:pStyle w:val="TableParagraph"/>
                          <w:ind w:left="107"/>
                          <w:rPr>
                            <w:sz w:val="21"/>
                          </w:rPr>
                        </w:pPr>
                        <w:r>
                          <w:rPr>
                            <w:sz w:val="21"/>
                          </w:rPr>
                          <w:t>适用后端申购费率（</w:t>
                        </w:r>
                        <w:r>
                          <w:rPr>
                            <w:rFonts w:ascii="Times New Roman" w:eastAsia="Times New Roman"/>
                            <w:sz w:val="21"/>
                          </w:rPr>
                          <w:t>T</w:t>
                        </w:r>
                        <w:r>
                          <w:rPr>
                            <w:sz w:val="21"/>
                          </w:rPr>
                          <w:t>）</w:t>
                        </w:r>
                      </w:p>
                    </w:tc>
                    <w:tc>
                      <w:tcPr>
                        <w:tcW w:w="3229" w:type="dxa"/>
                      </w:tcPr>
                      <w:p>
                        <w:pPr>
                          <w:pStyle w:val="TableParagraph"/>
                          <w:spacing w:before="36"/>
                          <w:ind w:right="93"/>
                          <w:jc w:val="right"/>
                          <w:rPr>
                            <w:rFonts w:ascii="Times New Roman"/>
                            <w:sz w:val="21"/>
                          </w:rPr>
                        </w:pPr>
                        <w:r>
                          <w:rPr>
                            <w:rFonts w:ascii="Times New Roman"/>
                            <w:sz w:val="21"/>
                          </w:rPr>
                          <w:t>1.2%</w:t>
                        </w:r>
                      </w:p>
                    </w:tc>
                  </w:tr>
                  <w:tr>
                    <w:trPr>
                      <w:trHeight w:val="316" w:hRule="atLeast"/>
                    </w:trPr>
                    <w:tc>
                      <w:tcPr>
                        <w:tcW w:w="4249" w:type="dxa"/>
                      </w:tcPr>
                      <w:p>
                        <w:pPr>
                          <w:pStyle w:val="TableParagraph"/>
                          <w:ind w:left="107"/>
                          <w:rPr>
                            <w:sz w:val="21"/>
                          </w:rPr>
                        </w:pPr>
                        <w:r>
                          <w:rPr>
                            <w:sz w:val="21"/>
                          </w:rPr>
                          <w:t>后端申购费（</w:t>
                        </w:r>
                        <w:r>
                          <w:rPr>
                            <w:rFonts w:ascii="Times New Roman" w:eastAsia="Times New Roman"/>
                            <w:sz w:val="21"/>
                          </w:rPr>
                          <w:t>U=O*M*T/</w:t>
                        </w:r>
                        <w:r>
                          <w:rPr>
                            <w:sz w:val="21"/>
                          </w:rPr>
                          <w:t>(</w:t>
                        </w:r>
                        <w:r>
                          <w:rPr>
                            <w:rFonts w:ascii="Times New Roman" w:eastAsia="Times New Roman"/>
                            <w:sz w:val="21"/>
                          </w:rPr>
                          <w:t>1+T</w:t>
                        </w:r>
                        <w:r>
                          <w:rPr>
                            <w:sz w:val="21"/>
                          </w:rPr>
                          <w:t>)）</w:t>
                        </w:r>
                      </w:p>
                    </w:tc>
                    <w:tc>
                      <w:tcPr>
                        <w:tcW w:w="3229" w:type="dxa"/>
                      </w:tcPr>
                      <w:p>
                        <w:pPr>
                          <w:pStyle w:val="TableParagraph"/>
                          <w:spacing w:before="36"/>
                          <w:ind w:right="94"/>
                          <w:jc w:val="right"/>
                          <w:rPr>
                            <w:rFonts w:ascii="Times New Roman"/>
                            <w:sz w:val="21"/>
                          </w:rPr>
                        </w:pPr>
                        <w:r>
                          <w:rPr>
                            <w:rFonts w:ascii="Times New Roman"/>
                            <w:sz w:val="21"/>
                          </w:rPr>
                          <w:t>15.21</w:t>
                        </w:r>
                      </w:p>
                    </w:tc>
                  </w:tr>
                  <w:tr>
                    <w:trPr>
                      <w:trHeight w:val="318" w:hRule="atLeast"/>
                    </w:trPr>
                    <w:tc>
                      <w:tcPr>
                        <w:tcW w:w="4249" w:type="dxa"/>
                      </w:tcPr>
                      <w:p>
                        <w:pPr>
                          <w:pStyle w:val="TableParagraph"/>
                          <w:ind w:left="107"/>
                          <w:rPr>
                            <w:sz w:val="21"/>
                          </w:rPr>
                        </w:pPr>
                        <w:r>
                          <w:rPr>
                            <w:sz w:val="21"/>
                          </w:rPr>
                          <w:t>赎回金额（</w:t>
                        </w:r>
                        <w:r>
                          <w:rPr>
                            <w:rFonts w:ascii="Times New Roman" w:eastAsia="Times New Roman"/>
                            <w:sz w:val="21"/>
                          </w:rPr>
                          <w:t>V=Q-S-U</w:t>
                        </w:r>
                        <w:r>
                          <w:rPr>
                            <w:sz w:val="21"/>
                          </w:rPr>
                          <w:t>）</w:t>
                        </w:r>
                      </w:p>
                    </w:tc>
                    <w:tc>
                      <w:tcPr>
                        <w:tcW w:w="3229" w:type="dxa"/>
                      </w:tcPr>
                      <w:p>
                        <w:pPr>
                          <w:pStyle w:val="TableParagraph"/>
                          <w:spacing w:before="36"/>
                          <w:ind w:right="94"/>
                          <w:jc w:val="right"/>
                          <w:rPr>
                            <w:rFonts w:ascii="Times New Roman"/>
                            <w:sz w:val="21"/>
                          </w:rPr>
                        </w:pPr>
                        <w:r>
                          <w:rPr>
                            <w:rFonts w:ascii="Times New Roman"/>
                            <w:sz w:val="21"/>
                          </w:rPr>
                          <w:t>1,090.82</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3"/>
        </w:rPr>
        <w:t>申购费率为 </w:t>
      </w:r>
      <w:r>
        <w:rPr>
          <w:rFonts w:ascii="Times New Roman" w:eastAsia="Times New Roman"/>
        </w:rPr>
        <w:t>1.2%,</w:t>
      </w:r>
      <w:r>
        <w:rPr>
          <w:spacing w:val="-7"/>
        </w:rPr>
        <w:t>且乙基金赎回费率为 </w:t>
      </w:r>
      <w:r>
        <w:rPr>
          <w:rFonts w:ascii="Times New Roman" w:eastAsia="Times New Roman"/>
          <w:spacing w:val="-4"/>
        </w:rPr>
        <w:t>0.5%</w:t>
      </w:r>
      <w:r>
        <w:rPr>
          <w:spacing w:val="-6"/>
        </w:rPr>
        <w:t>，该日乙基金基金份额净值为 </w:t>
      </w:r>
      <w:r>
        <w:rPr>
          <w:rFonts w:ascii="Times New Roman" w:eastAsia="Times New Roman"/>
        </w:rPr>
        <w:t>1.300 </w:t>
      </w:r>
      <w:r>
        <w:rPr>
          <w:spacing w:val="-5"/>
        </w:rPr>
        <w:t>元。则赎回</w:t>
      </w:r>
      <w:r>
        <w:rPr>
          <w:spacing w:val="-4"/>
        </w:rPr>
        <w:t>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9"/>
        </w:rPr>
      </w:pPr>
    </w:p>
    <w:p>
      <w:pPr>
        <w:pStyle w:val="BodyText"/>
        <w:spacing w:line="424" w:lineRule="auto"/>
        <w:ind w:left="300" w:right="871" w:firstLine="419"/>
        <w:jc w:val="both"/>
      </w:pPr>
      <w:r>
        <w:rPr/>
        <w:pict>
          <v:shape style="position:absolute;margin-left:110.779999pt;margin-top:89.839973pt;width:374pt;height:251.8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38" w:hRule="atLeast"/>
                    </w:trPr>
                    <w:tc>
                      <w:tcPr>
                        <w:tcW w:w="4244" w:type="dxa"/>
                      </w:tcPr>
                      <w:p>
                        <w:pPr>
                          <w:pStyle w:val="TableParagraph"/>
                          <w:spacing w:before="87"/>
                          <w:ind w:left="1892" w:right="1402"/>
                          <w:jc w:val="center"/>
                          <w:rPr>
                            <w:sz w:val="21"/>
                          </w:rPr>
                        </w:pPr>
                        <w:r>
                          <w:rPr>
                            <w:sz w:val="21"/>
                          </w:rPr>
                          <w:t>项目</w:t>
                        </w:r>
                      </w:p>
                    </w:tc>
                    <w:tc>
                      <w:tcPr>
                        <w:tcW w:w="3221" w:type="dxa"/>
                      </w:tcPr>
                      <w:p>
                        <w:pPr>
                          <w:pStyle w:val="TableParagraph"/>
                          <w:spacing w:before="87"/>
                          <w:ind w:left="1430"/>
                          <w:rPr>
                            <w:sz w:val="21"/>
                          </w:rPr>
                        </w:pPr>
                        <w:r>
                          <w:rPr>
                            <w:sz w:val="21"/>
                          </w:rPr>
                          <w:t>费用计算</w:t>
                        </w:r>
                      </w:p>
                    </w:tc>
                  </w:tr>
                  <w:tr>
                    <w:trPr>
                      <w:trHeight w:val="316" w:hRule="atLeast"/>
                    </w:trPr>
                    <w:tc>
                      <w:tcPr>
                        <w:tcW w:w="4244"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21" w:type="dxa"/>
                      </w:tcPr>
                      <w:p>
                        <w:pPr>
                          <w:pStyle w:val="TableParagraph"/>
                          <w:spacing w:before="36"/>
                          <w:ind w:right="90"/>
                          <w:jc w:val="right"/>
                          <w:rPr>
                            <w:rFonts w:ascii="Times New Roman"/>
                            <w:sz w:val="21"/>
                          </w:rPr>
                        </w:pPr>
                        <w:r>
                          <w:rPr>
                            <w:rFonts w:ascii="Times New Roman"/>
                            <w:sz w:val="21"/>
                          </w:rPr>
                          <w:t>1,000.00</w:t>
                        </w:r>
                      </w:p>
                    </w:tc>
                  </w:tr>
                  <w:tr>
                    <w:trPr>
                      <w:trHeight w:val="316" w:hRule="atLeast"/>
                    </w:trPr>
                    <w:tc>
                      <w:tcPr>
                        <w:tcW w:w="4244"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1" w:type="dxa"/>
                      </w:tcPr>
                      <w:p>
                        <w:pPr>
                          <w:pStyle w:val="TableParagraph"/>
                          <w:spacing w:before="36"/>
                          <w:ind w:right="90"/>
                          <w:jc w:val="right"/>
                          <w:rPr>
                            <w:rFonts w:ascii="Times New Roman"/>
                            <w:sz w:val="21"/>
                          </w:rPr>
                        </w:pPr>
                        <w:r>
                          <w:rPr>
                            <w:rFonts w:ascii="Times New Roman"/>
                            <w:sz w:val="21"/>
                          </w:rPr>
                          <w:t>1.200</w:t>
                        </w:r>
                      </w:p>
                    </w:tc>
                  </w:tr>
                  <w:tr>
                    <w:trPr>
                      <w:trHeight w:val="318" w:hRule="atLeast"/>
                    </w:trPr>
                    <w:tc>
                      <w:tcPr>
                        <w:tcW w:w="4244"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21" w:type="dxa"/>
                      </w:tcPr>
                      <w:p>
                        <w:pPr>
                          <w:pStyle w:val="TableParagraph"/>
                          <w:spacing w:before="36"/>
                          <w:ind w:right="90"/>
                          <w:jc w:val="right"/>
                          <w:rPr>
                            <w:rFonts w:ascii="Times New Roman"/>
                            <w:sz w:val="21"/>
                          </w:rPr>
                        </w:pPr>
                        <w:r>
                          <w:rPr>
                            <w:rFonts w:ascii="Times New Roman"/>
                            <w:sz w:val="21"/>
                          </w:rPr>
                          <w:t>1,200.00</w:t>
                        </w:r>
                      </w:p>
                    </w:tc>
                  </w:tr>
                  <w:tr>
                    <w:trPr>
                      <w:trHeight w:val="316" w:hRule="atLeast"/>
                    </w:trPr>
                    <w:tc>
                      <w:tcPr>
                        <w:tcW w:w="4244"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21" w:type="dxa"/>
                      </w:tcPr>
                      <w:p>
                        <w:pPr>
                          <w:pStyle w:val="TableParagraph"/>
                          <w:spacing w:before="36"/>
                          <w:ind w:right="90"/>
                          <w:jc w:val="right"/>
                          <w:rPr>
                            <w:rFonts w:ascii="Times New Roman"/>
                            <w:sz w:val="21"/>
                          </w:rPr>
                        </w:pPr>
                        <w:r>
                          <w:rPr>
                            <w:rFonts w:ascii="Times New Roman"/>
                            <w:sz w:val="21"/>
                          </w:rPr>
                          <w:t>0.5%</w:t>
                        </w:r>
                      </w:p>
                    </w:tc>
                  </w:tr>
                  <w:tr>
                    <w:trPr>
                      <w:trHeight w:val="317" w:hRule="atLeast"/>
                    </w:trPr>
                    <w:tc>
                      <w:tcPr>
                        <w:tcW w:w="4244" w:type="dxa"/>
                      </w:tcPr>
                      <w:p>
                        <w:pPr>
                          <w:pStyle w:val="TableParagraph"/>
                          <w:ind w:left="107"/>
                          <w:rPr>
                            <w:sz w:val="21"/>
                          </w:rPr>
                        </w:pPr>
                        <w:r>
                          <w:rPr>
                            <w:sz w:val="21"/>
                          </w:rPr>
                          <w:t>赎回费（</w:t>
                        </w:r>
                        <w:r>
                          <w:rPr>
                            <w:rFonts w:ascii="Times New Roman" w:eastAsia="Times New Roman"/>
                            <w:sz w:val="21"/>
                          </w:rPr>
                          <w:t>E=C*D</w:t>
                        </w:r>
                        <w:r>
                          <w:rPr>
                            <w:sz w:val="21"/>
                          </w:rPr>
                          <w:t>）</w:t>
                        </w:r>
                      </w:p>
                    </w:tc>
                    <w:tc>
                      <w:tcPr>
                        <w:tcW w:w="3221" w:type="dxa"/>
                      </w:tcPr>
                      <w:p>
                        <w:pPr>
                          <w:pStyle w:val="TableParagraph"/>
                          <w:spacing w:before="37"/>
                          <w:ind w:right="90"/>
                          <w:jc w:val="right"/>
                          <w:rPr>
                            <w:rFonts w:ascii="Times New Roman"/>
                            <w:sz w:val="21"/>
                          </w:rPr>
                        </w:pPr>
                        <w:r>
                          <w:rPr>
                            <w:rFonts w:ascii="Times New Roman"/>
                            <w:sz w:val="21"/>
                          </w:rPr>
                          <w:t>6.00</w:t>
                        </w:r>
                      </w:p>
                    </w:tc>
                  </w:tr>
                  <w:tr>
                    <w:trPr>
                      <w:trHeight w:val="316" w:hRule="atLeast"/>
                    </w:trPr>
                    <w:tc>
                      <w:tcPr>
                        <w:tcW w:w="4244" w:type="dxa"/>
                      </w:tcPr>
                      <w:p>
                        <w:pPr>
                          <w:pStyle w:val="TableParagraph"/>
                          <w:ind w:left="107"/>
                          <w:rPr>
                            <w:sz w:val="21"/>
                          </w:rPr>
                        </w:pPr>
                        <w:r>
                          <w:rPr>
                            <w:sz w:val="21"/>
                          </w:rPr>
                          <w:t>申购日转出基金基金份额净值（</w:t>
                        </w:r>
                        <w:r>
                          <w:rPr>
                            <w:rFonts w:ascii="Times New Roman" w:eastAsia="Times New Roman"/>
                            <w:sz w:val="21"/>
                          </w:rPr>
                          <w:t>F</w:t>
                        </w:r>
                        <w:r>
                          <w:rPr>
                            <w:sz w:val="21"/>
                          </w:rPr>
                          <w:t>）</w:t>
                        </w:r>
                      </w:p>
                    </w:tc>
                    <w:tc>
                      <w:tcPr>
                        <w:tcW w:w="3221" w:type="dxa"/>
                      </w:tcPr>
                      <w:p>
                        <w:pPr>
                          <w:pStyle w:val="TableParagraph"/>
                          <w:spacing w:before="36"/>
                          <w:ind w:right="90"/>
                          <w:jc w:val="right"/>
                          <w:rPr>
                            <w:rFonts w:ascii="Times New Roman"/>
                            <w:sz w:val="21"/>
                          </w:rPr>
                        </w:pPr>
                        <w:r>
                          <w:rPr>
                            <w:rFonts w:ascii="Times New Roman"/>
                            <w:sz w:val="21"/>
                          </w:rPr>
                          <w:t>1.100</w:t>
                        </w:r>
                      </w:p>
                    </w:tc>
                  </w:tr>
                  <w:tr>
                    <w:trPr>
                      <w:trHeight w:val="316" w:hRule="atLeast"/>
                    </w:trPr>
                    <w:tc>
                      <w:tcPr>
                        <w:tcW w:w="4244" w:type="dxa"/>
                      </w:tcPr>
                      <w:p>
                        <w:pPr>
                          <w:pStyle w:val="TableParagraph"/>
                          <w:ind w:left="107"/>
                          <w:rPr>
                            <w:sz w:val="21"/>
                          </w:rPr>
                        </w:pPr>
                        <w:r>
                          <w:rPr>
                            <w:sz w:val="21"/>
                          </w:rPr>
                          <w:t>适用后端申购费率（</w:t>
                        </w:r>
                        <w:r>
                          <w:rPr>
                            <w:rFonts w:ascii="Times New Roman" w:eastAsia="Times New Roman"/>
                            <w:sz w:val="21"/>
                          </w:rPr>
                          <w:t>G</w:t>
                        </w:r>
                        <w:r>
                          <w:rPr>
                            <w:sz w:val="21"/>
                          </w:rPr>
                          <w:t>）</w:t>
                        </w:r>
                      </w:p>
                    </w:tc>
                    <w:tc>
                      <w:tcPr>
                        <w:tcW w:w="3221" w:type="dxa"/>
                      </w:tcPr>
                      <w:p>
                        <w:pPr>
                          <w:pStyle w:val="TableParagraph"/>
                          <w:spacing w:before="36"/>
                          <w:ind w:right="90"/>
                          <w:jc w:val="right"/>
                          <w:rPr>
                            <w:rFonts w:ascii="Times New Roman"/>
                            <w:sz w:val="21"/>
                          </w:rPr>
                        </w:pPr>
                        <w:r>
                          <w:rPr>
                            <w:rFonts w:ascii="Times New Roman"/>
                            <w:sz w:val="21"/>
                          </w:rPr>
                          <w:t>1.0%</w:t>
                        </w:r>
                      </w:p>
                    </w:tc>
                  </w:tr>
                  <w:tr>
                    <w:trPr>
                      <w:trHeight w:val="318" w:hRule="atLeast"/>
                    </w:trPr>
                    <w:tc>
                      <w:tcPr>
                        <w:tcW w:w="4244" w:type="dxa"/>
                      </w:tcPr>
                      <w:p>
                        <w:pPr>
                          <w:pStyle w:val="TableParagraph"/>
                          <w:spacing w:before="27"/>
                          <w:ind w:left="107"/>
                          <w:rPr>
                            <w:sz w:val="21"/>
                          </w:rPr>
                        </w:pPr>
                        <w:r>
                          <w:rPr>
                            <w:spacing w:val="-2"/>
                            <w:w w:val="100"/>
                            <w:sz w:val="21"/>
                          </w:rPr>
                          <w:t>后端申购费</w:t>
                        </w:r>
                        <w:r>
                          <w:rPr>
                            <w:spacing w:val="-3"/>
                            <w:w w:val="100"/>
                            <w:sz w:val="21"/>
                          </w:rPr>
                          <w:t>（</w:t>
                        </w:r>
                        <w:r>
                          <w:rPr>
                            <w:rFonts w:ascii="Times New Roman" w:hAnsi="Times New Roman" w:eastAsia="Times New Roman"/>
                            <w:w w:val="100"/>
                            <w:sz w:val="21"/>
                          </w:rPr>
                          <w:t>H</w:t>
                        </w:r>
                        <w:r>
                          <w:rPr>
                            <w:rFonts w:ascii="Times New Roman" w:hAnsi="Times New Roman" w:eastAsia="Times New Roman"/>
                            <w:spacing w:val="-2"/>
                            <w:w w:val="100"/>
                            <w:sz w:val="21"/>
                          </w:rPr>
                          <w:t>=</w:t>
                        </w:r>
                        <w:r>
                          <w:rPr>
                            <w:rFonts w:ascii="Times New Roman" w:hAnsi="Times New Roman" w:eastAsia="Times New Roman"/>
                            <w:spacing w:val="-1"/>
                            <w:w w:val="100"/>
                            <w:sz w:val="21"/>
                          </w:rPr>
                          <w:t>A</w:t>
                        </w:r>
                        <w:r>
                          <w:rPr>
                            <w:w w:val="100"/>
                            <w:sz w:val="21"/>
                          </w:rPr>
                          <w:t>×</w:t>
                        </w:r>
                        <w:r>
                          <w:rPr>
                            <w:rFonts w:ascii="Times New Roman" w:hAnsi="Times New Roman" w:eastAsia="Times New Roman"/>
                            <w:spacing w:val="-5"/>
                            <w:w w:val="100"/>
                            <w:sz w:val="21"/>
                          </w:rPr>
                          <w:t>F</w:t>
                        </w:r>
                        <w:r>
                          <w:rPr>
                            <w:w w:val="100"/>
                            <w:sz w:val="21"/>
                          </w:rPr>
                          <w:t>×</w:t>
                        </w:r>
                        <w:r>
                          <w:rPr>
                            <w:rFonts w:ascii="Times New Roman" w:hAnsi="Times New Roman" w:eastAsia="Times New Roman"/>
                            <w:spacing w:val="1"/>
                            <w:w w:val="100"/>
                            <w:sz w:val="21"/>
                          </w:rPr>
                          <w:t>G</w:t>
                        </w:r>
                        <w:r>
                          <w:rPr>
                            <w:rFonts w:ascii="Times New Roman" w:hAnsi="Times New Roman" w:eastAsia="Times New Roman"/>
                            <w:spacing w:val="-2"/>
                            <w:w w:val="100"/>
                            <w:sz w:val="21"/>
                          </w:rPr>
                          <w:t>/</w:t>
                        </w:r>
                        <w:r>
                          <w:rPr>
                            <w:w w:val="100"/>
                            <w:sz w:val="21"/>
                          </w:rPr>
                          <w:t>（</w:t>
                        </w:r>
                        <w:r>
                          <w:rPr>
                            <w:rFonts w:ascii="Times New Roman" w:hAnsi="Times New Roman" w:eastAsia="Times New Roman"/>
                            <w:w w:val="100"/>
                            <w:sz w:val="21"/>
                          </w:rPr>
                          <w:t>1</w:t>
                        </w:r>
                        <w:r>
                          <w:rPr>
                            <w:rFonts w:ascii="Times New Roman" w:hAnsi="Times New Roman" w:eastAsia="Times New Roman"/>
                            <w:spacing w:val="-2"/>
                            <w:w w:val="100"/>
                            <w:sz w:val="21"/>
                          </w:rPr>
                          <w:t>+</w:t>
                        </w:r>
                        <w:r>
                          <w:rPr>
                            <w:rFonts w:ascii="Times New Roman" w:hAnsi="Times New Roman" w:eastAsia="Times New Roman"/>
                            <w:spacing w:val="1"/>
                            <w:w w:val="100"/>
                            <w:sz w:val="21"/>
                          </w:rPr>
                          <w:t>G</w:t>
                        </w:r>
                        <w:r>
                          <w:rPr>
                            <w:spacing w:val="-108"/>
                            <w:w w:val="100"/>
                            <w:sz w:val="21"/>
                          </w:rPr>
                          <w:t>））</w:t>
                        </w:r>
                      </w:p>
                    </w:tc>
                    <w:tc>
                      <w:tcPr>
                        <w:tcW w:w="3221" w:type="dxa"/>
                      </w:tcPr>
                      <w:p>
                        <w:pPr>
                          <w:pStyle w:val="TableParagraph"/>
                          <w:spacing w:before="39"/>
                          <w:ind w:right="90"/>
                          <w:jc w:val="right"/>
                          <w:rPr>
                            <w:rFonts w:ascii="Times New Roman"/>
                            <w:sz w:val="21"/>
                          </w:rPr>
                        </w:pPr>
                        <w:r>
                          <w:rPr>
                            <w:rFonts w:ascii="Times New Roman"/>
                            <w:sz w:val="21"/>
                          </w:rPr>
                          <w:t>10.89</w:t>
                        </w:r>
                      </w:p>
                    </w:tc>
                  </w:tr>
                  <w:tr>
                    <w:trPr>
                      <w:trHeight w:val="316" w:hRule="atLeast"/>
                    </w:trPr>
                    <w:tc>
                      <w:tcPr>
                        <w:tcW w:w="4244" w:type="dxa"/>
                      </w:tcPr>
                      <w:p>
                        <w:pPr>
                          <w:pStyle w:val="TableParagraph"/>
                          <w:ind w:left="107"/>
                          <w:rPr>
                            <w:sz w:val="21"/>
                          </w:rPr>
                        </w:pPr>
                        <w:r>
                          <w:rPr>
                            <w:sz w:val="21"/>
                          </w:rPr>
                          <w:t>转出基金费用（</w:t>
                        </w:r>
                        <w:r>
                          <w:rPr>
                            <w:rFonts w:ascii="Times New Roman" w:eastAsia="Times New Roman"/>
                            <w:sz w:val="21"/>
                          </w:rPr>
                          <w:t>I=E+H</w:t>
                        </w:r>
                        <w:r>
                          <w:rPr>
                            <w:sz w:val="21"/>
                          </w:rPr>
                          <w:t>）</w:t>
                        </w:r>
                      </w:p>
                    </w:tc>
                    <w:tc>
                      <w:tcPr>
                        <w:tcW w:w="3221" w:type="dxa"/>
                      </w:tcPr>
                      <w:p>
                        <w:pPr>
                          <w:pStyle w:val="TableParagraph"/>
                          <w:spacing w:before="36"/>
                          <w:ind w:right="90"/>
                          <w:jc w:val="right"/>
                          <w:rPr>
                            <w:rFonts w:ascii="Times New Roman"/>
                            <w:sz w:val="21"/>
                          </w:rPr>
                        </w:pPr>
                        <w:r>
                          <w:rPr>
                            <w:rFonts w:ascii="Times New Roman"/>
                            <w:sz w:val="21"/>
                          </w:rPr>
                          <w:t>16.89</w:t>
                        </w:r>
                      </w:p>
                    </w:tc>
                  </w:tr>
                  <w:tr>
                    <w:trPr>
                      <w:trHeight w:val="316" w:hRule="atLeast"/>
                    </w:trPr>
                    <w:tc>
                      <w:tcPr>
                        <w:tcW w:w="4244" w:type="dxa"/>
                      </w:tcPr>
                      <w:p>
                        <w:pPr>
                          <w:pStyle w:val="TableParagraph"/>
                          <w:ind w:left="107"/>
                          <w:rPr>
                            <w:sz w:val="21"/>
                          </w:rPr>
                        </w:pPr>
                        <w:r>
                          <w:rPr>
                            <w:sz w:val="21"/>
                          </w:rPr>
                          <w:t>转换金额（</w:t>
                        </w:r>
                        <w:r>
                          <w:rPr>
                            <w:rFonts w:ascii="Times New Roman" w:eastAsia="Times New Roman"/>
                            <w:sz w:val="21"/>
                          </w:rPr>
                          <w:t>J=C-I</w:t>
                        </w:r>
                        <w:r>
                          <w:rPr>
                            <w:sz w:val="21"/>
                          </w:rPr>
                          <w:t>）</w:t>
                        </w:r>
                      </w:p>
                    </w:tc>
                    <w:tc>
                      <w:tcPr>
                        <w:tcW w:w="3221" w:type="dxa"/>
                      </w:tcPr>
                      <w:p>
                        <w:pPr>
                          <w:pStyle w:val="TableParagraph"/>
                          <w:spacing w:before="36"/>
                          <w:ind w:right="90"/>
                          <w:jc w:val="right"/>
                          <w:rPr>
                            <w:rFonts w:ascii="Times New Roman"/>
                            <w:sz w:val="21"/>
                          </w:rPr>
                        </w:pPr>
                        <w:r>
                          <w:rPr>
                            <w:rFonts w:ascii="Times New Roman"/>
                            <w:sz w:val="21"/>
                          </w:rPr>
                          <w:t>1,183.11</w:t>
                        </w:r>
                      </w:p>
                    </w:tc>
                  </w:tr>
                  <w:tr>
                    <w:trPr>
                      <w:trHeight w:val="316" w:hRule="atLeast"/>
                    </w:trPr>
                    <w:tc>
                      <w:tcPr>
                        <w:tcW w:w="4244" w:type="dxa"/>
                      </w:tcPr>
                      <w:p>
                        <w:pPr>
                          <w:pStyle w:val="TableParagraph"/>
                          <w:ind w:left="107"/>
                          <w:rPr>
                            <w:sz w:val="21"/>
                          </w:rPr>
                        </w:pPr>
                        <w:r>
                          <w:rPr>
                            <w:sz w:val="21"/>
                          </w:rPr>
                          <w:t>转入基金费用（</w:t>
                        </w:r>
                        <w:r>
                          <w:rPr>
                            <w:rFonts w:ascii="Times New Roman" w:eastAsia="Times New Roman"/>
                            <w:sz w:val="21"/>
                          </w:rPr>
                          <w:t>K</w:t>
                        </w:r>
                        <w:r>
                          <w:rPr>
                            <w:sz w:val="21"/>
                          </w:rPr>
                          <w:t>）</w:t>
                        </w:r>
                      </w:p>
                    </w:tc>
                    <w:tc>
                      <w:tcPr>
                        <w:tcW w:w="3221" w:type="dxa"/>
                      </w:tcPr>
                      <w:p>
                        <w:pPr>
                          <w:pStyle w:val="TableParagraph"/>
                          <w:spacing w:before="36"/>
                          <w:ind w:right="90"/>
                          <w:jc w:val="right"/>
                          <w:rPr>
                            <w:rFonts w:ascii="Times New Roman"/>
                            <w:sz w:val="21"/>
                          </w:rPr>
                        </w:pPr>
                        <w:r>
                          <w:rPr>
                            <w:rFonts w:ascii="Times New Roman"/>
                            <w:sz w:val="21"/>
                          </w:rPr>
                          <w:t>0.00</w:t>
                        </w:r>
                      </w:p>
                    </w:tc>
                  </w:tr>
                  <w:tr>
                    <w:trPr>
                      <w:trHeight w:val="318" w:hRule="atLeast"/>
                    </w:trPr>
                    <w:tc>
                      <w:tcPr>
                        <w:tcW w:w="4244" w:type="dxa"/>
                      </w:tcPr>
                      <w:p>
                        <w:pPr>
                          <w:pStyle w:val="TableParagraph"/>
                          <w:spacing w:before="27"/>
                          <w:ind w:left="107"/>
                          <w:rPr>
                            <w:sz w:val="21"/>
                          </w:rPr>
                        </w:pPr>
                        <w:r>
                          <w:rPr>
                            <w:sz w:val="21"/>
                          </w:rPr>
                          <w:t>净转入金额（</w:t>
                        </w:r>
                        <w:r>
                          <w:rPr>
                            <w:rFonts w:ascii="Times New Roman" w:eastAsia="Times New Roman"/>
                            <w:sz w:val="21"/>
                          </w:rPr>
                          <w:t>L=J-K</w:t>
                        </w:r>
                        <w:r>
                          <w:rPr>
                            <w:sz w:val="21"/>
                          </w:rPr>
                          <w:t>）</w:t>
                        </w:r>
                      </w:p>
                    </w:tc>
                    <w:tc>
                      <w:tcPr>
                        <w:tcW w:w="3221" w:type="dxa"/>
                      </w:tcPr>
                      <w:p>
                        <w:pPr>
                          <w:pStyle w:val="TableParagraph"/>
                          <w:spacing w:before="39"/>
                          <w:ind w:right="90"/>
                          <w:jc w:val="right"/>
                          <w:rPr>
                            <w:rFonts w:ascii="Times New Roman"/>
                            <w:sz w:val="21"/>
                          </w:rPr>
                        </w:pPr>
                        <w:r>
                          <w:rPr>
                            <w:rFonts w:ascii="Times New Roman"/>
                            <w:sz w:val="21"/>
                          </w:rPr>
                          <w:t>1,183.11</w:t>
                        </w:r>
                      </w:p>
                    </w:tc>
                  </w:tr>
                  <w:tr>
                    <w:trPr>
                      <w:trHeight w:val="316" w:hRule="atLeast"/>
                    </w:trPr>
                    <w:tc>
                      <w:tcPr>
                        <w:tcW w:w="4244"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M</w:t>
                        </w:r>
                        <w:r>
                          <w:rPr>
                            <w:sz w:val="21"/>
                          </w:rPr>
                          <w:t>）</w:t>
                        </w:r>
                      </w:p>
                    </w:tc>
                    <w:tc>
                      <w:tcPr>
                        <w:tcW w:w="3221" w:type="dxa"/>
                      </w:tcPr>
                      <w:p>
                        <w:pPr>
                          <w:pStyle w:val="TableParagraph"/>
                          <w:spacing w:before="36"/>
                          <w:ind w:right="90"/>
                          <w:jc w:val="right"/>
                          <w:rPr>
                            <w:rFonts w:ascii="Times New Roman"/>
                            <w:sz w:val="21"/>
                          </w:rPr>
                        </w:pPr>
                        <w:r>
                          <w:rPr>
                            <w:rFonts w:ascii="Times New Roman"/>
                            <w:sz w:val="21"/>
                          </w:rPr>
                          <w:t>1.500</w:t>
                        </w:r>
                      </w:p>
                    </w:tc>
                  </w:tr>
                  <w:tr>
                    <w:trPr>
                      <w:trHeight w:val="316" w:hRule="atLeast"/>
                    </w:trPr>
                    <w:tc>
                      <w:tcPr>
                        <w:tcW w:w="4244" w:type="dxa"/>
                      </w:tcPr>
                      <w:p>
                        <w:pPr>
                          <w:pStyle w:val="TableParagraph"/>
                          <w:ind w:left="107"/>
                          <w:rPr>
                            <w:sz w:val="21"/>
                          </w:rPr>
                        </w:pPr>
                        <w:r>
                          <w:rPr>
                            <w:sz w:val="21"/>
                          </w:rPr>
                          <w:t>转入基金份额（</w:t>
                        </w:r>
                        <w:r>
                          <w:rPr>
                            <w:rFonts w:ascii="Times New Roman" w:eastAsia="Times New Roman"/>
                            <w:sz w:val="21"/>
                          </w:rPr>
                          <w:t>N=L/M</w:t>
                        </w:r>
                        <w:r>
                          <w:rPr>
                            <w:sz w:val="21"/>
                          </w:rPr>
                          <w:t>）</w:t>
                        </w:r>
                      </w:p>
                    </w:tc>
                    <w:tc>
                      <w:tcPr>
                        <w:tcW w:w="3221" w:type="dxa"/>
                      </w:tcPr>
                      <w:p>
                        <w:pPr>
                          <w:pStyle w:val="TableParagraph"/>
                          <w:spacing w:before="36"/>
                          <w:ind w:right="90"/>
                          <w:jc w:val="right"/>
                          <w:rPr>
                            <w:rFonts w:ascii="Times New Roman"/>
                            <w:sz w:val="21"/>
                          </w:rPr>
                        </w:pPr>
                        <w:r>
                          <w:rPr>
                            <w:rFonts w:ascii="Times New Roman"/>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427" w:lineRule="auto" w:before="164"/>
        <w:ind w:left="300" w:right="871" w:firstLine="419"/>
        <w:jc w:val="both"/>
      </w:pP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p>
    <w:p>
      <w:pPr>
        <w:spacing w:after="0" w:line="427" w:lineRule="auto"/>
        <w:jc w:val="both"/>
        <w:sectPr>
          <w:pgSz w:w="11910" w:h="16840"/>
          <w:pgMar w:header="701" w:footer="683" w:top="1420" w:bottom="880" w:left="1500" w:right="920"/>
        </w:sectPr>
      </w:pPr>
    </w:p>
    <w:p>
      <w:pPr>
        <w:pStyle w:val="BodyText"/>
        <w:spacing w:line="424" w:lineRule="auto" w:before="115"/>
        <w:ind w:left="300" w:right="873"/>
      </w:pPr>
      <w:r>
        <w:rPr/>
        <w:pict>
          <v:shape style="position:absolute;margin-left:111.139999pt;margin-top:48.049992pt;width:373.4pt;height:229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6" w:hRule="atLeast"/>
                    </w:trPr>
                    <w:tc>
                      <w:tcPr>
                        <w:tcW w:w="4237" w:type="dxa"/>
                      </w:tcPr>
                      <w:p>
                        <w:pPr>
                          <w:pStyle w:val="TableParagraph"/>
                          <w:ind w:left="1647" w:right="1640"/>
                          <w:jc w:val="center"/>
                          <w:rPr>
                            <w:sz w:val="21"/>
                          </w:rPr>
                        </w:pPr>
                        <w:r>
                          <w:rPr>
                            <w:sz w:val="21"/>
                          </w:rPr>
                          <w:t>项目</w:t>
                        </w:r>
                      </w:p>
                    </w:tc>
                    <w:tc>
                      <w:tcPr>
                        <w:tcW w:w="3217" w:type="dxa"/>
                      </w:tcPr>
                      <w:p>
                        <w:pPr>
                          <w:pStyle w:val="TableParagraph"/>
                          <w:ind w:left="1169" w:right="1158"/>
                          <w:jc w:val="center"/>
                          <w:rPr>
                            <w:sz w:val="21"/>
                          </w:rPr>
                        </w:pPr>
                        <w:r>
                          <w:rPr>
                            <w:sz w:val="21"/>
                          </w:rPr>
                          <w:t>费用计算</w:t>
                        </w:r>
                      </w:p>
                    </w:tc>
                  </w:tr>
                  <w:tr>
                    <w:trPr>
                      <w:trHeight w:val="318" w:hRule="atLeast"/>
                    </w:trPr>
                    <w:tc>
                      <w:tcPr>
                        <w:tcW w:w="4237"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17" w:type="dxa"/>
                      </w:tcPr>
                      <w:p>
                        <w:pPr>
                          <w:pStyle w:val="TableParagraph"/>
                          <w:spacing w:before="39"/>
                          <w:ind w:right="94"/>
                          <w:jc w:val="right"/>
                          <w:rPr>
                            <w:rFonts w:ascii="Times New Roman"/>
                            <w:sz w:val="21"/>
                          </w:rPr>
                        </w:pPr>
                        <w:r>
                          <w:rPr>
                            <w:rFonts w:ascii="Times New Roman"/>
                            <w:sz w:val="21"/>
                          </w:rPr>
                          <w:t>1,000.00</w:t>
                        </w:r>
                      </w:p>
                    </w:tc>
                  </w:tr>
                  <w:tr>
                    <w:trPr>
                      <w:trHeight w:val="316" w:hRule="atLeast"/>
                    </w:trPr>
                    <w:tc>
                      <w:tcPr>
                        <w:tcW w:w="4237"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w:t>
                        </w:r>
                      </w:p>
                    </w:tc>
                  </w:tr>
                  <w:tr>
                    <w:trPr>
                      <w:trHeight w:val="316" w:hRule="atLeast"/>
                    </w:trPr>
                    <w:tc>
                      <w:tcPr>
                        <w:tcW w:w="4237"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7" w:type="dxa"/>
                      </w:tcPr>
                      <w:p>
                        <w:pPr>
                          <w:pStyle w:val="TableParagraph"/>
                          <w:spacing w:before="36"/>
                          <w:ind w:right="94"/>
                          <w:jc w:val="right"/>
                          <w:rPr>
                            <w:rFonts w:ascii="Times New Roman"/>
                            <w:sz w:val="21"/>
                          </w:rPr>
                        </w:pPr>
                        <w:r>
                          <w:rPr>
                            <w:rFonts w:ascii="Times New Roman"/>
                            <w:sz w:val="21"/>
                          </w:rPr>
                          <w:t>1,200.00</w:t>
                        </w:r>
                      </w:p>
                    </w:tc>
                  </w:tr>
                  <w:tr>
                    <w:trPr>
                      <w:trHeight w:val="316" w:hRule="atLeast"/>
                    </w:trPr>
                    <w:tc>
                      <w:tcPr>
                        <w:tcW w:w="4237" w:type="dxa"/>
                      </w:tcPr>
                      <w:p>
                        <w:pPr>
                          <w:pStyle w:val="TableParagraph"/>
                          <w:ind w:left="107"/>
                          <w:rPr>
                            <w:sz w:val="21"/>
                          </w:rPr>
                        </w:pPr>
                        <w:r>
                          <w:rPr>
                            <w:sz w:val="21"/>
                          </w:rPr>
                          <w:t>转出基金费用（</w:t>
                        </w:r>
                        <w:r>
                          <w:rPr>
                            <w:rFonts w:ascii="Times New Roman" w:eastAsia="Times New Roman"/>
                            <w:sz w:val="21"/>
                          </w:rPr>
                          <w:t>D</w:t>
                        </w:r>
                        <w:r>
                          <w:rPr>
                            <w:sz w:val="21"/>
                          </w:rPr>
                          <w:t>）</w:t>
                        </w:r>
                      </w:p>
                    </w:tc>
                    <w:tc>
                      <w:tcPr>
                        <w:tcW w:w="3217" w:type="dxa"/>
                      </w:tcPr>
                      <w:p>
                        <w:pPr>
                          <w:pStyle w:val="TableParagraph"/>
                          <w:spacing w:before="36"/>
                          <w:ind w:right="94"/>
                          <w:jc w:val="right"/>
                          <w:rPr>
                            <w:rFonts w:ascii="Times New Roman"/>
                            <w:sz w:val="21"/>
                          </w:rPr>
                        </w:pPr>
                        <w:r>
                          <w:rPr>
                            <w:rFonts w:ascii="Times New Roman"/>
                            <w:sz w:val="21"/>
                          </w:rPr>
                          <w:t>0.00</w:t>
                        </w:r>
                      </w:p>
                    </w:tc>
                  </w:tr>
                  <w:tr>
                    <w:trPr>
                      <w:trHeight w:val="318" w:hRule="atLeast"/>
                    </w:trPr>
                    <w:tc>
                      <w:tcPr>
                        <w:tcW w:w="4237" w:type="dxa"/>
                      </w:tcPr>
                      <w:p>
                        <w:pPr>
                          <w:pStyle w:val="TableParagraph"/>
                          <w:spacing w:before="27"/>
                          <w:ind w:left="107"/>
                          <w:rPr>
                            <w:sz w:val="21"/>
                          </w:rPr>
                        </w:pPr>
                        <w:r>
                          <w:rPr>
                            <w:sz w:val="21"/>
                          </w:rPr>
                          <w:t>转换金额（</w:t>
                        </w:r>
                        <w:r>
                          <w:rPr>
                            <w:rFonts w:ascii="Times New Roman" w:eastAsia="Times New Roman"/>
                            <w:sz w:val="21"/>
                          </w:rPr>
                          <w:t>E=C-D</w:t>
                        </w:r>
                        <w:r>
                          <w:rPr>
                            <w:sz w:val="21"/>
                          </w:rPr>
                          <w:t>）</w:t>
                        </w:r>
                      </w:p>
                    </w:tc>
                    <w:tc>
                      <w:tcPr>
                        <w:tcW w:w="3217" w:type="dxa"/>
                      </w:tcPr>
                      <w:p>
                        <w:pPr>
                          <w:pStyle w:val="TableParagraph"/>
                          <w:spacing w:before="39"/>
                          <w:ind w:right="94"/>
                          <w:jc w:val="right"/>
                          <w:rPr>
                            <w:rFonts w:ascii="Times New Roman"/>
                            <w:sz w:val="21"/>
                          </w:rPr>
                        </w:pPr>
                        <w:r>
                          <w:rPr>
                            <w:rFonts w:ascii="Times New Roman"/>
                            <w:sz w:val="21"/>
                          </w:rPr>
                          <w:t>1,200.00</w:t>
                        </w:r>
                      </w:p>
                    </w:tc>
                  </w:tr>
                  <w:tr>
                    <w:trPr>
                      <w:trHeight w:val="316" w:hRule="atLeast"/>
                    </w:trPr>
                    <w:tc>
                      <w:tcPr>
                        <w:tcW w:w="4237" w:type="dxa"/>
                      </w:tcPr>
                      <w:p>
                        <w:pPr>
                          <w:pStyle w:val="TableParagraph"/>
                          <w:ind w:left="107"/>
                          <w:rPr>
                            <w:sz w:val="21"/>
                          </w:rPr>
                        </w:pPr>
                        <w:r>
                          <w:rPr>
                            <w:sz w:val="21"/>
                          </w:rPr>
                          <w:t>销售服务费率（</w:t>
                        </w:r>
                        <w:r>
                          <w:rPr>
                            <w:rFonts w:ascii="Times New Roman" w:eastAsia="Times New Roman"/>
                            <w:sz w:val="21"/>
                          </w:rPr>
                          <w:t>F</w:t>
                        </w:r>
                        <w:r>
                          <w:rPr>
                            <w:sz w:val="21"/>
                          </w:rPr>
                          <w:t>）</w:t>
                        </w:r>
                      </w:p>
                    </w:tc>
                    <w:tc>
                      <w:tcPr>
                        <w:tcW w:w="3217" w:type="dxa"/>
                      </w:tcPr>
                      <w:p>
                        <w:pPr>
                          <w:pStyle w:val="TableParagraph"/>
                          <w:spacing w:before="36"/>
                          <w:ind w:right="93"/>
                          <w:jc w:val="right"/>
                          <w:rPr>
                            <w:rFonts w:ascii="Times New Roman"/>
                            <w:sz w:val="21"/>
                          </w:rPr>
                        </w:pPr>
                        <w:r>
                          <w:rPr>
                            <w:rFonts w:ascii="Times New Roman"/>
                            <w:sz w:val="21"/>
                          </w:rPr>
                          <w:t>0.3%</w:t>
                        </w:r>
                      </w:p>
                    </w:tc>
                  </w:tr>
                  <w:tr>
                    <w:trPr>
                      <w:trHeight w:val="316" w:hRule="atLeast"/>
                    </w:trPr>
                    <w:tc>
                      <w:tcPr>
                        <w:tcW w:w="4237" w:type="dxa"/>
                      </w:tcPr>
                      <w:p>
                        <w:pPr>
                          <w:pStyle w:val="TableParagraph"/>
                          <w:ind w:left="107"/>
                          <w:rPr>
                            <w:sz w:val="21"/>
                          </w:rPr>
                        </w:pPr>
                        <w:r>
                          <w:rPr>
                            <w:sz w:val="21"/>
                          </w:rPr>
                          <w:t>转入基金申购费率（</w:t>
                        </w:r>
                        <w:r>
                          <w:rPr>
                            <w:rFonts w:ascii="Times New Roman" w:eastAsia="Times New Roman"/>
                            <w:sz w:val="21"/>
                          </w:rPr>
                          <w:t>G</w:t>
                        </w:r>
                        <w:r>
                          <w:rPr>
                            <w:sz w:val="21"/>
                          </w:rPr>
                          <w:t>）</w:t>
                        </w:r>
                      </w:p>
                    </w:tc>
                    <w:tc>
                      <w:tcPr>
                        <w:tcW w:w="3217" w:type="dxa"/>
                      </w:tcPr>
                      <w:p>
                        <w:pPr>
                          <w:pStyle w:val="TableParagraph"/>
                          <w:spacing w:before="37"/>
                          <w:ind w:right="93"/>
                          <w:jc w:val="right"/>
                          <w:rPr>
                            <w:rFonts w:ascii="Times New Roman"/>
                            <w:sz w:val="21"/>
                          </w:rPr>
                        </w:pPr>
                        <w:r>
                          <w:rPr>
                            <w:rFonts w:ascii="Times New Roman"/>
                            <w:sz w:val="21"/>
                          </w:rPr>
                          <w:t>2.0%</w:t>
                        </w:r>
                      </w:p>
                    </w:tc>
                  </w:tr>
                  <w:tr>
                    <w:trPr>
                      <w:trHeight w:val="635" w:hRule="atLeast"/>
                    </w:trPr>
                    <w:tc>
                      <w:tcPr>
                        <w:tcW w:w="4237" w:type="dxa"/>
                      </w:tcPr>
                      <w:p>
                        <w:pPr>
                          <w:pStyle w:val="TableParagraph"/>
                          <w:ind w:left="107"/>
                          <w:rPr>
                            <w:sz w:val="21"/>
                          </w:rPr>
                        </w:pPr>
                        <w:r>
                          <w:rPr>
                            <w:sz w:val="21"/>
                          </w:rPr>
                          <w:t>收取的申购费率（</w:t>
                        </w:r>
                        <w:r>
                          <w:rPr>
                            <w:rFonts w:ascii="Times New Roman" w:eastAsia="Times New Roman"/>
                            <w:sz w:val="21"/>
                          </w:rPr>
                          <w:t>H=G-F*</w:t>
                        </w:r>
                        <w:r>
                          <w:rPr>
                            <w:sz w:val="21"/>
                          </w:rPr>
                          <w:t>转出基金的持有时</w:t>
                        </w:r>
                      </w:p>
                      <w:p>
                        <w:pPr>
                          <w:pStyle w:val="TableParagraph"/>
                          <w:spacing w:before="47"/>
                          <w:ind w:left="107"/>
                          <w:rPr>
                            <w:sz w:val="21"/>
                          </w:rPr>
                        </w:pPr>
                        <w:r>
                          <w:rPr>
                            <w:w w:val="100"/>
                            <w:sz w:val="21"/>
                          </w:rPr>
                          <w:t>间（</w:t>
                        </w:r>
                        <w:r>
                          <w:rPr>
                            <w:spacing w:val="-3"/>
                            <w:w w:val="100"/>
                            <w:sz w:val="21"/>
                          </w:rPr>
                          <w:t>单位为年</w:t>
                        </w:r>
                        <w:r>
                          <w:rPr>
                            <w:spacing w:val="-108"/>
                            <w:w w:val="100"/>
                            <w:sz w:val="21"/>
                          </w:rPr>
                          <w:t>）</w:t>
                        </w:r>
                        <w:r>
                          <w:rPr>
                            <w:w w:val="100"/>
                            <w:sz w:val="21"/>
                          </w:rPr>
                          <w:t>）</w:t>
                        </w:r>
                      </w:p>
                    </w:tc>
                    <w:tc>
                      <w:tcPr>
                        <w:tcW w:w="3217" w:type="dxa"/>
                      </w:tcPr>
                      <w:p>
                        <w:pPr>
                          <w:pStyle w:val="TableParagraph"/>
                          <w:spacing w:before="195"/>
                          <w:ind w:right="93"/>
                          <w:jc w:val="right"/>
                          <w:rPr>
                            <w:rFonts w:ascii="Times New Roman"/>
                            <w:sz w:val="21"/>
                          </w:rPr>
                        </w:pPr>
                        <w:r>
                          <w:rPr>
                            <w:rFonts w:ascii="Times New Roman"/>
                            <w:sz w:val="21"/>
                          </w:rPr>
                          <w:t>1.88%</w:t>
                        </w:r>
                      </w:p>
                    </w:tc>
                  </w:tr>
                  <w:tr>
                    <w:trPr>
                      <w:trHeight w:val="316" w:hRule="atLeast"/>
                    </w:trPr>
                    <w:tc>
                      <w:tcPr>
                        <w:tcW w:w="4237" w:type="dxa"/>
                      </w:tcPr>
                      <w:p>
                        <w:pPr>
                          <w:pStyle w:val="TableParagraph"/>
                          <w:ind w:left="107"/>
                          <w:rPr>
                            <w:sz w:val="21"/>
                          </w:rPr>
                        </w:pPr>
                        <w:r>
                          <w:rPr>
                            <w:sz w:val="21"/>
                          </w:rPr>
                          <w:t>净转入金额（</w:t>
                        </w:r>
                        <w:r>
                          <w:rPr>
                            <w:rFonts w:ascii="Times New Roman" w:eastAsia="Times New Roman"/>
                            <w:sz w:val="21"/>
                          </w:rPr>
                          <w:t>I=E/</w:t>
                        </w:r>
                        <w:r>
                          <w:rPr>
                            <w:sz w:val="21"/>
                          </w:rPr>
                          <w:t>(</w:t>
                        </w:r>
                        <w:r>
                          <w:rPr>
                            <w:rFonts w:ascii="Times New Roman" w:eastAsia="Times New Roman"/>
                            <w:sz w:val="21"/>
                          </w:rPr>
                          <w:t>1+H</w:t>
                        </w:r>
                        <w:r>
                          <w:rPr>
                            <w:sz w:val="21"/>
                          </w:rPr>
                          <w:t>)）</w:t>
                        </w:r>
                      </w:p>
                    </w:tc>
                    <w:tc>
                      <w:tcPr>
                        <w:tcW w:w="3217" w:type="dxa"/>
                      </w:tcPr>
                      <w:p>
                        <w:pPr>
                          <w:pStyle w:val="TableParagraph"/>
                          <w:spacing w:before="36"/>
                          <w:ind w:right="94"/>
                          <w:jc w:val="right"/>
                          <w:rPr>
                            <w:rFonts w:ascii="Times New Roman"/>
                            <w:sz w:val="21"/>
                          </w:rPr>
                        </w:pPr>
                        <w:r>
                          <w:rPr>
                            <w:rFonts w:ascii="Times New Roman"/>
                            <w:sz w:val="21"/>
                          </w:rPr>
                          <w:t>1,177.86</w:t>
                        </w:r>
                      </w:p>
                    </w:tc>
                  </w:tr>
                  <w:tr>
                    <w:trPr>
                      <w:trHeight w:val="316" w:hRule="atLeast"/>
                    </w:trPr>
                    <w:tc>
                      <w:tcPr>
                        <w:tcW w:w="4237" w:type="dxa"/>
                      </w:tcPr>
                      <w:p>
                        <w:pPr>
                          <w:pStyle w:val="TableParagraph"/>
                          <w:ind w:left="107"/>
                          <w:rPr>
                            <w:sz w:val="21"/>
                          </w:rPr>
                        </w:pPr>
                        <w:r>
                          <w:rPr>
                            <w:sz w:val="21"/>
                          </w:rPr>
                          <w:t>转入基金费用（</w:t>
                        </w:r>
                        <w:r>
                          <w:rPr>
                            <w:rFonts w:ascii="Times New Roman" w:eastAsia="Times New Roman"/>
                            <w:sz w:val="21"/>
                          </w:rPr>
                          <w:t>J=E-I</w:t>
                        </w:r>
                        <w:r>
                          <w:rPr>
                            <w:sz w:val="21"/>
                          </w:rPr>
                          <w:t>）</w:t>
                        </w:r>
                      </w:p>
                    </w:tc>
                    <w:tc>
                      <w:tcPr>
                        <w:tcW w:w="3217" w:type="dxa"/>
                      </w:tcPr>
                      <w:p>
                        <w:pPr>
                          <w:pStyle w:val="TableParagraph"/>
                          <w:spacing w:before="36"/>
                          <w:ind w:right="94"/>
                          <w:jc w:val="right"/>
                          <w:rPr>
                            <w:rFonts w:ascii="Times New Roman"/>
                            <w:sz w:val="21"/>
                          </w:rPr>
                        </w:pPr>
                        <w:r>
                          <w:rPr>
                            <w:rFonts w:ascii="Times New Roman"/>
                            <w:sz w:val="21"/>
                          </w:rPr>
                          <w:t>22.14</w:t>
                        </w:r>
                      </w:p>
                    </w:tc>
                  </w:tr>
                  <w:tr>
                    <w:trPr>
                      <w:trHeight w:val="316" w:hRule="atLeast"/>
                    </w:trPr>
                    <w:tc>
                      <w:tcPr>
                        <w:tcW w:w="4237"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K</w:t>
                        </w:r>
                        <w:r>
                          <w:rPr>
                            <w:sz w:val="21"/>
                          </w:rPr>
                          <w:t>）</w:t>
                        </w:r>
                      </w:p>
                    </w:tc>
                    <w:tc>
                      <w:tcPr>
                        <w:tcW w:w="3217" w:type="dxa"/>
                      </w:tcPr>
                      <w:p>
                        <w:pPr>
                          <w:pStyle w:val="TableParagraph"/>
                          <w:spacing w:before="36"/>
                          <w:ind w:right="94"/>
                          <w:jc w:val="right"/>
                          <w:rPr>
                            <w:rFonts w:ascii="Times New Roman"/>
                            <w:sz w:val="21"/>
                          </w:rPr>
                        </w:pPr>
                        <w:r>
                          <w:rPr>
                            <w:rFonts w:ascii="Times New Roman"/>
                            <w:sz w:val="21"/>
                          </w:rPr>
                          <w:t>1.300</w:t>
                        </w:r>
                      </w:p>
                    </w:tc>
                  </w:tr>
                  <w:tr>
                    <w:trPr>
                      <w:trHeight w:val="318" w:hRule="atLeast"/>
                    </w:trPr>
                    <w:tc>
                      <w:tcPr>
                        <w:tcW w:w="4237" w:type="dxa"/>
                      </w:tcPr>
                      <w:p>
                        <w:pPr>
                          <w:pStyle w:val="TableParagraph"/>
                          <w:ind w:left="107"/>
                          <w:rPr>
                            <w:sz w:val="21"/>
                          </w:rPr>
                        </w:pPr>
                        <w:r>
                          <w:rPr>
                            <w:sz w:val="21"/>
                          </w:rPr>
                          <w:t>转入基金份额（</w:t>
                        </w:r>
                        <w:r>
                          <w:rPr>
                            <w:rFonts w:ascii="Times New Roman" w:eastAsia="Times New Roman"/>
                            <w:sz w:val="21"/>
                          </w:rPr>
                          <w:t>L=I/K</w:t>
                        </w:r>
                        <w:r>
                          <w:rPr>
                            <w:sz w:val="21"/>
                          </w:rPr>
                          <w:t>）</w:t>
                        </w:r>
                      </w:p>
                    </w:tc>
                    <w:tc>
                      <w:tcPr>
                        <w:tcW w:w="3217" w:type="dxa"/>
                      </w:tcPr>
                      <w:p>
                        <w:pPr>
                          <w:pStyle w:val="TableParagraph"/>
                          <w:spacing w:before="36"/>
                          <w:ind w:right="94"/>
                          <w:jc w:val="right"/>
                          <w:rPr>
                            <w:rFonts w:ascii="Times New Roman"/>
                            <w:sz w:val="21"/>
                          </w:rPr>
                        </w:pPr>
                        <w:r>
                          <w:rPr>
                            <w:rFonts w:ascii="Times New Roman"/>
                            <w:sz w:val="21"/>
                          </w:rPr>
                          <w:t>906.05</w:t>
                        </w:r>
                      </w:p>
                    </w:tc>
                  </w:tr>
                </w:tbl>
                <w:p>
                  <w:pPr>
                    <w:pStyle w:val="BodyText"/>
                  </w:pPr>
                </w:p>
              </w:txbxContent>
            </v:textbox>
            <w10:wrap type="none"/>
          </v:shape>
        </w:pic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24" w:lineRule="auto"/>
        <w:ind w:left="300" w:right="871" w:firstLine="419"/>
        <w:jc w:val="both"/>
      </w:pPr>
      <w:r>
        <w:rPr/>
        <w:pict>
          <v:shape style="position:absolute;margin-left:111.379997pt;margin-top:89.840034pt;width:372.95pt;height:212.5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6" w:hRule="atLeast"/>
                    </w:trPr>
                    <w:tc>
                      <w:tcPr>
                        <w:tcW w:w="4232" w:type="dxa"/>
                      </w:tcPr>
                      <w:p>
                        <w:pPr>
                          <w:pStyle w:val="TableParagraph"/>
                          <w:ind w:left="1647" w:right="1635"/>
                          <w:jc w:val="center"/>
                          <w:rPr>
                            <w:sz w:val="21"/>
                          </w:rPr>
                        </w:pPr>
                        <w:r>
                          <w:rPr>
                            <w:sz w:val="21"/>
                          </w:rPr>
                          <w:t>项目</w:t>
                        </w:r>
                      </w:p>
                    </w:tc>
                    <w:tc>
                      <w:tcPr>
                        <w:tcW w:w="3212" w:type="dxa"/>
                      </w:tcPr>
                      <w:p>
                        <w:pPr>
                          <w:pStyle w:val="TableParagraph"/>
                          <w:ind w:left="1166" w:right="1155"/>
                          <w:jc w:val="center"/>
                          <w:rPr>
                            <w:sz w:val="21"/>
                          </w:rPr>
                        </w:pPr>
                        <w:r>
                          <w:rPr>
                            <w:sz w:val="21"/>
                          </w:rPr>
                          <w:t>费用计算</w:t>
                        </w:r>
                      </w:p>
                    </w:tc>
                  </w:tr>
                  <w:tr>
                    <w:trPr>
                      <w:trHeight w:val="318" w:hRule="atLeast"/>
                    </w:trPr>
                    <w:tc>
                      <w:tcPr>
                        <w:tcW w:w="4232" w:type="dxa"/>
                      </w:tcPr>
                      <w:p>
                        <w:pPr>
                          <w:pStyle w:val="TableParagraph"/>
                          <w:spacing w:before="27"/>
                          <w:ind w:left="107"/>
                          <w:rPr>
                            <w:sz w:val="21"/>
                          </w:rPr>
                        </w:pPr>
                        <w:r>
                          <w:rPr>
                            <w:sz w:val="21"/>
                          </w:rPr>
                          <w:t>转出份额（</w:t>
                        </w:r>
                        <w:r>
                          <w:rPr>
                            <w:rFonts w:ascii="Times New Roman" w:eastAsia="Times New Roman"/>
                            <w:sz w:val="21"/>
                          </w:rPr>
                          <w:t>A</w:t>
                        </w:r>
                        <w:r>
                          <w:rPr>
                            <w:sz w:val="21"/>
                          </w:rPr>
                          <w:t>）</w:t>
                        </w:r>
                      </w:p>
                    </w:tc>
                    <w:tc>
                      <w:tcPr>
                        <w:tcW w:w="3212" w:type="dxa"/>
                      </w:tcPr>
                      <w:p>
                        <w:pPr>
                          <w:pStyle w:val="TableParagraph"/>
                          <w:spacing w:before="39"/>
                          <w:ind w:right="94"/>
                          <w:jc w:val="right"/>
                          <w:rPr>
                            <w:rFonts w:ascii="Times New Roman"/>
                            <w:sz w:val="21"/>
                          </w:rPr>
                        </w:pPr>
                        <w:r>
                          <w:rPr>
                            <w:rFonts w:ascii="Times New Roman"/>
                            <w:sz w:val="21"/>
                          </w:rPr>
                          <w:t>10,000,000.00</w:t>
                        </w:r>
                      </w:p>
                    </w:tc>
                  </w:tr>
                  <w:tr>
                    <w:trPr>
                      <w:trHeight w:val="316" w:hRule="atLeast"/>
                    </w:trPr>
                    <w:tc>
                      <w:tcPr>
                        <w:tcW w:w="4232"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12" w:type="dxa"/>
                      </w:tcPr>
                      <w:p>
                        <w:pPr>
                          <w:pStyle w:val="TableParagraph"/>
                          <w:spacing w:before="36"/>
                          <w:ind w:right="93"/>
                          <w:jc w:val="right"/>
                          <w:rPr>
                            <w:rFonts w:ascii="Times New Roman"/>
                            <w:sz w:val="21"/>
                          </w:rPr>
                        </w:pPr>
                        <w:r>
                          <w:rPr>
                            <w:rFonts w:ascii="Times New Roman"/>
                            <w:sz w:val="21"/>
                          </w:rPr>
                          <w:t>1.200</w:t>
                        </w:r>
                      </w:p>
                    </w:tc>
                  </w:tr>
                  <w:tr>
                    <w:trPr>
                      <w:trHeight w:val="316" w:hRule="atLeast"/>
                    </w:trPr>
                    <w:tc>
                      <w:tcPr>
                        <w:tcW w:w="4232"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12" w:type="dxa"/>
                      </w:tcPr>
                      <w:p>
                        <w:pPr>
                          <w:pStyle w:val="TableParagraph"/>
                          <w:spacing w:before="36"/>
                          <w:ind w:right="94"/>
                          <w:jc w:val="right"/>
                          <w:rPr>
                            <w:rFonts w:ascii="Times New Roman"/>
                            <w:sz w:val="21"/>
                          </w:rPr>
                        </w:pPr>
                        <w:r>
                          <w:rPr>
                            <w:rFonts w:ascii="Times New Roman"/>
                            <w:sz w:val="21"/>
                          </w:rPr>
                          <w:t>12,000,000.00</w:t>
                        </w:r>
                      </w:p>
                    </w:tc>
                  </w:tr>
                  <w:tr>
                    <w:trPr>
                      <w:trHeight w:val="316" w:hRule="atLeast"/>
                    </w:trPr>
                    <w:tc>
                      <w:tcPr>
                        <w:tcW w:w="4232" w:type="dxa"/>
                      </w:tcPr>
                      <w:p>
                        <w:pPr>
                          <w:pStyle w:val="TableParagraph"/>
                          <w:ind w:left="107"/>
                          <w:rPr>
                            <w:sz w:val="21"/>
                          </w:rPr>
                        </w:pPr>
                        <w:r>
                          <w:rPr>
                            <w:sz w:val="21"/>
                          </w:rPr>
                          <w:t>转出基金费用（</w:t>
                        </w:r>
                        <w:r>
                          <w:rPr>
                            <w:rFonts w:ascii="Times New Roman" w:eastAsia="Times New Roman"/>
                            <w:sz w:val="21"/>
                          </w:rPr>
                          <w:t>D</w:t>
                        </w:r>
                        <w:r>
                          <w:rPr>
                            <w:sz w:val="21"/>
                          </w:rPr>
                          <w:t>）</w:t>
                        </w:r>
                      </w:p>
                    </w:tc>
                    <w:tc>
                      <w:tcPr>
                        <w:tcW w:w="3212" w:type="dxa"/>
                      </w:tcPr>
                      <w:p>
                        <w:pPr>
                          <w:pStyle w:val="TableParagraph"/>
                          <w:spacing w:before="36"/>
                          <w:ind w:right="93"/>
                          <w:jc w:val="right"/>
                          <w:rPr>
                            <w:rFonts w:ascii="Times New Roman"/>
                            <w:sz w:val="21"/>
                          </w:rPr>
                        </w:pPr>
                        <w:r>
                          <w:rPr>
                            <w:rFonts w:ascii="Times New Roman"/>
                            <w:sz w:val="21"/>
                          </w:rPr>
                          <w:t>0.00</w:t>
                        </w:r>
                      </w:p>
                    </w:tc>
                  </w:tr>
                  <w:tr>
                    <w:trPr>
                      <w:trHeight w:val="318" w:hRule="atLeast"/>
                    </w:trPr>
                    <w:tc>
                      <w:tcPr>
                        <w:tcW w:w="4232" w:type="dxa"/>
                      </w:tcPr>
                      <w:p>
                        <w:pPr>
                          <w:pStyle w:val="TableParagraph"/>
                          <w:spacing w:before="27"/>
                          <w:ind w:left="107"/>
                          <w:rPr>
                            <w:sz w:val="21"/>
                          </w:rPr>
                        </w:pPr>
                        <w:r>
                          <w:rPr>
                            <w:sz w:val="21"/>
                          </w:rPr>
                          <w:t>转换金额（</w:t>
                        </w:r>
                        <w:r>
                          <w:rPr>
                            <w:rFonts w:ascii="Times New Roman" w:eastAsia="Times New Roman"/>
                            <w:sz w:val="21"/>
                          </w:rPr>
                          <w:t>E=C-D</w:t>
                        </w:r>
                        <w:r>
                          <w:rPr>
                            <w:sz w:val="21"/>
                          </w:rPr>
                          <w:t>）</w:t>
                        </w:r>
                      </w:p>
                    </w:tc>
                    <w:tc>
                      <w:tcPr>
                        <w:tcW w:w="3212" w:type="dxa"/>
                      </w:tcPr>
                      <w:p>
                        <w:pPr>
                          <w:pStyle w:val="TableParagraph"/>
                          <w:spacing w:before="39"/>
                          <w:ind w:right="94"/>
                          <w:jc w:val="right"/>
                          <w:rPr>
                            <w:rFonts w:ascii="Times New Roman"/>
                            <w:sz w:val="21"/>
                          </w:rPr>
                        </w:pPr>
                        <w:r>
                          <w:rPr>
                            <w:rFonts w:ascii="Times New Roman"/>
                            <w:sz w:val="21"/>
                          </w:rPr>
                          <w:t>12,000,000.00</w:t>
                        </w:r>
                      </w:p>
                    </w:tc>
                  </w:tr>
                  <w:tr>
                    <w:trPr>
                      <w:trHeight w:val="316" w:hRule="atLeast"/>
                    </w:trPr>
                    <w:tc>
                      <w:tcPr>
                        <w:tcW w:w="4232" w:type="dxa"/>
                      </w:tcPr>
                      <w:p>
                        <w:pPr>
                          <w:pStyle w:val="TableParagraph"/>
                          <w:ind w:left="107"/>
                          <w:rPr>
                            <w:sz w:val="21"/>
                          </w:rPr>
                        </w:pPr>
                        <w:r>
                          <w:rPr>
                            <w:sz w:val="21"/>
                          </w:rPr>
                          <w:t>销售服务费率（</w:t>
                        </w:r>
                        <w:r>
                          <w:rPr>
                            <w:rFonts w:ascii="Times New Roman" w:eastAsia="Times New Roman"/>
                            <w:sz w:val="21"/>
                          </w:rPr>
                          <w:t>F</w:t>
                        </w:r>
                        <w:r>
                          <w:rPr>
                            <w:sz w:val="21"/>
                          </w:rPr>
                          <w:t>）</w:t>
                        </w:r>
                      </w:p>
                    </w:tc>
                    <w:tc>
                      <w:tcPr>
                        <w:tcW w:w="3212" w:type="dxa"/>
                      </w:tcPr>
                      <w:p>
                        <w:pPr>
                          <w:pStyle w:val="TableParagraph"/>
                          <w:spacing w:before="36"/>
                          <w:ind w:right="93"/>
                          <w:jc w:val="right"/>
                          <w:rPr>
                            <w:rFonts w:ascii="Times New Roman"/>
                            <w:sz w:val="21"/>
                          </w:rPr>
                        </w:pPr>
                        <w:r>
                          <w:rPr>
                            <w:rFonts w:ascii="Times New Roman"/>
                            <w:sz w:val="21"/>
                          </w:rPr>
                          <w:t>0.3%</w:t>
                        </w:r>
                      </w:p>
                    </w:tc>
                  </w:tr>
                  <w:tr>
                    <w:trPr>
                      <w:trHeight w:val="317" w:hRule="atLeast"/>
                    </w:trPr>
                    <w:tc>
                      <w:tcPr>
                        <w:tcW w:w="4232" w:type="dxa"/>
                      </w:tcPr>
                      <w:p>
                        <w:pPr>
                          <w:pStyle w:val="TableParagraph"/>
                          <w:ind w:left="107"/>
                          <w:rPr>
                            <w:sz w:val="21"/>
                          </w:rPr>
                        </w:pPr>
                        <w:r>
                          <w:rPr>
                            <w:sz w:val="21"/>
                          </w:rPr>
                          <w:t>转入基金申购费用（</w:t>
                        </w:r>
                        <w:r>
                          <w:rPr>
                            <w:rFonts w:ascii="Times New Roman" w:eastAsia="Times New Roman"/>
                            <w:sz w:val="21"/>
                          </w:rPr>
                          <w:t>G</w:t>
                        </w:r>
                        <w:r>
                          <w:rPr>
                            <w:sz w:val="21"/>
                          </w:rPr>
                          <w:t>）</w:t>
                        </w:r>
                      </w:p>
                    </w:tc>
                    <w:tc>
                      <w:tcPr>
                        <w:tcW w:w="3212" w:type="dxa"/>
                      </w:tcPr>
                      <w:p>
                        <w:pPr>
                          <w:pStyle w:val="TableParagraph"/>
                          <w:spacing w:before="37"/>
                          <w:ind w:right="93"/>
                          <w:jc w:val="right"/>
                          <w:rPr>
                            <w:rFonts w:ascii="Times New Roman"/>
                            <w:sz w:val="21"/>
                          </w:rPr>
                        </w:pPr>
                        <w:r>
                          <w:rPr>
                            <w:rFonts w:ascii="Times New Roman"/>
                            <w:sz w:val="21"/>
                          </w:rPr>
                          <w:t>1,000.00</w:t>
                        </w:r>
                      </w:p>
                    </w:tc>
                  </w:tr>
                  <w:tr>
                    <w:trPr>
                      <w:trHeight w:val="635" w:hRule="atLeast"/>
                    </w:trPr>
                    <w:tc>
                      <w:tcPr>
                        <w:tcW w:w="4232" w:type="dxa"/>
                      </w:tcPr>
                      <w:p>
                        <w:pPr>
                          <w:pStyle w:val="TableParagraph"/>
                          <w:ind w:left="107"/>
                          <w:rPr>
                            <w:sz w:val="21"/>
                          </w:rPr>
                        </w:pPr>
                        <w:r>
                          <w:rPr>
                            <w:sz w:val="21"/>
                          </w:rPr>
                          <w:t>转入基金费用（</w:t>
                        </w:r>
                        <w:r>
                          <w:rPr>
                            <w:rFonts w:ascii="Times New Roman" w:eastAsia="Times New Roman"/>
                            <w:sz w:val="21"/>
                          </w:rPr>
                          <w:t>H=G-E*F*</w:t>
                        </w:r>
                        <w:r>
                          <w:rPr>
                            <w:sz w:val="21"/>
                          </w:rPr>
                          <w:t>转出基金的持有时</w:t>
                        </w:r>
                      </w:p>
                      <w:p>
                        <w:pPr>
                          <w:pStyle w:val="TableParagraph"/>
                          <w:spacing w:before="47"/>
                          <w:ind w:left="107"/>
                          <w:rPr>
                            <w:sz w:val="21"/>
                          </w:rPr>
                        </w:pPr>
                        <w:r>
                          <w:rPr>
                            <w:w w:val="100"/>
                            <w:sz w:val="21"/>
                          </w:rPr>
                          <w:t>间（</w:t>
                        </w:r>
                        <w:r>
                          <w:rPr>
                            <w:spacing w:val="-3"/>
                            <w:w w:val="100"/>
                            <w:sz w:val="21"/>
                          </w:rPr>
                          <w:t>单位为年</w:t>
                        </w:r>
                        <w:r>
                          <w:rPr>
                            <w:spacing w:val="-108"/>
                            <w:w w:val="100"/>
                            <w:sz w:val="21"/>
                          </w:rPr>
                          <w:t>）</w:t>
                        </w:r>
                        <w:r>
                          <w:rPr>
                            <w:w w:val="100"/>
                            <w:sz w:val="21"/>
                          </w:rPr>
                          <w:t>）</w:t>
                        </w:r>
                      </w:p>
                    </w:tc>
                    <w:tc>
                      <w:tcPr>
                        <w:tcW w:w="3212" w:type="dxa"/>
                      </w:tcPr>
                      <w:p>
                        <w:pPr>
                          <w:pStyle w:val="TableParagraph"/>
                          <w:spacing w:before="195"/>
                          <w:ind w:right="93"/>
                          <w:jc w:val="right"/>
                          <w:rPr>
                            <w:rFonts w:ascii="Times New Roman"/>
                            <w:sz w:val="21"/>
                          </w:rPr>
                        </w:pPr>
                        <w:r>
                          <w:rPr>
                            <w:rFonts w:ascii="Times New Roman"/>
                            <w:sz w:val="21"/>
                          </w:rPr>
                          <w:t>13.70</w:t>
                        </w:r>
                      </w:p>
                    </w:tc>
                  </w:tr>
                  <w:tr>
                    <w:trPr>
                      <w:trHeight w:val="316" w:hRule="atLeast"/>
                    </w:trPr>
                    <w:tc>
                      <w:tcPr>
                        <w:tcW w:w="4232" w:type="dxa"/>
                      </w:tcPr>
                      <w:p>
                        <w:pPr>
                          <w:pStyle w:val="TableParagraph"/>
                          <w:ind w:left="107"/>
                          <w:rPr>
                            <w:sz w:val="21"/>
                          </w:rPr>
                        </w:pPr>
                        <w:r>
                          <w:rPr>
                            <w:sz w:val="21"/>
                          </w:rPr>
                          <w:t>净转入金额（</w:t>
                        </w:r>
                        <w:r>
                          <w:rPr>
                            <w:rFonts w:ascii="Times New Roman" w:eastAsia="Times New Roman"/>
                            <w:sz w:val="21"/>
                          </w:rPr>
                          <w:t>I=E-H</w:t>
                        </w:r>
                        <w:r>
                          <w:rPr>
                            <w:sz w:val="21"/>
                          </w:rPr>
                          <w:t>）</w:t>
                        </w:r>
                      </w:p>
                    </w:tc>
                    <w:tc>
                      <w:tcPr>
                        <w:tcW w:w="3212" w:type="dxa"/>
                      </w:tcPr>
                      <w:p>
                        <w:pPr>
                          <w:pStyle w:val="TableParagraph"/>
                          <w:spacing w:before="36"/>
                          <w:ind w:right="94"/>
                          <w:jc w:val="right"/>
                          <w:rPr>
                            <w:rFonts w:ascii="Times New Roman"/>
                            <w:sz w:val="21"/>
                          </w:rPr>
                        </w:pPr>
                        <w:r>
                          <w:rPr>
                            <w:rFonts w:ascii="Times New Roman"/>
                            <w:sz w:val="21"/>
                          </w:rPr>
                          <w:t>11,999,986.30</w:t>
                        </w:r>
                      </w:p>
                    </w:tc>
                  </w:tr>
                  <w:tr>
                    <w:trPr>
                      <w:trHeight w:val="316" w:hRule="atLeast"/>
                    </w:trPr>
                    <w:tc>
                      <w:tcPr>
                        <w:tcW w:w="4232"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J</w:t>
                        </w:r>
                        <w:r>
                          <w:rPr>
                            <w:sz w:val="21"/>
                          </w:rPr>
                          <w:t>）</w:t>
                        </w:r>
                      </w:p>
                    </w:tc>
                    <w:tc>
                      <w:tcPr>
                        <w:tcW w:w="3212" w:type="dxa"/>
                      </w:tcPr>
                      <w:p>
                        <w:pPr>
                          <w:pStyle w:val="TableParagraph"/>
                          <w:spacing w:before="36"/>
                          <w:ind w:right="93"/>
                          <w:jc w:val="right"/>
                          <w:rPr>
                            <w:rFonts w:ascii="Times New Roman"/>
                            <w:sz w:val="21"/>
                          </w:rPr>
                        </w:pPr>
                        <w:r>
                          <w:rPr>
                            <w:rFonts w:ascii="Times New Roman"/>
                            <w:sz w:val="21"/>
                          </w:rPr>
                          <w:t>1.300</w:t>
                        </w:r>
                      </w:p>
                    </w:tc>
                  </w:tr>
                  <w:tr>
                    <w:trPr>
                      <w:trHeight w:val="316" w:hRule="atLeast"/>
                    </w:trPr>
                    <w:tc>
                      <w:tcPr>
                        <w:tcW w:w="4232" w:type="dxa"/>
                      </w:tcPr>
                      <w:p>
                        <w:pPr>
                          <w:pStyle w:val="TableParagraph"/>
                          <w:ind w:left="107"/>
                          <w:rPr>
                            <w:sz w:val="21"/>
                          </w:rPr>
                        </w:pPr>
                        <w:r>
                          <w:rPr>
                            <w:sz w:val="21"/>
                          </w:rPr>
                          <w:t>转入基金份额（</w:t>
                        </w:r>
                        <w:r>
                          <w:rPr>
                            <w:rFonts w:ascii="Times New Roman" w:eastAsia="Times New Roman"/>
                            <w:sz w:val="21"/>
                          </w:rPr>
                          <w:t>K=I/J</w:t>
                        </w:r>
                        <w:r>
                          <w:rPr>
                            <w:sz w:val="21"/>
                          </w:rPr>
                          <w:t>）</w:t>
                        </w:r>
                      </w:p>
                    </w:tc>
                    <w:tc>
                      <w:tcPr>
                        <w:tcW w:w="3212" w:type="dxa"/>
                      </w:tcPr>
                      <w:p>
                        <w:pPr>
                          <w:pStyle w:val="TableParagraph"/>
                          <w:spacing w:before="36"/>
                          <w:ind w:right="94"/>
                          <w:jc w:val="right"/>
                          <w:rPr>
                            <w:rFonts w:ascii="Times New Roman"/>
                            <w:sz w:val="21"/>
                          </w:rPr>
                        </w:pPr>
                        <w:r>
                          <w:rPr>
                            <w:rFonts w:ascii="Times New Roman"/>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5"/>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ind w:left="72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4"/>
        <w:rPr>
          <w:sz w:val="16"/>
        </w:rPr>
      </w:pPr>
    </w:p>
    <w:p>
      <w:pPr>
        <w:pStyle w:val="BodyText"/>
        <w:spacing w:line="424" w:lineRule="auto"/>
        <w:ind w:left="300" w:right="76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spacing w:after="0" w:line="424" w:lineRule="auto"/>
        <w:sectPr>
          <w:pgSz w:w="11910" w:h="16840"/>
          <w:pgMar w:header="701" w:footer="683" w:top="1420" w:bottom="880" w:left="1500" w:right="920"/>
        </w:sectPr>
      </w:pPr>
    </w:p>
    <w:tbl>
      <w:tblPr>
        <w:tblW w:w="0" w:type="auto"/>
        <w:jc w:val="left"/>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39" w:hRule="atLeast"/>
        </w:trPr>
        <w:tc>
          <w:tcPr>
            <w:tcW w:w="4242" w:type="dxa"/>
          </w:tcPr>
          <w:p>
            <w:pPr>
              <w:pStyle w:val="TableParagraph"/>
              <w:spacing w:before="88"/>
              <w:ind w:left="2132" w:right="1640"/>
              <w:jc w:val="center"/>
              <w:rPr>
                <w:sz w:val="21"/>
              </w:rPr>
            </w:pPr>
            <w:r>
              <w:rPr>
                <w:sz w:val="21"/>
              </w:rPr>
              <w:t>项目</w:t>
            </w:r>
          </w:p>
        </w:tc>
        <w:tc>
          <w:tcPr>
            <w:tcW w:w="3222" w:type="dxa"/>
          </w:tcPr>
          <w:p>
            <w:pPr>
              <w:pStyle w:val="TableParagraph"/>
              <w:spacing w:before="88"/>
              <w:ind w:left="1430"/>
              <w:rPr>
                <w:sz w:val="21"/>
              </w:rPr>
            </w:pPr>
            <w:r>
              <w:rPr>
                <w:sz w:val="21"/>
              </w:rPr>
              <w:t>费用计算</w:t>
            </w:r>
          </w:p>
        </w:tc>
      </w:tr>
      <w:tr>
        <w:trPr>
          <w:trHeight w:val="316" w:hRule="atLeast"/>
        </w:trPr>
        <w:tc>
          <w:tcPr>
            <w:tcW w:w="4242"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22" w:type="dxa"/>
          </w:tcPr>
          <w:p>
            <w:pPr>
              <w:pStyle w:val="TableParagraph"/>
              <w:spacing w:before="36"/>
              <w:ind w:right="92"/>
              <w:jc w:val="right"/>
              <w:rPr>
                <w:rFonts w:ascii="Times New Roman"/>
                <w:sz w:val="21"/>
              </w:rPr>
            </w:pPr>
            <w:r>
              <w:rPr>
                <w:rFonts w:ascii="Times New Roman"/>
                <w:sz w:val="21"/>
              </w:rPr>
              <w:t>1,000</w:t>
            </w:r>
          </w:p>
        </w:tc>
      </w:tr>
      <w:tr>
        <w:trPr>
          <w:trHeight w:val="316" w:hRule="atLeast"/>
        </w:trPr>
        <w:tc>
          <w:tcPr>
            <w:tcW w:w="4242"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2" w:type="dxa"/>
          </w:tcPr>
          <w:p>
            <w:pPr>
              <w:pStyle w:val="TableParagraph"/>
              <w:spacing w:before="36"/>
              <w:ind w:right="92"/>
              <w:jc w:val="right"/>
              <w:rPr>
                <w:rFonts w:ascii="Times New Roman"/>
                <w:sz w:val="21"/>
              </w:rPr>
            </w:pPr>
            <w:r>
              <w:rPr>
                <w:rFonts w:ascii="Times New Roman"/>
                <w:sz w:val="21"/>
              </w:rPr>
              <w:t>1.200</w:t>
            </w:r>
          </w:p>
        </w:tc>
      </w:tr>
      <w:tr>
        <w:trPr>
          <w:trHeight w:val="316" w:hRule="atLeast"/>
        </w:trPr>
        <w:tc>
          <w:tcPr>
            <w:tcW w:w="4242"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22" w:type="dxa"/>
          </w:tcPr>
          <w:p>
            <w:pPr>
              <w:pStyle w:val="TableParagraph"/>
              <w:spacing w:before="36"/>
              <w:ind w:right="92"/>
              <w:jc w:val="right"/>
              <w:rPr>
                <w:rFonts w:ascii="Times New Roman"/>
                <w:sz w:val="21"/>
              </w:rPr>
            </w:pPr>
            <w:r>
              <w:rPr>
                <w:rFonts w:ascii="Times New Roman"/>
                <w:sz w:val="21"/>
              </w:rPr>
              <w:t>1,200.00</w:t>
            </w:r>
          </w:p>
        </w:tc>
      </w:tr>
      <w:tr>
        <w:trPr>
          <w:trHeight w:val="318" w:hRule="atLeast"/>
        </w:trPr>
        <w:tc>
          <w:tcPr>
            <w:tcW w:w="4242" w:type="dxa"/>
          </w:tcPr>
          <w:p>
            <w:pPr>
              <w:pStyle w:val="TableParagraph"/>
              <w:spacing w:before="27"/>
              <w:ind w:left="107"/>
              <w:rPr>
                <w:sz w:val="21"/>
              </w:rPr>
            </w:pPr>
            <w:r>
              <w:rPr>
                <w:sz w:val="21"/>
              </w:rPr>
              <w:t>转出基金费用（</w:t>
            </w:r>
            <w:r>
              <w:rPr>
                <w:rFonts w:ascii="Times New Roman" w:eastAsia="Times New Roman"/>
                <w:sz w:val="21"/>
              </w:rPr>
              <w:t>D</w:t>
            </w:r>
            <w:r>
              <w:rPr>
                <w:sz w:val="21"/>
              </w:rPr>
              <w:t>）</w:t>
            </w:r>
          </w:p>
        </w:tc>
        <w:tc>
          <w:tcPr>
            <w:tcW w:w="3222" w:type="dxa"/>
          </w:tcPr>
          <w:p>
            <w:pPr>
              <w:pStyle w:val="TableParagraph"/>
              <w:spacing w:before="39"/>
              <w:ind w:right="92"/>
              <w:jc w:val="right"/>
              <w:rPr>
                <w:rFonts w:ascii="Times New Roman"/>
                <w:sz w:val="21"/>
              </w:rPr>
            </w:pPr>
            <w:r>
              <w:rPr>
                <w:rFonts w:ascii="Times New Roman"/>
                <w:sz w:val="21"/>
              </w:rPr>
              <w:t>0.00</w:t>
            </w:r>
          </w:p>
        </w:tc>
      </w:tr>
      <w:tr>
        <w:trPr>
          <w:trHeight w:val="316" w:hRule="atLeast"/>
        </w:trPr>
        <w:tc>
          <w:tcPr>
            <w:tcW w:w="4242" w:type="dxa"/>
          </w:tcPr>
          <w:p>
            <w:pPr>
              <w:pStyle w:val="TableParagraph"/>
              <w:ind w:left="107"/>
              <w:rPr>
                <w:sz w:val="21"/>
              </w:rPr>
            </w:pPr>
            <w:r>
              <w:rPr>
                <w:sz w:val="21"/>
              </w:rPr>
              <w:t>转换金额（</w:t>
            </w:r>
            <w:r>
              <w:rPr>
                <w:rFonts w:ascii="Times New Roman" w:eastAsia="Times New Roman"/>
                <w:sz w:val="21"/>
              </w:rPr>
              <w:t>E=C-D</w:t>
            </w:r>
            <w:r>
              <w:rPr>
                <w:sz w:val="21"/>
              </w:rPr>
              <w:t>）</w:t>
            </w:r>
          </w:p>
        </w:tc>
        <w:tc>
          <w:tcPr>
            <w:tcW w:w="3222" w:type="dxa"/>
          </w:tcPr>
          <w:p>
            <w:pPr>
              <w:pStyle w:val="TableParagraph"/>
              <w:spacing w:before="36"/>
              <w:ind w:right="92"/>
              <w:jc w:val="right"/>
              <w:rPr>
                <w:rFonts w:ascii="Times New Roman"/>
                <w:sz w:val="21"/>
              </w:rPr>
            </w:pPr>
            <w:r>
              <w:rPr>
                <w:rFonts w:ascii="Times New Roman"/>
                <w:sz w:val="21"/>
              </w:rPr>
              <w:t>1,200.00</w:t>
            </w:r>
          </w:p>
        </w:tc>
      </w:tr>
      <w:tr>
        <w:trPr>
          <w:trHeight w:val="316" w:hRule="atLeast"/>
        </w:trPr>
        <w:tc>
          <w:tcPr>
            <w:tcW w:w="4242" w:type="dxa"/>
          </w:tcPr>
          <w:p>
            <w:pPr>
              <w:pStyle w:val="TableParagraph"/>
              <w:ind w:left="107"/>
              <w:rPr>
                <w:sz w:val="21"/>
              </w:rPr>
            </w:pPr>
            <w:r>
              <w:rPr>
                <w:sz w:val="21"/>
              </w:rPr>
              <w:t>转入基金费用（</w:t>
            </w:r>
            <w:r>
              <w:rPr>
                <w:rFonts w:ascii="Times New Roman" w:eastAsia="Times New Roman"/>
                <w:sz w:val="21"/>
              </w:rPr>
              <w:t>F</w:t>
            </w:r>
            <w:r>
              <w:rPr>
                <w:sz w:val="21"/>
              </w:rPr>
              <w:t>）</w:t>
            </w:r>
          </w:p>
        </w:tc>
        <w:tc>
          <w:tcPr>
            <w:tcW w:w="3222" w:type="dxa"/>
          </w:tcPr>
          <w:p>
            <w:pPr>
              <w:pStyle w:val="TableParagraph"/>
              <w:spacing w:before="36"/>
              <w:ind w:right="92"/>
              <w:jc w:val="right"/>
              <w:rPr>
                <w:rFonts w:ascii="Times New Roman"/>
                <w:sz w:val="21"/>
              </w:rPr>
            </w:pPr>
            <w:r>
              <w:rPr>
                <w:rFonts w:ascii="Times New Roman"/>
                <w:sz w:val="21"/>
              </w:rPr>
              <w:t>0.00</w:t>
            </w:r>
          </w:p>
        </w:tc>
      </w:tr>
      <w:tr>
        <w:trPr>
          <w:trHeight w:val="316" w:hRule="atLeast"/>
        </w:trPr>
        <w:tc>
          <w:tcPr>
            <w:tcW w:w="4242" w:type="dxa"/>
          </w:tcPr>
          <w:p>
            <w:pPr>
              <w:pStyle w:val="TableParagraph"/>
              <w:ind w:left="107"/>
              <w:rPr>
                <w:sz w:val="21"/>
              </w:rPr>
            </w:pPr>
            <w:r>
              <w:rPr>
                <w:sz w:val="21"/>
              </w:rPr>
              <w:t>净转入金额（</w:t>
            </w:r>
            <w:r>
              <w:rPr>
                <w:rFonts w:ascii="Times New Roman" w:eastAsia="Times New Roman"/>
                <w:sz w:val="21"/>
              </w:rPr>
              <w:t>G=E-F</w:t>
            </w:r>
            <w:r>
              <w:rPr>
                <w:sz w:val="21"/>
              </w:rPr>
              <w:t>）</w:t>
            </w:r>
          </w:p>
        </w:tc>
        <w:tc>
          <w:tcPr>
            <w:tcW w:w="3222" w:type="dxa"/>
          </w:tcPr>
          <w:p>
            <w:pPr>
              <w:pStyle w:val="TableParagraph"/>
              <w:spacing w:before="36"/>
              <w:ind w:right="92"/>
              <w:jc w:val="right"/>
              <w:rPr>
                <w:rFonts w:ascii="Times New Roman"/>
                <w:sz w:val="21"/>
              </w:rPr>
            </w:pPr>
            <w:r>
              <w:rPr>
                <w:rFonts w:ascii="Times New Roman"/>
                <w:sz w:val="21"/>
              </w:rPr>
              <w:t>1,200.00</w:t>
            </w:r>
          </w:p>
        </w:tc>
      </w:tr>
      <w:tr>
        <w:trPr>
          <w:trHeight w:val="318" w:hRule="atLeast"/>
        </w:trPr>
        <w:tc>
          <w:tcPr>
            <w:tcW w:w="4242" w:type="dxa"/>
          </w:tcPr>
          <w:p>
            <w:pPr>
              <w:pStyle w:val="TableParagraph"/>
              <w:spacing w:before="27"/>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H</w:t>
            </w:r>
            <w:r>
              <w:rPr>
                <w:sz w:val="21"/>
              </w:rPr>
              <w:t>）</w:t>
            </w:r>
          </w:p>
        </w:tc>
        <w:tc>
          <w:tcPr>
            <w:tcW w:w="3222" w:type="dxa"/>
          </w:tcPr>
          <w:p>
            <w:pPr>
              <w:pStyle w:val="TableParagraph"/>
              <w:spacing w:before="39"/>
              <w:ind w:right="92"/>
              <w:jc w:val="right"/>
              <w:rPr>
                <w:rFonts w:ascii="Times New Roman"/>
                <w:sz w:val="21"/>
              </w:rPr>
            </w:pPr>
            <w:r>
              <w:rPr>
                <w:rFonts w:ascii="Times New Roman"/>
                <w:sz w:val="21"/>
              </w:rPr>
              <w:t>1.500</w:t>
            </w:r>
          </w:p>
        </w:tc>
      </w:tr>
      <w:tr>
        <w:trPr>
          <w:trHeight w:val="316" w:hRule="atLeast"/>
        </w:trPr>
        <w:tc>
          <w:tcPr>
            <w:tcW w:w="4242" w:type="dxa"/>
          </w:tcPr>
          <w:p>
            <w:pPr>
              <w:pStyle w:val="TableParagraph"/>
              <w:ind w:left="107"/>
              <w:rPr>
                <w:sz w:val="21"/>
              </w:rPr>
            </w:pPr>
            <w:r>
              <w:rPr>
                <w:sz w:val="21"/>
              </w:rPr>
              <w:t>转入基金份额（</w:t>
            </w:r>
            <w:r>
              <w:rPr>
                <w:rFonts w:ascii="Times New Roman" w:eastAsia="Times New Roman"/>
                <w:sz w:val="21"/>
              </w:rPr>
              <w:t>I=G/H</w:t>
            </w:r>
            <w:r>
              <w:rPr>
                <w:sz w:val="21"/>
              </w:rPr>
              <w:t>）</w:t>
            </w:r>
          </w:p>
        </w:tc>
        <w:tc>
          <w:tcPr>
            <w:tcW w:w="3222" w:type="dxa"/>
          </w:tcPr>
          <w:p>
            <w:pPr>
              <w:pStyle w:val="TableParagraph"/>
              <w:spacing w:before="36"/>
              <w:ind w:right="92"/>
              <w:jc w:val="right"/>
              <w:rPr>
                <w:rFonts w:ascii="Times New Roman"/>
                <w:sz w:val="21"/>
              </w:rPr>
            </w:pPr>
            <w:r>
              <w:rPr>
                <w:rFonts w:ascii="Times New Roman"/>
                <w:sz w:val="21"/>
              </w:rPr>
              <w:t>800.00</w:t>
            </w:r>
          </w:p>
        </w:tc>
      </w:tr>
    </w:tbl>
    <w:p>
      <w:pPr>
        <w:pStyle w:val="BodyText"/>
        <w:spacing w:line="424" w:lineRule="auto" w:before="114"/>
        <w:ind w:left="300" w:right="873" w:firstLine="419"/>
        <w:jc w:val="both"/>
      </w:pPr>
      <w:r>
        <w:rPr/>
        <w:pict>
          <v:shape style="position:absolute;margin-left:110.779999pt;margin-top:71.760002pt;width:374.15pt;height:153.75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38" w:hRule="atLeast"/>
                    </w:trPr>
                    <w:tc>
                      <w:tcPr>
                        <w:tcW w:w="4244" w:type="dxa"/>
                      </w:tcPr>
                      <w:p>
                        <w:pPr>
                          <w:pStyle w:val="TableParagraph"/>
                          <w:spacing w:before="89"/>
                          <w:ind w:left="1892" w:right="1402"/>
                          <w:jc w:val="center"/>
                          <w:rPr>
                            <w:sz w:val="21"/>
                          </w:rPr>
                        </w:pPr>
                        <w:r>
                          <w:rPr>
                            <w:sz w:val="21"/>
                          </w:rPr>
                          <w:t>项目</w:t>
                        </w:r>
                      </w:p>
                    </w:tc>
                    <w:tc>
                      <w:tcPr>
                        <w:tcW w:w="3224" w:type="dxa"/>
                      </w:tcPr>
                      <w:p>
                        <w:pPr>
                          <w:pStyle w:val="TableParagraph"/>
                          <w:spacing w:before="89"/>
                          <w:ind w:left="1430"/>
                          <w:rPr>
                            <w:sz w:val="21"/>
                          </w:rPr>
                        </w:pPr>
                        <w:r>
                          <w:rPr>
                            <w:sz w:val="21"/>
                          </w:rPr>
                          <w:t>费用计算</w:t>
                        </w:r>
                      </w:p>
                    </w:tc>
                  </w:tr>
                  <w:tr>
                    <w:trPr>
                      <w:trHeight w:val="316" w:hRule="atLeast"/>
                    </w:trPr>
                    <w:tc>
                      <w:tcPr>
                        <w:tcW w:w="4244" w:type="dxa"/>
                      </w:tcPr>
                      <w:p>
                        <w:pPr>
                          <w:pStyle w:val="TableParagraph"/>
                          <w:ind w:left="107"/>
                          <w:rPr>
                            <w:sz w:val="21"/>
                          </w:rPr>
                        </w:pPr>
                        <w:r>
                          <w:rPr>
                            <w:sz w:val="21"/>
                          </w:rPr>
                          <w:t>赎回份额（</w:t>
                        </w:r>
                        <w:r>
                          <w:rPr>
                            <w:rFonts w:ascii="Times New Roman" w:eastAsia="Times New Roman"/>
                            <w:sz w:val="21"/>
                          </w:rPr>
                          <w:t>J</w:t>
                        </w:r>
                        <w:r>
                          <w:rPr>
                            <w:sz w:val="21"/>
                          </w:rPr>
                          <w:t>）</w:t>
                        </w:r>
                      </w:p>
                    </w:tc>
                    <w:tc>
                      <w:tcPr>
                        <w:tcW w:w="3224" w:type="dxa"/>
                      </w:tcPr>
                      <w:p>
                        <w:pPr>
                          <w:pStyle w:val="TableParagraph"/>
                          <w:spacing w:before="36"/>
                          <w:ind w:right="93"/>
                          <w:jc w:val="right"/>
                          <w:rPr>
                            <w:rFonts w:ascii="Times New Roman"/>
                            <w:sz w:val="21"/>
                          </w:rPr>
                        </w:pPr>
                        <w:r>
                          <w:rPr>
                            <w:rFonts w:ascii="Times New Roman"/>
                            <w:sz w:val="21"/>
                          </w:rPr>
                          <w:t>800.00</w:t>
                        </w:r>
                      </w:p>
                    </w:tc>
                  </w:tr>
                  <w:tr>
                    <w:trPr>
                      <w:trHeight w:val="318" w:hRule="atLeast"/>
                    </w:trPr>
                    <w:tc>
                      <w:tcPr>
                        <w:tcW w:w="4244" w:type="dxa"/>
                      </w:tcPr>
                      <w:p>
                        <w:pPr>
                          <w:pStyle w:val="TableParagraph"/>
                          <w:spacing w:before="27"/>
                          <w:ind w:left="107"/>
                          <w:rPr>
                            <w:sz w:val="21"/>
                          </w:rPr>
                        </w:pPr>
                        <w:r>
                          <w:rPr>
                            <w:sz w:val="21"/>
                          </w:rPr>
                          <w:t>赎回日基金份额净值（</w:t>
                        </w:r>
                        <w:r>
                          <w:rPr>
                            <w:rFonts w:ascii="Times New Roman" w:eastAsia="Times New Roman"/>
                            <w:sz w:val="21"/>
                          </w:rPr>
                          <w:t>K</w:t>
                        </w:r>
                        <w:r>
                          <w:rPr>
                            <w:sz w:val="21"/>
                          </w:rPr>
                          <w:t>）</w:t>
                        </w:r>
                      </w:p>
                    </w:tc>
                    <w:tc>
                      <w:tcPr>
                        <w:tcW w:w="3224" w:type="dxa"/>
                      </w:tcPr>
                      <w:p>
                        <w:pPr>
                          <w:pStyle w:val="TableParagraph"/>
                          <w:spacing w:before="39"/>
                          <w:ind w:right="93"/>
                          <w:jc w:val="right"/>
                          <w:rPr>
                            <w:rFonts w:ascii="Times New Roman"/>
                            <w:sz w:val="21"/>
                          </w:rPr>
                        </w:pPr>
                        <w:r>
                          <w:rPr>
                            <w:rFonts w:ascii="Times New Roman"/>
                            <w:sz w:val="21"/>
                          </w:rPr>
                          <w:t>1.300</w:t>
                        </w:r>
                      </w:p>
                    </w:tc>
                  </w:tr>
                  <w:tr>
                    <w:trPr>
                      <w:trHeight w:val="316" w:hRule="atLeast"/>
                    </w:trPr>
                    <w:tc>
                      <w:tcPr>
                        <w:tcW w:w="4244" w:type="dxa"/>
                      </w:tcPr>
                      <w:p>
                        <w:pPr>
                          <w:pStyle w:val="TableParagraph"/>
                          <w:ind w:left="107"/>
                          <w:rPr>
                            <w:sz w:val="21"/>
                          </w:rPr>
                        </w:pPr>
                        <w:r>
                          <w:rPr>
                            <w:sz w:val="21"/>
                          </w:rPr>
                          <w:t>赎回总金额（</w:t>
                        </w:r>
                        <w:r>
                          <w:rPr>
                            <w:rFonts w:ascii="Times New Roman" w:eastAsia="Times New Roman"/>
                            <w:sz w:val="21"/>
                          </w:rPr>
                          <w:t>L=J*K</w:t>
                        </w:r>
                        <w:r>
                          <w:rPr>
                            <w:sz w:val="21"/>
                          </w:rPr>
                          <w:t>）</w:t>
                        </w:r>
                      </w:p>
                    </w:tc>
                    <w:tc>
                      <w:tcPr>
                        <w:tcW w:w="3224" w:type="dxa"/>
                      </w:tcPr>
                      <w:p>
                        <w:pPr>
                          <w:pStyle w:val="TableParagraph"/>
                          <w:spacing w:before="36"/>
                          <w:ind w:right="93"/>
                          <w:jc w:val="right"/>
                          <w:rPr>
                            <w:rFonts w:ascii="Times New Roman"/>
                            <w:sz w:val="21"/>
                          </w:rPr>
                        </w:pPr>
                        <w:r>
                          <w:rPr>
                            <w:rFonts w:ascii="Times New Roman"/>
                            <w:sz w:val="21"/>
                          </w:rPr>
                          <w:t>1,040.00</w:t>
                        </w:r>
                      </w:p>
                    </w:tc>
                  </w:tr>
                  <w:tr>
                    <w:trPr>
                      <w:trHeight w:val="316" w:hRule="atLeast"/>
                    </w:trPr>
                    <w:tc>
                      <w:tcPr>
                        <w:tcW w:w="4244" w:type="dxa"/>
                      </w:tcPr>
                      <w:p>
                        <w:pPr>
                          <w:pStyle w:val="TableParagraph"/>
                          <w:ind w:left="107"/>
                          <w:rPr>
                            <w:sz w:val="21"/>
                          </w:rPr>
                        </w:pPr>
                        <w:r>
                          <w:rPr>
                            <w:sz w:val="21"/>
                          </w:rPr>
                          <w:t>赎回费率（</w:t>
                        </w:r>
                        <w:r>
                          <w:rPr>
                            <w:rFonts w:ascii="Times New Roman" w:eastAsia="Times New Roman"/>
                            <w:sz w:val="21"/>
                          </w:rPr>
                          <w:t>M</w:t>
                        </w:r>
                        <w:r>
                          <w:rPr>
                            <w:sz w:val="21"/>
                          </w:rPr>
                          <w:t>）</w:t>
                        </w:r>
                      </w:p>
                    </w:tc>
                    <w:tc>
                      <w:tcPr>
                        <w:tcW w:w="3224" w:type="dxa"/>
                      </w:tcPr>
                      <w:p>
                        <w:pPr>
                          <w:pStyle w:val="TableParagraph"/>
                          <w:spacing w:before="36"/>
                          <w:ind w:right="93"/>
                          <w:jc w:val="right"/>
                          <w:rPr>
                            <w:rFonts w:ascii="Times New Roman"/>
                            <w:sz w:val="21"/>
                          </w:rPr>
                        </w:pPr>
                        <w:r>
                          <w:rPr>
                            <w:rFonts w:ascii="Times New Roman"/>
                            <w:sz w:val="21"/>
                          </w:rPr>
                          <w:t>0.5%</w:t>
                        </w:r>
                      </w:p>
                    </w:tc>
                  </w:tr>
                  <w:tr>
                    <w:trPr>
                      <w:trHeight w:val="316" w:hRule="atLeast"/>
                    </w:trPr>
                    <w:tc>
                      <w:tcPr>
                        <w:tcW w:w="4244" w:type="dxa"/>
                      </w:tcPr>
                      <w:p>
                        <w:pPr>
                          <w:pStyle w:val="TableParagraph"/>
                          <w:ind w:left="107"/>
                          <w:rPr>
                            <w:sz w:val="21"/>
                          </w:rPr>
                        </w:pPr>
                        <w:r>
                          <w:rPr>
                            <w:sz w:val="21"/>
                          </w:rPr>
                          <w:t>赎回费（</w:t>
                        </w:r>
                        <w:r>
                          <w:rPr>
                            <w:rFonts w:ascii="Times New Roman" w:eastAsia="Times New Roman"/>
                            <w:sz w:val="21"/>
                          </w:rPr>
                          <w:t>N=L*M</w:t>
                        </w:r>
                        <w:r>
                          <w:rPr>
                            <w:sz w:val="21"/>
                          </w:rPr>
                          <w:t>）</w:t>
                        </w:r>
                      </w:p>
                    </w:tc>
                    <w:tc>
                      <w:tcPr>
                        <w:tcW w:w="3224" w:type="dxa"/>
                      </w:tcPr>
                      <w:p>
                        <w:pPr>
                          <w:pStyle w:val="TableParagraph"/>
                          <w:spacing w:before="37"/>
                          <w:ind w:right="93"/>
                          <w:jc w:val="right"/>
                          <w:rPr>
                            <w:rFonts w:ascii="Times New Roman"/>
                            <w:sz w:val="21"/>
                          </w:rPr>
                        </w:pPr>
                        <w:r>
                          <w:rPr>
                            <w:rFonts w:ascii="Times New Roman"/>
                            <w:sz w:val="21"/>
                          </w:rPr>
                          <w:t>5.20</w:t>
                        </w:r>
                      </w:p>
                    </w:tc>
                  </w:tr>
                  <w:tr>
                    <w:trPr>
                      <w:trHeight w:val="318" w:hRule="atLeast"/>
                    </w:trPr>
                    <w:tc>
                      <w:tcPr>
                        <w:tcW w:w="4244" w:type="dxa"/>
                      </w:tcPr>
                      <w:p>
                        <w:pPr>
                          <w:pStyle w:val="TableParagraph"/>
                          <w:spacing w:before="27"/>
                          <w:ind w:left="107"/>
                          <w:rPr>
                            <w:sz w:val="21"/>
                          </w:rPr>
                        </w:pPr>
                        <w:r>
                          <w:rPr>
                            <w:sz w:val="21"/>
                          </w:rPr>
                          <w:t>适用后端申购费率（</w:t>
                        </w:r>
                        <w:r>
                          <w:rPr>
                            <w:rFonts w:ascii="Times New Roman" w:eastAsia="Times New Roman"/>
                            <w:sz w:val="21"/>
                          </w:rPr>
                          <w:t>O</w:t>
                        </w:r>
                        <w:r>
                          <w:rPr>
                            <w:sz w:val="21"/>
                          </w:rPr>
                          <w:t>）</w:t>
                        </w:r>
                      </w:p>
                    </w:tc>
                    <w:tc>
                      <w:tcPr>
                        <w:tcW w:w="3224" w:type="dxa"/>
                      </w:tcPr>
                      <w:p>
                        <w:pPr>
                          <w:pStyle w:val="TableParagraph"/>
                          <w:spacing w:before="39"/>
                          <w:ind w:right="93"/>
                          <w:jc w:val="right"/>
                          <w:rPr>
                            <w:rFonts w:ascii="Times New Roman"/>
                            <w:sz w:val="21"/>
                          </w:rPr>
                        </w:pPr>
                        <w:r>
                          <w:rPr>
                            <w:rFonts w:ascii="Times New Roman"/>
                            <w:sz w:val="21"/>
                          </w:rPr>
                          <w:t>1.0%</w:t>
                        </w:r>
                      </w:p>
                    </w:tc>
                  </w:tr>
                  <w:tr>
                    <w:trPr>
                      <w:trHeight w:val="316" w:hRule="atLeast"/>
                    </w:trPr>
                    <w:tc>
                      <w:tcPr>
                        <w:tcW w:w="4244" w:type="dxa"/>
                      </w:tcPr>
                      <w:p>
                        <w:pPr>
                          <w:pStyle w:val="TableParagraph"/>
                          <w:ind w:left="107"/>
                          <w:rPr>
                            <w:sz w:val="21"/>
                          </w:rPr>
                        </w:pPr>
                        <w:r>
                          <w:rPr>
                            <w:sz w:val="21"/>
                          </w:rPr>
                          <w:t>后端申购费（</w:t>
                        </w:r>
                        <w:r>
                          <w:rPr>
                            <w:rFonts w:ascii="Times New Roman" w:eastAsia="Times New Roman"/>
                            <w:sz w:val="21"/>
                          </w:rPr>
                          <w:t>P=J*H*O/</w:t>
                        </w:r>
                        <w:r>
                          <w:rPr>
                            <w:sz w:val="21"/>
                          </w:rPr>
                          <w:t>(</w:t>
                        </w:r>
                        <w:r>
                          <w:rPr>
                            <w:rFonts w:ascii="Times New Roman" w:eastAsia="Times New Roman"/>
                            <w:sz w:val="21"/>
                          </w:rPr>
                          <w:t>1+O</w:t>
                        </w:r>
                        <w:r>
                          <w:rPr>
                            <w:sz w:val="21"/>
                          </w:rPr>
                          <w:t>)）</w:t>
                        </w:r>
                      </w:p>
                    </w:tc>
                    <w:tc>
                      <w:tcPr>
                        <w:tcW w:w="3224" w:type="dxa"/>
                      </w:tcPr>
                      <w:p>
                        <w:pPr>
                          <w:pStyle w:val="TableParagraph"/>
                          <w:spacing w:before="36"/>
                          <w:ind w:right="93"/>
                          <w:jc w:val="right"/>
                          <w:rPr>
                            <w:rFonts w:ascii="Times New Roman"/>
                            <w:sz w:val="21"/>
                          </w:rPr>
                        </w:pPr>
                        <w:r>
                          <w:rPr>
                            <w:rFonts w:ascii="Times New Roman"/>
                            <w:sz w:val="21"/>
                          </w:rPr>
                          <w:t>11.88</w:t>
                        </w:r>
                      </w:p>
                    </w:tc>
                  </w:tr>
                  <w:tr>
                    <w:trPr>
                      <w:trHeight w:val="316" w:hRule="atLeast"/>
                    </w:trPr>
                    <w:tc>
                      <w:tcPr>
                        <w:tcW w:w="4244" w:type="dxa"/>
                      </w:tcPr>
                      <w:p>
                        <w:pPr>
                          <w:pStyle w:val="TableParagraph"/>
                          <w:ind w:left="107"/>
                          <w:rPr>
                            <w:sz w:val="21"/>
                          </w:rPr>
                        </w:pPr>
                        <w:r>
                          <w:rPr>
                            <w:sz w:val="21"/>
                          </w:rPr>
                          <w:t>赎回金额（</w:t>
                        </w:r>
                        <w:r>
                          <w:rPr>
                            <w:rFonts w:ascii="Times New Roman" w:eastAsia="Times New Roman"/>
                            <w:sz w:val="21"/>
                          </w:rPr>
                          <w:t>Q=L-N-P</w:t>
                        </w:r>
                        <w:r>
                          <w:rPr>
                            <w:sz w:val="21"/>
                          </w:rPr>
                          <w:t>）</w:t>
                        </w:r>
                      </w:p>
                    </w:tc>
                    <w:tc>
                      <w:tcPr>
                        <w:tcW w:w="3224" w:type="dxa"/>
                      </w:tcPr>
                      <w:p>
                        <w:pPr>
                          <w:pStyle w:val="TableParagraph"/>
                          <w:spacing w:before="36"/>
                          <w:ind w:right="93"/>
                          <w:jc w:val="right"/>
                          <w:rPr>
                            <w:rFonts w:ascii="Times New Roman"/>
                            <w:sz w:val="21"/>
                          </w:rPr>
                        </w:pPr>
                        <w:r>
                          <w:rPr>
                            <w:rFonts w:ascii="Times New Roman"/>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6"/>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pStyle w:val="BodyText"/>
        <w:spacing w:line="424" w:lineRule="auto" w:before="1"/>
        <w:ind w:left="300" w:right="871" w:firstLine="419"/>
        <w:jc w:val="both"/>
      </w:pPr>
      <w:r>
        <w:rPr/>
        <w:pict>
          <v:shape style="position:absolute;margin-left:110.779999pt;margin-top:66.230019pt;width:374pt;height:186.4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36" w:hRule="atLeast"/>
                    </w:trPr>
                    <w:tc>
                      <w:tcPr>
                        <w:tcW w:w="4244" w:type="dxa"/>
                      </w:tcPr>
                      <w:p>
                        <w:pPr>
                          <w:pStyle w:val="TableParagraph"/>
                          <w:spacing w:before="87"/>
                          <w:ind w:left="1892" w:right="1402"/>
                          <w:jc w:val="center"/>
                          <w:rPr>
                            <w:sz w:val="21"/>
                          </w:rPr>
                        </w:pPr>
                        <w:r>
                          <w:rPr>
                            <w:sz w:val="21"/>
                          </w:rPr>
                          <w:t>项目</w:t>
                        </w:r>
                      </w:p>
                    </w:tc>
                    <w:tc>
                      <w:tcPr>
                        <w:tcW w:w="3221" w:type="dxa"/>
                      </w:tcPr>
                      <w:p>
                        <w:pPr>
                          <w:pStyle w:val="TableParagraph"/>
                          <w:spacing w:before="87"/>
                          <w:ind w:left="1430"/>
                          <w:rPr>
                            <w:sz w:val="21"/>
                          </w:rPr>
                        </w:pPr>
                        <w:r>
                          <w:rPr>
                            <w:sz w:val="21"/>
                          </w:rPr>
                          <w:t>费用计算</w:t>
                        </w:r>
                      </w:p>
                    </w:tc>
                  </w:tr>
                  <w:tr>
                    <w:trPr>
                      <w:trHeight w:val="319" w:hRule="atLeast"/>
                    </w:trPr>
                    <w:tc>
                      <w:tcPr>
                        <w:tcW w:w="4244" w:type="dxa"/>
                      </w:tcPr>
                      <w:p>
                        <w:pPr>
                          <w:pStyle w:val="TableParagraph"/>
                          <w:ind w:left="107"/>
                          <w:rPr>
                            <w:sz w:val="21"/>
                          </w:rPr>
                        </w:pPr>
                        <w:r>
                          <w:rPr>
                            <w:sz w:val="21"/>
                          </w:rPr>
                          <w:t>转出份额（</w:t>
                        </w:r>
                        <w:r>
                          <w:rPr>
                            <w:rFonts w:ascii="Times New Roman" w:eastAsia="Times New Roman"/>
                            <w:sz w:val="21"/>
                          </w:rPr>
                          <w:t>A</w:t>
                        </w:r>
                        <w:r>
                          <w:rPr>
                            <w:sz w:val="21"/>
                          </w:rPr>
                          <w:t>）</w:t>
                        </w:r>
                      </w:p>
                    </w:tc>
                    <w:tc>
                      <w:tcPr>
                        <w:tcW w:w="3221" w:type="dxa"/>
                      </w:tcPr>
                      <w:p>
                        <w:pPr>
                          <w:pStyle w:val="TableParagraph"/>
                          <w:spacing w:before="37"/>
                          <w:ind w:right="90"/>
                          <w:jc w:val="right"/>
                          <w:rPr>
                            <w:rFonts w:ascii="Times New Roman"/>
                            <w:sz w:val="21"/>
                          </w:rPr>
                        </w:pPr>
                        <w:r>
                          <w:rPr>
                            <w:rFonts w:ascii="Times New Roman"/>
                            <w:sz w:val="21"/>
                          </w:rPr>
                          <w:t>1,000.00</w:t>
                        </w:r>
                      </w:p>
                    </w:tc>
                  </w:tr>
                  <w:tr>
                    <w:trPr>
                      <w:trHeight w:val="316" w:hRule="atLeast"/>
                    </w:trPr>
                    <w:tc>
                      <w:tcPr>
                        <w:tcW w:w="4244" w:type="dxa"/>
                      </w:tcPr>
                      <w:p>
                        <w:pPr>
                          <w:pStyle w:val="TableParagraph"/>
                          <w:ind w:left="107"/>
                          <w:rPr>
                            <w:sz w:val="21"/>
                          </w:rPr>
                        </w:pPr>
                        <w:r>
                          <w:rPr>
                            <w:sz w:val="21"/>
                          </w:rPr>
                          <w:t>转出基金</w:t>
                        </w:r>
                        <w:r>
                          <w:rPr>
                            <w:rFonts w:ascii="Times New Roman" w:eastAsia="Times New Roman"/>
                            <w:sz w:val="21"/>
                          </w:rPr>
                          <w:t>T </w:t>
                        </w:r>
                        <w:r>
                          <w:rPr>
                            <w:sz w:val="21"/>
                          </w:rPr>
                          <w:t>日基金份额净值（</w:t>
                        </w:r>
                        <w:r>
                          <w:rPr>
                            <w:rFonts w:ascii="Times New Roman" w:eastAsia="Times New Roman"/>
                            <w:sz w:val="21"/>
                          </w:rPr>
                          <w:t>B</w:t>
                        </w:r>
                        <w:r>
                          <w:rPr>
                            <w:sz w:val="21"/>
                          </w:rPr>
                          <w:t>）</w:t>
                        </w:r>
                      </w:p>
                    </w:tc>
                    <w:tc>
                      <w:tcPr>
                        <w:tcW w:w="3221" w:type="dxa"/>
                      </w:tcPr>
                      <w:p>
                        <w:pPr>
                          <w:pStyle w:val="TableParagraph"/>
                          <w:spacing w:before="36"/>
                          <w:ind w:right="90"/>
                          <w:jc w:val="right"/>
                          <w:rPr>
                            <w:rFonts w:ascii="Times New Roman"/>
                            <w:sz w:val="21"/>
                          </w:rPr>
                        </w:pPr>
                        <w:r>
                          <w:rPr>
                            <w:rFonts w:ascii="Times New Roman"/>
                            <w:sz w:val="21"/>
                          </w:rPr>
                          <w:t>1.300</w:t>
                        </w:r>
                      </w:p>
                    </w:tc>
                  </w:tr>
                  <w:tr>
                    <w:trPr>
                      <w:trHeight w:val="316" w:hRule="atLeast"/>
                    </w:trPr>
                    <w:tc>
                      <w:tcPr>
                        <w:tcW w:w="4244" w:type="dxa"/>
                      </w:tcPr>
                      <w:p>
                        <w:pPr>
                          <w:pStyle w:val="TableParagraph"/>
                          <w:ind w:left="107"/>
                          <w:rPr>
                            <w:sz w:val="21"/>
                          </w:rPr>
                        </w:pPr>
                        <w:r>
                          <w:rPr>
                            <w:sz w:val="21"/>
                          </w:rPr>
                          <w:t>转出总金额（</w:t>
                        </w:r>
                        <w:r>
                          <w:rPr>
                            <w:rFonts w:ascii="Times New Roman" w:eastAsia="Times New Roman"/>
                            <w:sz w:val="21"/>
                          </w:rPr>
                          <w:t>C=A*B</w:t>
                        </w:r>
                        <w:r>
                          <w:rPr>
                            <w:sz w:val="21"/>
                          </w:rPr>
                          <w:t>）</w:t>
                        </w:r>
                      </w:p>
                    </w:tc>
                    <w:tc>
                      <w:tcPr>
                        <w:tcW w:w="3221" w:type="dxa"/>
                      </w:tcPr>
                      <w:p>
                        <w:pPr>
                          <w:pStyle w:val="TableParagraph"/>
                          <w:spacing w:before="36"/>
                          <w:ind w:right="90"/>
                          <w:jc w:val="right"/>
                          <w:rPr>
                            <w:rFonts w:ascii="Times New Roman"/>
                            <w:sz w:val="21"/>
                          </w:rPr>
                        </w:pPr>
                        <w:r>
                          <w:rPr>
                            <w:rFonts w:ascii="Times New Roman"/>
                            <w:sz w:val="21"/>
                          </w:rPr>
                          <w:t>1,300.00</w:t>
                        </w:r>
                      </w:p>
                    </w:tc>
                  </w:tr>
                  <w:tr>
                    <w:trPr>
                      <w:trHeight w:val="316" w:hRule="atLeast"/>
                    </w:trPr>
                    <w:tc>
                      <w:tcPr>
                        <w:tcW w:w="4244" w:type="dxa"/>
                      </w:tcPr>
                      <w:p>
                        <w:pPr>
                          <w:pStyle w:val="TableParagraph"/>
                          <w:ind w:left="107"/>
                          <w:rPr>
                            <w:sz w:val="21"/>
                          </w:rPr>
                        </w:pPr>
                        <w:r>
                          <w:rPr>
                            <w:sz w:val="21"/>
                          </w:rPr>
                          <w:t>转出基金赎回费率（</w:t>
                        </w:r>
                        <w:r>
                          <w:rPr>
                            <w:rFonts w:ascii="Times New Roman" w:eastAsia="Times New Roman"/>
                            <w:sz w:val="21"/>
                          </w:rPr>
                          <w:t>D</w:t>
                        </w:r>
                        <w:r>
                          <w:rPr>
                            <w:sz w:val="21"/>
                          </w:rPr>
                          <w:t>）</w:t>
                        </w:r>
                      </w:p>
                    </w:tc>
                    <w:tc>
                      <w:tcPr>
                        <w:tcW w:w="3221" w:type="dxa"/>
                      </w:tcPr>
                      <w:p>
                        <w:pPr>
                          <w:pStyle w:val="TableParagraph"/>
                          <w:spacing w:before="36"/>
                          <w:ind w:right="90"/>
                          <w:jc w:val="right"/>
                          <w:rPr>
                            <w:rFonts w:ascii="Times New Roman"/>
                            <w:sz w:val="21"/>
                          </w:rPr>
                        </w:pPr>
                        <w:r>
                          <w:rPr>
                            <w:rFonts w:ascii="Times New Roman"/>
                            <w:sz w:val="21"/>
                          </w:rPr>
                          <w:t>0.1%</w:t>
                        </w:r>
                      </w:p>
                    </w:tc>
                  </w:tr>
                  <w:tr>
                    <w:trPr>
                      <w:trHeight w:val="318" w:hRule="atLeast"/>
                    </w:trPr>
                    <w:tc>
                      <w:tcPr>
                        <w:tcW w:w="4244" w:type="dxa"/>
                      </w:tcPr>
                      <w:p>
                        <w:pPr>
                          <w:pStyle w:val="TableParagraph"/>
                          <w:ind w:left="107"/>
                          <w:rPr>
                            <w:sz w:val="21"/>
                          </w:rPr>
                        </w:pPr>
                        <w:r>
                          <w:rPr>
                            <w:sz w:val="21"/>
                          </w:rPr>
                          <w:t>转出基金费用（</w:t>
                        </w:r>
                        <w:r>
                          <w:rPr>
                            <w:rFonts w:ascii="Times New Roman" w:eastAsia="Times New Roman"/>
                            <w:sz w:val="21"/>
                          </w:rPr>
                          <w:t>E=C*D</w:t>
                        </w:r>
                        <w:r>
                          <w:rPr>
                            <w:sz w:val="21"/>
                          </w:rPr>
                          <w:t>）</w:t>
                        </w:r>
                      </w:p>
                    </w:tc>
                    <w:tc>
                      <w:tcPr>
                        <w:tcW w:w="3221" w:type="dxa"/>
                      </w:tcPr>
                      <w:p>
                        <w:pPr>
                          <w:pStyle w:val="TableParagraph"/>
                          <w:spacing w:before="36"/>
                          <w:ind w:right="90"/>
                          <w:jc w:val="right"/>
                          <w:rPr>
                            <w:rFonts w:ascii="Times New Roman"/>
                            <w:sz w:val="21"/>
                          </w:rPr>
                        </w:pPr>
                        <w:r>
                          <w:rPr>
                            <w:rFonts w:ascii="Times New Roman"/>
                            <w:sz w:val="21"/>
                          </w:rPr>
                          <w:t>1.30</w:t>
                        </w:r>
                      </w:p>
                    </w:tc>
                  </w:tr>
                  <w:tr>
                    <w:trPr>
                      <w:trHeight w:val="316" w:hRule="atLeast"/>
                    </w:trPr>
                    <w:tc>
                      <w:tcPr>
                        <w:tcW w:w="4244" w:type="dxa"/>
                      </w:tcPr>
                      <w:p>
                        <w:pPr>
                          <w:pStyle w:val="TableParagraph"/>
                          <w:ind w:left="107"/>
                          <w:rPr>
                            <w:sz w:val="21"/>
                          </w:rPr>
                        </w:pPr>
                        <w:r>
                          <w:rPr>
                            <w:sz w:val="21"/>
                          </w:rPr>
                          <w:t>转换金额（</w:t>
                        </w:r>
                        <w:r>
                          <w:rPr>
                            <w:rFonts w:ascii="Times New Roman" w:eastAsia="Times New Roman"/>
                            <w:sz w:val="21"/>
                          </w:rPr>
                          <w:t>F=C-E</w:t>
                        </w:r>
                        <w:r>
                          <w:rPr>
                            <w:sz w:val="21"/>
                          </w:rPr>
                          <w:t>）</w:t>
                        </w:r>
                      </w:p>
                    </w:tc>
                    <w:tc>
                      <w:tcPr>
                        <w:tcW w:w="3221" w:type="dxa"/>
                      </w:tcPr>
                      <w:p>
                        <w:pPr>
                          <w:pStyle w:val="TableParagraph"/>
                          <w:spacing w:before="36"/>
                          <w:ind w:right="90"/>
                          <w:jc w:val="right"/>
                          <w:rPr>
                            <w:rFonts w:ascii="Times New Roman"/>
                            <w:sz w:val="21"/>
                          </w:rPr>
                        </w:pPr>
                        <w:r>
                          <w:rPr>
                            <w:rFonts w:ascii="Times New Roman"/>
                            <w:sz w:val="21"/>
                          </w:rPr>
                          <w:t>1,298.70</w:t>
                        </w:r>
                      </w:p>
                    </w:tc>
                  </w:tr>
                  <w:tr>
                    <w:trPr>
                      <w:trHeight w:val="316" w:hRule="atLeast"/>
                    </w:trPr>
                    <w:tc>
                      <w:tcPr>
                        <w:tcW w:w="4244" w:type="dxa"/>
                      </w:tcPr>
                      <w:p>
                        <w:pPr>
                          <w:pStyle w:val="TableParagraph"/>
                          <w:ind w:left="107"/>
                          <w:rPr>
                            <w:sz w:val="21"/>
                          </w:rPr>
                        </w:pPr>
                        <w:r>
                          <w:rPr>
                            <w:sz w:val="21"/>
                          </w:rPr>
                          <w:t>转入基金费用（</w:t>
                        </w:r>
                        <w:r>
                          <w:rPr>
                            <w:rFonts w:ascii="Times New Roman" w:eastAsia="Times New Roman"/>
                            <w:sz w:val="21"/>
                          </w:rPr>
                          <w:t>F</w:t>
                        </w:r>
                        <w:r>
                          <w:rPr>
                            <w:sz w:val="21"/>
                          </w:rPr>
                          <w:t>）</w:t>
                        </w:r>
                      </w:p>
                    </w:tc>
                    <w:tc>
                      <w:tcPr>
                        <w:tcW w:w="3221" w:type="dxa"/>
                      </w:tcPr>
                      <w:p>
                        <w:pPr>
                          <w:pStyle w:val="TableParagraph"/>
                          <w:spacing w:before="36"/>
                          <w:ind w:right="90"/>
                          <w:jc w:val="right"/>
                          <w:rPr>
                            <w:rFonts w:ascii="Times New Roman"/>
                            <w:sz w:val="21"/>
                          </w:rPr>
                        </w:pPr>
                        <w:r>
                          <w:rPr>
                            <w:rFonts w:ascii="Times New Roman"/>
                            <w:sz w:val="21"/>
                          </w:rPr>
                          <w:t>0.00</w:t>
                        </w:r>
                      </w:p>
                    </w:tc>
                  </w:tr>
                  <w:tr>
                    <w:trPr>
                      <w:trHeight w:val="316" w:hRule="atLeast"/>
                    </w:trPr>
                    <w:tc>
                      <w:tcPr>
                        <w:tcW w:w="4244" w:type="dxa"/>
                      </w:tcPr>
                      <w:p>
                        <w:pPr>
                          <w:pStyle w:val="TableParagraph"/>
                          <w:ind w:left="107"/>
                          <w:rPr>
                            <w:sz w:val="21"/>
                          </w:rPr>
                        </w:pPr>
                        <w:r>
                          <w:rPr>
                            <w:sz w:val="21"/>
                          </w:rPr>
                          <w:t>净转入金额（</w:t>
                        </w:r>
                        <w:r>
                          <w:rPr>
                            <w:rFonts w:ascii="Times New Roman" w:eastAsia="Times New Roman"/>
                            <w:sz w:val="21"/>
                          </w:rPr>
                          <w:t>G=E-F</w:t>
                        </w:r>
                        <w:r>
                          <w:rPr>
                            <w:sz w:val="21"/>
                          </w:rPr>
                          <w:t>）</w:t>
                        </w:r>
                      </w:p>
                    </w:tc>
                    <w:tc>
                      <w:tcPr>
                        <w:tcW w:w="3221" w:type="dxa"/>
                      </w:tcPr>
                      <w:p>
                        <w:pPr>
                          <w:pStyle w:val="TableParagraph"/>
                          <w:spacing w:before="36"/>
                          <w:ind w:right="90"/>
                          <w:jc w:val="right"/>
                          <w:rPr>
                            <w:rFonts w:ascii="Times New Roman"/>
                            <w:sz w:val="21"/>
                          </w:rPr>
                        </w:pPr>
                        <w:r>
                          <w:rPr>
                            <w:rFonts w:ascii="Times New Roman"/>
                            <w:sz w:val="21"/>
                          </w:rPr>
                          <w:t>1,298.70</w:t>
                        </w:r>
                      </w:p>
                    </w:tc>
                  </w:tr>
                  <w:tr>
                    <w:trPr>
                      <w:trHeight w:val="318" w:hRule="atLeast"/>
                    </w:trPr>
                    <w:tc>
                      <w:tcPr>
                        <w:tcW w:w="4244" w:type="dxa"/>
                      </w:tcPr>
                      <w:p>
                        <w:pPr>
                          <w:pStyle w:val="TableParagraph"/>
                          <w:ind w:left="107"/>
                          <w:rPr>
                            <w:sz w:val="21"/>
                          </w:rPr>
                        </w:pPr>
                        <w:r>
                          <w:rPr>
                            <w:sz w:val="21"/>
                          </w:rPr>
                          <w:t>转入基金</w:t>
                        </w:r>
                        <w:r>
                          <w:rPr>
                            <w:rFonts w:ascii="Times New Roman" w:eastAsia="Times New Roman"/>
                            <w:sz w:val="21"/>
                          </w:rPr>
                          <w:t>T </w:t>
                        </w:r>
                        <w:r>
                          <w:rPr>
                            <w:sz w:val="21"/>
                          </w:rPr>
                          <w:t>日基金份额净值（</w:t>
                        </w:r>
                        <w:r>
                          <w:rPr>
                            <w:rFonts w:ascii="Times New Roman" w:eastAsia="Times New Roman"/>
                            <w:sz w:val="21"/>
                          </w:rPr>
                          <w:t>H</w:t>
                        </w:r>
                        <w:r>
                          <w:rPr>
                            <w:sz w:val="21"/>
                          </w:rPr>
                          <w:t>）</w:t>
                        </w:r>
                      </w:p>
                    </w:tc>
                    <w:tc>
                      <w:tcPr>
                        <w:tcW w:w="3221" w:type="dxa"/>
                      </w:tcPr>
                      <w:p>
                        <w:pPr>
                          <w:pStyle w:val="TableParagraph"/>
                          <w:spacing w:before="36"/>
                          <w:ind w:right="90"/>
                          <w:jc w:val="right"/>
                          <w:rPr>
                            <w:rFonts w:ascii="Times New Roman"/>
                            <w:sz w:val="21"/>
                          </w:rPr>
                        </w:pPr>
                        <w:r>
                          <w:rPr>
                            <w:rFonts w:ascii="Times New Roman"/>
                            <w:sz w:val="21"/>
                          </w:rPr>
                          <w:t>1.500</w:t>
                        </w:r>
                      </w:p>
                    </w:tc>
                  </w:tr>
                  <w:tr>
                    <w:trPr>
                      <w:trHeight w:val="316" w:hRule="atLeast"/>
                    </w:trPr>
                    <w:tc>
                      <w:tcPr>
                        <w:tcW w:w="4244" w:type="dxa"/>
                      </w:tcPr>
                      <w:p>
                        <w:pPr>
                          <w:pStyle w:val="TableParagraph"/>
                          <w:ind w:left="107"/>
                          <w:rPr>
                            <w:sz w:val="21"/>
                          </w:rPr>
                        </w:pPr>
                        <w:r>
                          <w:rPr>
                            <w:sz w:val="21"/>
                          </w:rPr>
                          <w:t>转入基金份额（</w:t>
                        </w:r>
                        <w:r>
                          <w:rPr>
                            <w:rFonts w:ascii="Times New Roman" w:eastAsia="Times New Roman"/>
                            <w:sz w:val="21"/>
                          </w:rPr>
                          <w:t>I=G/H</w:t>
                        </w:r>
                        <w:r>
                          <w:rPr>
                            <w:sz w:val="21"/>
                          </w:rPr>
                          <w:t>）</w:t>
                        </w:r>
                      </w:p>
                    </w:tc>
                    <w:tc>
                      <w:tcPr>
                        <w:tcW w:w="3221" w:type="dxa"/>
                      </w:tcPr>
                      <w:p>
                        <w:pPr>
                          <w:pStyle w:val="TableParagraph"/>
                          <w:spacing w:before="36"/>
                          <w:ind w:right="90"/>
                          <w:jc w:val="right"/>
                          <w:rPr>
                            <w:rFonts w:ascii="Times New Roman"/>
                            <w:sz w:val="21"/>
                          </w:rPr>
                        </w:pPr>
                        <w:r>
                          <w:rPr>
                            <w:rFonts w:ascii="Times New Roman"/>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spacing w:after="0" w:line="424" w:lineRule="auto"/>
        <w:jc w:val="both"/>
        <w:sectPr>
          <w:footerReference w:type="default" r:id="rId220"/>
          <w:pgSz w:w="11910" w:h="16840"/>
          <w:pgMar w:footer="683" w:header="701" w:top="1420" w:bottom="880" w:left="1500" w:right="920"/>
          <w:pgNumType w:start="110"/>
        </w:sectPr>
      </w:pPr>
    </w:p>
    <w:p>
      <w:pPr>
        <w:pStyle w:val="Heading1"/>
        <w:spacing w:before="92"/>
        <w:ind w:left="299"/>
      </w:pPr>
      <w:bookmarkStart w:name="_bookmark8" w:id="9"/>
      <w:bookmarkEnd w:id="9"/>
      <w:r>
        <w:rPr>
          <w:b w:val="0"/>
        </w:rPr>
      </w:r>
      <w:r>
        <w:rPr/>
        <w:t>九、基金份额的非交易过户与转托管等业务</w:t>
      </w:r>
    </w:p>
    <w:p>
      <w:pPr>
        <w:pStyle w:val="BodyText"/>
        <w:rPr>
          <w:b/>
          <w:sz w:val="24"/>
        </w:rPr>
      </w:pPr>
    </w:p>
    <w:p>
      <w:pPr>
        <w:pStyle w:val="BodyText"/>
        <w:spacing w:before="214"/>
        <w:ind w:left="720"/>
      </w:pPr>
      <w:r>
        <w:rPr/>
        <w:t>（一）基金的非交易过户</w:t>
      </w:r>
    </w:p>
    <w:p>
      <w:pPr>
        <w:pStyle w:val="BodyText"/>
        <w:spacing w:before="1"/>
        <w:rPr>
          <w:sz w:val="16"/>
        </w:rPr>
      </w:pPr>
    </w:p>
    <w:p>
      <w:pPr>
        <w:pStyle w:val="BodyText"/>
        <w:spacing w:line="424" w:lineRule="auto"/>
        <w:ind w:left="300" w:right="871" w:firstLine="419"/>
      </w:pPr>
      <w:r>
        <w:rPr>
          <w:spacing w:val="-9"/>
        </w:rPr>
        <w:t>非交易过户是指不采用申购、赎回等基金交易方式，将一定数量的基金份额按照一定规</w:t>
      </w:r>
      <w:r>
        <w:rPr>
          <w:spacing w:val="-5"/>
        </w:rPr>
        <w:t>则从某一投资者基金账户转移到另一投资者基金账户的行为。</w:t>
      </w:r>
    </w:p>
    <w:p>
      <w:pPr>
        <w:pStyle w:val="BodyText"/>
        <w:spacing w:line="424" w:lineRule="auto"/>
        <w:ind w:left="300" w:right="871" w:firstLine="419"/>
        <w:jc w:val="both"/>
      </w:pPr>
      <w:r>
        <w:rPr>
          <w:spacing w:val="-9"/>
        </w:rPr>
        <w:t>基金登记结算机构只受理继承、捐赠、司法强制执行和经登记结算机构认可的、符合法</w:t>
      </w:r>
      <w:r>
        <w:rPr>
          <w:spacing w:val="-10"/>
        </w:rPr>
        <w:t>律法规的其他情况下的非交易过户。其中，“继承”指基金份额持有人死亡，其持有的基金</w:t>
      </w:r>
      <w:r>
        <w:rPr>
          <w:spacing w:val="-12"/>
          <w:w w:val="100"/>
        </w:rPr>
        <w:t>份额由其合法的继承人继承；“捐赠”指基金份额持有人将其合法持有的基金份额捐赠给福利性质的基金会或社会团体的情形；“司法执行”是指司法机构依据生效司法文书将基金份</w:t>
      </w:r>
      <w:r>
        <w:rPr>
          <w:spacing w:val="-10"/>
        </w:rPr>
        <w:t>额持有人持有的基金份额强制划转给其他自然人、法人、社会团体或其他组织。无论在上述</w:t>
      </w:r>
      <w:r>
        <w:rPr>
          <w:spacing w:val="-11"/>
        </w:rPr>
        <w:t>何种情况下，接受划转的主体应符合相关法律法规和《基金合同》规定的持有本基金份额的</w:t>
      </w:r>
      <w:r>
        <w:rPr>
          <w:spacing w:val="-6"/>
        </w:rPr>
        <w:t>投资者的条件。办理非交易过户必须提供基金登记结算机构要求提供的相关资料。</w:t>
      </w:r>
    </w:p>
    <w:p>
      <w:pPr>
        <w:pStyle w:val="BodyText"/>
        <w:spacing w:line="424" w:lineRule="auto"/>
        <w:ind w:left="720" w:right="986"/>
      </w:pPr>
      <w:r>
        <w:rPr/>
        <w:t>基金登记结算机构受理上述情况下的非交易过户，其他销售机构不得办理该项业务。对于符合条件的非交易过户申请按《业务规则》的有关规定办理。</w:t>
      </w:r>
    </w:p>
    <w:p>
      <w:pPr>
        <w:pStyle w:val="BodyText"/>
        <w:spacing w:line="267" w:lineRule="exact"/>
        <w:ind w:left="720"/>
      </w:pPr>
      <w:r>
        <w:rPr/>
        <w:t>（二）转托管</w:t>
      </w:r>
    </w:p>
    <w:p>
      <w:pPr>
        <w:pStyle w:val="BodyText"/>
        <w:spacing w:before="7"/>
        <w:rPr>
          <w:sz w:val="15"/>
        </w:rPr>
      </w:pPr>
    </w:p>
    <w:p>
      <w:pPr>
        <w:pStyle w:val="BodyText"/>
        <w:spacing w:line="424" w:lineRule="auto" w:before="1"/>
        <w:ind w:left="300" w:right="871" w:firstLine="419"/>
      </w:pPr>
      <w:r>
        <w:rPr>
          <w:spacing w:val="-6"/>
        </w:rPr>
        <w:t>基金份额持有人可以办理其基金份额在不同交易账户间的转托管手续，基金销售机构可</w:t>
      </w:r>
      <w:r>
        <w:rPr>
          <w:spacing w:val="-4"/>
        </w:rPr>
        <w:t>以按照规定的标准收取转托管费。具体办理方法参照基金管理人及销售机构的业务规则。</w:t>
      </w:r>
    </w:p>
    <w:p>
      <w:pPr>
        <w:pStyle w:val="BodyText"/>
        <w:spacing w:line="267" w:lineRule="exact"/>
        <w:ind w:left="720"/>
      </w:pPr>
      <w:r>
        <w:rPr/>
        <w:t>（三）定期定额投资计划</w:t>
      </w:r>
    </w:p>
    <w:p>
      <w:pPr>
        <w:pStyle w:val="BodyText"/>
        <w:spacing w:before="3"/>
        <w:rPr>
          <w:sz w:val="16"/>
        </w:rPr>
      </w:pPr>
    </w:p>
    <w:p>
      <w:pPr>
        <w:pStyle w:val="BodyText"/>
        <w:spacing w:line="424" w:lineRule="auto"/>
        <w:ind w:left="300" w:right="871" w:firstLine="419"/>
      </w:pPr>
      <w:r>
        <w:rPr>
          <w:spacing w:val="-8"/>
        </w:rPr>
        <w:t>基金管理人可以为投资者办理定期定额投资计划，具体规则由基金管理人在具体公告或</w:t>
      </w:r>
      <w:r>
        <w:rPr>
          <w:spacing w:val="-5"/>
        </w:rPr>
        <w:t>更新的招募说明书中确定。</w:t>
      </w:r>
    </w:p>
    <w:p>
      <w:pPr>
        <w:pStyle w:val="BodyText"/>
        <w:spacing w:line="267" w:lineRule="exact"/>
        <w:ind w:left="720"/>
      </w:pPr>
      <w:r>
        <w:rPr/>
        <w:t>（四）基金的冻结与解冻</w:t>
      </w:r>
    </w:p>
    <w:p>
      <w:pPr>
        <w:pStyle w:val="BodyText"/>
        <w:spacing w:before="2"/>
        <w:rPr>
          <w:sz w:val="16"/>
        </w:rPr>
      </w:pPr>
    </w:p>
    <w:p>
      <w:pPr>
        <w:pStyle w:val="BodyText"/>
        <w:spacing w:line="424" w:lineRule="auto"/>
        <w:ind w:left="300" w:right="871" w:firstLine="419"/>
        <w:jc w:val="both"/>
      </w:pPr>
      <w:r>
        <w:rPr/>
        <w:t>基金登记结算机构只受理国家有权机关依法要求的基金份额的冻结与解冻以及登记结</w:t>
      </w:r>
      <w:r>
        <w:rPr>
          <w:spacing w:val="-10"/>
        </w:rPr>
        <w:t>算机构认可的、符合法律法规的其他情况下的冻结与解冻。基金份额被冻结的，被冻结部分</w:t>
      </w:r>
      <w:r>
        <w:rPr>
          <w:spacing w:val="-5"/>
        </w:rPr>
        <w:t>产生的权益按照我国法律法规、监管规章以及国家有权机关的要求来决定是否冻结。</w:t>
      </w:r>
    </w:p>
    <w:p>
      <w:pPr>
        <w:pStyle w:val="BodyText"/>
        <w:spacing w:line="424" w:lineRule="auto"/>
        <w:ind w:left="300" w:right="871" w:firstLine="419"/>
      </w:pPr>
      <w:r>
        <w:rPr/>
        <w:t>（五</w:t>
      </w:r>
      <w:r>
        <w:rPr>
          <w:spacing w:val="-22"/>
        </w:rPr>
        <w:t>）</w:t>
      </w:r>
      <w:r>
        <w:rPr>
          <w:spacing w:val="-10"/>
        </w:rPr>
        <w:t>未来，若条件允许，在不损害持有人利益的前提下，本基金可在交易所交易、进</w:t>
      </w:r>
      <w:r>
        <w:rPr>
          <w:spacing w:val="-5"/>
        </w:rPr>
        <w:t>行场内申购、赎回，不需召开持有人大会。</w:t>
      </w:r>
    </w:p>
    <w:p>
      <w:pPr>
        <w:pStyle w:val="BodyText"/>
        <w:spacing w:before="7"/>
        <w:rPr>
          <w:sz w:val="24"/>
        </w:rPr>
      </w:pPr>
    </w:p>
    <w:p>
      <w:pPr>
        <w:pStyle w:val="Heading1"/>
        <w:spacing w:before="1"/>
        <w:ind w:right="876"/>
      </w:pPr>
      <w:bookmarkStart w:name="_bookmark9" w:id="10"/>
      <w:bookmarkEnd w:id="10"/>
      <w:r>
        <w:rPr>
          <w:b w:val="0"/>
        </w:rPr>
      </w:r>
      <w:r>
        <w:rPr/>
        <w:t>十、基金的投资</w:t>
      </w:r>
    </w:p>
    <w:p>
      <w:pPr>
        <w:pStyle w:val="BodyText"/>
        <w:rPr>
          <w:b/>
          <w:sz w:val="24"/>
        </w:rPr>
      </w:pPr>
    </w:p>
    <w:p>
      <w:pPr>
        <w:pStyle w:val="BodyText"/>
        <w:spacing w:before="212"/>
        <w:ind w:left="720"/>
      </w:pPr>
      <w:r>
        <w:rPr/>
        <w:t>（一）投资目标</w:t>
      </w:r>
    </w:p>
    <w:p>
      <w:pPr>
        <w:spacing w:after="0"/>
        <w:sectPr>
          <w:pgSz w:w="11910" w:h="16840"/>
          <w:pgMar w:header="701" w:footer="683" w:top="1420" w:bottom="880" w:left="1500" w:right="920"/>
        </w:sectPr>
      </w:pPr>
    </w:p>
    <w:p>
      <w:pPr>
        <w:pStyle w:val="BodyText"/>
        <w:spacing w:line="424" w:lineRule="auto" w:before="115"/>
        <w:ind w:left="300" w:right="871" w:firstLine="419"/>
      </w:pPr>
      <w:r>
        <w:rPr>
          <w:spacing w:val="-10"/>
        </w:rPr>
        <w:t>采用指数化投资方式，追求对标的指数的有效跟踪，获得与标的指数收益相似的回报及</w:t>
      </w:r>
      <w:r>
        <w:rPr>
          <w:spacing w:val="-5"/>
        </w:rPr>
        <w:t>适当的其他收益。</w:t>
      </w:r>
    </w:p>
    <w:p>
      <w:pPr>
        <w:pStyle w:val="BodyText"/>
        <w:spacing w:line="267" w:lineRule="exact"/>
        <w:ind w:left="720"/>
      </w:pPr>
      <w:r>
        <w:rPr/>
        <w:t>（二）投资范围</w:t>
      </w:r>
    </w:p>
    <w:p>
      <w:pPr>
        <w:pStyle w:val="BodyText"/>
        <w:rPr>
          <w:sz w:val="16"/>
        </w:rPr>
      </w:pPr>
    </w:p>
    <w:p>
      <w:pPr>
        <w:pStyle w:val="BodyText"/>
        <w:spacing w:line="424" w:lineRule="auto" w:before="1"/>
        <w:ind w:left="300" w:right="771" w:firstLine="419"/>
      </w:pPr>
      <w:r>
        <w:rPr>
          <w:spacing w:val="2"/>
        </w:rPr>
        <w:t>本基金主要投资于目标</w:t>
      </w:r>
      <w:r>
        <w:rPr>
          <w:rFonts w:ascii="Times New Roman" w:eastAsia="Times New Roman"/>
        </w:rPr>
        <w:t>ETF </w:t>
      </w:r>
      <w:r>
        <w:rPr>
          <w:spacing w:val="-3"/>
        </w:rPr>
        <w:t>基金份额、标的指数成份股、备选成份股。为更好地实现投</w:t>
      </w:r>
      <w:r>
        <w:rPr>
          <w:spacing w:val="-10"/>
        </w:rPr>
        <w:t>资目标，基金还可投资于非成份股</w:t>
      </w:r>
      <w:r>
        <w:rPr>
          <w:spacing w:val="-3"/>
        </w:rPr>
        <w:t>（</w:t>
      </w:r>
      <w:r>
        <w:rPr>
          <w:spacing w:val="-7"/>
        </w:rPr>
        <w:t>含中小板、创业板及其他中国证监会注册或核准上市的</w:t>
      </w:r>
      <w:r>
        <w:rPr>
          <w:spacing w:val="-5"/>
        </w:rPr>
        <w:t>股票</w:t>
      </w:r>
      <w:r>
        <w:rPr>
          <w:spacing w:val="-106"/>
        </w:rPr>
        <w:t>）</w:t>
      </w:r>
      <w:r>
        <w:rPr>
          <w:spacing w:val="-3"/>
        </w:rPr>
        <w:t>、债券</w:t>
      </w:r>
      <w:r>
        <w:rPr/>
        <w:t>（</w:t>
      </w:r>
      <w:r>
        <w:rPr>
          <w:spacing w:val="-3"/>
        </w:rPr>
        <w:t>包括国债、央行票据、金融债券、企业债券、公司债券、中期票据、短期融</w:t>
      </w:r>
      <w:r>
        <w:rPr>
          <w:spacing w:val="-11"/>
        </w:rPr>
        <w:t>资券、超短期融资券、次级债券、地方政府债券、可转换债券、可交换债券及其他经中国证</w:t>
      </w:r>
      <w:r>
        <w:rPr>
          <w:spacing w:val="-5"/>
        </w:rPr>
        <w:t>监会允许投资的债券</w:t>
      </w:r>
      <w:r>
        <w:rPr>
          <w:spacing w:val="-108"/>
        </w:rPr>
        <w:t>）</w:t>
      </w:r>
      <w:r>
        <w:rPr>
          <w:spacing w:val="-3"/>
        </w:rPr>
        <w:t>、衍生品</w:t>
      </w:r>
      <w:r>
        <w:rPr/>
        <w:t>（</w:t>
      </w:r>
      <w:r>
        <w:rPr>
          <w:spacing w:val="-3"/>
        </w:rPr>
        <w:t>包括股指期货、股票期权、国债期货</w:t>
      </w:r>
      <w:r>
        <w:rPr>
          <w:spacing w:val="-106"/>
        </w:rPr>
        <w:t>）</w:t>
      </w:r>
      <w:r>
        <w:rPr>
          <w:spacing w:val="-2"/>
        </w:rPr>
        <w:t>、资产支持证券、货</w:t>
      </w:r>
      <w:r>
        <w:rPr>
          <w:spacing w:val="-3"/>
        </w:rPr>
        <w:t>币市场工具（含同业存单、债券回购等</w:t>
      </w:r>
      <w:r>
        <w:rPr>
          <w:spacing w:val="-106"/>
        </w:rPr>
        <w:t>）</w:t>
      </w:r>
      <w:r>
        <w:rPr>
          <w:spacing w:val="-3"/>
        </w:rPr>
        <w:t>、银行存款以及法律法规或中国证监会允许基金投</w:t>
      </w:r>
      <w:r>
        <w:rPr>
          <w:spacing w:val="-10"/>
        </w:rPr>
        <w:t>资的其他金融工具。本基金还可根据法律法规的规定参与转融通证券出借业务。法律法规</w:t>
      </w:r>
      <w:r>
        <w:rPr>
          <w:w w:val="100"/>
        </w:rPr>
        <w:t>或</w:t>
      </w:r>
      <w:r>
        <w:rPr>
          <w:spacing w:val="-3"/>
          <w:w w:val="100"/>
        </w:rPr>
        <w:t>监管机构允许基金投资其他品种的</w:t>
      </w:r>
      <w:r>
        <w:rPr>
          <w:w w:val="100"/>
        </w:rPr>
        <w:t>（</w:t>
      </w:r>
      <w:r>
        <w:rPr>
          <w:spacing w:val="-3"/>
          <w:w w:val="100"/>
        </w:rPr>
        <w:t>包括但不限于股指期权等金融衍生品</w:t>
      </w:r>
      <w:r>
        <w:rPr>
          <w:spacing w:val="-108"/>
          <w:w w:val="100"/>
        </w:rPr>
        <w:t>）</w:t>
      </w:r>
      <w:r>
        <w:rPr>
          <w:spacing w:val="-2"/>
          <w:w w:val="100"/>
        </w:rPr>
        <w:t>，基金管理人</w:t>
      </w:r>
      <w:r>
        <w:rPr/>
        <w:t>在</w:t>
      </w:r>
      <w:r>
        <w:rPr>
          <w:spacing w:val="-3"/>
        </w:rPr>
        <w:t>履行适当程序后，可以将其纳入投资范围。</w:t>
      </w:r>
    </w:p>
    <w:p>
      <w:pPr>
        <w:pStyle w:val="BodyText"/>
        <w:spacing w:line="424" w:lineRule="auto"/>
        <w:ind w:left="300" w:right="871" w:firstLine="419"/>
        <w:jc w:val="both"/>
      </w:pPr>
      <w:r>
        <w:rPr>
          <w:spacing w:val="-5"/>
        </w:rPr>
        <w:t>正常情况下，本基金投资于目标 </w:t>
      </w:r>
      <w:r>
        <w:rPr>
          <w:rFonts w:ascii="Times New Roman" w:eastAsia="Times New Roman"/>
        </w:rPr>
        <w:t>ETF </w:t>
      </w:r>
      <w:r>
        <w:rPr>
          <w:spacing w:val="-5"/>
        </w:rPr>
        <w:t>的比例不低于基金资产净值的 </w:t>
      </w:r>
      <w:r>
        <w:rPr>
          <w:rFonts w:ascii="Times New Roman" w:eastAsia="Times New Roman"/>
        </w:rPr>
        <w:t>90%</w:t>
      </w:r>
      <w:r>
        <w:rPr/>
        <w:t>（</w:t>
      </w:r>
      <w:r>
        <w:rPr>
          <w:spacing w:val="-3"/>
        </w:rPr>
        <w:t>已申购但尚</w:t>
      </w:r>
      <w:r>
        <w:rPr>
          <w:spacing w:val="5"/>
        </w:rPr>
        <w:t>未确认的目标</w:t>
      </w:r>
      <w:r>
        <w:rPr>
          <w:rFonts w:ascii="Times New Roman" w:eastAsia="Times New Roman"/>
        </w:rPr>
        <w:t>ETF </w:t>
      </w:r>
      <w:r>
        <w:rPr>
          <w:spacing w:val="-2"/>
        </w:rPr>
        <w:t>份额可计入在内</w:t>
      </w:r>
      <w:r>
        <w:rPr>
          <w:spacing w:val="-108"/>
        </w:rPr>
        <w:t>）</w:t>
      </w:r>
      <w:r>
        <w:rPr>
          <w:spacing w:val="-9"/>
        </w:rPr>
        <w:t>。每个交易日日终在扣除股指期货、国债期货和股票期</w:t>
      </w:r>
      <w:r>
        <w:rPr>
          <w:spacing w:val="-7"/>
        </w:rPr>
        <w:t>权合约需缴纳的交易保证金后，保持不低于基金资产净值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pStyle w:val="BodyText"/>
        <w:spacing w:line="268" w:lineRule="exact"/>
        <w:ind w:left="720"/>
      </w:pPr>
      <w:r>
        <w:rPr/>
        <w:t>（三）投资理念</w:t>
      </w:r>
    </w:p>
    <w:p>
      <w:pPr>
        <w:pStyle w:val="BodyText"/>
        <w:spacing w:before="7"/>
        <w:rPr>
          <w:sz w:val="15"/>
        </w:rPr>
      </w:pPr>
    </w:p>
    <w:p>
      <w:pPr>
        <w:pStyle w:val="BodyText"/>
        <w:spacing w:line="424" w:lineRule="auto"/>
        <w:ind w:left="300" w:right="765" w:firstLine="419"/>
      </w:pPr>
      <w:r>
        <w:rPr>
          <w:spacing w:val="-18"/>
        </w:rPr>
        <w:t>未来，我国将继续保持平稳较快发展，中国经济以及资本市场仍然面临良好的发展前景， </w:t>
      </w:r>
      <w:r>
        <w:rPr>
          <w:spacing w:val="-7"/>
        </w:rPr>
        <w:t>而指数化投资可以以最低的成本和较低的风险获取市场平均水平的长期回报。</w:t>
      </w:r>
    </w:p>
    <w:p>
      <w:pPr>
        <w:pStyle w:val="BodyText"/>
        <w:spacing w:line="424" w:lineRule="auto"/>
        <w:ind w:left="300" w:right="871" w:firstLine="419"/>
        <w:jc w:val="both"/>
      </w:pPr>
      <w:r>
        <w:rPr>
          <w:spacing w:val="-12"/>
        </w:rPr>
        <w:t>标的指数具有良好的市场代表性、流动性与蓝筹特征，通过投资于目标 </w:t>
      </w:r>
      <w:r>
        <w:rPr>
          <w:rFonts w:ascii="Times New Roman" w:eastAsia="Times New Roman"/>
        </w:rPr>
        <w:t>ETF </w:t>
      </w:r>
      <w:r>
        <w:rPr>
          <w:spacing w:val="-1"/>
        </w:rPr>
        <w:t>基金份额、</w:t>
      </w:r>
      <w:r>
        <w:rPr>
          <w:spacing w:val="-10"/>
        </w:rPr>
        <w:t>标的指数成份股、备选成份股等，以有效控制基金跟踪偏离度和跟踪误差，从而满足投资者</w:t>
      </w:r>
      <w:r>
        <w:rPr>
          <w:spacing w:val="-5"/>
        </w:rPr>
        <w:t>多样化的投资需求，并力争在长期内为投资者带来较好的投资回报。</w:t>
      </w:r>
    </w:p>
    <w:p>
      <w:pPr>
        <w:pStyle w:val="BodyText"/>
        <w:ind w:left="720"/>
      </w:pPr>
      <w:r>
        <w:rPr/>
        <w:t>（四）投资策略</w:t>
      </w:r>
    </w:p>
    <w:p>
      <w:pPr>
        <w:pStyle w:val="BodyText"/>
        <w:spacing w:before="12"/>
        <w:rPr>
          <w:sz w:val="15"/>
        </w:rPr>
      </w:pPr>
    </w:p>
    <w:p>
      <w:pPr>
        <w:pStyle w:val="BodyText"/>
        <w:ind w:left="720"/>
        <w:jc w:val="both"/>
      </w:pPr>
      <w:r>
        <w:rPr>
          <w:rFonts w:ascii="Times New Roman" w:eastAsia="Times New Roman"/>
        </w:rPr>
        <w:t>1</w:t>
      </w:r>
      <w:r>
        <w:rPr/>
        <w:t>、目标 </w:t>
      </w:r>
      <w:r>
        <w:rPr>
          <w:rFonts w:ascii="Times New Roman" w:eastAsia="Times New Roman"/>
        </w:rPr>
        <w:t>ETF </w:t>
      </w:r>
      <w:r>
        <w:rPr/>
        <w:t>投资策略</w:t>
      </w:r>
    </w:p>
    <w:p>
      <w:pPr>
        <w:pStyle w:val="BodyText"/>
        <w:spacing w:before="1"/>
        <w:rPr>
          <w:sz w:val="16"/>
        </w:rPr>
      </w:pPr>
    </w:p>
    <w:p>
      <w:pPr>
        <w:pStyle w:val="BodyText"/>
        <w:spacing w:line="424" w:lineRule="auto"/>
        <w:ind w:left="300" w:right="871" w:firstLine="419"/>
        <w:jc w:val="both"/>
      </w:pPr>
      <w:r>
        <w:rPr>
          <w:spacing w:val="-5"/>
        </w:rPr>
        <w:t>本基金主要通过交易所买卖或申购赎回的方式投资于目标 </w:t>
      </w:r>
      <w:r>
        <w:rPr>
          <w:rFonts w:ascii="Times New Roman" w:eastAsia="Times New Roman"/>
        </w:rPr>
        <w:t>ETF </w:t>
      </w:r>
      <w:r>
        <w:rPr>
          <w:spacing w:val="-3"/>
        </w:rPr>
        <w:t>的份额。根据投资者申</w:t>
      </w:r>
      <w:r>
        <w:rPr>
          <w:spacing w:val="-1"/>
        </w:rPr>
        <w:t>购、赎回的现金流情况，本基金将综合目标</w:t>
      </w:r>
      <w:r>
        <w:rPr>
          <w:rFonts w:ascii="Times New Roman" w:eastAsia="Times New Roman"/>
        </w:rPr>
        <w:t>ETF </w:t>
      </w:r>
      <w:r>
        <w:rPr>
          <w:spacing w:val="-3"/>
        </w:rPr>
        <w:t>的流动性、折溢价率、标的指数成份股流</w:t>
      </w:r>
      <w:r>
        <w:rPr>
          <w:spacing w:val="-10"/>
        </w:rPr>
        <w:t>动性等因素分析，对投资组合进行监控和调整，密切跟踪标的指数。基金也可以通过买入标</w:t>
      </w:r>
      <w:r>
        <w:rPr>
          <w:spacing w:val="-3"/>
        </w:rPr>
        <w:t>的指数成份股来跟踪标的指数。基金还可适度参与目标</w:t>
      </w:r>
      <w:r>
        <w:rPr>
          <w:rFonts w:ascii="Times New Roman" w:eastAsia="Times New Roman"/>
        </w:rPr>
        <w:t>ETF </w:t>
      </w:r>
      <w:r>
        <w:rPr>
          <w:spacing w:val="-3"/>
        </w:rPr>
        <w:t>基金份额交易和申购、赎回之</w:t>
      </w:r>
      <w:r>
        <w:rPr>
          <w:spacing w:val="-6"/>
        </w:rPr>
        <w:t>间的套利，以增强基金收益。在目标 </w:t>
      </w:r>
      <w:r>
        <w:rPr>
          <w:rFonts w:ascii="Times New Roman" w:eastAsia="Times New Roman"/>
        </w:rPr>
        <w:t>ETF </w:t>
      </w:r>
      <w:r>
        <w:rPr>
          <w:spacing w:val="-3"/>
        </w:rPr>
        <w:t>上市之前，本基金可以股票和现金特殊申购目标</w:t>
      </w:r>
    </w:p>
    <w:p>
      <w:pPr>
        <w:spacing w:after="0" w:line="424" w:lineRule="auto"/>
        <w:jc w:val="both"/>
        <w:sectPr>
          <w:pgSz w:w="11910" w:h="16840"/>
          <w:pgMar w:header="701" w:footer="683" w:top="1420" w:bottom="880" w:left="1500" w:right="920"/>
        </w:sectPr>
      </w:pPr>
    </w:p>
    <w:p>
      <w:pPr>
        <w:pStyle w:val="BodyText"/>
        <w:spacing w:before="115"/>
        <w:ind w:left="300"/>
      </w:pPr>
      <w:r>
        <w:rPr>
          <w:rFonts w:ascii="Times New Roman" w:eastAsia="Times New Roman"/>
        </w:rPr>
        <w:t>ETF </w:t>
      </w:r>
      <w:r>
        <w:rPr/>
        <w:t>基金份额。</w:t>
      </w:r>
    </w:p>
    <w:p>
      <w:pPr>
        <w:pStyle w:val="BodyText"/>
        <w:rPr>
          <w:sz w:val="16"/>
        </w:rPr>
      </w:pPr>
    </w:p>
    <w:p>
      <w:pPr>
        <w:pStyle w:val="BodyText"/>
        <w:spacing w:before="1"/>
        <w:ind w:left="720"/>
      </w:pPr>
      <w:r>
        <w:rPr>
          <w:rFonts w:ascii="Times New Roman" w:eastAsia="Times New Roman"/>
        </w:rPr>
        <w:t>2</w:t>
      </w:r>
      <w:r>
        <w:rPr/>
        <w:t>、股票投资策略</w:t>
      </w:r>
    </w:p>
    <w:p>
      <w:pPr>
        <w:pStyle w:val="BodyText"/>
        <w:spacing w:before="1"/>
        <w:rPr>
          <w:sz w:val="16"/>
        </w:rPr>
      </w:pPr>
    </w:p>
    <w:p>
      <w:pPr>
        <w:pStyle w:val="BodyText"/>
        <w:spacing w:line="424" w:lineRule="auto"/>
        <w:ind w:left="300" w:right="871" w:firstLine="419"/>
        <w:jc w:val="both"/>
      </w:pPr>
      <w:r>
        <w:rPr>
          <w:spacing w:val="-8"/>
        </w:rPr>
        <w:t>基金可通过买入标的指数成份股、备选成份股来跟踪标的指数，也可以通过买入标的指</w:t>
      </w:r>
      <w:r>
        <w:rPr>
          <w:spacing w:val="-9"/>
        </w:rPr>
        <w:t>数成份股、备选成份股的方式申购目标 </w:t>
      </w:r>
      <w:r>
        <w:rPr>
          <w:rFonts w:ascii="Times New Roman" w:eastAsia="Times New Roman"/>
        </w:rPr>
        <w:t>ETF</w:t>
      </w:r>
      <w:r>
        <w:rPr>
          <w:spacing w:val="-9"/>
        </w:rPr>
        <w:t>。对于出现市场流动性不足等情况，导致基金无</w:t>
      </w:r>
      <w:r>
        <w:rPr>
          <w:spacing w:val="-11"/>
        </w:rPr>
        <w:t>法获得足够数量的股票时，基金管理人有权通过投资非成份股等进行适当的替代。基金管理</w:t>
      </w:r>
      <w:r>
        <w:rPr>
          <w:spacing w:val="-6"/>
        </w:rPr>
        <w:t>人也可适度投资其他非成份股以增强基金收益。</w:t>
      </w:r>
    </w:p>
    <w:p>
      <w:pPr>
        <w:pStyle w:val="BodyText"/>
        <w:spacing w:before="15"/>
        <w:ind w:left="720"/>
      </w:pPr>
      <w:r>
        <w:rPr>
          <w:rFonts w:ascii="Times New Roman" w:eastAsia="Times New Roman"/>
        </w:rPr>
        <w:t>3</w:t>
      </w:r>
      <w:r>
        <w:rPr/>
        <w:t>、债券投资策略</w:t>
      </w:r>
    </w:p>
    <w:p>
      <w:pPr>
        <w:pStyle w:val="BodyText"/>
        <w:spacing w:before="7"/>
        <w:rPr>
          <w:sz w:val="18"/>
        </w:rPr>
      </w:pPr>
    </w:p>
    <w:p>
      <w:pPr>
        <w:pStyle w:val="BodyText"/>
        <w:spacing w:line="453" w:lineRule="auto"/>
        <w:ind w:left="300" w:right="662" w:firstLine="419"/>
      </w:pPr>
      <w:r>
        <w:rPr>
          <w:spacing w:val="-12"/>
        </w:rPr>
        <w:t>结合对未来市场利率预期运用久期调整策略、收益率曲线配置策略、债券类属配置策略、利差轮动策略等多种积极管理策略，通过严谨的研究发现价值被低估的债券和市场投资机会， </w:t>
      </w:r>
      <w:r>
        <w:rPr>
          <w:spacing w:val="-6"/>
        </w:rPr>
        <w:t>构建收益稳定、流动性良好的债券组合。基金还可参与风险低且可控的债券回购等投资。</w:t>
      </w:r>
    </w:p>
    <w:p>
      <w:pPr>
        <w:pStyle w:val="BodyText"/>
        <w:spacing w:line="265" w:lineRule="exact"/>
        <w:ind w:left="720"/>
      </w:pPr>
      <w:r>
        <w:rPr>
          <w:rFonts w:ascii="Times New Roman" w:eastAsia="Times New Roman"/>
        </w:rPr>
        <w:t>4</w:t>
      </w:r>
      <w:r>
        <w:rPr/>
        <w:t>、衍生品投资策略</w:t>
      </w:r>
    </w:p>
    <w:p>
      <w:pPr>
        <w:pStyle w:val="BodyText"/>
        <w:spacing w:before="3"/>
        <w:rPr>
          <w:sz w:val="17"/>
        </w:rPr>
      </w:pPr>
    </w:p>
    <w:p>
      <w:pPr>
        <w:pStyle w:val="BodyText"/>
        <w:ind w:left="720"/>
      </w:pPr>
      <w:r>
        <w:rPr/>
        <w:t>为了更好地实现投资目标，基金还有权投资于股指期货、股票期权、国债期货。</w:t>
      </w:r>
    </w:p>
    <w:p>
      <w:pPr>
        <w:pStyle w:val="BodyText"/>
        <w:spacing w:before="3"/>
        <w:rPr>
          <w:sz w:val="16"/>
        </w:rPr>
      </w:pPr>
    </w:p>
    <w:p>
      <w:pPr>
        <w:pStyle w:val="BodyText"/>
        <w:spacing w:line="424" w:lineRule="auto"/>
        <w:ind w:left="300" w:right="768" w:firstLine="419"/>
      </w:pPr>
      <w:r>
        <w:rPr>
          <w:spacing w:val="-3"/>
        </w:rPr>
        <w:t>基金投资股指期货、股票期权等衍生工具将根据风险管理的原则，主要选择流动性好、</w:t>
      </w:r>
      <w:r>
        <w:rPr>
          <w:spacing w:val="-10"/>
        </w:rPr>
        <w:t>交易活跃的股指期货、股票期权合约，以提高投资效率，从而更好地跟踪标的指数，实现投</w:t>
      </w:r>
      <w:r>
        <w:rPr>
          <w:spacing w:val="-6"/>
        </w:rPr>
        <w:t>资目标。基金还可适度参与目标 </w:t>
      </w:r>
      <w:r>
        <w:rPr>
          <w:rFonts w:ascii="Times New Roman" w:eastAsia="Times New Roman"/>
        </w:rPr>
        <w:t>ETF </w:t>
      </w:r>
      <w:r>
        <w:rPr>
          <w:spacing w:val="-3"/>
        </w:rPr>
        <w:t>基金份额交易和申购、赎回以及股指期货、股票期权之间的投资操作，以增强基金收益。</w:t>
      </w:r>
    </w:p>
    <w:p>
      <w:pPr>
        <w:pStyle w:val="BodyText"/>
        <w:spacing w:line="424" w:lineRule="auto"/>
        <w:ind w:left="300" w:right="765" w:firstLine="419"/>
      </w:pPr>
      <w:r>
        <w:rPr>
          <w:spacing w:val="-16"/>
        </w:rPr>
        <w:t>本基金投资股票期权，基金管理人将根据审慎原则，建立股票期权交易决策部门或小组， </w:t>
      </w:r>
      <w:r>
        <w:rPr>
          <w:spacing w:val="-7"/>
        </w:rPr>
        <w:t>授权特定的管理人员负责股票期权的投资审批事项，以防范股票期权投资的风险。</w:t>
      </w:r>
    </w:p>
    <w:p>
      <w:pPr>
        <w:pStyle w:val="BodyText"/>
        <w:spacing w:line="424" w:lineRule="auto"/>
        <w:ind w:left="300" w:right="871" w:firstLine="419"/>
      </w:pPr>
      <w:r>
        <w:rPr>
          <w:spacing w:val="-8"/>
        </w:rPr>
        <w:t>基金投资国债期货将本着谨慎的原则，充分考虑其流动性和风险收益特征，适度参与国</w:t>
      </w:r>
      <w:r>
        <w:rPr>
          <w:spacing w:val="-5"/>
        </w:rPr>
        <w:t>债期货投资。</w:t>
      </w:r>
    </w:p>
    <w:p>
      <w:pPr>
        <w:pStyle w:val="BodyText"/>
        <w:spacing w:line="268" w:lineRule="exact"/>
        <w:ind w:left="720"/>
      </w:pPr>
      <w:r>
        <w:rPr>
          <w:rFonts w:ascii="Times New Roman" w:eastAsia="Times New Roman"/>
        </w:rPr>
        <w:t>5</w:t>
      </w:r>
      <w:r>
        <w:rPr/>
        <w:t>、资产支持证券投资策略</w:t>
      </w:r>
    </w:p>
    <w:p>
      <w:pPr>
        <w:pStyle w:val="BodyText"/>
        <w:spacing w:before="11"/>
        <w:rPr>
          <w:sz w:val="15"/>
        </w:rPr>
      </w:pPr>
    </w:p>
    <w:p>
      <w:pPr>
        <w:pStyle w:val="BodyText"/>
        <w:spacing w:line="424" w:lineRule="auto"/>
        <w:ind w:left="300" w:right="76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spacing w:line="265" w:lineRule="exact"/>
        <w:ind w:left="720"/>
      </w:pPr>
      <w:r>
        <w:rPr>
          <w:rFonts w:ascii="Times New Roman" w:eastAsia="Times New Roman"/>
        </w:rPr>
        <w:t>6</w:t>
      </w:r>
      <w:r>
        <w:rPr/>
        <w:t>、参与转融通证券出借业务策略</w:t>
      </w:r>
    </w:p>
    <w:p>
      <w:pPr>
        <w:pStyle w:val="BodyText"/>
        <w:spacing w:before="1"/>
        <w:rPr>
          <w:sz w:val="16"/>
        </w:rPr>
      </w:pPr>
    </w:p>
    <w:p>
      <w:pPr>
        <w:pStyle w:val="BodyText"/>
        <w:spacing w:line="424" w:lineRule="auto"/>
        <w:ind w:left="300" w:right="871" w:firstLine="419"/>
        <w:jc w:val="both"/>
      </w:pPr>
      <w:r>
        <w:rPr>
          <w:spacing w:val="-9"/>
        </w:rPr>
        <w:t>为了更好地实现投资目标，在加强风险防范并遵守审慎原则的前提下，本基金可根据投资管理需要参与转融通证券出借业务。本基金将在分析市场情况、投资者类型与结构、基金</w:t>
      </w:r>
      <w:r>
        <w:rPr>
          <w:spacing w:val="-11"/>
        </w:rPr>
        <w:t>历史申购赎回情况、出借证券流动性情况等因素的基础上，合理确定出借证券的范围、期限</w:t>
      </w:r>
    </w:p>
    <w:p>
      <w:pPr>
        <w:spacing w:after="0" w:line="424" w:lineRule="auto"/>
        <w:jc w:val="both"/>
        <w:sectPr>
          <w:pgSz w:w="11910" w:h="16840"/>
          <w:pgMar w:header="701" w:footer="683" w:top="1420" w:bottom="880" w:left="1500" w:right="920"/>
        </w:sectPr>
      </w:pPr>
    </w:p>
    <w:p>
      <w:pPr>
        <w:pStyle w:val="BodyText"/>
        <w:spacing w:before="115"/>
        <w:ind w:left="300"/>
      </w:pPr>
      <w:r>
        <w:rPr/>
        <w:t>和比例。</w:t>
      </w:r>
    </w:p>
    <w:p>
      <w:pPr>
        <w:pStyle w:val="BodyText"/>
        <w:rPr>
          <w:sz w:val="16"/>
        </w:rPr>
      </w:pPr>
    </w:p>
    <w:p>
      <w:pPr>
        <w:pStyle w:val="BodyText"/>
        <w:spacing w:line="424" w:lineRule="auto" w:before="1"/>
        <w:ind w:left="300" w:right="871" w:firstLine="419"/>
        <w:jc w:val="both"/>
      </w:pPr>
      <w:r>
        <w:rPr>
          <w:spacing w:val="-10"/>
        </w:rPr>
        <w:t>如法律法规或中国证监会允许，本基金还将投资于其他与标的指数或标的指数成份股相</w:t>
      </w:r>
      <w:r>
        <w:rPr>
          <w:spacing w:val="-11"/>
        </w:rPr>
        <w:t>关的金融产品，投资目标是更紧密地跟踪标的指数。基金拟投资于新的金融产品的，需将有</w:t>
      </w:r>
      <w:r>
        <w:rPr>
          <w:spacing w:val="-6"/>
        </w:rPr>
        <w:t>关投资方案通知基金托管人，并在报中国证监会备案后公告。</w:t>
      </w:r>
    </w:p>
    <w:p>
      <w:pPr>
        <w:pStyle w:val="BodyText"/>
        <w:spacing w:line="427" w:lineRule="auto"/>
        <w:ind w:left="300" w:right="871" w:firstLine="419"/>
      </w:pPr>
      <w:r>
        <w:rPr>
          <w:spacing w:val="-11"/>
        </w:rPr>
        <w:t>未来，随着证券市场的发展、金融工具的丰富和交易方式的创新等，基金还将积极寻求</w:t>
      </w:r>
      <w:r>
        <w:rPr>
          <w:spacing w:val="-6"/>
        </w:rPr>
        <w:t>其他投资机会，履行适当程序后更新和丰富基金投资策略。</w:t>
      </w:r>
    </w:p>
    <w:p>
      <w:pPr>
        <w:pStyle w:val="BodyText"/>
        <w:spacing w:line="424" w:lineRule="auto"/>
        <w:ind w:left="300" w:right="871" w:firstLine="419"/>
      </w:pPr>
      <w:r>
        <w:rPr>
          <w:spacing w:val="-4"/>
        </w:rPr>
        <w:t>本基金的风险控制目标是追求日均跟踪偏离度的绝对值不超过 </w:t>
      </w:r>
      <w:r>
        <w:rPr>
          <w:rFonts w:ascii="Times New Roman" w:eastAsia="Times New Roman"/>
          <w:spacing w:val="-11"/>
        </w:rPr>
        <w:t>0.35%</w:t>
      </w:r>
      <w:r>
        <w:rPr>
          <w:spacing w:val="-4"/>
        </w:rPr>
        <w:t>，年跟踪误差不超</w:t>
      </w:r>
      <w:r>
        <w:rPr>
          <w:spacing w:val="-29"/>
        </w:rPr>
        <w:t>过 </w:t>
      </w:r>
      <w:r>
        <w:rPr>
          <w:rFonts w:ascii="Times New Roman" w:eastAsia="Times New Roman"/>
        </w:rPr>
        <w:t>4%</w:t>
      </w:r>
      <w:r>
        <w:rPr/>
        <w:t>。</w:t>
      </w:r>
    </w:p>
    <w:p>
      <w:pPr>
        <w:pStyle w:val="BodyText"/>
        <w:spacing w:line="268" w:lineRule="exact"/>
        <w:ind w:left="720"/>
      </w:pPr>
      <w:r>
        <w:rPr/>
        <w:t>（五）投资程序</w:t>
      </w:r>
    </w:p>
    <w:p>
      <w:pPr>
        <w:pStyle w:val="BodyText"/>
        <w:spacing w:before="5"/>
        <w:rPr>
          <w:sz w:val="15"/>
        </w:rPr>
      </w:pPr>
    </w:p>
    <w:p>
      <w:pPr>
        <w:pStyle w:val="BodyText"/>
        <w:spacing w:line="424" w:lineRule="auto"/>
        <w:ind w:left="300" w:right="871" w:firstLine="419"/>
      </w:pPr>
      <w:r>
        <w:rPr>
          <w:spacing w:val="-12"/>
        </w:rPr>
        <w:t>研究、决策、组合构建、交易、评估、组合维护的有机配合共同构成了本基金的投资管</w:t>
      </w:r>
      <w:r>
        <w:rPr>
          <w:spacing w:val="-6"/>
        </w:rPr>
        <w:t>理程序。严格的投资管理程序可以保证投资理念的正确执行，避免重大风险的发生。</w:t>
      </w:r>
    </w:p>
    <w:p>
      <w:pPr>
        <w:pStyle w:val="BodyText"/>
        <w:spacing w:line="424" w:lineRule="auto"/>
        <w:ind w:left="300" w:right="871" w:firstLine="419"/>
        <w:jc w:val="both"/>
      </w:pPr>
      <w:r>
        <w:rPr>
          <w:rFonts w:ascii="Times New Roman" w:eastAsia="Times New Roman"/>
        </w:rPr>
        <w:t>1</w:t>
      </w:r>
      <w:r>
        <w:rPr>
          <w:spacing w:val="-3"/>
        </w:rPr>
        <w:t>、研究：基金经理小组、研究人员依托公司整体研究平台，整合外部信息以及券商等</w:t>
      </w:r>
      <w:r>
        <w:rPr>
          <w:spacing w:val="-8"/>
        </w:rPr>
        <w:t>外部研究力量的研究成果开展指数跟踪、成份股公司行为等相关信息的搜集与分析、流动性</w:t>
      </w:r>
      <w:r>
        <w:rPr>
          <w:spacing w:val="-5"/>
        </w:rPr>
        <w:t>分析、误差及其归因分析等工作，撰写研究报告，作为基金投资决策的重要依据。</w:t>
      </w:r>
    </w:p>
    <w:p>
      <w:pPr>
        <w:pStyle w:val="BodyText"/>
        <w:spacing w:line="424" w:lineRule="auto"/>
        <w:ind w:left="300" w:right="871" w:firstLine="419"/>
        <w:jc w:val="both"/>
      </w:pPr>
      <w:r>
        <w:rPr>
          <w:rFonts w:ascii="Times New Roman" w:eastAsia="Times New Roman"/>
        </w:rPr>
        <w:t>2</w:t>
      </w:r>
      <w:r>
        <w:rPr>
          <w:spacing w:val="-3"/>
        </w:rPr>
        <w:t>、投资决策：投资决策委员会依据研究报告，定期召开或遇重大事项时召开投资决策</w:t>
      </w:r>
      <w:r>
        <w:rPr>
          <w:spacing w:val="-11"/>
        </w:rPr>
        <w:t>会议，决策相关事项。基金经理小组根据投资决策委员会的决议，每日进行基金投资管理的</w:t>
      </w:r>
      <w:r>
        <w:rPr>
          <w:spacing w:val="-6"/>
        </w:rPr>
        <w:t>日常决策。</w:t>
      </w:r>
    </w:p>
    <w:p>
      <w:pPr>
        <w:pStyle w:val="BodyText"/>
        <w:spacing w:line="424" w:lineRule="auto"/>
        <w:ind w:left="300" w:right="871" w:firstLine="419"/>
        <w:jc w:val="both"/>
      </w:pPr>
      <w:r>
        <w:rPr>
          <w:rFonts w:ascii="Times New Roman" w:eastAsia="Times New Roman"/>
        </w:rPr>
        <w:t>3</w:t>
      </w:r>
      <w:r>
        <w:rPr>
          <w:spacing w:val="-3"/>
        </w:rPr>
        <w:t>、组合构建：根据标的指数，结合研究报告，基金经理小组构建组合。在追求跟踪误</w:t>
      </w:r>
      <w:r>
        <w:rPr>
          <w:spacing w:val="-8"/>
        </w:rPr>
        <w:t>差和偏离度最小化的前提下，基金经理小组将采取适当的方法，以降低买入成本、控制投资风险。</w:t>
      </w:r>
    </w:p>
    <w:p>
      <w:pPr>
        <w:pStyle w:val="BodyText"/>
        <w:spacing w:line="266" w:lineRule="exact"/>
        <w:ind w:left="720"/>
      </w:pPr>
      <w:r>
        <w:rPr>
          <w:rFonts w:ascii="Times New Roman" w:eastAsia="Times New Roman"/>
        </w:rPr>
        <w:t>4</w:t>
      </w:r>
      <w:r>
        <w:rPr/>
        <w:t>、交易执行：交易管理部负责具体执行交易，同时履行一线监控的职责。</w:t>
      </w:r>
    </w:p>
    <w:p>
      <w:pPr>
        <w:pStyle w:val="BodyText"/>
        <w:spacing w:before="12"/>
        <w:rPr>
          <w:sz w:val="15"/>
        </w:rPr>
      </w:pPr>
    </w:p>
    <w:p>
      <w:pPr>
        <w:pStyle w:val="BodyText"/>
        <w:spacing w:line="424" w:lineRule="auto"/>
        <w:ind w:left="300" w:right="871" w:firstLine="419"/>
        <w:jc w:val="both"/>
      </w:pPr>
      <w:r>
        <w:rPr>
          <w:rFonts w:ascii="Times New Roman" w:eastAsia="Times New Roman"/>
        </w:rPr>
        <w:t>5</w:t>
      </w:r>
      <w:r>
        <w:rPr>
          <w:spacing w:val="-3"/>
        </w:rPr>
        <w:t>、投资绩效评估：风险管理部定期和不定期对基金进行投资绩效评估，并提供相关报</w:t>
      </w:r>
      <w:r>
        <w:rPr>
          <w:spacing w:val="-10"/>
        </w:rPr>
        <w:t>告。绩效评估能够确认组合是否实现了投资预期、组合误差的来源及投资策略成功与否，基</w:t>
      </w:r>
      <w:r>
        <w:rPr>
          <w:spacing w:val="-5"/>
        </w:rPr>
        <w:t>金经理小组可以据此检讨投资策略，进而调整投资组合。</w:t>
      </w:r>
    </w:p>
    <w:p>
      <w:pPr>
        <w:pStyle w:val="BodyText"/>
        <w:spacing w:line="424" w:lineRule="auto"/>
        <w:ind w:left="300" w:right="871" w:firstLine="419"/>
        <w:jc w:val="both"/>
      </w:pPr>
      <w:r>
        <w:rPr>
          <w:rFonts w:ascii="Times New Roman" w:eastAsia="Times New Roman"/>
        </w:rPr>
        <w:t>6</w:t>
      </w:r>
      <w:r>
        <w:rPr>
          <w:spacing w:val="-3"/>
        </w:rPr>
        <w:t>、组合监控与调整：基金经理小组将跟踪标的指数变动，结合成份股基本面情况、流</w:t>
      </w:r>
      <w:r>
        <w:rPr>
          <w:spacing w:val="-11"/>
        </w:rPr>
        <w:t>动性状况、基金申购和赎回的现金流量情况以及组合投资绩效评估的结果，对投资组合进行</w:t>
      </w:r>
      <w:r>
        <w:rPr>
          <w:spacing w:val="-6"/>
        </w:rPr>
        <w:t>监控和调整，密切跟踪标的指数。</w:t>
      </w:r>
    </w:p>
    <w:p>
      <w:pPr>
        <w:pStyle w:val="BodyText"/>
        <w:spacing w:line="266" w:lineRule="exact"/>
        <w:ind w:left="720"/>
      </w:pPr>
      <w:r>
        <w:rPr/>
        <w:t>（六）投资限制</w:t>
      </w:r>
    </w:p>
    <w:p>
      <w:pPr>
        <w:pStyle w:val="BodyText"/>
        <w:spacing w:before="11"/>
        <w:rPr>
          <w:sz w:val="15"/>
        </w:rPr>
      </w:pPr>
    </w:p>
    <w:p>
      <w:pPr>
        <w:pStyle w:val="BodyText"/>
        <w:ind w:left="720"/>
      </w:pPr>
      <w:r>
        <w:rPr>
          <w:rFonts w:ascii="Times New Roman" w:eastAsia="Times New Roman"/>
        </w:rPr>
        <w:t>1</w:t>
      </w:r>
      <w:r>
        <w:rPr/>
        <w:t>、禁止行为</w:t>
      </w:r>
    </w:p>
    <w:p>
      <w:pPr>
        <w:spacing w:after="0"/>
        <w:sectPr>
          <w:pgSz w:w="11910" w:h="16840"/>
          <w:pgMar w:header="701" w:footer="683" w:top="1420" w:bottom="880" w:left="1500" w:right="920"/>
        </w:sectPr>
      </w:pPr>
    </w:p>
    <w:p>
      <w:pPr>
        <w:pStyle w:val="BodyText"/>
        <w:spacing w:before="115"/>
        <w:ind w:left="720"/>
      </w:pPr>
      <w:r>
        <w:rPr/>
        <w:t>为维护基金份额持有人的合法权益，本基金禁止从事下列行为：</w:t>
      </w:r>
    </w:p>
    <w:p>
      <w:pPr>
        <w:pStyle w:val="BodyText"/>
        <w:rPr>
          <w:sz w:val="16"/>
        </w:rPr>
      </w:pPr>
    </w:p>
    <w:p>
      <w:pPr>
        <w:pStyle w:val="ListParagraph"/>
        <w:numPr>
          <w:ilvl w:val="0"/>
          <w:numId w:val="25"/>
        </w:numPr>
        <w:tabs>
          <w:tab w:pos="1250" w:val="left" w:leader="none"/>
        </w:tabs>
        <w:spacing w:line="240" w:lineRule="auto" w:before="1" w:after="0"/>
        <w:ind w:left="1249" w:right="0" w:hanging="530"/>
        <w:jc w:val="left"/>
        <w:rPr>
          <w:sz w:val="21"/>
        </w:rPr>
      </w:pPr>
      <w:r>
        <w:rPr>
          <w:spacing w:val="-3"/>
          <w:sz w:val="21"/>
        </w:rPr>
        <w:t>承销证券；</w:t>
      </w:r>
    </w:p>
    <w:p>
      <w:pPr>
        <w:pStyle w:val="BodyText"/>
        <w:spacing w:before="1"/>
        <w:rPr>
          <w:sz w:val="16"/>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违反规定向他人贷款或提供担保；</w:t>
      </w:r>
    </w:p>
    <w:p>
      <w:pPr>
        <w:pStyle w:val="BodyText"/>
        <w:spacing w:before="1"/>
        <w:rPr>
          <w:sz w:val="16"/>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从事承担无限责任的投资；</w:t>
      </w:r>
    </w:p>
    <w:p>
      <w:pPr>
        <w:pStyle w:val="BodyText"/>
        <w:spacing w:before="1"/>
        <w:rPr>
          <w:sz w:val="16"/>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向基金管理人、基金托管人出资；</w:t>
      </w:r>
    </w:p>
    <w:p>
      <w:pPr>
        <w:pStyle w:val="BodyText"/>
        <w:spacing w:before="3"/>
        <w:rPr>
          <w:sz w:val="16"/>
        </w:rPr>
      </w:pPr>
    </w:p>
    <w:p>
      <w:pPr>
        <w:pStyle w:val="ListParagraph"/>
        <w:numPr>
          <w:ilvl w:val="0"/>
          <w:numId w:val="25"/>
        </w:numPr>
        <w:tabs>
          <w:tab w:pos="1250" w:val="left" w:leader="none"/>
        </w:tabs>
        <w:spacing w:line="240" w:lineRule="auto" w:before="1" w:after="0"/>
        <w:ind w:left="1249" w:right="0" w:hanging="530"/>
        <w:jc w:val="left"/>
        <w:rPr>
          <w:sz w:val="21"/>
        </w:rPr>
      </w:pPr>
      <w:r>
        <w:rPr>
          <w:spacing w:val="-3"/>
          <w:sz w:val="21"/>
        </w:rPr>
        <w:t>从事内幕交易、操纵证券价格及其他不正当的证券交易活动；</w:t>
      </w:r>
    </w:p>
    <w:p>
      <w:pPr>
        <w:pStyle w:val="BodyText"/>
        <w:spacing w:before="1"/>
        <w:rPr>
          <w:sz w:val="16"/>
        </w:rPr>
      </w:pPr>
    </w:p>
    <w:p>
      <w:pPr>
        <w:pStyle w:val="ListParagraph"/>
        <w:numPr>
          <w:ilvl w:val="0"/>
          <w:numId w:val="25"/>
        </w:numPr>
        <w:tabs>
          <w:tab w:pos="1250" w:val="left" w:leader="none"/>
        </w:tabs>
        <w:spacing w:line="240" w:lineRule="auto" w:before="0" w:after="0"/>
        <w:ind w:left="1249" w:right="0" w:hanging="530"/>
        <w:jc w:val="left"/>
        <w:rPr>
          <w:sz w:val="21"/>
        </w:rPr>
      </w:pPr>
      <w:r>
        <w:rPr>
          <w:spacing w:val="-3"/>
          <w:sz w:val="21"/>
        </w:rPr>
        <w:t>法律、行政法规和国务院证券监督管理机构规定禁止从事的其他行为。</w:t>
      </w:r>
    </w:p>
    <w:p>
      <w:pPr>
        <w:pStyle w:val="BodyText"/>
        <w:spacing w:before="1"/>
        <w:rPr>
          <w:sz w:val="16"/>
        </w:rPr>
      </w:pPr>
    </w:p>
    <w:p>
      <w:pPr>
        <w:pStyle w:val="BodyText"/>
        <w:spacing w:line="424" w:lineRule="auto"/>
        <w:ind w:left="300" w:right="871" w:firstLine="419"/>
      </w:pPr>
      <w:r>
        <w:rPr>
          <w:spacing w:val="-8"/>
        </w:rPr>
        <w:t>如法律法规或监管部门修改或取消上述禁止性规定，本基金管理人在履行适当程序后可</w:t>
      </w:r>
      <w:r>
        <w:rPr>
          <w:spacing w:val="-5"/>
        </w:rPr>
        <w:t>相应调整投资禁止行为的规定，不受上述规定的限制。</w:t>
      </w:r>
    </w:p>
    <w:p>
      <w:pPr>
        <w:pStyle w:val="BodyText"/>
        <w:spacing w:line="267" w:lineRule="exact"/>
        <w:ind w:left="720"/>
      </w:pPr>
      <w:r>
        <w:rPr>
          <w:rFonts w:ascii="Times New Roman" w:eastAsia="Times New Roman"/>
        </w:rPr>
        <w:t>2</w:t>
      </w:r>
      <w:r>
        <w:rPr/>
        <w:t>、投资组合限制</w:t>
      </w:r>
    </w:p>
    <w:p>
      <w:pPr>
        <w:pStyle w:val="BodyText"/>
        <w:spacing w:before="1"/>
        <w:rPr>
          <w:sz w:val="16"/>
        </w:rPr>
      </w:pPr>
    </w:p>
    <w:p>
      <w:pPr>
        <w:pStyle w:val="BodyText"/>
        <w:spacing w:before="1"/>
        <w:ind w:left="720"/>
      </w:pPr>
      <w:r>
        <w:rPr/>
        <w:t>本基金的投资组合将遵循以下限制：</w:t>
      </w:r>
    </w:p>
    <w:p>
      <w:pPr>
        <w:pStyle w:val="BodyText"/>
        <w:spacing w:before="1"/>
        <w:rPr>
          <w:sz w:val="16"/>
        </w:rPr>
      </w:pPr>
    </w:p>
    <w:p>
      <w:pPr>
        <w:pStyle w:val="ListParagraph"/>
        <w:numPr>
          <w:ilvl w:val="0"/>
          <w:numId w:val="26"/>
        </w:numPr>
        <w:tabs>
          <w:tab w:pos="1250" w:val="left" w:leader="none"/>
        </w:tabs>
        <w:spacing w:line="424" w:lineRule="auto" w:before="0" w:after="0"/>
        <w:ind w:left="300" w:right="874" w:firstLine="419"/>
        <w:jc w:val="left"/>
        <w:rPr>
          <w:sz w:val="21"/>
        </w:rPr>
      </w:pPr>
      <w:r>
        <w:rPr>
          <w:spacing w:val="-3"/>
          <w:sz w:val="21"/>
        </w:rPr>
        <w:t>本基金财产参与股票发行申购，所申报的金额不得超过本基金的总资产，所申报的股票数量不得超过拟发行股票公司本次发行股票的总量；</w:t>
      </w:r>
    </w:p>
    <w:p>
      <w:pPr>
        <w:pStyle w:val="ListParagraph"/>
        <w:numPr>
          <w:ilvl w:val="0"/>
          <w:numId w:val="26"/>
        </w:numPr>
        <w:tabs>
          <w:tab w:pos="1250" w:val="left" w:leader="none"/>
        </w:tabs>
        <w:spacing w:line="424" w:lineRule="auto" w:before="0" w:after="0"/>
        <w:ind w:left="300" w:right="871" w:firstLine="419"/>
        <w:jc w:val="both"/>
        <w:rPr>
          <w:sz w:val="21"/>
        </w:rPr>
      </w:pPr>
      <w:r>
        <w:rPr>
          <w:spacing w:val="-3"/>
          <w:sz w:val="21"/>
        </w:rPr>
        <w:t>每个交易日日终在扣除股指期货、国债期货和股票期权合约需缴纳的交易保证金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26"/>
        </w:numPr>
        <w:tabs>
          <w:tab w:pos="1250" w:val="left" w:leader="none"/>
        </w:tabs>
        <w:spacing w:line="424" w:lineRule="auto" w:before="0" w:after="0"/>
        <w:ind w:left="300" w:right="770" w:firstLine="419"/>
        <w:jc w:val="left"/>
        <w:rPr>
          <w:sz w:val="21"/>
        </w:rPr>
      </w:pPr>
      <w:r>
        <w:rPr>
          <w:spacing w:val="1"/>
          <w:sz w:val="21"/>
        </w:rPr>
        <w:t>本基金主动投资于流动性受限资产的市值合计不得超过本基金资产净值的 </w:t>
      </w:r>
      <w:r>
        <w:rPr>
          <w:rFonts w:ascii="Times New Roman" w:eastAsia="Times New Roman"/>
          <w:sz w:val="21"/>
        </w:rPr>
        <w:t>15%</w:t>
      </w:r>
      <w:r>
        <w:rPr>
          <w:spacing w:val="-16"/>
          <w:sz w:val="21"/>
        </w:rPr>
        <w:t>。</w:t>
      </w:r>
      <w:r>
        <w:rPr>
          <w:spacing w:val="-12"/>
          <w:sz w:val="21"/>
        </w:rPr>
        <w:t>因证券市场波动、上市公司股票停牌、基金规模变动等基金管理人之外的因素致使基金不符</w:t>
      </w:r>
      <w:r>
        <w:rPr>
          <w:spacing w:val="-6"/>
          <w:sz w:val="21"/>
        </w:rPr>
        <w:t>合前述所规定比例限制的，基金管理人不得主动新增流动性受限资产的投资；</w:t>
      </w:r>
    </w:p>
    <w:p>
      <w:pPr>
        <w:pStyle w:val="ListParagraph"/>
        <w:numPr>
          <w:ilvl w:val="0"/>
          <w:numId w:val="26"/>
        </w:numPr>
        <w:tabs>
          <w:tab w:pos="1250" w:val="left" w:leader="none"/>
        </w:tabs>
        <w:spacing w:line="252" w:lineRule="exact" w:before="0" w:after="0"/>
        <w:ind w:left="1249" w:right="0" w:hanging="530"/>
        <w:jc w:val="left"/>
        <w:rPr>
          <w:sz w:val="21"/>
        </w:rPr>
      </w:pPr>
      <w:r>
        <w:rPr>
          <w:spacing w:val="-3"/>
          <w:sz w:val="21"/>
        </w:rPr>
        <w:t>本基金与私募类证券资管产品及中国证监会认定的其他主体为交易对手开展逆回</w:t>
      </w:r>
    </w:p>
    <w:p>
      <w:pPr>
        <w:pStyle w:val="BodyText"/>
        <w:spacing w:before="172"/>
        <w:ind w:left="300"/>
      </w:pPr>
      <w:r>
        <w:rPr/>
        <w:t>购交易的，可接受质押品的资质要求应当与基金合同约定的投资范围保持一致；</w:t>
      </w:r>
    </w:p>
    <w:p>
      <w:pPr>
        <w:pStyle w:val="ListParagraph"/>
        <w:numPr>
          <w:ilvl w:val="0"/>
          <w:numId w:val="26"/>
        </w:numPr>
        <w:tabs>
          <w:tab w:pos="1250" w:val="left" w:leader="none"/>
        </w:tabs>
        <w:spacing w:line="396" w:lineRule="auto" w:before="176" w:after="0"/>
        <w:ind w:left="300" w:right="874" w:firstLine="419"/>
        <w:jc w:val="both"/>
        <w:rPr>
          <w:sz w:val="21"/>
        </w:rPr>
      </w:pPr>
      <w:r>
        <w:rPr>
          <w:spacing w:val="-3"/>
          <w:sz w:val="21"/>
        </w:rPr>
        <w:t>本基金在任何交易日日终，持有的买入股指期货合约价值，不得超过基金资产净</w:t>
      </w:r>
      <w:r>
        <w:rPr>
          <w:spacing w:val="10"/>
          <w:sz w:val="21"/>
        </w:rPr>
        <w:t>值的 </w:t>
      </w:r>
      <w:r>
        <w:rPr>
          <w:rFonts w:ascii="Times New Roman" w:eastAsia="Times New Roman"/>
          <w:sz w:val="21"/>
        </w:rPr>
        <w:t>10%</w:t>
      </w:r>
      <w:r>
        <w:rPr>
          <w:spacing w:val="-1"/>
          <w:sz w:val="21"/>
        </w:rPr>
        <w:t>；在任何交易日日终，持有的卖出期货合约价值不得超过基金持有的股票总市值</w:t>
      </w:r>
      <w:r>
        <w:rPr>
          <w:spacing w:val="19"/>
          <w:sz w:val="21"/>
        </w:rPr>
        <w:t>的 </w:t>
      </w:r>
      <w:r>
        <w:rPr>
          <w:rFonts w:ascii="Times New Roman" w:eastAsia="Times New Roman"/>
          <w:sz w:val="21"/>
        </w:rPr>
        <w:t>20%</w:t>
      </w:r>
      <w:r>
        <w:rPr>
          <w:sz w:val="21"/>
        </w:rPr>
        <w:t>，在任何交易日内交易（不包括平仓）</w:t>
      </w:r>
      <w:r>
        <w:rPr>
          <w:spacing w:val="-1"/>
          <w:sz w:val="21"/>
        </w:rPr>
        <w:t>的股指期货合约的成交金额不得超过上一交</w:t>
      </w:r>
      <w:r>
        <w:rPr>
          <w:spacing w:val="-8"/>
          <w:sz w:val="21"/>
        </w:rPr>
        <w:t>易日基金资产净值的 </w:t>
      </w:r>
      <w:r>
        <w:rPr>
          <w:rFonts w:ascii="Times New Roman" w:eastAsia="Times New Roman"/>
          <w:sz w:val="21"/>
        </w:rPr>
        <w:t>20%</w:t>
      </w:r>
      <w:r>
        <w:rPr>
          <w:sz w:val="21"/>
        </w:rPr>
        <w:t>；</w:t>
      </w:r>
    </w:p>
    <w:p>
      <w:pPr>
        <w:pStyle w:val="ListParagraph"/>
        <w:numPr>
          <w:ilvl w:val="0"/>
          <w:numId w:val="26"/>
        </w:numPr>
        <w:tabs>
          <w:tab w:pos="1250" w:val="left" w:leader="none"/>
        </w:tabs>
        <w:spacing w:line="396" w:lineRule="auto" w:before="0" w:after="0"/>
        <w:ind w:left="300" w:right="874" w:firstLine="419"/>
        <w:jc w:val="both"/>
        <w:rPr>
          <w:sz w:val="21"/>
        </w:rPr>
      </w:pPr>
      <w:r>
        <w:rPr>
          <w:spacing w:val="-3"/>
          <w:sz w:val="21"/>
        </w:rPr>
        <w:t>基金在任何交易日日终，持有的买入国债期货合约价值，不得超过基金资产净值</w:t>
      </w:r>
      <w:r>
        <w:rPr>
          <w:spacing w:val="18"/>
          <w:sz w:val="21"/>
        </w:rPr>
        <w:t>的 </w:t>
      </w:r>
      <w:r>
        <w:rPr>
          <w:rFonts w:ascii="Times New Roman" w:eastAsia="Times New Roman"/>
          <w:sz w:val="21"/>
        </w:rPr>
        <w:t>15%</w:t>
      </w:r>
      <w:r>
        <w:rPr>
          <w:spacing w:val="-1"/>
          <w:sz w:val="21"/>
        </w:rPr>
        <w:t>；基金在任何交易日日终，持有的卖出国债期货合约价值不得超过基金持有的债券</w:t>
      </w:r>
      <w:r>
        <w:rPr>
          <w:spacing w:val="7"/>
          <w:sz w:val="21"/>
        </w:rPr>
        <w:t>总市值的 </w:t>
      </w:r>
      <w:r>
        <w:rPr>
          <w:rFonts w:ascii="Times New Roman" w:eastAsia="Times New Roman"/>
          <w:sz w:val="21"/>
        </w:rPr>
        <w:t>30%</w:t>
      </w:r>
      <w:r>
        <w:rPr>
          <w:sz w:val="21"/>
        </w:rPr>
        <w:t>；基金在任何交易日内交易（不包括平仓）</w:t>
      </w:r>
      <w:r>
        <w:rPr>
          <w:spacing w:val="-2"/>
          <w:sz w:val="21"/>
        </w:rPr>
        <w:t>的国债期货合约的成交金额不得</w:t>
      </w:r>
      <w:r>
        <w:rPr>
          <w:spacing w:val="-7"/>
          <w:sz w:val="21"/>
        </w:rPr>
        <w:t>超过上一交易日基金资产净值的 </w:t>
      </w:r>
      <w:r>
        <w:rPr>
          <w:rFonts w:ascii="Times New Roman" w:eastAsia="Times New Roman"/>
          <w:sz w:val="21"/>
        </w:rPr>
        <w:t>30%</w:t>
      </w:r>
      <w:r>
        <w:rPr>
          <w:sz w:val="21"/>
        </w:rPr>
        <w:t>；</w:t>
      </w:r>
    </w:p>
    <w:p>
      <w:pPr>
        <w:pStyle w:val="ListParagraph"/>
        <w:numPr>
          <w:ilvl w:val="0"/>
          <w:numId w:val="26"/>
        </w:numPr>
        <w:tabs>
          <w:tab w:pos="1250" w:val="left" w:leader="none"/>
        </w:tabs>
        <w:spacing w:line="267" w:lineRule="exact" w:before="0" w:after="0"/>
        <w:ind w:left="1249" w:right="0" w:hanging="530"/>
        <w:jc w:val="left"/>
        <w:rPr>
          <w:sz w:val="21"/>
        </w:rPr>
      </w:pPr>
      <w:r>
        <w:rPr>
          <w:spacing w:val="-3"/>
          <w:sz w:val="21"/>
        </w:rPr>
        <w:t>在任何交易日日终，持有的买入股指期货和国债期货合约价值与有价证券市值之</w:t>
      </w:r>
    </w:p>
    <w:p>
      <w:pPr>
        <w:spacing w:after="0" w:line="267" w:lineRule="exact"/>
        <w:jc w:val="left"/>
        <w:rPr>
          <w:sz w:val="21"/>
        </w:rPr>
        <w:sectPr>
          <w:pgSz w:w="11910" w:h="16840"/>
          <w:pgMar w:header="701" w:footer="683" w:top="1420" w:bottom="880" w:left="1500" w:right="920"/>
        </w:sectPr>
      </w:pPr>
    </w:p>
    <w:p>
      <w:pPr>
        <w:pStyle w:val="BodyText"/>
        <w:spacing w:before="100"/>
        <w:ind w:left="300"/>
      </w:pPr>
      <w:r>
        <w:rPr/>
        <w:t>和，不得超过基金资产净值的 </w:t>
      </w:r>
      <w:r>
        <w:rPr>
          <w:rFonts w:ascii="Times New Roman" w:eastAsia="Times New Roman"/>
        </w:rPr>
        <w:t>100%</w:t>
      </w:r>
      <w:r>
        <w:rPr/>
        <w:t>；</w:t>
      </w:r>
    </w:p>
    <w:p>
      <w:pPr>
        <w:pStyle w:val="ListParagraph"/>
        <w:numPr>
          <w:ilvl w:val="0"/>
          <w:numId w:val="26"/>
        </w:numPr>
        <w:tabs>
          <w:tab w:pos="1250" w:val="left" w:leader="none"/>
        </w:tabs>
        <w:spacing w:line="396" w:lineRule="auto" w:before="175" w:after="0"/>
        <w:ind w:left="300" w:right="765"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w:t>
      </w:r>
      <w:r>
        <w:rPr>
          <w:spacing w:val="-7"/>
          <w:sz w:val="21"/>
        </w:rPr>
        <w:t>所需的全额现金或交易所规则认可的可冲抵期权保证金的现金等价物；未平仓的期权合约面值不得超过基金资产净值的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6"/>
        </w:numPr>
        <w:tabs>
          <w:tab w:pos="1250" w:val="left" w:leader="none"/>
        </w:tabs>
        <w:spacing w:line="240" w:lineRule="auto" w:before="0" w:after="0"/>
        <w:ind w:left="1249" w:right="0" w:hanging="530"/>
        <w:jc w:val="left"/>
        <w:rPr>
          <w:sz w:val="21"/>
        </w:rPr>
      </w:pPr>
      <w:r>
        <w:rPr>
          <w:spacing w:val="-3"/>
          <w:sz w:val="21"/>
        </w:rPr>
        <w:t>本基金参与转融通证券出借业务的，应当符合下列要求：</w:t>
      </w:r>
    </w:p>
    <w:p>
      <w:pPr>
        <w:pStyle w:val="BodyText"/>
        <w:spacing w:line="396" w:lineRule="auto" w:before="173"/>
        <w:ind w:left="300" w:right="765" w:firstLine="419"/>
      </w:pPr>
      <w:r>
        <w:rPr>
          <w:spacing w:val="-6"/>
        </w:rPr>
        <w:t>①出借证券资产不得超过基金资产净值的 </w:t>
      </w:r>
      <w:r>
        <w:rPr>
          <w:rFonts w:ascii="Times New Roman" w:hAnsi="Times New Roman" w:eastAsia="Times New Roman"/>
          <w:spacing w:val="-3"/>
        </w:rPr>
        <w:t>30%</w:t>
      </w:r>
      <w:r>
        <w:rPr>
          <w:spacing w:val="-9"/>
        </w:rPr>
        <w:t>，出借期限在 </w:t>
      </w:r>
      <w:r>
        <w:rPr>
          <w:rFonts w:ascii="Times New Roman" w:hAnsi="Times New Roman" w:eastAsia="Times New Roman"/>
        </w:rPr>
        <w:t>10 </w:t>
      </w:r>
      <w:r>
        <w:rPr>
          <w:spacing w:val="-3"/>
        </w:rPr>
        <w:t>个交易日以上的出借证</w:t>
      </w:r>
      <w:r>
        <w:rPr>
          <w:spacing w:val="-17"/>
        </w:rPr>
        <w:t>券应纳入《公开募集开放式证券投资基金流动性风险管理规定》所述流动性受限证券的范围；</w:t>
      </w:r>
    </w:p>
    <w:p>
      <w:pPr>
        <w:pStyle w:val="BodyText"/>
        <w:ind w:left="720"/>
      </w:pPr>
      <w:r>
        <w:rPr/>
        <w:t>②单只证券不得超过基金持有该证券总量的 </w:t>
      </w:r>
      <w:r>
        <w:rPr>
          <w:rFonts w:ascii="Times New Roman" w:hAnsi="Times New Roman" w:eastAsia="Times New Roman"/>
        </w:rPr>
        <w:t>50%</w:t>
      </w:r>
      <w:r>
        <w:rPr/>
        <w:t>；</w:t>
      </w:r>
    </w:p>
    <w:p>
      <w:pPr>
        <w:pStyle w:val="BodyText"/>
        <w:spacing w:before="175"/>
        <w:ind w:left="720"/>
      </w:pPr>
      <w:r>
        <w:rPr/>
        <w:t>③最近 </w:t>
      </w:r>
      <w:r>
        <w:rPr>
          <w:rFonts w:ascii="Times New Roman" w:hAnsi="Times New Roman" w:eastAsia="Times New Roman"/>
        </w:rPr>
        <w:t>6 </w:t>
      </w:r>
      <w:r>
        <w:rPr/>
        <w:t>个月内日均基金资产净值不得低于 </w:t>
      </w:r>
      <w:r>
        <w:rPr>
          <w:rFonts w:ascii="Times New Roman" w:hAnsi="Times New Roman" w:eastAsia="Times New Roman"/>
        </w:rPr>
        <w:t>2 </w:t>
      </w:r>
      <w:r>
        <w:rPr/>
        <w:t>亿元；</w:t>
      </w:r>
    </w:p>
    <w:p>
      <w:pPr>
        <w:pStyle w:val="BodyText"/>
        <w:spacing w:before="175"/>
        <w:ind w:left="720"/>
      </w:pPr>
      <w:r>
        <w:rPr/>
        <w:t>④证券出借的平均剩余期限不得超过 </w:t>
      </w:r>
      <w:r>
        <w:rPr>
          <w:rFonts w:ascii="Times New Roman" w:hAnsi="Times New Roman" w:eastAsia="Times New Roman"/>
        </w:rPr>
        <w:t>30 </w:t>
      </w:r>
      <w:r>
        <w:rPr/>
        <w:t>天，平均剩余期限按照市值加权平均计算。</w:t>
      </w:r>
    </w:p>
    <w:p>
      <w:pPr>
        <w:pStyle w:val="ListParagraph"/>
        <w:numPr>
          <w:ilvl w:val="0"/>
          <w:numId w:val="26"/>
        </w:numPr>
        <w:tabs>
          <w:tab w:pos="1355" w:val="left" w:leader="none"/>
        </w:tabs>
        <w:spacing w:line="240" w:lineRule="auto" w:before="190" w:after="0"/>
        <w:ind w:left="1355" w:right="0" w:hanging="635"/>
        <w:jc w:val="left"/>
        <w:rPr>
          <w:sz w:val="21"/>
        </w:rPr>
      </w:pPr>
      <w:r>
        <w:rPr>
          <w:spacing w:val="-3"/>
          <w:sz w:val="21"/>
        </w:rPr>
        <w:t>本基金不得违反《基金合同》关于投资范围和投资比例的约定；</w:t>
      </w:r>
    </w:p>
    <w:p>
      <w:pPr>
        <w:pStyle w:val="BodyText"/>
        <w:spacing w:before="1"/>
        <w:rPr>
          <w:sz w:val="16"/>
        </w:rPr>
      </w:pPr>
    </w:p>
    <w:p>
      <w:pPr>
        <w:pStyle w:val="ListParagraph"/>
        <w:numPr>
          <w:ilvl w:val="0"/>
          <w:numId w:val="26"/>
        </w:numPr>
        <w:tabs>
          <w:tab w:pos="1346" w:val="left" w:leader="none"/>
        </w:tabs>
        <w:spacing w:line="240" w:lineRule="auto" w:before="0" w:after="0"/>
        <w:ind w:left="1345" w:right="0" w:hanging="626"/>
        <w:jc w:val="left"/>
        <w:rPr>
          <w:sz w:val="21"/>
        </w:rPr>
      </w:pPr>
      <w:r>
        <w:rPr>
          <w:spacing w:val="-3"/>
          <w:sz w:val="21"/>
        </w:rPr>
        <w:t>相关法律法规以及监管部门规定的其他投资限制。</w:t>
      </w:r>
    </w:p>
    <w:p>
      <w:pPr>
        <w:pStyle w:val="BodyText"/>
        <w:spacing w:before="1"/>
        <w:rPr>
          <w:sz w:val="16"/>
        </w:rPr>
      </w:pPr>
    </w:p>
    <w:p>
      <w:pPr>
        <w:pStyle w:val="ListParagraph"/>
        <w:numPr>
          <w:ilvl w:val="0"/>
          <w:numId w:val="26"/>
        </w:numPr>
        <w:tabs>
          <w:tab w:pos="1355" w:val="left" w:leader="none"/>
        </w:tabs>
        <w:spacing w:line="424" w:lineRule="auto" w:before="0" w:after="0"/>
        <w:ind w:left="300" w:right="871" w:firstLine="419"/>
        <w:jc w:val="left"/>
        <w:rPr>
          <w:sz w:val="21"/>
        </w:rPr>
      </w:pPr>
      <w:r>
        <w:rPr>
          <w:spacing w:val="-5"/>
          <w:sz w:val="21"/>
        </w:rPr>
        <w:t>以后如有法律法规或监管机构允许基金投资的其他品种</w:t>
      </w:r>
      <w:r>
        <w:rPr>
          <w:sz w:val="21"/>
        </w:rPr>
        <w:t>（</w:t>
      </w:r>
      <w:r>
        <w:rPr>
          <w:spacing w:val="-3"/>
          <w:sz w:val="21"/>
        </w:rPr>
        <w:t>包括但不限于股指期</w:t>
      </w:r>
      <w:r>
        <w:rPr>
          <w:w w:val="100"/>
          <w:sz w:val="21"/>
        </w:rPr>
        <w:t>权</w:t>
      </w:r>
      <w:r>
        <w:rPr>
          <w:spacing w:val="-3"/>
          <w:w w:val="100"/>
          <w:sz w:val="21"/>
        </w:rPr>
        <w:t>等金融衍生产品</w:t>
      </w:r>
      <w:r>
        <w:rPr>
          <w:spacing w:val="-106"/>
          <w:w w:val="100"/>
          <w:sz w:val="21"/>
        </w:rPr>
        <w:t>）</w:t>
      </w:r>
      <w:r>
        <w:rPr>
          <w:spacing w:val="-3"/>
          <w:w w:val="100"/>
          <w:sz w:val="21"/>
        </w:rPr>
        <w:t>，投资比例将遵从法律法规或监管机构的规定。</w:t>
      </w:r>
    </w:p>
    <w:p>
      <w:pPr>
        <w:pStyle w:val="BodyText"/>
        <w:spacing w:line="424" w:lineRule="auto" w:before="1"/>
        <w:ind w:left="300" w:right="768" w:firstLine="419"/>
      </w:pPr>
      <w:r>
        <w:rPr/>
        <w:t>《基金法》及其他有关法律法规或监管部门修改或取消上述限制的，履行适当程序后， 本基金可相应调整投资组合限制的规定，不受上述限制。</w:t>
      </w:r>
    </w:p>
    <w:p>
      <w:pPr>
        <w:pStyle w:val="BodyText"/>
        <w:spacing w:line="424" w:lineRule="auto"/>
        <w:ind w:left="300" w:right="871" w:firstLine="419"/>
        <w:jc w:val="both"/>
      </w:pPr>
      <w:r>
        <w:rPr>
          <w:w w:val="100"/>
        </w:rPr>
        <w:t>除第</w:t>
      </w:r>
      <w:r>
        <w:rPr>
          <w:spacing w:val="2"/>
          <w:w w:val="100"/>
        </w:rPr>
        <w:t>（</w:t>
      </w:r>
      <w:r>
        <w:rPr>
          <w:rFonts w:ascii="Times New Roman" w:eastAsia="Times New Roman"/>
          <w:w w:val="100"/>
        </w:rPr>
        <w:t>2</w:t>
      </w:r>
      <w:r>
        <w:rPr>
          <w:spacing w:val="-106"/>
          <w:w w:val="100"/>
        </w:rPr>
        <w:t>）、</w:t>
      </w:r>
      <w:r>
        <w:rPr>
          <w:spacing w:val="2"/>
          <w:w w:val="100"/>
        </w:rPr>
        <w:t>（</w:t>
      </w:r>
      <w:r>
        <w:rPr>
          <w:rFonts w:ascii="Times New Roman" w:eastAsia="Times New Roman"/>
          <w:w w:val="100"/>
        </w:rPr>
        <w:t>3</w:t>
      </w:r>
      <w:r>
        <w:rPr>
          <w:spacing w:val="-106"/>
          <w:w w:val="100"/>
        </w:rPr>
        <w:t>）、</w:t>
      </w:r>
      <w:r>
        <w:rPr>
          <w:spacing w:val="3"/>
          <w:w w:val="100"/>
        </w:rPr>
        <w:t>（</w:t>
      </w:r>
      <w:r>
        <w:rPr>
          <w:rFonts w:ascii="Times New Roman" w:eastAsia="Times New Roman"/>
          <w:w w:val="100"/>
        </w:rPr>
        <w:t>4</w:t>
      </w:r>
      <w:r>
        <w:rPr>
          <w:spacing w:val="-106"/>
          <w:w w:val="100"/>
        </w:rPr>
        <w:t>）、</w:t>
      </w:r>
      <w:r>
        <w:rPr>
          <w:spacing w:val="2"/>
          <w:w w:val="100"/>
        </w:rPr>
        <w:t>（</w:t>
      </w:r>
      <w:r>
        <w:rPr>
          <w:rFonts w:ascii="Times New Roman" w:eastAsia="Times New Roman"/>
          <w:w w:val="100"/>
        </w:rPr>
        <w:t>9</w:t>
      </w:r>
      <w:r>
        <w:rPr>
          <w:w w:val="100"/>
        </w:rPr>
        <w:t>）项另有约定外，由于证券</w:t>
      </w:r>
      <w:r>
        <w:rPr>
          <w:rFonts w:ascii="Times New Roman" w:eastAsia="Times New Roman"/>
          <w:spacing w:val="-2"/>
          <w:w w:val="100"/>
        </w:rPr>
        <w:t>/</w:t>
      </w:r>
      <w:r>
        <w:rPr>
          <w:spacing w:val="-1"/>
          <w:w w:val="100"/>
        </w:rPr>
        <w:t>期货市场波动、上市公司合并、</w:t>
      </w:r>
      <w:r>
        <w:rPr>
          <w:spacing w:val="-4"/>
        </w:rPr>
        <w:t>基金规模变动、标的指数成份股调整、标的指数成份股流动性限制、目标 </w:t>
      </w:r>
      <w:r>
        <w:rPr>
          <w:rFonts w:ascii="Times New Roman" w:eastAsia="Times New Roman"/>
        </w:rPr>
        <w:t>ETF </w:t>
      </w:r>
      <w:r>
        <w:rPr/>
        <w:t>暂停申购赎</w:t>
      </w:r>
      <w:r>
        <w:rPr>
          <w:spacing w:val="-2"/>
        </w:rPr>
        <w:t>回、目标 </w:t>
      </w:r>
      <w:r>
        <w:rPr>
          <w:rFonts w:ascii="Times New Roman" w:eastAsia="Times New Roman"/>
        </w:rPr>
        <w:t>ETF </w:t>
      </w:r>
      <w:r>
        <w:rPr>
          <w:spacing w:val="-3"/>
        </w:rPr>
        <w:t>未上市或二级市场交易停牌等基金管理人之外的原因导致的投资组合不符合</w:t>
      </w:r>
      <w:r>
        <w:rPr>
          <w:spacing w:val="-5"/>
        </w:rPr>
        <w:t>上述约定的比例不在限制之内，但基金管理人应在 </w:t>
      </w:r>
      <w:r>
        <w:rPr>
          <w:rFonts w:ascii="Times New Roman" w:eastAsia="Times New Roman"/>
        </w:rPr>
        <w:t>10 </w:t>
      </w:r>
      <w:r>
        <w:rPr>
          <w:spacing w:val="-3"/>
        </w:rPr>
        <w:t>个交易日内进行调整，以达到标准。</w:t>
      </w:r>
      <w:r>
        <w:rPr>
          <w:spacing w:val="-12"/>
        </w:rPr>
        <w:t>因证券市场波动、上市公司合并、基金规模变动等基金管理人之外的因素致使基金投资不符</w:t>
      </w:r>
      <w:r>
        <w:rPr>
          <w:spacing w:val="-9"/>
        </w:rPr>
        <w:t>合上述</w:t>
      </w:r>
      <w:r>
        <w:rPr/>
        <w:t>（</w:t>
      </w:r>
      <w:r>
        <w:rPr>
          <w:rFonts w:ascii="Times New Roman" w:eastAsia="Times New Roman"/>
        </w:rPr>
        <w:t>9</w:t>
      </w:r>
      <w:r>
        <w:rPr/>
        <w:t>）</w:t>
      </w:r>
      <w:r>
        <w:rPr>
          <w:spacing w:val="-3"/>
        </w:rPr>
        <w:t>规定的，基金管理人不得新增证券出借业务。但法律法规、基金合同另有规定的从其规定。</w:t>
      </w:r>
    </w:p>
    <w:p>
      <w:pPr>
        <w:pStyle w:val="BodyText"/>
        <w:spacing w:line="265" w:lineRule="exact"/>
        <w:ind w:left="720"/>
      </w:pPr>
      <w:r>
        <w:rPr/>
        <w:t>（七）业绩比较基准</w:t>
      </w:r>
    </w:p>
    <w:p>
      <w:pPr>
        <w:pStyle w:val="BodyText"/>
        <w:spacing w:before="11"/>
        <w:rPr>
          <w:sz w:val="15"/>
        </w:rPr>
      </w:pPr>
    </w:p>
    <w:p>
      <w:pPr>
        <w:pStyle w:val="BodyText"/>
        <w:spacing w:line="424" w:lineRule="auto" w:before="1"/>
        <w:ind w:left="300" w:right="871" w:firstLine="419"/>
        <w:jc w:val="both"/>
      </w:pPr>
      <w:r>
        <w:rPr>
          <w:spacing w:val="-7"/>
        </w:rPr>
        <w:t>本基金的业绩比较基准为：沪深 </w:t>
      </w:r>
      <w:r>
        <w:rPr>
          <w:rFonts w:ascii="Times New Roman" w:hAnsi="Times New Roman" w:eastAsia="Times New Roman"/>
        </w:rPr>
        <w:t>300 </w:t>
      </w:r>
      <w:r>
        <w:rPr>
          <w:spacing w:val="-3"/>
        </w:rPr>
        <w:t>指数收益率</w:t>
      </w:r>
      <w:r>
        <w:rPr>
          <w:rFonts w:ascii="Times New Roman" w:hAnsi="Times New Roman" w:eastAsia="Times New Roman"/>
          <w:spacing w:val="-7"/>
        </w:rPr>
        <w:t>×95</w:t>
      </w:r>
      <w:r>
        <w:rPr>
          <w:rFonts w:ascii="Times New Roman" w:hAnsi="Times New Roman" w:eastAsia="Times New Roman"/>
          <w:spacing w:val="-16"/>
        </w:rPr>
        <w:t>% </w:t>
      </w:r>
      <w:r>
        <w:rPr>
          <w:spacing w:val="-4"/>
        </w:rPr>
        <w:t>＋</w:t>
      </w:r>
      <w:r>
        <w:rPr>
          <w:rFonts w:ascii="Times New Roman" w:hAnsi="Times New Roman" w:eastAsia="Times New Roman"/>
          <w:spacing w:val="-4"/>
        </w:rPr>
        <w:t>1%</w:t>
      </w:r>
      <w:r>
        <w:rPr>
          <w:spacing w:val="-4"/>
        </w:rPr>
        <w:t>（</w:t>
      </w:r>
      <w:r>
        <w:rPr>
          <w:spacing w:val="-5"/>
        </w:rPr>
        <w:t>指年收益率，评价时应按</w:t>
      </w:r>
      <w:r>
        <w:rPr>
          <w:spacing w:val="-4"/>
        </w:rPr>
        <w:t>期间折算</w:t>
      </w:r>
      <w:r>
        <w:rPr>
          <w:spacing w:val="-108"/>
        </w:rPr>
        <w:t>）</w:t>
      </w:r>
      <w:r>
        <w:rPr/>
        <w:t>。</w:t>
      </w:r>
    </w:p>
    <w:p>
      <w:pPr>
        <w:pStyle w:val="BodyText"/>
        <w:spacing w:line="424" w:lineRule="auto"/>
        <w:ind w:left="300" w:right="871" w:firstLine="419"/>
        <w:jc w:val="both"/>
      </w:pPr>
      <w:r>
        <w:rPr>
          <w:spacing w:val="6"/>
        </w:rPr>
        <w:t>沪深 </w:t>
      </w:r>
      <w:r>
        <w:rPr>
          <w:rFonts w:ascii="Times New Roman" w:eastAsia="Times New Roman"/>
        </w:rPr>
        <w:t>300 </w:t>
      </w:r>
      <w:r>
        <w:rPr>
          <w:spacing w:val="-3"/>
        </w:rPr>
        <w:t>指数是中证指数公司依据国际指数编制标准并结合中国市场的实际情况编制</w:t>
      </w:r>
      <w:r>
        <w:rPr>
          <w:spacing w:val="-10"/>
        </w:rPr>
        <w:t>的沪深两市统一指数，其流动性高，可投资性强，综合反映了中国证券市场最具市场影响力</w:t>
      </w:r>
      <w:r>
        <w:rPr>
          <w:spacing w:val="-5"/>
        </w:rPr>
        <w:t>的一批优质企业的整体状况，适合作为本基金的标的指数。</w:t>
      </w:r>
    </w:p>
    <w:p>
      <w:pPr>
        <w:spacing w:after="0" w:line="424" w:lineRule="auto"/>
        <w:jc w:val="both"/>
        <w:sectPr>
          <w:pgSz w:w="11910" w:h="16840"/>
          <w:pgMar w:header="701" w:footer="683" w:top="1420" w:bottom="880" w:left="1500" w:right="920"/>
        </w:sectPr>
      </w:pPr>
    </w:p>
    <w:p>
      <w:pPr>
        <w:pStyle w:val="BodyText"/>
        <w:spacing w:before="115"/>
        <w:ind w:left="720"/>
      </w:pPr>
      <w:r>
        <w:rPr/>
        <w:t>如果中证指数有限公司变更或停止沪深 </w:t>
      </w:r>
      <w:r>
        <w:rPr>
          <w:rFonts w:ascii="Times New Roman" w:eastAsia="Times New Roman"/>
        </w:rPr>
        <w:t>300 </w:t>
      </w:r>
      <w:r>
        <w:rPr/>
        <w:t>指数的编制及发布、或沪深 </w:t>
      </w:r>
      <w:r>
        <w:rPr>
          <w:rFonts w:ascii="Times New Roman" w:eastAsia="Times New Roman"/>
        </w:rPr>
        <w:t>300 </w:t>
      </w:r>
      <w:r>
        <w:rPr/>
        <w:t>指数由其他</w:t>
      </w:r>
    </w:p>
    <w:p>
      <w:pPr>
        <w:pStyle w:val="BodyText"/>
        <w:rPr>
          <w:sz w:val="16"/>
        </w:rPr>
      </w:pPr>
    </w:p>
    <w:p>
      <w:pPr>
        <w:pStyle w:val="BodyText"/>
        <w:spacing w:line="424" w:lineRule="auto" w:before="1"/>
        <w:ind w:left="300" w:right="768"/>
      </w:pPr>
      <w:r>
        <w:rPr>
          <w:spacing w:val="-14"/>
        </w:rPr>
        <w:t>指数替代、或由于指数编制方法发生重大变更等原因导致沪深 </w:t>
      </w:r>
      <w:r>
        <w:rPr>
          <w:rFonts w:ascii="Times New Roman" w:eastAsia="Times New Roman"/>
        </w:rPr>
        <w:t>300 </w:t>
      </w:r>
      <w:r>
        <w:rPr>
          <w:spacing w:val="-3"/>
        </w:rPr>
        <w:t>指数不宜继续作为标的指数，或市场有其他更适合投资的指数，本基金管理人可以依据维护投资者合法权益的原则， </w:t>
      </w:r>
      <w:r>
        <w:rPr>
          <w:spacing w:val="-10"/>
        </w:rPr>
        <w:t>变更本基金的标的指数，相应更换基金名称和业绩比较基准，并在报中国证监会备案后及时公告。</w:t>
      </w:r>
    </w:p>
    <w:p>
      <w:pPr>
        <w:pStyle w:val="BodyText"/>
        <w:spacing w:line="424" w:lineRule="auto"/>
        <w:ind w:left="300" w:right="871" w:firstLine="419"/>
        <w:jc w:val="both"/>
      </w:pPr>
      <w:r>
        <w:rPr>
          <w:spacing w:val="-10"/>
        </w:rPr>
        <w:t>如果今后法律法规发生变化，或者有更权威的、更能为市场普遍接受的业绩比较基准推</w:t>
      </w:r>
      <w:r>
        <w:rPr>
          <w:spacing w:val="-11"/>
        </w:rPr>
        <w:t>出，或者是市场上出现更加适合用于本基金的业绩基准的指数时，本基金可以在报中国证监</w:t>
      </w:r>
      <w:r>
        <w:rPr>
          <w:spacing w:val="-6"/>
        </w:rPr>
        <w:t>会备案后变更业绩比较基准并及时公告。</w:t>
      </w:r>
    </w:p>
    <w:p>
      <w:pPr>
        <w:pStyle w:val="BodyText"/>
        <w:spacing w:line="424" w:lineRule="auto"/>
        <w:ind w:left="300" w:right="765" w:firstLine="419"/>
      </w:pPr>
      <w:r>
        <w:rPr>
          <w:spacing w:val="-3"/>
        </w:rPr>
        <w:t>若基金变更投资比例范围约定，基金管理人可相应变更基金业绩比较基准的权重构成， </w:t>
      </w:r>
      <w:r>
        <w:rPr>
          <w:spacing w:val="-13"/>
        </w:rPr>
        <w:t>无需召开基金份额持有人大会，但基金管理人应取得基金托管人同意后，报中国证监会备案。</w:t>
      </w:r>
    </w:p>
    <w:p>
      <w:pPr>
        <w:pStyle w:val="BodyText"/>
        <w:spacing w:line="267" w:lineRule="exact"/>
        <w:ind w:left="720"/>
      </w:pPr>
      <w:r>
        <w:rPr/>
        <w:t>（八）风险收益特征</w:t>
      </w:r>
    </w:p>
    <w:p>
      <w:pPr>
        <w:pStyle w:val="BodyText"/>
        <w:spacing w:before="9"/>
        <w:rPr>
          <w:sz w:val="15"/>
        </w:rPr>
      </w:pPr>
    </w:p>
    <w:p>
      <w:pPr>
        <w:pStyle w:val="BodyText"/>
        <w:ind w:left="720"/>
      </w:pPr>
      <w:r>
        <w:rPr/>
        <w:t>本基金属于股票基金，风险与收益高于混合基金、债券基金与货币市场基金。</w:t>
      </w:r>
    </w:p>
    <w:p>
      <w:pPr>
        <w:pStyle w:val="BodyText"/>
        <w:spacing w:before="1"/>
        <w:rPr>
          <w:sz w:val="16"/>
        </w:rPr>
      </w:pPr>
    </w:p>
    <w:p>
      <w:pPr>
        <w:pStyle w:val="BodyText"/>
        <w:ind w:left="720"/>
      </w:pPr>
      <w:r>
        <w:rPr/>
        <w:t>（九）基金管理人代表基金行使股东权利的处理原则及方法</w:t>
      </w:r>
    </w:p>
    <w:p>
      <w:pPr>
        <w:pStyle w:val="BodyText"/>
        <w:spacing w:before="4"/>
        <w:rPr>
          <w:sz w:val="16"/>
        </w:rPr>
      </w:pPr>
    </w:p>
    <w:p>
      <w:pPr>
        <w:pStyle w:val="BodyText"/>
        <w:ind w:left="720"/>
      </w:pPr>
      <w:r>
        <w:rPr>
          <w:rFonts w:ascii="Times New Roman" w:eastAsia="Times New Roman"/>
        </w:rPr>
        <w:t>1</w:t>
      </w:r>
      <w:r>
        <w:rPr/>
        <w:t>、不谋求对上市公司的控股，不参与所投资上市公司的经营管理。</w:t>
      </w:r>
    </w:p>
    <w:p>
      <w:pPr>
        <w:pStyle w:val="BodyText"/>
        <w:spacing w:before="1"/>
        <w:rPr>
          <w:sz w:val="16"/>
        </w:rPr>
      </w:pPr>
    </w:p>
    <w:p>
      <w:pPr>
        <w:pStyle w:val="BodyText"/>
        <w:spacing w:before="1"/>
        <w:ind w:left="720"/>
      </w:pPr>
      <w:r>
        <w:rPr>
          <w:rFonts w:ascii="Times New Roman" w:eastAsia="Times New Roman"/>
        </w:rPr>
        <w:t>2</w:t>
      </w:r>
      <w:r>
        <w:rPr/>
        <w:t>、有利于基金资产的安全与增值。</w:t>
      </w:r>
    </w:p>
    <w:p>
      <w:pPr>
        <w:pStyle w:val="BodyText"/>
        <w:rPr>
          <w:sz w:val="16"/>
        </w:rPr>
      </w:pPr>
    </w:p>
    <w:p>
      <w:pPr>
        <w:pStyle w:val="BodyText"/>
        <w:spacing w:line="424" w:lineRule="auto" w:before="1"/>
        <w:ind w:left="300" w:right="874" w:firstLine="419"/>
      </w:pPr>
      <w:r>
        <w:rPr>
          <w:rFonts w:ascii="Times New Roman" w:eastAsia="Times New Roman"/>
        </w:rPr>
        <w:t>3</w:t>
      </w:r>
      <w:r>
        <w:rPr/>
        <w:t>、基金管理人按照国家有关规定代表基金独立行使股东权利，保护基金份额持有人的利益。</w:t>
      </w:r>
    </w:p>
    <w:p>
      <w:pPr>
        <w:pStyle w:val="BodyText"/>
        <w:spacing w:line="424" w:lineRule="auto"/>
        <w:ind w:left="300" w:right="874" w:firstLine="419"/>
      </w:pPr>
      <w:r>
        <w:rPr>
          <w:rFonts w:ascii="Times New Roman" w:eastAsia="Times New Roman"/>
        </w:rPr>
        <w:t>4</w:t>
      </w:r>
      <w:r>
        <w:rPr/>
        <w:t>、基金管理人按照国家有关规定代表基金独立行使债权人权利，保护基金份额持有人的利益。</w:t>
      </w:r>
    </w:p>
    <w:p>
      <w:pPr>
        <w:pStyle w:val="BodyText"/>
        <w:spacing w:line="267" w:lineRule="exact"/>
        <w:ind w:left="720"/>
      </w:pPr>
      <w:r>
        <w:rPr/>
        <w:t>（十）基金的融资融券</w:t>
      </w:r>
    </w:p>
    <w:p>
      <w:pPr>
        <w:pStyle w:val="BodyText"/>
        <w:spacing w:before="11"/>
        <w:rPr>
          <w:sz w:val="15"/>
        </w:rPr>
      </w:pPr>
    </w:p>
    <w:p>
      <w:pPr>
        <w:pStyle w:val="BodyText"/>
        <w:spacing w:before="1"/>
        <w:ind w:left="720"/>
      </w:pPr>
      <w:r>
        <w:rPr/>
        <w:t>本基金可以根据届时有效的有关法律法规和政策的规定进行融资融券。</w:t>
      </w:r>
    </w:p>
    <w:p>
      <w:pPr>
        <w:pStyle w:val="BodyText"/>
        <w:spacing w:before="3"/>
        <w:rPr>
          <w:sz w:val="16"/>
        </w:rPr>
      </w:pPr>
    </w:p>
    <w:p>
      <w:pPr>
        <w:pStyle w:val="BodyText"/>
        <w:spacing w:before="1"/>
        <w:ind w:left="720"/>
        <w:jc w:val="both"/>
      </w:pPr>
      <w:r>
        <w:rPr/>
        <w:t>（十一）目标 </w:t>
      </w:r>
      <w:r>
        <w:rPr>
          <w:rFonts w:ascii="Times New Roman" w:eastAsia="Times New Roman"/>
        </w:rPr>
        <w:t>ETF </w:t>
      </w:r>
      <w:r>
        <w:rPr/>
        <w:t>发生相关变更情形的处理方式</w:t>
      </w:r>
    </w:p>
    <w:p>
      <w:pPr>
        <w:pStyle w:val="BodyText"/>
        <w:spacing w:before="1"/>
        <w:rPr>
          <w:sz w:val="16"/>
        </w:rPr>
      </w:pPr>
    </w:p>
    <w:p>
      <w:pPr>
        <w:pStyle w:val="BodyText"/>
        <w:spacing w:line="424" w:lineRule="auto"/>
        <w:ind w:left="300" w:right="871" w:firstLine="419"/>
        <w:jc w:val="both"/>
      </w:pPr>
      <w:r>
        <w:rPr>
          <w:spacing w:val="25"/>
        </w:rPr>
        <w:t>目标</w:t>
      </w:r>
      <w:r>
        <w:rPr>
          <w:rFonts w:ascii="Times New Roman" w:eastAsia="Times New Roman"/>
        </w:rPr>
        <w:t>ETF </w:t>
      </w:r>
      <w:r>
        <w:rPr>
          <w:spacing w:val="-2"/>
        </w:rPr>
        <w:t>出现下述情形之一的，本基金可在履行适当程序后由投资于目标</w:t>
      </w:r>
      <w:r>
        <w:rPr>
          <w:rFonts w:ascii="Times New Roman" w:eastAsia="Times New Roman"/>
        </w:rPr>
        <w:t>ETF </w:t>
      </w:r>
      <w:r>
        <w:rPr/>
        <w:t>的联接</w:t>
      </w:r>
      <w:r>
        <w:rPr>
          <w:spacing w:val="-8"/>
        </w:rPr>
        <w:t>基金变更为直接投资该标的指数的指数基金；若届时本基金管理人已有以该指数作为标的指</w:t>
      </w:r>
      <w:r>
        <w:rPr>
          <w:spacing w:val="-12"/>
        </w:rPr>
        <w:t>数的指数基金，则本基金将本着维护投资者合法权益的原则，履行适当的程序后可选取其他</w:t>
      </w:r>
      <w:r>
        <w:rPr>
          <w:spacing w:val="-4"/>
        </w:rPr>
        <w:t>合适的指数作为标的指数。相应地，基金合同中将删除关于目标</w:t>
      </w:r>
      <w:r>
        <w:rPr>
          <w:rFonts w:ascii="Times New Roman" w:eastAsia="Times New Roman"/>
        </w:rPr>
        <w:t>ETF </w:t>
      </w:r>
      <w:r>
        <w:rPr>
          <w:spacing w:val="-3"/>
        </w:rPr>
        <w:t>的表述部分，或将变更标的指数，届时将由基金管理人另行公告。</w:t>
      </w:r>
    </w:p>
    <w:p>
      <w:pPr>
        <w:pStyle w:val="BodyText"/>
        <w:spacing w:line="264" w:lineRule="exact"/>
        <w:ind w:left="720"/>
        <w:jc w:val="both"/>
      </w:pPr>
      <w:r>
        <w:rPr>
          <w:rFonts w:ascii="Times New Roman" w:eastAsia="Times New Roman"/>
        </w:rPr>
        <w:t>1</w:t>
      </w:r>
      <w:r>
        <w:rPr/>
        <w:t>、目标 </w:t>
      </w:r>
      <w:r>
        <w:rPr>
          <w:rFonts w:ascii="Times New Roman" w:eastAsia="Times New Roman"/>
        </w:rPr>
        <w:t>ETF </w:t>
      </w:r>
      <w:r>
        <w:rPr/>
        <w:t>交易方式发生重大变更致使本基金的投资策略难以实现。</w:t>
      </w:r>
    </w:p>
    <w:p>
      <w:pPr>
        <w:pStyle w:val="BodyText"/>
        <w:spacing w:before="1"/>
        <w:rPr>
          <w:sz w:val="16"/>
        </w:rPr>
      </w:pPr>
    </w:p>
    <w:p>
      <w:pPr>
        <w:pStyle w:val="BodyText"/>
        <w:ind w:left="720"/>
        <w:jc w:val="both"/>
      </w:pPr>
      <w:r>
        <w:rPr>
          <w:rFonts w:ascii="Times New Roman" w:eastAsia="Times New Roman"/>
        </w:rPr>
        <w:t>2</w:t>
      </w:r>
      <w:r>
        <w:rPr/>
        <w:t>、目标 </w:t>
      </w:r>
      <w:r>
        <w:rPr>
          <w:rFonts w:ascii="Times New Roman" w:eastAsia="Times New Roman"/>
        </w:rPr>
        <w:t>ETF </w:t>
      </w:r>
      <w:r>
        <w:rPr/>
        <w:t>终止上市。</w:t>
      </w:r>
    </w:p>
    <w:p>
      <w:pPr>
        <w:spacing w:after="0"/>
        <w:jc w:val="both"/>
        <w:sectPr>
          <w:pgSz w:w="11910" w:h="16840"/>
          <w:pgMar w:header="701" w:footer="683" w:top="1420" w:bottom="880" w:left="1500" w:right="920"/>
        </w:sectPr>
      </w:pPr>
    </w:p>
    <w:p>
      <w:pPr>
        <w:pStyle w:val="BodyText"/>
        <w:spacing w:before="115"/>
        <w:ind w:left="720"/>
      </w:pPr>
      <w:r>
        <w:rPr>
          <w:rFonts w:ascii="Times New Roman" w:eastAsia="Times New Roman"/>
        </w:rPr>
        <w:t>3</w:t>
      </w:r>
      <w:r>
        <w:rPr/>
        <w:t>、目标 </w:t>
      </w:r>
      <w:r>
        <w:rPr>
          <w:rFonts w:ascii="Times New Roman" w:eastAsia="Times New Roman"/>
        </w:rPr>
        <w:t>ETF </w:t>
      </w:r>
      <w:r>
        <w:rPr/>
        <w:t>基金合同终止。</w:t>
      </w:r>
    </w:p>
    <w:p>
      <w:pPr>
        <w:pStyle w:val="BodyText"/>
        <w:rPr>
          <w:sz w:val="16"/>
        </w:rPr>
      </w:pPr>
    </w:p>
    <w:p>
      <w:pPr>
        <w:pStyle w:val="BodyText"/>
        <w:spacing w:before="1"/>
        <w:ind w:left="720"/>
      </w:pPr>
      <w:r>
        <w:rPr>
          <w:rFonts w:ascii="Times New Roman" w:eastAsia="Times New Roman"/>
        </w:rPr>
        <w:t>4</w:t>
      </w:r>
      <w:r>
        <w:rPr/>
        <w:t>、目标 </w:t>
      </w:r>
      <w:r>
        <w:rPr>
          <w:rFonts w:ascii="Times New Roman" w:eastAsia="Times New Roman"/>
        </w:rPr>
        <w:t>ETF </w:t>
      </w:r>
      <w:r>
        <w:rPr/>
        <w:t>与其他基金进行合并。</w:t>
      </w:r>
    </w:p>
    <w:p>
      <w:pPr>
        <w:pStyle w:val="BodyText"/>
        <w:spacing w:before="1"/>
        <w:rPr>
          <w:sz w:val="16"/>
        </w:rPr>
      </w:pPr>
    </w:p>
    <w:p>
      <w:pPr>
        <w:pStyle w:val="BodyText"/>
        <w:ind w:left="720"/>
      </w:pPr>
      <w:r>
        <w:rPr>
          <w:rFonts w:ascii="Times New Roman" w:eastAsia="Times New Roman"/>
        </w:rPr>
        <w:t>5</w:t>
      </w:r>
      <w:r>
        <w:rPr/>
        <w:t>、目标 </w:t>
      </w:r>
      <w:r>
        <w:rPr>
          <w:rFonts w:ascii="Times New Roman" w:eastAsia="Times New Roman"/>
        </w:rPr>
        <w:t>ETF </w:t>
      </w:r>
      <w:r>
        <w:rPr/>
        <w:t>的基金管理人发生变更。</w:t>
      </w:r>
    </w:p>
    <w:p>
      <w:pPr>
        <w:pStyle w:val="BodyText"/>
        <w:spacing w:before="1"/>
        <w:rPr>
          <w:sz w:val="16"/>
        </w:rPr>
      </w:pPr>
    </w:p>
    <w:p>
      <w:pPr>
        <w:pStyle w:val="BodyText"/>
        <w:ind w:left="720"/>
      </w:pPr>
      <w:r>
        <w:rPr>
          <w:rFonts w:ascii="Times New Roman" w:eastAsia="Times New Roman"/>
        </w:rPr>
        <w:t>6</w:t>
      </w:r>
      <w:r>
        <w:rPr/>
        <w:t>、中国证监会规定的其他情形。</w:t>
      </w:r>
    </w:p>
    <w:p>
      <w:pPr>
        <w:pStyle w:val="BodyText"/>
        <w:spacing w:before="1"/>
        <w:rPr>
          <w:sz w:val="16"/>
        </w:rPr>
      </w:pPr>
    </w:p>
    <w:p>
      <w:pPr>
        <w:pStyle w:val="BodyText"/>
        <w:ind w:left="720"/>
      </w:pPr>
      <w:r>
        <w:rPr/>
        <w:t>（十二）基金投资组合报告</w:t>
      </w:r>
    </w:p>
    <w:p>
      <w:pPr>
        <w:pStyle w:val="BodyText"/>
        <w:spacing w:before="3"/>
        <w:rPr>
          <w:sz w:val="16"/>
        </w:rPr>
      </w:pPr>
    </w:p>
    <w:p>
      <w:pPr>
        <w:pStyle w:val="BodyText"/>
        <w:spacing w:before="1"/>
        <w:ind w:left="722"/>
      </w:pPr>
      <w:r>
        <w:rPr/>
        <w:t>以下内容摘自本基金 </w:t>
      </w:r>
      <w:r>
        <w:rPr>
          <w:rFonts w:ascii="Times New Roman" w:eastAsia="Times New Roman"/>
        </w:rPr>
        <w:t>2020 </w:t>
      </w:r>
      <w:r>
        <w:rPr/>
        <w:t>年第 </w:t>
      </w:r>
      <w:r>
        <w:rPr>
          <w:rFonts w:ascii="Times New Roman" w:eastAsia="Times New Roman"/>
        </w:rPr>
        <w:t>2 </w:t>
      </w:r>
      <w:r>
        <w:rPr/>
        <w:t>季度报告：</w:t>
      </w:r>
    </w:p>
    <w:p>
      <w:pPr>
        <w:pStyle w:val="BodyText"/>
        <w:spacing w:before="1"/>
        <w:rPr>
          <w:sz w:val="16"/>
        </w:rPr>
      </w:pPr>
    </w:p>
    <w:p>
      <w:pPr>
        <w:pStyle w:val="ListParagraph"/>
        <w:numPr>
          <w:ilvl w:val="1"/>
          <w:numId w:val="27"/>
        </w:numPr>
        <w:tabs>
          <w:tab w:pos="618" w:val="left" w:leader="none"/>
        </w:tabs>
        <w:spacing w:line="240" w:lineRule="auto" w:before="0" w:after="0"/>
        <w:ind w:left="617" w:right="0" w:hanging="318"/>
        <w:jc w:val="left"/>
        <w:rPr>
          <w:sz w:val="21"/>
        </w:rPr>
      </w:pPr>
      <w:r>
        <w:rPr>
          <w:spacing w:val="-3"/>
          <w:sz w:val="21"/>
        </w:rPr>
        <w:t>报告期末基金资产组合情况</w:t>
      </w:r>
    </w:p>
    <w:p>
      <w:pPr>
        <w:pStyle w:val="BodyText"/>
        <w:spacing w:before="12"/>
        <w:rPr>
          <w:sz w:val="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3118"/>
        <w:gridCol w:w="2693"/>
        <w:gridCol w:w="1702"/>
      </w:tblGrid>
      <w:tr>
        <w:trPr>
          <w:trHeight w:val="979" w:hRule="atLeast"/>
        </w:trPr>
        <w:tc>
          <w:tcPr>
            <w:tcW w:w="852" w:type="dxa"/>
          </w:tcPr>
          <w:p>
            <w:pPr>
              <w:pStyle w:val="TableParagraph"/>
              <w:spacing w:before="12"/>
              <w:rPr>
                <w:sz w:val="28"/>
              </w:rPr>
            </w:pPr>
          </w:p>
          <w:p>
            <w:pPr>
              <w:pStyle w:val="TableParagraph"/>
              <w:spacing w:before="0"/>
              <w:ind w:left="204" w:right="178"/>
              <w:jc w:val="center"/>
              <w:rPr>
                <w:sz w:val="21"/>
              </w:rPr>
            </w:pPr>
            <w:r>
              <w:rPr>
                <w:sz w:val="21"/>
              </w:rPr>
              <w:t>序号</w:t>
            </w:r>
          </w:p>
        </w:tc>
        <w:tc>
          <w:tcPr>
            <w:tcW w:w="3118" w:type="dxa"/>
          </w:tcPr>
          <w:p>
            <w:pPr>
              <w:pStyle w:val="TableParagraph"/>
              <w:spacing w:before="12"/>
              <w:rPr>
                <w:sz w:val="28"/>
              </w:rPr>
            </w:pPr>
          </w:p>
          <w:p>
            <w:pPr>
              <w:pStyle w:val="TableParagraph"/>
              <w:spacing w:before="0"/>
              <w:ind w:left="1337" w:right="1310"/>
              <w:jc w:val="center"/>
              <w:rPr>
                <w:sz w:val="21"/>
              </w:rPr>
            </w:pPr>
            <w:r>
              <w:rPr>
                <w:sz w:val="21"/>
              </w:rPr>
              <w:t>项目</w:t>
            </w:r>
          </w:p>
        </w:tc>
        <w:tc>
          <w:tcPr>
            <w:tcW w:w="2693" w:type="dxa"/>
          </w:tcPr>
          <w:p>
            <w:pPr>
              <w:pStyle w:val="TableParagraph"/>
              <w:spacing w:before="12"/>
              <w:rPr>
                <w:sz w:val="28"/>
              </w:rPr>
            </w:pPr>
          </w:p>
          <w:p>
            <w:pPr>
              <w:pStyle w:val="TableParagraph"/>
              <w:spacing w:before="0"/>
              <w:ind w:left="951" w:right="921"/>
              <w:jc w:val="center"/>
              <w:rPr>
                <w:rFonts w:ascii="Times New Roman" w:eastAsia="Times New Roman"/>
                <w:sz w:val="21"/>
              </w:rPr>
            </w:pPr>
            <w:r>
              <w:rPr>
                <w:sz w:val="21"/>
              </w:rPr>
              <w:t>金额</w:t>
            </w:r>
            <w:r>
              <w:rPr>
                <w:rFonts w:ascii="Times New Roman" w:eastAsia="Times New Roman"/>
                <w:sz w:val="21"/>
              </w:rPr>
              <w:t>(</w:t>
            </w:r>
            <w:r>
              <w:rPr>
                <w:sz w:val="21"/>
              </w:rPr>
              <w:t>元</w:t>
            </w:r>
            <w:r>
              <w:rPr>
                <w:rFonts w:ascii="Times New Roman" w:eastAsia="Times New Roman"/>
                <w:sz w:val="21"/>
              </w:rPr>
              <w:t>)</w:t>
            </w:r>
          </w:p>
        </w:tc>
        <w:tc>
          <w:tcPr>
            <w:tcW w:w="1702" w:type="dxa"/>
          </w:tcPr>
          <w:p>
            <w:pPr>
              <w:pStyle w:val="TableParagraph"/>
              <w:spacing w:before="133"/>
              <w:ind w:left="209" w:right="183"/>
              <w:jc w:val="center"/>
              <w:rPr>
                <w:sz w:val="21"/>
              </w:rPr>
            </w:pPr>
            <w:r>
              <w:rPr>
                <w:sz w:val="21"/>
              </w:rPr>
              <w:t>占基金总资产</w:t>
            </w:r>
          </w:p>
          <w:p>
            <w:pPr>
              <w:pStyle w:val="TableParagraph"/>
              <w:spacing w:before="1"/>
              <w:rPr>
                <w:sz w:val="16"/>
              </w:rPr>
            </w:pPr>
          </w:p>
          <w:p>
            <w:pPr>
              <w:pStyle w:val="TableParagraph"/>
              <w:spacing w:before="0"/>
              <w:ind w:left="209" w:right="179"/>
              <w:jc w:val="center"/>
              <w:rPr>
                <w:rFonts w:ascii="Times New Roman" w:eastAsia="Times New Roman"/>
                <w:sz w:val="21"/>
              </w:rPr>
            </w:pPr>
            <w:r>
              <w:rPr>
                <w:sz w:val="21"/>
              </w:rPr>
              <w:t>的比例</w:t>
            </w:r>
            <w:r>
              <w:rPr>
                <w:rFonts w:ascii="Times New Roman" w:eastAsia="Times New Roman"/>
                <w:sz w:val="21"/>
              </w:rPr>
              <w:t>(%)</w:t>
            </w:r>
          </w:p>
        </w:tc>
      </w:tr>
      <w:tr>
        <w:trPr>
          <w:trHeight w:val="505" w:hRule="atLeast"/>
        </w:trPr>
        <w:tc>
          <w:tcPr>
            <w:tcW w:w="852" w:type="dxa"/>
          </w:tcPr>
          <w:p>
            <w:pPr>
              <w:pStyle w:val="TableParagraph"/>
              <w:spacing w:before="147"/>
              <w:ind w:left="26"/>
              <w:jc w:val="center"/>
              <w:rPr>
                <w:rFonts w:ascii="Times New Roman"/>
                <w:sz w:val="21"/>
              </w:rPr>
            </w:pPr>
            <w:r>
              <w:rPr>
                <w:rFonts w:ascii="Times New Roman"/>
                <w:w w:val="100"/>
                <w:sz w:val="21"/>
              </w:rPr>
              <w:t>1</w:t>
            </w:r>
          </w:p>
        </w:tc>
        <w:tc>
          <w:tcPr>
            <w:tcW w:w="3118" w:type="dxa"/>
          </w:tcPr>
          <w:p>
            <w:pPr>
              <w:pStyle w:val="TableParagraph"/>
              <w:spacing w:before="135"/>
              <w:ind w:left="124"/>
              <w:rPr>
                <w:sz w:val="21"/>
              </w:rPr>
            </w:pPr>
            <w:r>
              <w:rPr>
                <w:sz w:val="21"/>
              </w:rPr>
              <w:t>权益投资</w:t>
            </w:r>
          </w:p>
        </w:tc>
        <w:tc>
          <w:tcPr>
            <w:tcW w:w="2693" w:type="dxa"/>
          </w:tcPr>
          <w:p>
            <w:pPr>
              <w:pStyle w:val="TableParagraph"/>
              <w:spacing w:before="147"/>
              <w:ind w:right="93"/>
              <w:jc w:val="right"/>
              <w:rPr>
                <w:rFonts w:ascii="Times New Roman"/>
                <w:sz w:val="21"/>
              </w:rPr>
            </w:pPr>
            <w:r>
              <w:rPr>
                <w:rFonts w:ascii="Times New Roman"/>
                <w:sz w:val="21"/>
              </w:rPr>
              <w:t>273,684,068.30</w:t>
            </w:r>
          </w:p>
        </w:tc>
        <w:tc>
          <w:tcPr>
            <w:tcW w:w="1702" w:type="dxa"/>
          </w:tcPr>
          <w:p>
            <w:pPr>
              <w:pStyle w:val="TableParagraph"/>
              <w:spacing w:before="147"/>
              <w:ind w:right="93"/>
              <w:jc w:val="right"/>
              <w:rPr>
                <w:rFonts w:ascii="Times New Roman"/>
                <w:sz w:val="21"/>
              </w:rPr>
            </w:pPr>
            <w:r>
              <w:rPr>
                <w:rFonts w:ascii="Times New Roman"/>
                <w:sz w:val="21"/>
              </w:rPr>
              <w:t>1.80</w:t>
            </w:r>
          </w:p>
        </w:tc>
      </w:tr>
      <w:tr>
        <w:trPr>
          <w:trHeight w:val="503" w:hRule="atLeast"/>
        </w:trPr>
        <w:tc>
          <w:tcPr>
            <w:tcW w:w="852" w:type="dxa"/>
          </w:tcPr>
          <w:p>
            <w:pPr>
              <w:pStyle w:val="TableParagraph"/>
              <w:spacing w:before="0"/>
              <w:rPr>
                <w:rFonts w:ascii="Times New Roman"/>
                <w:sz w:val="20"/>
              </w:rPr>
            </w:pPr>
          </w:p>
        </w:tc>
        <w:tc>
          <w:tcPr>
            <w:tcW w:w="3118" w:type="dxa"/>
          </w:tcPr>
          <w:p>
            <w:pPr>
              <w:pStyle w:val="TableParagraph"/>
              <w:spacing w:before="133"/>
              <w:ind w:left="124"/>
              <w:rPr>
                <w:sz w:val="21"/>
              </w:rPr>
            </w:pPr>
            <w:r>
              <w:rPr>
                <w:sz w:val="21"/>
              </w:rPr>
              <w:t>其中：股票</w:t>
            </w:r>
          </w:p>
        </w:tc>
        <w:tc>
          <w:tcPr>
            <w:tcW w:w="2693" w:type="dxa"/>
          </w:tcPr>
          <w:p>
            <w:pPr>
              <w:pStyle w:val="TableParagraph"/>
              <w:spacing w:before="144"/>
              <w:ind w:right="93"/>
              <w:jc w:val="right"/>
              <w:rPr>
                <w:rFonts w:ascii="Times New Roman"/>
                <w:sz w:val="21"/>
              </w:rPr>
            </w:pPr>
            <w:r>
              <w:rPr>
                <w:rFonts w:ascii="Times New Roman"/>
                <w:sz w:val="21"/>
              </w:rPr>
              <w:t>273,684,068.30</w:t>
            </w:r>
          </w:p>
        </w:tc>
        <w:tc>
          <w:tcPr>
            <w:tcW w:w="1702" w:type="dxa"/>
          </w:tcPr>
          <w:p>
            <w:pPr>
              <w:pStyle w:val="TableParagraph"/>
              <w:spacing w:before="144"/>
              <w:ind w:right="93"/>
              <w:jc w:val="right"/>
              <w:rPr>
                <w:rFonts w:ascii="Times New Roman"/>
                <w:sz w:val="21"/>
              </w:rPr>
            </w:pPr>
            <w:r>
              <w:rPr>
                <w:rFonts w:ascii="Times New Roman"/>
                <w:sz w:val="21"/>
              </w:rPr>
              <w:t>1.80</w:t>
            </w:r>
          </w:p>
        </w:tc>
      </w:tr>
      <w:tr>
        <w:trPr>
          <w:trHeight w:val="503" w:hRule="atLeast"/>
        </w:trPr>
        <w:tc>
          <w:tcPr>
            <w:tcW w:w="852" w:type="dxa"/>
          </w:tcPr>
          <w:p>
            <w:pPr>
              <w:pStyle w:val="TableParagraph"/>
              <w:spacing w:before="144"/>
              <w:ind w:left="26"/>
              <w:jc w:val="center"/>
              <w:rPr>
                <w:rFonts w:ascii="Times New Roman"/>
                <w:sz w:val="21"/>
              </w:rPr>
            </w:pPr>
            <w:r>
              <w:rPr>
                <w:rFonts w:ascii="Times New Roman"/>
                <w:w w:val="100"/>
                <w:sz w:val="21"/>
              </w:rPr>
              <w:t>2</w:t>
            </w:r>
          </w:p>
        </w:tc>
        <w:tc>
          <w:tcPr>
            <w:tcW w:w="3118" w:type="dxa"/>
          </w:tcPr>
          <w:p>
            <w:pPr>
              <w:pStyle w:val="TableParagraph"/>
              <w:spacing w:before="133"/>
              <w:ind w:left="124"/>
              <w:rPr>
                <w:sz w:val="21"/>
              </w:rPr>
            </w:pPr>
            <w:r>
              <w:rPr>
                <w:sz w:val="21"/>
              </w:rPr>
              <w:t>基金投资</w:t>
            </w:r>
          </w:p>
        </w:tc>
        <w:tc>
          <w:tcPr>
            <w:tcW w:w="2693" w:type="dxa"/>
          </w:tcPr>
          <w:p>
            <w:pPr>
              <w:pStyle w:val="TableParagraph"/>
              <w:spacing w:before="144"/>
              <w:ind w:right="93"/>
              <w:jc w:val="right"/>
              <w:rPr>
                <w:rFonts w:ascii="Times New Roman"/>
                <w:sz w:val="21"/>
              </w:rPr>
            </w:pPr>
            <w:r>
              <w:rPr>
                <w:rFonts w:ascii="Times New Roman"/>
                <w:sz w:val="21"/>
              </w:rPr>
              <w:t>14,012,181,423.09</w:t>
            </w:r>
          </w:p>
        </w:tc>
        <w:tc>
          <w:tcPr>
            <w:tcW w:w="1702" w:type="dxa"/>
          </w:tcPr>
          <w:p>
            <w:pPr>
              <w:pStyle w:val="TableParagraph"/>
              <w:spacing w:before="144"/>
              <w:ind w:right="93"/>
              <w:jc w:val="right"/>
              <w:rPr>
                <w:rFonts w:ascii="Times New Roman"/>
                <w:sz w:val="21"/>
              </w:rPr>
            </w:pPr>
            <w:r>
              <w:rPr>
                <w:rFonts w:ascii="Times New Roman"/>
                <w:sz w:val="21"/>
              </w:rPr>
              <w:t>92.31</w:t>
            </w:r>
          </w:p>
        </w:tc>
      </w:tr>
      <w:tr>
        <w:trPr>
          <w:trHeight w:val="505" w:hRule="atLeast"/>
        </w:trPr>
        <w:tc>
          <w:tcPr>
            <w:tcW w:w="852" w:type="dxa"/>
          </w:tcPr>
          <w:p>
            <w:pPr>
              <w:pStyle w:val="TableParagraph"/>
              <w:spacing w:before="147"/>
              <w:ind w:left="26"/>
              <w:jc w:val="center"/>
              <w:rPr>
                <w:rFonts w:ascii="Times New Roman"/>
                <w:sz w:val="21"/>
              </w:rPr>
            </w:pPr>
            <w:r>
              <w:rPr>
                <w:rFonts w:ascii="Times New Roman"/>
                <w:w w:val="100"/>
                <w:sz w:val="21"/>
              </w:rPr>
              <w:t>3</w:t>
            </w:r>
          </w:p>
        </w:tc>
        <w:tc>
          <w:tcPr>
            <w:tcW w:w="3118" w:type="dxa"/>
          </w:tcPr>
          <w:p>
            <w:pPr>
              <w:pStyle w:val="TableParagraph"/>
              <w:spacing w:before="135"/>
              <w:ind w:left="124"/>
              <w:rPr>
                <w:sz w:val="21"/>
              </w:rPr>
            </w:pPr>
            <w:r>
              <w:rPr>
                <w:sz w:val="21"/>
              </w:rPr>
              <w:t>固定收益投资</w:t>
            </w:r>
          </w:p>
        </w:tc>
        <w:tc>
          <w:tcPr>
            <w:tcW w:w="2693" w:type="dxa"/>
          </w:tcPr>
          <w:p>
            <w:pPr>
              <w:pStyle w:val="TableParagraph"/>
              <w:spacing w:before="147"/>
              <w:ind w:right="93"/>
              <w:jc w:val="right"/>
              <w:rPr>
                <w:rFonts w:ascii="Times New Roman"/>
                <w:sz w:val="21"/>
              </w:rPr>
            </w:pPr>
            <w:r>
              <w:rPr>
                <w:rFonts w:ascii="Times New Roman"/>
                <w:sz w:val="21"/>
              </w:rPr>
              <w:t>429,873,800.00</w:t>
            </w:r>
          </w:p>
        </w:tc>
        <w:tc>
          <w:tcPr>
            <w:tcW w:w="1702" w:type="dxa"/>
          </w:tcPr>
          <w:p>
            <w:pPr>
              <w:pStyle w:val="TableParagraph"/>
              <w:spacing w:before="147"/>
              <w:ind w:right="93"/>
              <w:jc w:val="right"/>
              <w:rPr>
                <w:rFonts w:ascii="Times New Roman"/>
                <w:sz w:val="21"/>
              </w:rPr>
            </w:pPr>
            <w:r>
              <w:rPr>
                <w:rFonts w:ascii="Times New Roman"/>
                <w:sz w:val="21"/>
              </w:rPr>
              <w:t>2.83</w:t>
            </w:r>
          </w:p>
        </w:tc>
      </w:tr>
      <w:tr>
        <w:trPr>
          <w:trHeight w:val="504" w:hRule="atLeast"/>
        </w:trPr>
        <w:tc>
          <w:tcPr>
            <w:tcW w:w="852" w:type="dxa"/>
          </w:tcPr>
          <w:p>
            <w:pPr>
              <w:pStyle w:val="TableParagraph"/>
              <w:spacing w:before="0"/>
              <w:rPr>
                <w:rFonts w:ascii="Times New Roman"/>
                <w:sz w:val="20"/>
              </w:rPr>
            </w:pPr>
          </w:p>
        </w:tc>
        <w:tc>
          <w:tcPr>
            <w:tcW w:w="3118" w:type="dxa"/>
          </w:tcPr>
          <w:p>
            <w:pPr>
              <w:pStyle w:val="TableParagraph"/>
              <w:spacing w:before="133"/>
              <w:ind w:left="124"/>
              <w:rPr>
                <w:sz w:val="21"/>
              </w:rPr>
            </w:pPr>
            <w:r>
              <w:rPr>
                <w:sz w:val="21"/>
              </w:rPr>
              <w:t>其中：债券</w:t>
            </w:r>
          </w:p>
        </w:tc>
        <w:tc>
          <w:tcPr>
            <w:tcW w:w="2693" w:type="dxa"/>
          </w:tcPr>
          <w:p>
            <w:pPr>
              <w:pStyle w:val="TableParagraph"/>
              <w:spacing w:before="145"/>
              <w:ind w:right="93"/>
              <w:jc w:val="right"/>
              <w:rPr>
                <w:rFonts w:ascii="Times New Roman"/>
                <w:sz w:val="21"/>
              </w:rPr>
            </w:pPr>
            <w:r>
              <w:rPr>
                <w:rFonts w:ascii="Times New Roman"/>
                <w:sz w:val="21"/>
              </w:rPr>
              <w:t>429,873,800.00</w:t>
            </w:r>
          </w:p>
        </w:tc>
        <w:tc>
          <w:tcPr>
            <w:tcW w:w="1702" w:type="dxa"/>
          </w:tcPr>
          <w:p>
            <w:pPr>
              <w:pStyle w:val="TableParagraph"/>
              <w:spacing w:before="145"/>
              <w:ind w:right="93"/>
              <w:jc w:val="right"/>
              <w:rPr>
                <w:rFonts w:ascii="Times New Roman"/>
                <w:sz w:val="21"/>
              </w:rPr>
            </w:pPr>
            <w:r>
              <w:rPr>
                <w:rFonts w:ascii="Times New Roman"/>
                <w:sz w:val="21"/>
              </w:rPr>
              <w:t>2.83</w:t>
            </w:r>
          </w:p>
        </w:tc>
      </w:tr>
      <w:tr>
        <w:trPr>
          <w:trHeight w:val="505" w:hRule="atLeast"/>
        </w:trPr>
        <w:tc>
          <w:tcPr>
            <w:tcW w:w="852" w:type="dxa"/>
          </w:tcPr>
          <w:p>
            <w:pPr>
              <w:pStyle w:val="TableParagraph"/>
              <w:spacing w:before="0"/>
              <w:rPr>
                <w:rFonts w:ascii="Times New Roman"/>
                <w:sz w:val="20"/>
              </w:rPr>
            </w:pPr>
          </w:p>
        </w:tc>
        <w:tc>
          <w:tcPr>
            <w:tcW w:w="3118" w:type="dxa"/>
          </w:tcPr>
          <w:p>
            <w:pPr>
              <w:pStyle w:val="TableParagraph"/>
              <w:spacing w:before="133"/>
              <w:ind w:left="755"/>
              <w:rPr>
                <w:sz w:val="21"/>
              </w:rPr>
            </w:pPr>
            <w:r>
              <w:rPr>
                <w:sz w:val="21"/>
              </w:rPr>
              <w:t>资产支持证券</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3" w:hRule="atLeast"/>
        </w:trPr>
        <w:tc>
          <w:tcPr>
            <w:tcW w:w="852" w:type="dxa"/>
          </w:tcPr>
          <w:p>
            <w:pPr>
              <w:pStyle w:val="TableParagraph"/>
              <w:spacing w:before="144"/>
              <w:ind w:left="26"/>
              <w:jc w:val="center"/>
              <w:rPr>
                <w:rFonts w:ascii="Times New Roman"/>
                <w:sz w:val="21"/>
              </w:rPr>
            </w:pPr>
            <w:r>
              <w:rPr>
                <w:rFonts w:ascii="Times New Roman"/>
                <w:w w:val="100"/>
                <w:sz w:val="21"/>
              </w:rPr>
              <w:t>4</w:t>
            </w:r>
          </w:p>
        </w:tc>
        <w:tc>
          <w:tcPr>
            <w:tcW w:w="3118" w:type="dxa"/>
          </w:tcPr>
          <w:p>
            <w:pPr>
              <w:pStyle w:val="TableParagraph"/>
              <w:spacing w:before="133"/>
              <w:ind w:left="124"/>
              <w:rPr>
                <w:sz w:val="21"/>
              </w:rPr>
            </w:pPr>
            <w:r>
              <w:rPr>
                <w:sz w:val="21"/>
              </w:rPr>
              <w:t>贵金属投资</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3" w:hRule="atLeast"/>
        </w:trPr>
        <w:tc>
          <w:tcPr>
            <w:tcW w:w="852" w:type="dxa"/>
          </w:tcPr>
          <w:p>
            <w:pPr>
              <w:pStyle w:val="TableParagraph"/>
              <w:spacing w:before="144"/>
              <w:ind w:left="26"/>
              <w:jc w:val="center"/>
              <w:rPr>
                <w:rFonts w:ascii="Times New Roman"/>
                <w:sz w:val="21"/>
              </w:rPr>
            </w:pPr>
            <w:r>
              <w:rPr>
                <w:rFonts w:ascii="Times New Roman"/>
                <w:w w:val="100"/>
                <w:sz w:val="21"/>
              </w:rPr>
              <w:t>5</w:t>
            </w:r>
          </w:p>
        </w:tc>
        <w:tc>
          <w:tcPr>
            <w:tcW w:w="3118" w:type="dxa"/>
          </w:tcPr>
          <w:p>
            <w:pPr>
              <w:pStyle w:val="TableParagraph"/>
              <w:spacing w:before="133"/>
              <w:ind w:left="124"/>
              <w:rPr>
                <w:sz w:val="21"/>
              </w:rPr>
            </w:pPr>
            <w:r>
              <w:rPr>
                <w:sz w:val="21"/>
              </w:rPr>
              <w:t>金融衍生品投资</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5" w:hRule="atLeast"/>
        </w:trPr>
        <w:tc>
          <w:tcPr>
            <w:tcW w:w="852" w:type="dxa"/>
          </w:tcPr>
          <w:p>
            <w:pPr>
              <w:pStyle w:val="TableParagraph"/>
              <w:spacing w:before="144"/>
              <w:ind w:left="26"/>
              <w:jc w:val="center"/>
              <w:rPr>
                <w:rFonts w:ascii="Times New Roman"/>
                <w:sz w:val="21"/>
              </w:rPr>
            </w:pPr>
            <w:r>
              <w:rPr>
                <w:rFonts w:ascii="Times New Roman"/>
                <w:w w:val="100"/>
                <w:sz w:val="21"/>
              </w:rPr>
              <w:t>6</w:t>
            </w:r>
          </w:p>
        </w:tc>
        <w:tc>
          <w:tcPr>
            <w:tcW w:w="3118" w:type="dxa"/>
          </w:tcPr>
          <w:p>
            <w:pPr>
              <w:pStyle w:val="TableParagraph"/>
              <w:spacing w:before="133"/>
              <w:ind w:left="124"/>
              <w:rPr>
                <w:sz w:val="21"/>
              </w:rPr>
            </w:pPr>
            <w:r>
              <w:rPr>
                <w:sz w:val="21"/>
              </w:rPr>
              <w:t>买入返售金融资产</w:t>
            </w:r>
          </w:p>
        </w:tc>
        <w:tc>
          <w:tcPr>
            <w:tcW w:w="2693" w:type="dxa"/>
          </w:tcPr>
          <w:p>
            <w:pPr>
              <w:pStyle w:val="TableParagraph"/>
              <w:spacing w:before="144"/>
              <w:ind w:right="93"/>
              <w:jc w:val="right"/>
              <w:rPr>
                <w:rFonts w:ascii="Times New Roman"/>
                <w:sz w:val="21"/>
              </w:rPr>
            </w:pPr>
            <w:r>
              <w:rPr>
                <w:rFonts w:ascii="Times New Roman"/>
                <w:sz w:val="21"/>
              </w:rPr>
              <w:t>15,000,000.00</w:t>
            </w:r>
          </w:p>
        </w:tc>
        <w:tc>
          <w:tcPr>
            <w:tcW w:w="1702" w:type="dxa"/>
          </w:tcPr>
          <w:p>
            <w:pPr>
              <w:pStyle w:val="TableParagraph"/>
              <w:spacing w:before="144"/>
              <w:ind w:right="93"/>
              <w:jc w:val="right"/>
              <w:rPr>
                <w:rFonts w:ascii="Times New Roman"/>
                <w:sz w:val="21"/>
              </w:rPr>
            </w:pPr>
            <w:r>
              <w:rPr>
                <w:rFonts w:ascii="Times New Roman"/>
                <w:sz w:val="21"/>
              </w:rPr>
              <w:t>0.10</w:t>
            </w:r>
          </w:p>
        </w:tc>
      </w:tr>
      <w:tr>
        <w:trPr>
          <w:trHeight w:val="979" w:hRule="atLeast"/>
        </w:trPr>
        <w:tc>
          <w:tcPr>
            <w:tcW w:w="852" w:type="dxa"/>
          </w:tcPr>
          <w:p>
            <w:pPr>
              <w:pStyle w:val="TableParagraph"/>
              <w:spacing w:before="0"/>
              <w:rPr>
                <w:rFonts w:ascii="Times New Roman"/>
                <w:sz w:val="20"/>
              </w:rPr>
            </w:pPr>
          </w:p>
        </w:tc>
        <w:tc>
          <w:tcPr>
            <w:tcW w:w="3118" w:type="dxa"/>
          </w:tcPr>
          <w:p>
            <w:pPr>
              <w:pStyle w:val="TableParagraph"/>
              <w:spacing w:before="133"/>
              <w:ind w:left="124"/>
              <w:rPr>
                <w:sz w:val="21"/>
              </w:rPr>
            </w:pPr>
            <w:r>
              <w:rPr>
                <w:sz w:val="21"/>
              </w:rPr>
              <w:t>其中：买断式回购的买入返售金</w:t>
            </w:r>
          </w:p>
          <w:p>
            <w:pPr>
              <w:pStyle w:val="TableParagraph"/>
              <w:spacing w:before="1"/>
              <w:rPr>
                <w:sz w:val="16"/>
              </w:rPr>
            </w:pPr>
          </w:p>
          <w:p>
            <w:pPr>
              <w:pStyle w:val="TableParagraph"/>
              <w:spacing w:before="0"/>
              <w:ind w:left="124"/>
              <w:rPr>
                <w:sz w:val="21"/>
              </w:rPr>
            </w:pPr>
            <w:r>
              <w:rPr>
                <w:sz w:val="21"/>
              </w:rPr>
              <w:t>融资产</w:t>
            </w:r>
          </w:p>
        </w:tc>
        <w:tc>
          <w:tcPr>
            <w:tcW w:w="2693" w:type="dxa"/>
          </w:tcPr>
          <w:p>
            <w:pPr>
              <w:pStyle w:val="TableParagraph"/>
              <w:spacing w:before="10"/>
              <w:rPr>
                <w:sz w:val="29"/>
              </w:rPr>
            </w:pPr>
          </w:p>
          <w:p>
            <w:pPr>
              <w:pStyle w:val="TableParagraph"/>
              <w:spacing w:before="0"/>
              <w:ind w:right="95"/>
              <w:jc w:val="right"/>
              <w:rPr>
                <w:rFonts w:ascii="Times New Roman"/>
                <w:sz w:val="21"/>
              </w:rPr>
            </w:pPr>
            <w:r>
              <w:rPr>
                <w:rFonts w:ascii="Times New Roman"/>
                <w:w w:val="100"/>
                <w:sz w:val="21"/>
              </w:rPr>
              <w:t>-</w:t>
            </w:r>
          </w:p>
        </w:tc>
        <w:tc>
          <w:tcPr>
            <w:tcW w:w="1702" w:type="dxa"/>
          </w:tcPr>
          <w:p>
            <w:pPr>
              <w:pStyle w:val="TableParagraph"/>
              <w:spacing w:before="10"/>
              <w:rPr>
                <w:sz w:val="29"/>
              </w:rPr>
            </w:pPr>
          </w:p>
          <w:p>
            <w:pPr>
              <w:pStyle w:val="TableParagraph"/>
              <w:spacing w:before="0"/>
              <w:ind w:right="94"/>
              <w:jc w:val="right"/>
              <w:rPr>
                <w:rFonts w:ascii="Times New Roman"/>
                <w:sz w:val="21"/>
              </w:rPr>
            </w:pPr>
            <w:r>
              <w:rPr>
                <w:rFonts w:ascii="Times New Roman"/>
                <w:w w:val="100"/>
                <w:sz w:val="21"/>
              </w:rPr>
              <w:t>-</w:t>
            </w:r>
          </w:p>
        </w:tc>
      </w:tr>
      <w:tr>
        <w:trPr>
          <w:trHeight w:val="506" w:hRule="atLeast"/>
        </w:trPr>
        <w:tc>
          <w:tcPr>
            <w:tcW w:w="852" w:type="dxa"/>
          </w:tcPr>
          <w:p>
            <w:pPr>
              <w:pStyle w:val="TableParagraph"/>
              <w:spacing w:before="144"/>
              <w:ind w:left="26"/>
              <w:jc w:val="center"/>
              <w:rPr>
                <w:rFonts w:ascii="Times New Roman"/>
                <w:sz w:val="21"/>
              </w:rPr>
            </w:pPr>
            <w:r>
              <w:rPr>
                <w:rFonts w:ascii="Times New Roman"/>
                <w:w w:val="100"/>
                <w:sz w:val="21"/>
              </w:rPr>
              <w:t>7</w:t>
            </w:r>
          </w:p>
        </w:tc>
        <w:tc>
          <w:tcPr>
            <w:tcW w:w="3118" w:type="dxa"/>
          </w:tcPr>
          <w:p>
            <w:pPr>
              <w:pStyle w:val="TableParagraph"/>
              <w:spacing w:before="133"/>
              <w:ind w:left="124"/>
              <w:rPr>
                <w:sz w:val="21"/>
              </w:rPr>
            </w:pPr>
            <w:r>
              <w:rPr>
                <w:sz w:val="21"/>
              </w:rPr>
              <w:t>银行存款和结算备付金合计</w:t>
            </w:r>
          </w:p>
        </w:tc>
        <w:tc>
          <w:tcPr>
            <w:tcW w:w="2693" w:type="dxa"/>
          </w:tcPr>
          <w:p>
            <w:pPr>
              <w:pStyle w:val="TableParagraph"/>
              <w:spacing w:before="144"/>
              <w:ind w:right="93"/>
              <w:jc w:val="right"/>
              <w:rPr>
                <w:rFonts w:ascii="Times New Roman"/>
                <w:sz w:val="21"/>
              </w:rPr>
            </w:pPr>
            <w:r>
              <w:rPr>
                <w:rFonts w:ascii="Times New Roman"/>
                <w:sz w:val="21"/>
              </w:rPr>
              <w:t>368,103,919.18</w:t>
            </w:r>
          </w:p>
        </w:tc>
        <w:tc>
          <w:tcPr>
            <w:tcW w:w="1702" w:type="dxa"/>
          </w:tcPr>
          <w:p>
            <w:pPr>
              <w:pStyle w:val="TableParagraph"/>
              <w:spacing w:before="144"/>
              <w:ind w:right="93"/>
              <w:jc w:val="right"/>
              <w:rPr>
                <w:rFonts w:ascii="Times New Roman"/>
                <w:sz w:val="21"/>
              </w:rPr>
            </w:pPr>
            <w:r>
              <w:rPr>
                <w:rFonts w:ascii="Times New Roman"/>
                <w:sz w:val="21"/>
              </w:rPr>
              <w:t>2.43</w:t>
            </w:r>
          </w:p>
        </w:tc>
      </w:tr>
      <w:tr>
        <w:trPr>
          <w:trHeight w:val="503" w:hRule="atLeast"/>
        </w:trPr>
        <w:tc>
          <w:tcPr>
            <w:tcW w:w="852" w:type="dxa"/>
          </w:tcPr>
          <w:p>
            <w:pPr>
              <w:pStyle w:val="TableParagraph"/>
              <w:spacing w:before="144"/>
              <w:ind w:left="26"/>
              <w:jc w:val="center"/>
              <w:rPr>
                <w:rFonts w:ascii="Times New Roman"/>
                <w:sz w:val="21"/>
              </w:rPr>
            </w:pPr>
            <w:r>
              <w:rPr>
                <w:rFonts w:ascii="Times New Roman"/>
                <w:w w:val="100"/>
                <w:sz w:val="21"/>
              </w:rPr>
              <w:t>8</w:t>
            </w:r>
          </w:p>
        </w:tc>
        <w:tc>
          <w:tcPr>
            <w:tcW w:w="3118" w:type="dxa"/>
          </w:tcPr>
          <w:p>
            <w:pPr>
              <w:pStyle w:val="TableParagraph"/>
              <w:spacing w:before="118"/>
              <w:ind w:left="107"/>
              <w:rPr>
                <w:sz w:val="21"/>
              </w:rPr>
            </w:pPr>
            <w:r>
              <w:rPr>
                <w:sz w:val="21"/>
              </w:rPr>
              <w:t>其他各项资产</w:t>
            </w:r>
          </w:p>
        </w:tc>
        <w:tc>
          <w:tcPr>
            <w:tcW w:w="2693" w:type="dxa"/>
          </w:tcPr>
          <w:p>
            <w:pPr>
              <w:pStyle w:val="TableParagraph"/>
              <w:spacing w:before="130"/>
              <w:ind w:right="93"/>
              <w:jc w:val="right"/>
              <w:rPr>
                <w:rFonts w:ascii="Times New Roman"/>
                <w:sz w:val="21"/>
              </w:rPr>
            </w:pPr>
            <w:r>
              <w:rPr>
                <w:rFonts w:ascii="Times New Roman"/>
                <w:sz w:val="21"/>
              </w:rPr>
              <w:t>80,094,510.02</w:t>
            </w:r>
          </w:p>
        </w:tc>
        <w:tc>
          <w:tcPr>
            <w:tcW w:w="1702" w:type="dxa"/>
          </w:tcPr>
          <w:p>
            <w:pPr>
              <w:pStyle w:val="TableParagraph"/>
              <w:spacing w:before="130"/>
              <w:ind w:right="93"/>
              <w:jc w:val="right"/>
              <w:rPr>
                <w:rFonts w:ascii="Times New Roman"/>
                <w:sz w:val="21"/>
              </w:rPr>
            </w:pPr>
            <w:r>
              <w:rPr>
                <w:rFonts w:ascii="Times New Roman"/>
                <w:sz w:val="21"/>
              </w:rPr>
              <w:t>0.53</w:t>
            </w:r>
          </w:p>
        </w:tc>
      </w:tr>
      <w:tr>
        <w:trPr>
          <w:trHeight w:val="503" w:hRule="atLeast"/>
        </w:trPr>
        <w:tc>
          <w:tcPr>
            <w:tcW w:w="852" w:type="dxa"/>
          </w:tcPr>
          <w:p>
            <w:pPr>
              <w:pStyle w:val="TableParagraph"/>
              <w:spacing w:before="144"/>
              <w:ind w:left="26"/>
              <w:jc w:val="center"/>
              <w:rPr>
                <w:rFonts w:ascii="Times New Roman"/>
                <w:sz w:val="21"/>
              </w:rPr>
            </w:pPr>
            <w:r>
              <w:rPr>
                <w:rFonts w:ascii="Times New Roman"/>
                <w:w w:val="100"/>
                <w:sz w:val="21"/>
              </w:rPr>
              <w:t>9</w:t>
            </w:r>
          </w:p>
        </w:tc>
        <w:tc>
          <w:tcPr>
            <w:tcW w:w="3118" w:type="dxa"/>
          </w:tcPr>
          <w:p>
            <w:pPr>
              <w:pStyle w:val="TableParagraph"/>
              <w:spacing w:before="118"/>
              <w:ind w:left="107"/>
              <w:rPr>
                <w:sz w:val="21"/>
              </w:rPr>
            </w:pPr>
            <w:r>
              <w:rPr>
                <w:sz w:val="21"/>
              </w:rPr>
              <w:t>合计</w:t>
            </w:r>
          </w:p>
        </w:tc>
        <w:tc>
          <w:tcPr>
            <w:tcW w:w="2693" w:type="dxa"/>
          </w:tcPr>
          <w:p>
            <w:pPr>
              <w:pStyle w:val="TableParagraph"/>
              <w:spacing w:before="130"/>
              <w:ind w:right="93"/>
              <w:jc w:val="right"/>
              <w:rPr>
                <w:rFonts w:ascii="Times New Roman"/>
                <w:sz w:val="21"/>
              </w:rPr>
            </w:pPr>
            <w:r>
              <w:rPr>
                <w:rFonts w:ascii="Times New Roman"/>
                <w:sz w:val="21"/>
              </w:rPr>
              <w:t>15,178,937,720.59</w:t>
            </w:r>
          </w:p>
        </w:tc>
        <w:tc>
          <w:tcPr>
            <w:tcW w:w="1702" w:type="dxa"/>
          </w:tcPr>
          <w:p>
            <w:pPr>
              <w:pStyle w:val="TableParagraph"/>
              <w:spacing w:before="130"/>
              <w:ind w:right="93"/>
              <w:jc w:val="right"/>
              <w:rPr>
                <w:rFonts w:ascii="Times New Roman"/>
                <w:sz w:val="21"/>
              </w:rPr>
            </w:pPr>
            <w:r>
              <w:rPr>
                <w:rFonts w:ascii="Times New Roman"/>
                <w:sz w:val="21"/>
              </w:rPr>
              <w:t>100.00</w:t>
            </w:r>
          </w:p>
        </w:tc>
      </w:tr>
    </w:tbl>
    <w:p>
      <w:pPr>
        <w:pStyle w:val="ListParagraph"/>
        <w:numPr>
          <w:ilvl w:val="1"/>
          <w:numId w:val="27"/>
        </w:numPr>
        <w:tabs>
          <w:tab w:pos="618" w:val="left" w:leader="none"/>
        </w:tabs>
        <w:spacing w:line="240" w:lineRule="auto" w:before="104" w:after="0"/>
        <w:ind w:left="617" w:right="0" w:hanging="318"/>
        <w:jc w:val="left"/>
        <w:rPr>
          <w:sz w:val="21"/>
        </w:rPr>
      </w:pPr>
      <w:r>
        <w:rPr>
          <w:spacing w:val="-3"/>
          <w:sz w:val="21"/>
        </w:rPr>
        <w:t>期末投资目标基金明细</w:t>
      </w:r>
    </w:p>
    <w:p>
      <w:pPr>
        <w:pStyle w:val="BodyText"/>
        <w:spacing w:before="2"/>
        <w:rPr>
          <w:sz w:val="8"/>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31"/>
        <w:gridCol w:w="1133"/>
        <w:gridCol w:w="1131"/>
        <w:gridCol w:w="1131"/>
        <w:gridCol w:w="1131"/>
        <w:gridCol w:w="1597"/>
      </w:tblGrid>
      <w:tr>
        <w:trPr>
          <w:trHeight w:val="978" w:hRule="atLeast"/>
        </w:trPr>
        <w:tc>
          <w:tcPr>
            <w:tcW w:w="1114" w:type="dxa"/>
          </w:tcPr>
          <w:p>
            <w:pPr>
              <w:pStyle w:val="TableParagraph"/>
              <w:spacing w:before="11"/>
              <w:rPr>
                <w:sz w:val="28"/>
              </w:rPr>
            </w:pPr>
          </w:p>
          <w:p>
            <w:pPr>
              <w:pStyle w:val="TableParagraph"/>
              <w:spacing w:before="1"/>
              <w:ind w:left="333" w:right="310"/>
              <w:jc w:val="center"/>
              <w:rPr>
                <w:sz w:val="21"/>
              </w:rPr>
            </w:pPr>
            <w:r>
              <w:rPr>
                <w:sz w:val="21"/>
              </w:rPr>
              <w:t>序号</w:t>
            </w:r>
          </w:p>
        </w:tc>
        <w:tc>
          <w:tcPr>
            <w:tcW w:w="1131" w:type="dxa"/>
          </w:tcPr>
          <w:p>
            <w:pPr>
              <w:pStyle w:val="TableParagraph"/>
              <w:spacing w:before="11"/>
              <w:rPr>
                <w:sz w:val="28"/>
              </w:rPr>
            </w:pPr>
          </w:p>
          <w:p>
            <w:pPr>
              <w:pStyle w:val="TableParagraph"/>
              <w:spacing w:before="1"/>
              <w:ind w:left="152"/>
              <w:rPr>
                <w:sz w:val="21"/>
              </w:rPr>
            </w:pPr>
            <w:r>
              <w:rPr>
                <w:sz w:val="21"/>
              </w:rPr>
              <w:t>基金名称</w:t>
            </w:r>
          </w:p>
        </w:tc>
        <w:tc>
          <w:tcPr>
            <w:tcW w:w="1133" w:type="dxa"/>
          </w:tcPr>
          <w:p>
            <w:pPr>
              <w:pStyle w:val="TableParagraph"/>
              <w:spacing w:before="11"/>
              <w:rPr>
                <w:sz w:val="28"/>
              </w:rPr>
            </w:pPr>
          </w:p>
          <w:p>
            <w:pPr>
              <w:pStyle w:val="TableParagraph"/>
              <w:spacing w:before="1"/>
              <w:ind w:left="131" w:right="111"/>
              <w:jc w:val="center"/>
              <w:rPr>
                <w:sz w:val="21"/>
              </w:rPr>
            </w:pPr>
            <w:r>
              <w:rPr>
                <w:sz w:val="21"/>
              </w:rPr>
              <w:t>基金类型</w:t>
            </w:r>
          </w:p>
        </w:tc>
        <w:tc>
          <w:tcPr>
            <w:tcW w:w="1131" w:type="dxa"/>
          </w:tcPr>
          <w:p>
            <w:pPr>
              <w:pStyle w:val="TableParagraph"/>
              <w:spacing w:before="11"/>
              <w:rPr>
                <w:sz w:val="28"/>
              </w:rPr>
            </w:pPr>
          </w:p>
          <w:p>
            <w:pPr>
              <w:pStyle w:val="TableParagraph"/>
              <w:spacing w:before="1"/>
              <w:ind w:left="150"/>
              <w:rPr>
                <w:sz w:val="21"/>
              </w:rPr>
            </w:pPr>
            <w:r>
              <w:rPr>
                <w:sz w:val="21"/>
              </w:rPr>
              <w:t>运作方式</w:t>
            </w:r>
          </w:p>
        </w:tc>
        <w:tc>
          <w:tcPr>
            <w:tcW w:w="1131" w:type="dxa"/>
          </w:tcPr>
          <w:p>
            <w:pPr>
              <w:pStyle w:val="TableParagraph"/>
              <w:spacing w:before="11"/>
              <w:rPr>
                <w:sz w:val="28"/>
              </w:rPr>
            </w:pPr>
          </w:p>
          <w:p>
            <w:pPr>
              <w:pStyle w:val="TableParagraph"/>
              <w:spacing w:before="1"/>
              <w:ind w:left="255"/>
              <w:rPr>
                <w:sz w:val="21"/>
              </w:rPr>
            </w:pPr>
            <w:r>
              <w:rPr>
                <w:sz w:val="21"/>
              </w:rPr>
              <w:t>管理人</w:t>
            </w:r>
          </w:p>
        </w:tc>
        <w:tc>
          <w:tcPr>
            <w:tcW w:w="1131" w:type="dxa"/>
          </w:tcPr>
          <w:p>
            <w:pPr>
              <w:pStyle w:val="TableParagraph"/>
              <w:spacing w:before="11"/>
              <w:rPr>
                <w:sz w:val="28"/>
              </w:rPr>
            </w:pPr>
          </w:p>
          <w:p>
            <w:pPr>
              <w:pStyle w:val="TableParagraph"/>
              <w:spacing w:before="1"/>
              <w:ind w:left="149"/>
              <w:rPr>
                <w:sz w:val="21"/>
              </w:rPr>
            </w:pPr>
            <w:r>
              <w:rPr>
                <w:sz w:val="21"/>
              </w:rPr>
              <w:t>公允价值</w:t>
            </w:r>
          </w:p>
        </w:tc>
        <w:tc>
          <w:tcPr>
            <w:tcW w:w="1597" w:type="dxa"/>
          </w:tcPr>
          <w:p>
            <w:pPr>
              <w:pStyle w:val="TableParagraph"/>
              <w:spacing w:before="133"/>
              <w:ind w:left="172"/>
              <w:rPr>
                <w:sz w:val="21"/>
              </w:rPr>
            </w:pPr>
            <w:r>
              <w:rPr>
                <w:spacing w:val="-2"/>
                <w:sz w:val="21"/>
              </w:rPr>
              <w:t>占基金资产净</w:t>
            </w:r>
          </w:p>
          <w:p>
            <w:pPr>
              <w:pStyle w:val="TableParagraph"/>
              <w:spacing w:before="1"/>
              <w:rPr>
                <w:sz w:val="16"/>
              </w:rPr>
            </w:pPr>
          </w:p>
          <w:p>
            <w:pPr>
              <w:pStyle w:val="TableParagraph"/>
              <w:spacing w:before="0"/>
              <w:ind w:left="189"/>
              <w:rPr>
                <w:sz w:val="21"/>
              </w:rPr>
            </w:pPr>
            <w:r>
              <w:rPr>
                <w:spacing w:val="-2"/>
                <w:sz w:val="21"/>
              </w:rPr>
              <w:t>值比例</w:t>
            </w:r>
            <w:r>
              <w:rPr>
                <w:spacing w:val="-1"/>
                <w:sz w:val="21"/>
              </w:rPr>
              <w:t>（</w:t>
            </w:r>
            <w:r>
              <w:rPr>
                <w:rFonts w:ascii="Times New Roman" w:eastAsia="Times New Roman"/>
                <w:spacing w:val="-1"/>
                <w:sz w:val="21"/>
              </w:rPr>
              <w:t>%</w:t>
            </w:r>
            <w:r>
              <w:rPr>
                <w:spacing w:val="-1"/>
                <w:sz w:val="21"/>
              </w:rPr>
              <w:t>）</w:t>
            </w:r>
          </w:p>
        </w:tc>
      </w:tr>
      <w:tr>
        <w:trPr>
          <w:trHeight w:val="952" w:hRule="atLeast"/>
        </w:trPr>
        <w:tc>
          <w:tcPr>
            <w:tcW w:w="1114" w:type="dxa"/>
          </w:tcPr>
          <w:p>
            <w:pPr>
              <w:pStyle w:val="TableParagraph"/>
              <w:spacing w:before="7"/>
              <w:rPr>
                <w:sz w:val="27"/>
              </w:rPr>
            </w:pPr>
          </w:p>
          <w:p>
            <w:pPr>
              <w:pStyle w:val="TableParagraph"/>
              <w:spacing w:before="1"/>
              <w:ind w:left="9"/>
              <w:jc w:val="center"/>
              <w:rPr>
                <w:rFonts w:ascii="Times New Roman"/>
                <w:sz w:val="21"/>
              </w:rPr>
            </w:pPr>
            <w:r>
              <w:rPr>
                <w:rFonts w:ascii="Times New Roman"/>
                <w:w w:val="100"/>
                <w:sz w:val="21"/>
              </w:rPr>
              <w:t>1</w:t>
            </w:r>
          </w:p>
        </w:tc>
        <w:tc>
          <w:tcPr>
            <w:tcW w:w="1131" w:type="dxa"/>
          </w:tcPr>
          <w:p>
            <w:pPr>
              <w:pStyle w:val="TableParagraph"/>
              <w:spacing w:before="4"/>
              <w:rPr>
                <w:sz w:val="14"/>
              </w:rPr>
            </w:pPr>
          </w:p>
          <w:p>
            <w:pPr>
              <w:pStyle w:val="TableParagraph"/>
              <w:spacing w:before="0"/>
              <w:ind w:left="145"/>
              <w:rPr>
                <w:sz w:val="21"/>
              </w:rPr>
            </w:pPr>
            <w:r>
              <w:rPr>
                <w:sz w:val="21"/>
              </w:rPr>
              <w:t>华夏沪深</w:t>
            </w:r>
          </w:p>
          <w:p>
            <w:pPr>
              <w:pStyle w:val="TableParagraph"/>
              <w:spacing w:before="59"/>
              <w:ind w:left="220"/>
              <w:rPr>
                <w:rFonts w:ascii="Times New Roman"/>
                <w:sz w:val="21"/>
              </w:rPr>
            </w:pPr>
            <w:r>
              <w:rPr>
                <w:rFonts w:ascii="Times New Roman"/>
                <w:sz w:val="21"/>
              </w:rPr>
              <w:t>300ETF</w:t>
            </w:r>
          </w:p>
        </w:tc>
        <w:tc>
          <w:tcPr>
            <w:tcW w:w="1133" w:type="dxa"/>
          </w:tcPr>
          <w:p>
            <w:pPr>
              <w:pStyle w:val="TableParagraph"/>
              <w:spacing w:before="9"/>
              <w:rPr>
                <w:sz w:val="26"/>
              </w:rPr>
            </w:pPr>
          </w:p>
          <w:p>
            <w:pPr>
              <w:pStyle w:val="TableParagraph"/>
              <w:spacing w:before="0"/>
              <w:ind w:left="119" w:right="111"/>
              <w:jc w:val="center"/>
              <w:rPr>
                <w:sz w:val="21"/>
              </w:rPr>
            </w:pPr>
            <w:r>
              <w:rPr>
                <w:sz w:val="21"/>
              </w:rPr>
              <w:t>股票型</w:t>
            </w:r>
          </w:p>
        </w:tc>
        <w:tc>
          <w:tcPr>
            <w:tcW w:w="1131" w:type="dxa"/>
          </w:tcPr>
          <w:p>
            <w:pPr>
              <w:pStyle w:val="TableParagraph"/>
              <w:spacing w:before="4"/>
              <w:rPr>
                <w:sz w:val="14"/>
              </w:rPr>
            </w:pPr>
          </w:p>
          <w:p>
            <w:pPr>
              <w:pStyle w:val="TableParagraph"/>
              <w:spacing w:line="283" w:lineRule="auto" w:before="0"/>
              <w:ind w:left="354" w:right="133" w:hanging="212"/>
              <w:rPr>
                <w:sz w:val="21"/>
              </w:rPr>
            </w:pPr>
            <w:r>
              <w:rPr>
                <w:sz w:val="21"/>
              </w:rPr>
              <w:t>交易型开放式</w:t>
            </w:r>
          </w:p>
        </w:tc>
        <w:tc>
          <w:tcPr>
            <w:tcW w:w="1131" w:type="dxa"/>
          </w:tcPr>
          <w:p>
            <w:pPr>
              <w:pStyle w:val="TableParagraph"/>
              <w:ind w:left="142"/>
              <w:rPr>
                <w:sz w:val="21"/>
              </w:rPr>
            </w:pPr>
            <w:r>
              <w:rPr>
                <w:sz w:val="21"/>
              </w:rPr>
              <w:t>华夏基金</w:t>
            </w:r>
          </w:p>
          <w:p>
            <w:pPr>
              <w:pStyle w:val="TableParagraph"/>
              <w:spacing w:line="310" w:lineRule="atLeast" w:before="7"/>
              <w:ind w:left="354" w:right="133" w:hanging="212"/>
              <w:rPr>
                <w:sz w:val="21"/>
              </w:rPr>
            </w:pPr>
            <w:r>
              <w:rPr>
                <w:sz w:val="21"/>
              </w:rPr>
              <w:t>管理有限公司</w:t>
            </w:r>
          </w:p>
        </w:tc>
        <w:tc>
          <w:tcPr>
            <w:tcW w:w="1131" w:type="dxa"/>
          </w:tcPr>
          <w:p>
            <w:pPr>
              <w:pStyle w:val="TableParagraph"/>
              <w:spacing w:before="195"/>
              <w:ind w:left="180"/>
              <w:rPr>
                <w:rFonts w:ascii="Times New Roman"/>
                <w:sz w:val="21"/>
              </w:rPr>
            </w:pPr>
            <w:r>
              <w:rPr>
                <w:rFonts w:ascii="Times New Roman"/>
                <w:sz w:val="21"/>
              </w:rPr>
              <w:t>14,012,18</w:t>
            </w:r>
          </w:p>
          <w:p>
            <w:pPr>
              <w:pStyle w:val="TableParagraph"/>
              <w:spacing w:before="75"/>
              <w:ind w:left="286"/>
              <w:rPr>
                <w:rFonts w:ascii="Times New Roman"/>
                <w:sz w:val="21"/>
              </w:rPr>
            </w:pPr>
            <w:r>
              <w:rPr>
                <w:rFonts w:ascii="Times New Roman"/>
                <w:sz w:val="21"/>
              </w:rPr>
              <w:t>1,423.09</w:t>
            </w:r>
          </w:p>
        </w:tc>
        <w:tc>
          <w:tcPr>
            <w:tcW w:w="1597" w:type="dxa"/>
          </w:tcPr>
          <w:p>
            <w:pPr>
              <w:pStyle w:val="TableParagraph"/>
              <w:spacing w:before="7"/>
              <w:rPr>
                <w:sz w:val="27"/>
              </w:rPr>
            </w:pPr>
          </w:p>
          <w:p>
            <w:pPr>
              <w:pStyle w:val="TableParagraph"/>
              <w:spacing w:before="1"/>
              <w:ind w:left="1013"/>
              <w:rPr>
                <w:rFonts w:ascii="Times New Roman"/>
                <w:sz w:val="21"/>
              </w:rPr>
            </w:pPr>
            <w:r>
              <w:rPr>
                <w:rFonts w:ascii="Times New Roman"/>
                <w:sz w:val="21"/>
              </w:rPr>
              <w:t>93.13</w:t>
            </w:r>
          </w:p>
        </w:tc>
      </w:tr>
    </w:tbl>
    <w:p>
      <w:pPr>
        <w:spacing w:after="0"/>
        <w:rPr>
          <w:rFonts w:ascii="Times New Roman"/>
          <w:sz w:val="21"/>
        </w:rPr>
        <w:sectPr>
          <w:pgSz w:w="11910" w:h="16840"/>
          <w:pgMar w:header="701" w:footer="683" w:top="1420" w:bottom="880" w:left="1500" w:right="920"/>
        </w:sectPr>
      </w:pPr>
    </w:p>
    <w:p>
      <w:pPr>
        <w:pStyle w:val="ListParagraph"/>
        <w:numPr>
          <w:ilvl w:val="1"/>
          <w:numId w:val="27"/>
        </w:numPr>
        <w:tabs>
          <w:tab w:pos="618" w:val="left" w:leader="none"/>
        </w:tabs>
        <w:spacing w:line="240" w:lineRule="auto" w:before="115" w:after="0"/>
        <w:ind w:left="617" w:right="0" w:hanging="318"/>
        <w:jc w:val="left"/>
        <w:rPr>
          <w:sz w:val="21"/>
        </w:rPr>
      </w:pPr>
      <w:r>
        <w:rPr>
          <w:spacing w:val="-3"/>
          <w:sz w:val="21"/>
        </w:rPr>
        <w:t>报告期末按行业分类的股票投资组合</w:t>
      </w:r>
    </w:p>
    <w:p>
      <w:pPr>
        <w:pStyle w:val="BodyText"/>
        <w:rPr>
          <w:sz w:val="16"/>
        </w:rPr>
      </w:pPr>
    </w:p>
    <w:p>
      <w:pPr>
        <w:pStyle w:val="ListParagraph"/>
        <w:numPr>
          <w:ilvl w:val="2"/>
          <w:numId w:val="27"/>
        </w:numPr>
        <w:tabs>
          <w:tab w:pos="774" w:val="left" w:leader="none"/>
        </w:tabs>
        <w:spacing w:line="240" w:lineRule="auto" w:before="1" w:after="0"/>
        <w:ind w:left="773" w:right="0" w:hanging="474"/>
        <w:jc w:val="left"/>
        <w:rPr>
          <w:sz w:val="21"/>
        </w:rPr>
      </w:pPr>
      <w:r>
        <w:rPr>
          <w:spacing w:val="-3"/>
          <w:sz w:val="21"/>
        </w:rPr>
        <w:t>报告期末按行业分类的境内股票投资组合</w:t>
      </w:r>
    </w:p>
    <w:p>
      <w:pPr>
        <w:pStyle w:val="BodyText"/>
        <w:spacing w:before="11" w:after="1"/>
        <w:rPr>
          <w:sz w:val="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3692"/>
        <w:gridCol w:w="2187"/>
        <w:gridCol w:w="1844"/>
      </w:tblGrid>
      <w:tr>
        <w:trPr>
          <w:trHeight w:val="815" w:hRule="atLeast"/>
        </w:trPr>
        <w:tc>
          <w:tcPr>
            <w:tcW w:w="643" w:type="dxa"/>
          </w:tcPr>
          <w:p>
            <w:pPr>
              <w:pStyle w:val="TableParagraph"/>
              <w:spacing w:before="7"/>
              <w:rPr>
                <w:sz w:val="25"/>
              </w:rPr>
            </w:pPr>
          </w:p>
          <w:p>
            <w:pPr>
              <w:pStyle w:val="TableParagraph"/>
              <w:spacing w:before="0"/>
              <w:ind w:left="91" w:right="82"/>
              <w:jc w:val="center"/>
              <w:rPr>
                <w:sz w:val="21"/>
              </w:rPr>
            </w:pPr>
            <w:r>
              <w:rPr>
                <w:sz w:val="21"/>
              </w:rPr>
              <w:t>代码</w:t>
            </w:r>
          </w:p>
        </w:tc>
        <w:tc>
          <w:tcPr>
            <w:tcW w:w="3692" w:type="dxa"/>
          </w:tcPr>
          <w:p>
            <w:pPr>
              <w:pStyle w:val="TableParagraph"/>
              <w:spacing w:before="7"/>
              <w:rPr>
                <w:sz w:val="25"/>
              </w:rPr>
            </w:pPr>
          </w:p>
          <w:p>
            <w:pPr>
              <w:pStyle w:val="TableParagraph"/>
              <w:spacing w:before="0"/>
              <w:ind w:left="1404" w:right="1397"/>
              <w:jc w:val="center"/>
              <w:rPr>
                <w:sz w:val="21"/>
              </w:rPr>
            </w:pPr>
            <w:r>
              <w:rPr>
                <w:sz w:val="21"/>
              </w:rPr>
              <w:t>行业类别</w:t>
            </w:r>
          </w:p>
        </w:tc>
        <w:tc>
          <w:tcPr>
            <w:tcW w:w="2187" w:type="dxa"/>
          </w:tcPr>
          <w:p>
            <w:pPr>
              <w:pStyle w:val="TableParagraph"/>
              <w:spacing w:before="7"/>
              <w:rPr>
                <w:sz w:val="25"/>
              </w:rPr>
            </w:pPr>
          </w:p>
          <w:p>
            <w:pPr>
              <w:pStyle w:val="TableParagraph"/>
              <w:spacing w:before="0"/>
              <w:ind w:left="357"/>
              <w:rPr>
                <w:sz w:val="21"/>
              </w:rPr>
            </w:pPr>
            <w:r>
              <w:rPr>
                <w:sz w:val="21"/>
              </w:rPr>
              <w:t>公允价值（元）</w:t>
            </w:r>
          </w:p>
        </w:tc>
        <w:tc>
          <w:tcPr>
            <w:tcW w:w="1844" w:type="dxa"/>
          </w:tcPr>
          <w:p>
            <w:pPr>
              <w:pStyle w:val="TableParagraph"/>
              <w:spacing w:line="400" w:lineRule="exact" w:before="16"/>
              <w:ind w:left="499" w:right="70" w:hanging="421"/>
              <w:rPr>
                <w:sz w:val="21"/>
              </w:rPr>
            </w:pPr>
            <w:r>
              <w:rPr>
                <w:sz w:val="21"/>
              </w:rPr>
              <w:t>占基金资产净值比例（％）</w:t>
            </w:r>
          </w:p>
        </w:tc>
      </w:tr>
      <w:tr>
        <w:trPr>
          <w:trHeight w:val="520" w:hRule="atLeast"/>
        </w:trPr>
        <w:tc>
          <w:tcPr>
            <w:tcW w:w="643" w:type="dxa"/>
          </w:tcPr>
          <w:p>
            <w:pPr>
              <w:pStyle w:val="TableParagraph"/>
              <w:spacing w:before="192"/>
              <w:ind w:left="8"/>
              <w:jc w:val="center"/>
              <w:rPr>
                <w:rFonts w:ascii="Times New Roman"/>
                <w:sz w:val="21"/>
              </w:rPr>
            </w:pPr>
            <w:r>
              <w:rPr>
                <w:rFonts w:ascii="Times New Roman"/>
                <w:w w:val="100"/>
                <w:sz w:val="21"/>
              </w:rPr>
              <w:t>A</w:t>
            </w:r>
          </w:p>
        </w:tc>
        <w:tc>
          <w:tcPr>
            <w:tcW w:w="3692" w:type="dxa"/>
          </w:tcPr>
          <w:p>
            <w:pPr>
              <w:pStyle w:val="TableParagraph"/>
              <w:spacing w:before="178"/>
              <w:ind w:left="14"/>
              <w:rPr>
                <w:sz w:val="21"/>
              </w:rPr>
            </w:pPr>
            <w:r>
              <w:rPr>
                <w:sz w:val="21"/>
              </w:rPr>
              <w:t>农、林、牧、渔业</w:t>
            </w:r>
          </w:p>
        </w:tc>
        <w:tc>
          <w:tcPr>
            <w:tcW w:w="2187" w:type="dxa"/>
          </w:tcPr>
          <w:p>
            <w:pPr>
              <w:pStyle w:val="TableParagraph"/>
              <w:spacing w:before="158"/>
              <w:ind w:right="-15"/>
              <w:jc w:val="right"/>
              <w:rPr>
                <w:rFonts w:ascii="Times New Roman"/>
                <w:sz w:val="21"/>
              </w:rPr>
            </w:pPr>
            <w:r>
              <w:rPr>
                <w:rFonts w:ascii="Times New Roman"/>
                <w:sz w:val="21"/>
              </w:rPr>
              <w:t>5,271,442.00</w:t>
            </w:r>
          </w:p>
        </w:tc>
        <w:tc>
          <w:tcPr>
            <w:tcW w:w="1844" w:type="dxa"/>
          </w:tcPr>
          <w:p>
            <w:pPr>
              <w:pStyle w:val="TableParagraph"/>
              <w:spacing w:before="158"/>
              <w:ind w:right="3"/>
              <w:jc w:val="right"/>
              <w:rPr>
                <w:rFonts w:ascii="Times New Roman"/>
                <w:sz w:val="21"/>
              </w:rPr>
            </w:pPr>
            <w:r>
              <w:rPr>
                <w:rFonts w:ascii="Times New Roman"/>
                <w:sz w:val="21"/>
              </w:rPr>
              <w:t>0.04</w:t>
            </w:r>
          </w:p>
        </w:tc>
      </w:tr>
      <w:tr>
        <w:trPr>
          <w:trHeight w:val="647" w:hRule="atLeast"/>
        </w:trPr>
        <w:tc>
          <w:tcPr>
            <w:tcW w:w="643" w:type="dxa"/>
          </w:tcPr>
          <w:p>
            <w:pPr>
              <w:pStyle w:val="TableParagraph"/>
              <w:spacing w:before="11"/>
              <w:rPr>
                <w:sz w:val="19"/>
              </w:rPr>
            </w:pPr>
          </w:p>
          <w:p>
            <w:pPr>
              <w:pStyle w:val="TableParagraph"/>
              <w:spacing w:before="0"/>
              <w:ind w:left="6"/>
              <w:jc w:val="center"/>
              <w:rPr>
                <w:rFonts w:ascii="Times New Roman"/>
                <w:sz w:val="21"/>
              </w:rPr>
            </w:pPr>
            <w:r>
              <w:rPr>
                <w:rFonts w:ascii="Times New Roman"/>
                <w:w w:val="100"/>
                <w:sz w:val="21"/>
              </w:rPr>
              <w:t>B</w:t>
            </w:r>
          </w:p>
        </w:tc>
        <w:tc>
          <w:tcPr>
            <w:tcW w:w="3692" w:type="dxa"/>
          </w:tcPr>
          <w:p>
            <w:pPr>
              <w:pStyle w:val="TableParagraph"/>
              <w:spacing w:before="10"/>
              <w:rPr>
                <w:sz w:val="18"/>
              </w:rPr>
            </w:pPr>
          </w:p>
          <w:p>
            <w:pPr>
              <w:pStyle w:val="TableParagraph"/>
              <w:spacing w:before="0"/>
              <w:ind w:left="14"/>
              <w:rPr>
                <w:sz w:val="21"/>
              </w:rPr>
            </w:pPr>
            <w:r>
              <w:rPr>
                <w:sz w:val="21"/>
              </w:rPr>
              <w:t>采矿业</w:t>
            </w:r>
          </w:p>
        </w:tc>
        <w:tc>
          <w:tcPr>
            <w:tcW w:w="2187" w:type="dxa"/>
          </w:tcPr>
          <w:p>
            <w:pPr>
              <w:pStyle w:val="TableParagraph"/>
              <w:spacing w:before="51"/>
              <w:ind w:right="-15"/>
              <w:jc w:val="right"/>
              <w:rPr>
                <w:rFonts w:ascii="Times New Roman"/>
                <w:sz w:val="21"/>
              </w:rPr>
            </w:pPr>
            <w:r>
              <w:rPr>
                <w:rFonts w:ascii="Times New Roman"/>
                <w:sz w:val="21"/>
              </w:rPr>
              <w:t>4,993,439.40</w:t>
            </w:r>
          </w:p>
        </w:tc>
        <w:tc>
          <w:tcPr>
            <w:tcW w:w="1844" w:type="dxa"/>
          </w:tcPr>
          <w:p>
            <w:pPr>
              <w:pStyle w:val="TableParagraph"/>
              <w:spacing w:before="51"/>
              <w:ind w:right="3"/>
              <w:jc w:val="right"/>
              <w:rPr>
                <w:rFonts w:ascii="Times New Roman"/>
                <w:sz w:val="21"/>
              </w:rPr>
            </w:pPr>
            <w:r>
              <w:rPr>
                <w:rFonts w:ascii="Times New Roman"/>
                <w:sz w:val="21"/>
              </w:rPr>
              <w:t>0.03</w:t>
            </w:r>
          </w:p>
        </w:tc>
      </w:tr>
      <w:tr>
        <w:trPr>
          <w:trHeight w:val="415" w:hRule="atLeast"/>
        </w:trPr>
        <w:tc>
          <w:tcPr>
            <w:tcW w:w="643" w:type="dxa"/>
          </w:tcPr>
          <w:p>
            <w:pPr>
              <w:pStyle w:val="TableParagraph"/>
              <w:spacing w:before="139"/>
              <w:ind w:left="6"/>
              <w:jc w:val="center"/>
              <w:rPr>
                <w:rFonts w:ascii="Times New Roman"/>
                <w:sz w:val="21"/>
              </w:rPr>
            </w:pPr>
            <w:r>
              <w:rPr>
                <w:rFonts w:ascii="Times New Roman"/>
                <w:w w:val="100"/>
                <w:sz w:val="21"/>
              </w:rPr>
              <w:t>C</w:t>
            </w:r>
          </w:p>
        </w:tc>
        <w:tc>
          <w:tcPr>
            <w:tcW w:w="3692" w:type="dxa"/>
          </w:tcPr>
          <w:p>
            <w:pPr>
              <w:pStyle w:val="TableParagraph"/>
              <w:spacing w:before="126"/>
              <w:ind w:left="14"/>
              <w:rPr>
                <w:sz w:val="21"/>
              </w:rPr>
            </w:pPr>
            <w:r>
              <w:rPr>
                <w:sz w:val="21"/>
              </w:rPr>
              <w:t>制造业</w:t>
            </w:r>
          </w:p>
        </w:tc>
        <w:tc>
          <w:tcPr>
            <w:tcW w:w="2187" w:type="dxa"/>
          </w:tcPr>
          <w:p>
            <w:pPr>
              <w:pStyle w:val="TableParagraph"/>
              <w:spacing w:before="94"/>
              <w:ind w:right="-15"/>
              <w:jc w:val="right"/>
              <w:rPr>
                <w:rFonts w:ascii="Times New Roman"/>
                <w:sz w:val="21"/>
              </w:rPr>
            </w:pPr>
            <w:r>
              <w:rPr>
                <w:rFonts w:ascii="Times New Roman"/>
                <w:sz w:val="21"/>
              </w:rPr>
              <w:t>142,656,187.13</w:t>
            </w:r>
          </w:p>
        </w:tc>
        <w:tc>
          <w:tcPr>
            <w:tcW w:w="1844" w:type="dxa"/>
          </w:tcPr>
          <w:p>
            <w:pPr>
              <w:pStyle w:val="TableParagraph"/>
              <w:spacing w:before="94"/>
              <w:ind w:right="3"/>
              <w:jc w:val="right"/>
              <w:rPr>
                <w:rFonts w:ascii="Times New Roman"/>
                <w:sz w:val="21"/>
              </w:rPr>
            </w:pPr>
            <w:r>
              <w:rPr>
                <w:rFonts w:ascii="Times New Roman"/>
                <w:sz w:val="21"/>
              </w:rPr>
              <w:t>0.95</w:t>
            </w:r>
          </w:p>
        </w:tc>
      </w:tr>
      <w:tr>
        <w:trPr>
          <w:trHeight w:val="414" w:hRule="atLeast"/>
        </w:trPr>
        <w:tc>
          <w:tcPr>
            <w:tcW w:w="643" w:type="dxa"/>
          </w:tcPr>
          <w:p>
            <w:pPr>
              <w:pStyle w:val="TableParagraph"/>
              <w:spacing w:before="139"/>
              <w:ind w:left="8"/>
              <w:jc w:val="center"/>
              <w:rPr>
                <w:rFonts w:ascii="Times New Roman"/>
                <w:sz w:val="21"/>
              </w:rPr>
            </w:pPr>
            <w:r>
              <w:rPr>
                <w:rFonts w:ascii="Times New Roman"/>
                <w:w w:val="100"/>
                <w:sz w:val="21"/>
              </w:rPr>
              <w:t>D</w:t>
            </w:r>
          </w:p>
        </w:tc>
        <w:tc>
          <w:tcPr>
            <w:tcW w:w="3692" w:type="dxa"/>
          </w:tcPr>
          <w:p>
            <w:pPr>
              <w:pStyle w:val="TableParagraph"/>
              <w:spacing w:before="125"/>
              <w:ind w:left="14"/>
              <w:rPr>
                <w:sz w:val="21"/>
              </w:rPr>
            </w:pPr>
            <w:r>
              <w:rPr>
                <w:sz w:val="21"/>
              </w:rPr>
              <w:t>电力、热力、燃气及水生产和供应业</w:t>
            </w:r>
          </w:p>
        </w:tc>
        <w:tc>
          <w:tcPr>
            <w:tcW w:w="2187" w:type="dxa"/>
          </w:tcPr>
          <w:p>
            <w:pPr>
              <w:pStyle w:val="TableParagraph"/>
              <w:spacing w:before="94"/>
              <w:ind w:right="-15"/>
              <w:jc w:val="right"/>
              <w:rPr>
                <w:rFonts w:ascii="Times New Roman"/>
                <w:sz w:val="21"/>
              </w:rPr>
            </w:pPr>
            <w:r>
              <w:rPr>
                <w:rFonts w:ascii="Times New Roman"/>
                <w:sz w:val="21"/>
              </w:rPr>
              <w:t>4,398,521.32</w:t>
            </w:r>
          </w:p>
        </w:tc>
        <w:tc>
          <w:tcPr>
            <w:tcW w:w="1844" w:type="dxa"/>
          </w:tcPr>
          <w:p>
            <w:pPr>
              <w:pStyle w:val="TableParagraph"/>
              <w:spacing w:before="94"/>
              <w:ind w:right="3"/>
              <w:jc w:val="right"/>
              <w:rPr>
                <w:rFonts w:ascii="Times New Roman"/>
                <w:sz w:val="21"/>
              </w:rPr>
            </w:pPr>
            <w:r>
              <w:rPr>
                <w:rFonts w:ascii="Times New Roman"/>
                <w:sz w:val="21"/>
              </w:rPr>
              <w:t>0.03</w:t>
            </w:r>
          </w:p>
        </w:tc>
      </w:tr>
      <w:tr>
        <w:trPr>
          <w:trHeight w:val="414" w:hRule="atLeast"/>
        </w:trPr>
        <w:tc>
          <w:tcPr>
            <w:tcW w:w="643" w:type="dxa"/>
          </w:tcPr>
          <w:p>
            <w:pPr>
              <w:pStyle w:val="TableParagraph"/>
              <w:spacing w:before="139"/>
              <w:ind w:left="9"/>
              <w:jc w:val="center"/>
              <w:rPr>
                <w:rFonts w:ascii="Times New Roman"/>
                <w:sz w:val="21"/>
              </w:rPr>
            </w:pPr>
            <w:r>
              <w:rPr>
                <w:rFonts w:ascii="Times New Roman"/>
                <w:w w:val="100"/>
                <w:sz w:val="21"/>
              </w:rPr>
              <w:t>E</w:t>
            </w:r>
          </w:p>
        </w:tc>
        <w:tc>
          <w:tcPr>
            <w:tcW w:w="3692" w:type="dxa"/>
          </w:tcPr>
          <w:p>
            <w:pPr>
              <w:pStyle w:val="TableParagraph"/>
              <w:spacing w:before="126"/>
              <w:ind w:left="14"/>
              <w:rPr>
                <w:sz w:val="21"/>
              </w:rPr>
            </w:pPr>
            <w:r>
              <w:rPr>
                <w:sz w:val="21"/>
              </w:rPr>
              <w:t>建筑业</w:t>
            </w:r>
          </w:p>
        </w:tc>
        <w:tc>
          <w:tcPr>
            <w:tcW w:w="2187" w:type="dxa"/>
          </w:tcPr>
          <w:p>
            <w:pPr>
              <w:pStyle w:val="TableParagraph"/>
              <w:spacing w:before="94"/>
              <w:ind w:right="-15"/>
              <w:jc w:val="right"/>
              <w:rPr>
                <w:rFonts w:ascii="Times New Roman"/>
                <w:sz w:val="21"/>
              </w:rPr>
            </w:pPr>
            <w:r>
              <w:rPr>
                <w:rFonts w:ascii="Times New Roman"/>
                <w:sz w:val="21"/>
              </w:rPr>
              <w:t>4,099,144.93</w:t>
            </w:r>
          </w:p>
        </w:tc>
        <w:tc>
          <w:tcPr>
            <w:tcW w:w="1844" w:type="dxa"/>
          </w:tcPr>
          <w:p>
            <w:pPr>
              <w:pStyle w:val="TableParagraph"/>
              <w:spacing w:before="94"/>
              <w:ind w:right="3"/>
              <w:jc w:val="right"/>
              <w:rPr>
                <w:rFonts w:ascii="Times New Roman"/>
                <w:sz w:val="21"/>
              </w:rPr>
            </w:pPr>
            <w:r>
              <w:rPr>
                <w:rFonts w:ascii="Times New Roman"/>
                <w:sz w:val="21"/>
              </w:rPr>
              <w:t>0.03</w:t>
            </w:r>
          </w:p>
        </w:tc>
      </w:tr>
      <w:tr>
        <w:trPr>
          <w:trHeight w:val="417" w:hRule="atLeast"/>
        </w:trPr>
        <w:tc>
          <w:tcPr>
            <w:tcW w:w="643" w:type="dxa"/>
          </w:tcPr>
          <w:p>
            <w:pPr>
              <w:pStyle w:val="TableParagraph"/>
              <w:spacing w:before="142"/>
              <w:ind w:left="7"/>
              <w:jc w:val="center"/>
              <w:rPr>
                <w:rFonts w:ascii="Times New Roman"/>
                <w:sz w:val="21"/>
              </w:rPr>
            </w:pPr>
            <w:r>
              <w:rPr>
                <w:rFonts w:ascii="Times New Roman"/>
                <w:w w:val="100"/>
                <w:sz w:val="21"/>
              </w:rPr>
              <w:t>F</w:t>
            </w:r>
          </w:p>
        </w:tc>
        <w:tc>
          <w:tcPr>
            <w:tcW w:w="3692" w:type="dxa"/>
          </w:tcPr>
          <w:p>
            <w:pPr>
              <w:pStyle w:val="TableParagraph"/>
              <w:spacing w:before="128"/>
              <w:ind w:left="14"/>
              <w:rPr>
                <w:sz w:val="21"/>
              </w:rPr>
            </w:pPr>
            <w:r>
              <w:rPr>
                <w:sz w:val="21"/>
              </w:rPr>
              <w:t>批发和零售业</w:t>
            </w:r>
          </w:p>
        </w:tc>
        <w:tc>
          <w:tcPr>
            <w:tcW w:w="2187" w:type="dxa"/>
          </w:tcPr>
          <w:p>
            <w:pPr>
              <w:pStyle w:val="TableParagraph"/>
              <w:spacing w:before="94"/>
              <w:ind w:right="-15"/>
              <w:jc w:val="right"/>
              <w:rPr>
                <w:rFonts w:ascii="Times New Roman"/>
                <w:sz w:val="21"/>
              </w:rPr>
            </w:pPr>
            <w:r>
              <w:rPr>
                <w:rFonts w:ascii="Times New Roman"/>
                <w:sz w:val="21"/>
              </w:rPr>
              <w:t>2,693,760.50</w:t>
            </w:r>
          </w:p>
        </w:tc>
        <w:tc>
          <w:tcPr>
            <w:tcW w:w="1844" w:type="dxa"/>
          </w:tcPr>
          <w:p>
            <w:pPr>
              <w:pStyle w:val="TableParagraph"/>
              <w:spacing w:before="94"/>
              <w:ind w:right="3"/>
              <w:jc w:val="right"/>
              <w:rPr>
                <w:rFonts w:ascii="Times New Roman"/>
                <w:sz w:val="21"/>
              </w:rPr>
            </w:pPr>
            <w:r>
              <w:rPr>
                <w:rFonts w:ascii="Times New Roman"/>
                <w:sz w:val="21"/>
              </w:rPr>
              <w:t>0.02</w:t>
            </w:r>
          </w:p>
        </w:tc>
      </w:tr>
      <w:tr>
        <w:trPr>
          <w:trHeight w:val="414" w:hRule="atLeast"/>
        </w:trPr>
        <w:tc>
          <w:tcPr>
            <w:tcW w:w="643" w:type="dxa"/>
          </w:tcPr>
          <w:p>
            <w:pPr>
              <w:pStyle w:val="TableParagraph"/>
              <w:spacing w:before="139"/>
              <w:ind w:left="8"/>
              <w:jc w:val="center"/>
              <w:rPr>
                <w:rFonts w:ascii="Times New Roman"/>
                <w:sz w:val="21"/>
              </w:rPr>
            </w:pPr>
            <w:r>
              <w:rPr>
                <w:rFonts w:ascii="Times New Roman"/>
                <w:w w:val="100"/>
                <w:sz w:val="21"/>
              </w:rPr>
              <w:t>G</w:t>
            </w:r>
          </w:p>
        </w:tc>
        <w:tc>
          <w:tcPr>
            <w:tcW w:w="3692" w:type="dxa"/>
          </w:tcPr>
          <w:p>
            <w:pPr>
              <w:pStyle w:val="TableParagraph"/>
              <w:spacing w:before="126"/>
              <w:ind w:left="14"/>
              <w:rPr>
                <w:sz w:val="21"/>
              </w:rPr>
            </w:pPr>
            <w:r>
              <w:rPr>
                <w:sz w:val="21"/>
              </w:rPr>
              <w:t>交通运输、仓储和邮政业</w:t>
            </w:r>
          </w:p>
        </w:tc>
        <w:tc>
          <w:tcPr>
            <w:tcW w:w="2187" w:type="dxa"/>
          </w:tcPr>
          <w:p>
            <w:pPr>
              <w:pStyle w:val="TableParagraph"/>
              <w:spacing w:before="91"/>
              <w:ind w:right="-15"/>
              <w:jc w:val="right"/>
              <w:rPr>
                <w:rFonts w:ascii="Times New Roman"/>
                <w:sz w:val="21"/>
              </w:rPr>
            </w:pPr>
            <w:r>
              <w:rPr>
                <w:rFonts w:ascii="Times New Roman"/>
                <w:sz w:val="21"/>
              </w:rPr>
              <w:t>6,910,154.32</w:t>
            </w:r>
          </w:p>
        </w:tc>
        <w:tc>
          <w:tcPr>
            <w:tcW w:w="1844" w:type="dxa"/>
          </w:tcPr>
          <w:p>
            <w:pPr>
              <w:pStyle w:val="TableParagraph"/>
              <w:spacing w:before="91"/>
              <w:ind w:right="3"/>
              <w:jc w:val="right"/>
              <w:rPr>
                <w:rFonts w:ascii="Times New Roman"/>
                <w:sz w:val="21"/>
              </w:rPr>
            </w:pPr>
            <w:r>
              <w:rPr>
                <w:rFonts w:ascii="Times New Roman"/>
                <w:sz w:val="21"/>
              </w:rPr>
              <w:t>0.05</w:t>
            </w:r>
          </w:p>
        </w:tc>
      </w:tr>
      <w:tr>
        <w:trPr>
          <w:trHeight w:val="414" w:hRule="atLeast"/>
        </w:trPr>
        <w:tc>
          <w:tcPr>
            <w:tcW w:w="643" w:type="dxa"/>
          </w:tcPr>
          <w:p>
            <w:pPr>
              <w:pStyle w:val="TableParagraph"/>
              <w:spacing w:before="139"/>
              <w:ind w:left="8"/>
              <w:jc w:val="center"/>
              <w:rPr>
                <w:rFonts w:ascii="Times New Roman"/>
                <w:sz w:val="21"/>
              </w:rPr>
            </w:pPr>
            <w:r>
              <w:rPr>
                <w:rFonts w:ascii="Times New Roman"/>
                <w:w w:val="100"/>
                <w:sz w:val="21"/>
              </w:rPr>
              <w:t>H</w:t>
            </w:r>
          </w:p>
        </w:tc>
        <w:tc>
          <w:tcPr>
            <w:tcW w:w="3692" w:type="dxa"/>
          </w:tcPr>
          <w:p>
            <w:pPr>
              <w:pStyle w:val="TableParagraph"/>
              <w:spacing w:before="125"/>
              <w:ind w:left="14"/>
              <w:rPr>
                <w:sz w:val="21"/>
              </w:rPr>
            </w:pPr>
            <w:r>
              <w:rPr>
                <w:sz w:val="21"/>
              </w:rPr>
              <w:t>住宿和餐饮业</w:t>
            </w:r>
          </w:p>
        </w:tc>
        <w:tc>
          <w:tcPr>
            <w:tcW w:w="2187" w:type="dxa"/>
          </w:tcPr>
          <w:p>
            <w:pPr>
              <w:pStyle w:val="TableParagraph"/>
              <w:spacing w:before="91"/>
              <w:ind w:right="-15"/>
              <w:jc w:val="right"/>
              <w:rPr>
                <w:rFonts w:ascii="Times New Roman"/>
                <w:sz w:val="21"/>
              </w:rPr>
            </w:pPr>
            <w:r>
              <w:rPr>
                <w:rFonts w:ascii="Times New Roman"/>
                <w:w w:val="100"/>
                <w:sz w:val="21"/>
              </w:rPr>
              <w:t>-</w:t>
            </w:r>
          </w:p>
        </w:tc>
        <w:tc>
          <w:tcPr>
            <w:tcW w:w="1844" w:type="dxa"/>
          </w:tcPr>
          <w:p>
            <w:pPr>
              <w:pStyle w:val="TableParagraph"/>
              <w:spacing w:before="91"/>
              <w:ind w:right="4"/>
              <w:jc w:val="right"/>
              <w:rPr>
                <w:rFonts w:ascii="Times New Roman"/>
                <w:sz w:val="21"/>
              </w:rPr>
            </w:pPr>
            <w:r>
              <w:rPr>
                <w:rFonts w:ascii="Times New Roman"/>
                <w:w w:val="100"/>
                <w:sz w:val="21"/>
              </w:rPr>
              <w:t>-</w:t>
            </w:r>
          </w:p>
        </w:tc>
      </w:tr>
      <w:tr>
        <w:trPr>
          <w:trHeight w:val="414" w:hRule="atLeast"/>
        </w:trPr>
        <w:tc>
          <w:tcPr>
            <w:tcW w:w="643" w:type="dxa"/>
          </w:tcPr>
          <w:p>
            <w:pPr>
              <w:pStyle w:val="TableParagraph"/>
              <w:spacing w:before="139"/>
              <w:ind w:left="7"/>
              <w:jc w:val="center"/>
              <w:rPr>
                <w:rFonts w:ascii="Times New Roman"/>
                <w:sz w:val="21"/>
              </w:rPr>
            </w:pPr>
            <w:r>
              <w:rPr>
                <w:rFonts w:ascii="Times New Roman"/>
                <w:w w:val="100"/>
                <w:sz w:val="21"/>
              </w:rPr>
              <w:t>I</w:t>
            </w:r>
          </w:p>
        </w:tc>
        <w:tc>
          <w:tcPr>
            <w:tcW w:w="3692" w:type="dxa"/>
          </w:tcPr>
          <w:p>
            <w:pPr>
              <w:pStyle w:val="TableParagraph"/>
              <w:spacing w:before="126"/>
              <w:ind w:left="14"/>
              <w:rPr>
                <w:sz w:val="21"/>
              </w:rPr>
            </w:pPr>
            <w:r>
              <w:rPr>
                <w:sz w:val="21"/>
              </w:rPr>
              <w:t>信息传输、软件和信息技术服务业</w:t>
            </w:r>
          </w:p>
        </w:tc>
        <w:tc>
          <w:tcPr>
            <w:tcW w:w="2187" w:type="dxa"/>
          </w:tcPr>
          <w:p>
            <w:pPr>
              <w:pStyle w:val="TableParagraph"/>
              <w:spacing w:before="91"/>
              <w:ind w:right="-15"/>
              <w:jc w:val="right"/>
              <w:rPr>
                <w:rFonts w:ascii="Times New Roman"/>
                <w:sz w:val="21"/>
              </w:rPr>
            </w:pPr>
            <w:r>
              <w:rPr>
                <w:rFonts w:ascii="Times New Roman"/>
                <w:sz w:val="21"/>
              </w:rPr>
              <w:t>20,227,644.58</w:t>
            </w:r>
          </w:p>
        </w:tc>
        <w:tc>
          <w:tcPr>
            <w:tcW w:w="1844" w:type="dxa"/>
          </w:tcPr>
          <w:p>
            <w:pPr>
              <w:pStyle w:val="TableParagraph"/>
              <w:spacing w:before="91"/>
              <w:ind w:right="3"/>
              <w:jc w:val="right"/>
              <w:rPr>
                <w:rFonts w:ascii="Times New Roman"/>
                <w:sz w:val="21"/>
              </w:rPr>
            </w:pPr>
            <w:r>
              <w:rPr>
                <w:rFonts w:ascii="Times New Roman"/>
                <w:sz w:val="21"/>
              </w:rPr>
              <w:t>0.13</w:t>
            </w:r>
          </w:p>
        </w:tc>
      </w:tr>
      <w:tr>
        <w:trPr>
          <w:trHeight w:val="414" w:hRule="atLeast"/>
        </w:trPr>
        <w:tc>
          <w:tcPr>
            <w:tcW w:w="643" w:type="dxa"/>
          </w:tcPr>
          <w:p>
            <w:pPr>
              <w:pStyle w:val="TableParagraph"/>
              <w:spacing w:before="139"/>
              <w:ind w:left="5"/>
              <w:jc w:val="center"/>
              <w:rPr>
                <w:rFonts w:ascii="Times New Roman"/>
                <w:sz w:val="21"/>
              </w:rPr>
            </w:pPr>
            <w:r>
              <w:rPr>
                <w:rFonts w:ascii="Times New Roman"/>
                <w:w w:val="100"/>
                <w:sz w:val="21"/>
              </w:rPr>
              <w:t>J</w:t>
            </w:r>
          </w:p>
        </w:tc>
        <w:tc>
          <w:tcPr>
            <w:tcW w:w="3692" w:type="dxa"/>
          </w:tcPr>
          <w:p>
            <w:pPr>
              <w:pStyle w:val="TableParagraph"/>
              <w:spacing w:before="126"/>
              <w:ind w:left="14"/>
              <w:rPr>
                <w:sz w:val="21"/>
              </w:rPr>
            </w:pPr>
            <w:r>
              <w:rPr>
                <w:sz w:val="21"/>
              </w:rPr>
              <w:t>金融业</w:t>
            </w:r>
          </w:p>
        </w:tc>
        <w:tc>
          <w:tcPr>
            <w:tcW w:w="2187" w:type="dxa"/>
          </w:tcPr>
          <w:p>
            <w:pPr>
              <w:pStyle w:val="TableParagraph"/>
              <w:spacing w:before="91"/>
              <w:ind w:right="-15"/>
              <w:jc w:val="right"/>
              <w:rPr>
                <w:rFonts w:ascii="Times New Roman"/>
                <w:sz w:val="21"/>
              </w:rPr>
            </w:pPr>
            <w:r>
              <w:rPr>
                <w:rFonts w:ascii="Times New Roman"/>
                <w:sz w:val="21"/>
              </w:rPr>
              <w:t>59,500,971.31</w:t>
            </w:r>
          </w:p>
        </w:tc>
        <w:tc>
          <w:tcPr>
            <w:tcW w:w="1844" w:type="dxa"/>
          </w:tcPr>
          <w:p>
            <w:pPr>
              <w:pStyle w:val="TableParagraph"/>
              <w:spacing w:before="91"/>
              <w:ind w:right="3"/>
              <w:jc w:val="right"/>
              <w:rPr>
                <w:rFonts w:ascii="Times New Roman"/>
                <w:sz w:val="21"/>
              </w:rPr>
            </w:pPr>
            <w:r>
              <w:rPr>
                <w:rFonts w:ascii="Times New Roman"/>
                <w:sz w:val="21"/>
              </w:rPr>
              <w:t>0.40</w:t>
            </w:r>
          </w:p>
        </w:tc>
      </w:tr>
      <w:tr>
        <w:trPr>
          <w:trHeight w:val="415" w:hRule="atLeast"/>
        </w:trPr>
        <w:tc>
          <w:tcPr>
            <w:tcW w:w="643" w:type="dxa"/>
          </w:tcPr>
          <w:p>
            <w:pPr>
              <w:pStyle w:val="TableParagraph"/>
              <w:spacing w:before="140"/>
              <w:ind w:left="8"/>
              <w:jc w:val="center"/>
              <w:rPr>
                <w:rFonts w:ascii="Times New Roman"/>
                <w:sz w:val="21"/>
              </w:rPr>
            </w:pPr>
            <w:r>
              <w:rPr>
                <w:rFonts w:ascii="Times New Roman"/>
                <w:w w:val="100"/>
                <w:sz w:val="21"/>
              </w:rPr>
              <w:t>K</w:t>
            </w:r>
          </w:p>
        </w:tc>
        <w:tc>
          <w:tcPr>
            <w:tcW w:w="3692" w:type="dxa"/>
          </w:tcPr>
          <w:p>
            <w:pPr>
              <w:pStyle w:val="TableParagraph"/>
              <w:spacing w:before="126"/>
              <w:ind w:left="14"/>
              <w:rPr>
                <w:sz w:val="21"/>
              </w:rPr>
            </w:pPr>
            <w:r>
              <w:rPr>
                <w:sz w:val="21"/>
              </w:rPr>
              <w:t>房地产业</w:t>
            </w:r>
          </w:p>
        </w:tc>
        <w:tc>
          <w:tcPr>
            <w:tcW w:w="2187" w:type="dxa"/>
          </w:tcPr>
          <w:p>
            <w:pPr>
              <w:pStyle w:val="TableParagraph"/>
              <w:spacing w:before="94"/>
              <w:ind w:right="-15"/>
              <w:jc w:val="right"/>
              <w:rPr>
                <w:rFonts w:ascii="Times New Roman"/>
                <w:sz w:val="21"/>
              </w:rPr>
            </w:pPr>
            <w:r>
              <w:rPr>
                <w:rFonts w:ascii="Times New Roman"/>
                <w:sz w:val="21"/>
              </w:rPr>
              <w:t>10,472,152.00</w:t>
            </w:r>
          </w:p>
        </w:tc>
        <w:tc>
          <w:tcPr>
            <w:tcW w:w="1844" w:type="dxa"/>
          </w:tcPr>
          <w:p>
            <w:pPr>
              <w:pStyle w:val="TableParagraph"/>
              <w:spacing w:before="94"/>
              <w:ind w:right="3"/>
              <w:jc w:val="right"/>
              <w:rPr>
                <w:rFonts w:ascii="Times New Roman"/>
                <w:sz w:val="21"/>
              </w:rPr>
            </w:pPr>
            <w:r>
              <w:rPr>
                <w:rFonts w:ascii="Times New Roman"/>
                <w:sz w:val="21"/>
              </w:rPr>
              <w:t>0.07</w:t>
            </w:r>
          </w:p>
        </w:tc>
      </w:tr>
      <w:tr>
        <w:trPr>
          <w:trHeight w:val="414" w:hRule="atLeast"/>
        </w:trPr>
        <w:tc>
          <w:tcPr>
            <w:tcW w:w="643" w:type="dxa"/>
          </w:tcPr>
          <w:p>
            <w:pPr>
              <w:pStyle w:val="TableParagraph"/>
              <w:spacing w:before="139"/>
              <w:ind w:left="9"/>
              <w:jc w:val="center"/>
              <w:rPr>
                <w:rFonts w:ascii="Times New Roman"/>
                <w:sz w:val="21"/>
              </w:rPr>
            </w:pPr>
            <w:r>
              <w:rPr>
                <w:rFonts w:ascii="Times New Roman"/>
                <w:w w:val="100"/>
                <w:sz w:val="21"/>
              </w:rPr>
              <w:t>L</w:t>
            </w:r>
          </w:p>
        </w:tc>
        <w:tc>
          <w:tcPr>
            <w:tcW w:w="3692" w:type="dxa"/>
          </w:tcPr>
          <w:p>
            <w:pPr>
              <w:pStyle w:val="TableParagraph"/>
              <w:spacing w:before="126"/>
              <w:ind w:left="14"/>
              <w:rPr>
                <w:sz w:val="21"/>
              </w:rPr>
            </w:pPr>
            <w:r>
              <w:rPr>
                <w:sz w:val="21"/>
              </w:rPr>
              <w:t>租赁和商务服务业</w:t>
            </w:r>
          </w:p>
        </w:tc>
        <w:tc>
          <w:tcPr>
            <w:tcW w:w="2187" w:type="dxa"/>
          </w:tcPr>
          <w:p>
            <w:pPr>
              <w:pStyle w:val="TableParagraph"/>
              <w:spacing w:before="94"/>
              <w:ind w:right="-15"/>
              <w:jc w:val="right"/>
              <w:rPr>
                <w:rFonts w:ascii="Times New Roman"/>
                <w:sz w:val="21"/>
              </w:rPr>
            </w:pPr>
            <w:r>
              <w:rPr>
                <w:rFonts w:ascii="Times New Roman"/>
                <w:sz w:val="21"/>
              </w:rPr>
              <w:t>3,583,716.00</w:t>
            </w:r>
          </w:p>
        </w:tc>
        <w:tc>
          <w:tcPr>
            <w:tcW w:w="1844" w:type="dxa"/>
          </w:tcPr>
          <w:p>
            <w:pPr>
              <w:pStyle w:val="TableParagraph"/>
              <w:spacing w:before="94"/>
              <w:ind w:right="3"/>
              <w:jc w:val="right"/>
              <w:rPr>
                <w:rFonts w:ascii="Times New Roman"/>
                <w:sz w:val="21"/>
              </w:rPr>
            </w:pPr>
            <w:r>
              <w:rPr>
                <w:rFonts w:ascii="Times New Roman"/>
                <w:sz w:val="21"/>
              </w:rPr>
              <w:t>0.02</w:t>
            </w:r>
          </w:p>
        </w:tc>
      </w:tr>
      <w:tr>
        <w:trPr>
          <w:trHeight w:val="414" w:hRule="atLeast"/>
        </w:trPr>
        <w:tc>
          <w:tcPr>
            <w:tcW w:w="643" w:type="dxa"/>
          </w:tcPr>
          <w:p>
            <w:pPr>
              <w:pStyle w:val="TableParagraph"/>
              <w:spacing w:before="139"/>
              <w:ind w:left="5"/>
              <w:jc w:val="center"/>
              <w:rPr>
                <w:rFonts w:ascii="Times New Roman"/>
                <w:sz w:val="21"/>
              </w:rPr>
            </w:pPr>
            <w:r>
              <w:rPr>
                <w:rFonts w:ascii="Times New Roman"/>
                <w:w w:val="100"/>
                <w:sz w:val="21"/>
              </w:rPr>
              <w:t>M</w:t>
            </w:r>
          </w:p>
        </w:tc>
        <w:tc>
          <w:tcPr>
            <w:tcW w:w="3692" w:type="dxa"/>
          </w:tcPr>
          <w:p>
            <w:pPr>
              <w:pStyle w:val="TableParagraph"/>
              <w:spacing w:before="125"/>
              <w:ind w:left="14"/>
              <w:rPr>
                <w:sz w:val="21"/>
              </w:rPr>
            </w:pPr>
            <w:r>
              <w:rPr>
                <w:sz w:val="21"/>
              </w:rPr>
              <w:t>科学研究和技术服务业</w:t>
            </w:r>
          </w:p>
        </w:tc>
        <w:tc>
          <w:tcPr>
            <w:tcW w:w="2187" w:type="dxa"/>
          </w:tcPr>
          <w:p>
            <w:pPr>
              <w:pStyle w:val="TableParagraph"/>
              <w:spacing w:before="94"/>
              <w:ind w:right="-15"/>
              <w:jc w:val="right"/>
              <w:rPr>
                <w:rFonts w:ascii="Times New Roman"/>
                <w:sz w:val="21"/>
              </w:rPr>
            </w:pPr>
            <w:r>
              <w:rPr>
                <w:rFonts w:ascii="Times New Roman"/>
                <w:sz w:val="21"/>
              </w:rPr>
              <w:t>1,803,170.10</w:t>
            </w:r>
          </w:p>
        </w:tc>
        <w:tc>
          <w:tcPr>
            <w:tcW w:w="1844" w:type="dxa"/>
          </w:tcPr>
          <w:p>
            <w:pPr>
              <w:pStyle w:val="TableParagraph"/>
              <w:spacing w:before="94"/>
              <w:ind w:right="3"/>
              <w:jc w:val="right"/>
              <w:rPr>
                <w:rFonts w:ascii="Times New Roman"/>
                <w:sz w:val="21"/>
              </w:rPr>
            </w:pPr>
            <w:r>
              <w:rPr>
                <w:rFonts w:ascii="Times New Roman"/>
                <w:sz w:val="21"/>
              </w:rPr>
              <w:t>0.01</w:t>
            </w:r>
          </w:p>
        </w:tc>
      </w:tr>
      <w:tr>
        <w:trPr>
          <w:trHeight w:val="414" w:hRule="atLeast"/>
        </w:trPr>
        <w:tc>
          <w:tcPr>
            <w:tcW w:w="643" w:type="dxa"/>
          </w:tcPr>
          <w:p>
            <w:pPr>
              <w:pStyle w:val="TableParagraph"/>
              <w:spacing w:before="139"/>
              <w:ind w:left="8"/>
              <w:jc w:val="center"/>
              <w:rPr>
                <w:rFonts w:ascii="Times New Roman"/>
                <w:sz w:val="21"/>
              </w:rPr>
            </w:pPr>
            <w:r>
              <w:rPr>
                <w:rFonts w:ascii="Times New Roman"/>
                <w:w w:val="100"/>
                <w:sz w:val="21"/>
              </w:rPr>
              <w:t>N</w:t>
            </w:r>
          </w:p>
        </w:tc>
        <w:tc>
          <w:tcPr>
            <w:tcW w:w="3692" w:type="dxa"/>
          </w:tcPr>
          <w:p>
            <w:pPr>
              <w:pStyle w:val="TableParagraph"/>
              <w:spacing w:before="126"/>
              <w:ind w:left="14"/>
              <w:rPr>
                <w:sz w:val="21"/>
              </w:rPr>
            </w:pPr>
            <w:r>
              <w:rPr>
                <w:sz w:val="21"/>
              </w:rPr>
              <w:t>水利、环境和公共设施管理业</w:t>
            </w:r>
          </w:p>
        </w:tc>
        <w:tc>
          <w:tcPr>
            <w:tcW w:w="2187" w:type="dxa"/>
          </w:tcPr>
          <w:p>
            <w:pPr>
              <w:pStyle w:val="TableParagraph"/>
              <w:spacing w:before="94"/>
              <w:ind w:right="-15"/>
              <w:jc w:val="right"/>
              <w:rPr>
                <w:rFonts w:ascii="Times New Roman"/>
                <w:sz w:val="21"/>
              </w:rPr>
            </w:pPr>
            <w:r>
              <w:rPr>
                <w:rFonts w:ascii="Times New Roman"/>
                <w:w w:val="100"/>
                <w:sz w:val="21"/>
              </w:rPr>
              <w:t>-</w:t>
            </w:r>
          </w:p>
        </w:tc>
        <w:tc>
          <w:tcPr>
            <w:tcW w:w="1844" w:type="dxa"/>
          </w:tcPr>
          <w:p>
            <w:pPr>
              <w:pStyle w:val="TableParagraph"/>
              <w:spacing w:before="94"/>
              <w:ind w:right="4"/>
              <w:jc w:val="right"/>
              <w:rPr>
                <w:rFonts w:ascii="Times New Roman"/>
                <w:sz w:val="21"/>
              </w:rPr>
            </w:pPr>
            <w:r>
              <w:rPr>
                <w:rFonts w:ascii="Times New Roman"/>
                <w:w w:val="100"/>
                <w:sz w:val="21"/>
              </w:rPr>
              <w:t>-</w:t>
            </w:r>
          </w:p>
        </w:tc>
      </w:tr>
      <w:tr>
        <w:trPr>
          <w:trHeight w:val="414" w:hRule="atLeast"/>
        </w:trPr>
        <w:tc>
          <w:tcPr>
            <w:tcW w:w="643" w:type="dxa"/>
          </w:tcPr>
          <w:p>
            <w:pPr>
              <w:pStyle w:val="TableParagraph"/>
              <w:spacing w:before="139"/>
              <w:ind w:left="8"/>
              <w:jc w:val="center"/>
              <w:rPr>
                <w:rFonts w:ascii="Times New Roman"/>
                <w:sz w:val="21"/>
              </w:rPr>
            </w:pPr>
            <w:r>
              <w:rPr>
                <w:rFonts w:ascii="Times New Roman"/>
                <w:w w:val="100"/>
                <w:sz w:val="21"/>
              </w:rPr>
              <w:t>O</w:t>
            </w:r>
          </w:p>
        </w:tc>
        <w:tc>
          <w:tcPr>
            <w:tcW w:w="3692" w:type="dxa"/>
          </w:tcPr>
          <w:p>
            <w:pPr>
              <w:pStyle w:val="TableParagraph"/>
              <w:spacing w:before="126"/>
              <w:ind w:left="14"/>
              <w:rPr>
                <w:sz w:val="21"/>
              </w:rPr>
            </w:pPr>
            <w:r>
              <w:rPr>
                <w:sz w:val="21"/>
              </w:rPr>
              <w:t>居民服务、修理和其他服务业</w:t>
            </w:r>
          </w:p>
        </w:tc>
        <w:tc>
          <w:tcPr>
            <w:tcW w:w="2187" w:type="dxa"/>
          </w:tcPr>
          <w:p>
            <w:pPr>
              <w:pStyle w:val="TableParagraph"/>
              <w:spacing w:before="94"/>
              <w:ind w:right="-15"/>
              <w:jc w:val="right"/>
              <w:rPr>
                <w:rFonts w:ascii="Times New Roman"/>
                <w:sz w:val="21"/>
              </w:rPr>
            </w:pPr>
            <w:r>
              <w:rPr>
                <w:rFonts w:ascii="Times New Roman"/>
                <w:w w:val="100"/>
                <w:sz w:val="21"/>
              </w:rPr>
              <w:t>-</w:t>
            </w:r>
          </w:p>
        </w:tc>
        <w:tc>
          <w:tcPr>
            <w:tcW w:w="1844" w:type="dxa"/>
          </w:tcPr>
          <w:p>
            <w:pPr>
              <w:pStyle w:val="TableParagraph"/>
              <w:spacing w:before="94"/>
              <w:ind w:right="4"/>
              <w:jc w:val="right"/>
              <w:rPr>
                <w:rFonts w:ascii="Times New Roman"/>
                <w:sz w:val="21"/>
              </w:rPr>
            </w:pPr>
            <w:r>
              <w:rPr>
                <w:rFonts w:ascii="Times New Roman"/>
                <w:w w:val="100"/>
                <w:sz w:val="21"/>
              </w:rPr>
              <w:t>-</w:t>
            </w:r>
          </w:p>
        </w:tc>
      </w:tr>
      <w:tr>
        <w:trPr>
          <w:trHeight w:val="414" w:hRule="atLeast"/>
        </w:trPr>
        <w:tc>
          <w:tcPr>
            <w:tcW w:w="643" w:type="dxa"/>
          </w:tcPr>
          <w:p>
            <w:pPr>
              <w:pStyle w:val="TableParagraph"/>
              <w:spacing w:before="139"/>
              <w:ind w:left="7"/>
              <w:jc w:val="center"/>
              <w:rPr>
                <w:rFonts w:ascii="Times New Roman"/>
                <w:sz w:val="21"/>
              </w:rPr>
            </w:pPr>
            <w:r>
              <w:rPr>
                <w:rFonts w:ascii="Times New Roman"/>
                <w:w w:val="100"/>
                <w:sz w:val="21"/>
              </w:rPr>
              <w:t>P</w:t>
            </w:r>
          </w:p>
        </w:tc>
        <w:tc>
          <w:tcPr>
            <w:tcW w:w="3692" w:type="dxa"/>
          </w:tcPr>
          <w:p>
            <w:pPr>
              <w:pStyle w:val="TableParagraph"/>
              <w:spacing w:before="126"/>
              <w:ind w:left="14"/>
              <w:rPr>
                <w:sz w:val="21"/>
              </w:rPr>
            </w:pPr>
            <w:r>
              <w:rPr>
                <w:sz w:val="21"/>
              </w:rPr>
              <w:t>教育</w:t>
            </w:r>
          </w:p>
        </w:tc>
        <w:tc>
          <w:tcPr>
            <w:tcW w:w="2187" w:type="dxa"/>
          </w:tcPr>
          <w:p>
            <w:pPr>
              <w:pStyle w:val="TableParagraph"/>
              <w:spacing w:before="94"/>
              <w:ind w:right="-15"/>
              <w:jc w:val="right"/>
              <w:rPr>
                <w:rFonts w:ascii="Times New Roman"/>
                <w:sz w:val="21"/>
              </w:rPr>
            </w:pPr>
            <w:r>
              <w:rPr>
                <w:rFonts w:ascii="Times New Roman"/>
                <w:sz w:val="21"/>
              </w:rPr>
              <w:t>452,325.00</w:t>
            </w:r>
          </w:p>
        </w:tc>
        <w:tc>
          <w:tcPr>
            <w:tcW w:w="1844" w:type="dxa"/>
          </w:tcPr>
          <w:p>
            <w:pPr>
              <w:pStyle w:val="TableParagraph"/>
              <w:spacing w:before="94"/>
              <w:ind w:right="3"/>
              <w:jc w:val="right"/>
              <w:rPr>
                <w:rFonts w:ascii="Times New Roman"/>
                <w:sz w:val="21"/>
              </w:rPr>
            </w:pPr>
            <w:r>
              <w:rPr>
                <w:rFonts w:ascii="Times New Roman"/>
                <w:sz w:val="21"/>
              </w:rPr>
              <w:t>0.00</w:t>
            </w:r>
          </w:p>
        </w:tc>
      </w:tr>
      <w:tr>
        <w:trPr>
          <w:trHeight w:val="414" w:hRule="atLeast"/>
        </w:trPr>
        <w:tc>
          <w:tcPr>
            <w:tcW w:w="643" w:type="dxa"/>
          </w:tcPr>
          <w:p>
            <w:pPr>
              <w:pStyle w:val="TableParagraph"/>
              <w:spacing w:before="139"/>
              <w:ind w:left="8"/>
              <w:jc w:val="center"/>
              <w:rPr>
                <w:rFonts w:ascii="Times New Roman"/>
                <w:sz w:val="21"/>
              </w:rPr>
            </w:pPr>
            <w:r>
              <w:rPr>
                <w:rFonts w:ascii="Times New Roman"/>
                <w:w w:val="100"/>
                <w:sz w:val="21"/>
              </w:rPr>
              <w:t>Q</w:t>
            </w:r>
          </w:p>
        </w:tc>
        <w:tc>
          <w:tcPr>
            <w:tcW w:w="3692" w:type="dxa"/>
          </w:tcPr>
          <w:p>
            <w:pPr>
              <w:pStyle w:val="TableParagraph"/>
              <w:spacing w:before="125"/>
              <w:ind w:left="14"/>
              <w:rPr>
                <w:sz w:val="21"/>
              </w:rPr>
            </w:pPr>
            <w:r>
              <w:rPr>
                <w:sz w:val="21"/>
              </w:rPr>
              <w:t>卫生和社会工作</w:t>
            </w:r>
          </w:p>
        </w:tc>
        <w:tc>
          <w:tcPr>
            <w:tcW w:w="2187" w:type="dxa"/>
          </w:tcPr>
          <w:p>
            <w:pPr>
              <w:pStyle w:val="TableParagraph"/>
              <w:spacing w:before="94"/>
              <w:ind w:right="-15"/>
              <w:jc w:val="right"/>
              <w:rPr>
                <w:rFonts w:ascii="Times New Roman"/>
                <w:sz w:val="21"/>
              </w:rPr>
            </w:pPr>
            <w:r>
              <w:rPr>
                <w:rFonts w:ascii="Times New Roman"/>
                <w:sz w:val="21"/>
              </w:rPr>
              <w:t>4,326,859.12</w:t>
            </w:r>
          </w:p>
        </w:tc>
        <w:tc>
          <w:tcPr>
            <w:tcW w:w="1844" w:type="dxa"/>
          </w:tcPr>
          <w:p>
            <w:pPr>
              <w:pStyle w:val="TableParagraph"/>
              <w:spacing w:before="94"/>
              <w:ind w:right="3"/>
              <w:jc w:val="right"/>
              <w:rPr>
                <w:rFonts w:ascii="Times New Roman"/>
                <w:sz w:val="21"/>
              </w:rPr>
            </w:pPr>
            <w:r>
              <w:rPr>
                <w:rFonts w:ascii="Times New Roman"/>
                <w:sz w:val="21"/>
              </w:rPr>
              <w:t>0.03</w:t>
            </w:r>
          </w:p>
        </w:tc>
      </w:tr>
      <w:tr>
        <w:trPr>
          <w:trHeight w:val="417" w:hRule="atLeast"/>
        </w:trPr>
        <w:tc>
          <w:tcPr>
            <w:tcW w:w="643" w:type="dxa"/>
          </w:tcPr>
          <w:p>
            <w:pPr>
              <w:pStyle w:val="TableParagraph"/>
              <w:spacing w:before="142"/>
              <w:ind w:left="6"/>
              <w:jc w:val="center"/>
              <w:rPr>
                <w:rFonts w:ascii="Times New Roman"/>
                <w:sz w:val="21"/>
              </w:rPr>
            </w:pPr>
            <w:r>
              <w:rPr>
                <w:rFonts w:ascii="Times New Roman"/>
                <w:w w:val="100"/>
                <w:sz w:val="21"/>
              </w:rPr>
              <w:t>R</w:t>
            </w:r>
          </w:p>
        </w:tc>
        <w:tc>
          <w:tcPr>
            <w:tcW w:w="3692" w:type="dxa"/>
          </w:tcPr>
          <w:p>
            <w:pPr>
              <w:pStyle w:val="TableParagraph"/>
              <w:spacing w:before="128"/>
              <w:ind w:left="14"/>
              <w:rPr>
                <w:sz w:val="21"/>
              </w:rPr>
            </w:pPr>
            <w:r>
              <w:rPr>
                <w:sz w:val="21"/>
              </w:rPr>
              <w:t>文化、体育和娱乐业</w:t>
            </w:r>
          </w:p>
        </w:tc>
        <w:tc>
          <w:tcPr>
            <w:tcW w:w="2187" w:type="dxa"/>
          </w:tcPr>
          <w:p>
            <w:pPr>
              <w:pStyle w:val="TableParagraph"/>
              <w:spacing w:before="94"/>
              <w:ind w:right="-15"/>
              <w:jc w:val="right"/>
              <w:rPr>
                <w:rFonts w:ascii="Times New Roman"/>
                <w:sz w:val="21"/>
              </w:rPr>
            </w:pPr>
            <w:r>
              <w:rPr>
                <w:rFonts w:ascii="Times New Roman"/>
                <w:sz w:val="21"/>
              </w:rPr>
              <w:t>2,294,580.59</w:t>
            </w:r>
          </w:p>
        </w:tc>
        <w:tc>
          <w:tcPr>
            <w:tcW w:w="1844" w:type="dxa"/>
          </w:tcPr>
          <w:p>
            <w:pPr>
              <w:pStyle w:val="TableParagraph"/>
              <w:spacing w:before="94"/>
              <w:ind w:right="3"/>
              <w:jc w:val="right"/>
              <w:rPr>
                <w:rFonts w:ascii="Times New Roman"/>
                <w:sz w:val="21"/>
              </w:rPr>
            </w:pPr>
            <w:r>
              <w:rPr>
                <w:rFonts w:ascii="Times New Roman"/>
                <w:sz w:val="21"/>
              </w:rPr>
              <w:t>0.02</w:t>
            </w:r>
          </w:p>
        </w:tc>
      </w:tr>
      <w:tr>
        <w:trPr>
          <w:trHeight w:val="415" w:hRule="atLeast"/>
        </w:trPr>
        <w:tc>
          <w:tcPr>
            <w:tcW w:w="643" w:type="dxa"/>
          </w:tcPr>
          <w:p>
            <w:pPr>
              <w:pStyle w:val="TableParagraph"/>
              <w:spacing w:before="140"/>
              <w:ind w:left="7"/>
              <w:jc w:val="center"/>
              <w:rPr>
                <w:rFonts w:ascii="Times New Roman"/>
                <w:sz w:val="21"/>
              </w:rPr>
            </w:pPr>
            <w:r>
              <w:rPr>
                <w:rFonts w:ascii="Times New Roman"/>
                <w:w w:val="100"/>
                <w:sz w:val="21"/>
              </w:rPr>
              <w:t>S</w:t>
            </w:r>
          </w:p>
        </w:tc>
        <w:tc>
          <w:tcPr>
            <w:tcW w:w="3692" w:type="dxa"/>
          </w:tcPr>
          <w:p>
            <w:pPr>
              <w:pStyle w:val="TableParagraph"/>
              <w:spacing w:before="126"/>
              <w:ind w:left="14"/>
              <w:rPr>
                <w:sz w:val="21"/>
              </w:rPr>
            </w:pPr>
            <w:r>
              <w:rPr>
                <w:sz w:val="21"/>
              </w:rPr>
              <w:t>综合</w:t>
            </w:r>
          </w:p>
        </w:tc>
        <w:tc>
          <w:tcPr>
            <w:tcW w:w="2187" w:type="dxa"/>
          </w:tcPr>
          <w:p>
            <w:pPr>
              <w:pStyle w:val="TableParagraph"/>
              <w:spacing w:before="92"/>
              <w:ind w:right="-15"/>
              <w:jc w:val="right"/>
              <w:rPr>
                <w:rFonts w:ascii="Times New Roman"/>
                <w:sz w:val="21"/>
              </w:rPr>
            </w:pPr>
            <w:r>
              <w:rPr>
                <w:rFonts w:ascii="Times New Roman"/>
                <w:w w:val="100"/>
                <w:sz w:val="21"/>
              </w:rPr>
              <w:t>-</w:t>
            </w:r>
          </w:p>
        </w:tc>
        <w:tc>
          <w:tcPr>
            <w:tcW w:w="1844" w:type="dxa"/>
          </w:tcPr>
          <w:p>
            <w:pPr>
              <w:pStyle w:val="TableParagraph"/>
              <w:spacing w:before="92"/>
              <w:ind w:right="4"/>
              <w:jc w:val="right"/>
              <w:rPr>
                <w:rFonts w:ascii="Times New Roman"/>
                <w:sz w:val="21"/>
              </w:rPr>
            </w:pPr>
            <w:r>
              <w:rPr>
                <w:rFonts w:ascii="Times New Roman"/>
                <w:w w:val="100"/>
                <w:sz w:val="21"/>
              </w:rPr>
              <w:t>-</w:t>
            </w:r>
          </w:p>
        </w:tc>
      </w:tr>
      <w:tr>
        <w:trPr>
          <w:trHeight w:val="414" w:hRule="atLeast"/>
        </w:trPr>
        <w:tc>
          <w:tcPr>
            <w:tcW w:w="643" w:type="dxa"/>
          </w:tcPr>
          <w:p>
            <w:pPr>
              <w:pStyle w:val="TableParagraph"/>
              <w:spacing w:before="0"/>
              <w:rPr>
                <w:rFonts w:ascii="Times New Roman"/>
                <w:sz w:val="20"/>
              </w:rPr>
            </w:pPr>
          </w:p>
        </w:tc>
        <w:tc>
          <w:tcPr>
            <w:tcW w:w="3692" w:type="dxa"/>
          </w:tcPr>
          <w:p>
            <w:pPr>
              <w:pStyle w:val="TableParagraph"/>
              <w:spacing w:before="125"/>
              <w:ind w:left="14"/>
              <w:rPr>
                <w:sz w:val="21"/>
              </w:rPr>
            </w:pPr>
            <w:r>
              <w:rPr>
                <w:sz w:val="21"/>
              </w:rPr>
              <w:t>合计</w:t>
            </w:r>
          </w:p>
        </w:tc>
        <w:tc>
          <w:tcPr>
            <w:tcW w:w="2187" w:type="dxa"/>
          </w:tcPr>
          <w:p>
            <w:pPr>
              <w:pStyle w:val="TableParagraph"/>
              <w:spacing w:before="91"/>
              <w:ind w:right="-15"/>
              <w:jc w:val="right"/>
              <w:rPr>
                <w:rFonts w:ascii="Times New Roman"/>
                <w:sz w:val="21"/>
              </w:rPr>
            </w:pPr>
            <w:r>
              <w:rPr>
                <w:rFonts w:ascii="Times New Roman"/>
                <w:sz w:val="21"/>
              </w:rPr>
              <w:t>273,684,068.30</w:t>
            </w:r>
          </w:p>
        </w:tc>
        <w:tc>
          <w:tcPr>
            <w:tcW w:w="1844" w:type="dxa"/>
          </w:tcPr>
          <w:p>
            <w:pPr>
              <w:pStyle w:val="TableParagraph"/>
              <w:spacing w:before="91"/>
              <w:ind w:right="3"/>
              <w:jc w:val="right"/>
              <w:rPr>
                <w:rFonts w:ascii="Times New Roman"/>
                <w:sz w:val="21"/>
              </w:rPr>
            </w:pPr>
            <w:r>
              <w:rPr>
                <w:rFonts w:ascii="Times New Roman"/>
                <w:sz w:val="21"/>
              </w:rPr>
              <w:t>1.82</w:t>
            </w:r>
          </w:p>
        </w:tc>
      </w:tr>
    </w:tbl>
    <w:p>
      <w:pPr>
        <w:pStyle w:val="ListParagraph"/>
        <w:numPr>
          <w:ilvl w:val="1"/>
          <w:numId w:val="27"/>
        </w:numPr>
        <w:tabs>
          <w:tab w:pos="618" w:val="left" w:leader="none"/>
        </w:tabs>
        <w:spacing w:line="240" w:lineRule="auto" w:before="104" w:after="0"/>
        <w:ind w:left="617" w:right="0" w:hanging="318"/>
        <w:jc w:val="left"/>
        <w:rPr>
          <w:sz w:val="21"/>
        </w:rPr>
      </w:pPr>
      <w:r>
        <w:rPr>
          <w:spacing w:val="-3"/>
          <w:sz w:val="21"/>
        </w:rPr>
        <w:t>报告期末按公允价值占基金资产净值比例大小排序的前十名股票投资明细</w:t>
      </w:r>
    </w:p>
    <w:p>
      <w:pPr>
        <w:pStyle w:val="BodyText"/>
        <w:spacing w:before="12"/>
        <w:rPr>
          <w:sz w:val="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1"/>
        <w:gridCol w:w="1277"/>
        <w:gridCol w:w="1841"/>
        <w:gridCol w:w="1561"/>
      </w:tblGrid>
      <w:tr>
        <w:trPr>
          <w:trHeight w:val="978" w:hRule="atLeast"/>
        </w:trPr>
        <w:tc>
          <w:tcPr>
            <w:tcW w:w="708" w:type="dxa"/>
          </w:tcPr>
          <w:p>
            <w:pPr>
              <w:pStyle w:val="TableParagraph"/>
              <w:spacing w:before="11"/>
              <w:rPr>
                <w:sz w:val="28"/>
              </w:rPr>
            </w:pPr>
          </w:p>
          <w:p>
            <w:pPr>
              <w:pStyle w:val="TableParagraph"/>
              <w:spacing w:before="1"/>
              <w:ind w:left="132" w:right="106"/>
              <w:jc w:val="center"/>
              <w:rPr>
                <w:sz w:val="21"/>
              </w:rPr>
            </w:pPr>
            <w:r>
              <w:rPr>
                <w:sz w:val="21"/>
              </w:rPr>
              <w:t>序号</w:t>
            </w:r>
          </w:p>
        </w:tc>
        <w:tc>
          <w:tcPr>
            <w:tcW w:w="1277" w:type="dxa"/>
          </w:tcPr>
          <w:p>
            <w:pPr>
              <w:pStyle w:val="TableParagraph"/>
              <w:spacing w:before="11"/>
              <w:rPr>
                <w:sz w:val="28"/>
              </w:rPr>
            </w:pPr>
          </w:p>
          <w:p>
            <w:pPr>
              <w:pStyle w:val="TableParagraph"/>
              <w:spacing w:before="1"/>
              <w:ind w:left="206" w:right="180"/>
              <w:jc w:val="center"/>
              <w:rPr>
                <w:sz w:val="21"/>
              </w:rPr>
            </w:pPr>
            <w:r>
              <w:rPr>
                <w:sz w:val="21"/>
              </w:rPr>
              <w:t>股票代码</w:t>
            </w:r>
          </w:p>
        </w:tc>
        <w:tc>
          <w:tcPr>
            <w:tcW w:w="1701" w:type="dxa"/>
          </w:tcPr>
          <w:p>
            <w:pPr>
              <w:pStyle w:val="TableParagraph"/>
              <w:spacing w:before="11"/>
              <w:rPr>
                <w:sz w:val="28"/>
              </w:rPr>
            </w:pPr>
          </w:p>
          <w:p>
            <w:pPr>
              <w:pStyle w:val="TableParagraph"/>
              <w:spacing w:before="1"/>
              <w:ind w:left="30"/>
              <w:jc w:val="center"/>
              <w:rPr>
                <w:sz w:val="21"/>
              </w:rPr>
            </w:pPr>
            <w:r>
              <w:rPr>
                <w:sz w:val="21"/>
              </w:rPr>
              <w:t>股票名称</w:t>
            </w:r>
          </w:p>
        </w:tc>
        <w:tc>
          <w:tcPr>
            <w:tcW w:w="1277" w:type="dxa"/>
          </w:tcPr>
          <w:p>
            <w:pPr>
              <w:pStyle w:val="TableParagraph"/>
              <w:spacing w:before="11"/>
              <w:rPr>
                <w:sz w:val="28"/>
              </w:rPr>
            </w:pPr>
          </w:p>
          <w:p>
            <w:pPr>
              <w:pStyle w:val="TableParagraph"/>
              <w:spacing w:before="1"/>
              <w:ind w:left="262"/>
              <w:rPr>
                <w:rFonts w:ascii="Times New Roman" w:eastAsia="Times New Roman"/>
                <w:sz w:val="21"/>
              </w:rPr>
            </w:pPr>
            <w:r>
              <w:rPr>
                <w:sz w:val="21"/>
              </w:rPr>
              <w:t>数量</w:t>
            </w:r>
            <w:r>
              <w:rPr>
                <w:rFonts w:ascii="Times New Roman" w:eastAsia="Times New Roman"/>
                <w:sz w:val="21"/>
              </w:rPr>
              <w:t>(</w:t>
            </w:r>
            <w:r>
              <w:rPr>
                <w:sz w:val="21"/>
              </w:rPr>
              <w:t>股</w:t>
            </w:r>
            <w:r>
              <w:rPr>
                <w:rFonts w:ascii="Times New Roman" w:eastAsia="Times New Roman"/>
                <w:sz w:val="21"/>
              </w:rPr>
              <w:t>)</w:t>
            </w:r>
          </w:p>
        </w:tc>
        <w:tc>
          <w:tcPr>
            <w:tcW w:w="1841" w:type="dxa"/>
          </w:tcPr>
          <w:p>
            <w:pPr>
              <w:pStyle w:val="TableParagraph"/>
              <w:spacing w:before="11"/>
              <w:rPr>
                <w:sz w:val="28"/>
              </w:rPr>
            </w:pPr>
          </w:p>
          <w:p>
            <w:pPr>
              <w:pStyle w:val="TableParagraph"/>
              <w:spacing w:before="1"/>
              <w:ind w:left="334"/>
              <w:rPr>
                <w:rFonts w:ascii="Times New Roman" w:eastAsia="Times New Roman"/>
                <w:sz w:val="21"/>
              </w:rPr>
            </w:pPr>
            <w:r>
              <w:rPr>
                <w:sz w:val="21"/>
              </w:rPr>
              <w:t>公允价值</w:t>
            </w:r>
            <w:r>
              <w:rPr>
                <w:rFonts w:ascii="Times New Roman" w:eastAsia="Times New Roman"/>
                <w:sz w:val="21"/>
              </w:rPr>
              <w:t>(</w:t>
            </w:r>
            <w:r>
              <w:rPr>
                <w:sz w:val="21"/>
              </w:rPr>
              <w:t>元</w:t>
            </w:r>
            <w:r>
              <w:rPr>
                <w:rFonts w:ascii="Times New Roman" w:eastAsia="Times New Roman"/>
                <w:sz w:val="21"/>
              </w:rPr>
              <w:t>)</w:t>
            </w:r>
          </w:p>
        </w:tc>
        <w:tc>
          <w:tcPr>
            <w:tcW w:w="1561" w:type="dxa"/>
          </w:tcPr>
          <w:p>
            <w:pPr>
              <w:pStyle w:val="TableParagraph"/>
              <w:spacing w:before="133"/>
              <w:ind w:left="140" w:right="111"/>
              <w:jc w:val="center"/>
              <w:rPr>
                <w:sz w:val="21"/>
              </w:rPr>
            </w:pPr>
            <w:r>
              <w:rPr>
                <w:sz w:val="21"/>
              </w:rPr>
              <w:t>占基金资产净</w:t>
            </w:r>
          </w:p>
          <w:p>
            <w:pPr>
              <w:pStyle w:val="TableParagraph"/>
              <w:spacing w:before="1"/>
              <w:rPr>
                <w:sz w:val="16"/>
              </w:rPr>
            </w:pPr>
          </w:p>
          <w:p>
            <w:pPr>
              <w:pStyle w:val="TableParagraph"/>
              <w:spacing w:before="0"/>
              <w:ind w:left="140" w:right="111"/>
              <w:jc w:val="center"/>
              <w:rPr>
                <w:rFonts w:ascii="Times New Roman" w:eastAsia="Times New Roman"/>
                <w:sz w:val="21"/>
              </w:rPr>
            </w:pPr>
            <w:r>
              <w:rPr>
                <w:sz w:val="21"/>
              </w:rPr>
              <w:t>值比例</w:t>
            </w:r>
            <w:r>
              <w:rPr>
                <w:rFonts w:ascii="Times New Roman" w:eastAsia="Times New Roman"/>
                <w:sz w:val="21"/>
              </w:rPr>
              <w:t>(</w:t>
            </w:r>
            <w:r>
              <w:rPr>
                <w:sz w:val="21"/>
              </w:rPr>
              <w:t>％</w:t>
            </w:r>
            <w:r>
              <w:rPr>
                <w:rFonts w:ascii="Times New Roman" w:eastAsia="Times New Roman"/>
                <w:sz w:val="21"/>
              </w:rPr>
              <w:t>)</w:t>
            </w:r>
          </w:p>
        </w:tc>
      </w:tr>
      <w:tr>
        <w:trPr>
          <w:trHeight w:val="318" w:hRule="atLeast"/>
        </w:trPr>
        <w:tc>
          <w:tcPr>
            <w:tcW w:w="708" w:type="dxa"/>
          </w:tcPr>
          <w:p>
            <w:pPr>
              <w:pStyle w:val="TableParagraph"/>
              <w:spacing w:before="39"/>
              <w:ind w:left="7"/>
              <w:jc w:val="center"/>
              <w:rPr>
                <w:rFonts w:ascii="Times New Roman"/>
                <w:sz w:val="21"/>
              </w:rPr>
            </w:pPr>
            <w:r>
              <w:rPr>
                <w:rFonts w:ascii="Times New Roman"/>
                <w:w w:val="100"/>
                <w:sz w:val="21"/>
              </w:rPr>
              <w:t>1</w:t>
            </w:r>
          </w:p>
        </w:tc>
        <w:tc>
          <w:tcPr>
            <w:tcW w:w="1277" w:type="dxa"/>
          </w:tcPr>
          <w:p>
            <w:pPr>
              <w:pStyle w:val="TableParagraph"/>
              <w:spacing w:before="39"/>
              <w:ind w:left="189" w:right="180"/>
              <w:jc w:val="center"/>
              <w:rPr>
                <w:rFonts w:ascii="Times New Roman"/>
                <w:sz w:val="21"/>
              </w:rPr>
            </w:pPr>
            <w:r>
              <w:rPr>
                <w:rFonts w:ascii="Times New Roman"/>
                <w:sz w:val="21"/>
              </w:rPr>
              <w:t>601318</w:t>
            </w:r>
          </w:p>
        </w:tc>
        <w:tc>
          <w:tcPr>
            <w:tcW w:w="1701" w:type="dxa"/>
          </w:tcPr>
          <w:p>
            <w:pPr>
              <w:pStyle w:val="TableParagraph"/>
              <w:spacing w:before="27"/>
              <w:ind w:left="10"/>
              <w:jc w:val="center"/>
              <w:rPr>
                <w:sz w:val="21"/>
              </w:rPr>
            </w:pPr>
            <w:r>
              <w:rPr>
                <w:sz w:val="21"/>
              </w:rPr>
              <w:t>中国平安</w:t>
            </w:r>
          </w:p>
        </w:tc>
        <w:tc>
          <w:tcPr>
            <w:tcW w:w="1277" w:type="dxa"/>
          </w:tcPr>
          <w:p>
            <w:pPr>
              <w:pStyle w:val="TableParagraph"/>
              <w:spacing w:before="39"/>
              <w:ind w:right="93"/>
              <w:jc w:val="right"/>
              <w:rPr>
                <w:rFonts w:ascii="Times New Roman"/>
                <w:sz w:val="21"/>
              </w:rPr>
            </w:pPr>
            <w:r>
              <w:rPr>
                <w:rFonts w:ascii="Times New Roman"/>
                <w:sz w:val="21"/>
              </w:rPr>
              <w:t>151,342</w:t>
            </w:r>
          </w:p>
        </w:tc>
        <w:tc>
          <w:tcPr>
            <w:tcW w:w="1841" w:type="dxa"/>
          </w:tcPr>
          <w:p>
            <w:pPr>
              <w:pStyle w:val="TableParagraph"/>
              <w:spacing w:before="39"/>
              <w:ind w:right="90"/>
              <w:jc w:val="right"/>
              <w:rPr>
                <w:rFonts w:ascii="Times New Roman"/>
                <w:sz w:val="21"/>
              </w:rPr>
            </w:pPr>
            <w:r>
              <w:rPr>
                <w:rFonts w:ascii="Times New Roman"/>
                <w:sz w:val="21"/>
              </w:rPr>
              <w:t>10,805,818.80</w:t>
            </w:r>
          </w:p>
        </w:tc>
        <w:tc>
          <w:tcPr>
            <w:tcW w:w="1561" w:type="dxa"/>
          </w:tcPr>
          <w:p>
            <w:pPr>
              <w:pStyle w:val="TableParagraph"/>
              <w:spacing w:before="39"/>
              <w:ind w:right="93"/>
              <w:jc w:val="right"/>
              <w:rPr>
                <w:rFonts w:ascii="Times New Roman"/>
                <w:sz w:val="21"/>
              </w:rPr>
            </w:pPr>
            <w:r>
              <w:rPr>
                <w:rFonts w:ascii="Times New Roman"/>
                <w:sz w:val="21"/>
              </w:rPr>
              <w:t>0.07</w:t>
            </w:r>
          </w:p>
        </w:tc>
      </w:tr>
      <w:tr>
        <w:trPr>
          <w:trHeight w:val="316" w:hRule="atLeast"/>
        </w:trPr>
        <w:tc>
          <w:tcPr>
            <w:tcW w:w="708" w:type="dxa"/>
          </w:tcPr>
          <w:p>
            <w:pPr>
              <w:pStyle w:val="TableParagraph"/>
              <w:spacing w:before="36"/>
              <w:ind w:left="7"/>
              <w:jc w:val="center"/>
              <w:rPr>
                <w:rFonts w:ascii="Times New Roman"/>
                <w:sz w:val="21"/>
              </w:rPr>
            </w:pPr>
            <w:r>
              <w:rPr>
                <w:rFonts w:ascii="Times New Roman"/>
                <w:w w:val="100"/>
                <w:sz w:val="21"/>
              </w:rPr>
              <w:t>2</w:t>
            </w:r>
          </w:p>
        </w:tc>
        <w:tc>
          <w:tcPr>
            <w:tcW w:w="1277" w:type="dxa"/>
          </w:tcPr>
          <w:p>
            <w:pPr>
              <w:pStyle w:val="TableParagraph"/>
              <w:spacing w:before="36"/>
              <w:ind w:left="189" w:right="180"/>
              <w:jc w:val="center"/>
              <w:rPr>
                <w:rFonts w:ascii="Times New Roman"/>
                <w:sz w:val="21"/>
              </w:rPr>
            </w:pPr>
            <w:r>
              <w:rPr>
                <w:rFonts w:ascii="Times New Roman"/>
                <w:sz w:val="21"/>
              </w:rPr>
              <w:t>600519</w:t>
            </w:r>
          </w:p>
        </w:tc>
        <w:tc>
          <w:tcPr>
            <w:tcW w:w="1701" w:type="dxa"/>
          </w:tcPr>
          <w:p>
            <w:pPr>
              <w:pStyle w:val="TableParagraph"/>
              <w:ind w:left="10"/>
              <w:jc w:val="center"/>
              <w:rPr>
                <w:sz w:val="21"/>
              </w:rPr>
            </w:pPr>
            <w:r>
              <w:rPr>
                <w:sz w:val="21"/>
              </w:rPr>
              <w:t>贵州茅台</w:t>
            </w:r>
          </w:p>
        </w:tc>
        <w:tc>
          <w:tcPr>
            <w:tcW w:w="1277" w:type="dxa"/>
          </w:tcPr>
          <w:p>
            <w:pPr>
              <w:pStyle w:val="TableParagraph"/>
              <w:spacing w:before="36"/>
              <w:ind w:right="93"/>
              <w:jc w:val="right"/>
              <w:rPr>
                <w:rFonts w:ascii="Times New Roman"/>
                <w:sz w:val="21"/>
              </w:rPr>
            </w:pPr>
            <w:r>
              <w:rPr>
                <w:rFonts w:ascii="Times New Roman"/>
                <w:sz w:val="21"/>
              </w:rPr>
              <w:t>7,000</w:t>
            </w:r>
          </w:p>
        </w:tc>
        <w:tc>
          <w:tcPr>
            <w:tcW w:w="1841" w:type="dxa"/>
          </w:tcPr>
          <w:p>
            <w:pPr>
              <w:pStyle w:val="TableParagraph"/>
              <w:spacing w:before="36"/>
              <w:ind w:right="90"/>
              <w:jc w:val="right"/>
              <w:rPr>
                <w:rFonts w:ascii="Times New Roman"/>
                <w:sz w:val="21"/>
              </w:rPr>
            </w:pPr>
            <w:r>
              <w:rPr>
                <w:rFonts w:ascii="Times New Roman"/>
                <w:sz w:val="21"/>
              </w:rPr>
              <w:t>10,240,160.00</w:t>
            </w:r>
          </w:p>
        </w:tc>
        <w:tc>
          <w:tcPr>
            <w:tcW w:w="1561" w:type="dxa"/>
          </w:tcPr>
          <w:p>
            <w:pPr>
              <w:pStyle w:val="TableParagraph"/>
              <w:spacing w:before="36"/>
              <w:ind w:right="93"/>
              <w:jc w:val="right"/>
              <w:rPr>
                <w:rFonts w:ascii="Times New Roman"/>
                <w:sz w:val="21"/>
              </w:rPr>
            </w:pPr>
            <w:r>
              <w:rPr>
                <w:rFonts w:ascii="Times New Roman"/>
                <w:sz w:val="21"/>
              </w:rPr>
              <w:t>0.07</w:t>
            </w:r>
          </w:p>
        </w:tc>
      </w:tr>
      <w:tr>
        <w:trPr>
          <w:trHeight w:val="316" w:hRule="atLeast"/>
        </w:trPr>
        <w:tc>
          <w:tcPr>
            <w:tcW w:w="708" w:type="dxa"/>
          </w:tcPr>
          <w:p>
            <w:pPr>
              <w:pStyle w:val="TableParagraph"/>
              <w:spacing w:before="36"/>
              <w:ind w:left="7"/>
              <w:jc w:val="center"/>
              <w:rPr>
                <w:rFonts w:ascii="Times New Roman"/>
                <w:sz w:val="21"/>
              </w:rPr>
            </w:pPr>
            <w:r>
              <w:rPr>
                <w:rFonts w:ascii="Times New Roman"/>
                <w:w w:val="100"/>
                <w:sz w:val="21"/>
              </w:rPr>
              <w:t>3</w:t>
            </w:r>
          </w:p>
        </w:tc>
        <w:tc>
          <w:tcPr>
            <w:tcW w:w="1277" w:type="dxa"/>
          </w:tcPr>
          <w:p>
            <w:pPr>
              <w:pStyle w:val="TableParagraph"/>
              <w:spacing w:before="36"/>
              <w:ind w:left="189" w:right="180"/>
              <w:jc w:val="center"/>
              <w:rPr>
                <w:rFonts w:ascii="Times New Roman"/>
                <w:sz w:val="21"/>
              </w:rPr>
            </w:pPr>
            <w:r>
              <w:rPr>
                <w:rFonts w:ascii="Times New Roman"/>
                <w:sz w:val="21"/>
              </w:rPr>
              <w:t>000858</w:t>
            </w:r>
          </w:p>
        </w:tc>
        <w:tc>
          <w:tcPr>
            <w:tcW w:w="1701" w:type="dxa"/>
          </w:tcPr>
          <w:p>
            <w:pPr>
              <w:pStyle w:val="TableParagraph"/>
              <w:ind w:left="10"/>
              <w:jc w:val="center"/>
              <w:rPr>
                <w:sz w:val="21"/>
              </w:rPr>
            </w:pPr>
            <w:r>
              <w:rPr>
                <w:sz w:val="21"/>
              </w:rPr>
              <w:t>五 粮 液</w:t>
            </w:r>
          </w:p>
        </w:tc>
        <w:tc>
          <w:tcPr>
            <w:tcW w:w="1277" w:type="dxa"/>
          </w:tcPr>
          <w:p>
            <w:pPr>
              <w:pStyle w:val="TableParagraph"/>
              <w:spacing w:before="36"/>
              <w:ind w:right="93"/>
              <w:jc w:val="right"/>
              <w:rPr>
                <w:rFonts w:ascii="Times New Roman"/>
                <w:sz w:val="21"/>
              </w:rPr>
            </w:pPr>
            <w:r>
              <w:rPr>
                <w:rFonts w:ascii="Times New Roman"/>
                <w:sz w:val="21"/>
              </w:rPr>
              <w:t>46,055</w:t>
            </w:r>
          </w:p>
        </w:tc>
        <w:tc>
          <w:tcPr>
            <w:tcW w:w="1841" w:type="dxa"/>
          </w:tcPr>
          <w:p>
            <w:pPr>
              <w:pStyle w:val="TableParagraph"/>
              <w:spacing w:before="36"/>
              <w:ind w:right="90"/>
              <w:jc w:val="right"/>
              <w:rPr>
                <w:rFonts w:ascii="Times New Roman"/>
                <w:sz w:val="21"/>
              </w:rPr>
            </w:pPr>
            <w:r>
              <w:rPr>
                <w:rFonts w:ascii="Times New Roman"/>
                <w:sz w:val="21"/>
              </w:rPr>
              <w:t>7,880,931.60</w:t>
            </w:r>
          </w:p>
        </w:tc>
        <w:tc>
          <w:tcPr>
            <w:tcW w:w="1561" w:type="dxa"/>
          </w:tcPr>
          <w:p>
            <w:pPr>
              <w:pStyle w:val="TableParagraph"/>
              <w:spacing w:before="36"/>
              <w:ind w:right="93"/>
              <w:jc w:val="right"/>
              <w:rPr>
                <w:rFonts w:ascii="Times New Roman"/>
                <w:sz w:val="21"/>
              </w:rPr>
            </w:pPr>
            <w:r>
              <w:rPr>
                <w:rFonts w:ascii="Times New Roman"/>
                <w:sz w:val="21"/>
              </w:rPr>
              <w:t>0.05</w:t>
            </w:r>
          </w:p>
        </w:tc>
      </w:tr>
      <w:tr>
        <w:trPr>
          <w:trHeight w:val="316" w:hRule="atLeast"/>
        </w:trPr>
        <w:tc>
          <w:tcPr>
            <w:tcW w:w="708" w:type="dxa"/>
          </w:tcPr>
          <w:p>
            <w:pPr>
              <w:pStyle w:val="TableParagraph"/>
              <w:spacing w:before="37"/>
              <w:ind w:left="7"/>
              <w:jc w:val="center"/>
              <w:rPr>
                <w:rFonts w:ascii="Times New Roman"/>
                <w:sz w:val="21"/>
              </w:rPr>
            </w:pPr>
            <w:r>
              <w:rPr>
                <w:rFonts w:ascii="Times New Roman"/>
                <w:w w:val="100"/>
                <w:sz w:val="21"/>
              </w:rPr>
              <w:t>4</w:t>
            </w:r>
          </w:p>
        </w:tc>
        <w:tc>
          <w:tcPr>
            <w:tcW w:w="1277" w:type="dxa"/>
          </w:tcPr>
          <w:p>
            <w:pPr>
              <w:pStyle w:val="TableParagraph"/>
              <w:spacing w:before="37"/>
              <w:ind w:left="189" w:right="180"/>
              <w:jc w:val="center"/>
              <w:rPr>
                <w:rFonts w:ascii="Times New Roman"/>
                <w:sz w:val="21"/>
              </w:rPr>
            </w:pPr>
            <w:r>
              <w:rPr>
                <w:rFonts w:ascii="Times New Roman"/>
                <w:sz w:val="21"/>
              </w:rPr>
              <w:t>000333</w:t>
            </w:r>
          </w:p>
        </w:tc>
        <w:tc>
          <w:tcPr>
            <w:tcW w:w="1701" w:type="dxa"/>
          </w:tcPr>
          <w:p>
            <w:pPr>
              <w:pStyle w:val="TableParagraph"/>
              <w:ind w:left="10"/>
              <w:jc w:val="center"/>
              <w:rPr>
                <w:sz w:val="21"/>
              </w:rPr>
            </w:pPr>
            <w:r>
              <w:rPr>
                <w:sz w:val="21"/>
              </w:rPr>
              <w:t>美的集团</w:t>
            </w:r>
          </w:p>
        </w:tc>
        <w:tc>
          <w:tcPr>
            <w:tcW w:w="1277" w:type="dxa"/>
          </w:tcPr>
          <w:p>
            <w:pPr>
              <w:pStyle w:val="TableParagraph"/>
              <w:spacing w:before="37"/>
              <w:ind w:right="92"/>
              <w:jc w:val="right"/>
              <w:rPr>
                <w:rFonts w:ascii="Times New Roman"/>
                <w:sz w:val="21"/>
              </w:rPr>
            </w:pPr>
            <w:r>
              <w:rPr>
                <w:rFonts w:ascii="Times New Roman"/>
                <w:sz w:val="21"/>
              </w:rPr>
              <w:t>117,400</w:t>
            </w:r>
          </w:p>
        </w:tc>
        <w:tc>
          <w:tcPr>
            <w:tcW w:w="1841" w:type="dxa"/>
          </w:tcPr>
          <w:p>
            <w:pPr>
              <w:pStyle w:val="TableParagraph"/>
              <w:spacing w:before="37"/>
              <w:ind w:right="90"/>
              <w:jc w:val="right"/>
              <w:rPr>
                <w:rFonts w:ascii="Times New Roman"/>
                <w:sz w:val="21"/>
              </w:rPr>
            </w:pPr>
            <w:r>
              <w:rPr>
                <w:rFonts w:ascii="Times New Roman"/>
                <w:sz w:val="21"/>
              </w:rPr>
              <w:t>7,019,346.00</w:t>
            </w:r>
          </w:p>
        </w:tc>
        <w:tc>
          <w:tcPr>
            <w:tcW w:w="1561" w:type="dxa"/>
          </w:tcPr>
          <w:p>
            <w:pPr>
              <w:pStyle w:val="TableParagraph"/>
              <w:spacing w:before="37"/>
              <w:ind w:right="93"/>
              <w:jc w:val="right"/>
              <w:rPr>
                <w:rFonts w:ascii="Times New Roman"/>
                <w:sz w:val="21"/>
              </w:rPr>
            </w:pPr>
            <w:r>
              <w:rPr>
                <w:rFonts w:ascii="Times New Roman"/>
                <w:sz w:val="21"/>
              </w:rPr>
              <w:t>0.05</w:t>
            </w:r>
          </w:p>
        </w:tc>
      </w:tr>
      <w:tr>
        <w:trPr>
          <w:trHeight w:val="318" w:hRule="atLeast"/>
        </w:trPr>
        <w:tc>
          <w:tcPr>
            <w:tcW w:w="708" w:type="dxa"/>
          </w:tcPr>
          <w:p>
            <w:pPr>
              <w:pStyle w:val="TableParagraph"/>
              <w:spacing w:before="39"/>
              <w:ind w:left="7"/>
              <w:jc w:val="center"/>
              <w:rPr>
                <w:rFonts w:ascii="Times New Roman"/>
                <w:sz w:val="21"/>
              </w:rPr>
            </w:pPr>
            <w:r>
              <w:rPr>
                <w:rFonts w:ascii="Times New Roman"/>
                <w:w w:val="100"/>
                <w:sz w:val="21"/>
              </w:rPr>
              <w:t>5</w:t>
            </w:r>
          </w:p>
        </w:tc>
        <w:tc>
          <w:tcPr>
            <w:tcW w:w="1277" w:type="dxa"/>
          </w:tcPr>
          <w:p>
            <w:pPr>
              <w:pStyle w:val="TableParagraph"/>
              <w:spacing w:before="39"/>
              <w:ind w:left="189" w:right="180"/>
              <w:jc w:val="center"/>
              <w:rPr>
                <w:rFonts w:ascii="Times New Roman"/>
                <w:sz w:val="21"/>
              </w:rPr>
            </w:pPr>
            <w:r>
              <w:rPr>
                <w:rFonts w:ascii="Times New Roman"/>
                <w:sz w:val="21"/>
              </w:rPr>
              <w:t>002475</w:t>
            </w:r>
          </w:p>
        </w:tc>
        <w:tc>
          <w:tcPr>
            <w:tcW w:w="1701" w:type="dxa"/>
          </w:tcPr>
          <w:p>
            <w:pPr>
              <w:pStyle w:val="TableParagraph"/>
              <w:spacing w:before="27"/>
              <w:ind w:left="10"/>
              <w:jc w:val="center"/>
              <w:rPr>
                <w:sz w:val="21"/>
              </w:rPr>
            </w:pPr>
            <w:r>
              <w:rPr>
                <w:sz w:val="21"/>
              </w:rPr>
              <w:t>立讯精密</w:t>
            </w:r>
          </w:p>
        </w:tc>
        <w:tc>
          <w:tcPr>
            <w:tcW w:w="1277" w:type="dxa"/>
          </w:tcPr>
          <w:p>
            <w:pPr>
              <w:pStyle w:val="TableParagraph"/>
              <w:spacing w:before="39"/>
              <w:ind w:right="93"/>
              <w:jc w:val="right"/>
              <w:rPr>
                <w:rFonts w:ascii="Times New Roman"/>
                <w:sz w:val="21"/>
              </w:rPr>
            </w:pPr>
            <w:r>
              <w:rPr>
                <w:rFonts w:ascii="Times New Roman"/>
                <w:sz w:val="21"/>
              </w:rPr>
              <w:t>132,078</w:t>
            </w:r>
          </w:p>
        </w:tc>
        <w:tc>
          <w:tcPr>
            <w:tcW w:w="1841" w:type="dxa"/>
          </w:tcPr>
          <w:p>
            <w:pPr>
              <w:pStyle w:val="TableParagraph"/>
              <w:spacing w:before="39"/>
              <w:ind w:right="90"/>
              <w:jc w:val="right"/>
              <w:rPr>
                <w:rFonts w:ascii="Times New Roman"/>
                <w:sz w:val="21"/>
              </w:rPr>
            </w:pPr>
            <w:r>
              <w:rPr>
                <w:rFonts w:ascii="Times New Roman"/>
                <w:sz w:val="21"/>
              </w:rPr>
              <w:t>6,782,205.30</w:t>
            </w:r>
          </w:p>
        </w:tc>
        <w:tc>
          <w:tcPr>
            <w:tcW w:w="1561" w:type="dxa"/>
          </w:tcPr>
          <w:p>
            <w:pPr>
              <w:pStyle w:val="TableParagraph"/>
              <w:spacing w:before="39"/>
              <w:ind w:right="93"/>
              <w:jc w:val="right"/>
              <w:rPr>
                <w:rFonts w:ascii="Times New Roman"/>
                <w:sz w:val="21"/>
              </w:rPr>
            </w:pPr>
            <w:r>
              <w:rPr>
                <w:rFonts w:ascii="Times New Roman"/>
                <w:sz w:val="21"/>
              </w:rPr>
              <w:t>0.05</w:t>
            </w:r>
          </w:p>
        </w:tc>
      </w:tr>
    </w:tbl>
    <w:p>
      <w:pPr>
        <w:spacing w:after="0"/>
        <w:jc w:val="right"/>
        <w:rPr>
          <w:rFonts w:ascii="Times New Roman"/>
          <w:sz w:val="21"/>
        </w:rPr>
        <w:sectPr>
          <w:pgSz w:w="11910" w:h="16840"/>
          <w:pgMar w:header="701" w:footer="683" w:top="1420" w:bottom="880" w:left="1500" w:right="920"/>
        </w:sect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1"/>
        <w:gridCol w:w="1277"/>
        <w:gridCol w:w="1841"/>
        <w:gridCol w:w="1561"/>
      </w:tblGrid>
      <w:tr>
        <w:trPr>
          <w:trHeight w:val="316" w:hRule="atLeast"/>
        </w:trPr>
        <w:tc>
          <w:tcPr>
            <w:tcW w:w="708" w:type="dxa"/>
          </w:tcPr>
          <w:p>
            <w:pPr>
              <w:pStyle w:val="TableParagraph"/>
              <w:spacing w:before="37"/>
              <w:ind w:left="7"/>
              <w:jc w:val="center"/>
              <w:rPr>
                <w:rFonts w:ascii="Times New Roman"/>
                <w:sz w:val="21"/>
              </w:rPr>
            </w:pPr>
            <w:r>
              <w:rPr>
                <w:rFonts w:ascii="Times New Roman"/>
                <w:w w:val="100"/>
                <w:sz w:val="21"/>
              </w:rPr>
              <w:t>6</w:t>
            </w:r>
          </w:p>
        </w:tc>
        <w:tc>
          <w:tcPr>
            <w:tcW w:w="1277" w:type="dxa"/>
          </w:tcPr>
          <w:p>
            <w:pPr>
              <w:pStyle w:val="TableParagraph"/>
              <w:spacing w:before="37"/>
              <w:ind w:left="189" w:right="180"/>
              <w:jc w:val="center"/>
              <w:rPr>
                <w:rFonts w:ascii="Times New Roman"/>
                <w:sz w:val="21"/>
              </w:rPr>
            </w:pPr>
            <w:r>
              <w:rPr>
                <w:rFonts w:ascii="Times New Roman"/>
                <w:sz w:val="21"/>
              </w:rPr>
              <w:t>000651</w:t>
            </w:r>
          </w:p>
        </w:tc>
        <w:tc>
          <w:tcPr>
            <w:tcW w:w="1701" w:type="dxa"/>
          </w:tcPr>
          <w:p>
            <w:pPr>
              <w:pStyle w:val="TableParagraph"/>
              <w:ind w:left="10"/>
              <w:jc w:val="center"/>
              <w:rPr>
                <w:sz w:val="21"/>
              </w:rPr>
            </w:pPr>
            <w:r>
              <w:rPr>
                <w:sz w:val="21"/>
              </w:rPr>
              <w:t>格力电器</w:t>
            </w:r>
          </w:p>
        </w:tc>
        <w:tc>
          <w:tcPr>
            <w:tcW w:w="1277" w:type="dxa"/>
          </w:tcPr>
          <w:p>
            <w:pPr>
              <w:pStyle w:val="TableParagraph"/>
              <w:spacing w:before="37"/>
              <w:ind w:right="92"/>
              <w:jc w:val="right"/>
              <w:rPr>
                <w:rFonts w:ascii="Times New Roman"/>
                <w:sz w:val="21"/>
              </w:rPr>
            </w:pPr>
            <w:r>
              <w:rPr>
                <w:rFonts w:ascii="Times New Roman"/>
                <w:sz w:val="21"/>
              </w:rPr>
              <w:t>113,846</w:t>
            </w:r>
          </w:p>
        </w:tc>
        <w:tc>
          <w:tcPr>
            <w:tcW w:w="1841" w:type="dxa"/>
          </w:tcPr>
          <w:p>
            <w:pPr>
              <w:pStyle w:val="TableParagraph"/>
              <w:spacing w:before="37"/>
              <w:ind w:right="90"/>
              <w:jc w:val="right"/>
              <w:rPr>
                <w:rFonts w:ascii="Times New Roman"/>
                <w:sz w:val="21"/>
              </w:rPr>
            </w:pPr>
            <w:r>
              <w:rPr>
                <w:rFonts w:ascii="Times New Roman"/>
                <w:sz w:val="21"/>
              </w:rPr>
              <w:t>6,440,268.22</w:t>
            </w:r>
          </w:p>
        </w:tc>
        <w:tc>
          <w:tcPr>
            <w:tcW w:w="1561" w:type="dxa"/>
          </w:tcPr>
          <w:p>
            <w:pPr>
              <w:pStyle w:val="TableParagraph"/>
              <w:spacing w:before="37"/>
              <w:ind w:right="93"/>
              <w:jc w:val="right"/>
              <w:rPr>
                <w:rFonts w:ascii="Times New Roman"/>
                <w:sz w:val="21"/>
              </w:rPr>
            </w:pPr>
            <w:r>
              <w:rPr>
                <w:rFonts w:ascii="Times New Roman"/>
                <w:sz w:val="21"/>
              </w:rPr>
              <w:t>0.04</w:t>
            </w:r>
          </w:p>
        </w:tc>
      </w:tr>
      <w:tr>
        <w:trPr>
          <w:trHeight w:val="316" w:hRule="atLeast"/>
        </w:trPr>
        <w:tc>
          <w:tcPr>
            <w:tcW w:w="708" w:type="dxa"/>
          </w:tcPr>
          <w:p>
            <w:pPr>
              <w:pStyle w:val="TableParagraph"/>
              <w:spacing w:before="36"/>
              <w:ind w:left="7"/>
              <w:jc w:val="center"/>
              <w:rPr>
                <w:rFonts w:ascii="Times New Roman"/>
                <w:sz w:val="21"/>
              </w:rPr>
            </w:pPr>
            <w:r>
              <w:rPr>
                <w:rFonts w:ascii="Times New Roman"/>
                <w:w w:val="100"/>
                <w:sz w:val="21"/>
              </w:rPr>
              <w:t>7</w:t>
            </w:r>
          </w:p>
        </w:tc>
        <w:tc>
          <w:tcPr>
            <w:tcW w:w="1277" w:type="dxa"/>
          </w:tcPr>
          <w:p>
            <w:pPr>
              <w:pStyle w:val="TableParagraph"/>
              <w:spacing w:before="36"/>
              <w:ind w:left="191" w:right="180"/>
              <w:jc w:val="center"/>
              <w:rPr>
                <w:rFonts w:ascii="Times New Roman"/>
                <w:sz w:val="21"/>
              </w:rPr>
            </w:pPr>
            <w:r>
              <w:rPr>
                <w:rFonts w:ascii="Times New Roman"/>
                <w:sz w:val="21"/>
              </w:rPr>
              <w:t>688111</w:t>
            </w:r>
          </w:p>
        </w:tc>
        <w:tc>
          <w:tcPr>
            <w:tcW w:w="1701" w:type="dxa"/>
          </w:tcPr>
          <w:p>
            <w:pPr>
              <w:pStyle w:val="TableParagraph"/>
              <w:ind w:left="10"/>
              <w:jc w:val="center"/>
              <w:rPr>
                <w:sz w:val="21"/>
              </w:rPr>
            </w:pPr>
            <w:r>
              <w:rPr>
                <w:sz w:val="21"/>
              </w:rPr>
              <w:t>金山办公</w:t>
            </w:r>
          </w:p>
        </w:tc>
        <w:tc>
          <w:tcPr>
            <w:tcW w:w="1277" w:type="dxa"/>
          </w:tcPr>
          <w:p>
            <w:pPr>
              <w:pStyle w:val="TableParagraph"/>
              <w:spacing w:before="36"/>
              <w:ind w:right="93"/>
              <w:jc w:val="right"/>
              <w:rPr>
                <w:rFonts w:ascii="Times New Roman"/>
                <w:sz w:val="21"/>
              </w:rPr>
            </w:pPr>
            <w:r>
              <w:rPr>
                <w:rFonts w:ascii="Times New Roman"/>
                <w:sz w:val="21"/>
              </w:rPr>
              <w:t>14,659</w:t>
            </w:r>
          </w:p>
        </w:tc>
        <w:tc>
          <w:tcPr>
            <w:tcW w:w="1841" w:type="dxa"/>
          </w:tcPr>
          <w:p>
            <w:pPr>
              <w:pStyle w:val="TableParagraph"/>
              <w:spacing w:before="36"/>
              <w:ind w:right="90"/>
              <w:jc w:val="right"/>
              <w:rPr>
                <w:rFonts w:ascii="Times New Roman"/>
                <w:sz w:val="21"/>
              </w:rPr>
            </w:pPr>
            <w:r>
              <w:rPr>
                <w:rFonts w:ascii="Times New Roman"/>
                <w:sz w:val="21"/>
              </w:rPr>
              <w:t>5,007,221.22</w:t>
            </w:r>
          </w:p>
        </w:tc>
        <w:tc>
          <w:tcPr>
            <w:tcW w:w="1561" w:type="dxa"/>
          </w:tcPr>
          <w:p>
            <w:pPr>
              <w:pStyle w:val="TableParagraph"/>
              <w:spacing w:before="36"/>
              <w:ind w:right="93"/>
              <w:jc w:val="right"/>
              <w:rPr>
                <w:rFonts w:ascii="Times New Roman"/>
                <w:sz w:val="21"/>
              </w:rPr>
            </w:pPr>
            <w:r>
              <w:rPr>
                <w:rFonts w:ascii="Times New Roman"/>
                <w:sz w:val="21"/>
              </w:rPr>
              <w:t>0.03</w:t>
            </w:r>
          </w:p>
        </w:tc>
      </w:tr>
      <w:tr>
        <w:trPr>
          <w:trHeight w:val="318" w:hRule="atLeast"/>
        </w:trPr>
        <w:tc>
          <w:tcPr>
            <w:tcW w:w="708" w:type="dxa"/>
          </w:tcPr>
          <w:p>
            <w:pPr>
              <w:pStyle w:val="TableParagraph"/>
              <w:spacing w:before="39"/>
              <w:ind w:left="7"/>
              <w:jc w:val="center"/>
              <w:rPr>
                <w:rFonts w:ascii="Times New Roman"/>
                <w:sz w:val="21"/>
              </w:rPr>
            </w:pPr>
            <w:r>
              <w:rPr>
                <w:rFonts w:ascii="Times New Roman"/>
                <w:w w:val="100"/>
                <w:sz w:val="21"/>
              </w:rPr>
              <w:t>8</w:t>
            </w:r>
          </w:p>
        </w:tc>
        <w:tc>
          <w:tcPr>
            <w:tcW w:w="1277" w:type="dxa"/>
          </w:tcPr>
          <w:p>
            <w:pPr>
              <w:pStyle w:val="TableParagraph"/>
              <w:spacing w:before="39"/>
              <w:ind w:left="189" w:right="180"/>
              <w:jc w:val="center"/>
              <w:rPr>
                <w:rFonts w:ascii="Times New Roman"/>
                <w:sz w:val="21"/>
              </w:rPr>
            </w:pPr>
            <w:r>
              <w:rPr>
                <w:rFonts w:ascii="Times New Roman"/>
                <w:sz w:val="21"/>
              </w:rPr>
              <w:t>600036</w:t>
            </w:r>
          </w:p>
        </w:tc>
        <w:tc>
          <w:tcPr>
            <w:tcW w:w="1701" w:type="dxa"/>
          </w:tcPr>
          <w:p>
            <w:pPr>
              <w:pStyle w:val="TableParagraph"/>
              <w:spacing w:before="27"/>
              <w:ind w:left="10"/>
              <w:jc w:val="center"/>
              <w:rPr>
                <w:sz w:val="21"/>
              </w:rPr>
            </w:pPr>
            <w:r>
              <w:rPr>
                <w:sz w:val="21"/>
              </w:rPr>
              <w:t>招商银行</w:t>
            </w:r>
          </w:p>
        </w:tc>
        <w:tc>
          <w:tcPr>
            <w:tcW w:w="1277" w:type="dxa"/>
          </w:tcPr>
          <w:p>
            <w:pPr>
              <w:pStyle w:val="TableParagraph"/>
              <w:spacing w:before="39"/>
              <w:ind w:right="93"/>
              <w:jc w:val="right"/>
              <w:rPr>
                <w:rFonts w:ascii="Times New Roman"/>
                <w:sz w:val="21"/>
              </w:rPr>
            </w:pPr>
            <w:r>
              <w:rPr>
                <w:rFonts w:ascii="Times New Roman"/>
                <w:sz w:val="21"/>
              </w:rPr>
              <w:t>144,100</w:t>
            </w:r>
          </w:p>
        </w:tc>
        <w:tc>
          <w:tcPr>
            <w:tcW w:w="1841" w:type="dxa"/>
          </w:tcPr>
          <w:p>
            <w:pPr>
              <w:pStyle w:val="TableParagraph"/>
              <w:spacing w:before="39"/>
              <w:ind w:right="90"/>
              <w:jc w:val="right"/>
              <w:rPr>
                <w:rFonts w:ascii="Times New Roman"/>
                <w:sz w:val="21"/>
              </w:rPr>
            </w:pPr>
            <w:r>
              <w:rPr>
                <w:rFonts w:ascii="Times New Roman"/>
                <w:sz w:val="21"/>
              </w:rPr>
              <w:t>4,859,052.00</w:t>
            </w:r>
          </w:p>
        </w:tc>
        <w:tc>
          <w:tcPr>
            <w:tcW w:w="1561" w:type="dxa"/>
          </w:tcPr>
          <w:p>
            <w:pPr>
              <w:pStyle w:val="TableParagraph"/>
              <w:spacing w:before="39"/>
              <w:ind w:right="93"/>
              <w:jc w:val="right"/>
              <w:rPr>
                <w:rFonts w:ascii="Times New Roman"/>
                <w:sz w:val="21"/>
              </w:rPr>
            </w:pPr>
            <w:r>
              <w:rPr>
                <w:rFonts w:ascii="Times New Roman"/>
                <w:sz w:val="21"/>
              </w:rPr>
              <w:t>0.03</w:t>
            </w:r>
          </w:p>
        </w:tc>
      </w:tr>
      <w:tr>
        <w:trPr>
          <w:trHeight w:val="316" w:hRule="atLeast"/>
        </w:trPr>
        <w:tc>
          <w:tcPr>
            <w:tcW w:w="708" w:type="dxa"/>
          </w:tcPr>
          <w:p>
            <w:pPr>
              <w:pStyle w:val="TableParagraph"/>
              <w:spacing w:before="36"/>
              <w:ind w:left="7"/>
              <w:jc w:val="center"/>
              <w:rPr>
                <w:rFonts w:ascii="Times New Roman"/>
                <w:sz w:val="21"/>
              </w:rPr>
            </w:pPr>
            <w:r>
              <w:rPr>
                <w:rFonts w:ascii="Times New Roman"/>
                <w:w w:val="100"/>
                <w:sz w:val="21"/>
              </w:rPr>
              <w:t>9</w:t>
            </w:r>
          </w:p>
        </w:tc>
        <w:tc>
          <w:tcPr>
            <w:tcW w:w="1277" w:type="dxa"/>
          </w:tcPr>
          <w:p>
            <w:pPr>
              <w:pStyle w:val="TableParagraph"/>
              <w:spacing w:before="36"/>
              <w:ind w:left="189" w:right="180"/>
              <w:jc w:val="center"/>
              <w:rPr>
                <w:rFonts w:ascii="Times New Roman"/>
                <w:sz w:val="21"/>
              </w:rPr>
            </w:pPr>
            <w:r>
              <w:rPr>
                <w:rFonts w:ascii="Times New Roman"/>
                <w:sz w:val="21"/>
              </w:rPr>
              <w:t>600276</w:t>
            </w:r>
          </w:p>
        </w:tc>
        <w:tc>
          <w:tcPr>
            <w:tcW w:w="1701" w:type="dxa"/>
          </w:tcPr>
          <w:p>
            <w:pPr>
              <w:pStyle w:val="TableParagraph"/>
              <w:ind w:left="10"/>
              <w:jc w:val="center"/>
              <w:rPr>
                <w:sz w:val="21"/>
              </w:rPr>
            </w:pPr>
            <w:r>
              <w:rPr>
                <w:sz w:val="21"/>
              </w:rPr>
              <w:t>恒瑞医药</w:t>
            </w:r>
          </w:p>
        </w:tc>
        <w:tc>
          <w:tcPr>
            <w:tcW w:w="1277" w:type="dxa"/>
          </w:tcPr>
          <w:p>
            <w:pPr>
              <w:pStyle w:val="TableParagraph"/>
              <w:spacing w:before="36"/>
              <w:ind w:right="93"/>
              <w:jc w:val="right"/>
              <w:rPr>
                <w:rFonts w:ascii="Times New Roman"/>
                <w:sz w:val="21"/>
              </w:rPr>
            </w:pPr>
            <w:r>
              <w:rPr>
                <w:rFonts w:ascii="Times New Roman"/>
                <w:sz w:val="21"/>
              </w:rPr>
              <w:t>51,930</w:t>
            </w:r>
          </w:p>
        </w:tc>
        <w:tc>
          <w:tcPr>
            <w:tcW w:w="1841" w:type="dxa"/>
          </w:tcPr>
          <w:p>
            <w:pPr>
              <w:pStyle w:val="TableParagraph"/>
              <w:spacing w:before="36"/>
              <w:ind w:right="90"/>
              <w:jc w:val="right"/>
              <w:rPr>
                <w:rFonts w:ascii="Times New Roman"/>
                <w:sz w:val="21"/>
              </w:rPr>
            </w:pPr>
            <w:r>
              <w:rPr>
                <w:rFonts w:ascii="Times New Roman"/>
                <w:sz w:val="21"/>
              </w:rPr>
              <w:t>4,793,139.00</w:t>
            </w:r>
          </w:p>
        </w:tc>
        <w:tc>
          <w:tcPr>
            <w:tcW w:w="1561" w:type="dxa"/>
          </w:tcPr>
          <w:p>
            <w:pPr>
              <w:pStyle w:val="TableParagraph"/>
              <w:spacing w:before="36"/>
              <w:ind w:right="93"/>
              <w:jc w:val="right"/>
              <w:rPr>
                <w:rFonts w:ascii="Times New Roman"/>
                <w:sz w:val="21"/>
              </w:rPr>
            </w:pPr>
            <w:r>
              <w:rPr>
                <w:rFonts w:ascii="Times New Roman"/>
                <w:sz w:val="21"/>
              </w:rPr>
              <w:t>0.03</w:t>
            </w:r>
          </w:p>
        </w:tc>
      </w:tr>
      <w:tr>
        <w:trPr>
          <w:trHeight w:val="316" w:hRule="atLeast"/>
        </w:trPr>
        <w:tc>
          <w:tcPr>
            <w:tcW w:w="708" w:type="dxa"/>
          </w:tcPr>
          <w:p>
            <w:pPr>
              <w:pStyle w:val="TableParagraph"/>
              <w:spacing w:before="36"/>
              <w:ind w:left="113" w:right="106"/>
              <w:jc w:val="center"/>
              <w:rPr>
                <w:rFonts w:ascii="Times New Roman"/>
                <w:sz w:val="21"/>
              </w:rPr>
            </w:pPr>
            <w:r>
              <w:rPr>
                <w:rFonts w:ascii="Times New Roman"/>
                <w:sz w:val="21"/>
              </w:rPr>
              <w:t>10</w:t>
            </w:r>
          </w:p>
        </w:tc>
        <w:tc>
          <w:tcPr>
            <w:tcW w:w="1277" w:type="dxa"/>
          </w:tcPr>
          <w:p>
            <w:pPr>
              <w:pStyle w:val="TableParagraph"/>
              <w:spacing w:before="36"/>
              <w:ind w:left="189" w:right="180"/>
              <w:jc w:val="center"/>
              <w:rPr>
                <w:rFonts w:ascii="Times New Roman"/>
                <w:sz w:val="21"/>
              </w:rPr>
            </w:pPr>
            <w:r>
              <w:rPr>
                <w:rFonts w:ascii="Times New Roman"/>
                <w:sz w:val="21"/>
              </w:rPr>
              <w:t>000002</w:t>
            </w:r>
          </w:p>
        </w:tc>
        <w:tc>
          <w:tcPr>
            <w:tcW w:w="1701" w:type="dxa"/>
          </w:tcPr>
          <w:p>
            <w:pPr>
              <w:pStyle w:val="TableParagraph"/>
              <w:tabs>
                <w:tab w:pos="430" w:val="left" w:leader="none"/>
              </w:tabs>
              <w:ind w:left="8"/>
              <w:jc w:val="center"/>
              <w:rPr>
                <w:sz w:val="21"/>
              </w:rPr>
            </w:pPr>
            <w:r>
              <w:rPr>
                <w:sz w:val="21"/>
              </w:rPr>
              <w:t>万</w:t>
              <w:tab/>
            </w:r>
            <w:r>
              <w:rPr>
                <w:spacing w:val="-3"/>
                <w:sz w:val="21"/>
              </w:rPr>
              <w:t>科Ａ</w:t>
            </w:r>
          </w:p>
        </w:tc>
        <w:tc>
          <w:tcPr>
            <w:tcW w:w="1277" w:type="dxa"/>
          </w:tcPr>
          <w:p>
            <w:pPr>
              <w:pStyle w:val="TableParagraph"/>
              <w:spacing w:before="36"/>
              <w:ind w:right="93"/>
              <w:jc w:val="right"/>
              <w:rPr>
                <w:rFonts w:ascii="Times New Roman"/>
                <w:sz w:val="21"/>
              </w:rPr>
            </w:pPr>
            <w:r>
              <w:rPr>
                <w:rFonts w:ascii="Times New Roman"/>
                <w:sz w:val="21"/>
              </w:rPr>
              <w:t>163,100</w:t>
            </w:r>
          </w:p>
        </w:tc>
        <w:tc>
          <w:tcPr>
            <w:tcW w:w="1841" w:type="dxa"/>
          </w:tcPr>
          <w:p>
            <w:pPr>
              <w:pStyle w:val="TableParagraph"/>
              <w:spacing w:before="36"/>
              <w:ind w:right="90"/>
              <w:jc w:val="right"/>
              <w:rPr>
                <w:rFonts w:ascii="Times New Roman"/>
                <w:sz w:val="21"/>
              </w:rPr>
            </w:pPr>
            <w:r>
              <w:rPr>
                <w:rFonts w:ascii="Times New Roman"/>
                <w:sz w:val="21"/>
              </w:rPr>
              <w:t>4,263,434.00</w:t>
            </w:r>
          </w:p>
        </w:tc>
        <w:tc>
          <w:tcPr>
            <w:tcW w:w="1561" w:type="dxa"/>
          </w:tcPr>
          <w:p>
            <w:pPr>
              <w:pStyle w:val="TableParagraph"/>
              <w:spacing w:before="36"/>
              <w:ind w:right="93"/>
              <w:jc w:val="right"/>
              <w:rPr>
                <w:rFonts w:ascii="Times New Roman"/>
                <w:sz w:val="21"/>
              </w:rPr>
            </w:pPr>
            <w:r>
              <w:rPr>
                <w:rFonts w:ascii="Times New Roman"/>
                <w:sz w:val="21"/>
              </w:rPr>
              <w:t>0.03</w:t>
            </w:r>
          </w:p>
        </w:tc>
      </w:tr>
    </w:tbl>
    <w:p>
      <w:pPr>
        <w:pStyle w:val="ListParagraph"/>
        <w:numPr>
          <w:ilvl w:val="1"/>
          <w:numId w:val="27"/>
        </w:numPr>
        <w:tabs>
          <w:tab w:pos="618" w:val="left" w:leader="none"/>
        </w:tabs>
        <w:spacing w:line="240" w:lineRule="auto" w:before="114" w:after="0"/>
        <w:ind w:left="617" w:right="0" w:hanging="318"/>
        <w:jc w:val="left"/>
        <w:rPr>
          <w:sz w:val="21"/>
        </w:rPr>
      </w:pPr>
      <w:r>
        <w:rPr>
          <w:spacing w:val="-3"/>
          <w:sz w:val="21"/>
        </w:rPr>
        <w:t>报告期末按债券品种分类的债券投资组合</w:t>
      </w:r>
    </w:p>
    <w:p>
      <w:pPr>
        <w:pStyle w:val="BodyText"/>
        <w:spacing w:before="2"/>
        <w:rPr>
          <w:sz w:val="8"/>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262"/>
        <w:gridCol w:w="2693"/>
        <w:gridCol w:w="1702"/>
      </w:tblGrid>
      <w:tr>
        <w:trPr>
          <w:trHeight w:val="978" w:hRule="atLeast"/>
        </w:trPr>
        <w:tc>
          <w:tcPr>
            <w:tcW w:w="708" w:type="dxa"/>
          </w:tcPr>
          <w:p>
            <w:pPr>
              <w:pStyle w:val="TableParagraph"/>
              <w:spacing w:before="11"/>
              <w:rPr>
                <w:sz w:val="28"/>
              </w:rPr>
            </w:pPr>
          </w:p>
          <w:p>
            <w:pPr>
              <w:pStyle w:val="TableParagraph"/>
              <w:spacing w:before="1"/>
              <w:ind w:left="132" w:right="106"/>
              <w:jc w:val="center"/>
              <w:rPr>
                <w:sz w:val="21"/>
              </w:rPr>
            </w:pPr>
            <w:r>
              <w:rPr>
                <w:sz w:val="21"/>
              </w:rPr>
              <w:t>序号</w:t>
            </w:r>
          </w:p>
        </w:tc>
        <w:tc>
          <w:tcPr>
            <w:tcW w:w="3262" w:type="dxa"/>
          </w:tcPr>
          <w:p>
            <w:pPr>
              <w:pStyle w:val="TableParagraph"/>
              <w:spacing w:before="11"/>
              <w:rPr>
                <w:sz w:val="28"/>
              </w:rPr>
            </w:pPr>
          </w:p>
          <w:p>
            <w:pPr>
              <w:pStyle w:val="TableParagraph"/>
              <w:spacing w:before="1"/>
              <w:ind w:left="1198" w:right="1174"/>
              <w:jc w:val="center"/>
              <w:rPr>
                <w:sz w:val="21"/>
              </w:rPr>
            </w:pPr>
            <w:r>
              <w:rPr>
                <w:sz w:val="21"/>
              </w:rPr>
              <w:t>债券品种</w:t>
            </w:r>
          </w:p>
        </w:tc>
        <w:tc>
          <w:tcPr>
            <w:tcW w:w="2693" w:type="dxa"/>
          </w:tcPr>
          <w:p>
            <w:pPr>
              <w:pStyle w:val="TableParagraph"/>
              <w:spacing w:before="11"/>
              <w:rPr>
                <w:sz w:val="28"/>
              </w:rPr>
            </w:pPr>
          </w:p>
          <w:p>
            <w:pPr>
              <w:pStyle w:val="TableParagraph"/>
              <w:spacing w:before="1"/>
              <w:ind w:left="758"/>
              <w:rPr>
                <w:rFonts w:ascii="Times New Roman" w:eastAsia="Times New Roman"/>
                <w:sz w:val="21"/>
              </w:rPr>
            </w:pPr>
            <w:r>
              <w:rPr>
                <w:sz w:val="21"/>
              </w:rPr>
              <w:t>公允价值</w:t>
            </w:r>
            <w:r>
              <w:rPr>
                <w:rFonts w:ascii="Times New Roman" w:eastAsia="Times New Roman"/>
                <w:sz w:val="21"/>
              </w:rPr>
              <w:t>(</w:t>
            </w:r>
            <w:r>
              <w:rPr>
                <w:sz w:val="21"/>
              </w:rPr>
              <w:t>元</w:t>
            </w:r>
            <w:r>
              <w:rPr>
                <w:rFonts w:ascii="Times New Roman" w:eastAsia="Times New Roman"/>
                <w:sz w:val="21"/>
              </w:rPr>
              <w:t>)</w:t>
            </w:r>
          </w:p>
        </w:tc>
        <w:tc>
          <w:tcPr>
            <w:tcW w:w="1702" w:type="dxa"/>
          </w:tcPr>
          <w:p>
            <w:pPr>
              <w:pStyle w:val="TableParagraph"/>
              <w:spacing w:before="133"/>
              <w:ind w:left="209" w:right="183"/>
              <w:jc w:val="center"/>
              <w:rPr>
                <w:sz w:val="21"/>
              </w:rPr>
            </w:pPr>
            <w:r>
              <w:rPr>
                <w:sz w:val="21"/>
              </w:rPr>
              <w:t>占基金资产净</w:t>
            </w:r>
          </w:p>
          <w:p>
            <w:pPr>
              <w:pStyle w:val="TableParagraph"/>
              <w:spacing w:before="1"/>
              <w:rPr>
                <w:sz w:val="16"/>
              </w:rPr>
            </w:pPr>
          </w:p>
          <w:p>
            <w:pPr>
              <w:pStyle w:val="TableParagraph"/>
              <w:spacing w:before="0"/>
              <w:ind w:left="209" w:right="179"/>
              <w:jc w:val="center"/>
              <w:rPr>
                <w:rFonts w:ascii="Times New Roman" w:eastAsia="Times New Roman"/>
                <w:sz w:val="21"/>
              </w:rPr>
            </w:pPr>
            <w:r>
              <w:rPr>
                <w:sz w:val="21"/>
              </w:rPr>
              <w:t>值比例</w:t>
            </w:r>
            <w:r>
              <w:rPr>
                <w:rFonts w:ascii="Times New Roman" w:eastAsia="Times New Roman"/>
                <w:sz w:val="21"/>
              </w:rPr>
              <w:t>(</w:t>
            </w:r>
            <w:r>
              <w:rPr>
                <w:sz w:val="21"/>
              </w:rPr>
              <w:t>％</w:t>
            </w:r>
            <w:r>
              <w:rPr>
                <w:rFonts w:ascii="Times New Roman" w:eastAsia="Times New Roman"/>
                <w:sz w:val="21"/>
              </w:rPr>
              <w:t>)</w:t>
            </w:r>
          </w:p>
        </w:tc>
      </w:tr>
      <w:tr>
        <w:trPr>
          <w:trHeight w:val="504" w:hRule="atLeast"/>
        </w:trPr>
        <w:tc>
          <w:tcPr>
            <w:tcW w:w="708" w:type="dxa"/>
          </w:tcPr>
          <w:p>
            <w:pPr>
              <w:pStyle w:val="TableParagraph"/>
              <w:spacing w:before="145"/>
              <w:ind w:left="26"/>
              <w:jc w:val="center"/>
              <w:rPr>
                <w:rFonts w:ascii="Times New Roman"/>
                <w:sz w:val="21"/>
              </w:rPr>
            </w:pPr>
            <w:r>
              <w:rPr>
                <w:rFonts w:ascii="Times New Roman"/>
                <w:w w:val="100"/>
                <w:sz w:val="21"/>
              </w:rPr>
              <w:t>1</w:t>
            </w:r>
          </w:p>
        </w:tc>
        <w:tc>
          <w:tcPr>
            <w:tcW w:w="3262" w:type="dxa"/>
          </w:tcPr>
          <w:p>
            <w:pPr>
              <w:pStyle w:val="TableParagraph"/>
              <w:spacing w:before="133"/>
              <w:ind w:left="124"/>
              <w:rPr>
                <w:sz w:val="21"/>
              </w:rPr>
            </w:pPr>
            <w:r>
              <w:rPr>
                <w:sz w:val="21"/>
              </w:rPr>
              <w:t>国家债券</w:t>
            </w:r>
          </w:p>
        </w:tc>
        <w:tc>
          <w:tcPr>
            <w:tcW w:w="2693" w:type="dxa"/>
          </w:tcPr>
          <w:p>
            <w:pPr>
              <w:pStyle w:val="TableParagraph"/>
              <w:spacing w:before="145"/>
              <w:ind w:right="95"/>
              <w:jc w:val="right"/>
              <w:rPr>
                <w:rFonts w:ascii="Times New Roman"/>
                <w:sz w:val="21"/>
              </w:rPr>
            </w:pPr>
            <w:r>
              <w:rPr>
                <w:rFonts w:ascii="Times New Roman"/>
                <w:w w:val="100"/>
                <w:sz w:val="21"/>
              </w:rPr>
              <w:t>-</w:t>
            </w:r>
          </w:p>
        </w:tc>
        <w:tc>
          <w:tcPr>
            <w:tcW w:w="1702" w:type="dxa"/>
          </w:tcPr>
          <w:p>
            <w:pPr>
              <w:pStyle w:val="TableParagraph"/>
              <w:spacing w:before="145"/>
              <w:ind w:right="94"/>
              <w:jc w:val="right"/>
              <w:rPr>
                <w:rFonts w:ascii="Times New Roman"/>
                <w:sz w:val="21"/>
              </w:rPr>
            </w:pPr>
            <w:r>
              <w:rPr>
                <w:rFonts w:ascii="Times New Roman"/>
                <w:w w:val="100"/>
                <w:sz w:val="21"/>
              </w:rPr>
              <w:t>-</w:t>
            </w:r>
          </w:p>
        </w:tc>
      </w:tr>
      <w:tr>
        <w:trPr>
          <w:trHeight w:val="505" w:hRule="atLeast"/>
        </w:trPr>
        <w:tc>
          <w:tcPr>
            <w:tcW w:w="708" w:type="dxa"/>
          </w:tcPr>
          <w:p>
            <w:pPr>
              <w:pStyle w:val="TableParagraph"/>
              <w:spacing w:before="147"/>
              <w:ind w:left="26"/>
              <w:jc w:val="center"/>
              <w:rPr>
                <w:rFonts w:ascii="Times New Roman"/>
                <w:sz w:val="21"/>
              </w:rPr>
            </w:pPr>
            <w:r>
              <w:rPr>
                <w:rFonts w:ascii="Times New Roman"/>
                <w:w w:val="100"/>
                <w:sz w:val="21"/>
              </w:rPr>
              <w:t>2</w:t>
            </w:r>
          </w:p>
        </w:tc>
        <w:tc>
          <w:tcPr>
            <w:tcW w:w="3262" w:type="dxa"/>
          </w:tcPr>
          <w:p>
            <w:pPr>
              <w:pStyle w:val="TableParagraph"/>
              <w:spacing w:before="135"/>
              <w:ind w:left="124"/>
              <w:rPr>
                <w:sz w:val="21"/>
              </w:rPr>
            </w:pPr>
            <w:r>
              <w:rPr>
                <w:sz w:val="21"/>
              </w:rPr>
              <w:t>央行票据</w:t>
            </w:r>
          </w:p>
        </w:tc>
        <w:tc>
          <w:tcPr>
            <w:tcW w:w="2693" w:type="dxa"/>
          </w:tcPr>
          <w:p>
            <w:pPr>
              <w:pStyle w:val="TableParagraph"/>
              <w:spacing w:before="147"/>
              <w:ind w:right="95"/>
              <w:jc w:val="right"/>
              <w:rPr>
                <w:rFonts w:ascii="Times New Roman"/>
                <w:sz w:val="21"/>
              </w:rPr>
            </w:pPr>
            <w:r>
              <w:rPr>
                <w:rFonts w:ascii="Times New Roman"/>
                <w:w w:val="100"/>
                <w:sz w:val="21"/>
              </w:rPr>
              <w:t>-</w:t>
            </w:r>
          </w:p>
        </w:tc>
        <w:tc>
          <w:tcPr>
            <w:tcW w:w="1702" w:type="dxa"/>
          </w:tcPr>
          <w:p>
            <w:pPr>
              <w:pStyle w:val="TableParagraph"/>
              <w:spacing w:before="147"/>
              <w:ind w:right="94"/>
              <w:jc w:val="right"/>
              <w:rPr>
                <w:rFonts w:ascii="Times New Roman"/>
                <w:sz w:val="21"/>
              </w:rPr>
            </w:pPr>
            <w:r>
              <w:rPr>
                <w:rFonts w:ascii="Times New Roman"/>
                <w:w w:val="100"/>
                <w:sz w:val="21"/>
              </w:rPr>
              <w:t>-</w:t>
            </w:r>
          </w:p>
        </w:tc>
      </w:tr>
      <w:tr>
        <w:trPr>
          <w:trHeight w:val="503" w:hRule="atLeast"/>
        </w:trPr>
        <w:tc>
          <w:tcPr>
            <w:tcW w:w="708" w:type="dxa"/>
          </w:tcPr>
          <w:p>
            <w:pPr>
              <w:pStyle w:val="TableParagraph"/>
              <w:spacing w:before="144"/>
              <w:ind w:left="26"/>
              <w:jc w:val="center"/>
              <w:rPr>
                <w:rFonts w:ascii="Times New Roman"/>
                <w:sz w:val="21"/>
              </w:rPr>
            </w:pPr>
            <w:r>
              <w:rPr>
                <w:rFonts w:ascii="Times New Roman"/>
                <w:w w:val="100"/>
                <w:sz w:val="21"/>
              </w:rPr>
              <w:t>3</w:t>
            </w:r>
          </w:p>
        </w:tc>
        <w:tc>
          <w:tcPr>
            <w:tcW w:w="3262" w:type="dxa"/>
          </w:tcPr>
          <w:p>
            <w:pPr>
              <w:pStyle w:val="TableParagraph"/>
              <w:spacing w:before="133"/>
              <w:ind w:left="124"/>
              <w:rPr>
                <w:sz w:val="21"/>
              </w:rPr>
            </w:pPr>
            <w:r>
              <w:rPr>
                <w:sz w:val="21"/>
              </w:rPr>
              <w:t>金融债券</w:t>
            </w:r>
          </w:p>
        </w:tc>
        <w:tc>
          <w:tcPr>
            <w:tcW w:w="2693" w:type="dxa"/>
          </w:tcPr>
          <w:p>
            <w:pPr>
              <w:pStyle w:val="TableParagraph"/>
              <w:spacing w:before="144"/>
              <w:ind w:right="93"/>
              <w:jc w:val="right"/>
              <w:rPr>
                <w:rFonts w:ascii="Times New Roman"/>
                <w:sz w:val="21"/>
              </w:rPr>
            </w:pPr>
            <w:r>
              <w:rPr>
                <w:rFonts w:ascii="Times New Roman"/>
                <w:sz w:val="21"/>
              </w:rPr>
              <w:t>429,792,000.00</w:t>
            </w:r>
          </w:p>
        </w:tc>
        <w:tc>
          <w:tcPr>
            <w:tcW w:w="1702" w:type="dxa"/>
          </w:tcPr>
          <w:p>
            <w:pPr>
              <w:pStyle w:val="TableParagraph"/>
              <w:spacing w:before="144"/>
              <w:ind w:right="93"/>
              <w:jc w:val="right"/>
              <w:rPr>
                <w:rFonts w:ascii="Times New Roman"/>
                <w:sz w:val="21"/>
              </w:rPr>
            </w:pPr>
            <w:r>
              <w:rPr>
                <w:rFonts w:ascii="Times New Roman"/>
                <w:sz w:val="21"/>
              </w:rPr>
              <w:t>2.86</w:t>
            </w:r>
          </w:p>
        </w:tc>
      </w:tr>
      <w:tr>
        <w:trPr>
          <w:trHeight w:val="506" w:hRule="atLeast"/>
        </w:trPr>
        <w:tc>
          <w:tcPr>
            <w:tcW w:w="708" w:type="dxa"/>
          </w:tcPr>
          <w:p>
            <w:pPr>
              <w:pStyle w:val="TableParagraph"/>
              <w:spacing w:before="0"/>
              <w:rPr>
                <w:rFonts w:ascii="Times New Roman"/>
                <w:sz w:val="20"/>
              </w:rPr>
            </w:pPr>
          </w:p>
        </w:tc>
        <w:tc>
          <w:tcPr>
            <w:tcW w:w="3262" w:type="dxa"/>
          </w:tcPr>
          <w:p>
            <w:pPr>
              <w:pStyle w:val="TableParagraph"/>
              <w:spacing w:before="133"/>
              <w:ind w:left="124"/>
              <w:rPr>
                <w:sz w:val="21"/>
              </w:rPr>
            </w:pPr>
            <w:r>
              <w:rPr>
                <w:sz w:val="21"/>
              </w:rPr>
              <w:t>其中：政策性金融债</w:t>
            </w:r>
          </w:p>
        </w:tc>
        <w:tc>
          <w:tcPr>
            <w:tcW w:w="2693" w:type="dxa"/>
          </w:tcPr>
          <w:p>
            <w:pPr>
              <w:pStyle w:val="TableParagraph"/>
              <w:spacing w:before="144"/>
              <w:ind w:right="93"/>
              <w:jc w:val="right"/>
              <w:rPr>
                <w:rFonts w:ascii="Times New Roman"/>
                <w:sz w:val="21"/>
              </w:rPr>
            </w:pPr>
            <w:r>
              <w:rPr>
                <w:rFonts w:ascii="Times New Roman"/>
                <w:sz w:val="21"/>
              </w:rPr>
              <w:t>429,792,000.00</w:t>
            </w:r>
          </w:p>
        </w:tc>
        <w:tc>
          <w:tcPr>
            <w:tcW w:w="1702" w:type="dxa"/>
          </w:tcPr>
          <w:p>
            <w:pPr>
              <w:pStyle w:val="TableParagraph"/>
              <w:spacing w:before="144"/>
              <w:ind w:right="93"/>
              <w:jc w:val="right"/>
              <w:rPr>
                <w:rFonts w:ascii="Times New Roman"/>
                <w:sz w:val="21"/>
              </w:rPr>
            </w:pPr>
            <w:r>
              <w:rPr>
                <w:rFonts w:ascii="Times New Roman"/>
                <w:sz w:val="21"/>
              </w:rPr>
              <w:t>2.86</w:t>
            </w:r>
          </w:p>
        </w:tc>
      </w:tr>
      <w:tr>
        <w:trPr>
          <w:trHeight w:val="503" w:hRule="atLeast"/>
        </w:trPr>
        <w:tc>
          <w:tcPr>
            <w:tcW w:w="708" w:type="dxa"/>
          </w:tcPr>
          <w:p>
            <w:pPr>
              <w:pStyle w:val="TableParagraph"/>
              <w:spacing w:before="144"/>
              <w:ind w:left="26"/>
              <w:jc w:val="center"/>
              <w:rPr>
                <w:rFonts w:ascii="Times New Roman"/>
                <w:sz w:val="21"/>
              </w:rPr>
            </w:pPr>
            <w:r>
              <w:rPr>
                <w:rFonts w:ascii="Times New Roman"/>
                <w:w w:val="100"/>
                <w:sz w:val="21"/>
              </w:rPr>
              <w:t>4</w:t>
            </w:r>
          </w:p>
        </w:tc>
        <w:tc>
          <w:tcPr>
            <w:tcW w:w="3262" w:type="dxa"/>
          </w:tcPr>
          <w:p>
            <w:pPr>
              <w:pStyle w:val="TableParagraph"/>
              <w:spacing w:before="133"/>
              <w:ind w:left="124"/>
              <w:rPr>
                <w:sz w:val="21"/>
              </w:rPr>
            </w:pPr>
            <w:r>
              <w:rPr>
                <w:sz w:val="21"/>
              </w:rPr>
              <w:t>企业债券</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3" w:hRule="atLeast"/>
        </w:trPr>
        <w:tc>
          <w:tcPr>
            <w:tcW w:w="708" w:type="dxa"/>
          </w:tcPr>
          <w:p>
            <w:pPr>
              <w:pStyle w:val="TableParagraph"/>
              <w:spacing w:before="144"/>
              <w:ind w:left="26"/>
              <w:jc w:val="center"/>
              <w:rPr>
                <w:rFonts w:ascii="Times New Roman"/>
                <w:sz w:val="21"/>
              </w:rPr>
            </w:pPr>
            <w:r>
              <w:rPr>
                <w:rFonts w:ascii="Times New Roman"/>
                <w:w w:val="100"/>
                <w:sz w:val="21"/>
              </w:rPr>
              <w:t>5</w:t>
            </w:r>
          </w:p>
        </w:tc>
        <w:tc>
          <w:tcPr>
            <w:tcW w:w="3262" w:type="dxa"/>
          </w:tcPr>
          <w:p>
            <w:pPr>
              <w:pStyle w:val="TableParagraph"/>
              <w:spacing w:before="133"/>
              <w:ind w:left="124"/>
              <w:rPr>
                <w:sz w:val="21"/>
              </w:rPr>
            </w:pPr>
            <w:r>
              <w:rPr>
                <w:sz w:val="21"/>
              </w:rPr>
              <w:t>企业短期融资券</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6" w:hRule="atLeast"/>
        </w:trPr>
        <w:tc>
          <w:tcPr>
            <w:tcW w:w="708" w:type="dxa"/>
          </w:tcPr>
          <w:p>
            <w:pPr>
              <w:pStyle w:val="TableParagraph"/>
              <w:spacing w:before="144"/>
              <w:ind w:left="26"/>
              <w:jc w:val="center"/>
              <w:rPr>
                <w:rFonts w:ascii="Times New Roman"/>
                <w:sz w:val="21"/>
              </w:rPr>
            </w:pPr>
            <w:r>
              <w:rPr>
                <w:rFonts w:ascii="Times New Roman"/>
                <w:w w:val="100"/>
                <w:sz w:val="21"/>
              </w:rPr>
              <w:t>6</w:t>
            </w:r>
          </w:p>
        </w:tc>
        <w:tc>
          <w:tcPr>
            <w:tcW w:w="3262" w:type="dxa"/>
          </w:tcPr>
          <w:p>
            <w:pPr>
              <w:pStyle w:val="TableParagraph"/>
              <w:spacing w:before="133"/>
              <w:ind w:left="124"/>
              <w:rPr>
                <w:sz w:val="21"/>
              </w:rPr>
            </w:pPr>
            <w:r>
              <w:rPr>
                <w:sz w:val="21"/>
              </w:rPr>
              <w:t>中期票据</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3" w:hRule="atLeast"/>
        </w:trPr>
        <w:tc>
          <w:tcPr>
            <w:tcW w:w="708" w:type="dxa"/>
          </w:tcPr>
          <w:p>
            <w:pPr>
              <w:pStyle w:val="TableParagraph"/>
              <w:spacing w:before="144"/>
              <w:ind w:left="26"/>
              <w:jc w:val="center"/>
              <w:rPr>
                <w:rFonts w:ascii="Times New Roman"/>
                <w:sz w:val="21"/>
              </w:rPr>
            </w:pPr>
            <w:r>
              <w:rPr>
                <w:rFonts w:ascii="Times New Roman"/>
                <w:w w:val="100"/>
                <w:sz w:val="21"/>
              </w:rPr>
              <w:t>7</w:t>
            </w:r>
          </w:p>
        </w:tc>
        <w:tc>
          <w:tcPr>
            <w:tcW w:w="3262" w:type="dxa"/>
          </w:tcPr>
          <w:p>
            <w:pPr>
              <w:pStyle w:val="TableParagraph"/>
              <w:spacing w:before="133"/>
              <w:ind w:left="124"/>
              <w:rPr>
                <w:sz w:val="21"/>
              </w:rPr>
            </w:pPr>
            <w:r>
              <w:rPr>
                <w:sz w:val="21"/>
              </w:rPr>
              <w:t>可转债（可交换债）</w:t>
            </w:r>
          </w:p>
        </w:tc>
        <w:tc>
          <w:tcPr>
            <w:tcW w:w="2693" w:type="dxa"/>
          </w:tcPr>
          <w:p>
            <w:pPr>
              <w:pStyle w:val="TableParagraph"/>
              <w:spacing w:before="144"/>
              <w:ind w:right="93"/>
              <w:jc w:val="right"/>
              <w:rPr>
                <w:rFonts w:ascii="Times New Roman"/>
                <w:sz w:val="21"/>
              </w:rPr>
            </w:pPr>
            <w:r>
              <w:rPr>
                <w:rFonts w:ascii="Times New Roman"/>
                <w:sz w:val="21"/>
              </w:rPr>
              <w:t>81,800.00</w:t>
            </w:r>
          </w:p>
        </w:tc>
        <w:tc>
          <w:tcPr>
            <w:tcW w:w="1702" w:type="dxa"/>
          </w:tcPr>
          <w:p>
            <w:pPr>
              <w:pStyle w:val="TableParagraph"/>
              <w:spacing w:before="144"/>
              <w:ind w:right="93"/>
              <w:jc w:val="right"/>
              <w:rPr>
                <w:rFonts w:ascii="Times New Roman"/>
                <w:sz w:val="21"/>
              </w:rPr>
            </w:pPr>
            <w:r>
              <w:rPr>
                <w:rFonts w:ascii="Times New Roman"/>
                <w:sz w:val="21"/>
              </w:rPr>
              <w:t>0.00</w:t>
            </w:r>
          </w:p>
        </w:tc>
      </w:tr>
      <w:tr>
        <w:trPr>
          <w:trHeight w:val="503" w:hRule="atLeast"/>
        </w:trPr>
        <w:tc>
          <w:tcPr>
            <w:tcW w:w="708" w:type="dxa"/>
          </w:tcPr>
          <w:p>
            <w:pPr>
              <w:pStyle w:val="TableParagraph"/>
              <w:spacing w:before="144"/>
              <w:ind w:left="26"/>
              <w:jc w:val="center"/>
              <w:rPr>
                <w:rFonts w:ascii="Times New Roman"/>
                <w:sz w:val="21"/>
              </w:rPr>
            </w:pPr>
            <w:r>
              <w:rPr>
                <w:rFonts w:ascii="Times New Roman"/>
                <w:w w:val="100"/>
                <w:sz w:val="21"/>
              </w:rPr>
              <w:t>8</w:t>
            </w:r>
          </w:p>
        </w:tc>
        <w:tc>
          <w:tcPr>
            <w:tcW w:w="3262" w:type="dxa"/>
          </w:tcPr>
          <w:p>
            <w:pPr>
              <w:pStyle w:val="TableParagraph"/>
              <w:spacing w:before="133"/>
              <w:ind w:left="124"/>
              <w:rPr>
                <w:sz w:val="21"/>
              </w:rPr>
            </w:pPr>
            <w:r>
              <w:rPr>
                <w:sz w:val="21"/>
              </w:rPr>
              <w:t>同业存单</w:t>
            </w:r>
          </w:p>
        </w:tc>
        <w:tc>
          <w:tcPr>
            <w:tcW w:w="2693" w:type="dxa"/>
          </w:tcPr>
          <w:p>
            <w:pPr>
              <w:pStyle w:val="TableParagraph"/>
              <w:spacing w:before="144"/>
              <w:ind w:right="95"/>
              <w:jc w:val="right"/>
              <w:rPr>
                <w:rFonts w:ascii="Times New Roman"/>
                <w:sz w:val="21"/>
              </w:rPr>
            </w:pPr>
            <w:r>
              <w:rPr>
                <w:rFonts w:ascii="Times New Roman"/>
                <w:w w:val="100"/>
                <w:sz w:val="21"/>
              </w:rPr>
              <w:t>-</w:t>
            </w:r>
          </w:p>
        </w:tc>
        <w:tc>
          <w:tcPr>
            <w:tcW w:w="1702" w:type="dxa"/>
          </w:tcPr>
          <w:p>
            <w:pPr>
              <w:pStyle w:val="TableParagraph"/>
              <w:spacing w:before="144"/>
              <w:ind w:right="94"/>
              <w:jc w:val="right"/>
              <w:rPr>
                <w:rFonts w:ascii="Times New Roman"/>
                <w:sz w:val="21"/>
              </w:rPr>
            </w:pPr>
            <w:r>
              <w:rPr>
                <w:rFonts w:ascii="Times New Roman"/>
                <w:w w:val="100"/>
                <w:sz w:val="21"/>
              </w:rPr>
              <w:t>-</w:t>
            </w:r>
          </w:p>
        </w:tc>
      </w:tr>
      <w:tr>
        <w:trPr>
          <w:trHeight w:val="506" w:hRule="atLeast"/>
        </w:trPr>
        <w:tc>
          <w:tcPr>
            <w:tcW w:w="708" w:type="dxa"/>
          </w:tcPr>
          <w:p>
            <w:pPr>
              <w:pStyle w:val="TableParagraph"/>
              <w:spacing w:before="147"/>
              <w:ind w:left="26"/>
              <w:jc w:val="center"/>
              <w:rPr>
                <w:rFonts w:ascii="Times New Roman"/>
                <w:sz w:val="21"/>
              </w:rPr>
            </w:pPr>
            <w:r>
              <w:rPr>
                <w:rFonts w:ascii="Times New Roman"/>
                <w:w w:val="100"/>
                <w:sz w:val="21"/>
              </w:rPr>
              <w:t>9</w:t>
            </w:r>
          </w:p>
        </w:tc>
        <w:tc>
          <w:tcPr>
            <w:tcW w:w="3262" w:type="dxa"/>
          </w:tcPr>
          <w:p>
            <w:pPr>
              <w:pStyle w:val="TableParagraph"/>
              <w:spacing w:before="135"/>
              <w:ind w:left="124"/>
              <w:rPr>
                <w:sz w:val="21"/>
              </w:rPr>
            </w:pPr>
            <w:r>
              <w:rPr>
                <w:sz w:val="21"/>
              </w:rPr>
              <w:t>其他</w:t>
            </w:r>
          </w:p>
        </w:tc>
        <w:tc>
          <w:tcPr>
            <w:tcW w:w="2693" w:type="dxa"/>
          </w:tcPr>
          <w:p>
            <w:pPr>
              <w:pStyle w:val="TableParagraph"/>
              <w:spacing w:before="147"/>
              <w:ind w:right="95"/>
              <w:jc w:val="right"/>
              <w:rPr>
                <w:rFonts w:ascii="Times New Roman"/>
                <w:sz w:val="21"/>
              </w:rPr>
            </w:pPr>
            <w:r>
              <w:rPr>
                <w:rFonts w:ascii="Times New Roman"/>
                <w:w w:val="100"/>
                <w:sz w:val="21"/>
              </w:rPr>
              <w:t>-</w:t>
            </w:r>
          </w:p>
        </w:tc>
        <w:tc>
          <w:tcPr>
            <w:tcW w:w="1702" w:type="dxa"/>
          </w:tcPr>
          <w:p>
            <w:pPr>
              <w:pStyle w:val="TableParagraph"/>
              <w:spacing w:before="147"/>
              <w:ind w:right="94"/>
              <w:jc w:val="right"/>
              <w:rPr>
                <w:rFonts w:ascii="Times New Roman"/>
                <w:sz w:val="21"/>
              </w:rPr>
            </w:pPr>
            <w:r>
              <w:rPr>
                <w:rFonts w:ascii="Times New Roman"/>
                <w:w w:val="100"/>
                <w:sz w:val="21"/>
              </w:rPr>
              <w:t>-</w:t>
            </w:r>
          </w:p>
        </w:tc>
      </w:tr>
      <w:tr>
        <w:trPr>
          <w:trHeight w:val="503" w:hRule="atLeast"/>
        </w:trPr>
        <w:tc>
          <w:tcPr>
            <w:tcW w:w="708" w:type="dxa"/>
          </w:tcPr>
          <w:p>
            <w:pPr>
              <w:pStyle w:val="TableParagraph"/>
              <w:spacing w:before="144"/>
              <w:ind w:left="132" w:right="106"/>
              <w:jc w:val="center"/>
              <w:rPr>
                <w:rFonts w:ascii="Times New Roman"/>
                <w:sz w:val="21"/>
              </w:rPr>
            </w:pPr>
            <w:r>
              <w:rPr>
                <w:rFonts w:ascii="Times New Roman"/>
                <w:sz w:val="21"/>
              </w:rPr>
              <w:t>10</w:t>
            </w:r>
          </w:p>
        </w:tc>
        <w:tc>
          <w:tcPr>
            <w:tcW w:w="3262" w:type="dxa"/>
          </w:tcPr>
          <w:p>
            <w:pPr>
              <w:pStyle w:val="TableParagraph"/>
              <w:spacing w:before="133"/>
              <w:ind w:left="124"/>
              <w:rPr>
                <w:sz w:val="21"/>
              </w:rPr>
            </w:pPr>
            <w:r>
              <w:rPr>
                <w:sz w:val="21"/>
              </w:rPr>
              <w:t>合计</w:t>
            </w:r>
          </w:p>
        </w:tc>
        <w:tc>
          <w:tcPr>
            <w:tcW w:w="2693" w:type="dxa"/>
          </w:tcPr>
          <w:p>
            <w:pPr>
              <w:pStyle w:val="TableParagraph"/>
              <w:spacing w:before="144"/>
              <w:ind w:right="93"/>
              <w:jc w:val="right"/>
              <w:rPr>
                <w:rFonts w:ascii="Times New Roman"/>
                <w:sz w:val="21"/>
              </w:rPr>
            </w:pPr>
            <w:r>
              <w:rPr>
                <w:rFonts w:ascii="Times New Roman"/>
                <w:sz w:val="21"/>
              </w:rPr>
              <w:t>429,873,800.00</w:t>
            </w:r>
          </w:p>
        </w:tc>
        <w:tc>
          <w:tcPr>
            <w:tcW w:w="1702" w:type="dxa"/>
          </w:tcPr>
          <w:p>
            <w:pPr>
              <w:pStyle w:val="TableParagraph"/>
              <w:spacing w:before="144"/>
              <w:ind w:right="93"/>
              <w:jc w:val="right"/>
              <w:rPr>
                <w:rFonts w:ascii="Times New Roman"/>
                <w:sz w:val="21"/>
              </w:rPr>
            </w:pPr>
            <w:r>
              <w:rPr>
                <w:rFonts w:ascii="Times New Roman"/>
                <w:sz w:val="21"/>
              </w:rPr>
              <w:t>2.86</w:t>
            </w:r>
          </w:p>
        </w:tc>
      </w:tr>
    </w:tbl>
    <w:p>
      <w:pPr>
        <w:pStyle w:val="ListParagraph"/>
        <w:numPr>
          <w:ilvl w:val="1"/>
          <w:numId w:val="27"/>
        </w:numPr>
        <w:tabs>
          <w:tab w:pos="618" w:val="left" w:leader="none"/>
        </w:tabs>
        <w:spacing w:line="240" w:lineRule="auto" w:before="104" w:after="0"/>
        <w:ind w:left="617" w:right="0" w:hanging="318"/>
        <w:jc w:val="left"/>
        <w:rPr>
          <w:sz w:val="21"/>
        </w:rPr>
      </w:pPr>
      <w:r>
        <w:rPr>
          <w:spacing w:val="-3"/>
          <w:sz w:val="21"/>
        </w:rPr>
        <w:t>报告期末按公允价值占基金资产净值比例大小排序的前五名债券投资明细</w:t>
      </w:r>
    </w:p>
    <w:p>
      <w:pPr>
        <w:pStyle w:val="BodyText"/>
        <w:spacing w:before="12"/>
        <w:rPr>
          <w:sz w:val="7"/>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981" w:hRule="atLeast"/>
        </w:trPr>
        <w:tc>
          <w:tcPr>
            <w:tcW w:w="1166" w:type="dxa"/>
          </w:tcPr>
          <w:p>
            <w:pPr>
              <w:pStyle w:val="TableParagraph"/>
              <w:spacing w:before="1"/>
              <w:rPr>
                <w:sz w:val="29"/>
              </w:rPr>
            </w:pPr>
          </w:p>
          <w:p>
            <w:pPr>
              <w:pStyle w:val="TableParagraph"/>
              <w:spacing w:before="0"/>
              <w:ind w:left="362" w:right="333"/>
              <w:jc w:val="center"/>
              <w:rPr>
                <w:sz w:val="21"/>
              </w:rPr>
            </w:pPr>
            <w:r>
              <w:rPr>
                <w:sz w:val="21"/>
              </w:rPr>
              <w:t>序号</w:t>
            </w:r>
          </w:p>
        </w:tc>
        <w:tc>
          <w:tcPr>
            <w:tcW w:w="1337" w:type="dxa"/>
          </w:tcPr>
          <w:p>
            <w:pPr>
              <w:pStyle w:val="TableParagraph"/>
              <w:spacing w:before="1"/>
              <w:rPr>
                <w:sz w:val="29"/>
              </w:rPr>
            </w:pPr>
          </w:p>
          <w:p>
            <w:pPr>
              <w:pStyle w:val="TableParagraph"/>
              <w:spacing w:before="0"/>
              <w:ind w:left="235" w:right="211"/>
              <w:jc w:val="center"/>
              <w:rPr>
                <w:sz w:val="21"/>
              </w:rPr>
            </w:pPr>
            <w:r>
              <w:rPr>
                <w:sz w:val="21"/>
              </w:rPr>
              <w:t>债券代码</w:t>
            </w:r>
          </w:p>
        </w:tc>
        <w:tc>
          <w:tcPr>
            <w:tcW w:w="1305" w:type="dxa"/>
          </w:tcPr>
          <w:p>
            <w:pPr>
              <w:pStyle w:val="TableParagraph"/>
              <w:spacing w:before="1"/>
              <w:rPr>
                <w:sz w:val="29"/>
              </w:rPr>
            </w:pPr>
          </w:p>
          <w:p>
            <w:pPr>
              <w:pStyle w:val="TableParagraph"/>
              <w:spacing w:before="0"/>
              <w:ind w:left="238"/>
              <w:rPr>
                <w:sz w:val="21"/>
              </w:rPr>
            </w:pPr>
            <w:r>
              <w:rPr>
                <w:sz w:val="21"/>
              </w:rPr>
              <w:t>债券名称</w:t>
            </w:r>
          </w:p>
        </w:tc>
        <w:tc>
          <w:tcPr>
            <w:tcW w:w="1452" w:type="dxa"/>
          </w:tcPr>
          <w:p>
            <w:pPr>
              <w:pStyle w:val="TableParagraph"/>
              <w:spacing w:before="1"/>
              <w:rPr>
                <w:sz w:val="29"/>
              </w:rPr>
            </w:pPr>
          </w:p>
          <w:p>
            <w:pPr>
              <w:pStyle w:val="TableParagraph"/>
              <w:spacing w:before="0"/>
              <w:ind w:left="349"/>
              <w:rPr>
                <w:rFonts w:ascii="Times New Roman" w:eastAsia="Times New Roman"/>
                <w:sz w:val="21"/>
              </w:rPr>
            </w:pPr>
            <w:r>
              <w:rPr>
                <w:sz w:val="21"/>
              </w:rPr>
              <w:t>数量</w:t>
            </w:r>
            <w:r>
              <w:rPr>
                <w:rFonts w:ascii="Times New Roman" w:eastAsia="Times New Roman"/>
                <w:sz w:val="21"/>
              </w:rPr>
              <w:t>(</w:t>
            </w:r>
            <w:r>
              <w:rPr>
                <w:sz w:val="21"/>
              </w:rPr>
              <w:t>张</w:t>
            </w:r>
            <w:r>
              <w:rPr>
                <w:rFonts w:ascii="Times New Roman" w:eastAsia="Times New Roman"/>
                <w:sz w:val="21"/>
              </w:rPr>
              <w:t>)</w:t>
            </w:r>
          </w:p>
        </w:tc>
        <w:tc>
          <w:tcPr>
            <w:tcW w:w="1675" w:type="dxa"/>
          </w:tcPr>
          <w:p>
            <w:pPr>
              <w:pStyle w:val="TableParagraph"/>
              <w:spacing w:before="1"/>
              <w:rPr>
                <w:sz w:val="29"/>
              </w:rPr>
            </w:pPr>
          </w:p>
          <w:p>
            <w:pPr>
              <w:pStyle w:val="TableParagraph"/>
              <w:spacing w:before="0"/>
              <w:ind w:left="253"/>
              <w:rPr>
                <w:rFonts w:ascii="Times New Roman" w:eastAsia="Times New Roman"/>
                <w:sz w:val="21"/>
              </w:rPr>
            </w:pPr>
            <w:r>
              <w:rPr>
                <w:sz w:val="21"/>
              </w:rPr>
              <w:t>公允价值</w:t>
            </w:r>
            <w:r>
              <w:rPr>
                <w:rFonts w:ascii="Times New Roman" w:eastAsia="Times New Roman"/>
                <w:sz w:val="21"/>
              </w:rPr>
              <w:t>(</w:t>
            </w:r>
            <w:r>
              <w:rPr>
                <w:sz w:val="21"/>
              </w:rPr>
              <w:t>元</w:t>
            </w:r>
            <w:r>
              <w:rPr>
                <w:rFonts w:ascii="Times New Roman" w:eastAsia="Times New Roman"/>
                <w:sz w:val="21"/>
              </w:rPr>
              <w:t>)</w:t>
            </w:r>
          </w:p>
        </w:tc>
        <w:tc>
          <w:tcPr>
            <w:tcW w:w="1587" w:type="dxa"/>
          </w:tcPr>
          <w:p>
            <w:pPr>
              <w:pStyle w:val="TableParagraph"/>
              <w:spacing w:before="135"/>
              <w:ind w:left="153" w:right="123"/>
              <w:jc w:val="center"/>
              <w:rPr>
                <w:sz w:val="21"/>
              </w:rPr>
            </w:pPr>
            <w:r>
              <w:rPr>
                <w:sz w:val="21"/>
              </w:rPr>
              <w:t>占基金资产净</w:t>
            </w:r>
          </w:p>
          <w:p>
            <w:pPr>
              <w:pStyle w:val="TableParagraph"/>
              <w:spacing w:before="2"/>
              <w:rPr>
                <w:sz w:val="16"/>
              </w:rPr>
            </w:pPr>
          </w:p>
          <w:p>
            <w:pPr>
              <w:pStyle w:val="TableParagraph"/>
              <w:spacing w:before="0"/>
              <w:ind w:left="152" w:right="123"/>
              <w:jc w:val="center"/>
              <w:rPr>
                <w:rFonts w:ascii="Times New Roman" w:eastAsia="Times New Roman"/>
                <w:sz w:val="21"/>
              </w:rPr>
            </w:pPr>
            <w:r>
              <w:rPr>
                <w:sz w:val="21"/>
              </w:rPr>
              <w:t>值比例</w:t>
            </w:r>
            <w:r>
              <w:rPr>
                <w:rFonts w:ascii="Times New Roman" w:eastAsia="Times New Roman"/>
                <w:sz w:val="21"/>
              </w:rPr>
              <w:t>(</w:t>
            </w:r>
            <w:r>
              <w:rPr>
                <w:sz w:val="21"/>
              </w:rPr>
              <w:t>％</w:t>
            </w:r>
            <w:r>
              <w:rPr>
                <w:rFonts w:ascii="Times New Roman" w:eastAsia="Times New Roman"/>
                <w:sz w:val="21"/>
              </w:rPr>
              <w:t>)</w:t>
            </w:r>
          </w:p>
        </w:tc>
      </w:tr>
      <w:tr>
        <w:trPr>
          <w:trHeight w:val="316" w:hRule="atLeast"/>
        </w:trPr>
        <w:tc>
          <w:tcPr>
            <w:tcW w:w="1166" w:type="dxa"/>
          </w:tcPr>
          <w:p>
            <w:pPr>
              <w:pStyle w:val="TableParagraph"/>
              <w:spacing w:before="36"/>
              <w:ind w:left="9"/>
              <w:jc w:val="center"/>
              <w:rPr>
                <w:rFonts w:ascii="Times New Roman"/>
                <w:sz w:val="21"/>
              </w:rPr>
            </w:pPr>
            <w:r>
              <w:rPr>
                <w:rFonts w:ascii="Times New Roman"/>
                <w:w w:val="100"/>
                <w:sz w:val="21"/>
              </w:rPr>
              <w:t>1</w:t>
            </w:r>
          </w:p>
        </w:tc>
        <w:tc>
          <w:tcPr>
            <w:tcW w:w="1337" w:type="dxa"/>
          </w:tcPr>
          <w:p>
            <w:pPr>
              <w:pStyle w:val="TableParagraph"/>
              <w:spacing w:before="36"/>
              <w:ind w:left="218" w:right="211"/>
              <w:jc w:val="center"/>
              <w:rPr>
                <w:rFonts w:ascii="Times New Roman"/>
                <w:sz w:val="21"/>
              </w:rPr>
            </w:pPr>
            <w:r>
              <w:rPr>
                <w:rFonts w:ascii="Times New Roman"/>
                <w:sz w:val="21"/>
              </w:rPr>
              <w:t>200306</w:t>
            </w:r>
          </w:p>
        </w:tc>
        <w:tc>
          <w:tcPr>
            <w:tcW w:w="1305" w:type="dxa"/>
          </w:tcPr>
          <w:p>
            <w:pPr>
              <w:pStyle w:val="TableParagraph"/>
              <w:ind w:left="178"/>
              <w:rPr>
                <w:rFonts w:ascii="Times New Roman" w:eastAsia="Times New Roman"/>
                <w:sz w:val="21"/>
              </w:rPr>
            </w:pPr>
            <w:r>
              <w:rPr>
                <w:rFonts w:ascii="Times New Roman" w:eastAsia="Times New Roman"/>
                <w:sz w:val="21"/>
              </w:rPr>
              <w:t>20 </w:t>
            </w:r>
            <w:r>
              <w:rPr>
                <w:sz w:val="21"/>
              </w:rPr>
              <w:t>进出 </w:t>
            </w:r>
            <w:r>
              <w:rPr>
                <w:rFonts w:ascii="Times New Roman" w:eastAsia="Times New Roman"/>
                <w:sz w:val="21"/>
              </w:rPr>
              <w:t>06</w:t>
            </w:r>
          </w:p>
        </w:tc>
        <w:tc>
          <w:tcPr>
            <w:tcW w:w="1452" w:type="dxa"/>
          </w:tcPr>
          <w:p>
            <w:pPr>
              <w:pStyle w:val="TableParagraph"/>
              <w:spacing w:before="36"/>
              <w:ind w:right="92"/>
              <w:jc w:val="right"/>
              <w:rPr>
                <w:rFonts w:ascii="Times New Roman"/>
                <w:sz w:val="21"/>
              </w:rPr>
            </w:pPr>
            <w:r>
              <w:rPr>
                <w:rFonts w:ascii="Times New Roman"/>
                <w:sz w:val="21"/>
              </w:rPr>
              <w:t>2,000,000</w:t>
            </w:r>
          </w:p>
        </w:tc>
        <w:tc>
          <w:tcPr>
            <w:tcW w:w="1675" w:type="dxa"/>
          </w:tcPr>
          <w:p>
            <w:pPr>
              <w:pStyle w:val="TableParagraph"/>
              <w:spacing w:before="36"/>
              <w:ind w:right="89"/>
              <w:jc w:val="right"/>
              <w:rPr>
                <w:rFonts w:ascii="Times New Roman"/>
                <w:sz w:val="21"/>
              </w:rPr>
            </w:pPr>
            <w:r>
              <w:rPr>
                <w:rFonts w:ascii="Times New Roman"/>
                <w:sz w:val="21"/>
              </w:rPr>
              <w:t>199,180,000.00</w:t>
            </w:r>
          </w:p>
        </w:tc>
        <w:tc>
          <w:tcPr>
            <w:tcW w:w="1587" w:type="dxa"/>
          </w:tcPr>
          <w:p>
            <w:pPr>
              <w:pStyle w:val="TableParagraph"/>
              <w:spacing w:before="36"/>
              <w:ind w:right="94"/>
              <w:jc w:val="right"/>
              <w:rPr>
                <w:rFonts w:ascii="Times New Roman"/>
                <w:sz w:val="21"/>
              </w:rPr>
            </w:pPr>
            <w:r>
              <w:rPr>
                <w:rFonts w:ascii="Times New Roman"/>
                <w:sz w:val="21"/>
              </w:rPr>
              <w:t>1.32</w:t>
            </w:r>
          </w:p>
        </w:tc>
      </w:tr>
      <w:tr>
        <w:trPr>
          <w:trHeight w:val="316" w:hRule="atLeast"/>
        </w:trPr>
        <w:tc>
          <w:tcPr>
            <w:tcW w:w="1166" w:type="dxa"/>
          </w:tcPr>
          <w:p>
            <w:pPr>
              <w:pStyle w:val="TableParagraph"/>
              <w:spacing w:before="36"/>
              <w:ind w:left="9"/>
              <w:jc w:val="center"/>
              <w:rPr>
                <w:rFonts w:ascii="Times New Roman"/>
                <w:sz w:val="21"/>
              </w:rPr>
            </w:pPr>
            <w:r>
              <w:rPr>
                <w:rFonts w:ascii="Times New Roman"/>
                <w:w w:val="100"/>
                <w:sz w:val="21"/>
              </w:rPr>
              <w:t>2</w:t>
            </w:r>
          </w:p>
        </w:tc>
        <w:tc>
          <w:tcPr>
            <w:tcW w:w="1337" w:type="dxa"/>
          </w:tcPr>
          <w:p>
            <w:pPr>
              <w:pStyle w:val="TableParagraph"/>
              <w:spacing w:before="36"/>
              <w:ind w:left="218" w:right="211"/>
              <w:jc w:val="center"/>
              <w:rPr>
                <w:rFonts w:ascii="Times New Roman"/>
                <w:sz w:val="21"/>
              </w:rPr>
            </w:pPr>
            <w:r>
              <w:rPr>
                <w:rFonts w:ascii="Times New Roman"/>
                <w:sz w:val="21"/>
              </w:rPr>
              <w:t>150420</w:t>
            </w:r>
          </w:p>
        </w:tc>
        <w:tc>
          <w:tcPr>
            <w:tcW w:w="1305" w:type="dxa"/>
          </w:tcPr>
          <w:p>
            <w:pPr>
              <w:pStyle w:val="TableParagraph"/>
              <w:ind w:left="178"/>
              <w:rPr>
                <w:rFonts w:ascii="Times New Roman" w:eastAsia="Times New Roman"/>
                <w:sz w:val="21"/>
              </w:rPr>
            </w:pPr>
            <w:r>
              <w:rPr>
                <w:rFonts w:ascii="Times New Roman" w:eastAsia="Times New Roman"/>
                <w:sz w:val="21"/>
              </w:rPr>
              <w:t>15 </w:t>
            </w:r>
            <w:r>
              <w:rPr>
                <w:sz w:val="21"/>
              </w:rPr>
              <w:t>农发 </w:t>
            </w:r>
            <w:r>
              <w:rPr>
                <w:rFonts w:ascii="Times New Roman" w:eastAsia="Times New Roman"/>
                <w:sz w:val="21"/>
              </w:rPr>
              <w:t>20</w:t>
            </w:r>
          </w:p>
        </w:tc>
        <w:tc>
          <w:tcPr>
            <w:tcW w:w="1452" w:type="dxa"/>
          </w:tcPr>
          <w:p>
            <w:pPr>
              <w:pStyle w:val="TableParagraph"/>
              <w:spacing w:before="36"/>
              <w:ind w:right="92"/>
              <w:jc w:val="right"/>
              <w:rPr>
                <w:rFonts w:ascii="Times New Roman"/>
                <w:sz w:val="21"/>
              </w:rPr>
            </w:pPr>
            <w:r>
              <w:rPr>
                <w:rFonts w:ascii="Times New Roman"/>
                <w:sz w:val="21"/>
              </w:rPr>
              <w:t>1,500,000</w:t>
            </w:r>
          </w:p>
        </w:tc>
        <w:tc>
          <w:tcPr>
            <w:tcW w:w="1675" w:type="dxa"/>
          </w:tcPr>
          <w:p>
            <w:pPr>
              <w:pStyle w:val="TableParagraph"/>
              <w:spacing w:before="36"/>
              <w:ind w:right="89"/>
              <w:jc w:val="right"/>
              <w:rPr>
                <w:rFonts w:ascii="Times New Roman"/>
                <w:sz w:val="21"/>
              </w:rPr>
            </w:pPr>
            <w:r>
              <w:rPr>
                <w:rFonts w:ascii="Times New Roman"/>
                <w:sz w:val="21"/>
              </w:rPr>
              <w:t>150,435,000.00</w:t>
            </w:r>
          </w:p>
        </w:tc>
        <w:tc>
          <w:tcPr>
            <w:tcW w:w="1587" w:type="dxa"/>
          </w:tcPr>
          <w:p>
            <w:pPr>
              <w:pStyle w:val="TableParagraph"/>
              <w:spacing w:before="36"/>
              <w:ind w:right="94"/>
              <w:jc w:val="right"/>
              <w:rPr>
                <w:rFonts w:ascii="Times New Roman"/>
                <w:sz w:val="21"/>
              </w:rPr>
            </w:pPr>
            <w:r>
              <w:rPr>
                <w:rFonts w:ascii="Times New Roman"/>
                <w:sz w:val="21"/>
              </w:rPr>
              <w:t>1.00</w:t>
            </w:r>
          </w:p>
        </w:tc>
      </w:tr>
      <w:tr>
        <w:trPr>
          <w:trHeight w:val="318" w:hRule="atLeast"/>
        </w:trPr>
        <w:tc>
          <w:tcPr>
            <w:tcW w:w="1166" w:type="dxa"/>
          </w:tcPr>
          <w:p>
            <w:pPr>
              <w:pStyle w:val="TableParagraph"/>
              <w:spacing w:before="39"/>
              <w:ind w:left="9"/>
              <w:jc w:val="center"/>
              <w:rPr>
                <w:rFonts w:ascii="Times New Roman"/>
                <w:sz w:val="21"/>
              </w:rPr>
            </w:pPr>
            <w:r>
              <w:rPr>
                <w:rFonts w:ascii="Times New Roman"/>
                <w:w w:val="100"/>
                <w:sz w:val="21"/>
              </w:rPr>
              <w:t>3</w:t>
            </w:r>
          </w:p>
        </w:tc>
        <w:tc>
          <w:tcPr>
            <w:tcW w:w="1337" w:type="dxa"/>
          </w:tcPr>
          <w:p>
            <w:pPr>
              <w:pStyle w:val="TableParagraph"/>
              <w:spacing w:before="39"/>
              <w:ind w:left="218" w:right="211"/>
              <w:jc w:val="center"/>
              <w:rPr>
                <w:rFonts w:ascii="Times New Roman"/>
                <w:sz w:val="21"/>
              </w:rPr>
            </w:pPr>
            <w:r>
              <w:rPr>
                <w:rFonts w:ascii="Times New Roman"/>
                <w:sz w:val="21"/>
              </w:rPr>
              <w:t>130318</w:t>
            </w:r>
          </w:p>
        </w:tc>
        <w:tc>
          <w:tcPr>
            <w:tcW w:w="1305" w:type="dxa"/>
          </w:tcPr>
          <w:p>
            <w:pPr>
              <w:pStyle w:val="TableParagraph"/>
              <w:spacing w:before="27"/>
              <w:ind w:left="178"/>
              <w:rPr>
                <w:rFonts w:ascii="Times New Roman" w:eastAsia="Times New Roman"/>
                <w:sz w:val="21"/>
              </w:rPr>
            </w:pPr>
            <w:r>
              <w:rPr>
                <w:rFonts w:ascii="Times New Roman" w:eastAsia="Times New Roman"/>
                <w:sz w:val="21"/>
              </w:rPr>
              <w:t>13 </w:t>
            </w:r>
            <w:r>
              <w:rPr>
                <w:sz w:val="21"/>
              </w:rPr>
              <w:t>进出 </w:t>
            </w:r>
            <w:r>
              <w:rPr>
                <w:rFonts w:ascii="Times New Roman" w:eastAsia="Times New Roman"/>
                <w:sz w:val="21"/>
              </w:rPr>
              <w:t>18</w:t>
            </w:r>
          </w:p>
        </w:tc>
        <w:tc>
          <w:tcPr>
            <w:tcW w:w="1452" w:type="dxa"/>
          </w:tcPr>
          <w:p>
            <w:pPr>
              <w:pStyle w:val="TableParagraph"/>
              <w:spacing w:before="39"/>
              <w:ind w:right="92"/>
              <w:jc w:val="right"/>
              <w:rPr>
                <w:rFonts w:ascii="Times New Roman"/>
                <w:sz w:val="21"/>
              </w:rPr>
            </w:pPr>
            <w:r>
              <w:rPr>
                <w:rFonts w:ascii="Times New Roman"/>
                <w:sz w:val="21"/>
              </w:rPr>
              <w:t>500,000</w:t>
            </w:r>
          </w:p>
        </w:tc>
        <w:tc>
          <w:tcPr>
            <w:tcW w:w="1675" w:type="dxa"/>
          </w:tcPr>
          <w:p>
            <w:pPr>
              <w:pStyle w:val="TableParagraph"/>
              <w:spacing w:before="39"/>
              <w:ind w:right="89"/>
              <w:jc w:val="right"/>
              <w:rPr>
                <w:rFonts w:ascii="Times New Roman"/>
                <w:sz w:val="21"/>
              </w:rPr>
            </w:pPr>
            <w:r>
              <w:rPr>
                <w:rFonts w:ascii="Times New Roman"/>
                <w:sz w:val="21"/>
              </w:rPr>
              <w:t>50,150,000.00</w:t>
            </w:r>
          </w:p>
        </w:tc>
        <w:tc>
          <w:tcPr>
            <w:tcW w:w="1587" w:type="dxa"/>
          </w:tcPr>
          <w:p>
            <w:pPr>
              <w:pStyle w:val="TableParagraph"/>
              <w:spacing w:before="39"/>
              <w:ind w:right="94"/>
              <w:jc w:val="right"/>
              <w:rPr>
                <w:rFonts w:ascii="Times New Roman"/>
                <w:sz w:val="21"/>
              </w:rPr>
            </w:pPr>
            <w:r>
              <w:rPr>
                <w:rFonts w:ascii="Times New Roman"/>
                <w:sz w:val="21"/>
              </w:rPr>
              <w:t>0.33</w:t>
            </w:r>
          </w:p>
        </w:tc>
      </w:tr>
      <w:tr>
        <w:trPr>
          <w:trHeight w:val="316" w:hRule="atLeast"/>
        </w:trPr>
        <w:tc>
          <w:tcPr>
            <w:tcW w:w="1166" w:type="dxa"/>
          </w:tcPr>
          <w:p>
            <w:pPr>
              <w:pStyle w:val="TableParagraph"/>
              <w:spacing w:before="36"/>
              <w:ind w:left="9"/>
              <w:jc w:val="center"/>
              <w:rPr>
                <w:rFonts w:ascii="Times New Roman"/>
                <w:sz w:val="21"/>
              </w:rPr>
            </w:pPr>
            <w:r>
              <w:rPr>
                <w:rFonts w:ascii="Times New Roman"/>
                <w:w w:val="100"/>
                <w:sz w:val="21"/>
              </w:rPr>
              <w:t>4</w:t>
            </w:r>
          </w:p>
        </w:tc>
        <w:tc>
          <w:tcPr>
            <w:tcW w:w="1337" w:type="dxa"/>
          </w:tcPr>
          <w:p>
            <w:pPr>
              <w:pStyle w:val="TableParagraph"/>
              <w:spacing w:before="36"/>
              <w:ind w:left="218" w:right="211"/>
              <w:jc w:val="center"/>
              <w:rPr>
                <w:rFonts w:ascii="Times New Roman"/>
                <w:sz w:val="21"/>
              </w:rPr>
            </w:pPr>
            <w:r>
              <w:rPr>
                <w:rFonts w:ascii="Times New Roman"/>
                <w:sz w:val="21"/>
              </w:rPr>
              <w:t>200401</w:t>
            </w:r>
          </w:p>
        </w:tc>
        <w:tc>
          <w:tcPr>
            <w:tcW w:w="1305" w:type="dxa"/>
          </w:tcPr>
          <w:p>
            <w:pPr>
              <w:pStyle w:val="TableParagraph"/>
              <w:ind w:left="178"/>
              <w:rPr>
                <w:rFonts w:ascii="Times New Roman" w:eastAsia="Times New Roman"/>
                <w:sz w:val="21"/>
              </w:rPr>
            </w:pPr>
            <w:r>
              <w:rPr>
                <w:rFonts w:ascii="Times New Roman" w:eastAsia="Times New Roman"/>
                <w:sz w:val="21"/>
              </w:rPr>
              <w:t>20 </w:t>
            </w:r>
            <w:r>
              <w:rPr>
                <w:sz w:val="21"/>
              </w:rPr>
              <w:t>农发 </w:t>
            </w:r>
            <w:r>
              <w:rPr>
                <w:rFonts w:ascii="Times New Roman" w:eastAsia="Times New Roman"/>
                <w:sz w:val="21"/>
              </w:rPr>
              <w:t>01</w:t>
            </w:r>
          </w:p>
        </w:tc>
        <w:tc>
          <w:tcPr>
            <w:tcW w:w="1452" w:type="dxa"/>
          </w:tcPr>
          <w:p>
            <w:pPr>
              <w:pStyle w:val="TableParagraph"/>
              <w:spacing w:before="36"/>
              <w:ind w:right="92"/>
              <w:jc w:val="right"/>
              <w:rPr>
                <w:rFonts w:ascii="Times New Roman"/>
                <w:sz w:val="21"/>
              </w:rPr>
            </w:pPr>
            <w:r>
              <w:rPr>
                <w:rFonts w:ascii="Times New Roman"/>
                <w:sz w:val="21"/>
              </w:rPr>
              <w:t>300,000</w:t>
            </w:r>
          </w:p>
        </w:tc>
        <w:tc>
          <w:tcPr>
            <w:tcW w:w="1675" w:type="dxa"/>
          </w:tcPr>
          <w:p>
            <w:pPr>
              <w:pStyle w:val="TableParagraph"/>
              <w:spacing w:before="36"/>
              <w:ind w:right="89"/>
              <w:jc w:val="right"/>
              <w:rPr>
                <w:rFonts w:ascii="Times New Roman"/>
                <w:sz w:val="21"/>
              </w:rPr>
            </w:pPr>
            <w:r>
              <w:rPr>
                <w:rFonts w:ascii="Times New Roman"/>
                <w:sz w:val="21"/>
              </w:rPr>
              <w:t>30,027,000.00</w:t>
            </w:r>
          </w:p>
        </w:tc>
        <w:tc>
          <w:tcPr>
            <w:tcW w:w="1587" w:type="dxa"/>
          </w:tcPr>
          <w:p>
            <w:pPr>
              <w:pStyle w:val="TableParagraph"/>
              <w:spacing w:before="36"/>
              <w:ind w:right="94"/>
              <w:jc w:val="right"/>
              <w:rPr>
                <w:rFonts w:ascii="Times New Roman"/>
                <w:sz w:val="21"/>
              </w:rPr>
            </w:pPr>
            <w:r>
              <w:rPr>
                <w:rFonts w:ascii="Times New Roman"/>
                <w:sz w:val="21"/>
              </w:rPr>
              <w:t>0.20</w:t>
            </w:r>
          </w:p>
        </w:tc>
      </w:tr>
      <w:tr>
        <w:trPr>
          <w:trHeight w:val="316" w:hRule="atLeast"/>
        </w:trPr>
        <w:tc>
          <w:tcPr>
            <w:tcW w:w="1166" w:type="dxa"/>
          </w:tcPr>
          <w:p>
            <w:pPr>
              <w:pStyle w:val="TableParagraph"/>
              <w:spacing w:before="36"/>
              <w:ind w:left="9"/>
              <w:jc w:val="center"/>
              <w:rPr>
                <w:rFonts w:ascii="Times New Roman"/>
                <w:sz w:val="21"/>
              </w:rPr>
            </w:pPr>
            <w:r>
              <w:rPr>
                <w:rFonts w:ascii="Times New Roman"/>
                <w:w w:val="100"/>
                <w:sz w:val="21"/>
              </w:rPr>
              <w:t>5</w:t>
            </w:r>
          </w:p>
        </w:tc>
        <w:tc>
          <w:tcPr>
            <w:tcW w:w="1337" w:type="dxa"/>
          </w:tcPr>
          <w:p>
            <w:pPr>
              <w:pStyle w:val="TableParagraph"/>
              <w:spacing w:before="36"/>
              <w:ind w:left="218" w:right="211"/>
              <w:jc w:val="center"/>
              <w:rPr>
                <w:rFonts w:ascii="Times New Roman"/>
                <w:sz w:val="21"/>
              </w:rPr>
            </w:pPr>
            <w:r>
              <w:rPr>
                <w:rFonts w:ascii="Times New Roman"/>
                <w:sz w:val="21"/>
              </w:rPr>
              <w:t>128112</w:t>
            </w:r>
          </w:p>
        </w:tc>
        <w:tc>
          <w:tcPr>
            <w:tcW w:w="1305" w:type="dxa"/>
          </w:tcPr>
          <w:p>
            <w:pPr>
              <w:pStyle w:val="TableParagraph"/>
              <w:ind w:left="257"/>
              <w:rPr>
                <w:rFonts w:ascii="Times New Roman" w:eastAsia="Times New Roman"/>
                <w:sz w:val="21"/>
              </w:rPr>
            </w:pPr>
            <w:r>
              <w:rPr>
                <w:sz w:val="21"/>
              </w:rPr>
              <w:t>歌尔转 </w:t>
            </w:r>
            <w:r>
              <w:rPr>
                <w:rFonts w:ascii="Times New Roman" w:eastAsia="Times New Roman"/>
                <w:sz w:val="21"/>
              </w:rPr>
              <w:t>2</w:t>
            </w:r>
          </w:p>
        </w:tc>
        <w:tc>
          <w:tcPr>
            <w:tcW w:w="1452" w:type="dxa"/>
          </w:tcPr>
          <w:p>
            <w:pPr>
              <w:pStyle w:val="TableParagraph"/>
              <w:spacing w:before="36"/>
              <w:ind w:right="92"/>
              <w:jc w:val="right"/>
              <w:rPr>
                <w:rFonts w:ascii="Times New Roman"/>
                <w:sz w:val="21"/>
              </w:rPr>
            </w:pPr>
            <w:r>
              <w:rPr>
                <w:rFonts w:ascii="Times New Roman"/>
                <w:sz w:val="21"/>
              </w:rPr>
              <w:t>626</w:t>
            </w:r>
          </w:p>
        </w:tc>
        <w:tc>
          <w:tcPr>
            <w:tcW w:w="1675" w:type="dxa"/>
          </w:tcPr>
          <w:p>
            <w:pPr>
              <w:pStyle w:val="TableParagraph"/>
              <w:spacing w:before="36"/>
              <w:ind w:right="89"/>
              <w:jc w:val="right"/>
              <w:rPr>
                <w:rFonts w:ascii="Times New Roman"/>
                <w:sz w:val="21"/>
              </w:rPr>
            </w:pPr>
            <w:r>
              <w:rPr>
                <w:rFonts w:ascii="Times New Roman"/>
                <w:sz w:val="21"/>
              </w:rPr>
              <w:t>62,600.00</w:t>
            </w:r>
          </w:p>
        </w:tc>
        <w:tc>
          <w:tcPr>
            <w:tcW w:w="1587" w:type="dxa"/>
          </w:tcPr>
          <w:p>
            <w:pPr>
              <w:pStyle w:val="TableParagraph"/>
              <w:spacing w:before="36"/>
              <w:ind w:right="94"/>
              <w:jc w:val="right"/>
              <w:rPr>
                <w:rFonts w:ascii="Times New Roman"/>
                <w:sz w:val="21"/>
              </w:rPr>
            </w:pPr>
            <w:r>
              <w:rPr>
                <w:rFonts w:ascii="Times New Roman"/>
                <w:sz w:val="21"/>
              </w:rPr>
              <w:t>0.00</w:t>
            </w:r>
          </w:p>
        </w:tc>
      </w:tr>
    </w:tbl>
    <w:p>
      <w:pPr>
        <w:pStyle w:val="ListParagraph"/>
        <w:numPr>
          <w:ilvl w:val="1"/>
          <w:numId w:val="27"/>
        </w:numPr>
        <w:tabs>
          <w:tab w:pos="618" w:val="left" w:leader="none"/>
        </w:tabs>
        <w:spacing w:line="424" w:lineRule="auto" w:before="104" w:after="0"/>
        <w:ind w:left="720" w:right="1303" w:hanging="420"/>
        <w:jc w:val="left"/>
        <w:rPr>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7"/>
        </w:numPr>
        <w:tabs>
          <w:tab w:pos="618" w:val="left" w:leader="none"/>
        </w:tabs>
        <w:spacing w:line="424" w:lineRule="auto" w:before="0" w:after="0"/>
        <w:ind w:left="720" w:right="1934" w:hanging="420"/>
        <w:jc w:val="left"/>
        <w:rPr>
          <w:sz w:val="21"/>
        </w:rPr>
      </w:pPr>
      <w:r>
        <w:rPr>
          <w:spacing w:val="-3"/>
          <w:sz w:val="21"/>
        </w:rPr>
        <w:t>报告期末按公允价值占基金资产净值比例大小排序的前五名贵金属投资明细本基金本报告期末未持有贵金属。</w:t>
      </w:r>
    </w:p>
    <w:p>
      <w:pPr>
        <w:spacing w:after="0" w:line="424" w:lineRule="auto"/>
        <w:jc w:val="left"/>
        <w:rPr>
          <w:sz w:val="21"/>
        </w:rPr>
        <w:sectPr>
          <w:footerReference w:type="default" r:id="rId221"/>
          <w:pgSz w:w="11910" w:h="16840"/>
          <w:pgMar w:footer="683" w:header="701" w:top="1420" w:bottom="880" w:left="1500" w:right="920"/>
          <w:pgNumType w:start="120"/>
        </w:sectPr>
      </w:pPr>
    </w:p>
    <w:p>
      <w:pPr>
        <w:pStyle w:val="ListParagraph"/>
        <w:numPr>
          <w:ilvl w:val="1"/>
          <w:numId w:val="27"/>
        </w:numPr>
        <w:tabs>
          <w:tab w:pos="618" w:val="left" w:leader="none"/>
        </w:tabs>
        <w:spacing w:line="424" w:lineRule="auto" w:before="115" w:after="0"/>
        <w:ind w:left="720" w:right="2143" w:hanging="420"/>
        <w:jc w:val="left"/>
        <w:rPr>
          <w:sz w:val="21"/>
        </w:rPr>
      </w:pPr>
      <w:r>
        <w:rPr>
          <w:spacing w:val="-3"/>
          <w:sz w:val="21"/>
        </w:rPr>
        <w:t>报告期末按公允价值占基金资产净值比例大小排序的前五名权证投资明细本基金本报告期末未持有权证。</w:t>
      </w:r>
    </w:p>
    <w:p>
      <w:pPr>
        <w:pStyle w:val="ListParagraph"/>
        <w:numPr>
          <w:ilvl w:val="1"/>
          <w:numId w:val="27"/>
        </w:numPr>
        <w:tabs>
          <w:tab w:pos="723" w:val="left" w:leader="none"/>
        </w:tabs>
        <w:spacing w:line="267" w:lineRule="exact" w:before="0" w:after="0"/>
        <w:ind w:left="722" w:right="0" w:hanging="423"/>
        <w:jc w:val="left"/>
        <w:rPr>
          <w:sz w:val="21"/>
        </w:rPr>
      </w:pPr>
      <w:r>
        <w:rPr>
          <w:spacing w:val="-3"/>
          <w:sz w:val="21"/>
        </w:rPr>
        <w:t>报告期末本基金投资的股指期货交易情况说明</w:t>
      </w:r>
    </w:p>
    <w:p>
      <w:pPr>
        <w:pStyle w:val="BodyText"/>
        <w:rPr>
          <w:sz w:val="16"/>
        </w:rPr>
      </w:pPr>
    </w:p>
    <w:p>
      <w:pPr>
        <w:pStyle w:val="ListParagraph"/>
        <w:numPr>
          <w:ilvl w:val="2"/>
          <w:numId w:val="27"/>
        </w:numPr>
        <w:tabs>
          <w:tab w:pos="879" w:val="left" w:leader="none"/>
        </w:tabs>
        <w:spacing w:line="424" w:lineRule="auto" w:before="1" w:after="0"/>
        <w:ind w:left="720" w:right="4191" w:hanging="420"/>
        <w:jc w:val="left"/>
        <w:rPr>
          <w:sz w:val="21"/>
        </w:rPr>
      </w:pPr>
      <w:r>
        <w:rPr>
          <w:spacing w:val="-4"/>
          <w:sz w:val="21"/>
        </w:rPr>
        <w:t>报告期末本基金投资的股指期货持仓和损益明细</w:t>
      </w:r>
      <w:r>
        <w:rPr>
          <w:spacing w:val="-3"/>
          <w:sz w:val="21"/>
        </w:rPr>
        <w:t>本基金本报告期末无股指期货投资。</w:t>
      </w:r>
    </w:p>
    <w:p>
      <w:pPr>
        <w:pStyle w:val="ListParagraph"/>
        <w:numPr>
          <w:ilvl w:val="2"/>
          <w:numId w:val="27"/>
        </w:numPr>
        <w:tabs>
          <w:tab w:pos="879" w:val="left" w:leader="none"/>
        </w:tabs>
        <w:spacing w:line="424" w:lineRule="auto" w:before="0" w:after="0"/>
        <w:ind w:left="720" w:right="5398" w:hanging="420"/>
        <w:jc w:val="left"/>
        <w:rPr>
          <w:sz w:val="21"/>
        </w:rPr>
      </w:pPr>
      <w:r>
        <w:rPr>
          <w:spacing w:val="-3"/>
          <w:sz w:val="21"/>
        </w:rPr>
        <w:t>本基金投资股指期货的投资政策 </w:t>
      </w:r>
      <w:r>
        <w:rPr>
          <w:spacing w:val="-4"/>
          <w:sz w:val="21"/>
        </w:rPr>
        <w:t>本基金本报告期末无股指期货投资。</w:t>
      </w:r>
    </w:p>
    <w:p>
      <w:pPr>
        <w:pStyle w:val="ListParagraph"/>
        <w:numPr>
          <w:ilvl w:val="1"/>
          <w:numId w:val="27"/>
        </w:numPr>
        <w:tabs>
          <w:tab w:pos="714" w:val="left" w:leader="none"/>
        </w:tabs>
        <w:spacing w:line="268" w:lineRule="exact" w:before="0" w:after="0"/>
        <w:ind w:left="713" w:right="0" w:hanging="414"/>
        <w:jc w:val="left"/>
        <w:rPr>
          <w:sz w:val="21"/>
        </w:rPr>
      </w:pPr>
      <w:r>
        <w:rPr>
          <w:spacing w:val="-3"/>
          <w:sz w:val="21"/>
        </w:rPr>
        <w:t>报告期末本基金投资的国债期货交易情况说明</w:t>
      </w:r>
    </w:p>
    <w:p>
      <w:pPr>
        <w:pStyle w:val="BodyText"/>
        <w:spacing w:before="1"/>
        <w:rPr>
          <w:sz w:val="16"/>
        </w:rPr>
      </w:pPr>
    </w:p>
    <w:p>
      <w:pPr>
        <w:pStyle w:val="ListParagraph"/>
        <w:numPr>
          <w:ilvl w:val="2"/>
          <w:numId w:val="27"/>
        </w:numPr>
        <w:tabs>
          <w:tab w:pos="872" w:val="left" w:leader="none"/>
        </w:tabs>
        <w:spacing w:line="240" w:lineRule="auto" w:before="0" w:after="0"/>
        <w:ind w:left="871" w:right="0" w:hanging="572"/>
        <w:jc w:val="left"/>
        <w:rPr>
          <w:sz w:val="21"/>
        </w:rPr>
      </w:pPr>
      <w:r>
        <w:rPr>
          <w:spacing w:val="-3"/>
          <w:sz w:val="21"/>
        </w:rPr>
        <w:t>本期国债期货投资政策</w:t>
      </w:r>
    </w:p>
    <w:p>
      <w:pPr>
        <w:pStyle w:val="BodyText"/>
        <w:spacing w:before="1"/>
        <w:rPr>
          <w:sz w:val="16"/>
        </w:rPr>
      </w:pPr>
    </w:p>
    <w:p>
      <w:pPr>
        <w:pStyle w:val="BodyText"/>
        <w:ind w:left="720"/>
      </w:pPr>
      <w:r>
        <w:rPr/>
        <w:t>本基金本报告期末无国债期货投资。</w:t>
      </w:r>
    </w:p>
    <w:p>
      <w:pPr>
        <w:pStyle w:val="BodyText"/>
        <w:spacing w:before="1"/>
        <w:rPr>
          <w:sz w:val="16"/>
        </w:rPr>
      </w:pPr>
    </w:p>
    <w:p>
      <w:pPr>
        <w:pStyle w:val="ListParagraph"/>
        <w:numPr>
          <w:ilvl w:val="2"/>
          <w:numId w:val="27"/>
        </w:numPr>
        <w:tabs>
          <w:tab w:pos="872" w:val="left" w:leader="none"/>
        </w:tabs>
        <w:spacing w:line="424" w:lineRule="auto" w:before="0" w:after="0"/>
        <w:ind w:left="720" w:right="4200" w:hanging="420"/>
        <w:jc w:val="left"/>
        <w:rPr>
          <w:sz w:val="21"/>
        </w:rPr>
      </w:pPr>
      <w:r>
        <w:rPr>
          <w:spacing w:val="-3"/>
          <w:sz w:val="21"/>
        </w:rPr>
        <w:t>报告期末本基金投资的国债期货持仓和损益明细本基金本报告期末无国债期货投资。</w:t>
      </w:r>
    </w:p>
    <w:p>
      <w:pPr>
        <w:pStyle w:val="ListParagraph"/>
        <w:numPr>
          <w:ilvl w:val="2"/>
          <w:numId w:val="27"/>
        </w:numPr>
        <w:tabs>
          <w:tab w:pos="872" w:val="left" w:leader="none"/>
        </w:tabs>
        <w:spacing w:line="267" w:lineRule="exact" w:before="0" w:after="0"/>
        <w:ind w:left="871" w:right="0" w:hanging="572"/>
        <w:jc w:val="left"/>
        <w:rPr>
          <w:sz w:val="21"/>
        </w:rPr>
      </w:pPr>
      <w:r>
        <w:rPr>
          <w:spacing w:val="-3"/>
          <w:sz w:val="21"/>
        </w:rPr>
        <w:t>本期国债期货投资评价</w:t>
      </w:r>
    </w:p>
    <w:p>
      <w:pPr>
        <w:pStyle w:val="BodyText"/>
        <w:spacing w:before="4"/>
        <w:rPr>
          <w:sz w:val="16"/>
        </w:rPr>
      </w:pPr>
    </w:p>
    <w:p>
      <w:pPr>
        <w:pStyle w:val="BodyText"/>
        <w:ind w:left="720"/>
      </w:pPr>
      <w:r>
        <w:rPr/>
        <w:t>本基金本报告期末无国债期货投资。</w:t>
      </w:r>
    </w:p>
    <w:p>
      <w:pPr>
        <w:pStyle w:val="BodyText"/>
        <w:spacing w:before="1"/>
        <w:rPr>
          <w:sz w:val="16"/>
        </w:rPr>
      </w:pPr>
    </w:p>
    <w:p>
      <w:pPr>
        <w:pStyle w:val="ListParagraph"/>
        <w:numPr>
          <w:ilvl w:val="1"/>
          <w:numId w:val="27"/>
        </w:numPr>
        <w:tabs>
          <w:tab w:pos="723" w:val="left" w:leader="none"/>
        </w:tabs>
        <w:spacing w:line="240" w:lineRule="auto" w:before="0" w:after="0"/>
        <w:ind w:left="722" w:right="0" w:hanging="423"/>
        <w:jc w:val="left"/>
        <w:rPr>
          <w:sz w:val="21"/>
        </w:rPr>
      </w:pPr>
      <w:r>
        <w:rPr>
          <w:spacing w:val="-3"/>
          <w:sz w:val="21"/>
        </w:rPr>
        <w:t>投资组合报告附注</w:t>
      </w:r>
    </w:p>
    <w:p>
      <w:pPr>
        <w:pStyle w:val="BodyText"/>
        <w:spacing w:before="1"/>
        <w:rPr>
          <w:sz w:val="16"/>
        </w:rPr>
      </w:pPr>
    </w:p>
    <w:p>
      <w:pPr>
        <w:pStyle w:val="ListParagraph"/>
        <w:numPr>
          <w:ilvl w:val="2"/>
          <w:numId w:val="27"/>
        </w:numPr>
        <w:tabs>
          <w:tab w:pos="879" w:val="left" w:leader="none"/>
        </w:tabs>
        <w:spacing w:line="424" w:lineRule="auto" w:before="1" w:after="0"/>
        <w:ind w:left="300" w:right="77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pStyle w:val="ListParagraph"/>
        <w:numPr>
          <w:ilvl w:val="2"/>
          <w:numId w:val="27"/>
        </w:numPr>
        <w:tabs>
          <w:tab w:pos="879" w:val="left" w:leader="none"/>
        </w:tabs>
        <w:spacing w:line="266" w:lineRule="exact" w:before="0" w:after="0"/>
        <w:ind w:left="878" w:right="0" w:hanging="579"/>
        <w:jc w:val="left"/>
        <w:rPr>
          <w:sz w:val="21"/>
        </w:rPr>
      </w:pPr>
      <w:r>
        <w:rPr>
          <w:spacing w:val="-3"/>
          <w:sz w:val="21"/>
        </w:rPr>
        <w:t>基金投资的前十名股票未超出基金合同规定的备选股票库。</w:t>
      </w:r>
    </w:p>
    <w:p>
      <w:pPr>
        <w:pStyle w:val="BodyText"/>
        <w:spacing w:before="1"/>
        <w:rPr>
          <w:sz w:val="16"/>
        </w:rPr>
      </w:pPr>
    </w:p>
    <w:p>
      <w:pPr>
        <w:pStyle w:val="ListParagraph"/>
        <w:numPr>
          <w:ilvl w:val="2"/>
          <w:numId w:val="27"/>
        </w:numPr>
        <w:tabs>
          <w:tab w:pos="879" w:val="left" w:leader="none"/>
        </w:tabs>
        <w:spacing w:line="240" w:lineRule="auto" w:before="0" w:after="0"/>
        <w:ind w:left="878" w:right="0" w:hanging="579"/>
        <w:jc w:val="left"/>
        <w:rPr>
          <w:sz w:val="21"/>
        </w:rPr>
      </w:pPr>
      <w:r>
        <w:rPr>
          <w:spacing w:val="-3"/>
          <w:sz w:val="21"/>
        </w:rPr>
        <w:t>其他资产构成</w:t>
      </w:r>
    </w:p>
    <w:p>
      <w:pPr>
        <w:pStyle w:val="BodyText"/>
        <w:spacing w:before="12"/>
        <w:rPr>
          <w:sz w:val="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2535"/>
        <w:gridCol w:w="4719"/>
      </w:tblGrid>
      <w:tr>
        <w:trPr>
          <w:trHeight w:val="506" w:hRule="atLeast"/>
        </w:trPr>
        <w:tc>
          <w:tcPr>
            <w:tcW w:w="1111" w:type="dxa"/>
          </w:tcPr>
          <w:p>
            <w:pPr>
              <w:pStyle w:val="TableParagraph"/>
              <w:spacing w:before="135"/>
              <w:ind w:left="333" w:right="307"/>
              <w:jc w:val="center"/>
              <w:rPr>
                <w:sz w:val="21"/>
              </w:rPr>
            </w:pPr>
            <w:r>
              <w:rPr>
                <w:sz w:val="21"/>
              </w:rPr>
              <w:t>序号</w:t>
            </w:r>
          </w:p>
        </w:tc>
        <w:tc>
          <w:tcPr>
            <w:tcW w:w="2535" w:type="dxa"/>
          </w:tcPr>
          <w:p>
            <w:pPr>
              <w:pStyle w:val="TableParagraph"/>
              <w:spacing w:before="135"/>
              <w:ind w:left="1044" w:right="1020"/>
              <w:jc w:val="center"/>
              <w:rPr>
                <w:sz w:val="21"/>
              </w:rPr>
            </w:pPr>
            <w:r>
              <w:rPr>
                <w:sz w:val="21"/>
              </w:rPr>
              <w:t>名称</w:t>
            </w:r>
          </w:p>
        </w:tc>
        <w:tc>
          <w:tcPr>
            <w:tcW w:w="4719" w:type="dxa"/>
          </w:tcPr>
          <w:p>
            <w:pPr>
              <w:pStyle w:val="TableParagraph"/>
              <w:spacing w:before="135"/>
              <w:ind w:left="1964" w:right="1935"/>
              <w:jc w:val="center"/>
              <w:rPr>
                <w:rFonts w:ascii="Times New Roman" w:eastAsia="Times New Roman"/>
                <w:sz w:val="21"/>
              </w:rPr>
            </w:pPr>
            <w:r>
              <w:rPr>
                <w:sz w:val="21"/>
              </w:rPr>
              <w:t>金额</w:t>
            </w:r>
            <w:r>
              <w:rPr>
                <w:rFonts w:ascii="Times New Roman" w:eastAsia="Times New Roman"/>
                <w:sz w:val="21"/>
              </w:rPr>
              <w:t>(</w:t>
            </w:r>
            <w:r>
              <w:rPr>
                <w:sz w:val="21"/>
              </w:rPr>
              <w:t>元</w:t>
            </w:r>
            <w:r>
              <w:rPr>
                <w:rFonts w:ascii="Times New Roman" w:eastAsia="Times New Roman"/>
                <w:sz w:val="21"/>
              </w:rPr>
              <w:t>)</w:t>
            </w:r>
          </w:p>
        </w:tc>
      </w:tr>
      <w:tr>
        <w:trPr>
          <w:trHeight w:val="503" w:hRule="atLeast"/>
        </w:trPr>
        <w:tc>
          <w:tcPr>
            <w:tcW w:w="1111" w:type="dxa"/>
          </w:tcPr>
          <w:p>
            <w:pPr>
              <w:pStyle w:val="TableParagraph"/>
              <w:spacing w:before="144"/>
              <w:ind w:left="21"/>
              <w:jc w:val="center"/>
              <w:rPr>
                <w:rFonts w:ascii="Times New Roman"/>
                <w:sz w:val="21"/>
              </w:rPr>
            </w:pPr>
            <w:r>
              <w:rPr>
                <w:rFonts w:ascii="Times New Roman"/>
                <w:w w:val="100"/>
                <w:sz w:val="21"/>
              </w:rPr>
              <w:t>1</w:t>
            </w:r>
          </w:p>
        </w:tc>
        <w:tc>
          <w:tcPr>
            <w:tcW w:w="2535" w:type="dxa"/>
          </w:tcPr>
          <w:p>
            <w:pPr>
              <w:pStyle w:val="TableParagraph"/>
              <w:spacing w:before="133"/>
              <w:ind w:left="119"/>
              <w:rPr>
                <w:sz w:val="21"/>
              </w:rPr>
            </w:pPr>
            <w:r>
              <w:rPr>
                <w:sz w:val="21"/>
              </w:rPr>
              <w:t>存出保证金</w:t>
            </w:r>
          </w:p>
        </w:tc>
        <w:tc>
          <w:tcPr>
            <w:tcW w:w="4719" w:type="dxa"/>
          </w:tcPr>
          <w:p>
            <w:pPr>
              <w:pStyle w:val="TableParagraph"/>
              <w:spacing w:before="144"/>
              <w:ind w:right="93"/>
              <w:jc w:val="right"/>
              <w:rPr>
                <w:rFonts w:ascii="Times New Roman"/>
                <w:sz w:val="21"/>
              </w:rPr>
            </w:pPr>
            <w:r>
              <w:rPr>
                <w:rFonts w:ascii="Times New Roman"/>
                <w:sz w:val="21"/>
              </w:rPr>
              <w:t>1,093,176.56</w:t>
            </w:r>
          </w:p>
        </w:tc>
      </w:tr>
      <w:tr>
        <w:trPr>
          <w:trHeight w:val="505" w:hRule="atLeast"/>
        </w:trPr>
        <w:tc>
          <w:tcPr>
            <w:tcW w:w="1111" w:type="dxa"/>
          </w:tcPr>
          <w:p>
            <w:pPr>
              <w:pStyle w:val="TableParagraph"/>
              <w:spacing w:before="144"/>
              <w:ind w:left="21"/>
              <w:jc w:val="center"/>
              <w:rPr>
                <w:rFonts w:ascii="Times New Roman"/>
                <w:sz w:val="21"/>
              </w:rPr>
            </w:pPr>
            <w:r>
              <w:rPr>
                <w:rFonts w:ascii="Times New Roman"/>
                <w:w w:val="100"/>
                <w:sz w:val="21"/>
              </w:rPr>
              <w:t>2</w:t>
            </w:r>
          </w:p>
        </w:tc>
        <w:tc>
          <w:tcPr>
            <w:tcW w:w="2535" w:type="dxa"/>
          </w:tcPr>
          <w:p>
            <w:pPr>
              <w:pStyle w:val="TableParagraph"/>
              <w:spacing w:before="133"/>
              <w:ind w:left="119"/>
              <w:rPr>
                <w:sz w:val="21"/>
              </w:rPr>
            </w:pPr>
            <w:r>
              <w:rPr>
                <w:sz w:val="21"/>
              </w:rPr>
              <w:t>应收证券清算款</w:t>
            </w:r>
          </w:p>
        </w:tc>
        <w:tc>
          <w:tcPr>
            <w:tcW w:w="4719" w:type="dxa"/>
          </w:tcPr>
          <w:p>
            <w:pPr>
              <w:pStyle w:val="TableParagraph"/>
              <w:spacing w:before="144"/>
              <w:ind w:right="93"/>
              <w:jc w:val="right"/>
              <w:rPr>
                <w:rFonts w:ascii="Times New Roman"/>
                <w:sz w:val="21"/>
              </w:rPr>
            </w:pPr>
            <w:r>
              <w:rPr>
                <w:rFonts w:ascii="Times New Roman"/>
                <w:sz w:val="21"/>
              </w:rPr>
              <w:t>55,870,157.16</w:t>
            </w:r>
          </w:p>
        </w:tc>
      </w:tr>
      <w:tr>
        <w:trPr>
          <w:trHeight w:val="503" w:hRule="atLeast"/>
        </w:trPr>
        <w:tc>
          <w:tcPr>
            <w:tcW w:w="1111" w:type="dxa"/>
          </w:tcPr>
          <w:p>
            <w:pPr>
              <w:pStyle w:val="TableParagraph"/>
              <w:spacing w:before="144"/>
              <w:ind w:left="21"/>
              <w:jc w:val="center"/>
              <w:rPr>
                <w:rFonts w:ascii="Times New Roman"/>
                <w:sz w:val="21"/>
              </w:rPr>
            </w:pPr>
            <w:r>
              <w:rPr>
                <w:rFonts w:ascii="Times New Roman"/>
                <w:w w:val="100"/>
                <w:sz w:val="21"/>
              </w:rPr>
              <w:t>3</w:t>
            </w:r>
          </w:p>
        </w:tc>
        <w:tc>
          <w:tcPr>
            <w:tcW w:w="2535" w:type="dxa"/>
          </w:tcPr>
          <w:p>
            <w:pPr>
              <w:pStyle w:val="TableParagraph"/>
              <w:spacing w:before="133"/>
              <w:ind w:left="119"/>
              <w:rPr>
                <w:sz w:val="21"/>
              </w:rPr>
            </w:pPr>
            <w:r>
              <w:rPr>
                <w:sz w:val="21"/>
              </w:rPr>
              <w:t>应收股利</w:t>
            </w:r>
          </w:p>
        </w:tc>
        <w:tc>
          <w:tcPr>
            <w:tcW w:w="4719" w:type="dxa"/>
          </w:tcPr>
          <w:p>
            <w:pPr>
              <w:pStyle w:val="TableParagraph"/>
              <w:spacing w:before="144"/>
              <w:ind w:right="94"/>
              <w:jc w:val="right"/>
              <w:rPr>
                <w:rFonts w:ascii="Times New Roman"/>
                <w:sz w:val="21"/>
              </w:rPr>
            </w:pPr>
            <w:r>
              <w:rPr>
                <w:rFonts w:ascii="Times New Roman"/>
                <w:w w:val="100"/>
                <w:sz w:val="21"/>
              </w:rPr>
              <w:t>-</w:t>
            </w:r>
          </w:p>
        </w:tc>
      </w:tr>
      <w:tr>
        <w:trPr>
          <w:trHeight w:val="503" w:hRule="atLeast"/>
        </w:trPr>
        <w:tc>
          <w:tcPr>
            <w:tcW w:w="1111" w:type="dxa"/>
          </w:tcPr>
          <w:p>
            <w:pPr>
              <w:pStyle w:val="TableParagraph"/>
              <w:spacing w:before="144"/>
              <w:ind w:left="21"/>
              <w:jc w:val="center"/>
              <w:rPr>
                <w:rFonts w:ascii="Times New Roman"/>
                <w:sz w:val="21"/>
              </w:rPr>
            </w:pPr>
            <w:r>
              <w:rPr>
                <w:rFonts w:ascii="Times New Roman"/>
                <w:w w:val="100"/>
                <w:sz w:val="21"/>
              </w:rPr>
              <w:t>4</w:t>
            </w:r>
          </w:p>
        </w:tc>
        <w:tc>
          <w:tcPr>
            <w:tcW w:w="2535" w:type="dxa"/>
          </w:tcPr>
          <w:p>
            <w:pPr>
              <w:pStyle w:val="TableParagraph"/>
              <w:spacing w:before="133"/>
              <w:ind w:left="119"/>
              <w:rPr>
                <w:sz w:val="21"/>
              </w:rPr>
            </w:pPr>
            <w:r>
              <w:rPr>
                <w:sz w:val="21"/>
              </w:rPr>
              <w:t>应收利息</w:t>
            </w:r>
          </w:p>
        </w:tc>
        <w:tc>
          <w:tcPr>
            <w:tcW w:w="4719" w:type="dxa"/>
          </w:tcPr>
          <w:p>
            <w:pPr>
              <w:pStyle w:val="TableParagraph"/>
              <w:spacing w:before="144"/>
              <w:ind w:right="93"/>
              <w:jc w:val="right"/>
              <w:rPr>
                <w:rFonts w:ascii="Times New Roman"/>
                <w:sz w:val="21"/>
              </w:rPr>
            </w:pPr>
            <w:r>
              <w:rPr>
                <w:rFonts w:ascii="Times New Roman"/>
                <w:sz w:val="21"/>
              </w:rPr>
              <w:t>7,644,041.86</w:t>
            </w:r>
          </w:p>
        </w:tc>
      </w:tr>
      <w:tr>
        <w:trPr>
          <w:trHeight w:val="505" w:hRule="atLeast"/>
        </w:trPr>
        <w:tc>
          <w:tcPr>
            <w:tcW w:w="1111" w:type="dxa"/>
          </w:tcPr>
          <w:p>
            <w:pPr>
              <w:pStyle w:val="TableParagraph"/>
              <w:spacing w:before="144"/>
              <w:ind w:left="21"/>
              <w:jc w:val="center"/>
              <w:rPr>
                <w:rFonts w:ascii="Times New Roman"/>
                <w:sz w:val="21"/>
              </w:rPr>
            </w:pPr>
            <w:r>
              <w:rPr>
                <w:rFonts w:ascii="Times New Roman"/>
                <w:w w:val="100"/>
                <w:sz w:val="21"/>
              </w:rPr>
              <w:t>5</w:t>
            </w:r>
          </w:p>
        </w:tc>
        <w:tc>
          <w:tcPr>
            <w:tcW w:w="2535" w:type="dxa"/>
          </w:tcPr>
          <w:p>
            <w:pPr>
              <w:pStyle w:val="TableParagraph"/>
              <w:spacing w:before="133"/>
              <w:ind w:left="119"/>
              <w:rPr>
                <w:sz w:val="21"/>
              </w:rPr>
            </w:pPr>
            <w:r>
              <w:rPr>
                <w:sz w:val="21"/>
              </w:rPr>
              <w:t>应收申购款</w:t>
            </w:r>
          </w:p>
        </w:tc>
        <w:tc>
          <w:tcPr>
            <w:tcW w:w="4719" w:type="dxa"/>
          </w:tcPr>
          <w:p>
            <w:pPr>
              <w:pStyle w:val="TableParagraph"/>
              <w:spacing w:before="144"/>
              <w:ind w:right="93"/>
              <w:jc w:val="right"/>
              <w:rPr>
                <w:rFonts w:ascii="Times New Roman"/>
                <w:sz w:val="21"/>
              </w:rPr>
            </w:pPr>
            <w:r>
              <w:rPr>
                <w:rFonts w:ascii="Times New Roman"/>
                <w:sz w:val="21"/>
              </w:rPr>
              <w:t>15,487,134.44</w:t>
            </w:r>
          </w:p>
        </w:tc>
      </w:tr>
      <w:tr>
        <w:trPr>
          <w:trHeight w:val="503" w:hRule="atLeast"/>
        </w:trPr>
        <w:tc>
          <w:tcPr>
            <w:tcW w:w="1111" w:type="dxa"/>
          </w:tcPr>
          <w:p>
            <w:pPr>
              <w:pStyle w:val="TableParagraph"/>
              <w:spacing w:before="144"/>
              <w:ind w:left="21"/>
              <w:jc w:val="center"/>
              <w:rPr>
                <w:rFonts w:ascii="Times New Roman"/>
                <w:sz w:val="21"/>
              </w:rPr>
            </w:pPr>
            <w:r>
              <w:rPr>
                <w:rFonts w:ascii="Times New Roman"/>
                <w:w w:val="100"/>
                <w:sz w:val="21"/>
              </w:rPr>
              <w:t>6</w:t>
            </w:r>
          </w:p>
        </w:tc>
        <w:tc>
          <w:tcPr>
            <w:tcW w:w="2535" w:type="dxa"/>
          </w:tcPr>
          <w:p>
            <w:pPr>
              <w:pStyle w:val="TableParagraph"/>
              <w:spacing w:before="133"/>
              <w:ind w:left="119"/>
              <w:rPr>
                <w:sz w:val="21"/>
              </w:rPr>
            </w:pPr>
            <w:r>
              <w:rPr>
                <w:sz w:val="21"/>
              </w:rPr>
              <w:t>其他应收款</w:t>
            </w:r>
          </w:p>
        </w:tc>
        <w:tc>
          <w:tcPr>
            <w:tcW w:w="4719" w:type="dxa"/>
          </w:tcPr>
          <w:p>
            <w:pPr>
              <w:pStyle w:val="TableParagraph"/>
              <w:spacing w:before="144"/>
              <w:ind w:right="94"/>
              <w:jc w:val="right"/>
              <w:rPr>
                <w:rFonts w:ascii="Times New Roman"/>
                <w:sz w:val="21"/>
              </w:rPr>
            </w:pPr>
            <w:r>
              <w:rPr>
                <w:rFonts w:ascii="Times New Roman"/>
                <w:w w:val="100"/>
                <w:sz w:val="21"/>
              </w:rPr>
              <w:t>-</w:t>
            </w:r>
          </w:p>
        </w:tc>
      </w:tr>
      <w:tr>
        <w:trPr>
          <w:trHeight w:val="506" w:hRule="atLeast"/>
        </w:trPr>
        <w:tc>
          <w:tcPr>
            <w:tcW w:w="1111" w:type="dxa"/>
          </w:tcPr>
          <w:p>
            <w:pPr>
              <w:pStyle w:val="TableParagraph"/>
              <w:spacing w:before="145"/>
              <w:ind w:left="21"/>
              <w:jc w:val="center"/>
              <w:rPr>
                <w:rFonts w:ascii="Times New Roman"/>
                <w:sz w:val="21"/>
              </w:rPr>
            </w:pPr>
            <w:r>
              <w:rPr>
                <w:rFonts w:ascii="Times New Roman"/>
                <w:w w:val="100"/>
                <w:sz w:val="21"/>
              </w:rPr>
              <w:t>7</w:t>
            </w:r>
          </w:p>
        </w:tc>
        <w:tc>
          <w:tcPr>
            <w:tcW w:w="2535" w:type="dxa"/>
          </w:tcPr>
          <w:p>
            <w:pPr>
              <w:pStyle w:val="TableParagraph"/>
              <w:spacing w:before="133"/>
              <w:ind w:left="119"/>
              <w:rPr>
                <w:sz w:val="21"/>
              </w:rPr>
            </w:pPr>
            <w:r>
              <w:rPr>
                <w:sz w:val="21"/>
              </w:rPr>
              <w:t>待摊费用</w:t>
            </w:r>
          </w:p>
        </w:tc>
        <w:tc>
          <w:tcPr>
            <w:tcW w:w="4719" w:type="dxa"/>
          </w:tcPr>
          <w:p>
            <w:pPr>
              <w:pStyle w:val="TableParagraph"/>
              <w:spacing w:before="145"/>
              <w:ind w:right="94"/>
              <w:jc w:val="right"/>
              <w:rPr>
                <w:rFonts w:ascii="Times New Roman"/>
                <w:sz w:val="21"/>
              </w:rPr>
            </w:pPr>
            <w:r>
              <w:rPr>
                <w:rFonts w:ascii="Times New Roman"/>
                <w:w w:val="100"/>
                <w:sz w:val="21"/>
              </w:rPr>
              <w:t>-</w:t>
            </w:r>
          </w:p>
        </w:tc>
      </w:tr>
    </w:tbl>
    <w:p>
      <w:pPr>
        <w:spacing w:after="0"/>
        <w:jc w:val="right"/>
        <w:rPr>
          <w:rFonts w:ascii="Times New Roman"/>
          <w:sz w:val="21"/>
        </w:rPr>
        <w:sectPr>
          <w:pgSz w:w="11910" w:h="16840"/>
          <w:pgMar w:header="701" w:footer="683" w:top="1420" w:bottom="880" w:left="1500" w:right="920"/>
        </w:sect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1"/>
        <w:gridCol w:w="2535"/>
        <w:gridCol w:w="4719"/>
      </w:tblGrid>
      <w:tr>
        <w:trPr>
          <w:trHeight w:val="504" w:hRule="atLeast"/>
        </w:trPr>
        <w:tc>
          <w:tcPr>
            <w:tcW w:w="1111" w:type="dxa"/>
          </w:tcPr>
          <w:p>
            <w:pPr>
              <w:pStyle w:val="TableParagraph"/>
              <w:spacing w:before="145"/>
              <w:ind w:left="21"/>
              <w:jc w:val="center"/>
              <w:rPr>
                <w:rFonts w:ascii="Times New Roman"/>
                <w:sz w:val="21"/>
              </w:rPr>
            </w:pPr>
            <w:r>
              <w:rPr>
                <w:rFonts w:ascii="Times New Roman"/>
                <w:w w:val="100"/>
                <w:sz w:val="21"/>
              </w:rPr>
              <w:t>8</w:t>
            </w:r>
          </w:p>
        </w:tc>
        <w:tc>
          <w:tcPr>
            <w:tcW w:w="2535" w:type="dxa"/>
          </w:tcPr>
          <w:p>
            <w:pPr>
              <w:pStyle w:val="TableParagraph"/>
              <w:spacing w:before="133"/>
              <w:ind w:left="119"/>
              <w:rPr>
                <w:sz w:val="21"/>
              </w:rPr>
            </w:pPr>
            <w:r>
              <w:rPr>
                <w:sz w:val="21"/>
              </w:rPr>
              <w:t>其他</w:t>
            </w:r>
          </w:p>
        </w:tc>
        <w:tc>
          <w:tcPr>
            <w:tcW w:w="4719" w:type="dxa"/>
          </w:tcPr>
          <w:p>
            <w:pPr>
              <w:pStyle w:val="TableParagraph"/>
              <w:spacing w:before="145"/>
              <w:ind w:right="94"/>
              <w:jc w:val="right"/>
              <w:rPr>
                <w:rFonts w:ascii="Times New Roman"/>
                <w:sz w:val="21"/>
              </w:rPr>
            </w:pPr>
            <w:r>
              <w:rPr>
                <w:rFonts w:ascii="Times New Roman"/>
                <w:w w:val="100"/>
                <w:sz w:val="21"/>
              </w:rPr>
              <w:t>-</w:t>
            </w:r>
          </w:p>
        </w:tc>
      </w:tr>
      <w:tr>
        <w:trPr>
          <w:trHeight w:val="505" w:hRule="atLeast"/>
        </w:trPr>
        <w:tc>
          <w:tcPr>
            <w:tcW w:w="1111" w:type="dxa"/>
          </w:tcPr>
          <w:p>
            <w:pPr>
              <w:pStyle w:val="TableParagraph"/>
              <w:spacing w:before="147"/>
              <w:ind w:left="21"/>
              <w:jc w:val="center"/>
              <w:rPr>
                <w:rFonts w:ascii="Times New Roman"/>
                <w:sz w:val="21"/>
              </w:rPr>
            </w:pPr>
            <w:r>
              <w:rPr>
                <w:rFonts w:ascii="Times New Roman"/>
                <w:w w:val="100"/>
                <w:sz w:val="21"/>
              </w:rPr>
              <w:t>9</w:t>
            </w:r>
          </w:p>
        </w:tc>
        <w:tc>
          <w:tcPr>
            <w:tcW w:w="2535" w:type="dxa"/>
          </w:tcPr>
          <w:p>
            <w:pPr>
              <w:pStyle w:val="TableParagraph"/>
              <w:spacing w:before="135"/>
              <w:ind w:left="119"/>
              <w:rPr>
                <w:sz w:val="21"/>
              </w:rPr>
            </w:pPr>
            <w:r>
              <w:rPr>
                <w:sz w:val="21"/>
              </w:rPr>
              <w:t>合计</w:t>
            </w:r>
          </w:p>
        </w:tc>
        <w:tc>
          <w:tcPr>
            <w:tcW w:w="4719" w:type="dxa"/>
          </w:tcPr>
          <w:p>
            <w:pPr>
              <w:pStyle w:val="TableParagraph"/>
              <w:spacing w:before="147"/>
              <w:ind w:right="93"/>
              <w:jc w:val="right"/>
              <w:rPr>
                <w:rFonts w:ascii="Times New Roman"/>
                <w:sz w:val="21"/>
              </w:rPr>
            </w:pPr>
            <w:r>
              <w:rPr>
                <w:rFonts w:ascii="Times New Roman"/>
                <w:sz w:val="21"/>
              </w:rPr>
              <w:t>80,094,510.02</w:t>
            </w:r>
          </w:p>
        </w:tc>
      </w:tr>
    </w:tbl>
    <w:p>
      <w:pPr>
        <w:pStyle w:val="ListParagraph"/>
        <w:numPr>
          <w:ilvl w:val="2"/>
          <w:numId w:val="27"/>
        </w:numPr>
        <w:tabs>
          <w:tab w:pos="879" w:val="left" w:leader="none"/>
        </w:tabs>
        <w:spacing w:line="240" w:lineRule="auto" w:before="114" w:after="0"/>
        <w:ind w:left="878" w:right="0" w:hanging="579"/>
        <w:jc w:val="left"/>
        <w:rPr>
          <w:sz w:val="21"/>
        </w:rPr>
      </w:pPr>
      <w:r>
        <w:rPr>
          <w:spacing w:val="-3"/>
          <w:sz w:val="21"/>
        </w:rPr>
        <w:t>报告期末持有的处于转股期的可转换债券明细</w:t>
      </w:r>
    </w:p>
    <w:p>
      <w:pPr>
        <w:pStyle w:val="BodyText"/>
        <w:spacing w:before="1"/>
        <w:rPr>
          <w:sz w:val="16"/>
        </w:rPr>
      </w:pPr>
    </w:p>
    <w:p>
      <w:pPr>
        <w:pStyle w:val="BodyText"/>
        <w:ind w:left="720"/>
      </w:pPr>
      <w:r>
        <w:rPr/>
        <w:t>本基金本报告期末未持有处于转股期的可转换债券。</w:t>
      </w:r>
    </w:p>
    <w:p>
      <w:pPr>
        <w:pStyle w:val="BodyText"/>
        <w:spacing w:before="1"/>
        <w:rPr>
          <w:sz w:val="16"/>
        </w:rPr>
      </w:pPr>
    </w:p>
    <w:p>
      <w:pPr>
        <w:pStyle w:val="ListParagraph"/>
        <w:numPr>
          <w:ilvl w:val="2"/>
          <w:numId w:val="27"/>
        </w:numPr>
        <w:tabs>
          <w:tab w:pos="879" w:val="left" w:leader="none"/>
        </w:tabs>
        <w:spacing w:line="240" w:lineRule="auto" w:before="0" w:after="0"/>
        <w:ind w:left="878" w:right="0" w:hanging="579"/>
        <w:jc w:val="left"/>
        <w:rPr>
          <w:sz w:val="21"/>
        </w:rPr>
      </w:pPr>
      <w:r>
        <w:rPr>
          <w:spacing w:val="-3"/>
          <w:sz w:val="21"/>
        </w:rPr>
        <w:t>报告期末前十名股票中存在流通受限情况的说明</w:t>
      </w:r>
    </w:p>
    <w:p>
      <w:pPr>
        <w:pStyle w:val="BodyText"/>
        <w:spacing w:before="1"/>
        <w:rPr>
          <w:sz w:val="16"/>
        </w:rPr>
      </w:pPr>
    </w:p>
    <w:p>
      <w:pPr>
        <w:pStyle w:val="BodyText"/>
        <w:spacing w:before="1"/>
        <w:ind w:left="720"/>
      </w:pPr>
      <w:r>
        <w:rPr/>
        <w:t>本基金本报告期末前十名股票中不存在流通受限情况。</w:t>
      </w:r>
    </w:p>
    <w:p>
      <w:pPr>
        <w:pStyle w:val="BodyText"/>
        <w:rPr>
          <w:sz w:val="16"/>
        </w:rPr>
      </w:pPr>
    </w:p>
    <w:p>
      <w:pPr>
        <w:pStyle w:val="ListParagraph"/>
        <w:numPr>
          <w:ilvl w:val="2"/>
          <w:numId w:val="27"/>
        </w:numPr>
        <w:tabs>
          <w:tab w:pos="879" w:val="left" w:leader="none"/>
        </w:tabs>
        <w:spacing w:line="240" w:lineRule="auto" w:before="1" w:after="0"/>
        <w:ind w:left="878" w:right="0" w:hanging="579"/>
        <w:jc w:val="left"/>
        <w:rPr>
          <w:sz w:val="21"/>
        </w:rPr>
      </w:pPr>
      <w:r>
        <w:rPr>
          <w:spacing w:val="-3"/>
          <w:sz w:val="21"/>
        </w:rPr>
        <w:t>投资组合报告附注的其他文字描述部分</w:t>
      </w:r>
    </w:p>
    <w:p>
      <w:pPr>
        <w:pStyle w:val="BodyText"/>
        <w:spacing w:before="4"/>
        <w:rPr>
          <w:sz w:val="16"/>
        </w:rPr>
      </w:pPr>
    </w:p>
    <w:p>
      <w:pPr>
        <w:pStyle w:val="BodyText"/>
        <w:ind w:left="720"/>
      </w:pPr>
      <w:r>
        <w:rPr/>
        <w:t>由于四舍五入的原因，分项之和与合计项之间可能存在尾差。</w:t>
      </w:r>
    </w:p>
    <w:p>
      <w:pPr>
        <w:pStyle w:val="BodyText"/>
        <w:rPr>
          <w:sz w:val="20"/>
        </w:rPr>
      </w:pPr>
    </w:p>
    <w:p>
      <w:pPr>
        <w:pStyle w:val="BodyText"/>
        <w:spacing w:before="5"/>
        <w:rPr>
          <w:sz w:val="19"/>
        </w:rPr>
      </w:pPr>
    </w:p>
    <w:p>
      <w:pPr>
        <w:pStyle w:val="Heading1"/>
        <w:ind w:right="876"/>
      </w:pPr>
      <w:bookmarkStart w:name="_bookmark10" w:id="11"/>
      <w:bookmarkEnd w:id="11"/>
      <w:r>
        <w:rPr>
          <w:b w:val="0"/>
        </w:rPr>
      </w:r>
      <w:r>
        <w:rPr/>
        <w:t>十一、基金的业绩</w:t>
      </w:r>
    </w:p>
    <w:p>
      <w:pPr>
        <w:pStyle w:val="BodyText"/>
        <w:rPr>
          <w:b/>
          <w:sz w:val="24"/>
        </w:rPr>
      </w:pPr>
    </w:p>
    <w:p>
      <w:pPr>
        <w:pStyle w:val="BodyText"/>
        <w:spacing w:line="424" w:lineRule="auto" w:before="193"/>
        <w:ind w:left="300" w:right="87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24" w:lineRule="auto"/>
        <w:ind w:left="300" w:right="871" w:firstLine="419"/>
      </w:pPr>
      <w:r>
        <w:rPr>
          <w:spacing w:val="-7"/>
        </w:rPr>
        <w:t>下述基金业绩指标不包括持有人认购或交易基金的各项费用，计入费用后实际收益水平</w:t>
      </w:r>
      <w:r>
        <w:rPr>
          <w:spacing w:val="-5"/>
        </w:rPr>
        <w:t>要低于所列数字。</w:t>
      </w:r>
    </w:p>
    <w:p>
      <w:pPr>
        <w:pStyle w:val="BodyText"/>
        <w:ind w:left="720"/>
      </w:pPr>
      <w:r>
        <w:rPr/>
        <w:t>华夏沪深</w:t>
      </w:r>
      <w:r>
        <w:rPr>
          <w:rFonts w:ascii="Times New Roman" w:eastAsia="Times New Roman"/>
        </w:rPr>
        <w:t>300ETF</w:t>
      </w:r>
      <w:r>
        <w:rPr/>
        <w:t>联接</w:t>
      </w:r>
      <w:r>
        <w:rPr>
          <w:rFonts w:ascii="Times New Roman" w:eastAsia="Times New Roman"/>
        </w:rPr>
        <w:t>A</w:t>
      </w:r>
      <w:r>
        <w:rPr/>
        <w:t>：</w:t>
      </w:r>
    </w:p>
    <w:p>
      <w:pPr>
        <w:pStyle w:val="BodyText"/>
        <w:spacing w:before="9"/>
        <w:rPr>
          <w:sz w:val="7"/>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9"/>
        <w:gridCol w:w="1080"/>
        <w:gridCol w:w="1152"/>
        <w:gridCol w:w="1440"/>
        <w:gridCol w:w="1368"/>
        <w:gridCol w:w="1060"/>
        <w:gridCol w:w="990"/>
      </w:tblGrid>
      <w:tr>
        <w:trPr>
          <w:trHeight w:val="815" w:hRule="atLeast"/>
        </w:trPr>
        <w:tc>
          <w:tcPr>
            <w:tcW w:w="2089" w:type="dxa"/>
          </w:tcPr>
          <w:p>
            <w:pPr>
              <w:pStyle w:val="TableParagraph"/>
              <w:spacing w:before="3"/>
              <w:rPr>
                <w:sz w:val="21"/>
              </w:rPr>
            </w:pPr>
          </w:p>
          <w:p>
            <w:pPr>
              <w:pStyle w:val="TableParagraph"/>
              <w:tabs>
                <w:tab w:pos="1254" w:val="left" w:leader="none"/>
              </w:tabs>
              <w:spacing w:before="0"/>
              <w:ind w:left="623"/>
              <w:rPr>
                <w:sz w:val="21"/>
              </w:rPr>
            </w:pPr>
            <w:r>
              <w:rPr>
                <w:sz w:val="21"/>
              </w:rPr>
              <w:t>阶</w:t>
              <w:tab/>
              <w:t>段</w:t>
            </w:r>
          </w:p>
        </w:tc>
        <w:tc>
          <w:tcPr>
            <w:tcW w:w="1080" w:type="dxa"/>
          </w:tcPr>
          <w:p>
            <w:pPr>
              <w:pStyle w:val="TableParagraph"/>
              <w:spacing w:line="242" w:lineRule="auto" w:before="138"/>
              <w:ind w:left="328" w:right="106" w:hanging="209"/>
              <w:rPr>
                <w:sz w:val="21"/>
              </w:rPr>
            </w:pPr>
            <w:r>
              <w:rPr>
                <w:sz w:val="21"/>
              </w:rPr>
              <w:t>净值增长率①</w:t>
            </w:r>
          </w:p>
        </w:tc>
        <w:tc>
          <w:tcPr>
            <w:tcW w:w="1152" w:type="dxa"/>
          </w:tcPr>
          <w:p>
            <w:pPr>
              <w:pStyle w:val="TableParagraph"/>
              <w:spacing w:line="242" w:lineRule="auto" w:before="1"/>
              <w:ind w:left="155" w:right="142"/>
              <w:jc w:val="center"/>
              <w:rPr>
                <w:sz w:val="21"/>
              </w:rPr>
            </w:pPr>
            <w:r>
              <w:rPr>
                <w:sz w:val="21"/>
              </w:rPr>
              <w:t>净值增长率标准差</w:t>
            </w:r>
          </w:p>
          <w:p>
            <w:pPr>
              <w:pStyle w:val="TableParagraph"/>
              <w:spacing w:line="250" w:lineRule="exact" w:before="1"/>
              <w:ind w:left="8"/>
              <w:jc w:val="center"/>
              <w:rPr>
                <w:sz w:val="21"/>
              </w:rPr>
            </w:pPr>
            <w:r>
              <w:rPr>
                <w:w w:val="100"/>
                <w:sz w:val="21"/>
              </w:rPr>
              <w:t>②</w:t>
            </w:r>
          </w:p>
        </w:tc>
        <w:tc>
          <w:tcPr>
            <w:tcW w:w="1440" w:type="dxa"/>
          </w:tcPr>
          <w:p>
            <w:pPr>
              <w:pStyle w:val="TableParagraph"/>
              <w:spacing w:line="242" w:lineRule="auto" w:before="138"/>
              <w:ind w:left="193" w:right="180"/>
              <w:rPr>
                <w:sz w:val="21"/>
              </w:rPr>
            </w:pPr>
            <w:r>
              <w:rPr>
                <w:sz w:val="21"/>
              </w:rPr>
              <w:t>业绩比较基准收益率③</w:t>
            </w:r>
          </w:p>
        </w:tc>
        <w:tc>
          <w:tcPr>
            <w:tcW w:w="1368" w:type="dxa"/>
          </w:tcPr>
          <w:p>
            <w:pPr>
              <w:pStyle w:val="TableParagraph"/>
              <w:spacing w:line="242" w:lineRule="auto" w:before="1"/>
              <w:ind w:left="158" w:right="144"/>
              <w:jc w:val="center"/>
              <w:rPr>
                <w:sz w:val="21"/>
              </w:rPr>
            </w:pPr>
            <w:r>
              <w:rPr>
                <w:sz w:val="21"/>
              </w:rPr>
              <w:t>业绩比较基准收益率标</w:t>
            </w:r>
          </w:p>
          <w:p>
            <w:pPr>
              <w:pStyle w:val="TableParagraph"/>
              <w:spacing w:line="250" w:lineRule="exact" w:before="1"/>
              <w:ind w:left="153" w:right="144"/>
              <w:jc w:val="center"/>
              <w:rPr>
                <w:sz w:val="21"/>
              </w:rPr>
            </w:pPr>
            <w:r>
              <w:rPr>
                <w:sz w:val="21"/>
              </w:rPr>
              <w:t>准差④</w:t>
            </w:r>
          </w:p>
        </w:tc>
        <w:tc>
          <w:tcPr>
            <w:tcW w:w="1060" w:type="dxa"/>
          </w:tcPr>
          <w:p>
            <w:pPr>
              <w:pStyle w:val="TableParagraph"/>
              <w:spacing w:before="3"/>
              <w:rPr>
                <w:sz w:val="21"/>
              </w:rPr>
            </w:pPr>
          </w:p>
          <w:p>
            <w:pPr>
              <w:pStyle w:val="TableParagraph"/>
              <w:spacing w:before="0"/>
              <w:ind w:left="213"/>
              <w:rPr>
                <w:sz w:val="21"/>
              </w:rPr>
            </w:pPr>
            <w:r>
              <w:rPr>
                <w:sz w:val="21"/>
              </w:rPr>
              <w:t>①－③</w:t>
            </w:r>
          </w:p>
        </w:tc>
        <w:tc>
          <w:tcPr>
            <w:tcW w:w="990" w:type="dxa"/>
          </w:tcPr>
          <w:p>
            <w:pPr>
              <w:pStyle w:val="TableParagraph"/>
              <w:spacing w:before="3"/>
              <w:rPr>
                <w:sz w:val="21"/>
              </w:rPr>
            </w:pPr>
          </w:p>
          <w:p>
            <w:pPr>
              <w:pStyle w:val="TableParagraph"/>
              <w:spacing w:before="0"/>
              <w:ind w:left="181"/>
              <w:rPr>
                <w:sz w:val="21"/>
              </w:rPr>
            </w:pPr>
            <w:r>
              <w:rPr>
                <w:sz w:val="21"/>
              </w:rPr>
              <w:t>②－④</w:t>
            </w:r>
          </w:p>
        </w:tc>
      </w:tr>
      <w:tr>
        <w:trPr>
          <w:trHeight w:val="544" w:hRule="atLeast"/>
        </w:trPr>
        <w:tc>
          <w:tcPr>
            <w:tcW w:w="2089" w:type="dxa"/>
          </w:tcPr>
          <w:p>
            <w:pPr>
              <w:pStyle w:val="TableParagraph"/>
              <w:spacing w:before="1"/>
              <w:ind w:left="124"/>
              <w:rPr>
                <w:sz w:val="21"/>
              </w:rPr>
            </w:pPr>
            <w:r>
              <w:rPr>
                <w:rFonts w:ascii="Times New Roman" w:eastAsia="Times New Roman"/>
                <w:sz w:val="21"/>
              </w:rPr>
              <w:t>2009 </w:t>
            </w:r>
            <w:r>
              <w:rPr>
                <w:sz w:val="21"/>
              </w:rPr>
              <w:t>年 </w:t>
            </w:r>
            <w:r>
              <w:rPr>
                <w:rFonts w:ascii="Times New Roman" w:eastAsia="Times New Roman"/>
                <w:sz w:val="21"/>
              </w:rPr>
              <w:t>7 </w:t>
            </w:r>
            <w:r>
              <w:rPr>
                <w:sz w:val="21"/>
              </w:rPr>
              <w:t>月 </w:t>
            </w:r>
            <w:r>
              <w:rPr>
                <w:rFonts w:ascii="Times New Roman" w:eastAsia="Times New Roman"/>
                <w:sz w:val="21"/>
              </w:rPr>
              <w:t>10 </w:t>
            </w:r>
            <w:r>
              <w:rPr>
                <w:sz w:val="21"/>
              </w:rPr>
              <w:t>日至</w:t>
            </w:r>
          </w:p>
          <w:p>
            <w:pPr>
              <w:pStyle w:val="TableParagraph"/>
              <w:spacing w:line="250" w:lineRule="exact" w:before="4"/>
              <w:ind w:left="177"/>
              <w:rPr>
                <w:sz w:val="21"/>
              </w:rPr>
            </w:pPr>
            <w:r>
              <w:rPr>
                <w:rFonts w:ascii="Times New Roman" w:eastAsia="Times New Roman"/>
                <w:sz w:val="21"/>
              </w:rPr>
              <w:t>2009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080" w:type="dxa"/>
          </w:tcPr>
          <w:p>
            <w:pPr>
              <w:pStyle w:val="TableParagraph"/>
              <w:spacing w:before="8"/>
              <w:rPr>
                <w:sz w:val="20"/>
              </w:rPr>
            </w:pPr>
          </w:p>
          <w:p>
            <w:pPr>
              <w:pStyle w:val="TableParagraph"/>
              <w:spacing w:before="0"/>
              <w:ind w:right="95"/>
              <w:jc w:val="right"/>
              <w:rPr>
                <w:rFonts w:ascii="Times New Roman"/>
                <w:sz w:val="21"/>
              </w:rPr>
            </w:pPr>
            <w:r>
              <w:rPr>
                <w:rFonts w:ascii="Times New Roman"/>
                <w:sz w:val="21"/>
              </w:rPr>
              <w:t>-0.20%</w:t>
            </w:r>
          </w:p>
        </w:tc>
        <w:tc>
          <w:tcPr>
            <w:tcW w:w="1152"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1.60%</w:t>
            </w:r>
          </w:p>
        </w:tc>
        <w:tc>
          <w:tcPr>
            <w:tcW w:w="1440"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5.50%</w:t>
            </w:r>
          </w:p>
        </w:tc>
        <w:tc>
          <w:tcPr>
            <w:tcW w:w="1368"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2.06%</w:t>
            </w:r>
          </w:p>
        </w:tc>
        <w:tc>
          <w:tcPr>
            <w:tcW w:w="1060" w:type="dxa"/>
          </w:tcPr>
          <w:p>
            <w:pPr>
              <w:pStyle w:val="TableParagraph"/>
              <w:spacing w:before="8"/>
              <w:rPr>
                <w:sz w:val="20"/>
              </w:rPr>
            </w:pPr>
          </w:p>
          <w:p>
            <w:pPr>
              <w:pStyle w:val="TableParagraph"/>
              <w:spacing w:before="0"/>
              <w:ind w:right="94"/>
              <w:jc w:val="right"/>
              <w:rPr>
                <w:rFonts w:ascii="Times New Roman"/>
                <w:sz w:val="21"/>
              </w:rPr>
            </w:pPr>
            <w:r>
              <w:rPr>
                <w:rFonts w:ascii="Times New Roman"/>
                <w:sz w:val="21"/>
              </w:rPr>
              <w:t>-5.70%</w:t>
            </w:r>
          </w:p>
        </w:tc>
        <w:tc>
          <w:tcPr>
            <w:tcW w:w="990" w:type="dxa"/>
          </w:tcPr>
          <w:p>
            <w:pPr>
              <w:pStyle w:val="TableParagraph"/>
              <w:spacing w:before="8"/>
              <w:rPr>
                <w:sz w:val="20"/>
              </w:rPr>
            </w:pPr>
          </w:p>
          <w:p>
            <w:pPr>
              <w:pStyle w:val="TableParagraph"/>
              <w:spacing w:before="0"/>
              <w:ind w:right="92"/>
              <w:jc w:val="right"/>
              <w:rPr>
                <w:rFonts w:ascii="Times New Roman"/>
                <w:sz w:val="21"/>
              </w:rPr>
            </w:pPr>
            <w:r>
              <w:rPr>
                <w:rFonts w:ascii="Times New Roman"/>
                <w:sz w:val="21"/>
              </w:rPr>
              <w:t>-0.46%</w:t>
            </w:r>
          </w:p>
        </w:tc>
      </w:tr>
      <w:tr>
        <w:trPr>
          <w:trHeight w:val="546" w:hRule="atLeast"/>
        </w:trPr>
        <w:tc>
          <w:tcPr>
            <w:tcW w:w="2089" w:type="dxa"/>
          </w:tcPr>
          <w:p>
            <w:pPr>
              <w:pStyle w:val="TableParagraph"/>
              <w:spacing w:before="3"/>
              <w:ind w:left="177"/>
              <w:rPr>
                <w:sz w:val="21"/>
              </w:rPr>
            </w:pPr>
            <w:r>
              <w:rPr>
                <w:rFonts w:ascii="Times New Roman" w:eastAsia="Times New Roman"/>
                <w:sz w:val="21"/>
              </w:rPr>
              <w:t>2010</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2" w:lineRule="exact" w:before="2"/>
              <w:ind w:left="177"/>
              <w:rPr>
                <w:sz w:val="21"/>
              </w:rPr>
            </w:pPr>
            <w:r>
              <w:rPr>
                <w:rFonts w:ascii="Times New Roman" w:eastAsia="Times New Roman"/>
                <w:sz w:val="21"/>
              </w:rPr>
              <w:t>2010</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8"/>
              <w:rPr>
                <w:sz w:val="20"/>
              </w:rPr>
            </w:pPr>
          </w:p>
          <w:p>
            <w:pPr>
              <w:pStyle w:val="TableParagraph"/>
              <w:spacing w:before="0"/>
              <w:ind w:right="95"/>
              <w:jc w:val="right"/>
              <w:rPr>
                <w:rFonts w:ascii="Times New Roman"/>
                <w:sz w:val="21"/>
              </w:rPr>
            </w:pPr>
            <w:r>
              <w:rPr>
                <w:rFonts w:ascii="Times New Roman"/>
                <w:sz w:val="21"/>
              </w:rPr>
              <w:t>-11.52%</w:t>
            </w:r>
          </w:p>
        </w:tc>
        <w:tc>
          <w:tcPr>
            <w:tcW w:w="1152"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1.51%</w:t>
            </w:r>
          </w:p>
        </w:tc>
        <w:tc>
          <w:tcPr>
            <w:tcW w:w="1440" w:type="dxa"/>
          </w:tcPr>
          <w:p>
            <w:pPr>
              <w:pStyle w:val="TableParagraph"/>
              <w:spacing w:before="8"/>
              <w:rPr>
                <w:sz w:val="20"/>
              </w:rPr>
            </w:pPr>
          </w:p>
          <w:p>
            <w:pPr>
              <w:pStyle w:val="TableParagraph"/>
              <w:spacing w:before="0"/>
              <w:ind w:right="95"/>
              <w:jc w:val="right"/>
              <w:rPr>
                <w:rFonts w:ascii="Times New Roman"/>
                <w:sz w:val="21"/>
              </w:rPr>
            </w:pPr>
            <w:r>
              <w:rPr>
                <w:rFonts w:ascii="Times New Roman"/>
                <w:sz w:val="21"/>
              </w:rPr>
              <w:t>-10.89%</w:t>
            </w:r>
          </w:p>
        </w:tc>
        <w:tc>
          <w:tcPr>
            <w:tcW w:w="1368"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1.50%</w:t>
            </w:r>
          </w:p>
        </w:tc>
        <w:tc>
          <w:tcPr>
            <w:tcW w:w="1060" w:type="dxa"/>
          </w:tcPr>
          <w:p>
            <w:pPr>
              <w:pStyle w:val="TableParagraph"/>
              <w:spacing w:before="8"/>
              <w:rPr>
                <w:sz w:val="20"/>
              </w:rPr>
            </w:pPr>
          </w:p>
          <w:p>
            <w:pPr>
              <w:pStyle w:val="TableParagraph"/>
              <w:spacing w:before="0"/>
              <w:ind w:right="94"/>
              <w:jc w:val="right"/>
              <w:rPr>
                <w:rFonts w:ascii="Times New Roman"/>
                <w:sz w:val="21"/>
              </w:rPr>
            </w:pPr>
            <w:r>
              <w:rPr>
                <w:rFonts w:ascii="Times New Roman"/>
                <w:sz w:val="21"/>
              </w:rPr>
              <w:t>-0.63%</w:t>
            </w:r>
          </w:p>
        </w:tc>
        <w:tc>
          <w:tcPr>
            <w:tcW w:w="990" w:type="dxa"/>
          </w:tcPr>
          <w:p>
            <w:pPr>
              <w:pStyle w:val="TableParagraph"/>
              <w:spacing w:before="8"/>
              <w:rPr>
                <w:sz w:val="20"/>
              </w:rPr>
            </w:pPr>
          </w:p>
          <w:p>
            <w:pPr>
              <w:pStyle w:val="TableParagraph"/>
              <w:spacing w:before="0"/>
              <w:ind w:right="90"/>
              <w:jc w:val="right"/>
              <w:rPr>
                <w:rFonts w:ascii="Times New Roman"/>
                <w:sz w:val="21"/>
              </w:rPr>
            </w:pPr>
            <w:r>
              <w:rPr>
                <w:rFonts w:ascii="Times New Roman"/>
                <w:sz w:val="21"/>
              </w:rPr>
              <w:t>0.01%</w:t>
            </w:r>
          </w:p>
        </w:tc>
      </w:tr>
      <w:tr>
        <w:trPr>
          <w:trHeight w:val="545" w:hRule="atLeast"/>
        </w:trPr>
        <w:tc>
          <w:tcPr>
            <w:tcW w:w="2089" w:type="dxa"/>
          </w:tcPr>
          <w:p>
            <w:pPr>
              <w:pStyle w:val="TableParagraph"/>
              <w:spacing w:before="1"/>
              <w:ind w:left="179"/>
              <w:rPr>
                <w:sz w:val="21"/>
              </w:rPr>
            </w:pPr>
            <w:r>
              <w:rPr>
                <w:rFonts w:ascii="Times New Roman" w:eastAsia="Times New Roman"/>
                <w:sz w:val="21"/>
              </w:rPr>
              <w:t>2011</w:t>
            </w:r>
            <w:r>
              <w:rPr>
                <w:rFonts w:ascii="Times New Roman" w:eastAsia="Times New Roman"/>
                <w:spacing w:val="-3"/>
                <w:sz w:val="21"/>
              </w:rPr>
              <w:t> </w:t>
            </w:r>
            <w:r>
              <w:rPr>
                <w:spacing w:val="-27"/>
                <w:sz w:val="21"/>
              </w:rPr>
              <w:t>年 </w:t>
            </w:r>
            <w:r>
              <w:rPr>
                <w:rFonts w:ascii="Times New Roman" w:eastAsia="Times New Roman"/>
                <w:sz w:val="21"/>
              </w:rPr>
              <w:t>1</w:t>
            </w:r>
            <w:r>
              <w:rPr>
                <w:rFonts w:ascii="Times New Roman" w:eastAsia="Times New Roman"/>
                <w:spacing w:val="-3"/>
                <w:sz w:val="21"/>
              </w:rPr>
              <w:t> </w:t>
            </w:r>
            <w:r>
              <w:rPr>
                <w:spacing w:val="-27"/>
                <w:sz w:val="21"/>
              </w:rPr>
              <w:t>月 </w:t>
            </w:r>
            <w:r>
              <w:rPr>
                <w:rFonts w:ascii="Times New Roman" w:eastAsia="Times New Roman"/>
                <w:sz w:val="21"/>
              </w:rPr>
              <w:t>1</w:t>
            </w:r>
            <w:r>
              <w:rPr>
                <w:rFonts w:ascii="Times New Roman" w:eastAsia="Times New Roman"/>
                <w:spacing w:val="-3"/>
                <w:sz w:val="21"/>
              </w:rPr>
              <w:t> </w:t>
            </w:r>
            <w:r>
              <w:rPr>
                <w:sz w:val="21"/>
              </w:rPr>
              <w:t>日至</w:t>
            </w:r>
          </w:p>
          <w:p>
            <w:pPr>
              <w:pStyle w:val="TableParagraph"/>
              <w:spacing w:line="252" w:lineRule="exact" w:before="2"/>
              <w:ind w:left="179"/>
              <w:rPr>
                <w:sz w:val="21"/>
              </w:rPr>
            </w:pPr>
            <w:r>
              <w:rPr>
                <w:rFonts w:ascii="Times New Roman" w:eastAsia="Times New Roman"/>
                <w:sz w:val="21"/>
              </w:rPr>
              <w:t>2011</w:t>
            </w:r>
            <w:r>
              <w:rPr>
                <w:rFonts w:ascii="Times New Roman" w:eastAsia="Times New Roman"/>
                <w:spacing w:val="-5"/>
                <w:sz w:val="21"/>
              </w:rPr>
              <w:t> </w:t>
            </w:r>
            <w:r>
              <w:rPr>
                <w:spacing w:val="-27"/>
                <w:sz w:val="21"/>
              </w:rPr>
              <w:t>年 </w:t>
            </w:r>
            <w:r>
              <w:rPr>
                <w:rFonts w:ascii="Times New Roman" w:eastAsia="Times New Roman"/>
                <w:sz w:val="21"/>
              </w:rPr>
              <w:t>12</w:t>
            </w:r>
            <w:r>
              <w:rPr>
                <w:rFonts w:ascii="Times New Roman" w:eastAsia="Times New Roman"/>
                <w:spacing w:val="-1"/>
                <w:sz w:val="21"/>
              </w:rPr>
              <w:t> </w:t>
            </w:r>
            <w:r>
              <w:rPr>
                <w:spacing w:val="-27"/>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8"/>
              <w:rPr>
                <w:sz w:val="20"/>
              </w:rPr>
            </w:pPr>
          </w:p>
          <w:p>
            <w:pPr>
              <w:pStyle w:val="TableParagraph"/>
              <w:spacing w:before="1"/>
              <w:ind w:right="95"/>
              <w:jc w:val="right"/>
              <w:rPr>
                <w:rFonts w:ascii="Times New Roman"/>
                <w:sz w:val="21"/>
              </w:rPr>
            </w:pPr>
            <w:r>
              <w:rPr>
                <w:rFonts w:ascii="Times New Roman"/>
                <w:sz w:val="21"/>
              </w:rPr>
              <w:t>-23.44%</w:t>
            </w:r>
          </w:p>
        </w:tc>
        <w:tc>
          <w:tcPr>
            <w:tcW w:w="1152" w:type="dxa"/>
          </w:tcPr>
          <w:p>
            <w:pPr>
              <w:pStyle w:val="TableParagraph"/>
              <w:spacing w:before="8"/>
              <w:rPr>
                <w:sz w:val="20"/>
              </w:rPr>
            </w:pPr>
          </w:p>
          <w:p>
            <w:pPr>
              <w:pStyle w:val="TableParagraph"/>
              <w:spacing w:before="1"/>
              <w:ind w:right="93"/>
              <w:jc w:val="right"/>
              <w:rPr>
                <w:rFonts w:ascii="Times New Roman"/>
                <w:sz w:val="21"/>
              </w:rPr>
            </w:pPr>
            <w:r>
              <w:rPr>
                <w:rFonts w:ascii="Times New Roman"/>
                <w:sz w:val="21"/>
              </w:rPr>
              <w:t>1.24%</w:t>
            </w:r>
          </w:p>
        </w:tc>
        <w:tc>
          <w:tcPr>
            <w:tcW w:w="1440" w:type="dxa"/>
          </w:tcPr>
          <w:p>
            <w:pPr>
              <w:pStyle w:val="TableParagraph"/>
              <w:spacing w:before="8"/>
              <w:rPr>
                <w:sz w:val="20"/>
              </w:rPr>
            </w:pPr>
          </w:p>
          <w:p>
            <w:pPr>
              <w:pStyle w:val="TableParagraph"/>
              <w:spacing w:before="1"/>
              <w:ind w:right="95"/>
              <w:jc w:val="right"/>
              <w:rPr>
                <w:rFonts w:ascii="Times New Roman"/>
                <w:sz w:val="21"/>
              </w:rPr>
            </w:pPr>
            <w:r>
              <w:rPr>
                <w:rFonts w:ascii="Times New Roman"/>
                <w:sz w:val="21"/>
              </w:rPr>
              <w:t>-22.76%</w:t>
            </w:r>
          </w:p>
        </w:tc>
        <w:tc>
          <w:tcPr>
            <w:tcW w:w="1368" w:type="dxa"/>
          </w:tcPr>
          <w:p>
            <w:pPr>
              <w:pStyle w:val="TableParagraph"/>
              <w:spacing w:before="8"/>
              <w:rPr>
                <w:sz w:val="20"/>
              </w:rPr>
            </w:pPr>
          </w:p>
          <w:p>
            <w:pPr>
              <w:pStyle w:val="TableParagraph"/>
              <w:spacing w:before="1"/>
              <w:ind w:right="93"/>
              <w:jc w:val="right"/>
              <w:rPr>
                <w:rFonts w:ascii="Times New Roman"/>
                <w:sz w:val="21"/>
              </w:rPr>
            </w:pPr>
            <w:r>
              <w:rPr>
                <w:rFonts w:ascii="Times New Roman"/>
                <w:sz w:val="21"/>
              </w:rPr>
              <w:t>1.23%</w:t>
            </w:r>
          </w:p>
        </w:tc>
        <w:tc>
          <w:tcPr>
            <w:tcW w:w="1060" w:type="dxa"/>
          </w:tcPr>
          <w:p>
            <w:pPr>
              <w:pStyle w:val="TableParagraph"/>
              <w:spacing w:before="8"/>
              <w:rPr>
                <w:sz w:val="20"/>
              </w:rPr>
            </w:pPr>
          </w:p>
          <w:p>
            <w:pPr>
              <w:pStyle w:val="TableParagraph"/>
              <w:spacing w:before="1"/>
              <w:ind w:right="94"/>
              <w:jc w:val="right"/>
              <w:rPr>
                <w:rFonts w:ascii="Times New Roman"/>
                <w:sz w:val="21"/>
              </w:rPr>
            </w:pPr>
            <w:r>
              <w:rPr>
                <w:rFonts w:ascii="Times New Roman"/>
                <w:sz w:val="21"/>
              </w:rPr>
              <w:t>-0.68%</w:t>
            </w:r>
          </w:p>
        </w:tc>
        <w:tc>
          <w:tcPr>
            <w:tcW w:w="990" w:type="dxa"/>
          </w:tcPr>
          <w:p>
            <w:pPr>
              <w:pStyle w:val="TableParagraph"/>
              <w:spacing w:before="8"/>
              <w:rPr>
                <w:sz w:val="20"/>
              </w:rPr>
            </w:pPr>
          </w:p>
          <w:p>
            <w:pPr>
              <w:pStyle w:val="TableParagraph"/>
              <w:spacing w:before="1"/>
              <w:ind w:right="90"/>
              <w:jc w:val="right"/>
              <w:rPr>
                <w:rFonts w:ascii="Times New Roman"/>
                <w:sz w:val="21"/>
              </w:rPr>
            </w:pPr>
            <w:r>
              <w:rPr>
                <w:rFonts w:ascii="Times New Roman"/>
                <w:sz w:val="21"/>
              </w:rPr>
              <w:t>0.01%</w:t>
            </w:r>
          </w:p>
        </w:tc>
      </w:tr>
      <w:tr>
        <w:trPr>
          <w:trHeight w:val="544" w:hRule="atLeast"/>
        </w:trPr>
        <w:tc>
          <w:tcPr>
            <w:tcW w:w="2089" w:type="dxa"/>
          </w:tcPr>
          <w:p>
            <w:pPr>
              <w:pStyle w:val="TableParagraph"/>
              <w:spacing w:before="1"/>
              <w:ind w:left="177"/>
              <w:rPr>
                <w:sz w:val="21"/>
              </w:rPr>
            </w:pPr>
            <w:r>
              <w:rPr>
                <w:rFonts w:ascii="Times New Roman" w:eastAsia="Times New Roman"/>
                <w:sz w:val="21"/>
              </w:rPr>
              <w:t>2012</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2" w:lineRule="exact" w:before="2"/>
              <w:ind w:left="177"/>
              <w:rPr>
                <w:sz w:val="21"/>
              </w:rPr>
            </w:pPr>
            <w:r>
              <w:rPr>
                <w:rFonts w:ascii="Times New Roman" w:eastAsia="Times New Roman"/>
                <w:sz w:val="21"/>
              </w:rPr>
              <w:t>2012</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9.47%</w:t>
            </w:r>
          </w:p>
        </w:tc>
        <w:tc>
          <w:tcPr>
            <w:tcW w:w="1152"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1.22%</w:t>
            </w:r>
          </w:p>
        </w:tc>
        <w:tc>
          <w:tcPr>
            <w:tcW w:w="1440"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8.18%</w:t>
            </w:r>
          </w:p>
        </w:tc>
        <w:tc>
          <w:tcPr>
            <w:tcW w:w="1368"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1.22%</w:t>
            </w:r>
          </w:p>
        </w:tc>
        <w:tc>
          <w:tcPr>
            <w:tcW w:w="1060" w:type="dxa"/>
          </w:tcPr>
          <w:p>
            <w:pPr>
              <w:pStyle w:val="TableParagraph"/>
              <w:spacing w:before="8"/>
              <w:rPr>
                <w:sz w:val="20"/>
              </w:rPr>
            </w:pPr>
          </w:p>
          <w:p>
            <w:pPr>
              <w:pStyle w:val="TableParagraph"/>
              <w:spacing w:before="0"/>
              <w:ind w:right="91"/>
              <w:jc w:val="right"/>
              <w:rPr>
                <w:rFonts w:ascii="Times New Roman"/>
                <w:sz w:val="21"/>
              </w:rPr>
            </w:pPr>
            <w:r>
              <w:rPr>
                <w:rFonts w:ascii="Times New Roman"/>
                <w:sz w:val="21"/>
              </w:rPr>
              <w:t>1.29%</w:t>
            </w:r>
          </w:p>
        </w:tc>
        <w:tc>
          <w:tcPr>
            <w:tcW w:w="990" w:type="dxa"/>
          </w:tcPr>
          <w:p>
            <w:pPr>
              <w:pStyle w:val="TableParagraph"/>
              <w:spacing w:before="8"/>
              <w:rPr>
                <w:sz w:val="20"/>
              </w:rPr>
            </w:pPr>
          </w:p>
          <w:p>
            <w:pPr>
              <w:pStyle w:val="TableParagraph"/>
              <w:spacing w:before="0"/>
              <w:ind w:right="90"/>
              <w:jc w:val="right"/>
              <w:rPr>
                <w:rFonts w:ascii="Times New Roman"/>
                <w:sz w:val="21"/>
              </w:rPr>
            </w:pPr>
            <w:r>
              <w:rPr>
                <w:rFonts w:ascii="Times New Roman"/>
                <w:sz w:val="21"/>
              </w:rPr>
              <w:t>0.00%</w:t>
            </w:r>
          </w:p>
        </w:tc>
      </w:tr>
      <w:tr>
        <w:trPr>
          <w:trHeight w:val="544" w:hRule="atLeast"/>
        </w:trPr>
        <w:tc>
          <w:tcPr>
            <w:tcW w:w="2089" w:type="dxa"/>
          </w:tcPr>
          <w:p>
            <w:pPr>
              <w:pStyle w:val="TableParagraph"/>
              <w:spacing w:before="1"/>
              <w:ind w:left="177"/>
              <w:rPr>
                <w:sz w:val="21"/>
              </w:rPr>
            </w:pPr>
            <w:r>
              <w:rPr>
                <w:rFonts w:ascii="Times New Roman" w:eastAsia="Times New Roman"/>
                <w:sz w:val="21"/>
              </w:rPr>
              <w:t>2013</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2" w:lineRule="exact" w:before="2"/>
              <w:ind w:left="177"/>
              <w:rPr>
                <w:sz w:val="21"/>
              </w:rPr>
            </w:pPr>
            <w:r>
              <w:rPr>
                <w:rFonts w:ascii="Times New Roman" w:eastAsia="Times New Roman"/>
                <w:sz w:val="21"/>
              </w:rPr>
              <w:t>2013</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8"/>
              <w:rPr>
                <w:sz w:val="20"/>
              </w:rPr>
            </w:pPr>
          </w:p>
          <w:p>
            <w:pPr>
              <w:pStyle w:val="TableParagraph"/>
              <w:spacing w:before="0"/>
              <w:ind w:right="95"/>
              <w:jc w:val="right"/>
              <w:rPr>
                <w:rFonts w:ascii="Times New Roman"/>
                <w:sz w:val="21"/>
              </w:rPr>
            </w:pPr>
            <w:r>
              <w:rPr>
                <w:rFonts w:ascii="Times New Roman"/>
                <w:sz w:val="21"/>
              </w:rPr>
              <w:t>-5.00%</w:t>
            </w:r>
          </w:p>
        </w:tc>
        <w:tc>
          <w:tcPr>
            <w:tcW w:w="1152"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1.33%</w:t>
            </w:r>
          </w:p>
        </w:tc>
        <w:tc>
          <w:tcPr>
            <w:tcW w:w="1440" w:type="dxa"/>
          </w:tcPr>
          <w:p>
            <w:pPr>
              <w:pStyle w:val="TableParagraph"/>
              <w:spacing w:before="8"/>
              <w:rPr>
                <w:sz w:val="20"/>
              </w:rPr>
            </w:pPr>
          </w:p>
          <w:p>
            <w:pPr>
              <w:pStyle w:val="TableParagraph"/>
              <w:spacing w:before="0"/>
              <w:ind w:right="95"/>
              <w:jc w:val="right"/>
              <w:rPr>
                <w:rFonts w:ascii="Times New Roman"/>
                <w:sz w:val="21"/>
              </w:rPr>
            </w:pPr>
            <w:r>
              <w:rPr>
                <w:rFonts w:ascii="Times New Roman"/>
                <w:sz w:val="21"/>
              </w:rPr>
              <w:t>-6.26%</w:t>
            </w:r>
          </w:p>
        </w:tc>
        <w:tc>
          <w:tcPr>
            <w:tcW w:w="1368"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1.32%</w:t>
            </w:r>
          </w:p>
        </w:tc>
        <w:tc>
          <w:tcPr>
            <w:tcW w:w="1060" w:type="dxa"/>
          </w:tcPr>
          <w:p>
            <w:pPr>
              <w:pStyle w:val="TableParagraph"/>
              <w:spacing w:before="8"/>
              <w:rPr>
                <w:sz w:val="20"/>
              </w:rPr>
            </w:pPr>
          </w:p>
          <w:p>
            <w:pPr>
              <w:pStyle w:val="TableParagraph"/>
              <w:spacing w:before="0"/>
              <w:ind w:right="91"/>
              <w:jc w:val="right"/>
              <w:rPr>
                <w:rFonts w:ascii="Times New Roman"/>
                <w:sz w:val="21"/>
              </w:rPr>
            </w:pPr>
            <w:r>
              <w:rPr>
                <w:rFonts w:ascii="Times New Roman"/>
                <w:sz w:val="21"/>
              </w:rPr>
              <w:t>1.26%</w:t>
            </w:r>
          </w:p>
        </w:tc>
        <w:tc>
          <w:tcPr>
            <w:tcW w:w="990" w:type="dxa"/>
          </w:tcPr>
          <w:p>
            <w:pPr>
              <w:pStyle w:val="TableParagraph"/>
              <w:spacing w:before="8"/>
              <w:rPr>
                <w:sz w:val="20"/>
              </w:rPr>
            </w:pPr>
          </w:p>
          <w:p>
            <w:pPr>
              <w:pStyle w:val="TableParagraph"/>
              <w:spacing w:before="0"/>
              <w:ind w:right="90"/>
              <w:jc w:val="right"/>
              <w:rPr>
                <w:rFonts w:ascii="Times New Roman"/>
                <w:sz w:val="21"/>
              </w:rPr>
            </w:pPr>
            <w:r>
              <w:rPr>
                <w:rFonts w:ascii="Times New Roman"/>
                <w:sz w:val="21"/>
              </w:rPr>
              <w:t>0.01%</w:t>
            </w:r>
          </w:p>
        </w:tc>
      </w:tr>
      <w:tr>
        <w:trPr>
          <w:trHeight w:val="544" w:hRule="atLeast"/>
        </w:trPr>
        <w:tc>
          <w:tcPr>
            <w:tcW w:w="2089" w:type="dxa"/>
          </w:tcPr>
          <w:p>
            <w:pPr>
              <w:pStyle w:val="TableParagraph"/>
              <w:spacing w:before="1"/>
              <w:ind w:left="177"/>
              <w:rPr>
                <w:sz w:val="21"/>
              </w:rPr>
            </w:pPr>
            <w:r>
              <w:rPr>
                <w:rFonts w:ascii="Times New Roman" w:eastAsia="Times New Roman"/>
                <w:sz w:val="21"/>
              </w:rPr>
              <w:t>2014</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0" w:lineRule="exact" w:before="4"/>
              <w:ind w:left="177"/>
              <w:rPr>
                <w:sz w:val="21"/>
              </w:rPr>
            </w:pPr>
            <w:r>
              <w:rPr>
                <w:rFonts w:ascii="Times New Roman" w:eastAsia="Times New Roman"/>
                <w:sz w:val="21"/>
              </w:rPr>
              <w:t>2014</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50.64%</w:t>
            </w:r>
          </w:p>
        </w:tc>
        <w:tc>
          <w:tcPr>
            <w:tcW w:w="1152"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1.13%</w:t>
            </w:r>
          </w:p>
        </w:tc>
        <w:tc>
          <w:tcPr>
            <w:tcW w:w="1440"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50.08%</w:t>
            </w:r>
          </w:p>
        </w:tc>
        <w:tc>
          <w:tcPr>
            <w:tcW w:w="1368" w:type="dxa"/>
          </w:tcPr>
          <w:p>
            <w:pPr>
              <w:pStyle w:val="TableParagraph"/>
              <w:spacing w:before="8"/>
              <w:rPr>
                <w:sz w:val="20"/>
              </w:rPr>
            </w:pPr>
          </w:p>
          <w:p>
            <w:pPr>
              <w:pStyle w:val="TableParagraph"/>
              <w:spacing w:before="0"/>
              <w:ind w:right="93"/>
              <w:jc w:val="right"/>
              <w:rPr>
                <w:rFonts w:ascii="Times New Roman"/>
                <w:sz w:val="21"/>
              </w:rPr>
            </w:pPr>
            <w:r>
              <w:rPr>
                <w:rFonts w:ascii="Times New Roman"/>
                <w:sz w:val="21"/>
              </w:rPr>
              <w:t>1.15%</w:t>
            </w:r>
          </w:p>
        </w:tc>
        <w:tc>
          <w:tcPr>
            <w:tcW w:w="1060" w:type="dxa"/>
          </w:tcPr>
          <w:p>
            <w:pPr>
              <w:pStyle w:val="TableParagraph"/>
              <w:spacing w:before="8"/>
              <w:rPr>
                <w:sz w:val="20"/>
              </w:rPr>
            </w:pPr>
          </w:p>
          <w:p>
            <w:pPr>
              <w:pStyle w:val="TableParagraph"/>
              <w:spacing w:before="0"/>
              <w:ind w:right="91"/>
              <w:jc w:val="right"/>
              <w:rPr>
                <w:rFonts w:ascii="Times New Roman"/>
                <w:sz w:val="21"/>
              </w:rPr>
            </w:pPr>
            <w:r>
              <w:rPr>
                <w:rFonts w:ascii="Times New Roman"/>
                <w:sz w:val="21"/>
              </w:rPr>
              <w:t>0.56%</w:t>
            </w:r>
          </w:p>
        </w:tc>
        <w:tc>
          <w:tcPr>
            <w:tcW w:w="990" w:type="dxa"/>
          </w:tcPr>
          <w:p>
            <w:pPr>
              <w:pStyle w:val="TableParagraph"/>
              <w:spacing w:before="8"/>
              <w:rPr>
                <w:sz w:val="20"/>
              </w:rPr>
            </w:pPr>
          </w:p>
          <w:p>
            <w:pPr>
              <w:pStyle w:val="TableParagraph"/>
              <w:spacing w:before="0"/>
              <w:ind w:right="92"/>
              <w:jc w:val="right"/>
              <w:rPr>
                <w:rFonts w:ascii="Times New Roman"/>
                <w:sz w:val="21"/>
              </w:rPr>
            </w:pPr>
            <w:r>
              <w:rPr>
                <w:rFonts w:ascii="Times New Roman"/>
                <w:sz w:val="21"/>
              </w:rPr>
              <w:t>-0.02%</w:t>
            </w:r>
          </w:p>
        </w:tc>
      </w:tr>
      <w:tr>
        <w:trPr>
          <w:trHeight w:val="544" w:hRule="atLeast"/>
        </w:trPr>
        <w:tc>
          <w:tcPr>
            <w:tcW w:w="2089" w:type="dxa"/>
          </w:tcPr>
          <w:p>
            <w:pPr>
              <w:pStyle w:val="TableParagraph"/>
              <w:spacing w:before="1"/>
              <w:ind w:left="177"/>
              <w:rPr>
                <w:sz w:val="21"/>
              </w:rPr>
            </w:pPr>
            <w:r>
              <w:rPr>
                <w:rFonts w:ascii="Times New Roman" w:eastAsia="Times New Roman"/>
                <w:sz w:val="21"/>
              </w:rPr>
              <w:t>2015</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0" w:lineRule="exact" w:before="4"/>
              <w:ind w:left="177"/>
              <w:rPr>
                <w:sz w:val="21"/>
              </w:rPr>
            </w:pPr>
            <w:r>
              <w:rPr>
                <w:rFonts w:ascii="Times New Roman" w:eastAsia="Times New Roman"/>
                <w:sz w:val="21"/>
              </w:rPr>
              <w:t>2015</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1"/>
              <w:ind w:right="93"/>
              <w:jc w:val="right"/>
              <w:rPr>
                <w:rFonts w:ascii="Times New Roman"/>
                <w:sz w:val="21"/>
              </w:rPr>
            </w:pPr>
            <w:r>
              <w:rPr>
                <w:rFonts w:ascii="Times New Roman"/>
                <w:sz w:val="21"/>
              </w:rPr>
              <w:t>8.88%</w:t>
            </w:r>
          </w:p>
        </w:tc>
        <w:tc>
          <w:tcPr>
            <w:tcW w:w="1152" w:type="dxa"/>
          </w:tcPr>
          <w:p>
            <w:pPr>
              <w:pStyle w:val="TableParagraph"/>
              <w:spacing w:before="151"/>
              <w:ind w:right="93"/>
              <w:jc w:val="right"/>
              <w:rPr>
                <w:rFonts w:ascii="Times New Roman"/>
                <w:sz w:val="21"/>
              </w:rPr>
            </w:pPr>
            <w:r>
              <w:rPr>
                <w:rFonts w:ascii="Times New Roman"/>
                <w:sz w:val="21"/>
              </w:rPr>
              <w:t>2.37%</w:t>
            </w:r>
          </w:p>
        </w:tc>
        <w:tc>
          <w:tcPr>
            <w:tcW w:w="1440" w:type="dxa"/>
          </w:tcPr>
          <w:p>
            <w:pPr>
              <w:pStyle w:val="TableParagraph"/>
              <w:spacing w:before="151"/>
              <w:ind w:right="93"/>
              <w:jc w:val="right"/>
              <w:rPr>
                <w:rFonts w:ascii="Times New Roman"/>
                <w:sz w:val="21"/>
              </w:rPr>
            </w:pPr>
            <w:r>
              <w:rPr>
                <w:rFonts w:ascii="Times New Roman"/>
                <w:sz w:val="21"/>
              </w:rPr>
              <w:t>6.30%</w:t>
            </w:r>
          </w:p>
        </w:tc>
        <w:tc>
          <w:tcPr>
            <w:tcW w:w="1368" w:type="dxa"/>
          </w:tcPr>
          <w:p>
            <w:pPr>
              <w:pStyle w:val="TableParagraph"/>
              <w:spacing w:before="151"/>
              <w:ind w:right="93"/>
              <w:jc w:val="right"/>
              <w:rPr>
                <w:rFonts w:ascii="Times New Roman"/>
                <w:sz w:val="21"/>
              </w:rPr>
            </w:pPr>
            <w:r>
              <w:rPr>
                <w:rFonts w:ascii="Times New Roman"/>
                <w:sz w:val="21"/>
              </w:rPr>
              <w:t>2.36%</w:t>
            </w:r>
          </w:p>
        </w:tc>
        <w:tc>
          <w:tcPr>
            <w:tcW w:w="1060" w:type="dxa"/>
          </w:tcPr>
          <w:p>
            <w:pPr>
              <w:pStyle w:val="TableParagraph"/>
              <w:spacing w:before="151"/>
              <w:ind w:right="91"/>
              <w:jc w:val="right"/>
              <w:rPr>
                <w:rFonts w:ascii="Times New Roman"/>
                <w:sz w:val="21"/>
              </w:rPr>
            </w:pPr>
            <w:r>
              <w:rPr>
                <w:rFonts w:ascii="Times New Roman"/>
                <w:sz w:val="21"/>
              </w:rPr>
              <w:t>2.58%</w:t>
            </w:r>
          </w:p>
        </w:tc>
        <w:tc>
          <w:tcPr>
            <w:tcW w:w="990" w:type="dxa"/>
          </w:tcPr>
          <w:p>
            <w:pPr>
              <w:pStyle w:val="TableParagraph"/>
              <w:spacing w:before="151"/>
              <w:ind w:right="90"/>
              <w:jc w:val="right"/>
              <w:rPr>
                <w:rFonts w:ascii="Times New Roman"/>
                <w:sz w:val="21"/>
              </w:rPr>
            </w:pPr>
            <w:r>
              <w:rPr>
                <w:rFonts w:ascii="Times New Roman"/>
                <w:sz w:val="21"/>
              </w:rPr>
              <w:t>0.01%</w:t>
            </w:r>
          </w:p>
        </w:tc>
      </w:tr>
      <w:tr>
        <w:trPr>
          <w:trHeight w:val="544" w:hRule="atLeast"/>
        </w:trPr>
        <w:tc>
          <w:tcPr>
            <w:tcW w:w="2089" w:type="dxa"/>
          </w:tcPr>
          <w:p>
            <w:pPr>
              <w:pStyle w:val="TableParagraph"/>
              <w:spacing w:before="1"/>
              <w:ind w:left="177"/>
              <w:rPr>
                <w:sz w:val="21"/>
              </w:rPr>
            </w:pPr>
            <w:r>
              <w:rPr>
                <w:rFonts w:ascii="Times New Roman" w:eastAsia="Times New Roman"/>
                <w:sz w:val="21"/>
              </w:rPr>
              <w:t>2016</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0" w:lineRule="exact" w:before="4"/>
              <w:ind w:left="177"/>
              <w:rPr>
                <w:sz w:val="21"/>
              </w:rPr>
            </w:pPr>
            <w:r>
              <w:rPr>
                <w:rFonts w:ascii="Times New Roman" w:eastAsia="Times New Roman"/>
                <w:sz w:val="21"/>
              </w:rPr>
              <w:t>2016</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1"/>
              <w:ind w:right="95"/>
              <w:jc w:val="right"/>
              <w:rPr>
                <w:rFonts w:ascii="Times New Roman"/>
                <w:sz w:val="21"/>
              </w:rPr>
            </w:pPr>
            <w:r>
              <w:rPr>
                <w:rFonts w:ascii="Times New Roman"/>
                <w:sz w:val="21"/>
              </w:rPr>
              <w:t>-7.98%</w:t>
            </w:r>
          </w:p>
        </w:tc>
        <w:tc>
          <w:tcPr>
            <w:tcW w:w="1152" w:type="dxa"/>
          </w:tcPr>
          <w:p>
            <w:pPr>
              <w:pStyle w:val="TableParagraph"/>
              <w:spacing w:before="151"/>
              <w:ind w:right="93"/>
              <w:jc w:val="right"/>
              <w:rPr>
                <w:rFonts w:ascii="Times New Roman"/>
                <w:sz w:val="21"/>
              </w:rPr>
            </w:pPr>
            <w:r>
              <w:rPr>
                <w:rFonts w:ascii="Times New Roman"/>
                <w:sz w:val="21"/>
              </w:rPr>
              <w:t>1.31%</w:t>
            </w:r>
          </w:p>
        </w:tc>
        <w:tc>
          <w:tcPr>
            <w:tcW w:w="1440" w:type="dxa"/>
          </w:tcPr>
          <w:p>
            <w:pPr>
              <w:pStyle w:val="TableParagraph"/>
              <w:spacing w:before="151"/>
              <w:ind w:right="95"/>
              <w:jc w:val="right"/>
              <w:rPr>
                <w:rFonts w:ascii="Times New Roman"/>
                <w:sz w:val="21"/>
              </w:rPr>
            </w:pPr>
            <w:r>
              <w:rPr>
                <w:rFonts w:ascii="Times New Roman"/>
                <w:sz w:val="21"/>
              </w:rPr>
              <w:t>-9.72%</w:t>
            </w:r>
          </w:p>
        </w:tc>
        <w:tc>
          <w:tcPr>
            <w:tcW w:w="1368" w:type="dxa"/>
          </w:tcPr>
          <w:p>
            <w:pPr>
              <w:pStyle w:val="TableParagraph"/>
              <w:spacing w:before="151"/>
              <w:ind w:right="93"/>
              <w:jc w:val="right"/>
              <w:rPr>
                <w:rFonts w:ascii="Times New Roman"/>
                <w:sz w:val="21"/>
              </w:rPr>
            </w:pPr>
            <w:r>
              <w:rPr>
                <w:rFonts w:ascii="Times New Roman"/>
                <w:sz w:val="21"/>
              </w:rPr>
              <w:t>1.33%</w:t>
            </w:r>
          </w:p>
        </w:tc>
        <w:tc>
          <w:tcPr>
            <w:tcW w:w="1060" w:type="dxa"/>
          </w:tcPr>
          <w:p>
            <w:pPr>
              <w:pStyle w:val="TableParagraph"/>
              <w:spacing w:before="151"/>
              <w:ind w:right="91"/>
              <w:jc w:val="right"/>
              <w:rPr>
                <w:rFonts w:ascii="Times New Roman"/>
                <w:sz w:val="21"/>
              </w:rPr>
            </w:pPr>
            <w:r>
              <w:rPr>
                <w:rFonts w:ascii="Times New Roman"/>
                <w:sz w:val="21"/>
              </w:rPr>
              <w:t>1.74%</w:t>
            </w:r>
          </w:p>
        </w:tc>
        <w:tc>
          <w:tcPr>
            <w:tcW w:w="990" w:type="dxa"/>
          </w:tcPr>
          <w:p>
            <w:pPr>
              <w:pStyle w:val="TableParagraph"/>
              <w:spacing w:before="151"/>
              <w:ind w:right="92"/>
              <w:jc w:val="right"/>
              <w:rPr>
                <w:rFonts w:ascii="Times New Roman"/>
                <w:sz w:val="21"/>
              </w:rPr>
            </w:pPr>
            <w:r>
              <w:rPr>
                <w:rFonts w:ascii="Times New Roman"/>
                <w:sz w:val="21"/>
              </w:rPr>
              <w:t>-0.02%</w:t>
            </w:r>
          </w:p>
        </w:tc>
      </w:tr>
      <w:tr>
        <w:trPr>
          <w:trHeight w:val="547" w:hRule="atLeast"/>
        </w:trPr>
        <w:tc>
          <w:tcPr>
            <w:tcW w:w="2089" w:type="dxa"/>
          </w:tcPr>
          <w:p>
            <w:pPr>
              <w:pStyle w:val="TableParagraph"/>
              <w:spacing w:before="1"/>
              <w:ind w:left="177"/>
              <w:rPr>
                <w:sz w:val="21"/>
              </w:rPr>
            </w:pPr>
            <w:r>
              <w:rPr>
                <w:rFonts w:ascii="Times New Roman" w:eastAsia="Times New Roman"/>
                <w:sz w:val="21"/>
              </w:rPr>
              <w:t>2017</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2" w:lineRule="exact" w:before="5"/>
              <w:ind w:left="177"/>
              <w:rPr>
                <w:sz w:val="21"/>
              </w:rPr>
            </w:pPr>
            <w:r>
              <w:rPr>
                <w:rFonts w:ascii="Times New Roman" w:eastAsia="Times New Roman"/>
                <w:sz w:val="21"/>
              </w:rPr>
              <w:t>2017</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2"/>
              <w:ind w:right="93"/>
              <w:jc w:val="right"/>
              <w:rPr>
                <w:rFonts w:ascii="Times New Roman"/>
                <w:sz w:val="21"/>
              </w:rPr>
            </w:pPr>
            <w:r>
              <w:rPr>
                <w:rFonts w:ascii="Times New Roman"/>
                <w:sz w:val="21"/>
              </w:rPr>
              <w:t>22.62%</w:t>
            </w:r>
          </w:p>
        </w:tc>
        <w:tc>
          <w:tcPr>
            <w:tcW w:w="1152" w:type="dxa"/>
          </w:tcPr>
          <w:p>
            <w:pPr>
              <w:pStyle w:val="TableParagraph"/>
              <w:spacing w:before="152"/>
              <w:ind w:right="93"/>
              <w:jc w:val="right"/>
              <w:rPr>
                <w:rFonts w:ascii="Times New Roman"/>
                <w:sz w:val="21"/>
              </w:rPr>
            </w:pPr>
            <w:r>
              <w:rPr>
                <w:rFonts w:ascii="Times New Roman"/>
                <w:sz w:val="21"/>
              </w:rPr>
              <w:t>0.60%</w:t>
            </w:r>
          </w:p>
        </w:tc>
        <w:tc>
          <w:tcPr>
            <w:tcW w:w="1440" w:type="dxa"/>
          </w:tcPr>
          <w:p>
            <w:pPr>
              <w:pStyle w:val="TableParagraph"/>
              <w:spacing w:before="152"/>
              <w:ind w:right="93"/>
              <w:jc w:val="right"/>
              <w:rPr>
                <w:rFonts w:ascii="Times New Roman"/>
                <w:sz w:val="21"/>
              </w:rPr>
            </w:pPr>
            <w:r>
              <w:rPr>
                <w:rFonts w:ascii="Times New Roman"/>
                <w:sz w:val="21"/>
              </w:rPr>
              <w:t>21.69%</w:t>
            </w:r>
          </w:p>
        </w:tc>
        <w:tc>
          <w:tcPr>
            <w:tcW w:w="1368" w:type="dxa"/>
          </w:tcPr>
          <w:p>
            <w:pPr>
              <w:pStyle w:val="TableParagraph"/>
              <w:spacing w:before="152"/>
              <w:ind w:right="93"/>
              <w:jc w:val="right"/>
              <w:rPr>
                <w:rFonts w:ascii="Times New Roman"/>
                <w:sz w:val="21"/>
              </w:rPr>
            </w:pPr>
            <w:r>
              <w:rPr>
                <w:rFonts w:ascii="Times New Roman"/>
                <w:sz w:val="21"/>
              </w:rPr>
              <w:t>0.61%</w:t>
            </w:r>
          </w:p>
        </w:tc>
        <w:tc>
          <w:tcPr>
            <w:tcW w:w="1060" w:type="dxa"/>
          </w:tcPr>
          <w:p>
            <w:pPr>
              <w:pStyle w:val="TableParagraph"/>
              <w:spacing w:before="152"/>
              <w:ind w:right="91"/>
              <w:jc w:val="right"/>
              <w:rPr>
                <w:rFonts w:ascii="Times New Roman"/>
                <w:sz w:val="21"/>
              </w:rPr>
            </w:pPr>
            <w:r>
              <w:rPr>
                <w:rFonts w:ascii="Times New Roman"/>
                <w:sz w:val="21"/>
              </w:rPr>
              <w:t>0.93%</w:t>
            </w:r>
          </w:p>
        </w:tc>
        <w:tc>
          <w:tcPr>
            <w:tcW w:w="990" w:type="dxa"/>
          </w:tcPr>
          <w:p>
            <w:pPr>
              <w:pStyle w:val="TableParagraph"/>
              <w:spacing w:before="152"/>
              <w:ind w:right="92"/>
              <w:jc w:val="right"/>
              <w:rPr>
                <w:rFonts w:ascii="Times New Roman"/>
                <w:sz w:val="21"/>
              </w:rPr>
            </w:pPr>
            <w:r>
              <w:rPr>
                <w:rFonts w:ascii="Times New Roman"/>
                <w:sz w:val="21"/>
              </w:rPr>
              <w:t>-0.01%</w:t>
            </w:r>
          </w:p>
        </w:tc>
      </w:tr>
    </w:tbl>
    <w:p>
      <w:pPr>
        <w:spacing w:after="0"/>
        <w:jc w:val="right"/>
        <w:rPr>
          <w:rFonts w:ascii="Times New Roman"/>
          <w:sz w:val="21"/>
        </w:rPr>
        <w:sectPr>
          <w:pgSz w:w="11910" w:h="16840"/>
          <w:pgMar w:header="701" w:footer="683" w:top="1420" w:bottom="880" w:left="1500" w:right="920"/>
        </w:sect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9"/>
        <w:gridCol w:w="1080"/>
        <w:gridCol w:w="1152"/>
        <w:gridCol w:w="1440"/>
        <w:gridCol w:w="1368"/>
        <w:gridCol w:w="1060"/>
        <w:gridCol w:w="990"/>
      </w:tblGrid>
      <w:tr>
        <w:trPr>
          <w:trHeight w:val="544" w:hRule="atLeast"/>
        </w:trPr>
        <w:tc>
          <w:tcPr>
            <w:tcW w:w="2089" w:type="dxa"/>
          </w:tcPr>
          <w:p>
            <w:pPr>
              <w:pStyle w:val="TableParagraph"/>
              <w:spacing w:before="1"/>
              <w:ind w:left="177"/>
              <w:rPr>
                <w:sz w:val="21"/>
              </w:rPr>
            </w:pPr>
            <w:r>
              <w:rPr>
                <w:rFonts w:ascii="Times New Roman" w:eastAsia="Times New Roman"/>
                <w:sz w:val="21"/>
              </w:rPr>
              <w:t>2018</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0" w:lineRule="exact" w:before="5"/>
              <w:ind w:left="177"/>
              <w:rPr>
                <w:sz w:val="21"/>
              </w:rPr>
            </w:pPr>
            <w:r>
              <w:rPr>
                <w:rFonts w:ascii="Times New Roman" w:eastAsia="Times New Roman"/>
                <w:sz w:val="21"/>
              </w:rPr>
              <w:t>2018</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2"/>
              <w:ind w:right="95"/>
              <w:jc w:val="right"/>
              <w:rPr>
                <w:rFonts w:ascii="Times New Roman"/>
                <w:sz w:val="21"/>
              </w:rPr>
            </w:pPr>
            <w:r>
              <w:rPr>
                <w:rFonts w:ascii="Times New Roman"/>
                <w:sz w:val="21"/>
              </w:rPr>
              <w:t>-22.60%</w:t>
            </w:r>
          </w:p>
        </w:tc>
        <w:tc>
          <w:tcPr>
            <w:tcW w:w="1152" w:type="dxa"/>
          </w:tcPr>
          <w:p>
            <w:pPr>
              <w:pStyle w:val="TableParagraph"/>
              <w:spacing w:before="152"/>
              <w:ind w:right="93"/>
              <w:jc w:val="right"/>
              <w:rPr>
                <w:rFonts w:ascii="Times New Roman"/>
                <w:sz w:val="21"/>
              </w:rPr>
            </w:pPr>
            <w:r>
              <w:rPr>
                <w:rFonts w:ascii="Times New Roman"/>
                <w:sz w:val="21"/>
              </w:rPr>
              <w:t>1.27%</w:t>
            </w:r>
          </w:p>
        </w:tc>
        <w:tc>
          <w:tcPr>
            <w:tcW w:w="1440" w:type="dxa"/>
          </w:tcPr>
          <w:p>
            <w:pPr>
              <w:pStyle w:val="TableParagraph"/>
              <w:spacing w:before="152"/>
              <w:ind w:right="95"/>
              <w:jc w:val="right"/>
              <w:rPr>
                <w:rFonts w:ascii="Times New Roman"/>
                <w:sz w:val="21"/>
              </w:rPr>
            </w:pPr>
            <w:r>
              <w:rPr>
                <w:rFonts w:ascii="Times New Roman"/>
                <w:sz w:val="21"/>
              </w:rPr>
              <w:t>-23.04%</w:t>
            </w:r>
          </w:p>
        </w:tc>
        <w:tc>
          <w:tcPr>
            <w:tcW w:w="1368" w:type="dxa"/>
          </w:tcPr>
          <w:p>
            <w:pPr>
              <w:pStyle w:val="TableParagraph"/>
              <w:spacing w:before="152"/>
              <w:ind w:right="93"/>
              <w:jc w:val="right"/>
              <w:rPr>
                <w:rFonts w:ascii="Times New Roman"/>
                <w:sz w:val="21"/>
              </w:rPr>
            </w:pPr>
            <w:r>
              <w:rPr>
                <w:rFonts w:ascii="Times New Roman"/>
                <w:sz w:val="21"/>
              </w:rPr>
              <w:t>1.27%</w:t>
            </w:r>
          </w:p>
        </w:tc>
        <w:tc>
          <w:tcPr>
            <w:tcW w:w="1060" w:type="dxa"/>
          </w:tcPr>
          <w:p>
            <w:pPr>
              <w:pStyle w:val="TableParagraph"/>
              <w:spacing w:before="152"/>
              <w:ind w:right="91"/>
              <w:jc w:val="right"/>
              <w:rPr>
                <w:rFonts w:ascii="Times New Roman"/>
                <w:sz w:val="21"/>
              </w:rPr>
            </w:pPr>
            <w:r>
              <w:rPr>
                <w:rFonts w:ascii="Times New Roman"/>
                <w:sz w:val="21"/>
              </w:rPr>
              <w:t>0.44%</w:t>
            </w:r>
          </w:p>
        </w:tc>
        <w:tc>
          <w:tcPr>
            <w:tcW w:w="990" w:type="dxa"/>
          </w:tcPr>
          <w:p>
            <w:pPr>
              <w:pStyle w:val="TableParagraph"/>
              <w:spacing w:before="152"/>
              <w:ind w:right="90"/>
              <w:jc w:val="right"/>
              <w:rPr>
                <w:rFonts w:ascii="Times New Roman"/>
                <w:sz w:val="21"/>
              </w:rPr>
            </w:pPr>
            <w:r>
              <w:rPr>
                <w:rFonts w:ascii="Times New Roman"/>
                <w:sz w:val="21"/>
              </w:rPr>
              <w:t>0.00%</w:t>
            </w:r>
          </w:p>
        </w:tc>
      </w:tr>
      <w:tr>
        <w:trPr>
          <w:trHeight w:val="544" w:hRule="atLeast"/>
        </w:trPr>
        <w:tc>
          <w:tcPr>
            <w:tcW w:w="2089" w:type="dxa"/>
          </w:tcPr>
          <w:p>
            <w:pPr>
              <w:pStyle w:val="TableParagraph"/>
              <w:spacing w:before="1"/>
              <w:ind w:left="177"/>
              <w:rPr>
                <w:sz w:val="21"/>
              </w:rPr>
            </w:pPr>
            <w:r>
              <w:rPr>
                <w:rFonts w:ascii="Times New Roman" w:eastAsia="Times New Roman"/>
                <w:sz w:val="21"/>
              </w:rPr>
              <w:t>2019</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0" w:lineRule="exact" w:before="4"/>
              <w:ind w:left="177"/>
              <w:rPr>
                <w:sz w:val="21"/>
              </w:rPr>
            </w:pPr>
            <w:r>
              <w:rPr>
                <w:rFonts w:ascii="Times New Roman" w:eastAsia="Times New Roman"/>
                <w:sz w:val="21"/>
              </w:rPr>
              <w:t>2019</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1"/>
              <w:ind w:right="93"/>
              <w:jc w:val="right"/>
              <w:rPr>
                <w:rFonts w:ascii="Times New Roman"/>
                <w:sz w:val="21"/>
              </w:rPr>
            </w:pPr>
            <w:r>
              <w:rPr>
                <w:rFonts w:ascii="Times New Roman"/>
                <w:sz w:val="21"/>
              </w:rPr>
              <w:t>35.85%</w:t>
            </w:r>
          </w:p>
        </w:tc>
        <w:tc>
          <w:tcPr>
            <w:tcW w:w="1152" w:type="dxa"/>
          </w:tcPr>
          <w:p>
            <w:pPr>
              <w:pStyle w:val="TableParagraph"/>
              <w:spacing w:before="151"/>
              <w:ind w:right="93"/>
              <w:jc w:val="right"/>
              <w:rPr>
                <w:rFonts w:ascii="Times New Roman"/>
                <w:sz w:val="21"/>
              </w:rPr>
            </w:pPr>
            <w:r>
              <w:rPr>
                <w:rFonts w:ascii="Times New Roman"/>
                <w:sz w:val="21"/>
              </w:rPr>
              <w:t>1.18%</w:t>
            </w:r>
          </w:p>
        </w:tc>
        <w:tc>
          <w:tcPr>
            <w:tcW w:w="1440" w:type="dxa"/>
          </w:tcPr>
          <w:p>
            <w:pPr>
              <w:pStyle w:val="TableParagraph"/>
              <w:spacing w:before="151"/>
              <w:ind w:right="93"/>
              <w:jc w:val="right"/>
              <w:rPr>
                <w:rFonts w:ascii="Times New Roman"/>
                <w:sz w:val="21"/>
              </w:rPr>
            </w:pPr>
            <w:r>
              <w:rPr>
                <w:rFonts w:ascii="Times New Roman"/>
                <w:sz w:val="21"/>
              </w:rPr>
              <w:t>35.27%</w:t>
            </w:r>
          </w:p>
        </w:tc>
        <w:tc>
          <w:tcPr>
            <w:tcW w:w="1368" w:type="dxa"/>
          </w:tcPr>
          <w:p>
            <w:pPr>
              <w:pStyle w:val="TableParagraph"/>
              <w:spacing w:before="151"/>
              <w:ind w:right="93"/>
              <w:jc w:val="right"/>
              <w:rPr>
                <w:rFonts w:ascii="Times New Roman"/>
                <w:sz w:val="21"/>
              </w:rPr>
            </w:pPr>
            <w:r>
              <w:rPr>
                <w:rFonts w:ascii="Times New Roman"/>
                <w:sz w:val="21"/>
              </w:rPr>
              <w:t>1.18%</w:t>
            </w:r>
          </w:p>
        </w:tc>
        <w:tc>
          <w:tcPr>
            <w:tcW w:w="1060" w:type="dxa"/>
          </w:tcPr>
          <w:p>
            <w:pPr>
              <w:pStyle w:val="TableParagraph"/>
              <w:spacing w:before="151"/>
              <w:ind w:right="91"/>
              <w:jc w:val="right"/>
              <w:rPr>
                <w:rFonts w:ascii="Times New Roman"/>
                <w:sz w:val="21"/>
              </w:rPr>
            </w:pPr>
            <w:r>
              <w:rPr>
                <w:rFonts w:ascii="Times New Roman"/>
                <w:sz w:val="21"/>
              </w:rPr>
              <w:t>0.58%</w:t>
            </w:r>
          </w:p>
        </w:tc>
        <w:tc>
          <w:tcPr>
            <w:tcW w:w="990" w:type="dxa"/>
          </w:tcPr>
          <w:p>
            <w:pPr>
              <w:pStyle w:val="TableParagraph"/>
              <w:spacing w:before="151"/>
              <w:ind w:right="90"/>
              <w:jc w:val="right"/>
              <w:rPr>
                <w:rFonts w:ascii="Times New Roman"/>
                <w:sz w:val="21"/>
              </w:rPr>
            </w:pPr>
            <w:r>
              <w:rPr>
                <w:rFonts w:ascii="Times New Roman"/>
                <w:sz w:val="21"/>
              </w:rPr>
              <w:t>0.00%</w:t>
            </w:r>
          </w:p>
        </w:tc>
      </w:tr>
      <w:tr>
        <w:trPr>
          <w:trHeight w:val="546" w:hRule="atLeast"/>
        </w:trPr>
        <w:tc>
          <w:tcPr>
            <w:tcW w:w="2089" w:type="dxa"/>
          </w:tcPr>
          <w:p>
            <w:pPr>
              <w:pStyle w:val="TableParagraph"/>
              <w:spacing w:before="1"/>
              <w:ind w:left="177"/>
              <w:rPr>
                <w:sz w:val="21"/>
              </w:rPr>
            </w:pPr>
            <w:r>
              <w:rPr>
                <w:rFonts w:ascii="Times New Roman" w:eastAsia="Times New Roman"/>
                <w:sz w:val="21"/>
              </w:rPr>
              <w:t>2020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日至</w:t>
            </w:r>
          </w:p>
          <w:p>
            <w:pPr>
              <w:pStyle w:val="TableParagraph"/>
              <w:spacing w:line="252" w:lineRule="exact" w:before="4"/>
              <w:ind w:left="230"/>
              <w:rPr>
                <w:sz w:val="21"/>
              </w:rPr>
            </w:pPr>
            <w:r>
              <w:rPr>
                <w:rFonts w:ascii="Times New Roman" w:eastAsia="Times New Roman"/>
                <w:sz w:val="21"/>
              </w:rPr>
              <w:t>2020 </w:t>
            </w:r>
            <w:r>
              <w:rPr>
                <w:sz w:val="21"/>
              </w:rPr>
              <w:t>年 </w:t>
            </w:r>
            <w:r>
              <w:rPr>
                <w:rFonts w:ascii="Times New Roman" w:eastAsia="Times New Roman"/>
                <w:sz w:val="21"/>
              </w:rPr>
              <w:t>6 </w:t>
            </w:r>
            <w:r>
              <w:rPr>
                <w:sz w:val="21"/>
              </w:rPr>
              <w:t>月 </w:t>
            </w:r>
            <w:r>
              <w:rPr>
                <w:rFonts w:ascii="Times New Roman" w:eastAsia="Times New Roman"/>
                <w:sz w:val="21"/>
              </w:rPr>
              <w:t>30 </w:t>
            </w:r>
            <w:r>
              <w:rPr>
                <w:sz w:val="21"/>
              </w:rPr>
              <w:t>日</w:t>
            </w:r>
          </w:p>
        </w:tc>
        <w:tc>
          <w:tcPr>
            <w:tcW w:w="1080" w:type="dxa"/>
          </w:tcPr>
          <w:p>
            <w:pPr>
              <w:pStyle w:val="TableParagraph"/>
              <w:spacing w:before="151"/>
              <w:ind w:right="93"/>
              <w:jc w:val="right"/>
              <w:rPr>
                <w:rFonts w:ascii="Times New Roman"/>
                <w:sz w:val="21"/>
              </w:rPr>
            </w:pPr>
            <w:r>
              <w:rPr>
                <w:rFonts w:ascii="Times New Roman"/>
                <w:sz w:val="21"/>
              </w:rPr>
              <w:t>2.51%</w:t>
            </w:r>
          </w:p>
        </w:tc>
        <w:tc>
          <w:tcPr>
            <w:tcW w:w="1152" w:type="dxa"/>
          </w:tcPr>
          <w:p>
            <w:pPr>
              <w:pStyle w:val="TableParagraph"/>
              <w:spacing w:before="151"/>
              <w:ind w:right="93"/>
              <w:jc w:val="right"/>
              <w:rPr>
                <w:rFonts w:ascii="Times New Roman"/>
                <w:sz w:val="21"/>
              </w:rPr>
            </w:pPr>
            <w:r>
              <w:rPr>
                <w:rFonts w:ascii="Times New Roman"/>
                <w:sz w:val="21"/>
              </w:rPr>
              <w:t>1.45%</w:t>
            </w:r>
          </w:p>
        </w:tc>
        <w:tc>
          <w:tcPr>
            <w:tcW w:w="1440" w:type="dxa"/>
          </w:tcPr>
          <w:p>
            <w:pPr>
              <w:pStyle w:val="TableParagraph"/>
              <w:spacing w:before="151"/>
              <w:ind w:right="93"/>
              <w:jc w:val="right"/>
              <w:rPr>
                <w:rFonts w:ascii="Times New Roman"/>
                <w:sz w:val="21"/>
              </w:rPr>
            </w:pPr>
            <w:r>
              <w:rPr>
                <w:rFonts w:ascii="Times New Roman"/>
                <w:sz w:val="21"/>
              </w:rPr>
              <w:t>2.06%</w:t>
            </w:r>
          </w:p>
        </w:tc>
        <w:tc>
          <w:tcPr>
            <w:tcW w:w="1368" w:type="dxa"/>
          </w:tcPr>
          <w:p>
            <w:pPr>
              <w:pStyle w:val="TableParagraph"/>
              <w:spacing w:before="151"/>
              <w:ind w:right="93"/>
              <w:jc w:val="right"/>
              <w:rPr>
                <w:rFonts w:ascii="Times New Roman"/>
                <w:sz w:val="21"/>
              </w:rPr>
            </w:pPr>
            <w:r>
              <w:rPr>
                <w:rFonts w:ascii="Times New Roman"/>
                <w:sz w:val="21"/>
              </w:rPr>
              <w:t>1.44%</w:t>
            </w:r>
          </w:p>
        </w:tc>
        <w:tc>
          <w:tcPr>
            <w:tcW w:w="1060" w:type="dxa"/>
          </w:tcPr>
          <w:p>
            <w:pPr>
              <w:pStyle w:val="TableParagraph"/>
              <w:spacing w:before="151"/>
              <w:ind w:right="91"/>
              <w:jc w:val="right"/>
              <w:rPr>
                <w:rFonts w:ascii="Times New Roman"/>
                <w:sz w:val="21"/>
              </w:rPr>
            </w:pPr>
            <w:r>
              <w:rPr>
                <w:rFonts w:ascii="Times New Roman"/>
                <w:sz w:val="21"/>
              </w:rPr>
              <w:t>0.45%</w:t>
            </w:r>
          </w:p>
        </w:tc>
        <w:tc>
          <w:tcPr>
            <w:tcW w:w="990" w:type="dxa"/>
          </w:tcPr>
          <w:p>
            <w:pPr>
              <w:pStyle w:val="TableParagraph"/>
              <w:spacing w:before="151"/>
              <w:ind w:right="90"/>
              <w:jc w:val="right"/>
              <w:rPr>
                <w:rFonts w:ascii="Times New Roman"/>
                <w:sz w:val="21"/>
              </w:rPr>
            </w:pPr>
            <w:r>
              <w:rPr>
                <w:rFonts w:ascii="Times New Roman"/>
                <w:sz w:val="21"/>
              </w:rPr>
              <w:t>0.01%</w:t>
            </w:r>
          </w:p>
        </w:tc>
      </w:tr>
    </w:tbl>
    <w:p>
      <w:pPr>
        <w:pStyle w:val="BodyText"/>
        <w:spacing w:before="114"/>
        <w:ind w:left="720"/>
      </w:pPr>
      <w:r>
        <w:rPr/>
        <w:t>华夏沪深</w:t>
      </w:r>
      <w:r>
        <w:rPr>
          <w:rFonts w:ascii="Times New Roman" w:eastAsia="Times New Roman"/>
        </w:rPr>
        <w:t>300ETF</w:t>
      </w:r>
      <w:r>
        <w:rPr/>
        <w:t>联接</w:t>
      </w:r>
      <w:r>
        <w:rPr>
          <w:rFonts w:ascii="Times New Roman" w:eastAsia="Times New Roman"/>
        </w:rPr>
        <w:t>C</w:t>
      </w:r>
      <w:r>
        <w:rPr/>
        <w:t>：</w:t>
      </w:r>
    </w:p>
    <w:p>
      <w:pPr>
        <w:pStyle w:val="BodyText"/>
        <w:spacing w:before="12"/>
        <w:rPr>
          <w:sz w:val="7"/>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9"/>
        <w:gridCol w:w="1080"/>
        <w:gridCol w:w="1152"/>
        <w:gridCol w:w="1440"/>
        <w:gridCol w:w="1368"/>
        <w:gridCol w:w="1060"/>
        <w:gridCol w:w="990"/>
      </w:tblGrid>
      <w:tr>
        <w:trPr>
          <w:trHeight w:val="815" w:hRule="atLeast"/>
        </w:trPr>
        <w:tc>
          <w:tcPr>
            <w:tcW w:w="2089" w:type="dxa"/>
          </w:tcPr>
          <w:p>
            <w:pPr>
              <w:pStyle w:val="TableParagraph"/>
              <w:spacing w:before="3"/>
              <w:rPr>
                <w:sz w:val="21"/>
              </w:rPr>
            </w:pPr>
          </w:p>
          <w:p>
            <w:pPr>
              <w:pStyle w:val="TableParagraph"/>
              <w:tabs>
                <w:tab w:pos="1254" w:val="left" w:leader="none"/>
              </w:tabs>
              <w:spacing w:before="0"/>
              <w:ind w:left="623"/>
              <w:rPr>
                <w:sz w:val="21"/>
              </w:rPr>
            </w:pPr>
            <w:r>
              <w:rPr>
                <w:sz w:val="21"/>
              </w:rPr>
              <w:t>阶</w:t>
              <w:tab/>
              <w:t>段</w:t>
            </w:r>
          </w:p>
        </w:tc>
        <w:tc>
          <w:tcPr>
            <w:tcW w:w="1080" w:type="dxa"/>
          </w:tcPr>
          <w:p>
            <w:pPr>
              <w:pStyle w:val="TableParagraph"/>
              <w:spacing w:line="242" w:lineRule="auto" w:before="137"/>
              <w:ind w:left="328" w:right="106" w:hanging="209"/>
              <w:rPr>
                <w:sz w:val="21"/>
              </w:rPr>
            </w:pPr>
            <w:r>
              <w:rPr>
                <w:sz w:val="21"/>
              </w:rPr>
              <w:t>净值增长率①</w:t>
            </w:r>
          </w:p>
        </w:tc>
        <w:tc>
          <w:tcPr>
            <w:tcW w:w="1152" w:type="dxa"/>
          </w:tcPr>
          <w:p>
            <w:pPr>
              <w:pStyle w:val="TableParagraph"/>
              <w:spacing w:line="242" w:lineRule="auto" w:before="1"/>
              <w:ind w:left="155" w:right="142"/>
              <w:jc w:val="center"/>
              <w:rPr>
                <w:sz w:val="21"/>
              </w:rPr>
            </w:pPr>
            <w:r>
              <w:rPr>
                <w:sz w:val="21"/>
              </w:rPr>
              <w:t>净值增长率标准差</w:t>
            </w:r>
          </w:p>
          <w:p>
            <w:pPr>
              <w:pStyle w:val="TableParagraph"/>
              <w:spacing w:line="250" w:lineRule="exact" w:before="1"/>
              <w:ind w:left="8"/>
              <w:jc w:val="center"/>
              <w:rPr>
                <w:sz w:val="21"/>
              </w:rPr>
            </w:pPr>
            <w:r>
              <w:rPr>
                <w:w w:val="100"/>
                <w:sz w:val="21"/>
              </w:rPr>
              <w:t>②</w:t>
            </w:r>
          </w:p>
        </w:tc>
        <w:tc>
          <w:tcPr>
            <w:tcW w:w="1440" w:type="dxa"/>
          </w:tcPr>
          <w:p>
            <w:pPr>
              <w:pStyle w:val="TableParagraph"/>
              <w:spacing w:line="242" w:lineRule="auto" w:before="137"/>
              <w:ind w:left="193" w:right="180"/>
              <w:rPr>
                <w:sz w:val="21"/>
              </w:rPr>
            </w:pPr>
            <w:r>
              <w:rPr>
                <w:sz w:val="21"/>
              </w:rPr>
              <w:t>业绩比较基准收益率③</w:t>
            </w:r>
          </w:p>
        </w:tc>
        <w:tc>
          <w:tcPr>
            <w:tcW w:w="1368" w:type="dxa"/>
          </w:tcPr>
          <w:p>
            <w:pPr>
              <w:pStyle w:val="TableParagraph"/>
              <w:spacing w:line="242" w:lineRule="auto" w:before="1"/>
              <w:ind w:left="158" w:right="144"/>
              <w:jc w:val="center"/>
              <w:rPr>
                <w:sz w:val="21"/>
              </w:rPr>
            </w:pPr>
            <w:r>
              <w:rPr>
                <w:sz w:val="21"/>
              </w:rPr>
              <w:t>业绩比较基准收益率标</w:t>
            </w:r>
          </w:p>
          <w:p>
            <w:pPr>
              <w:pStyle w:val="TableParagraph"/>
              <w:spacing w:line="250" w:lineRule="exact" w:before="1"/>
              <w:ind w:left="153" w:right="144"/>
              <w:jc w:val="center"/>
              <w:rPr>
                <w:sz w:val="21"/>
              </w:rPr>
            </w:pPr>
            <w:r>
              <w:rPr>
                <w:sz w:val="21"/>
              </w:rPr>
              <w:t>准差④</w:t>
            </w:r>
          </w:p>
        </w:tc>
        <w:tc>
          <w:tcPr>
            <w:tcW w:w="1060" w:type="dxa"/>
          </w:tcPr>
          <w:p>
            <w:pPr>
              <w:pStyle w:val="TableParagraph"/>
              <w:spacing w:before="3"/>
              <w:rPr>
                <w:sz w:val="21"/>
              </w:rPr>
            </w:pPr>
          </w:p>
          <w:p>
            <w:pPr>
              <w:pStyle w:val="TableParagraph"/>
              <w:spacing w:before="0"/>
              <w:ind w:left="213"/>
              <w:rPr>
                <w:sz w:val="21"/>
              </w:rPr>
            </w:pPr>
            <w:r>
              <w:rPr>
                <w:sz w:val="21"/>
              </w:rPr>
              <w:t>①－③</w:t>
            </w:r>
          </w:p>
        </w:tc>
        <w:tc>
          <w:tcPr>
            <w:tcW w:w="990" w:type="dxa"/>
          </w:tcPr>
          <w:p>
            <w:pPr>
              <w:pStyle w:val="TableParagraph"/>
              <w:spacing w:before="3"/>
              <w:rPr>
                <w:sz w:val="21"/>
              </w:rPr>
            </w:pPr>
          </w:p>
          <w:p>
            <w:pPr>
              <w:pStyle w:val="TableParagraph"/>
              <w:spacing w:before="0"/>
              <w:ind w:left="181"/>
              <w:rPr>
                <w:sz w:val="21"/>
              </w:rPr>
            </w:pPr>
            <w:r>
              <w:rPr>
                <w:sz w:val="21"/>
              </w:rPr>
              <w:t>②－④</w:t>
            </w:r>
          </w:p>
        </w:tc>
      </w:tr>
      <w:tr>
        <w:trPr>
          <w:trHeight w:val="545" w:hRule="atLeast"/>
        </w:trPr>
        <w:tc>
          <w:tcPr>
            <w:tcW w:w="2089" w:type="dxa"/>
          </w:tcPr>
          <w:p>
            <w:pPr>
              <w:pStyle w:val="TableParagraph"/>
              <w:spacing w:before="1"/>
              <w:ind w:left="177"/>
              <w:rPr>
                <w:sz w:val="21"/>
              </w:rPr>
            </w:pPr>
            <w:r>
              <w:rPr>
                <w:rFonts w:ascii="Times New Roman" w:eastAsia="Times New Roman"/>
                <w:sz w:val="21"/>
              </w:rPr>
              <w:t>2018</w:t>
            </w:r>
            <w:r>
              <w:rPr>
                <w:rFonts w:ascii="Times New Roman" w:eastAsia="Times New Roman"/>
                <w:spacing w:val="-2"/>
                <w:sz w:val="21"/>
              </w:rPr>
              <w:t> </w:t>
            </w:r>
            <w:r>
              <w:rPr>
                <w:spacing w:val="-26"/>
                <w:sz w:val="21"/>
              </w:rPr>
              <w:t>年 </w:t>
            </w:r>
            <w:r>
              <w:rPr>
                <w:rFonts w:ascii="Times New Roman" w:eastAsia="Times New Roman"/>
                <w:sz w:val="21"/>
              </w:rPr>
              <w:t>2</w:t>
            </w:r>
            <w:r>
              <w:rPr>
                <w:rFonts w:ascii="Times New Roman" w:eastAsia="Times New Roman"/>
                <w:spacing w:val="-1"/>
                <w:sz w:val="21"/>
              </w:rPr>
              <w:t> </w:t>
            </w:r>
            <w:r>
              <w:rPr>
                <w:spacing w:val="-26"/>
                <w:sz w:val="21"/>
              </w:rPr>
              <w:t>月 </w:t>
            </w:r>
            <w:r>
              <w:rPr>
                <w:rFonts w:ascii="Times New Roman" w:eastAsia="Times New Roman"/>
                <w:sz w:val="21"/>
              </w:rPr>
              <w:t>2</w:t>
            </w:r>
            <w:r>
              <w:rPr>
                <w:rFonts w:ascii="Times New Roman" w:eastAsia="Times New Roman"/>
                <w:spacing w:val="-1"/>
                <w:sz w:val="21"/>
              </w:rPr>
              <w:t> </w:t>
            </w:r>
            <w:r>
              <w:rPr>
                <w:sz w:val="21"/>
              </w:rPr>
              <w:t>日至</w:t>
            </w:r>
          </w:p>
          <w:p>
            <w:pPr>
              <w:pStyle w:val="TableParagraph"/>
              <w:spacing w:line="250" w:lineRule="exact" w:before="5"/>
              <w:ind w:left="177"/>
              <w:rPr>
                <w:sz w:val="21"/>
              </w:rPr>
            </w:pPr>
            <w:r>
              <w:rPr>
                <w:rFonts w:ascii="Times New Roman" w:eastAsia="Times New Roman"/>
                <w:sz w:val="21"/>
              </w:rPr>
              <w:t>2018</w:t>
            </w:r>
            <w:r>
              <w:rPr>
                <w:rFonts w:ascii="Times New Roman" w:eastAsia="Times New Roman"/>
                <w:spacing w:val="-3"/>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1"/>
              <w:ind w:right="95"/>
              <w:jc w:val="right"/>
              <w:rPr>
                <w:rFonts w:ascii="Times New Roman"/>
                <w:sz w:val="21"/>
              </w:rPr>
            </w:pPr>
            <w:r>
              <w:rPr>
                <w:rFonts w:ascii="Times New Roman"/>
                <w:sz w:val="21"/>
              </w:rPr>
              <w:t>-26.93%</w:t>
            </w:r>
          </w:p>
        </w:tc>
        <w:tc>
          <w:tcPr>
            <w:tcW w:w="1152" w:type="dxa"/>
          </w:tcPr>
          <w:p>
            <w:pPr>
              <w:pStyle w:val="TableParagraph"/>
              <w:spacing w:before="151"/>
              <w:ind w:right="93"/>
              <w:jc w:val="right"/>
              <w:rPr>
                <w:rFonts w:ascii="Times New Roman"/>
                <w:sz w:val="21"/>
              </w:rPr>
            </w:pPr>
            <w:r>
              <w:rPr>
                <w:rFonts w:ascii="Times New Roman"/>
                <w:sz w:val="21"/>
              </w:rPr>
              <w:t>1.31%</w:t>
            </w:r>
          </w:p>
        </w:tc>
        <w:tc>
          <w:tcPr>
            <w:tcW w:w="1440" w:type="dxa"/>
          </w:tcPr>
          <w:p>
            <w:pPr>
              <w:pStyle w:val="TableParagraph"/>
              <w:spacing w:before="151"/>
              <w:ind w:right="95"/>
              <w:jc w:val="right"/>
              <w:rPr>
                <w:rFonts w:ascii="Times New Roman"/>
                <w:sz w:val="21"/>
              </w:rPr>
            </w:pPr>
            <w:r>
              <w:rPr>
                <w:rFonts w:ascii="Times New Roman"/>
                <w:sz w:val="21"/>
              </w:rPr>
              <w:t>-26.73%</w:t>
            </w:r>
          </w:p>
        </w:tc>
        <w:tc>
          <w:tcPr>
            <w:tcW w:w="1368" w:type="dxa"/>
          </w:tcPr>
          <w:p>
            <w:pPr>
              <w:pStyle w:val="TableParagraph"/>
              <w:spacing w:before="151"/>
              <w:ind w:right="93"/>
              <w:jc w:val="right"/>
              <w:rPr>
                <w:rFonts w:ascii="Times New Roman"/>
                <w:sz w:val="21"/>
              </w:rPr>
            </w:pPr>
            <w:r>
              <w:rPr>
                <w:rFonts w:ascii="Times New Roman"/>
                <w:sz w:val="21"/>
              </w:rPr>
              <w:t>1.31%</w:t>
            </w:r>
          </w:p>
        </w:tc>
        <w:tc>
          <w:tcPr>
            <w:tcW w:w="1060" w:type="dxa"/>
          </w:tcPr>
          <w:p>
            <w:pPr>
              <w:pStyle w:val="TableParagraph"/>
              <w:spacing w:before="151"/>
              <w:ind w:right="94"/>
              <w:jc w:val="right"/>
              <w:rPr>
                <w:rFonts w:ascii="Times New Roman"/>
                <w:sz w:val="21"/>
              </w:rPr>
            </w:pPr>
            <w:r>
              <w:rPr>
                <w:rFonts w:ascii="Times New Roman"/>
                <w:sz w:val="21"/>
              </w:rPr>
              <w:t>-0.20%</w:t>
            </w:r>
          </w:p>
        </w:tc>
        <w:tc>
          <w:tcPr>
            <w:tcW w:w="990" w:type="dxa"/>
          </w:tcPr>
          <w:p>
            <w:pPr>
              <w:pStyle w:val="TableParagraph"/>
              <w:spacing w:before="151"/>
              <w:ind w:right="90"/>
              <w:jc w:val="right"/>
              <w:rPr>
                <w:rFonts w:ascii="Times New Roman"/>
                <w:sz w:val="21"/>
              </w:rPr>
            </w:pPr>
            <w:r>
              <w:rPr>
                <w:rFonts w:ascii="Times New Roman"/>
                <w:sz w:val="21"/>
              </w:rPr>
              <w:t>0.00%</w:t>
            </w:r>
          </w:p>
        </w:tc>
      </w:tr>
      <w:tr>
        <w:trPr>
          <w:trHeight w:val="544" w:hRule="atLeast"/>
        </w:trPr>
        <w:tc>
          <w:tcPr>
            <w:tcW w:w="2089" w:type="dxa"/>
          </w:tcPr>
          <w:p>
            <w:pPr>
              <w:pStyle w:val="TableParagraph"/>
              <w:spacing w:before="3"/>
              <w:ind w:left="177"/>
              <w:rPr>
                <w:sz w:val="21"/>
              </w:rPr>
            </w:pPr>
            <w:r>
              <w:rPr>
                <w:rFonts w:ascii="Times New Roman" w:eastAsia="Times New Roman"/>
                <w:sz w:val="21"/>
              </w:rPr>
              <w:t>2019</w:t>
            </w:r>
            <w:r>
              <w:rPr>
                <w:rFonts w:ascii="Times New Roman" w:eastAsia="Times New Roman"/>
                <w:spacing w:val="-2"/>
                <w:sz w:val="21"/>
              </w:rPr>
              <w:t> </w:t>
            </w:r>
            <w:r>
              <w:rPr>
                <w:spacing w:val="-26"/>
                <w:sz w:val="21"/>
              </w:rPr>
              <w:t>年 </w:t>
            </w:r>
            <w:r>
              <w:rPr>
                <w:rFonts w:ascii="Times New Roman" w:eastAsia="Times New Roman"/>
                <w:sz w:val="21"/>
              </w:rPr>
              <w:t>1</w:t>
            </w:r>
            <w:r>
              <w:rPr>
                <w:rFonts w:ascii="Times New Roman" w:eastAsia="Times New Roman"/>
                <w:spacing w:val="-1"/>
                <w:sz w:val="21"/>
              </w:rPr>
              <w:t> </w:t>
            </w:r>
            <w:r>
              <w:rPr>
                <w:spacing w:val="-26"/>
                <w:sz w:val="21"/>
              </w:rPr>
              <w:t>月 </w:t>
            </w:r>
            <w:r>
              <w:rPr>
                <w:rFonts w:ascii="Times New Roman" w:eastAsia="Times New Roman"/>
                <w:sz w:val="21"/>
              </w:rPr>
              <w:t>1</w:t>
            </w:r>
            <w:r>
              <w:rPr>
                <w:rFonts w:ascii="Times New Roman" w:eastAsia="Times New Roman"/>
                <w:spacing w:val="-1"/>
                <w:sz w:val="21"/>
              </w:rPr>
              <w:t> </w:t>
            </w:r>
            <w:r>
              <w:rPr>
                <w:sz w:val="21"/>
              </w:rPr>
              <w:t>日至</w:t>
            </w:r>
          </w:p>
          <w:p>
            <w:pPr>
              <w:pStyle w:val="TableParagraph"/>
              <w:spacing w:line="250" w:lineRule="exact" w:before="2"/>
              <w:ind w:left="177"/>
              <w:rPr>
                <w:sz w:val="21"/>
              </w:rPr>
            </w:pPr>
            <w:r>
              <w:rPr>
                <w:rFonts w:ascii="Times New Roman" w:eastAsia="Times New Roman"/>
                <w:sz w:val="21"/>
              </w:rPr>
              <w:t>2019</w:t>
            </w:r>
            <w:r>
              <w:rPr>
                <w:rFonts w:ascii="Times New Roman" w:eastAsia="Times New Roman"/>
                <w:spacing w:val="-2"/>
                <w:sz w:val="21"/>
              </w:rPr>
              <w:t> </w:t>
            </w:r>
            <w:r>
              <w:rPr>
                <w:spacing w:val="-26"/>
                <w:sz w:val="21"/>
              </w:rPr>
              <w:t>年 </w:t>
            </w:r>
            <w:r>
              <w:rPr>
                <w:rFonts w:ascii="Times New Roman" w:eastAsia="Times New Roman"/>
                <w:sz w:val="21"/>
              </w:rPr>
              <w:t>12</w:t>
            </w:r>
            <w:r>
              <w:rPr>
                <w:rFonts w:ascii="Times New Roman" w:eastAsia="Times New Roman"/>
                <w:spacing w:val="-2"/>
                <w:sz w:val="21"/>
              </w:rPr>
              <w:t> </w:t>
            </w:r>
            <w:r>
              <w:rPr>
                <w:spacing w:val="-26"/>
                <w:sz w:val="21"/>
              </w:rPr>
              <w:t>月 </w:t>
            </w:r>
            <w:r>
              <w:rPr>
                <w:rFonts w:ascii="Times New Roman" w:eastAsia="Times New Roman"/>
                <w:sz w:val="21"/>
              </w:rPr>
              <w:t>31</w:t>
            </w:r>
            <w:r>
              <w:rPr>
                <w:rFonts w:ascii="Times New Roman" w:eastAsia="Times New Roman"/>
                <w:spacing w:val="1"/>
                <w:sz w:val="21"/>
              </w:rPr>
              <w:t> </w:t>
            </w:r>
            <w:r>
              <w:rPr>
                <w:sz w:val="21"/>
              </w:rPr>
              <w:t>日</w:t>
            </w:r>
          </w:p>
        </w:tc>
        <w:tc>
          <w:tcPr>
            <w:tcW w:w="1080" w:type="dxa"/>
          </w:tcPr>
          <w:p>
            <w:pPr>
              <w:pStyle w:val="TableParagraph"/>
              <w:spacing w:before="151"/>
              <w:ind w:right="93"/>
              <w:jc w:val="right"/>
              <w:rPr>
                <w:rFonts w:ascii="Times New Roman"/>
                <w:sz w:val="21"/>
              </w:rPr>
            </w:pPr>
            <w:r>
              <w:rPr>
                <w:rFonts w:ascii="Times New Roman"/>
                <w:sz w:val="21"/>
              </w:rPr>
              <w:t>35.46%</w:t>
            </w:r>
          </w:p>
        </w:tc>
        <w:tc>
          <w:tcPr>
            <w:tcW w:w="1152" w:type="dxa"/>
          </w:tcPr>
          <w:p>
            <w:pPr>
              <w:pStyle w:val="TableParagraph"/>
              <w:spacing w:before="151"/>
              <w:ind w:right="93"/>
              <w:jc w:val="right"/>
              <w:rPr>
                <w:rFonts w:ascii="Times New Roman"/>
                <w:sz w:val="21"/>
              </w:rPr>
            </w:pPr>
            <w:r>
              <w:rPr>
                <w:rFonts w:ascii="Times New Roman"/>
                <w:sz w:val="21"/>
              </w:rPr>
              <w:t>1.18%</w:t>
            </w:r>
          </w:p>
        </w:tc>
        <w:tc>
          <w:tcPr>
            <w:tcW w:w="1440" w:type="dxa"/>
          </w:tcPr>
          <w:p>
            <w:pPr>
              <w:pStyle w:val="TableParagraph"/>
              <w:spacing w:before="151"/>
              <w:ind w:right="93"/>
              <w:jc w:val="right"/>
              <w:rPr>
                <w:rFonts w:ascii="Times New Roman"/>
                <w:sz w:val="21"/>
              </w:rPr>
            </w:pPr>
            <w:r>
              <w:rPr>
                <w:rFonts w:ascii="Times New Roman"/>
                <w:sz w:val="21"/>
              </w:rPr>
              <w:t>35.27%</w:t>
            </w:r>
          </w:p>
        </w:tc>
        <w:tc>
          <w:tcPr>
            <w:tcW w:w="1368" w:type="dxa"/>
          </w:tcPr>
          <w:p>
            <w:pPr>
              <w:pStyle w:val="TableParagraph"/>
              <w:spacing w:before="151"/>
              <w:ind w:right="93"/>
              <w:jc w:val="right"/>
              <w:rPr>
                <w:rFonts w:ascii="Times New Roman"/>
                <w:sz w:val="21"/>
              </w:rPr>
            </w:pPr>
            <w:r>
              <w:rPr>
                <w:rFonts w:ascii="Times New Roman"/>
                <w:sz w:val="21"/>
              </w:rPr>
              <w:t>1.18%</w:t>
            </w:r>
          </w:p>
        </w:tc>
        <w:tc>
          <w:tcPr>
            <w:tcW w:w="1060" w:type="dxa"/>
          </w:tcPr>
          <w:p>
            <w:pPr>
              <w:pStyle w:val="TableParagraph"/>
              <w:spacing w:before="151"/>
              <w:ind w:right="91"/>
              <w:jc w:val="right"/>
              <w:rPr>
                <w:rFonts w:ascii="Times New Roman"/>
                <w:sz w:val="21"/>
              </w:rPr>
            </w:pPr>
            <w:r>
              <w:rPr>
                <w:rFonts w:ascii="Times New Roman"/>
                <w:sz w:val="21"/>
              </w:rPr>
              <w:t>0.19%</w:t>
            </w:r>
          </w:p>
        </w:tc>
        <w:tc>
          <w:tcPr>
            <w:tcW w:w="990" w:type="dxa"/>
          </w:tcPr>
          <w:p>
            <w:pPr>
              <w:pStyle w:val="TableParagraph"/>
              <w:spacing w:before="151"/>
              <w:ind w:right="90"/>
              <w:jc w:val="right"/>
              <w:rPr>
                <w:rFonts w:ascii="Times New Roman"/>
                <w:sz w:val="21"/>
              </w:rPr>
            </w:pPr>
            <w:r>
              <w:rPr>
                <w:rFonts w:ascii="Times New Roman"/>
                <w:sz w:val="21"/>
              </w:rPr>
              <w:t>0.00%</w:t>
            </w:r>
          </w:p>
        </w:tc>
      </w:tr>
      <w:tr>
        <w:trPr>
          <w:trHeight w:val="546" w:hRule="atLeast"/>
        </w:trPr>
        <w:tc>
          <w:tcPr>
            <w:tcW w:w="2089" w:type="dxa"/>
          </w:tcPr>
          <w:p>
            <w:pPr>
              <w:pStyle w:val="TableParagraph"/>
              <w:spacing w:before="3"/>
              <w:ind w:left="177"/>
              <w:rPr>
                <w:sz w:val="21"/>
              </w:rPr>
            </w:pPr>
            <w:r>
              <w:rPr>
                <w:rFonts w:ascii="Times New Roman" w:eastAsia="Times New Roman"/>
                <w:sz w:val="21"/>
              </w:rPr>
              <w:t>2020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日至</w:t>
            </w:r>
          </w:p>
          <w:p>
            <w:pPr>
              <w:pStyle w:val="TableParagraph"/>
              <w:spacing w:line="252" w:lineRule="exact" w:before="2"/>
              <w:ind w:left="230"/>
              <w:rPr>
                <w:sz w:val="21"/>
              </w:rPr>
            </w:pPr>
            <w:r>
              <w:rPr>
                <w:rFonts w:ascii="Times New Roman" w:eastAsia="Times New Roman"/>
                <w:sz w:val="21"/>
              </w:rPr>
              <w:t>2020 </w:t>
            </w:r>
            <w:r>
              <w:rPr>
                <w:sz w:val="21"/>
              </w:rPr>
              <w:t>年 </w:t>
            </w:r>
            <w:r>
              <w:rPr>
                <w:rFonts w:ascii="Times New Roman" w:eastAsia="Times New Roman"/>
                <w:sz w:val="21"/>
              </w:rPr>
              <w:t>6 </w:t>
            </w:r>
            <w:r>
              <w:rPr>
                <w:sz w:val="21"/>
              </w:rPr>
              <w:t>月 </w:t>
            </w:r>
            <w:r>
              <w:rPr>
                <w:rFonts w:ascii="Times New Roman" w:eastAsia="Times New Roman"/>
                <w:sz w:val="21"/>
              </w:rPr>
              <w:t>30 </w:t>
            </w:r>
            <w:r>
              <w:rPr>
                <w:sz w:val="21"/>
              </w:rPr>
              <w:t>日</w:t>
            </w:r>
          </w:p>
        </w:tc>
        <w:tc>
          <w:tcPr>
            <w:tcW w:w="1080" w:type="dxa"/>
          </w:tcPr>
          <w:p>
            <w:pPr>
              <w:pStyle w:val="TableParagraph"/>
              <w:spacing w:before="151"/>
              <w:ind w:right="93"/>
              <w:jc w:val="right"/>
              <w:rPr>
                <w:rFonts w:ascii="Times New Roman"/>
                <w:sz w:val="21"/>
              </w:rPr>
            </w:pPr>
            <w:r>
              <w:rPr>
                <w:rFonts w:ascii="Times New Roman"/>
                <w:sz w:val="21"/>
              </w:rPr>
              <w:t>2.29%</w:t>
            </w:r>
          </w:p>
        </w:tc>
        <w:tc>
          <w:tcPr>
            <w:tcW w:w="1152" w:type="dxa"/>
          </w:tcPr>
          <w:p>
            <w:pPr>
              <w:pStyle w:val="TableParagraph"/>
              <w:spacing w:before="151"/>
              <w:ind w:right="93"/>
              <w:jc w:val="right"/>
              <w:rPr>
                <w:rFonts w:ascii="Times New Roman"/>
                <w:sz w:val="21"/>
              </w:rPr>
            </w:pPr>
            <w:r>
              <w:rPr>
                <w:rFonts w:ascii="Times New Roman"/>
                <w:sz w:val="21"/>
              </w:rPr>
              <w:t>1.44%</w:t>
            </w:r>
          </w:p>
        </w:tc>
        <w:tc>
          <w:tcPr>
            <w:tcW w:w="1440" w:type="dxa"/>
          </w:tcPr>
          <w:p>
            <w:pPr>
              <w:pStyle w:val="TableParagraph"/>
              <w:spacing w:before="151"/>
              <w:ind w:right="93"/>
              <w:jc w:val="right"/>
              <w:rPr>
                <w:rFonts w:ascii="Times New Roman"/>
                <w:sz w:val="21"/>
              </w:rPr>
            </w:pPr>
            <w:r>
              <w:rPr>
                <w:rFonts w:ascii="Times New Roman"/>
                <w:sz w:val="21"/>
              </w:rPr>
              <w:t>2.06%</w:t>
            </w:r>
          </w:p>
        </w:tc>
        <w:tc>
          <w:tcPr>
            <w:tcW w:w="1368" w:type="dxa"/>
          </w:tcPr>
          <w:p>
            <w:pPr>
              <w:pStyle w:val="TableParagraph"/>
              <w:spacing w:before="151"/>
              <w:ind w:right="93"/>
              <w:jc w:val="right"/>
              <w:rPr>
                <w:rFonts w:ascii="Times New Roman"/>
                <w:sz w:val="21"/>
              </w:rPr>
            </w:pPr>
            <w:r>
              <w:rPr>
                <w:rFonts w:ascii="Times New Roman"/>
                <w:sz w:val="21"/>
              </w:rPr>
              <w:t>1.44%</w:t>
            </w:r>
          </w:p>
        </w:tc>
        <w:tc>
          <w:tcPr>
            <w:tcW w:w="1060" w:type="dxa"/>
          </w:tcPr>
          <w:p>
            <w:pPr>
              <w:pStyle w:val="TableParagraph"/>
              <w:spacing w:before="151"/>
              <w:ind w:right="91"/>
              <w:jc w:val="right"/>
              <w:rPr>
                <w:rFonts w:ascii="Times New Roman"/>
                <w:sz w:val="21"/>
              </w:rPr>
            </w:pPr>
            <w:r>
              <w:rPr>
                <w:rFonts w:ascii="Times New Roman"/>
                <w:sz w:val="21"/>
              </w:rPr>
              <w:t>0.23%</w:t>
            </w:r>
          </w:p>
        </w:tc>
        <w:tc>
          <w:tcPr>
            <w:tcW w:w="990" w:type="dxa"/>
          </w:tcPr>
          <w:p>
            <w:pPr>
              <w:pStyle w:val="TableParagraph"/>
              <w:spacing w:before="151"/>
              <w:ind w:right="90"/>
              <w:jc w:val="right"/>
              <w:rPr>
                <w:rFonts w:ascii="Times New Roman"/>
                <w:sz w:val="21"/>
              </w:rPr>
            </w:pPr>
            <w:r>
              <w:rPr>
                <w:rFonts w:ascii="Times New Roman"/>
                <w:sz w:val="21"/>
              </w:rPr>
              <w:t>0.00%</w:t>
            </w:r>
          </w:p>
        </w:tc>
      </w:tr>
    </w:tbl>
    <w:p>
      <w:pPr>
        <w:pStyle w:val="BodyText"/>
        <w:spacing w:before="6"/>
        <w:rPr>
          <w:sz w:val="31"/>
        </w:rPr>
      </w:pPr>
    </w:p>
    <w:p>
      <w:pPr>
        <w:pStyle w:val="Heading1"/>
        <w:ind w:right="876"/>
      </w:pPr>
      <w:bookmarkStart w:name="_bookmark11" w:id="12"/>
      <w:bookmarkEnd w:id="12"/>
      <w:r>
        <w:rPr>
          <w:b w:val="0"/>
        </w:rPr>
      </w:r>
      <w:r>
        <w:rPr/>
        <w:t>十二、基金的财产</w:t>
      </w:r>
    </w:p>
    <w:p>
      <w:pPr>
        <w:pStyle w:val="BodyText"/>
        <w:rPr>
          <w:b/>
          <w:sz w:val="24"/>
        </w:rPr>
      </w:pPr>
    </w:p>
    <w:p>
      <w:pPr>
        <w:pStyle w:val="BodyText"/>
        <w:spacing w:before="192"/>
        <w:ind w:left="720"/>
      </w:pPr>
      <w:r>
        <w:rPr/>
        <w:t>（一）基金资产总值</w:t>
      </w:r>
    </w:p>
    <w:p>
      <w:pPr>
        <w:pStyle w:val="BodyText"/>
        <w:spacing w:before="1"/>
        <w:rPr>
          <w:sz w:val="16"/>
        </w:rPr>
      </w:pPr>
    </w:p>
    <w:p>
      <w:pPr>
        <w:pStyle w:val="BodyText"/>
        <w:spacing w:line="424" w:lineRule="auto"/>
        <w:ind w:left="300" w:right="871" w:firstLine="419"/>
      </w:pPr>
      <w:r>
        <w:rPr>
          <w:spacing w:val="-8"/>
        </w:rPr>
        <w:t>基金资产总值是指基金拥有的各类证券及票据价值、银行存款本息和基金应收的申购基</w:t>
      </w:r>
      <w:r>
        <w:rPr>
          <w:spacing w:val="-5"/>
        </w:rPr>
        <w:t>金款以及其他投资所形成的价值总和。</w:t>
      </w:r>
    </w:p>
    <w:p>
      <w:pPr>
        <w:pStyle w:val="BodyText"/>
        <w:spacing w:line="267" w:lineRule="exact"/>
        <w:ind w:left="720"/>
      </w:pPr>
      <w:r>
        <w:rPr/>
        <w:t>其构成主要有：</w:t>
      </w:r>
    </w:p>
    <w:p>
      <w:pPr>
        <w:pStyle w:val="BodyText"/>
        <w:spacing w:before="4"/>
        <w:rPr>
          <w:sz w:val="16"/>
        </w:rPr>
      </w:pPr>
    </w:p>
    <w:p>
      <w:pPr>
        <w:pStyle w:val="BodyText"/>
        <w:ind w:left="720"/>
      </w:pPr>
      <w:r>
        <w:rPr>
          <w:rFonts w:ascii="Times New Roman" w:eastAsia="Times New Roman"/>
        </w:rPr>
        <w:t>1</w:t>
      </w:r>
      <w:r>
        <w:rPr/>
        <w:t>、银行存款及其应计利息。</w:t>
      </w:r>
    </w:p>
    <w:p>
      <w:pPr>
        <w:pStyle w:val="BodyText"/>
        <w:spacing w:before="1"/>
        <w:rPr>
          <w:sz w:val="16"/>
        </w:rPr>
      </w:pPr>
    </w:p>
    <w:p>
      <w:pPr>
        <w:pStyle w:val="BodyText"/>
        <w:ind w:left="720"/>
      </w:pPr>
      <w:r>
        <w:rPr>
          <w:rFonts w:ascii="Times New Roman" w:eastAsia="Times New Roman"/>
        </w:rPr>
        <w:t>2</w:t>
      </w:r>
      <w:r>
        <w:rPr/>
        <w:t>、结算备付金及其应计利息。</w:t>
      </w:r>
    </w:p>
    <w:p>
      <w:pPr>
        <w:pStyle w:val="BodyText"/>
        <w:spacing w:before="1"/>
        <w:rPr>
          <w:sz w:val="16"/>
        </w:rPr>
      </w:pPr>
    </w:p>
    <w:p>
      <w:pPr>
        <w:pStyle w:val="BodyText"/>
        <w:ind w:left="720"/>
      </w:pPr>
      <w:r>
        <w:rPr>
          <w:rFonts w:ascii="Times New Roman" w:eastAsia="Times New Roman"/>
        </w:rPr>
        <w:t>3</w:t>
      </w:r>
      <w:r>
        <w:rPr/>
        <w:t>、根据有关规定缴纳的保证金及其应收利息。</w:t>
      </w:r>
    </w:p>
    <w:p>
      <w:pPr>
        <w:pStyle w:val="BodyText"/>
        <w:spacing w:before="1"/>
        <w:rPr>
          <w:sz w:val="16"/>
        </w:rPr>
      </w:pPr>
    </w:p>
    <w:p>
      <w:pPr>
        <w:pStyle w:val="BodyText"/>
        <w:ind w:left="720"/>
      </w:pPr>
      <w:r>
        <w:rPr>
          <w:rFonts w:ascii="Times New Roman" w:eastAsia="Times New Roman"/>
        </w:rPr>
        <w:t>4</w:t>
      </w:r>
      <w:r>
        <w:rPr/>
        <w:t>、应收证券交易清算款。</w:t>
      </w:r>
    </w:p>
    <w:p>
      <w:pPr>
        <w:pStyle w:val="BodyText"/>
        <w:spacing w:before="1"/>
        <w:rPr>
          <w:sz w:val="16"/>
        </w:rPr>
      </w:pPr>
    </w:p>
    <w:p>
      <w:pPr>
        <w:pStyle w:val="BodyText"/>
        <w:spacing w:before="1"/>
        <w:ind w:left="720"/>
      </w:pPr>
      <w:r>
        <w:rPr>
          <w:rFonts w:ascii="Times New Roman" w:eastAsia="Times New Roman"/>
        </w:rPr>
        <w:t>5</w:t>
      </w:r>
      <w:r>
        <w:rPr/>
        <w:t>、应收申购款。</w:t>
      </w:r>
    </w:p>
    <w:p>
      <w:pPr>
        <w:pStyle w:val="BodyText"/>
        <w:spacing w:before="1"/>
        <w:rPr>
          <w:sz w:val="16"/>
        </w:rPr>
      </w:pPr>
    </w:p>
    <w:p>
      <w:pPr>
        <w:pStyle w:val="BodyText"/>
        <w:ind w:left="720"/>
      </w:pPr>
      <w:r>
        <w:rPr>
          <w:rFonts w:ascii="Times New Roman" w:eastAsia="Times New Roman"/>
        </w:rPr>
        <w:t>6</w:t>
      </w:r>
      <w:r>
        <w:rPr/>
        <w:t>、股票投资及其估值调整。</w:t>
      </w:r>
    </w:p>
    <w:p>
      <w:pPr>
        <w:pStyle w:val="BodyText"/>
        <w:spacing w:before="1"/>
        <w:rPr>
          <w:sz w:val="16"/>
        </w:rPr>
      </w:pPr>
    </w:p>
    <w:p>
      <w:pPr>
        <w:pStyle w:val="BodyText"/>
        <w:ind w:left="720"/>
      </w:pPr>
      <w:r>
        <w:rPr>
          <w:rFonts w:ascii="Times New Roman" w:eastAsia="Times New Roman"/>
        </w:rPr>
        <w:t>7</w:t>
      </w:r>
      <w:r>
        <w:rPr/>
        <w:t>、债券投资及其估值调整和应计利息。</w:t>
      </w:r>
    </w:p>
    <w:p>
      <w:pPr>
        <w:pStyle w:val="BodyText"/>
        <w:spacing w:before="1"/>
        <w:rPr>
          <w:sz w:val="16"/>
        </w:rPr>
      </w:pPr>
    </w:p>
    <w:p>
      <w:pPr>
        <w:pStyle w:val="BodyText"/>
        <w:spacing w:before="1"/>
        <w:ind w:left="720"/>
      </w:pPr>
      <w:r>
        <w:rPr>
          <w:rFonts w:ascii="Times New Roman" w:eastAsia="Times New Roman"/>
        </w:rPr>
        <w:t>8</w:t>
      </w:r>
      <w:r>
        <w:rPr/>
        <w:t>、其他投资及其估值调整。</w:t>
      </w:r>
    </w:p>
    <w:p>
      <w:pPr>
        <w:pStyle w:val="BodyText"/>
        <w:spacing w:before="3"/>
        <w:rPr>
          <w:sz w:val="16"/>
        </w:rPr>
      </w:pPr>
    </w:p>
    <w:p>
      <w:pPr>
        <w:pStyle w:val="BodyText"/>
        <w:ind w:left="720"/>
      </w:pPr>
      <w:r>
        <w:rPr>
          <w:rFonts w:ascii="Times New Roman" w:eastAsia="Times New Roman"/>
        </w:rPr>
        <w:t>9</w:t>
      </w:r>
      <w:r>
        <w:rPr/>
        <w:t>、其他资产等。</w:t>
      </w:r>
    </w:p>
    <w:p>
      <w:pPr>
        <w:pStyle w:val="BodyText"/>
        <w:spacing w:before="1"/>
        <w:rPr>
          <w:sz w:val="16"/>
        </w:rPr>
      </w:pPr>
    </w:p>
    <w:p>
      <w:pPr>
        <w:pStyle w:val="BodyText"/>
        <w:ind w:left="720"/>
      </w:pPr>
      <w:r>
        <w:rPr/>
        <w:t>（二）基金资产净值</w:t>
      </w:r>
    </w:p>
    <w:p>
      <w:pPr>
        <w:pStyle w:val="BodyText"/>
        <w:spacing w:before="1"/>
        <w:rPr>
          <w:sz w:val="16"/>
        </w:rPr>
      </w:pPr>
    </w:p>
    <w:p>
      <w:pPr>
        <w:pStyle w:val="BodyText"/>
        <w:ind w:left="720"/>
      </w:pPr>
      <w:r>
        <w:rPr/>
        <w:t>基金资产净值是指基金资产总值减去基金负债后的价值。</w:t>
      </w:r>
    </w:p>
    <w:p>
      <w:pPr>
        <w:pStyle w:val="BodyText"/>
        <w:spacing w:before="2"/>
        <w:rPr>
          <w:sz w:val="16"/>
        </w:rPr>
      </w:pPr>
    </w:p>
    <w:p>
      <w:pPr>
        <w:pStyle w:val="BodyText"/>
        <w:ind w:left="720"/>
      </w:pPr>
      <w:r>
        <w:rPr/>
        <w:t>（三）基金财产的账户</w:t>
      </w:r>
    </w:p>
    <w:p>
      <w:pPr>
        <w:pStyle w:val="BodyText"/>
        <w:spacing w:before="1"/>
        <w:rPr>
          <w:sz w:val="16"/>
        </w:rPr>
      </w:pPr>
    </w:p>
    <w:p>
      <w:pPr>
        <w:pStyle w:val="BodyText"/>
        <w:ind w:left="720"/>
      </w:pPr>
      <w:r>
        <w:rPr/>
        <w:t>本基金以基金托管人的名义开立资金结算账户和托管专户用于基金的资金结算业务，并</w:t>
      </w:r>
    </w:p>
    <w:p>
      <w:pPr>
        <w:spacing w:after="0"/>
        <w:sectPr>
          <w:pgSz w:w="11910" w:h="16840"/>
          <w:pgMar w:header="701" w:footer="683" w:top="1420" w:bottom="880" w:left="1500" w:right="920"/>
        </w:sectPr>
      </w:pPr>
    </w:p>
    <w:p>
      <w:pPr>
        <w:pStyle w:val="BodyText"/>
        <w:spacing w:line="424" w:lineRule="auto" w:before="115"/>
        <w:ind w:left="300" w:right="871"/>
        <w:jc w:val="both"/>
      </w:pPr>
      <w:r>
        <w:rPr>
          <w:spacing w:val="-7"/>
        </w:rPr>
        <w:t>以基金托管人和本基金联名的方式开立基金证券账户、以本基金的名义开立银行间债券托管</w:t>
      </w:r>
      <w:r>
        <w:rPr>
          <w:spacing w:val="-10"/>
        </w:rPr>
        <w:t>账户并报中国人民银行备案。开立的基金专用账户与基金管理人、基金托管人、基金代销机</w:t>
      </w:r>
      <w:r>
        <w:rPr>
          <w:spacing w:val="-5"/>
        </w:rPr>
        <w:t>构和基金登记结算机构自有的财产账户以及其他基金财产账户相独立。</w:t>
      </w:r>
    </w:p>
    <w:p>
      <w:pPr>
        <w:pStyle w:val="BodyText"/>
        <w:spacing w:line="266" w:lineRule="exact"/>
        <w:ind w:left="720"/>
      </w:pPr>
      <w:r>
        <w:rPr/>
        <w:t>（四）基金财产的保管和处分</w:t>
      </w:r>
    </w:p>
    <w:p>
      <w:pPr>
        <w:pStyle w:val="BodyText"/>
        <w:rPr>
          <w:sz w:val="16"/>
        </w:rPr>
      </w:pPr>
    </w:p>
    <w:p>
      <w:pPr>
        <w:pStyle w:val="BodyText"/>
        <w:spacing w:line="424" w:lineRule="auto" w:before="1"/>
        <w:ind w:left="300" w:right="871" w:firstLine="419"/>
        <w:jc w:val="both"/>
      </w:pPr>
      <w:r>
        <w:rPr>
          <w:spacing w:val="-9"/>
        </w:rPr>
        <w:t>本基金财产独立于基金管理人、基金托管人和基金代销机构的财产，并由基金托管人保</w:t>
      </w:r>
      <w:r>
        <w:rPr>
          <w:spacing w:val="-12"/>
        </w:rPr>
        <w:t>管。基金管理人、基金托管人不得将基金财产归入其固有财产；基金管理人、基金托管人因基金财产的管理、运用或其他情形而取得的财产和收益，归入基金财产。基金管理人、基金托管人、基金登记结算机构和基金代销机构以其自有的财产承担其自身的法律责任，其债权</w:t>
      </w:r>
      <w:r>
        <w:rPr>
          <w:spacing w:val="-11"/>
        </w:rPr>
        <w:t>人不得对本基金财产行使请求冻结、扣押或其他权利。除依法律法规和《基金合同》的规定</w:t>
      </w:r>
      <w:r>
        <w:rPr>
          <w:spacing w:val="-6"/>
        </w:rPr>
        <w:t>处分外，基金财产不得被处分。</w:t>
      </w:r>
    </w:p>
    <w:p>
      <w:pPr>
        <w:pStyle w:val="BodyText"/>
        <w:spacing w:line="424" w:lineRule="auto"/>
        <w:ind w:left="300" w:right="768" w:firstLine="419"/>
      </w:pPr>
      <w:r>
        <w:rPr/>
        <w:t>基金管理人管理运作基金财产所产生的债权，不得与其固有资产产生的债务相互抵消； 基金管理人管理运作不同基金的基金财产所产生的债权债务不得相互抵消。</w:t>
      </w:r>
    </w:p>
    <w:p>
      <w:pPr>
        <w:pStyle w:val="BodyText"/>
        <w:spacing w:before="5"/>
        <w:rPr>
          <w:sz w:val="24"/>
        </w:rPr>
      </w:pPr>
    </w:p>
    <w:p>
      <w:pPr>
        <w:pStyle w:val="Heading1"/>
        <w:ind w:left="298"/>
      </w:pPr>
      <w:bookmarkStart w:name="_bookmark12" w:id="13"/>
      <w:bookmarkEnd w:id="13"/>
      <w:r>
        <w:rPr>
          <w:b w:val="0"/>
        </w:rPr>
      </w:r>
      <w:r>
        <w:rPr/>
        <w:t>十三、基金资产的估值</w:t>
      </w:r>
    </w:p>
    <w:p>
      <w:pPr>
        <w:pStyle w:val="BodyText"/>
        <w:rPr>
          <w:b/>
          <w:sz w:val="24"/>
        </w:rPr>
      </w:pPr>
    </w:p>
    <w:p>
      <w:pPr>
        <w:pStyle w:val="BodyText"/>
        <w:spacing w:before="214"/>
        <w:ind w:left="720"/>
      </w:pPr>
      <w:r>
        <w:rPr/>
        <w:t>（一）估值目的</w:t>
      </w:r>
    </w:p>
    <w:p>
      <w:pPr>
        <w:pStyle w:val="BodyText"/>
        <w:spacing w:before="1"/>
        <w:rPr>
          <w:sz w:val="16"/>
        </w:rPr>
      </w:pPr>
    </w:p>
    <w:p>
      <w:pPr>
        <w:pStyle w:val="BodyText"/>
        <w:spacing w:line="424" w:lineRule="auto" w:before="1"/>
        <w:ind w:left="300" w:right="871" w:firstLine="419"/>
      </w:pPr>
      <w:r>
        <w:rPr>
          <w:spacing w:val="-9"/>
        </w:rPr>
        <w:t>基金资产估值的目的是客观、准确地反映基金资产价值，依据经基金资产估值后确定的</w:t>
      </w:r>
      <w:r>
        <w:rPr>
          <w:spacing w:val="-5"/>
        </w:rPr>
        <w:t>基金资产净值而计算出的基金份额净值，是计算基金申购与赎回价格的基础。</w:t>
      </w:r>
    </w:p>
    <w:p>
      <w:pPr>
        <w:pStyle w:val="BodyText"/>
        <w:spacing w:line="267" w:lineRule="exact"/>
        <w:ind w:left="720"/>
      </w:pPr>
      <w:r>
        <w:rPr/>
        <w:t>（二</w:t>
      </w:r>
      <w:r>
        <w:rPr>
          <w:spacing w:val="-3"/>
        </w:rPr>
        <w:t>）</w:t>
      </w:r>
      <w:r>
        <w:rPr>
          <w:spacing w:val="-2"/>
        </w:rPr>
        <w:t>估值原则</w:t>
      </w:r>
    </w:p>
    <w:p>
      <w:pPr>
        <w:pStyle w:val="BodyText"/>
        <w:rPr>
          <w:sz w:val="16"/>
        </w:rPr>
      </w:pPr>
    </w:p>
    <w:p>
      <w:pPr>
        <w:pStyle w:val="BodyText"/>
        <w:spacing w:line="424" w:lineRule="auto" w:before="1"/>
        <w:ind w:left="300" w:right="874" w:firstLine="419"/>
      </w:pPr>
      <w:r>
        <w:rPr>
          <w:spacing w:val="-6"/>
        </w:rPr>
        <w:t>基金管理人在确定相关金融资产和金融负债的公允价值时，应符合《企业会计准则》、</w:t>
      </w:r>
      <w:r>
        <w:rPr>
          <w:spacing w:val="-4"/>
        </w:rPr>
        <w:t>监管部门有关规定。</w:t>
      </w:r>
    </w:p>
    <w:p>
      <w:pPr>
        <w:pStyle w:val="ListParagraph"/>
        <w:numPr>
          <w:ilvl w:val="3"/>
          <w:numId w:val="27"/>
        </w:numPr>
        <w:tabs>
          <w:tab w:pos="1247" w:val="left" w:leader="none"/>
        </w:tabs>
        <w:spacing w:line="424" w:lineRule="auto" w:before="0" w:after="0"/>
        <w:ind w:left="300" w:right="662" w:firstLine="419"/>
        <w:jc w:val="left"/>
        <w:rPr>
          <w:sz w:val="21"/>
        </w:rPr>
      </w:pPr>
      <w:r>
        <w:rPr>
          <w:spacing w:val="-7"/>
          <w:sz w:val="21"/>
        </w:rPr>
        <w:t>对存在活跃市场且能够获取相同资产或负债报价的投资品种，在估值日有报价的， </w:t>
      </w:r>
      <w:r>
        <w:rPr>
          <w:spacing w:val="-12"/>
          <w:sz w:val="21"/>
        </w:rPr>
        <w:t>除会计准则规定的例外情况外，应将该报价不加调整地应用于该资产或负债的公允价值计量。</w:t>
      </w:r>
      <w:r>
        <w:rPr>
          <w:spacing w:val="-9"/>
          <w:sz w:val="21"/>
        </w:rPr>
        <w:t>估值日无报价且最近交易日后未发生影响公允价值计量的重大事件的，应采用最近交易日的 </w:t>
      </w:r>
      <w:r>
        <w:rPr>
          <w:spacing w:val="-5"/>
          <w:sz w:val="21"/>
        </w:rPr>
        <w:t>报价确定公允价值。有充足证据表明估值日或最近交易日的报价不能真实反映公允价值的， </w:t>
      </w:r>
      <w:r>
        <w:rPr>
          <w:spacing w:val="-4"/>
          <w:sz w:val="21"/>
        </w:rPr>
        <w:t>应对报价进行调整，确定公允价值。</w:t>
      </w:r>
    </w:p>
    <w:p>
      <w:pPr>
        <w:pStyle w:val="BodyText"/>
        <w:spacing w:line="424" w:lineRule="auto"/>
        <w:ind w:left="300" w:right="871" w:firstLine="419"/>
        <w:jc w:val="both"/>
      </w:pPr>
      <w:r>
        <w:rPr>
          <w:spacing w:val="-9"/>
        </w:rPr>
        <w:t>与上述投资品种相同，但具有不同特征的，应以相同资产或负债的公允价值为基础，并</w:t>
      </w:r>
      <w:r>
        <w:rPr>
          <w:spacing w:val="-10"/>
        </w:rPr>
        <w:t>在估值技术中考虑不同特征因素的影响。特征是指对资产出售或使用的限制等，如果该限制是针对资产持有者的，那么在估值技术中不应将该限制作为特征考虑。此外，基金管理人不</w:t>
      </w:r>
      <w:r>
        <w:rPr>
          <w:spacing w:val="-5"/>
        </w:rPr>
        <w:t>应考虑因其大量持有相关资产或负债所产生的溢价或折价。</w:t>
      </w:r>
    </w:p>
    <w:p>
      <w:pPr>
        <w:spacing w:after="0" w:line="424" w:lineRule="auto"/>
        <w:jc w:val="both"/>
        <w:sectPr>
          <w:pgSz w:w="11910" w:h="16840"/>
          <w:pgMar w:header="701" w:footer="683" w:top="1420" w:bottom="880" w:left="1500" w:right="920"/>
        </w:sectPr>
      </w:pPr>
    </w:p>
    <w:p>
      <w:pPr>
        <w:pStyle w:val="ListParagraph"/>
        <w:numPr>
          <w:ilvl w:val="3"/>
          <w:numId w:val="27"/>
        </w:numPr>
        <w:tabs>
          <w:tab w:pos="1250" w:val="left" w:leader="none"/>
        </w:tabs>
        <w:spacing w:line="424" w:lineRule="auto" w:before="115" w:after="0"/>
        <w:ind w:left="300" w:right="871" w:firstLine="419"/>
        <w:jc w:val="both"/>
        <w:rPr>
          <w:sz w:val="21"/>
        </w:rPr>
      </w:pPr>
      <w:r>
        <w:rPr>
          <w:spacing w:val="-3"/>
          <w:sz w:val="21"/>
        </w:rPr>
        <w:t>对不存在活跃市场的投资品种，应采用在当前情况下适用并且有足够可利用数据</w:t>
      </w:r>
      <w:r>
        <w:rPr>
          <w:spacing w:val="-8"/>
          <w:sz w:val="21"/>
        </w:rPr>
        <w:t>和其他信息支持的估值技术确定公允价值。采用估值技术确定公允价值时，应优先使用可观</w:t>
      </w:r>
      <w:r>
        <w:rPr>
          <w:spacing w:val="-12"/>
          <w:sz w:val="21"/>
        </w:rPr>
        <w:t>察输入值，只有在无法取得相关资产或负债可观察输入值或取得不切实可行的情况下，才可</w:t>
      </w:r>
      <w:r>
        <w:rPr>
          <w:spacing w:val="-6"/>
          <w:sz w:val="21"/>
        </w:rPr>
        <w:t>以使用不可观察输入值。</w:t>
      </w:r>
    </w:p>
    <w:p>
      <w:pPr>
        <w:pStyle w:val="ListParagraph"/>
        <w:numPr>
          <w:ilvl w:val="3"/>
          <w:numId w:val="27"/>
        </w:numPr>
        <w:tabs>
          <w:tab w:pos="1250" w:val="left" w:leader="none"/>
        </w:tabs>
        <w:spacing w:line="424" w:lineRule="auto" w:before="0" w:after="0"/>
        <w:ind w:left="300" w:right="871" w:firstLine="419"/>
        <w:jc w:val="both"/>
        <w:rPr>
          <w:sz w:val="21"/>
        </w:rPr>
      </w:pPr>
      <w:r>
        <w:rPr>
          <w:spacing w:val="-3"/>
          <w:sz w:val="21"/>
        </w:rPr>
        <w:t>如经济环境发生重大变化或证券发行人发生影响证券价格的重大事件，使潜在估</w:t>
      </w:r>
      <w:r>
        <w:rPr>
          <w:spacing w:val="-4"/>
          <w:sz w:val="21"/>
        </w:rPr>
        <w:t>值调整对前一估值日的基金资产净值的影响在 </w:t>
      </w:r>
      <w:r>
        <w:rPr>
          <w:rFonts w:ascii="Times New Roman" w:eastAsia="Times New Roman"/>
          <w:sz w:val="21"/>
        </w:rPr>
        <w:t>0.25%</w:t>
      </w:r>
      <w:r>
        <w:rPr>
          <w:spacing w:val="-10"/>
          <w:sz w:val="21"/>
        </w:rPr>
        <w:t>以上的，应对估值进行调整并确定公允价值。</w:t>
      </w:r>
    </w:p>
    <w:p>
      <w:pPr>
        <w:pStyle w:val="BodyText"/>
        <w:ind w:left="720"/>
      </w:pPr>
      <w:r>
        <w:rPr/>
        <w:t>（三）估值日</w:t>
      </w:r>
    </w:p>
    <w:p>
      <w:pPr>
        <w:pStyle w:val="BodyText"/>
        <w:spacing w:before="9"/>
        <w:rPr>
          <w:sz w:val="15"/>
        </w:rPr>
      </w:pPr>
    </w:p>
    <w:p>
      <w:pPr>
        <w:pStyle w:val="BodyText"/>
        <w:spacing w:line="424" w:lineRule="auto"/>
        <w:ind w:left="300" w:right="874" w:firstLine="419"/>
      </w:pPr>
      <w:r>
        <w:rPr/>
        <w:t>本基金的估值日为相关的证券交易场所的正常交易日以及国家法律法规规定需要对外披露基金净值的非交易日。</w:t>
      </w:r>
    </w:p>
    <w:p>
      <w:pPr>
        <w:pStyle w:val="BodyText"/>
        <w:spacing w:line="267" w:lineRule="exact"/>
        <w:ind w:left="720"/>
      </w:pPr>
      <w:r>
        <w:rPr/>
        <w:t>（四）估值对象</w:t>
      </w:r>
    </w:p>
    <w:p>
      <w:pPr>
        <w:pStyle w:val="BodyText"/>
        <w:spacing w:before="1"/>
        <w:rPr>
          <w:sz w:val="16"/>
        </w:rPr>
      </w:pPr>
    </w:p>
    <w:p>
      <w:pPr>
        <w:pStyle w:val="BodyText"/>
        <w:ind w:left="720"/>
      </w:pPr>
      <w:r>
        <w:rPr/>
        <w:t>基金所拥有的股票、债券和银行存款本息等资产和负债。</w:t>
      </w:r>
    </w:p>
    <w:p>
      <w:pPr>
        <w:pStyle w:val="BodyText"/>
        <w:spacing w:before="1"/>
        <w:rPr>
          <w:sz w:val="16"/>
        </w:rPr>
      </w:pPr>
    </w:p>
    <w:p>
      <w:pPr>
        <w:pStyle w:val="BodyText"/>
        <w:ind w:left="720"/>
      </w:pPr>
      <w:r>
        <w:rPr/>
        <w:t>（五）估值程序</w:t>
      </w:r>
    </w:p>
    <w:p>
      <w:pPr>
        <w:pStyle w:val="BodyText"/>
        <w:spacing w:before="4"/>
        <w:rPr>
          <w:sz w:val="16"/>
        </w:rPr>
      </w:pPr>
    </w:p>
    <w:p>
      <w:pPr>
        <w:pStyle w:val="BodyText"/>
        <w:spacing w:line="424" w:lineRule="auto"/>
        <w:ind w:left="300" w:right="871" w:firstLine="419"/>
        <w:jc w:val="both"/>
      </w:pPr>
      <w:r>
        <w:rPr>
          <w:spacing w:val="-8"/>
        </w:rPr>
        <w:t>基金日常估值由基金管理人进行。基金管理人完成估值后，将估值结果加盖业务公章以</w:t>
      </w:r>
      <w:r>
        <w:rPr>
          <w:spacing w:val="-9"/>
        </w:rPr>
        <w:t>书面形式加密传真至基金托管人，基金托管人按法律法规、《基金合同》规定的估值方法、</w:t>
      </w:r>
      <w:r>
        <w:rPr>
          <w:spacing w:val="-13"/>
        </w:rPr>
        <w:t>时间、程序进行复核，复核无误后在基金管理人传真的书面估值结果上加盖业务公章返回给</w:t>
      </w:r>
      <w:r>
        <w:rPr>
          <w:spacing w:val="-6"/>
        </w:rPr>
        <w:t>基金管理人；月末、年中和年末估值复核与基金会计账目的核对同时进行。</w:t>
      </w:r>
    </w:p>
    <w:p>
      <w:pPr>
        <w:pStyle w:val="BodyText"/>
        <w:spacing w:line="265" w:lineRule="exact"/>
        <w:ind w:left="720"/>
      </w:pPr>
      <w:r>
        <w:rPr/>
        <w:t>（六）估值方法</w:t>
      </w:r>
    </w:p>
    <w:p>
      <w:pPr>
        <w:pStyle w:val="BodyText"/>
        <w:spacing w:before="1"/>
        <w:rPr>
          <w:sz w:val="16"/>
        </w:rPr>
      </w:pPr>
    </w:p>
    <w:p>
      <w:pPr>
        <w:pStyle w:val="BodyText"/>
        <w:ind w:left="720"/>
      </w:pPr>
      <w:r>
        <w:rPr/>
        <w:t>本基金按以下方式进行估值：</w:t>
      </w:r>
    </w:p>
    <w:p>
      <w:pPr>
        <w:pStyle w:val="BodyText"/>
        <w:spacing w:before="1"/>
        <w:rPr>
          <w:sz w:val="16"/>
        </w:rPr>
      </w:pPr>
    </w:p>
    <w:p>
      <w:pPr>
        <w:pStyle w:val="BodyText"/>
        <w:ind w:left="720"/>
        <w:jc w:val="both"/>
      </w:pPr>
      <w:r>
        <w:rPr>
          <w:rFonts w:ascii="Times New Roman" w:eastAsia="Times New Roman"/>
        </w:rPr>
        <w:t>1</w:t>
      </w:r>
      <w:r>
        <w:rPr/>
        <w:t>、目标 </w:t>
      </w:r>
      <w:r>
        <w:rPr>
          <w:rFonts w:ascii="Times New Roman" w:eastAsia="Times New Roman"/>
        </w:rPr>
        <w:t>ETF </w:t>
      </w:r>
      <w:r>
        <w:rPr/>
        <w:t>估值方法</w:t>
      </w:r>
    </w:p>
    <w:p>
      <w:pPr>
        <w:pStyle w:val="BodyText"/>
        <w:spacing w:before="1"/>
        <w:rPr>
          <w:sz w:val="16"/>
        </w:rPr>
      </w:pPr>
    </w:p>
    <w:p>
      <w:pPr>
        <w:pStyle w:val="BodyText"/>
        <w:spacing w:line="424" w:lineRule="auto"/>
        <w:ind w:left="300" w:right="871" w:firstLine="419"/>
        <w:jc w:val="both"/>
      </w:pPr>
      <w:r>
        <w:rPr>
          <w:spacing w:val="3"/>
        </w:rPr>
        <w:t>本基金投资的目标</w:t>
      </w:r>
      <w:r>
        <w:rPr>
          <w:rFonts w:ascii="Times New Roman" w:eastAsia="Times New Roman"/>
        </w:rPr>
        <w:t>ETF </w:t>
      </w:r>
      <w:r>
        <w:rPr>
          <w:spacing w:val="2"/>
        </w:rPr>
        <w:t>份额按照估值日目标</w:t>
      </w:r>
      <w:r>
        <w:rPr>
          <w:rFonts w:ascii="Times New Roman" w:eastAsia="Times New Roman"/>
        </w:rPr>
        <w:t>ETF </w:t>
      </w:r>
      <w:r>
        <w:rPr>
          <w:spacing w:val="-3"/>
        </w:rPr>
        <w:t>的基金份额净值估值。如果基金管理</w:t>
      </w:r>
      <w:r>
        <w:rPr>
          <w:spacing w:val="-8"/>
        </w:rPr>
        <w:t>人认为按上述价格不能客观反映其公允价值的，基金管理人可根据具体情况与基金托管人协</w:t>
      </w:r>
      <w:r>
        <w:rPr>
          <w:spacing w:val="-5"/>
        </w:rPr>
        <w:t>商后，按最能反映其公允价值的价格估值。</w:t>
      </w:r>
    </w:p>
    <w:p>
      <w:pPr>
        <w:pStyle w:val="BodyText"/>
        <w:ind w:left="720"/>
      </w:pPr>
      <w:r>
        <w:rPr>
          <w:rFonts w:ascii="Times New Roman" w:eastAsia="Times New Roman"/>
        </w:rPr>
        <w:t>2</w:t>
      </w:r>
      <w:r>
        <w:rPr/>
        <w:t>、证券交易所上市的有价证券的估值</w:t>
      </w:r>
    </w:p>
    <w:p>
      <w:pPr>
        <w:pStyle w:val="BodyText"/>
        <w:spacing w:before="1"/>
        <w:rPr>
          <w:sz w:val="16"/>
        </w:rPr>
      </w:pPr>
    </w:p>
    <w:p>
      <w:pPr>
        <w:pStyle w:val="ListParagraph"/>
        <w:numPr>
          <w:ilvl w:val="0"/>
          <w:numId w:val="28"/>
        </w:numPr>
        <w:tabs>
          <w:tab w:pos="1250" w:val="left" w:leader="none"/>
        </w:tabs>
        <w:spacing w:line="424" w:lineRule="auto" w:before="0" w:after="0"/>
        <w:ind w:left="300" w:right="87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估值；如最近交易日后经济环境发生了重大变化的或证券发行机构发生影响证券价格的重大事件的，可参考类似投</w:t>
      </w:r>
      <w:r>
        <w:rPr>
          <w:spacing w:val="-3"/>
          <w:sz w:val="21"/>
        </w:rPr>
        <w:t>资品种的现行市价及重大变化因素，调整最近交易市价，确定公允价格；</w:t>
      </w:r>
    </w:p>
    <w:p>
      <w:pPr>
        <w:spacing w:after="0" w:line="424" w:lineRule="auto"/>
        <w:jc w:val="both"/>
        <w:rPr>
          <w:sz w:val="21"/>
        </w:rPr>
        <w:sectPr>
          <w:pgSz w:w="11910" w:h="16840"/>
          <w:pgMar w:header="701" w:footer="683" w:top="1420" w:bottom="880" w:left="1500" w:right="920"/>
        </w:sectPr>
      </w:pPr>
    </w:p>
    <w:p>
      <w:pPr>
        <w:pStyle w:val="ListParagraph"/>
        <w:numPr>
          <w:ilvl w:val="0"/>
          <w:numId w:val="28"/>
        </w:numPr>
        <w:tabs>
          <w:tab w:pos="1250" w:val="left" w:leader="none"/>
        </w:tabs>
        <w:spacing w:line="424" w:lineRule="auto" w:before="115" w:after="0"/>
        <w:ind w:left="300" w:right="874" w:firstLine="419"/>
        <w:jc w:val="left"/>
        <w:rPr>
          <w:sz w:val="21"/>
        </w:rPr>
      </w:pPr>
      <w:r>
        <w:rPr>
          <w:spacing w:val="-3"/>
          <w:sz w:val="21"/>
        </w:rPr>
        <w:t>交易所上市交易或挂牌转让的不含权固定收益品种，选取估值日第三方估值机构提供的相应品种当日的估值净价进行估值；</w:t>
      </w:r>
    </w:p>
    <w:p>
      <w:pPr>
        <w:pStyle w:val="ListParagraph"/>
        <w:numPr>
          <w:ilvl w:val="0"/>
          <w:numId w:val="28"/>
        </w:numPr>
        <w:tabs>
          <w:tab w:pos="1250" w:val="left" w:leader="none"/>
        </w:tabs>
        <w:spacing w:line="424" w:lineRule="auto" w:before="0" w:after="0"/>
        <w:ind w:left="300" w:right="874" w:firstLine="419"/>
        <w:jc w:val="left"/>
        <w:rPr>
          <w:sz w:val="21"/>
        </w:rPr>
      </w:pPr>
      <w:r>
        <w:rPr>
          <w:spacing w:val="-3"/>
          <w:sz w:val="21"/>
        </w:rPr>
        <w:t>交易所上市交易或挂牌转让的含权固定收益品种，选取估值日第三方估值机构提供的相应品种当日的估值净价或推荐估值净价进行估值；</w:t>
      </w:r>
    </w:p>
    <w:p>
      <w:pPr>
        <w:pStyle w:val="ListParagraph"/>
        <w:numPr>
          <w:ilvl w:val="0"/>
          <w:numId w:val="28"/>
        </w:numPr>
        <w:tabs>
          <w:tab w:pos="1250" w:val="left" w:leader="none"/>
        </w:tabs>
        <w:spacing w:line="267" w:lineRule="exact" w:before="0" w:after="0"/>
        <w:ind w:left="1249" w:right="0" w:hanging="530"/>
        <w:jc w:val="left"/>
        <w:rPr>
          <w:sz w:val="21"/>
        </w:rPr>
      </w:pPr>
      <w:r>
        <w:rPr>
          <w:spacing w:val="-3"/>
          <w:sz w:val="21"/>
        </w:rPr>
        <w:t>交易所上市交易的可转换债券以每日收盘价作为估值全价；</w:t>
      </w:r>
    </w:p>
    <w:p>
      <w:pPr>
        <w:pStyle w:val="BodyText"/>
        <w:spacing w:before="1"/>
        <w:rPr>
          <w:sz w:val="16"/>
        </w:rPr>
      </w:pPr>
    </w:p>
    <w:p>
      <w:pPr>
        <w:pStyle w:val="ListParagraph"/>
        <w:numPr>
          <w:ilvl w:val="0"/>
          <w:numId w:val="28"/>
        </w:numPr>
        <w:tabs>
          <w:tab w:pos="1250" w:val="left" w:leader="none"/>
        </w:tabs>
        <w:spacing w:line="424" w:lineRule="auto" w:before="0" w:after="0"/>
        <w:ind w:left="300" w:right="874" w:firstLine="419"/>
        <w:jc w:val="left"/>
        <w:rPr>
          <w:sz w:val="21"/>
        </w:rPr>
      </w:pPr>
      <w:r>
        <w:rPr>
          <w:spacing w:val="-3"/>
          <w:sz w:val="21"/>
        </w:rPr>
        <w:t>交易所上市不存在活跃市场的有价证券，采用估值技术确定公允价值。交易所市场挂牌转让的资产支持证券，采用估值技术确定公允价值；</w:t>
      </w:r>
    </w:p>
    <w:p>
      <w:pPr>
        <w:pStyle w:val="ListParagraph"/>
        <w:numPr>
          <w:ilvl w:val="0"/>
          <w:numId w:val="28"/>
        </w:numPr>
        <w:tabs>
          <w:tab w:pos="1250" w:val="left" w:leader="none"/>
        </w:tabs>
        <w:spacing w:line="424" w:lineRule="auto" w:before="0" w:after="0"/>
        <w:ind w:left="300" w:right="871" w:firstLine="419"/>
        <w:jc w:val="both"/>
        <w:rPr>
          <w:sz w:val="21"/>
        </w:rPr>
      </w:pPr>
      <w:r>
        <w:rPr>
          <w:spacing w:val="-3"/>
          <w:sz w:val="21"/>
        </w:rPr>
        <w:t>对在交易所市场发行未上市或未挂牌转让的债券，对存在活跃市场的情况下，应</w:t>
      </w:r>
      <w:r>
        <w:rPr>
          <w:spacing w:val="-7"/>
          <w:sz w:val="21"/>
        </w:rPr>
        <w:t>以活跃市场上未经调整的报价作为估值日的公允价值；对于活跃市场报价未能代表估值日公</w:t>
      </w:r>
      <w:r>
        <w:rPr>
          <w:spacing w:val="-12"/>
          <w:sz w:val="21"/>
        </w:rPr>
        <w:t>允价值的情况下，应对市场报价进行调整以确认估值日的公允价值；对于不存在市场活动或</w:t>
      </w:r>
      <w:r>
        <w:rPr>
          <w:spacing w:val="-6"/>
          <w:sz w:val="21"/>
        </w:rPr>
        <w:t>市场活动很少的情况下，应采用估值技术确定其公允价值。</w:t>
      </w:r>
    </w:p>
    <w:p>
      <w:pPr>
        <w:pStyle w:val="BodyText"/>
        <w:spacing w:line="265" w:lineRule="exact"/>
        <w:ind w:left="720"/>
      </w:pPr>
      <w:r>
        <w:rPr>
          <w:rFonts w:ascii="Times New Roman" w:eastAsia="Times New Roman"/>
        </w:rPr>
        <w:t>3</w:t>
      </w:r>
      <w:r>
        <w:rPr/>
        <w:t>、处于未上市期间的有价证券应区分如下情况处理：</w:t>
      </w:r>
    </w:p>
    <w:p>
      <w:pPr>
        <w:pStyle w:val="BodyText"/>
        <w:spacing w:before="12"/>
        <w:rPr>
          <w:sz w:val="15"/>
        </w:rPr>
      </w:pPr>
    </w:p>
    <w:p>
      <w:pPr>
        <w:pStyle w:val="ListParagraph"/>
        <w:numPr>
          <w:ilvl w:val="0"/>
          <w:numId w:val="29"/>
        </w:numPr>
        <w:tabs>
          <w:tab w:pos="1250" w:val="left" w:leader="none"/>
        </w:tabs>
        <w:spacing w:line="427" w:lineRule="auto" w:before="0" w:after="0"/>
        <w:ind w:left="300" w:right="87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9"/>
        </w:numPr>
        <w:tabs>
          <w:tab w:pos="1250" w:val="left" w:leader="none"/>
        </w:tabs>
        <w:spacing w:line="424" w:lineRule="auto" w:before="0" w:after="0"/>
        <w:ind w:left="300" w:right="874" w:firstLine="419"/>
        <w:jc w:val="left"/>
        <w:rPr>
          <w:sz w:val="21"/>
        </w:rPr>
      </w:pPr>
      <w:r>
        <w:rPr>
          <w:spacing w:val="-3"/>
          <w:sz w:val="21"/>
        </w:rPr>
        <w:t>首次公开发行未上市的股票、债券，采用估值技术确定公允价值，在估值技术难以可靠计量公允价值的情况下，按成本估值；</w:t>
      </w:r>
    </w:p>
    <w:p>
      <w:pPr>
        <w:pStyle w:val="ListParagraph"/>
        <w:numPr>
          <w:ilvl w:val="0"/>
          <w:numId w:val="29"/>
        </w:numPr>
        <w:tabs>
          <w:tab w:pos="1250" w:val="left" w:leader="none"/>
        </w:tabs>
        <w:spacing w:line="424" w:lineRule="auto" w:before="0" w:after="0"/>
        <w:ind w:left="300" w:right="768" w:firstLine="419"/>
        <w:jc w:val="left"/>
        <w:rPr>
          <w:sz w:val="21"/>
        </w:rPr>
      </w:pPr>
      <w:r>
        <w:rPr>
          <w:spacing w:val="-3"/>
          <w:sz w:val="21"/>
        </w:rPr>
        <w:t>在发行时明确一定期限限售期的股票，包括但不限于非公开发行股票、首次公开发行股票时公司股东公开发售股份、通过大宗交易取得的带限售期的股票等，不包括停牌、</w:t>
      </w:r>
      <w:r>
        <w:rPr>
          <w:spacing w:val="-11"/>
          <w:sz w:val="21"/>
        </w:rPr>
        <w:t>新发行未上市、回购交易中的质押券等流通受限股票，按监管机构或行业协会有关规定确定</w:t>
      </w:r>
      <w:r>
        <w:rPr>
          <w:spacing w:val="-6"/>
          <w:sz w:val="21"/>
        </w:rPr>
        <w:t>公允价值。</w:t>
      </w:r>
    </w:p>
    <w:p>
      <w:pPr>
        <w:pStyle w:val="BodyText"/>
        <w:spacing w:line="424" w:lineRule="auto"/>
        <w:ind w:left="300" w:right="871" w:firstLine="419"/>
        <w:jc w:val="both"/>
      </w:pPr>
      <w:r>
        <w:rPr>
          <w:rFonts w:ascii="Times New Roman" w:eastAsia="Times New Roman"/>
        </w:rPr>
        <w:t>4</w:t>
      </w:r>
      <w:r>
        <w:rPr>
          <w:spacing w:val="-3"/>
        </w:rPr>
        <w:t>、对全国银行间市场上不含权的固定收益品种，按照第三方估值机构提供的相应品种</w:t>
      </w:r>
      <w:r>
        <w:rPr>
          <w:spacing w:val="-10"/>
        </w:rPr>
        <w:t>当日的估值净价估值。对银行间市场上含权的固定收益品种，按照第三方估值机构提供的相应品种当日的估值净价或推荐估值净价估值。对于含投资人回售权的固定收益品种，回售登</w:t>
      </w:r>
      <w:r>
        <w:rPr>
          <w:spacing w:val="-15"/>
        </w:rPr>
        <w:t>记截止日</w:t>
      </w:r>
      <w:r>
        <w:rPr/>
        <w:t>（</w:t>
      </w:r>
      <w:r>
        <w:rPr>
          <w:spacing w:val="-3"/>
        </w:rPr>
        <w:t>含当日</w:t>
      </w:r>
      <w:r>
        <w:rPr>
          <w:spacing w:val="-32"/>
        </w:rPr>
        <w:t>）</w:t>
      </w:r>
      <w:r>
        <w:rPr>
          <w:spacing w:val="-5"/>
        </w:rPr>
        <w:t>后未行使回售权的按照长待偿期所对应的价格进行估值。对银行间市场</w:t>
      </w:r>
      <w:r>
        <w:rPr>
          <w:spacing w:val="-11"/>
        </w:rPr>
        <w:t>未上市，且第三方估值机构未提供估值价格的债券，在发行利率与二级市场利率不存在明显</w:t>
      </w:r>
      <w:r>
        <w:rPr>
          <w:spacing w:val="-6"/>
        </w:rPr>
        <w:t>差异，未上市期间市场利率没有发生大的变动的情况下，按成本估值。</w:t>
      </w:r>
    </w:p>
    <w:p>
      <w:pPr>
        <w:pStyle w:val="BodyText"/>
        <w:spacing w:line="266" w:lineRule="exact"/>
        <w:ind w:left="720"/>
      </w:pPr>
      <w:r>
        <w:rPr>
          <w:rFonts w:ascii="Times New Roman" w:eastAsia="Times New Roman"/>
        </w:rPr>
        <w:t>5</w:t>
      </w:r>
      <w:r>
        <w:rPr/>
        <w:t>、存款的估值方法</w:t>
      </w:r>
    </w:p>
    <w:p>
      <w:pPr>
        <w:pStyle w:val="BodyText"/>
        <w:spacing w:before="196"/>
        <w:ind w:left="720"/>
      </w:pPr>
      <w:r>
        <w:rPr/>
        <w:t>持有的银行定期存款或通知存款以本金列示，按协议或合同利率逐日确认利息收入。</w:t>
      </w:r>
    </w:p>
    <w:p>
      <w:pPr>
        <w:pStyle w:val="BodyText"/>
        <w:spacing w:before="1"/>
        <w:rPr>
          <w:sz w:val="16"/>
        </w:rPr>
      </w:pPr>
    </w:p>
    <w:p>
      <w:pPr>
        <w:pStyle w:val="BodyText"/>
        <w:ind w:left="720"/>
      </w:pPr>
      <w:r>
        <w:rPr>
          <w:rFonts w:ascii="Times New Roman" w:eastAsia="Times New Roman"/>
        </w:rPr>
        <w:t>6</w:t>
      </w:r>
      <w:r>
        <w:rPr/>
        <w:t>、投资证券衍生品的估值方法</w:t>
      </w:r>
    </w:p>
    <w:p>
      <w:pPr>
        <w:spacing w:after="0"/>
        <w:sectPr>
          <w:pgSz w:w="11910" w:h="16840"/>
          <w:pgMar w:header="701" w:footer="683" w:top="1420" w:bottom="880" w:left="1500" w:right="920"/>
        </w:sectPr>
      </w:pPr>
    </w:p>
    <w:p>
      <w:pPr>
        <w:pStyle w:val="ListParagraph"/>
        <w:numPr>
          <w:ilvl w:val="0"/>
          <w:numId w:val="30"/>
        </w:numPr>
        <w:tabs>
          <w:tab w:pos="1250" w:val="left" w:leader="none"/>
        </w:tabs>
        <w:spacing w:line="424" w:lineRule="auto" w:before="115" w:after="0"/>
        <w:ind w:left="300" w:right="873" w:firstLine="419"/>
        <w:jc w:val="left"/>
        <w:rPr>
          <w:sz w:val="21"/>
        </w:rPr>
      </w:pPr>
      <w:r>
        <w:rPr>
          <w:spacing w:val="-3"/>
          <w:sz w:val="21"/>
        </w:rPr>
        <w:t>因持有股票而享有的配股权，采用估值技术确定公允价值进行估值。在估值技术难以可靠计量公允价值的情况下，按成本进行估值。</w:t>
      </w:r>
    </w:p>
    <w:p>
      <w:pPr>
        <w:pStyle w:val="ListParagraph"/>
        <w:numPr>
          <w:ilvl w:val="0"/>
          <w:numId w:val="30"/>
        </w:numPr>
        <w:tabs>
          <w:tab w:pos="1250" w:val="left" w:leader="none"/>
        </w:tabs>
        <w:spacing w:line="424" w:lineRule="auto" w:before="0" w:after="0"/>
        <w:ind w:left="300" w:right="874" w:firstLine="419"/>
        <w:jc w:val="left"/>
        <w:rPr>
          <w:sz w:val="21"/>
        </w:rPr>
      </w:pPr>
      <w:r>
        <w:rPr>
          <w:spacing w:val="-3"/>
          <w:sz w:val="21"/>
        </w:rPr>
        <w:t>股指期货合约和国债期货合约，一般以估值当日结算价进行，估值当日无结算价的，且最近交易日后经济环境未发生重大变化的，采用最近交易日结算价估值。</w:t>
      </w:r>
    </w:p>
    <w:p>
      <w:pPr>
        <w:pStyle w:val="ListParagraph"/>
        <w:numPr>
          <w:ilvl w:val="0"/>
          <w:numId w:val="30"/>
        </w:numPr>
        <w:tabs>
          <w:tab w:pos="1250" w:val="left" w:leader="none"/>
        </w:tabs>
        <w:spacing w:line="267" w:lineRule="exact" w:before="0" w:after="0"/>
        <w:ind w:left="1249" w:right="0" w:hanging="530"/>
        <w:jc w:val="left"/>
        <w:rPr>
          <w:sz w:val="21"/>
        </w:rPr>
      </w:pPr>
      <w:r>
        <w:rPr>
          <w:spacing w:val="-3"/>
          <w:sz w:val="21"/>
        </w:rPr>
        <w:t>本基金投资股票期权，根据相关法律法规以及监管部门的规定估值。</w:t>
      </w:r>
    </w:p>
    <w:p>
      <w:pPr>
        <w:pStyle w:val="BodyText"/>
        <w:spacing w:before="1"/>
        <w:rPr>
          <w:sz w:val="16"/>
        </w:rPr>
      </w:pPr>
    </w:p>
    <w:p>
      <w:pPr>
        <w:pStyle w:val="BodyText"/>
        <w:spacing w:line="424" w:lineRule="auto"/>
        <w:ind w:left="300" w:right="873" w:firstLine="419"/>
      </w:pPr>
      <w:r>
        <w:rPr>
          <w:rFonts w:ascii="Times New Roman" w:eastAsia="Times New Roman"/>
        </w:rPr>
        <w:t>7</w:t>
      </w:r>
      <w:r>
        <w:rPr/>
        <w:t>、基金参与转融通证券出借业务的，按照相关法律法规和行业协会的相关规定进行估值。</w:t>
      </w:r>
    </w:p>
    <w:p>
      <w:pPr>
        <w:pStyle w:val="BodyText"/>
        <w:spacing w:line="268" w:lineRule="exact"/>
        <w:ind w:left="720"/>
      </w:pPr>
      <w:r>
        <w:rPr>
          <w:rFonts w:ascii="Times New Roman" w:eastAsia="Times New Roman"/>
        </w:rPr>
        <w:t>8</w:t>
      </w:r>
      <w:r>
        <w:rPr/>
        <w:t>、本基金可以采用第三方估值机构按照上述公允价值确定原则提供的估值价格数据。</w:t>
      </w:r>
    </w:p>
    <w:p>
      <w:pPr>
        <w:pStyle w:val="BodyText"/>
        <w:spacing w:before="1"/>
        <w:rPr>
          <w:sz w:val="16"/>
        </w:rPr>
      </w:pPr>
    </w:p>
    <w:p>
      <w:pPr>
        <w:pStyle w:val="BodyText"/>
        <w:spacing w:line="424" w:lineRule="auto"/>
        <w:ind w:left="300" w:right="87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24" w:lineRule="auto"/>
        <w:ind w:left="300" w:right="871" w:firstLine="419"/>
      </w:pPr>
      <w:r>
        <w:rPr>
          <w:rFonts w:ascii="Times New Roman" w:eastAsia="Times New Roman"/>
        </w:rPr>
        <w:t>10</w:t>
      </w:r>
      <w:r>
        <w:rPr>
          <w:spacing w:val="-10"/>
        </w:rPr>
        <w:t>、当发生大额申购或赎回情形时，基金管理人可以采用摆动定价机制，以确保基金估</w:t>
      </w:r>
      <w:r>
        <w:rPr>
          <w:spacing w:val="-5"/>
        </w:rPr>
        <w:t>值的公平性。</w:t>
      </w:r>
    </w:p>
    <w:p>
      <w:pPr>
        <w:pStyle w:val="BodyText"/>
        <w:spacing w:line="267" w:lineRule="exact"/>
        <w:ind w:left="720"/>
      </w:pPr>
      <w:r>
        <w:rPr>
          <w:rFonts w:ascii="Times New Roman" w:eastAsia="Times New Roman"/>
        </w:rPr>
        <w:t>11</w:t>
      </w:r>
      <w:r>
        <w:rPr/>
        <w:t>、其他资产按法律法规或监管机构有关规定进行估值。</w:t>
      </w:r>
    </w:p>
    <w:p>
      <w:pPr>
        <w:pStyle w:val="BodyText"/>
        <w:spacing w:before="1"/>
        <w:rPr>
          <w:sz w:val="16"/>
        </w:rPr>
      </w:pPr>
    </w:p>
    <w:p>
      <w:pPr>
        <w:pStyle w:val="BodyText"/>
        <w:spacing w:line="424" w:lineRule="auto" w:before="1"/>
        <w:ind w:left="300" w:right="87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24" w:lineRule="auto"/>
        <w:ind w:left="300" w:right="871" w:firstLine="419"/>
        <w:jc w:val="both"/>
      </w:pPr>
      <w:r>
        <w:rPr>
          <w:spacing w:val="-12"/>
        </w:rPr>
        <w:t>根据《基金法》，基金管理人计算并公告基金净值信息，基金托管人复核、审查基金管理人计算的基金净值信息。因此，就与本基金有关的会计问题，如经相关各方在平等基础上</w:t>
      </w:r>
      <w:r>
        <w:rPr>
          <w:spacing w:val="-13"/>
        </w:rPr>
        <w:t>充分讨论后，仍无法达成一致的意见，按照基金管理人对基金净值信息的计算结果对外予以公布。</w:t>
      </w:r>
    </w:p>
    <w:p>
      <w:pPr>
        <w:pStyle w:val="BodyText"/>
        <w:spacing w:line="265" w:lineRule="exact"/>
        <w:ind w:left="720"/>
      </w:pPr>
      <w:r>
        <w:rPr/>
        <w:t>（七）基金份额净值的确认和估值错误的处理</w:t>
      </w:r>
    </w:p>
    <w:p>
      <w:pPr>
        <w:pStyle w:val="BodyText"/>
        <w:spacing w:before="12"/>
        <w:rPr>
          <w:sz w:val="15"/>
        </w:rPr>
      </w:pPr>
    </w:p>
    <w:p>
      <w:pPr>
        <w:pStyle w:val="BodyText"/>
        <w:spacing w:line="424" w:lineRule="auto"/>
        <w:ind w:left="300" w:right="870" w:firstLine="419"/>
        <w:jc w:val="both"/>
      </w:pPr>
      <w:r>
        <w:rPr>
          <w:spacing w:val="-6"/>
        </w:rPr>
        <w:t>基金份额净值的计算保留到小数点后 </w:t>
      </w:r>
      <w:r>
        <w:rPr>
          <w:rFonts w:ascii="Times New Roman" w:eastAsia="Times New Roman"/>
        </w:rPr>
        <w:t>4 </w:t>
      </w:r>
      <w:r>
        <w:rPr>
          <w:spacing w:val="-15"/>
        </w:rPr>
        <w:t>位，小数点后第 </w:t>
      </w:r>
      <w:r>
        <w:rPr>
          <w:rFonts w:ascii="Times New Roman" w:eastAsia="Times New Roman"/>
        </w:rPr>
        <w:t>5 </w:t>
      </w:r>
      <w:r>
        <w:rPr>
          <w:spacing w:val="-9"/>
        </w:rPr>
        <w:t>位四舍五入。基金管理人可以设立大额赎回情形下的净值精度应急调整机制。国家另有规定的，从其规定。当估值或份额</w:t>
      </w:r>
      <w:r>
        <w:rPr>
          <w:spacing w:val="-11"/>
        </w:rPr>
        <w:t>净值计价错误实际发生时，基金管理人应当立即纠正，并采取合理的措施防止损失进一步扩</w:t>
      </w:r>
      <w:r>
        <w:rPr>
          <w:spacing w:val="-8"/>
        </w:rPr>
        <w:t>大。当错误达到或超过基金份额净值的 </w:t>
      </w:r>
      <w:r>
        <w:rPr>
          <w:rFonts w:ascii="Times New Roman" w:eastAsia="Times New Roman"/>
        </w:rPr>
        <w:t>0.25%</w:t>
      </w:r>
      <w:r>
        <w:rPr>
          <w:spacing w:val="-6"/>
        </w:rPr>
        <w:t>时，基金管理人应报中国证监会备案；当估值</w:t>
      </w:r>
      <w:r>
        <w:rPr>
          <w:spacing w:val="-2"/>
        </w:rPr>
        <w:t>错误偏差达到基金份额净值的 </w:t>
      </w:r>
      <w:r>
        <w:rPr>
          <w:rFonts w:ascii="Times New Roman" w:eastAsia="Times New Roman"/>
        </w:rPr>
        <w:t>0.5%</w:t>
      </w:r>
      <w:r>
        <w:rPr>
          <w:spacing w:val="-3"/>
        </w:rPr>
        <w:t>时，基金管理人应当公告，并报中国证监会备案。因基</w:t>
      </w:r>
      <w:r>
        <w:rPr>
          <w:spacing w:val="-8"/>
        </w:rPr>
        <w:t>金估值错误给投资者造成损失的，应先由基金管理人承担，基金管理人对不应由其承担的责</w:t>
      </w:r>
      <w:r>
        <w:rPr>
          <w:spacing w:val="-5"/>
        </w:rPr>
        <w:t>任，有权向过错人追偿。</w:t>
      </w:r>
    </w:p>
    <w:p>
      <w:pPr>
        <w:pStyle w:val="BodyText"/>
        <w:spacing w:line="265" w:lineRule="exact"/>
        <w:ind w:left="720"/>
      </w:pPr>
      <w:r>
        <w:rPr/>
        <w:t>关于差错处理，合同的当事人按照以下约定处理：</w:t>
      </w:r>
    </w:p>
    <w:p>
      <w:pPr>
        <w:pStyle w:val="BodyText"/>
        <w:spacing w:before="1"/>
        <w:rPr>
          <w:sz w:val="16"/>
        </w:rPr>
      </w:pPr>
    </w:p>
    <w:p>
      <w:pPr>
        <w:pStyle w:val="BodyText"/>
        <w:ind w:left="720"/>
      </w:pPr>
      <w:r>
        <w:rPr>
          <w:rFonts w:ascii="Times New Roman" w:eastAsia="Times New Roman"/>
        </w:rPr>
        <w:t>1</w:t>
      </w:r>
      <w:r>
        <w:rPr/>
        <w:t>、差错类型</w:t>
      </w:r>
    </w:p>
    <w:p>
      <w:pPr>
        <w:spacing w:after="0"/>
        <w:sectPr>
          <w:pgSz w:w="11910" w:h="16840"/>
          <w:pgMar w:header="701" w:footer="683" w:top="1420" w:bottom="880" w:left="1500" w:right="920"/>
        </w:sectPr>
      </w:pPr>
    </w:p>
    <w:p>
      <w:pPr>
        <w:pStyle w:val="BodyText"/>
        <w:spacing w:line="424" w:lineRule="auto" w:before="115"/>
        <w:ind w:left="300" w:right="765" w:firstLine="419"/>
        <w:jc w:val="both"/>
      </w:pPr>
      <w:r>
        <w:rPr>
          <w:spacing w:val="-9"/>
        </w:rPr>
        <w:t>本基金运作过程中，如果由于基金管理人或基金托管人、或登记结算机构、或代理销售</w:t>
      </w:r>
      <w:r>
        <w:rPr>
          <w:spacing w:val="-10"/>
        </w:rPr>
        <w:t>机构、或投资者自身的过错造成差错，导致其他当事人遭受损失的，过错的责任人应当对由</w:t>
      </w:r>
      <w:r>
        <w:rPr>
          <w:spacing w:val="-13"/>
          <w:w w:val="100"/>
        </w:rPr>
        <w:t>于该差错遭受损失的当事人</w:t>
      </w:r>
      <w:r>
        <w:rPr>
          <w:spacing w:val="-3"/>
          <w:w w:val="100"/>
        </w:rPr>
        <w:t>（“受损方”</w:t>
      </w:r>
      <w:r>
        <w:rPr>
          <w:spacing w:val="-99"/>
          <w:w w:val="100"/>
        </w:rPr>
        <w:t>）</w:t>
      </w:r>
      <w:r>
        <w:rPr>
          <w:spacing w:val="-3"/>
          <w:w w:val="100"/>
        </w:rPr>
        <w:t>按下述“差错处理原则”给予赔偿承担赔偿责任。</w:t>
      </w:r>
    </w:p>
    <w:p>
      <w:pPr>
        <w:pStyle w:val="BodyText"/>
        <w:spacing w:line="424" w:lineRule="auto"/>
        <w:ind w:left="300" w:right="871" w:firstLine="419"/>
        <w:jc w:val="both"/>
      </w:pPr>
      <w:r>
        <w:rPr>
          <w:spacing w:val="-8"/>
        </w:rPr>
        <w:t>上述差错的主要类型包括但不限于：资料申报差错、数据传输差错、数据计算差错、系</w:t>
      </w:r>
      <w:r>
        <w:rPr>
          <w:spacing w:val="-12"/>
        </w:rPr>
        <w:t>统故障差错、下达指令差错等；对于因技术原因引起的差错，若系同行业现有技术水平无法</w:t>
      </w:r>
      <w:r>
        <w:rPr>
          <w:spacing w:val="-6"/>
        </w:rPr>
        <w:t>预见、无法避免、无法抗拒，则属不可抗力，按照下述规定执行。</w:t>
      </w:r>
    </w:p>
    <w:p>
      <w:pPr>
        <w:pStyle w:val="BodyText"/>
        <w:spacing w:line="424" w:lineRule="auto"/>
        <w:ind w:left="300" w:right="871" w:firstLine="419"/>
        <w:jc w:val="both"/>
      </w:pPr>
      <w:r>
        <w:rPr>
          <w:spacing w:val="-6"/>
        </w:rPr>
        <w:t>由于不可抗力原因造成投资者的交易资料灭失或被错误处理或造成其他差错，因不可抗</w:t>
      </w:r>
      <w:r>
        <w:rPr>
          <w:spacing w:val="-8"/>
        </w:rPr>
        <w:t>力原因出现差错的当事人不对其他当事人承担赔偿责任，但因该差错取得不当得利的当事人</w:t>
      </w:r>
      <w:r>
        <w:rPr>
          <w:spacing w:val="-5"/>
        </w:rPr>
        <w:t>仍应负有返还不当得利的义务。</w:t>
      </w:r>
    </w:p>
    <w:p>
      <w:pPr>
        <w:pStyle w:val="BodyText"/>
        <w:spacing w:line="267" w:lineRule="exact"/>
        <w:ind w:left="720"/>
      </w:pPr>
      <w:r>
        <w:rPr>
          <w:rFonts w:ascii="Times New Roman" w:eastAsia="Times New Roman"/>
        </w:rPr>
        <w:t>2</w:t>
      </w:r>
      <w:r>
        <w:rPr/>
        <w:t>、差错处理原则</w:t>
      </w:r>
    </w:p>
    <w:p>
      <w:pPr>
        <w:pStyle w:val="BodyText"/>
        <w:spacing w:before="9"/>
        <w:rPr>
          <w:sz w:val="15"/>
        </w:rPr>
      </w:pPr>
    </w:p>
    <w:p>
      <w:pPr>
        <w:pStyle w:val="ListParagraph"/>
        <w:numPr>
          <w:ilvl w:val="0"/>
          <w:numId w:val="31"/>
        </w:numPr>
        <w:tabs>
          <w:tab w:pos="1250" w:val="left" w:leader="none"/>
        </w:tabs>
        <w:spacing w:line="424" w:lineRule="auto" w:before="1" w:after="0"/>
        <w:ind w:left="300" w:right="871" w:firstLine="419"/>
        <w:jc w:val="both"/>
        <w:rPr>
          <w:sz w:val="21"/>
        </w:rPr>
      </w:pPr>
      <w:r>
        <w:rPr>
          <w:spacing w:val="-3"/>
          <w:sz w:val="21"/>
        </w:rPr>
        <w:t>差错已发生，但尚未给当事人造成损失时，差错责任方应及时协调各方，及时进</w:t>
      </w:r>
      <w:r>
        <w:rPr>
          <w:spacing w:val="-11"/>
          <w:sz w:val="21"/>
        </w:rPr>
        <w:t>行更正，因更正差错发生的费用由差错责任方承担；由于差错责任方未及时更正已产生的差错，给当事人造成损失的由差错责任方承担；若差错责任方已经积极协调，并且有协助义务</w:t>
      </w:r>
      <w:r>
        <w:rPr>
          <w:spacing w:val="-6"/>
          <w:sz w:val="21"/>
        </w:rPr>
        <w:t>的当事人有足够的时间进行更正而未更正，则其应当承担相应赔偿责任。</w:t>
      </w:r>
    </w:p>
    <w:p>
      <w:pPr>
        <w:pStyle w:val="ListParagraph"/>
        <w:numPr>
          <w:ilvl w:val="0"/>
          <w:numId w:val="31"/>
        </w:numPr>
        <w:tabs>
          <w:tab w:pos="1250" w:val="left" w:leader="none"/>
        </w:tabs>
        <w:spacing w:line="424" w:lineRule="auto" w:before="0" w:after="0"/>
        <w:ind w:left="300" w:right="874" w:firstLine="419"/>
        <w:jc w:val="left"/>
        <w:rPr>
          <w:sz w:val="21"/>
        </w:rPr>
      </w:pPr>
      <w:r>
        <w:rPr>
          <w:spacing w:val="-3"/>
          <w:sz w:val="21"/>
        </w:rPr>
        <w:t>差错的责任方对可能导致有关当事人的直接损失负责，不对间接损失负责，并且仅对差错的有关直接当事人负责，不对第三方负责。</w:t>
      </w:r>
    </w:p>
    <w:p>
      <w:pPr>
        <w:pStyle w:val="ListParagraph"/>
        <w:numPr>
          <w:ilvl w:val="0"/>
          <w:numId w:val="31"/>
        </w:numPr>
        <w:tabs>
          <w:tab w:pos="1250" w:val="left" w:leader="none"/>
        </w:tabs>
        <w:spacing w:line="424" w:lineRule="auto" w:before="0" w:after="0"/>
        <w:ind w:left="300" w:right="871" w:firstLine="419"/>
        <w:jc w:val="both"/>
        <w:rPr>
          <w:sz w:val="21"/>
        </w:rPr>
      </w:pPr>
      <w:r>
        <w:rPr>
          <w:spacing w:val="-3"/>
          <w:sz w:val="21"/>
        </w:rPr>
        <w:t>因差错而获得不当得利的当事人负有及时返还不当得利的义务。但差错责任方仍</w:t>
      </w:r>
      <w:r>
        <w:rPr>
          <w:spacing w:val="-12"/>
          <w:sz w:val="21"/>
        </w:rPr>
        <w:t>应对差错负责，如果由于获得不当得利的当事人不返还或不全部返还不当得利造成其他当事</w:t>
      </w:r>
      <w:r>
        <w:rPr>
          <w:spacing w:val="-6"/>
          <w:w w:val="100"/>
          <w:sz w:val="21"/>
        </w:rPr>
        <w:t>人的利益损失</w:t>
      </w:r>
      <w:r>
        <w:rPr>
          <w:w w:val="100"/>
          <w:sz w:val="21"/>
        </w:rPr>
        <w:t>（“</w:t>
      </w:r>
      <w:r>
        <w:rPr>
          <w:spacing w:val="-2"/>
          <w:w w:val="100"/>
          <w:sz w:val="21"/>
        </w:rPr>
        <w:t>受损方”</w:t>
      </w:r>
      <w:r>
        <w:rPr>
          <w:spacing w:val="-106"/>
          <w:w w:val="100"/>
          <w:sz w:val="21"/>
        </w:rPr>
        <w:t>）</w:t>
      </w:r>
      <w:r>
        <w:rPr>
          <w:spacing w:val="-3"/>
          <w:w w:val="100"/>
          <w:sz w:val="21"/>
        </w:rPr>
        <w:t>，则差错责任方应赔偿受损方的损失，并在其支付的赔偿金额</w:t>
      </w:r>
      <w:r>
        <w:rPr>
          <w:spacing w:val="-7"/>
          <w:sz w:val="21"/>
        </w:rPr>
        <w:t>的范围内对获得不当得利的当事人享有要求交付不当得利的权利；如果获得不当得利的当事</w:t>
      </w:r>
      <w:r>
        <w:rPr>
          <w:spacing w:val="-10"/>
          <w:sz w:val="21"/>
        </w:rPr>
        <w:t>人已经将此部分不当得利返还给受损方，则受损方应当将其已经获得的赔偿额加上已经获得</w:t>
      </w:r>
      <w:r>
        <w:rPr>
          <w:spacing w:val="-5"/>
          <w:sz w:val="21"/>
        </w:rPr>
        <w:t>的不当得利返还的总和超过其实际损失的差额部分支付给差错责任方。</w:t>
      </w:r>
    </w:p>
    <w:p>
      <w:pPr>
        <w:pStyle w:val="ListParagraph"/>
        <w:numPr>
          <w:ilvl w:val="0"/>
          <w:numId w:val="31"/>
        </w:numPr>
        <w:tabs>
          <w:tab w:pos="1250" w:val="left" w:leader="none"/>
        </w:tabs>
        <w:spacing w:line="266" w:lineRule="exact" w:before="0" w:after="0"/>
        <w:ind w:left="1249" w:right="0" w:hanging="530"/>
        <w:jc w:val="left"/>
        <w:rPr>
          <w:sz w:val="21"/>
        </w:rPr>
      </w:pPr>
      <w:r>
        <w:rPr>
          <w:spacing w:val="-3"/>
          <w:sz w:val="21"/>
        </w:rPr>
        <w:t>差错调整采用尽量恢复至假设未发生差错的正确情形的方式。</w:t>
      </w:r>
    </w:p>
    <w:p>
      <w:pPr>
        <w:pStyle w:val="BodyText"/>
        <w:spacing w:before="10"/>
        <w:rPr>
          <w:sz w:val="15"/>
        </w:rPr>
      </w:pPr>
    </w:p>
    <w:p>
      <w:pPr>
        <w:pStyle w:val="ListParagraph"/>
        <w:numPr>
          <w:ilvl w:val="0"/>
          <w:numId w:val="31"/>
        </w:numPr>
        <w:tabs>
          <w:tab w:pos="1250" w:val="left" w:leader="none"/>
        </w:tabs>
        <w:spacing w:line="424" w:lineRule="auto" w:before="0" w:after="0"/>
        <w:ind w:left="300" w:right="871" w:firstLine="419"/>
        <w:jc w:val="both"/>
        <w:rPr>
          <w:sz w:val="21"/>
        </w:rPr>
      </w:pPr>
      <w:r>
        <w:rPr>
          <w:spacing w:val="-3"/>
          <w:sz w:val="21"/>
        </w:rPr>
        <w:t>差错责任方拒绝进行赔偿时，如果因基金管理人过错造成基金资产损失时，基金</w:t>
      </w:r>
      <w:r>
        <w:rPr>
          <w:spacing w:val="-8"/>
          <w:sz w:val="21"/>
        </w:rPr>
        <w:t>托管人应为基金的利益向基金管理人追偿，如果因基金托管人过错造成基金资产损失时，基</w:t>
      </w:r>
      <w:r>
        <w:rPr>
          <w:spacing w:val="-10"/>
          <w:sz w:val="21"/>
        </w:rPr>
        <w:t>金管理人应为基金的利益向基金托管人追偿。除基金管理人和托管人之外的第三方造成基金</w:t>
      </w:r>
      <w:r>
        <w:rPr>
          <w:spacing w:val="-5"/>
          <w:sz w:val="21"/>
        </w:rPr>
        <w:t>资产的损失，并拒绝进行赔偿时，由基金管理人负责向差错方追偿。</w:t>
      </w:r>
    </w:p>
    <w:p>
      <w:pPr>
        <w:pStyle w:val="ListParagraph"/>
        <w:numPr>
          <w:ilvl w:val="0"/>
          <w:numId w:val="31"/>
        </w:numPr>
        <w:tabs>
          <w:tab w:pos="1256" w:val="left" w:leader="none"/>
        </w:tabs>
        <w:spacing w:line="265" w:lineRule="exact" w:before="0" w:after="0"/>
        <w:ind w:left="1255" w:right="0" w:hanging="536"/>
        <w:jc w:val="left"/>
        <w:rPr>
          <w:sz w:val="21"/>
        </w:rPr>
      </w:pPr>
      <w:r>
        <w:rPr>
          <w:sz w:val="21"/>
        </w:rPr>
        <w:t>如果出现差错的当事人未按规定对受损方进行赔偿，并且依据法律、行政法规、</w:t>
      </w:r>
    </w:p>
    <w:p>
      <w:pPr>
        <w:pStyle w:val="BodyText"/>
        <w:spacing w:before="1"/>
        <w:rPr>
          <w:sz w:val="16"/>
        </w:rPr>
      </w:pPr>
    </w:p>
    <w:p>
      <w:pPr>
        <w:pStyle w:val="BodyText"/>
        <w:spacing w:before="1"/>
        <w:ind w:left="300"/>
      </w:pPr>
      <w:r>
        <w:rPr/>
        <w:t>《基金合同》或其他规定，基金管理人自行或依据法院判决、仲裁裁决对受损方承担了赔偿</w:t>
      </w:r>
    </w:p>
    <w:p>
      <w:pPr>
        <w:spacing w:after="0"/>
        <w:sectPr>
          <w:pgSz w:w="11910" w:h="16840"/>
          <w:pgMar w:header="701" w:footer="683" w:top="1420" w:bottom="880" w:left="1500" w:right="920"/>
        </w:sectPr>
      </w:pPr>
    </w:p>
    <w:p>
      <w:pPr>
        <w:pStyle w:val="BodyText"/>
        <w:spacing w:line="424" w:lineRule="auto" w:before="115"/>
        <w:ind w:left="300" w:right="871"/>
      </w:pPr>
      <w:r>
        <w:rPr>
          <w:spacing w:val="-10"/>
        </w:rPr>
        <w:t>责任，则基金管理人有权向出现过错的当事人进行追索，并有权要求其赔偿或补偿由此发生</w:t>
      </w:r>
      <w:r>
        <w:rPr>
          <w:spacing w:val="-5"/>
        </w:rPr>
        <w:t>的费用和遭受的损失。</w:t>
      </w:r>
    </w:p>
    <w:p>
      <w:pPr>
        <w:pStyle w:val="ListParagraph"/>
        <w:numPr>
          <w:ilvl w:val="0"/>
          <w:numId w:val="31"/>
        </w:numPr>
        <w:tabs>
          <w:tab w:pos="1250" w:val="left" w:leader="none"/>
        </w:tabs>
        <w:spacing w:line="267" w:lineRule="exact" w:before="0" w:after="0"/>
        <w:ind w:left="1249" w:right="0" w:hanging="530"/>
        <w:jc w:val="left"/>
        <w:rPr>
          <w:sz w:val="21"/>
        </w:rPr>
      </w:pPr>
      <w:r>
        <w:rPr>
          <w:spacing w:val="-3"/>
          <w:sz w:val="21"/>
        </w:rPr>
        <w:t>按法律法规规定的其他原则处理差错。</w:t>
      </w:r>
    </w:p>
    <w:p>
      <w:pPr>
        <w:pStyle w:val="BodyText"/>
        <w:rPr>
          <w:sz w:val="16"/>
        </w:rPr>
      </w:pPr>
    </w:p>
    <w:p>
      <w:pPr>
        <w:pStyle w:val="BodyText"/>
        <w:spacing w:before="1"/>
        <w:ind w:left="720"/>
      </w:pPr>
      <w:r>
        <w:rPr>
          <w:rFonts w:ascii="Times New Roman" w:eastAsia="Times New Roman"/>
        </w:rPr>
        <w:t>3</w:t>
      </w:r>
      <w:r>
        <w:rPr/>
        <w:t>、差错处理程序</w:t>
      </w:r>
    </w:p>
    <w:p>
      <w:pPr>
        <w:pStyle w:val="BodyText"/>
        <w:spacing w:before="1"/>
        <w:rPr>
          <w:sz w:val="16"/>
        </w:rPr>
      </w:pPr>
    </w:p>
    <w:p>
      <w:pPr>
        <w:pStyle w:val="BodyText"/>
        <w:ind w:left="720"/>
      </w:pPr>
      <w:r>
        <w:rPr/>
        <w:t>差错被发现后，有关的当事人应当及时进行处理，处理的程序如下：</w:t>
      </w:r>
    </w:p>
    <w:p>
      <w:pPr>
        <w:pStyle w:val="BodyText"/>
        <w:spacing w:before="3"/>
        <w:rPr>
          <w:sz w:val="16"/>
        </w:rPr>
      </w:pPr>
    </w:p>
    <w:p>
      <w:pPr>
        <w:pStyle w:val="ListParagraph"/>
        <w:numPr>
          <w:ilvl w:val="0"/>
          <w:numId w:val="32"/>
        </w:numPr>
        <w:tabs>
          <w:tab w:pos="1250" w:val="left" w:leader="none"/>
        </w:tabs>
        <w:spacing w:line="424" w:lineRule="auto" w:before="0" w:after="0"/>
        <w:ind w:left="300" w:right="874" w:firstLine="419"/>
        <w:jc w:val="left"/>
        <w:rPr>
          <w:sz w:val="21"/>
        </w:rPr>
      </w:pPr>
      <w:r>
        <w:rPr>
          <w:spacing w:val="-3"/>
          <w:sz w:val="21"/>
        </w:rPr>
        <w:t>查明差错发生的原因，列明所有的当事人，并根据差错发生的原因确定差错的责任方。</w:t>
      </w:r>
    </w:p>
    <w:p>
      <w:pPr>
        <w:pStyle w:val="ListParagraph"/>
        <w:numPr>
          <w:ilvl w:val="0"/>
          <w:numId w:val="32"/>
        </w:numPr>
        <w:tabs>
          <w:tab w:pos="1250" w:val="left" w:leader="none"/>
        </w:tabs>
        <w:spacing w:line="268" w:lineRule="exact" w:before="0" w:after="0"/>
        <w:ind w:left="1249" w:right="0" w:hanging="530"/>
        <w:jc w:val="left"/>
        <w:rPr>
          <w:sz w:val="21"/>
        </w:rPr>
      </w:pPr>
      <w:r>
        <w:rPr>
          <w:spacing w:val="-3"/>
          <w:sz w:val="21"/>
        </w:rPr>
        <w:t>根据差错处理原则或当事人协商的方法对因差错造成的损失进行评估。</w:t>
      </w:r>
    </w:p>
    <w:p>
      <w:pPr>
        <w:pStyle w:val="BodyText"/>
        <w:spacing w:before="1"/>
        <w:rPr>
          <w:sz w:val="16"/>
        </w:rPr>
      </w:pPr>
    </w:p>
    <w:p>
      <w:pPr>
        <w:pStyle w:val="ListParagraph"/>
        <w:numPr>
          <w:ilvl w:val="0"/>
          <w:numId w:val="32"/>
        </w:numPr>
        <w:tabs>
          <w:tab w:pos="1250" w:val="left" w:leader="none"/>
        </w:tabs>
        <w:spacing w:line="240" w:lineRule="auto" w:before="0" w:after="0"/>
        <w:ind w:left="1249" w:right="0" w:hanging="530"/>
        <w:jc w:val="left"/>
        <w:rPr>
          <w:sz w:val="21"/>
        </w:rPr>
      </w:pPr>
      <w:r>
        <w:rPr>
          <w:spacing w:val="-3"/>
          <w:sz w:val="21"/>
        </w:rPr>
        <w:t>根据差错处理原则或当事人协商的方法由差错的责任方进行更正和赔偿损失。</w:t>
      </w:r>
    </w:p>
    <w:p>
      <w:pPr>
        <w:pStyle w:val="BodyText"/>
        <w:spacing w:before="1"/>
        <w:rPr>
          <w:sz w:val="16"/>
        </w:rPr>
      </w:pPr>
    </w:p>
    <w:p>
      <w:pPr>
        <w:pStyle w:val="ListParagraph"/>
        <w:numPr>
          <w:ilvl w:val="0"/>
          <w:numId w:val="32"/>
        </w:numPr>
        <w:tabs>
          <w:tab w:pos="1250" w:val="left" w:leader="none"/>
        </w:tabs>
        <w:spacing w:line="424" w:lineRule="auto" w:before="1" w:after="0"/>
        <w:ind w:left="300" w:right="874" w:firstLine="419"/>
        <w:jc w:val="left"/>
        <w:rPr>
          <w:sz w:val="21"/>
        </w:rPr>
      </w:pPr>
      <w:r>
        <w:rPr>
          <w:spacing w:val="-3"/>
          <w:sz w:val="21"/>
        </w:rPr>
        <w:t>根据差错处理的方法，需要修改基金登记结算机构的交易数据的，由基金登记结算机构进行更正。</w:t>
      </w:r>
    </w:p>
    <w:p>
      <w:pPr>
        <w:pStyle w:val="ListParagraph"/>
        <w:numPr>
          <w:ilvl w:val="0"/>
          <w:numId w:val="32"/>
        </w:numPr>
        <w:tabs>
          <w:tab w:pos="1250" w:val="left" w:leader="none"/>
        </w:tabs>
        <w:spacing w:line="424" w:lineRule="auto" w:before="0" w:after="0"/>
        <w:ind w:left="300" w:right="870" w:firstLine="419"/>
        <w:jc w:val="both"/>
        <w:rPr>
          <w:sz w:val="21"/>
        </w:rPr>
      </w:pPr>
      <w:r>
        <w:rPr>
          <w:spacing w:val="-3"/>
          <w:sz w:val="21"/>
        </w:rPr>
        <w:t>基金管理人及基金托管人基金份额净值计算错误偏差达到基金份额净值的 </w:t>
      </w:r>
      <w:r>
        <w:rPr>
          <w:rFonts w:ascii="Times New Roman" w:eastAsia="Times New Roman"/>
          <w:sz w:val="21"/>
        </w:rPr>
        <w:t>0.25% </w:t>
      </w:r>
      <w:r>
        <w:rPr>
          <w:spacing w:val="-11"/>
          <w:sz w:val="21"/>
        </w:rPr>
        <w:t>时，基金管理人应当报告中国证监会；基金管理人及基金托管人基金份额净值计算错误偏差达到基金份额净值的 </w:t>
      </w:r>
      <w:r>
        <w:rPr>
          <w:rFonts w:ascii="Times New Roman" w:eastAsia="Times New Roman"/>
          <w:sz w:val="21"/>
        </w:rPr>
        <w:t>0.5%</w:t>
      </w:r>
      <w:r>
        <w:rPr>
          <w:spacing w:val="-3"/>
          <w:sz w:val="21"/>
        </w:rPr>
        <w:t>时，基金管理人应当公告并报中国证监会备案。</w:t>
      </w:r>
    </w:p>
    <w:p>
      <w:pPr>
        <w:pStyle w:val="BodyText"/>
        <w:spacing w:line="269" w:lineRule="exact"/>
        <w:ind w:left="720"/>
      </w:pPr>
      <w:r>
        <w:rPr/>
        <w:t>（八）暂停估值的情形</w:t>
      </w:r>
    </w:p>
    <w:p>
      <w:pPr>
        <w:pStyle w:val="BodyText"/>
        <w:spacing w:before="11"/>
        <w:rPr>
          <w:sz w:val="15"/>
        </w:rPr>
      </w:pPr>
    </w:p>
    <w:p>
      <w:pPr>
        <w:pStyle w:val="BodyText"/>
        <w:ind w:left="720"/>
      </w:pPr>
      <w:r>
        <w:rPr>
          <w:rFonts w:ascii="Times New Roman" w:eastAsia="Times New Roman"/>
        </w:rPr>
        <w:t>1</w:t>
      </w:r>
      <w:r>
        <w:rPr/>
        <w:t>、与本基金投资有关的证券</w:t>
      </w:r>
      <w:r>
        <w:rPr>
          <w:rFonts w:ascii="Times New Roman" w:eastAsia="Times New Roman"/>
        </w:rPr>
        <w:t>/</w:t>
      </w:r>
      <w:r>
        <w:rPr/>
        <w:t>期货交易场所遇法定节假日或因其他原因暂停营业时。</w:t>
      </w:r>
    </w:p>
    <w:p>
      <w:pPr>
        <w:pStyle w:val="BodyText"/>
        <w:spacing w:before="1"/>
        <w:rPr>
          <w:sz w:val="16"/>
        </w:rPr>
      </w:pPr>
    </w:p>
    <w:p>
      <w:pPr>
        <w:pStyle w:val="BodyText"/>
        <w:spacing w:before="1"/>
        <w:ind w:left="720"/>
      </w:pPr>
      <w:r>
        <w:rPr>
          <w:rFonts w:ascii="Times New Roman" w:eastAsia="Times New Roman"/>
        </w:rPr>
        <w:t>2</w:t>
      </w:r>
      <w:r>
        <w:rPr/>
        <w:t>、因不可抗力或其他情形致使基金管理人、基金托管人无法准确评估基金资产价值时。</w:t>
      </w:r>
    </w:p>
    <w:p>
      <w:pPr>
        <w:pStyle w:val="BodyText"/>
        <w:spacing w:before="1"/>
        <w:rPr>
          <w:sz w:val="16"/>
        </w:rPr>
      </w:pPr>
    </w:p>
    <w:p>
      <w:pPr>
        <w:pStyle w:val="BodyText"/>
        <w:ind w:left="720"/>
        <w:jc w:val="both"/>
      </w:pPr>
      <w:r>
        <w:rPr>
          <w:rFonts w:ascii="Times New Roman" w:eastAsia="Times New Roman"/>
        </w:rPr>
        <w:t>3</w:t>
      </w:r>
      <w:r>
        <w:rPr/>
        <w:t>、本基金所投资的目标</w:t>
      </w:r>
      <w:r>
        <w:rPr>
          <w:rFonts w:ascii="Times New Roman" w:eastAsia="Times New Roman"/>
        </w:rPr>
        <w:t>ETF </w:t>
      </w:r>
      <w:r>
        <w:rPr/>
        <w:t>暂停估值或暂停公告基金份额净值的。</w:t>
      </w:r>
    </w:p>
    <w:p>
      <w:pPr>
        <w:pStyle w:val="BodyText"/>
        <w:spacing w:before="1"/>
        <w:rPr>
          <w:sz w:val="16"/>
        </w:rPr>
      </w:pPr>
    </w:p>
    <w:p>
      <w:pPr>
        <w:pStyle w:val="BodyText"/>
        <w:spacing w:line="424" w:lineRule="auto"/>
        <w:ind w:left="300" w:right="871" w:firstLine="419"/>
        <w:jc w:val="both"/>
      </w:pPr>
      <w:r>
        <w:rPr>
          <w:rFonts w:ascii="Times New Roman" w:eastAsia="Times New Roman"/>
        </w:rPr>
        <w:t>4</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ind w:left="720"/>
      </w:pPr>
      <w:r>
        <w:rPr>
          <w:rFonts w:ascii="Times New Roman" w:eastAsia="Times New Roman"/>
        </w:rPr>
        <w:t>5</w:t>
      </w:r>
      <w:r>
        <w:rPr/>
        <w:t>、中国证监会认定的其他情形。</w:t>
      </w:r>
    </w:p>
    <w:p>
      <w:pPr>
        <w:pStyle w:val="BodyText"/>
        <w:spacing w:before="1"/>
        <w:rPr>
          <w:sz w:val="16"/>
        </w:rPr>
      </w:pPr>
    </w:p>
    <w:p>
      <w:pPr>
        <w:pStyle w:val="BodyText"/>
        <w:ind w:left="720"/>
      </w:pPr>
      <w:r>
        <w:rPr/>
        <w:t>（九）特殊情形的处理</w:t>
      </w:r>
    </w:p>
    <w:p>
      <w:pPr>
        <w:pStyle w:val="BodyText"/>
        <w:spacing w:before="1"/>
        <w:rPr>
          <w:sz w:val="16"/>
        </w:rPr>
      </w:pPr>
    </w:p>
    <w:p>
      <w:pPr>
        <w:pStyle w:val="BodyText"/>
        <w:spacing w:line="424" w:lineRule="auto"/>
        <w:ind w:left="300" w:right="818" w:firstLine="419"/>
      </w:pPr>
      <w:r>
        <w:rPr>
          <w:rFonts w:ascii="Times New Roman" w:eastAsia="Times New Roman"/>
        </w:rPr>
        <w:t>1</w:t>
      </w:r>
      <w:r>
        <w:rPr/>
        <w:t>、基金管理人按估值方法的第 </w:t>
      </w:r>
      <w:r>
        <w:rPr>
          <w:rFonts w:ascii="Times New Roman" w:eastAsia="Times New Roman"/>
        </w:rPr>
        <w:t>9 </w:t>
      </w:r>
      <w:r>
        <w:rPr/>
        <w:t>项进行估值时，所造成的误差不作为基金资产估值错误处理。</w:t>
      </w:r>
    </w:p>
    <w:p>
      <w:pPr>
        <w:pStyle w:val="BodyText"/>
        <w:spacing w:line="424" w:lineRule="auto"/>
        <w:ind w:left="300" w:right="768" w:firstLine="419"/>
      </w:pPr>
      <w:r>
        <w:rPr>
          <w:rFonts w:ascii="Times New Roman" w:eastAsia="Times New Roman"/>
        </w:rPr>
        <w:t>2</w:t>
      </w:r>
      <w:r>
        <w:rPr>
          <w:spacing w:val="-17"/>
        </w:rPr>
        <w:t>、由于证券</w:t>
      </w:r>
      <w:r>
        <w:rPr>
          <w:rFonts w:ascii="Times New Roman" w:eastAsia="Times New Roman"/>
          <w:spacing w:val="-4"/>
        </w:rPr>
        <w:t>/</w:t>
      </w:r>
      <w:r>
        <w:rPr>
          <w:spacing w:val="-7"/>
        </w:rPr>
        <w:t>期货交易所及其登记结算公司发送的数据错误，或由于其他不可抗力原因， </w:t>
      </w:r>
      <w:r>
        <w:rPr>
          <w:spacing w:val="-10"/>
        </w:rPr>
        <w:t>基金管理人和基金托管人虽然已经采取必要、适当、合理的措施进行检查，但是未能发现该</w:t>
      </w:r>
      <w:r>
        <w:rPr>
          <w:spacing w:val="-12"/>
        </w:rPr>
        <w:t>错误的，由此造成的基金资产估值错误，基金管理人和基金托管人可以免除赔偿责任。但基</w:t>
      </w:r>
      <w:r>
        <w:rPr>
          <w:spacing w:val="-6"/>
        </w:rPr>
        <w:t>金管理人、基金托管人应当积极采取必要的措施消除由此造成的影响。</w:t>
      </w:r>
    </w:p>
    <w:p>
      <w:pPr>
        <w:spacing w:after="0" w:line="424" w:lineRule="auto"/>
        <w:sectPr>
          <w:pgSz w:w="11910" w:h="16840"/>
          <w:pgMar w:header="701" w:footer="683" w:top="1420" w:bottom="880" w:left="1500" w:right="920"/>
        </w:sectPr>
      </w:pPr>
    </w:p>
    <w:p>
      <w:pPr>
        <w:pStyle w:val="Heading1"/>
        <w:spacing w:before="92"/>
        <w:ind w:left="3128" w:right="0"/>
        <w:jc w:val="left"/>
      </w:pPr>
      <w:bookmarkStart w:name="_bookmark13" w:id="14"/>
      <w:bookmarkEnd w:id="14"/>
      <w:r>
        <w:rPr>
          <w:b w:val="0"/>
        </w:rPr>
      </w:r>
      <w:r>
        <w:rPr/>
        <w:t>十四、基金的收益与分配</w:t>
      </w:r>
    </w:p>
    <w:p>
      <w:pPr>
        <w:pStyle w:val="BodyText"/>
        <w:rPr>
          <w:b/>
          <w:sz w:val="20"/>
        </w:rPr>
      </w:pPr>
    </w:p>
    <w:p>
      <w:pPr>
        <w:pStyle w:val="BodyText"/>
        <w:spacing w:before="1"/>
        <w:rPr>
          <w:b/>
          <w:sz w:val="15"/>
        </w:rPr>
      </w:pPr>
    </w:p>
    <w:p>
      <w:pPr>
        <w:pStyle w:val="BodyText"/>
        <w:spacing w:before="72"/>
        <w:ind w:left="720"/>
      </w:pPr>
      <w:r>
        <w:rPr/>
        <w:t>（一）基金收益的构成</w:t>
      </w:r>
    </w:p>
    <w:p>
      <w:pPr>
        <w:pStyle w:val="BodyText"/>
        <w:spacing w:before="1"/>
        <w:rPr>
          <w:sz w:val="16"/>
        </w:rPr>
      </w:pPr>
    </w:p>
    <w:p>
      <w:pPr>
        <w:pStyle w:val="BodyText"/>
        <w:spacing w:line="424" w:lineRule="auto"/>
        <w:ind w:left="300" w:right="871" w:firstLine="419"/>
        <w:jc w:val="both"/>
      </w:pPr>
      <w:r>
        <w:rPr>
          <w:spacing w:val="-10"/>
        </w:rPr>
        <w:t>基金收益包括：基金投资所得红利、股息、债券利息、证券投资收益、证券持有期间的</w:t>
      </w:r>
      <w:r>
        <w:rPr>
          <w:spacing w:val="-13"/>
        </w:rPr>
        <w:t>公允价值变动、银行存款利息以及其他收入。因运用基金财产带来的成本或费用的节约计入收益。</w:t>
      </w:r>
    </w:p>
    <w:p>
      <w:pPr>
        <w:pStyle w:val="BodyText"/>
        <w:spacing w:line="266" w:lineRule="exact"/>
        <w:ind w:left="720"/>
      </w:pPr>
      <w:r>
        <w:rPr/>
        <w:t>（二）基金可供分配利润</w:t>
      </w:r>
    </w:p>
    <w:p>
      <w:pPr>
        <w:pStyle w:val="BodyText"/>
        <w:spacing w:before="2"/>
        <w:rPr>
          <w:sz w:val="16"/>
        </w:rPr>
      </w:pPr>
    </w:p>
    <w:p>
      <w:pPr>
        <w:pStyle w:val="BodyText"/>
        <w:spacing w:line="424" w:lineRule="auto"/>
        <w:ind w:left="300" w:right="874" w:firstLine="419"/>
      </w:pPr>
      <w:r>
        <w:rPr/>
        <w:t>基金可供分配利润为截至收益分配基准日未分配利润与未分配利润中已实现收益的孰低数。</w:t>
      </w:r>
    </w:p>
    <w:p>
      <w:pPr>
        <w:pStyle w:val="BodyText"/>
        <w:spacing w:line="267" w:lineRule="exact"/>
        <w:ind w:left="720"/>
      </w:pPr>
      <w:r>
        <w:rPr/>
        <w:t>（三）基金收益分配原则</w:t>
      </w:r>
    </w:p>
    <w:p>
      <w:pPr>
        <w:pStyle w:val="BodyText"/>
        <w:spacing w:before="3"/>
        <w:rPr>
          <w:sz w:val="16"/>
        </w:rPr>
      </w:pPr>
    </w:p>
    <w:p>
      <w:pPr>
        <w:pStyle w:val="BodyText"/>
        <w:spacing w:line="424" w:lineRule="auto"/>
        <w:ind w:left="300" w:right="871" w:firstLine="419"/>
        <w:jc w:val="both"/>
      </w:pPr>
      <w:r>
        <w:rPr>
          <w:rFonts w:ascii="Times New Roman" w:eastAsia="Times New Roman"/>
        </w:rPr>
        <w:t>1</w:t>
      </w:r>
      <w:r>
        <w:rPr>
          <w:spacing w:val="-10"/>
        </w:rPr>
        <w:t>、在符合有关基金分红条件的前提下，本基金每年收益分配次数最多为 </w:t>
      </w:r>
      <w:r>
        <w:rPr>
          <w:rFonts w:ascii="Times New Roman" w:eastAsia="Times New Roman"/>
        </w:rPr>
        <w:t>12 </w:t>
      </w:r>
      <w:r>
        <w:rPr>
          <w:spacing w:val="-8"/>
        </w:rPr>
        <w:t>次，每次分</w:t>
      </w:r>
      <w:r>
        <w:rPr>
          <w:spacing w:val="-6"/>
        </w:rPr>
        <w:t>配比例不得低于该次可供分配利润的 </w:t>
      </w:r>
      <w:r>
        <w:rPr>
          <w:rFonts w:ascii="Times New Roman" w:eastAsia="Times New Roman"/>
        </w:rPr>
        <w:t>20%</w:t>
      </w:r>
      <w:r>
        <w:rPr/>
        <w:t>，基金红利发放日距离收益分配基准日（</w:t>
      </w:r>
      <w:r>
        <w:rPr>
          <w:spacing w:val="-5"/>
        </w:rPr>
        <w:t>即可供</w:t>
      </w:r>
      <w:r>
        <w:rPr>
          <w:spacing w:val="-3"/>
        </w:rPr>
        <w:t>分配利润计算截至日</w:t>
      </w:r>
      <w:r>
        <w:rPr/>
        <w:t>）</w:t>
      </w:r>
      <w:r>
        <w:rPr>
          <w:spacing w:val="-8"/>
        </w:rPr>
        <w:t>的时间不得超过 </w:t>
      </w:r>
      <w:r>
        <w:rPr>
          <w:rFonts w:ascii="Times New Roman" w:eastAsia="Times New Roman"/>
        </w:rPr>
        <w:t>15 </w:t>
      </w:r>
      <w:r>
        <w:rPr>
          <w:spacing w:val="-6"/>
        </w:rPr>
        <w:t>个工作日，若《基金合同》生效不满 </w:t>
      </w:r>
      <w:r>
        <w:rPr>
          <w:rFonts w:ascii="Times New Roman" w:eastAsia="Times New Roman"/>
        </w:rPr>
        <w:t>3 </w:t>
      </w:r>
      <w:r>
        <w:rPr>
          <w:spacing w:val="-3"/>
        </w:rPr>
        <w:t>个月可不进行收益分配。</w:t>
      </w:r>
    </w:p>
    <w:p>
      <w:pPr>
        <w:pStyle w:val="BodyText"/>
        <w:spacing w:line="424" w:lineRule="auto"/>
        <w:ind w:left="300" w:right="871" w:firstLine="419"/>
        <w:jc w:val="both"/>
      </w:pPr>
      <w:r>
        <w:rPr>
          <w:rFonts w:ascii="Times New Roman" w:eastAsia="Times New Roman"/>
        </w:rPr>
        <w:t>2</w:t>
      </w:r>
      <w:r>
        <w:rPr>
          <w:spacing w:val="-3"/>
        </w:rPr>
        <w:t>、本基金收益分配方式分两种：现金分红与红利再投资，投资者可选择现金红利或将</w:t>
      </w:r>
      <w:r>
        <w:rPr>
          <w:spacing w:val="-7"/>
        </w:rPr>
        <w:t>现金红利按分红权益再投资日的基金份额净值自动转为基金份额</w:t>
      </w:r>
      <w:r>
        <w:rPr/>
        <w:t>（</w:t>
      </w:r>
      <w:r>
        <w:rPr>
          <w:spacing w:val="-3"/>
        </w:rPr>
        <w:t>具体以届时的基金分红公告为准</w:t>
      </w:r>
      <w:r>
        <w:rPr/>
        <w:t>）</w:t>
      </w:r>
      <w:r>
        <w:rPr>
          <w:spacing w:val="-3"/>
        </w:rPr>
        <w:t>进行再投资；若投资者不选择，本基金默认的收益分配方式是现金分红。</w:t>
      </w:r>
    </w:p>
    <w:p>
      <w:pPr>
        <w:pStyle w:val="BodyText"/>
        <w:spacing w:line="427" w:lineRule="auto"/>
        <w:ind w:left="300" w:right="874" w:firstLine="41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line="424" w:lineRule="auto"/>
        <w:ind w:left="300" w:right="871" w:firstLine="419"/>
        <w:jc w:val="both"/>
      </w:pPr>
      <w:r>
        <w:rPr>
          <w:rFonts w:ascii="Times New Roman" w:eastAsia="Times New Roman"/>
        </w:rPr>
        <w:t>4</w:t>
      </w:r>
      <w:r>
        <w:rPr>
          <w:spacing w:val="-3"/>
        </w:rPr>
        <w:t>、由于基金费用的不同，不同类别的基金份额在收益分配数额方面可能有所不同，基</w:t>
      </w:r>
      <w:r>
        <w:rPr>
          <w:spacing w:val="-7"/>
        </w:rPr>
        <w:t>金管理人可对各类别基金份额分别制定收益分配方案，同一类别内的每一基金份额享有同等</w:t>
      </w:r>
      <w:r>
        <w:rPr>
          <w:spacing w:val="-5"/>
        </w:rPr>
        <w:t>分配权。</w:t>
      </w:r>
    </w:p>
    <w:p>
      <w:pPr>
        <w:pStyle w:val="BodyText"/>
        <w:spacing w:line="267" w:lineRule="exact"/>
        <w:ind w:left="720"/>
      </w:pPr>
      <w:r>
        <w:rPr>
          <w:rFonts w:ascii="Times New Roman" w:eastAsia="Times New Roman"/>
        </w:rPr>
        <w:t>5</w:t>
      </w:r>
      <w:r>
        <w:rPr/>
        <w:t>、法律法规或监管机关另有规定的，从其规定。</w:t>
      </w:r>
    </w:p>
    <w:p>
      <w:pPr>
        <w:pStyle w:val="BodyText"/>
        <w:spacing w:line="424" w:lineRule="auto" w:before="195"/>
        <w:ind w:left="300" w:right="871" w:firstLine="419"/>
      </w:pPr>
      <w:r>
        <w:rPr>
          <w:spacing w:val="-10"/>
        </w:rPr>
        <w:t>在遵守法律法规的前提下，基金管理人、登记结算机构可对基金收益分配的有关业务规</w:t>
      </w:r>
      <w:r>
        <w:rPr>
          <w:spacing w:val="-5"/>
        </w:rPr>
        <w:t>则进行调整，并及时公告。</w:t>
      </w:r>
    </w:p>
    <w:p>
      <w:pPr>
        <w:pStyle w:val="BodyText"/>
        <w:spacing w:line="267" w:lineRule="exact"/>
        <w:ind w:left="720"/>
      </w:pPr>
      <w:r>
        <w:rPr/>
        <w:t>（四）收益分配方案</w:t>
      </w:r>
    </w:p>
    <w:p>
      <w:pPr>
        <w:pStyle w:val="BodyText"/>
        <w:spacing w:before="3"/>
        <w:rPr>
          <w:sz w:val="16"/>
        </w:rPr>
      </w:pPr>
    </w:p>
    <w:p>
      <w:pPr>
        <w:pStyle w:val="BodyText"/>
        <w:spacing w:line="424" w:lineRule="auto"/>
        <w:ind w:left="300" w:right="871" w:firstLine="419"/>
      </w:pPr>
      <w:r>
        <w:rPr>
          <w:spacing w:val="-7"/>
        </w:rPr>
        <w:t>基金收益分配方案中应载明基金收益分配基准日可供分配利润、基金收益分配对象、分</w:t>
      </w:r>
      <w:r>
        <w:rPr>
          <w:spacing w:val="-5"/>
        </w:rPr>
        <w:t>配时间、分配数额及比例、分配方式等内容。</w:t>
      </w:r>
    </w:p>
    <w:p>
      <w:pPr>
        <w:pStyle w:val="BodyText"/>
        <w:spacing w:line="267" w:lineRule="exact"/>
        <w:ind w:left="720"/>
      </w:pPr>
      <w:r>
        <w:rPr/>
        <w:t>（五</w:t>
      </w:r>
      <w:r>
        <w:rPr>
          <w:spacing w:val="-3"/>
        </w:rPr>
        <w:t>）收益分配方案的确定、公告与实施</w:t>
      </w:r>
    </w:p>
    <w:p>
      <w:pPr>
        <w:spacing w:after="0" w:line="267" w:lineRule="exact"/>
        <w:sectPr>
          <w:footerReference w:type="default" r:id="rId222"/>
          <w:pgSz w:w="11910" w:h="16840"/>
          <w:pgMar w:footer="683" w:header="701" w:top="1420" w:bottom="880" w:left="1500" w:right="920"/>
        </w:sectPr>
      </w:pPr>
    </w:p>
    <w:p>
      <w:pPr>
        <w:pStyle w:val="BodyText"/>
        <w:spacing w:line="424" w:lineRule="auto" w:before="115"/>
        <w:ind w:left="300" w:right="871" w:firstLine="419"/>
      </w:pPr>
      <w:r>
        <w:rPr>
          <w:spacing w:val="-8"/>
        </w:rPr>
        <w:t>本基金收益分配方案由基金管理人拟定，并由基金托管人复核，基金管理人按法律法规</w:t>
      </w:r>
      <w:r>
        <w:rPr>
          <w:spacing w:val="-5"/>
        </w:rPr>
        <w:t>的规定公告。</w:t>
      </w:r>
    </w:p>
    <w:p>
      <w:pPr>
        <w:pStyle w:val="BodyText"/>
        <w:spacing w:line="267" w:lineRule="exact"/>
        <w:ind w:left="720"/>
      </w:pPr>
      <w:r>
        <w:rPr/>
        <w:t>（六）基金收益分配中发生的费用</w:t>
      </w:r>
    </w:p>
    <w:p>
      <w:pPr>
        <w:pStyle w:val="BodyText"/>
        <w:rPr>
          <w:sz w:val="16"/>
        </w:rPr>
      </w:pPr>
    </w:p>
    <w:p>
      <w:pPr>
        <w:pStyle w:val="BodyText"/>
        <w:spacing w:line="424" w:lineRule="auto" w:before="1"/>
        <w:ind w:left="300" w:right="871" w:firstLine="419"/>
        <w:jc w:val="both"/>
      </w:pPr>
      <w:r>
        <w:rPr>
          <w:spacing w:val="-7"/>
        </w:rPr>
        <w:t>红利分配时所发生的银行转账或其他手续费用应由投资者自行承担。当投资者的现金红</w:t>
      </w:r>
      <w:r>
        <w:rPr>
          <w:spacing w:val="-12"/>
        </w:rPr>
        <w:t>利小于一定金额，不足于支付银行转账或其他手续费用时，基金登记结算机构可将基金份额</w:t>
      </w:r>
      <w:r>
        <w:rPr>
          <w:spacing w:val="-10"/>
        </w:rPr>
        <w:t>持有人的现金红利按分红权益再投资日的基金份额净值转为基金份额</w:t>
      </w:r>
      <w:r>
        <w:rPr/>
        <w:t>（</w:t>
      </w:r>
      <w:r>
        <w:rPr>
          <w:spacing w:val="-3"/>
        </w:rPr>
        <w:t>具体以届时的基金分红公告为准</w:t>
      </w:r>
      <w:r>
        <w:rPr>
          <w:spacing w:val="-106"/>
        </w:rPr>
        <w:t>）</w:t>
      </w:r>
      <w:r>
        <w:rPr>
          <w:spacing w:val="-3"/>
        </w:rPr>
        <w:t>。红利再投资的计算方法，依照《业务规则》执行。</w:t>
      </w:r>
    </w:p>
    <w:p>
      <w:pPr>
        <w:pStyle w:val="BodyText"/>
        <w:spacing w:before="9"/>
        <w:rPr>
          <w:sz w:val="24"/>
        </w:rPr>
      </w:pPr>
    </w:p>
    <w:p>
      <w:pPr>
        <w:pStyle w:val="Heading1"/>
        <w:ind w:left="3128" w:right="0"/>
        <w:jc w:val="left"/>
      </w:pPr>
      <w:bookmarkStart w:name="_bookmark14" w:id="15"/>
      <w:bookmarkEnd w:id="15"/>
      <w:r>
        <w:rPr>
          <w:b w:val="0"/>
        </w:rPr>
      </w:r>
      <w:r>
        <w:rPr/>
        <w:t>十五、基金的费用与税收</w:t>
      </w:r>
    </w:p>
    <w:p>
      <w:pPr>
        <w:pStyle w:val="BodyText"/>
        <w:rPr>
          <w:b/>
          <w:sz w:val="24"/>
        </w:rPr>
      </w:pPr>
    </w:p>
    <w:p>
      <w:pPr>
        <w:pStyle w:val="BodyText"/>
        <w:spacing w:before="212"/>
        <w:ind w:left="720"/>
      </w:pPr>
      <w:r>
        <w:rPr/>
        <w:t>（一）基金运作费用</w:t>
      </w:r>
    </w:p>
    <w:p>
      <w:pPr>
        <w:pStyle w:val="BodyText"/>
        <w:spacing w:before="1"/>
        <w:rPr>
          <w:sz w:val="16"/>
        </w:rPr>
      </w:pPr>
    </w:p>
    <w:p>
      <w:pPr>
        <w:pStyle w:val="BodyText"/>
        <w:ind w:left="720"/>
      </w:pPr>
      <w:r>
        <w:rPr>
          <w:rFonts w:ascii="Times New Roman" w:eastAsia="Times New Roman"/>
        </w:rPr>
        <w:t>1</w:t>
      </w:r>
      <w:r>
        <w:rPr/>
        <w:t>、基金费用的种类</w:t>
      </w:r>
    </w:p>
    <w:p>
      <w:pPr>
        <w:pStyle w:val="BodyText"/>
        <w:spacing w:before="1"/>
        <w:rPr>
          <w:sz w:val="16"/>
        </w:rPr>
      </w:pPr>
    </w:p>
    <w:p>
      <w:pPr>
        <w:pStyle w:val="ListParagraph"/>
        <w:numPr>
          <w:ilvl w:val="0"/>
          <w:numId w:val="33"/>
        </w:numPr>
        <w:tabs>
          <w:tab w:pos="1250" w:val="left" w:leader="none"/>
        </w:tabs>
        <w:spacing w:line="240" w:lineRule="auto" w:before="0" w:after="0"/>
        <w:ind w:left="1249" w:right="0" w:hanging="530"/>
        <w:jc w:val="left"/>
        <w:rPr>
          <w:sz w:val="21"/>
        </w:rPr>
      </w:pPr>
      <w:r>
        <w:rPr>
          <w:spacing w:val="-3"/>
          <w:sz w:val="21"/>
        </w:rPr>
        <w:t>基金管理人的管理费。</w:t>
      </w:r>
    </w:p>
    <w:p>
      <w:pPr>
        <w:pStyle w:val="BodyText"/>
        <w:spacing w:before="3"/>
        <w:rPr>
          <w:sz w:val="16"/>
        </w:rPr>
      </w:pPr>
    </w:p>
    <w:p>
      <w:pPr>
        <w:pStyle w:val="ListParagraph"/>
        <w:numPr>
          <w:ilvl w:val="0"/>
          <w:numId w:val="33"/>
        </w:numPr>
        <w:tabs>
          <w:tab w:pos="1250" w:val="left" w:leader="none"/>
        </w:tabs>
        <w:spacing w:line="240" w:lineRule="auto" w:before="1" w:after="0"/>
        <w:ind w:left="1249" w:right="0" w:hanging="530"/>
        <w:jc w:val="left"/>
        <w:rPr>
          <w:sz w:val="21"/>
        </w:rPr>
      </w:pPr>
      <w:r>
        <w:rPr>
          <w:spacing w:val="-3"/>
          <w:sz w:val="21"/>
        </w:rPr>
        <w:t>基金托管人的托管费。</w:t>
      </w:r>
    </w:p>
    <w:p>
      <w:pPr>
        <w:pStyle w:val="BodyText"/>
        <w:spacing w:before="1"/>
        <w:rPr>
          <w:sz w:val="16"/>
        </w:rPr>
      </w:pPr>
    </w:p>
    <w:p>
      <w:pPr>
        <w:pStyle w:val="ListParagraph"/>
        <w:numPr>
          <w:ilvl w:val="0"/>
          <w:numId w:val="33"/>
        </w:numPr>
        <w:tabs>
          <w:tab w:pos="1250" w:val="left" w:leader="none"/>
        </w:tabs>
        <w:spacing w:line="240" w:lineRule="auto" w:before="0" w:after="0"/>
        <w:ind w:left="1249" w:right="0" w:hanging="530"/>
        <w:jc w:val="left"/>
        <w:rPr>
          <w:sz w:val="21"/>
        </w:rPr>
      </w:pPr>
      <w:r>
        <w:rPr>
          <w:spacing w:val="-3"/>
          <w:sz w:val="21"/>
        </w:rPr>
        <w:t>基金的销售服务费。</w:t>
      </w:r>
    </w:p>
    <w:p>
      <w:pPr>
        <w:pStyle w:val="BodyText"/>
        <w:spacing w:before="1"/>
        <w:rPr>
          <w:sz w:val="16"/>
        </w:rPr>
      </w:pPr>
    </w:p>
    <w:p>
      <w:pPr>
        <w:pStyle w:val="ListParagraph"/>
        <w:numPr>
          <w:ilvl w:val="0"/>
          <w:numId w:val="33"/>
        </w:numPr>
        <w:tabs>
          <w:tab w:pos="1250" w:val="left" w:leader="none"/>
        </w:tabs>
        <w:spacing w:line="424" w:lineRule="auto" w:before="0" w:after="0"/>
        <w:ind w:left="300" w:right="87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0"/>
          <w:numId w:val="33"/>
        </w:numPr>
        <w:tabs>
          <w:tab w:pos="1250" w:val="left" w:leader="none"/>
        </w:tabs>
        <w:spacing w:line="267" w:lineRule="exact" w:before="0" w:after="0"/>
        <w:ind w:left="1249" w:right="0" w:hanging="530"/>
        <w:jc w:val="left"/>
        <w:rPr>
          <w:sz w:val="21"/>
        </w:rPr>
      </w:pPr>
      <w:r>
        <w:rPr>
          <w:spacing w:val="-3"/>
          <w:sz w:val="21"/>
        </w:rPr>
        <w:t>《基金合同》生效后与基金相关的会计师费、律师费和诉讼费。</w:t>
      </w:r>
    </w:p>
    <w:p>
      <w:pPr>
        <w:pStyle w:val="BodyText"/>
        <w:spacing w:before="1"/>
        <w:rPr>
          <w:sz w:val="16"/>
        </w:rPr>
      </w:pPr>
    </w:p>
    <w:p>
      <w:pPr>
        <w:pStyle w:val="ListParagraph"/>
        <w:numPr>
          <w:ilvl w:val="0"/>
          <w:numId w:val="33"/>
        </w:numPr>
        <w:tabs>
          <w:tab w:pos="1250" w:val="left" w:leader="none"/>
        </w:tabs>
        <w:spacing w:line="240" w:lineRule="auto" w:before="0" w:after="0"/>
        <w:ind w:left="1249" w:right="0" w:hanging="530"/>
        <w:jc w:val="left"/>
        <w:rPr>
          <w:sz w:val="21"/>
        </w:rPr>
      </w:pPr>
      <w:r>
        <w:rPr>
          <w:spacing w:val="-3"/>
          <w:sz w:val="21"/>
        </w:rPr>
        <w:t>基金份额持有人大会费用。</w:t>
      </w:r>
    </w:p>
    <w:p>
      <w:pPr>
        <w:pStyle w:val="BodyText"/>
        <w:spacing w:before="1"/>
        <w:rPr>
          <w:sz w:val="16"/>
        </w:rPr>
      </w:pPr>
    </w:p>
    <w:p>
      <w:pPr>
        <w:pStyle w:val="ListParagraph"/>
        <w:numPr>
          <w:ilvl w:val="0"/>
          <w:numId w:val="33"/>
        </w:numPr>
        <w:tabs>
          <w:tab w:pos="1250" w:val="left" w:leader="none"/>
        </w:tabs>
        <w:spacing w:line="240" w:lineRule="auto" w:before="1" w:after="0"/>
        <w:ind w:left="1249" w:right="0" w:hanging="530"/>
        <w:jc w:val="left"/>
        <w:rPr>
          <w:sz w:val="21"/>
        </w:rPr>
      </w:pPr>
      <w:r>
        <w:rPr>
          <w:spacing w:val="-3"/>
          <w:sz w:val="21"/>
        </w:rPr>
        <w:t>基金的证券</w:t>
      </w:r>
      <w:r>
        <w:rPr>
          <w:rFonts w:ascii="Times New Roman" w:eastAsia="Times New Roman"/>
          <w:sz w:val="21"/>
        </w:rPr>
        <w:t>/</w:t>
      </w:r>
      <w:r>
        <w:rPr>
          <w:spacing w:val="-3"/>
          <w:sz w:val="21"/>
        </w:rPr>
        <w:t>期货交易费用。</w:t>
      </w:r>
    </w:p>
    <w:p>
      <w:pPr>
        <w:pStyle w:val="BodyText"/>
        <w:rPr>
          <w:sz w:val="16"/>
        </w:rPr>
      </w:pPr>
    </w:p>
    <w:p>
      <w:pPr>
        <w:pStyle w:val="ListParagraph"/>
        <w:numPr>
          <w:ilvl w:val="0"/>
          <w:numId w:val="33"/>
        </w:numPr>
        <w:tabs>
          <w:tab w:pos="1250" w:val="left" w:leader="none"/>
        </w:tabs>
        <w:spacing w:line="240" w:lineRule="auto" w:before="1" w:after="0"/>
        <w:ind w:left="1249" w:right="0" w:hanging="530"/>
        <w:jc w:val="left"/>
        <w:rPr>
          <w:sz w:val="21"/>
        </w:rPr>
      </w:pPr>
      <w:r>
        <w:rPr>
          <w:spacing w:val="-3"/>
          <w:sz w:val="21"/>
        </w:rPr>
        <w:t>基金的银行汇划费用。</w:t>
      </w:r>
    </w:p>
    <w:p>
      <w:pPr>
        <w:pStyle w:val="BodyText"/>
        <w:spacing w:before="1"/>
        <w:rPr>
          <w:sz w:val="16"/>
        </w:rPr>
      </w:pPr>
    </w:p>
    <w:p>
      <w:pPr>
        <w:pStyle w:val="ListParagraph"/>
        <w:numPr>
          <w:ilvl w:val="0"/>
          <w:numId w:val="33"/>
        </w:numPr>
        <w:tabs>
          <w:tab w:pos="1250" w:val="left" w:leader="none"/>
        </w:tabs>
        <w:spacing w:line="427" w:lineRule="auto" w:before="0" w:after="0"/>
        <w:ind w:left="720" w:right="1092" w:firstLine="0"/>
        <w:jc w:val="left"/>
        <w:rPr>
          <w:sz w:val="21"/>
        </w:rPr>
      </w:pPr>
      <w:r>
        <w:rPr>
          <w:spacing w:val="-3"/>
          <w:sz w:val="21"/>
        </w:rPr>
        <w:t>按照国家有关规定和《基金合同》约定，可以在基金财产中列支的其他费用。本基金终止清算时所发生费用，按实际支出额从基金财产总值中扣除。</w:t>
      </w:r>
    </w:p>
    <w:p>
      <w:pPr>
        <w:pStyle w:val="BodyText"/>
        <w:spacing w:line="264" w:lineRule="exact"/>
        <w:ind w:left="720"/>
      </w:pPr>
      <w:r>
        <w:rPr>
          <w:rFonts w:ascii="Times New Roman" w:eastAsia="Times New Roman"/>
        </w:rPr>
        <w:t>2</w:t>
      </w:r>
      <w:r>
        <w:rPr/>
        <w:t>、基金费用的费率、计提标准、计提方式与支付方式</w:t>
      </w:r>
    </w:p>
    <w:p>
      <w:pPr>
        <w:pStyle w:val="BodyText"/>
        <w:spacing w:before="1"/>
        <w:rPr>
          <w:sz w:val="16"/>
        </w:rPr>
      </w:pPr>
    </w:p>
    <w:p>
      <w:pPr>
        <w:pStyle w:val="ListParagraph"/>
        <w:numPr>
          <w:ilvl w:val="0"/>
          <w:numId w:val="34"/>
        </w:numPr>
        <w:tabs>
          <w:tab w:pos="1250" w:val="left" w:leader="none"/>
        </w:tabs>
        <w:spacing w:line="240" w:lineRule="auto" w:before="1" w:after="0"/>
        <w:ind w:left="1249" w:right="0" w:hanging="530"/>
        <w:jc w:val="left"/>
        <w:rPr>
          <w:sz w:val="21"/>
        </w:rPr>
      </w:pPr>
      <w:r>
        <w:rPr>
          <w:spacing w:val="-3"/>
          <w:sz w:val="21"/>
        </w:rPr>
        <w:t>基金管理人的管理费</w:t>
      </w:r>
    </w:p>
    <w:p>
      <w:pPr>
        <w:pStyle w:val="BodyText"/>
        <w:rPr>
          <w:sz w:val="16"/>
        </w:rPr>
      </w:pPr>
    </w:p>
    <w:p>
      <w:pPr>
        <w:pStyle w:val="BodyText"/>
        <w:spacing w:line="424" w:lineRule="auto" w:before="1"/>
        <w:ind w:left="300" w:right="871" w:firstLine="419"/>
      </w:pPr>
      <w:r>
        <w:rPr/>
        <w:t>本基金的管理费按前一日基金资产净值扣除基金资产中目标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0.5%</w:t>
      </w:r>
      <w:r>
        <w:rPr/>
        <w:t>年费率计提。管理费的计算方法如下：</w:t>
      </w:r>
    </w:p>
    <w:p>
      <w:pPr>
        <w:pStyle w:val="BodyText"/>
        <w:spacing w:line="267" w:lineRule="exact"/>
        <w:ind w:left="720"/>
      </w:pPr>
      <w:r>
        <w:rPr>
          <w:rFonts w:ascii="Times New Roman" w:hAnsi="Times New Roman" w:eastAsia="Times New Roman"/>
        </w:rPr>
        <w:t>H</w:t>
      </w:r>
      <w:r>
        <w:rPr/>
        <w:t>＝</w:t>
      </w:r>
      <w:r>
        <w:rPr>
          <w:rFonts w:ascii="Times New Roman" w:hAnsi="Times New Roman" w:eastAsia="Times New Roman"/>
        </w:rPr>
        <w:t>E×0.5%÷</w:t>
      </w:r>
      <w:r>
        <w:rPr/>
        <w:t>当年天数</w:t>
      </w:r>
    </w:p>
    <w:p>
      <w:pPr>
        <w:pStyle w:val="BodyText"/>
        <w:spacing w:before="1"/>
        <w:rPr>
          <w:sz w:val="16"/>
        </w:rPr>
      </w:pPr>
    </w:p>
    <w:p>
      <w:pPr>
        <w:pStyle w:val="BodyText"/>
        <w:ind w:left="720"/>
      </w:pPr>
      <w:r>
        <w:rPr>
          <w:rFonts w:ascii="Times New Roman" w:eastAsia="Times New Roman"/>
        </w:rPr>
        <w:t>H </w:t>
      </w:r>
      <w:r>
        <w:rPr/>
        <w:t>为每日应计提的基金管理费</w:t>
      </w:r>
    </w:p>
    <w:p>
      <w:pPr>
        <w:pStyle w:val="BodyText"/>
        <w:spacing w:before="1"/>
        <w:rPr>
          <w:sz w:val="16"/>
        </w:rPr>
      </w:pPr>
    </w:p>
    <w:p>
      <w:pPr>
        <w:pStyle w:val="BodyText"/>
        <w:ind w:left="720"/>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w:t>
      </w:r>
    </w:p>
    <w:p>
      <w:pPr>
        <w:spacing w:after="0"/>
        <w:sectPr>
          <w:footerReference w:type="default" r:id="rId223"/>
          <w:pgSz w:w="11910" w:h="16840"/>
          <w:pgMar w:footer="683" w:header="701" w:top="1420" w:bottom="880" w:left="1500" w:right="920"/>
          <w:pgNumType w:start="131"/>
        </w:sectPr>
      </w:pPr>
    </w:p>
    <w:p>
      <w:pPr>
        <w:pStyle w:val="BodyText"/>
        <w:spacing w:before="115"/>
        <w:ind w:left="300"/>
        <w:jc w:val="both"/>
        <w:rPr>
          <w:rFonts w:ascii="Times New Roman" w:eastAsia="Times New Roman"/>
        </w:rPr>
      </w:pPr>
      <w:r>
        <w:rPr/>
        <w:t>若为负数，则</w:t>
      </w:r>
      <w:r>
        <w:rPr>
          <w:rFonts w:ascii="Times New Roman" w:eastAsia="Times New Roman"/>
        </w:rPr>
        <w:t>E </w:t>
      </w:r>
      <w:r>
        <w:rPr/>
        <w:t>取 </w:t>
      </w:r>
      <w:r>
        <w:rPr>
          <w:rFonts w:ascii="Times New Roman" w:eastAsia="Times New Roman"/>
        </w:rPr>
        <w:t>0</w:t>
      </w:r>
    </w:p>
    <w:p>
      <w:pPr>
        <w:pStyle w:val="BodyText"/>
        <w:spacing w:before="10"/>
        <w:rPr>
          <w:rFonts w:ascii="Times New Roman"/>
          <w:sz w:val="17"/>
        </w:rPr>
      </w:pPr>
    </w:p>
    <w:p>
      <w:pPr>
        <w:pStyle w:val="BodyText"/>
        <w:spacing w:line="424" w:lineRule="auto"/>
        <w:ind w:left="300" w:right="87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2 </w:t>
      </w:r>
      <w:r>
        <w:rPr>
          <w:spacing w:val="-3"/>
        </w:rPr>
        <w:t>个工作日内从基金财产中一次性支付给基金管理人。若遇法定节假日、公休假等，支付日期顺延。</w:t>
      </w:r>
    </w:p>
    <w:p>
      <w:pPr>
        <w:pStyle w:val="ListParagraph"/>
        <w:numPr>
          <w:ilvl w:val="0"/>
          <w:numId w:val="34"/>
        </w:numPr>
        <w:tabs>
          <w:tab w:pos="1250" w:val="left" w:leader="none"/>
        </w:tabs>
        <w:spacing w:line="266" w:lineRule="exact" w:before="0" w:after="0"/>
        <w:ind w:left="1249" w:right="0" w:hanging="530"/>
        <w:jc w:val="left"/>
        <w:rPr>
          <w:sz w:val="21"/>
        </w:rPr>
      </w:pPr>
      <w:r>
        <w:rPr>
          <w:spacing w:val="-3"/>
          <w:sz w:val="21"/>
        </w:rPr>
        <w:t>基金托管人的托管费</w:t>
      </w:r>
    </w:p>
    <w:p>
      <w:pPr>
        <w:pStyle w:val="BodyText"/>
        <w:spacing w:before="4"/>
        <w:rPr>
          <w:sz w:val="16"/>
        </w:rPr>
      </w:pPr>
    </w:p>
    <w:p>
      <w:pPr>
        <w:pStyle w:val="BodyText"/>
        <w:spacing w:line="424" w:lineRule="auto"/>
        <w:ind w:left="300" w:right="871" w:firstLine="419"/>
      </w:pPr>
      <w:r>
        <w:rPr/>
        <w:t>本基金的托管费按前一日基金资产净值扣除基金资产中目标 </w:t>
      </w:r>
      <w:r>
        <w:rPr>
          <w:rFonts w:ascii="Times New Roman" w:eastAsia="Times New Roman"/>
        </w:rPr>
        <w:t>ETF </w:t>
      </w:r>
      <w:r>
        <w:rPr/>
        <w:t>份额所对应资产净值后剩余部分的 </w:t>
      </w:r>
      <w:r>
        <w:rPr>
          <w:rFonts w:ascii="Times New Roman" w:eastAsia="Times New Roman"/>
        </w:rPr>
        <w:t>0.1%</w:t>
      </w:r>
      <w:r>
        <w:rPr/>
        <w:t>的年费率计提。托管费的计算方法如下：</w:t>
      </w:r>
    </w:p>
    <w:p>
      <w:pPr>
        <w:pStyle w:val="BodyText"/>
        <w:spacing w:line="268" w:lineRule="exact"/>
        <w:ind w:left="720"/>
      </w:pPr>
      <w:r>
        <w:rPr>
          <w:rFonts w:ascii="Times New Roman" w:hAnsi="Times New Roman" w:eastAsia="Times New Roman"/>
        </w:rPr>
        <w:t>H</w:t>
      </w:r>
      <w:r>
        <w:rPr/>
        <w:t>＝</w:t>
      </w:r>
      <w:r>
        <w:rPr>
          <w:rFonts w:ascii="Times New Roman" w:hAnsi="Times New Roman" w:eastAsia="Times New Roman"/>
        </w:rPr>
        <w:t>E×0.1%÷</w:t>
      </w:r>
      <w:r>
        <w:rPr/>
        <w:t>当年天数</w:t>
      </w:r>
    </w:p>
    <w:p>
      <w:pPr>
        <w:pStyle w:val="BodyText"/>
        <w:spacing w:before="1"/>
        <w:rPr>
          <w:sz w:val="16"/>
        </w:rPr>
      </w:pPr>
    </w:p>
    <w:p>
      <w:pPr>
        <w:pStyle w:val="BodyText"/>
        <w:ind w:left="720"/>
      </w:pPr>
      <w:r>
        <w:rPr>
          <w:rFonts w:ascii="Times New Roman" w:eastAsia="Times New Roman"/>
        </w:rPr>
        <w:t>H </w:t>
      </w:r>
      <w:r>
        <w:rPr/>
        <w:t>为每日应计提的基金托管费</w:t>
      </w:r>
    </w:p>
    <w:p>
      <w:pPr>
        <w:pStyle w:val="BodyText"/>
        <w:spacing w:before="1"/>
        <w:rPr>
          <w:sz w:val="16"/>
        </w:rPr>
      </w:pPr>
    </w:p>
    <w:p>
      <w:pPr>
        <w:pStyle w:val="BodyText"/>
        <w:spacing w:line="424" w:lineRule="auto"/>
        <w:ind w:left="300" w:right="698" w:firstLine="419"/>
        <w:rPr>
          <w:rFonts w:ascii="Times New Roman" w:eastAsia="Times New Roman"/>
        </w:rPr>
      </w:pPr>
      <w:r>
        <w:rPr>
          <w:rFonts w:ascii="Times New Roman" w:eastAsia="Times New Roman"/>
        </w:rPr>
        <w:t>E </w:t>
      </w:r>
      <w:r>
        <w:rPr/>
        <w:t>为前一日的基金资产净值扣除基金资产中目标 </w:t>
      </w:r>
      <w:r>
        <w:rPr>
          <w:rFonts w:ascii="Times New Roman" w:eastAsia="Times New Roman"/>
        </w:rPr>
        <w:t>ETF </w:t>
      </w:r>
      <w:r>
        <w:rPr/>
        <w:t>份额所对应资产净值后剩余部分， 若为负数，则</w:t>
      </w:r>
      <w:r>
        <w:rPr>
          <w:rFonts w:ascii="Times New Roman" w:eastAsia="Times New Roman"/>
        </w:rPr>
        <w:t>E </w:t>
      </w:r>
      <w:r>
        <w:rPr/>
        <w:t>取 </w:t>
      </w:r>
      <w:r>
        <w:rPr>
          <w:rFonts w:ascii="Times New Roman" w:eastAsia="Times New Roman"/>
        </w:rPr>
        <w:t>0</w:t>
      </w:r>
    </w:p>
    <w:p>
      <w:pPr>
        <w:pStyle w:val="BodyText"/>
        <w:spacing w:line="424" w:lineRule="auto"/>
        <w:ind w:left="300" w:right="66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2 </w:t>
      </w:r>
      <w:r>
        <w:rPr>
          <w:spacing w:val="-3"/>
        </w:rPr>
        <w:t>个工作日内从基金财产中一次性支取。若遇法定节假日、公休日等，支付日期顺延。</w:t>
      </w:r>
    </w:p>
    <w:p>
      <w:pPr>
        <w:pStyle w:val="ListParagraph"/>
        <w:numPr>
          <w:ilvl w:val="0"/>
          <w:numId w:val="34"/>
        </w:numPr>
        <w:tabs>
          <w:tab w:pos="1250" w:val="left" w:leader="none"/>
        </w:tabs>
        <w:spacing w:line="269" w:lineRule="exact" w:before="0" w:after="0"/>
        <w:ind w:left="1249" w:right="0" w:hanging="530"/>
        <w:jc w:val="left"/>
        <w:rPr>
          <w:sz w:val="21"/>
        </w:rPr>
      </w:pPr>
      <w:r>
        <w:rPr>
          <w:spacing w:val="-3"/>
          <w:sz w:val="21"/>
        </w:rPr>
        <w:t>销售服务费</w:t>
      </w:r>
    </w:p>
    <w:p>
      <w:pPr>
        <w:pStyle w:val="BodyText"/>
        <w:spacing w:before="12"/>
        <w:rPr>
          <w:sz w:val="15"/>
        </w:rPr>
      </w:pPr>
    </w:p>
    <w:p>
      <w:pPr>
        <w:pStyle w:val="BodyText"/>
        <w:spacing w:line="424" w:lineRule="auto"/>
        <w:ind w:left="300" w:right="871" w:firstLine="419"/>
        <w:jc w:val="both"/>
      </w:pPr>
      <w:r>
        <w:rPr>
          <w:spacing w:val="-8"/>
        </w:rPr>
        <w:t>销售服务费可用于本基金市场推广、销售以及基金份额持有人服务等各项费用。本基金</w:t>
      </w:r>
      <w:r>
        <w:rPr>
          <w:spacing w:val="-9"/>
        </w:rPr>
        <w:t>份额分为不同的类别，适用不同的销售服务费率。其中，</w:t>
      </w:r>
      <w:r>
        <w:rPr>
          <w:rFonts w:ascii="Times New Roman" w:eastAsia="Times New Roman"/>
          <w:spacing w:val="-10"/>
        </w:rPr>
        <w:t>A </w:t>
      </w:r>
      <w:r>
        <w:rPr>
          <w:spacing w:val="-4"/>
        </w:rPr>
        <w:t>类不收取销售服务费，</w:t>
      </w:r>
      <w:r>
        <w:rPr>
          <w:rFonts w:ascii="Times New Roman" w:eastAsia="Times New Roman"/>
          <w:spacing w:val="-10"/>
        </w:rPr>
        <w:t>C </w:t>
      </w:r>
      <w:r>
        <w:rPr>
          <w:spacing w:val="-2"/>
        </w:rPr>
        <w:t>类销售</w:t>
      </w:r>
      <w:r>
        <w:rPr>
          <w:spacing w:val="-10"/>
        </w:rPr>
        <w:t>服务费年费率为 </w:t>
      </w:r>
      <w:r>
        <w:rPr>
          <w:rFonts w:ascii="Times New Roman" w:eastAsia="Times New Roman"/>
        </w:rPr>
        <w:t>0.3%</w:t>
      </w:r>
      <w:r>
        <w:rPr/>
        <w:t>。</w:t>
      </w:r>
    </w:p>
    <w:p>
      <w:pPr>
        <w:pStyle w:val="BodyText"/>
        <w:spacing w:line="266" w:lineRule="exact"/>
        <w:ind w:left="720"/>
      </w:pPr>
      <w:r>
        <w:rPr/>
        <w:t>各类别基金份额的销售服务费计算方法如下：</w:t>
      </w:r>
    </w:p>
    <w:p>
      <w:pPr>
        <w:pStyle w:val="BodyText"/>
        <w:spacing w:before="1"/>
        <w:rPr>
          <w:sz w:val="16"/>
        </w:rPr>
      </w:pPr>
    </w:p>
    <w:p>
      <w:pPr>
        <w:pStyle w:val="BodyText"/>
        <w:ind w:left="72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1"/>
        <w:rPr>
          <w:sz w:val="16"/>
        </w:rPr>
      </w:pPr>
    </w:p>
    <w:p>
      <w:pPr>
        <w:pStyle w:val="BodyText"/>
        <w:ind w:left="720"/>
      </w:pPr>
      <w:r>
        <w:rPr>
          <w:rFonts w:ascii="Times New Roman" w:eastAsia="Times New Roman"/>
        </w:rPr>
        <w:t>H </w:t>
      </w:r>
      <w:r>
        <w:rPr/>
        <w:t>为各类别基金份额每日应计提的销售服务费</w:t>
      </w:r>
    </w:p>
    <w:p>
      <w:pPr>
        <w:pStyle w:val="BodyText"/>
        <w:spacing w:before="4"/>
        <w:rPr>
          <w:sz w:val="16"/>
        </w:rPr>
      </w:pPr>
    </w:p>
    <w:p>
      <w:pPr>
        <w:pStyle w:val="BodyText"/>
        <w:ind w:left="720"/>
      </w:pPr>
      <w:r>
        <w:rPr>
          <w:rFonts w:ascii="Times New Roman" w:eastAsia="Times New Roman"/>
        </w:rPr>
        <w:t>E</w:t>
      </w:r>
      <w:r>
        <w:rPr>
          <w:rFonts w:ascii="Times New Roman" w:eastAsia="Times New Roman"/>
          <w:spacing w:val="21"/>
        </w:rPr>
        <w:t> </w:t>
      </w:r>
      <w:r>
        <w:rPr>
          <w:spacing w:val="-3"/>
        </w:rPr>
        <w:t>为各类别基金份额前一日基金资产净值</w:t>
      </w:r>
    </w:p>
    <w:p>
      <w:pPr>
        <w:pStyle w:val="BodyText"/>
        <w:spacing w:before="1"/>
        <w:rPr>
          <w:sz w:val="16"/>
        </w:rPr>
      </w:pPr>
    </w:p>
    <w:p>
      <w:pPr>
        <w:pStyle w:val="BodyText"/>
        <w:ind w:left="720"/>
        <w:jc w:val="both"/>
      </w:pPr>
      <w:r>
        <w:rPr>
          <w:rFonts w:ascii="Times New Roman" w:eastAsia="Times New Roman"/>
        </w:rPr>
        <w:t>R</w:t>
      </w:r>
      <w:r>
        <w:rPr>
          <w:rFonts w:ascii="Times New Roman" w:eastAsia="Times New Roman"/>
          <w:spacing w:val="22"/>
        </w:rPr>
        <w:t> </w:t>
      </w:r>
      <w:r>
        <w:rPr>
          <w:spacing w:val="-3"/>
        </w:rPr>
        <w:t>为各类别基金份额适用的销售服务费率</w:t>
      </w:r>
    </w:p>
    <w:p>
      <w:pPr>
        <w:pStyle w:val="BodyText"/>
        <w:spacing w:before="1"/>
        <w:rPr>
          <w:sz w:val="16"/>
        </w:rPr>
      </w:pPr>
    </w:p>
    <w:p>
      <w:pPr>
        <w:pStyle w:val="BodyText"/>
        <w:spacing w:line="424" w:lineRule="auto" w:before="1"/>
        <w:ind w:left="300" w:right="771" w:firstLine="419"/>
        <w:jc w:val="both"/>
      </w:pPr>
      <w:r>
        <w:rPr>
          <w:spacing w:val="-9"/>
        </w:rPr>
        <w:t>销售服务费每日计算，逐日累计至每月月末，按月支付。由基金管理人向基金托管人发</w:t>
      </w:r>
      <w:r>
        <w:rPr>
          <w:spacing w:val="-5"/>
        </w:rPr>
        <w:t>送销售服务费划款指令，经基金托管人复核后于次月前</w:t>
      </w:r>
      <w:r>
        <w:rPr>
          <w:rFonts w:ascii="Times New Roman" w:eastAsia="Times New Roman"/>
        </w:rPr>
        <w:t>2</w:t>
      </w:r>
      <w:r>
        <w:rPr>
          <w:spacing w:val="-3"/>
        </w:rPr>
        <w:t>个工作日内从基金财产中划出，经登记结算机构分别支付给各个基金销售机构。若遇法定节假日、公休日等，支付日期顺延。</w:t>
      </w:r>
    </w:p>
    <w:p>
      <w:pPr>
        <w:pStyle w:val="ListParagraph"/>
        <w:numPr>
          <w:ilvl w:val="0"/>
          <w:numId w:val="34"/>
        </w:numPr>
        <w:tabs>
          <w:tab w:pos="1250" w:val="left" w:leader="none"/>
        </w:tabs>
        <w:spacing w:line="424" w:lineRule="auto" w:before="0" w:after="0"/>
        <w:ind w:left="300" w:right="871" w:firstLine="419"/>
        <w:jc w:val="both"/>
        <w:rPr>
          <w:sz w:val="21"/>
        </w:rPr>
      </w:pPr>
      <w:r>
        <w:rPr>
          <w:spacing w:val="-11"/>
          <w:sz w:val="21"/>
        </w:rPr>
        <w:t>本条第</w:t>
      </w:r>
      <w:r>
        <w:rPr>
          <w:sz w:val="21"/>
        </w:rPr>
        <w:t>（一</w:t>
      </w:r>
      <w:r>
        <w:rPr>
          <w:spacing w:val="-29"/>
          <w:sz w:val="21"/>
        </w:rPr>
        <w:t>）</w:t>
      </w:r>
      <w:r>
        <w:rPr>
          <w:spacing w:val="-15"/>
          <w:sz w:val="21"/>
        </w:rPr>
        <w:t>款第 </w:t>
      </w:r>
      <w:r>
        <w:rPr>
          <w:rFonts w:ascii="Times New Roman" w:eastAsia="Times New Roman"/>
          <w:sz w:val="21"/>
        </w:rPr>
        <w:t>1</w:t>
      </w:r>
      <w:r>
        <w:rPr>
          <w:rFonts w:ascii="Times New Roman" w:eastAsia="Times New Roman"/>
          <w:spacing w:val="11"/>
          <w:sz w:val="21"/>
        </w:rPr>
        <w:t> </w:t>
      </w:r>
      <w:r>
        <w:rPr>
          <w:spacing w:val="-11"/>
          <w:sz w:val="21"/>
        </w:rPr>
        <w:t>项中第（</w:t>
      </w:r>
      <w:r>
        <w:rPr>
          <w:rFonts w:ascii="Times New Roman" w:eastAsia="Times New Roman"/>
          <w:spacing w:val="-11"/>
          <w:sz w:val="21"/>
        </w:rPr>
        <w:t>4</w:t>
      </w:r>
      <w:r>
        <w:rPr>
          <w:spacing w:val="-11"/>
          <w:sz w:val="21"/>
        </w:rPr>
        <w:t>）</w:t>
      </w:r>
      <w:r>
        <w:rPr>
          <w:spacing w:val="-16"/>
          <w:sz w:val="21"/>
        </w:rPr>
        <w:t>至第</w:t>
      </w:r>
      <w:r>
        <w:rPr>
          <w:spacing w:val="-11"/>
          <w:sz w:val="21"/>
        </w:rPr>
        <w:t>（</w:t>
      </w:r>
      <w:r>
        <w:rPr>
          <w:rFonts w:ascii="Times New Roman" w:eastAsia="Times New Roman"/>
          <w:spacing w:val="-11"/>
          <w:sz w:val="21"/>
        </w:rPr>
        <w:t>8</w:t>
      </w:r>
      <w:r>
        <w:rPr>
          <w:spacing w:val="-11"/>
          <w:sz w:val="21"/>
        </w:rPr>
        <w:t>）</w:t>
      </w:r>
      <w:r>
        <w:rPr>
          <w:spacing w:val="-3"/>
          <w:sz w:val="21"/>
        </w:rPr>
        <w:t>项费用根据有关法规及相应协议规定，按费用实际支出金额列入或摊入当期费用，由基金托管人从基金财产中支付。</w:t>
      </w:r>
    </w:p>
    <w:p>
      <w:pPr>
        <w:pStyle w:val="BodyText"/>
        <w:spacing w:line="267" w:lineRule="exact"/>
        <w:ind w:left="720"/>
      </w:pPr>
      <w:r>
        <w:rPr>
          <w:rFonts w:ascii="Times New Roman" w:eastAsia="Times New Roman"/>
        </w:rPr>
        <w:t>3</w:t>
      </w:r>
      <w:r>
        <w:rPr/>
        <w:t>、不列入基金费用的项目</w:t>
      </w:r>
    </w:p>
    <w:p>
      <w:pPr>
        <w:spacing w:after="0" w:line="267" w:lineRule="exact"/>
        <w:sectPr>
          <w:pgSz w:w="11910" w:h="16840"/>
          <w:pgMar w:header="701" w:footer="683" w:top="1420" w:bottom="880" w:left="1500" w:right="920"/>
        </w:sectPr>
      </w:pPr>
    </w:p>
    <w:p>
      <w:pPr>
        <w:pStyle w:val="BodyText"/>
        <w:spacing w:before="115"/>
        <w:ind w:left="720"/>
      </w:pPr>
      <w:r>
        <w:rPr/>
        <w:t>下列费用不列入基金费用：</w:t>
      </w:r>
    </w:p>
    <w:p>
      <w:pPr>
        <w:pStyle w:val="BodyText"/>
        <w:rPr>
          <w:sz w:val="16"/>
        </w:rPr>
      </w:pPr>
    </w:p>
    <w:p>
      <w:pPr>
        <w:pStyle w:val="ListParagraph"/>
        <w:numPr>
          <w:ilvl w:val="0"/>
          <w:numId w:val="35"/>
        </w:numPr>
        <w:tabs>
          <w:tab w:pos="1250" w:val="left" w:leader="none"/>
        </w:tabs>
        <w:spacing w:line="424" w:lineRule="auto" w:before="1" w:after="0"/>
        <w:ind w:left="300" w:right="874" w:firstLine="419"/>
        <w:jc w:val="left"/>
        <w:rPr>
          <w:sz w:val="21"/>
        </w:rPr>
      </w:pPr>
      <w:r>
        <w:rPr>
          <w:spacing w:val="-3"/>
          <w:sz w:val="21"/>
        </w:rPr>
        <w:t>基金管理人和基金托管人因未履行或未完全履行义务导致的费用支出或基金财产的损失。</w:t>
      </w:r>
    </w:p>
    <w:p>
      <w:pPr>
        <w:pStyle w:val="ListParagraph"/>
        <w:numPr>
          <w:ilvl w:val="0"/>
          <w:numId w:val="35"/>
        </w:numPr>
        <w:tabs>
          <w:tab w:pos="1250" w:val="left" w:leader="none"/>
        </w:tabs>
        <w:spacing w:line="267" w:lineRule="exact" w:before="0" w:after="0"/>
        <w:ind w:left="1249" w:right="0" w:hanging="530"/>
        <w:jc w:val="left"/>
        <w:rPr>
          <w:sz w:val="21"/>
        </w:rPr>
      </w:pPr>
      <w:r>
        <w:rPr>
          <w:spacing w:val="-3"/>
          <w:sz w:val="21"/>
        </w:rPr>
        <w:t>基金管理人和基金托管人处理与基金运作无关的事项发生的费用。</w:t>
      </w:r>
    </w:p>
    <w:p>
      <w:pPr>
        <w:pStyle w:val="BodyText"/>
        <w:spacing w:before="1"/>
        <w:rPr>
          <w:sz w:val="16"/>
        </w:rPr>
      </w:pPr>
    </w:p>
    <w:p>
      <w:pPr>
        <w:pStyle w:val="ListParagraph"/>
        <w:numPr>
          <w:ilvl w:val="0"/>
          <w:numId w:val="35"/>
        </w:numPr>
        <w:tabs>
          <w:tab w:pos="1250" w:val="left" w:leader="none"/>
        </w:tabs>
        <w:spacing w:line="427" w:lineRule="auto" w:before="0" w:after="0"/>
        <w:ind w:left="300" w:right="871" w:firstLine="419"/>
        <w:jc w:val="left"/>
        <w:rPr>
          <w:sz w:val="21"/>
        </w:rPr>
      </w:pPr>
      <w:r>
        <w:rPr>
          <w:spacing w:val="-9"/>
          <w:sz w:val="21"/>
        </w:rPr>
        <w:t>《基金合同》生效前的相关费用，包括但不限于验资费、会计师和律师费、信息</w:t>
      </w:r>
      <w:r>
        <w:rPr>
          <w:spacing w:val="-6"/>
          <w:sz w:val="21"/>
        </w:rPr>
        <w:t>披露费用等费用。</w:t>
      </w:r>
    </w:p>
    <w:p>
      <w:pPr>
        <w:pStyle w:val="ListParagraph"/>
        <w:numPr>
          <w:ilvl w:val="0"/>
          <w:numId w:val="35"/>
        </w:numPr>
        <w:tabs>
          <w:tab w:pos="1250" w:val="left" w:leader="none"/>
        </w:tabs>
        <w:spacing w:line="264" w:lineRule="exact" w:before="0" w:after="0"/>
        <w:ind w:left="1249" w:right="0" w:hanging="530"/>
        <w:jc w:val="left"/>
        <w:rPr>
          <w:sz w:val="21"/>
        </w:rPr>
      </w:pPr>
      <w:r>
        <w:rPr>
          <w:spacing w:val="-3"/>
          <w:sz w:val="21"/>
        </w:rPr>
        <w:t>其他根据相关法律法规及中国证监会的有关规定不得列入基金费用的项目。</w:t>
      </w:r>
    </w:p>
    <w:p>
      <w:pPr>
        <w:pStyle w:val="BodyText"/>
        <w:spacing w:before="1"/>
        <w:rPr>
          <w:sz w:val="16"/>
        </w:rPr>
      </w:pPr>
    </w:p>
    <w:p>
      <w:pPr>
        <w:pStyle w:val="BodyText"/>
        <w:spacing w:before="1"/>
        <w:ind w:left="720"/>
      </w:pPr>
      <w:r>
        <w:rPr>
          <w:rFonts w:ascii="Times New Roman" w:eastAsia="Times New Roman"/>
        </w:rPr>
        <w:t>4</w:t>
      </w:r>
      <w:r>
        <w:rPr/>
        <w:t>、费用调整</w:t>
      </w:r>
    </w:p>
    <w:p>
      <w:pPr>
        <w:pStyle w:val="BodyText"/>
        <w:rPr>
          <w:sz w:val="16"/>
        </w:rPr>
      </w:pPr>
    </w:p>
    <w:p>
      <w:pPr>
        <w:pStyle w:val="BodyText"/>
        <w:spacing w:line="424" w:lineRule="auto" w:before="1"/>
        <w:ind w:left="300" w:right="871" w:firstLine="419"/>
      </w:pPr>
      <w:r>
        <w:rPr>
          <w:spacing w:val="-8"/>
        </w:rPr>
        <w:t>基金管理人和基金托管人协商一致后，可根据基金发展情况调整基金管理费率、基金托</w:t>
      </w:r>
      <w:r>
        <w:rPr>
          <w:spacing w:val="-5"/>
        </w:rPr>
        <w:t>管费率、基金销售费率等相关费率。</w:t>
      </w:r>
    </w:p>
    <w:p>
      <w:pPr>
        <w:pStyle w:val="BodyText"/>
        <w:spacing w:line="424" w:lineRule="auto"/>
        <w:ind w:left="300" w:right="871" w:firstLine="419"/>
        <w:jc w:val="both"/>
      </w:pPr>
      <w:r>
        <w:rPr>
          <w:spacing w:val="-11"/>
        </w:rPr>
        <w:t>调高基金管理费率、基金托管费率须召开基金份额持有人大会审议，但根据法律法规或证监会的要求提高管理费、托管费的情形除外；调低基金管理费率、基金托管费率，无须召</w:t>
      </w:r>
      <w:r>
        <w:rPr>
          <w:spacing w:val="-6"/>
        </w:rPr>
        <w:t>开基金份额持有人大会。</w:t>
      </w:r>
    </w:p>
    <w:p>
      <w:pPr>
        <w:pStyle w:val="BodyText"/>
        <w:spacing w:line="268" w:lineRule="exact"/>
        <w:ind w:left="720"/>
        <w:jc w:val="both"/>
      </w:pPr>
      <w:r>
        <w:rPr/>
        <w:t>基金管理人必须最迟于新的费率实施日前 </w:t>
      </w:r>
      <w:r>
        <w:rPr>
          <w:rFonts w:ascii="Times New Roman" w:eastAsia="Times New Roman"/>
        </w:rPr>
        <w:t>2 </w:t>
      </w:r>
      <w:r>
        <w:rPr/>
        <w:t>日在规定媒介公告。</w:t>
      </w:r>
    </w:p>
    <w:p>
      <w:pPr>
        <w:pStyle w:val="BodyText"/>
        <w:spacing w:before="12"/>
        <w:rPr>
          <w:sz w:val="15"/>
        </w:rPr>
      </w:pPr>
    </w:p>
    <w:p>
      <w:pPr>
        <w:pStyle w:val="BodyText"/>
        <w:ind w:left="720"/>
      </w:pPr>
      <w:r>
        <w:rPr/>
        <w:t>（二）基金销售费用</w:t>
      </w:r>
    </w:p>
    <w:p>
      <w:pPr>
        <w:pStyle w:val="BodyText"/>
        <w:spacing w:before="1"/>
        <w:rPr>
          <w:sz w:val="16"/>
        </w:rPr>
      </w:pPr>
    </w:p>
    <w:p>
      <w:pPr>
        <w:pStyle w:val="BodyText"/>
        <w:spacing w:line="424" w:lineRule="auto"/>
        <w:ind w:left="300" w:right="873" w:firstLine="419"/>
        <w:jc w:val="both"/>
      </w:pPr>
      <w:r>
        <w:rPr>
          <w:rFonts w:ascii="Times New Roman" w:hAnsi="Times New Roman" w:eastAsia="Times New Roman"/>
        </w:rPr>
        <w:t>1</w:t>
      </w:r>
      <w:r>
        <w:rPr>
          <w:spacing w:val="-3"/>
        </w:rPr>
        <w:t>、本基金申购费、赎回费的费率水平、计算公式、收取方式和使用方式请详见本招募</w:t>
      </w:r>
      <w:r>
        <w:rPr>
          <w:spacing w:val="-8"/>
        </w:rPr>
        <w:t>说明书“八、基金份额的申购、赎回与转换”中的“</w:t>
      </w:r>
      <w:r>
        <w:rPr>
          <w:spacing w:val="-9"/>
        </w:rPr>
        <w:t>（</w:t>
      </w:r>
      <w:r>
        <w:rPr/>
        <w:t>八</w:t>
      </w:r>
      <w:r>
        <w:rPr>
          <w:spacing w:val="-20"/>
        </w:rPr>
        <w:t>）</w:t>
      </w:r>
      <w:r>
        <w:rPr>
          <w:spacing w:val="-4"/>
        </w:rPr>
        <w:t>申购费与赎回费”与“</w:t>
      </w:r>
      <w:r>
        <w:rPr>
          <w:spacing w:val="-10"/>
        </w:rPr>
        <w:t>（</w:t>
      </w:r>
      <w:r>
        <w:rPr/>
        <w:t>九</w:t>
      </w:r>
      <w:r>
        <w:rPr>
          <w:spacing w:val="-20"/>
        </w:rPr>
        <w:t>）</w:t>
      </w:r>
      <w:r>
        <w:rPr/>
        <w:t>申</w:t>
      </w:r>
      <w:r>
        <w:rPr>
          <w:spacing w:val="-3"/>
        </w:rPr>
        <w:t>购份额与赎回金额的计算方式”中的相关规定。</w:t>
      </w:r>
    </w:p>
    <w:p>
      <w:pPr>
        <w:pStyle w:val="BodyText"/>
        <w:spacing w:line="424" w:lineRule="auto"/>
        <w:ind w:left="300" w:right="765" w:firstLine="419"/>
      </w:pPr>
      <w:r>
        <w:rPr>
          <w:rFonts w:ascii="Times New Roman" w:hAnsi="Times New Roman" w:eastAsia="Times New Roman"/>
        </w:rPr>
        <w:t>2</w:t>
      </w:r>
      <w:r>
        <w:rPr>
          <w:spacing w:val="-20"/>
        </w:rPr>
        <w:t>、本基金转换费的费率水平、计算公式、收取方式和使用方式请详见本招募说明书“八、</w:t>
      </w:r>
      <w:r>
        <w:rPr>
          <w:spacing w:val="-8"/>
        </w:rPr>
        <w:t>基金份额的申购、赎回与转换”中的“</w:t>
      </w:r>
      <w:r>
        <w:rPr/>
        <w:t>（</w:t>
      </w:r>
      <w:r>
        <w:rPr>
          <w:spacing w:val="-2"/>
        </w:rPr>
        <w:t>十五</w:t>
      </w:r>
      <w:r>
        <w:rPr/>
        <w:t>）</w:t>
      </w:r>
      <w:r>
        <w:rPr>
          <w:spacing w:val="-3"/>
        </w:rPr>
        <w:t>基金份额的转换”中的相关规定。</w:t>
      </w:r>
    </w:p>
    <w:p>
      <w:pPr>
        <w:pStyle w:val="BodyText"/>
        <w:spacing w:line="267" w:lineRule="exact"/>
        <w:ind w:left="720"/>
      </w:pPr>
      <w:r>
        <w:rPr/>
        <w:t>（三）税收</w:t>
      </w:r>
    </w:p>
    <w:p>
      <w:pPr>
        <w:pStyle w:val="BodyText"/>
        <w:spacing w:before="1"/>
        <w:rPr>
          <w:sz w:val="16"/>
        </w:rPr>
      </w:pPr>
    </w:p>
    <w:p>
      <w:pPr>
        <w:pStyle w:val="BodyText"/>
        <w:spacing w:line="424" w:lineRule="auto"/>
        <w:ind w:left="300" w:right="871" w:firstLine="419"/>
        <w:jc w:val="both"/>
      </w:pPr>
      <w:r>
        <w:rPr>
          <w:spacing w:val="-8"/>
        </w:rPr>
        <w:t>本基金运作过程中涉及的各纳税主体，依照国家法律法规的规定履行纳税义务。基金财</w:t>
      </w:r>
      <w:r>
        <w:rPr>
          <w:spacing w:val="-13"/>
        </w:rPr>
        <w:t>产投资的相关税收，由基金份额持有人承担，基金管理人或者其他扣缴义务人按照国家有关</w:t>
      </w:r>
      <w:r>
        <w:rPr>
          <w:spacing w:val="-6"/>
        </w:rPr>
        <w:t>税收征收的规定代扣代缴。</w:t>
      </w:r>
    </w:p>
    <w:p>
      <w:pPr>
        <w:pStyle w:val="BodyText"/>
        <w:spacing w:before="7"/>
        <w:rPr>
          <w:sz w:val="24"/>
        </w:rPr>
      </w:pPr>
    </w:p>
    <w:p>
      <w:pPr>
        <w:pStyle w:val="Heading1"/>
        <w:ind w:left="3128" w:right="0"/>
        <w:jc w:val="left"/>
      </w:pPr>
      <w:bookmarkStart w:name="_bookmark15" w:id="16"/>
      <w:bookmarkEnd w:id="16"/>
      <w:r>
        <w:rPr>
          <w:b w:val="0"/>
        </w:rPr>
      </w:r>
      <w:r>
        <w:rPr/>
        <w:t>十六、基金的会计与审计</w:t>
      </w:r>
    </w:p>
    <w:p>
      <w:pPr>
        <w:pStyle w:val="BodyText"/>
        <w:rPr>
          <w:b/>
          <w:sz w:val="24"/>
        </w:rPr>
      </w:pPr>
    </w:p>
    <w:p>
      <w:pPr>
        <w:pStyle w:val="BodyText"/>
        <w:spacing w:before="212"/>
        <w:ind w:left="720"/>
      </w:pPr>
      <w:r>
        <w:rPr/>
        <w:t>（一）基金会计政策</w:t>
      </w:r>
    </w:p>
    <w:p>
      <w:pPr>
        <w:pStyle w:val="BodyText"/>
        <w:spacing w:before="2"/>
        <w:rPr>
          <w:sz w:val="16"/>
        </w:rPr>
      </w:pPr>
    </w:p>
    <w:p>
      <w:pPr>
        <w:pStyle w:val="BodyText"/>
        <w:ind w:left="720"/>
      </w:pPr>
      <w:r>
        <w:rPr>
          <w:rFonts w:ascii="Times New Roman" w:eastAsia="Times New Roman"/>
        </w:rPr>
        <w:t>1</w:t>
      </w:r>
      <w:r>
        <w:rPr/>
        <w:t>、基金管理人为本基金的基金会计责任方。</w:t>
      </w:r>
    </w:p>
    <w:p>
      <w:pPr>
        <w:pStyle w:val="BodyText"/>
        <w:spacing w:before="1"/>
        <w:rPr>
          <w:sz w:val="16"/>
        </w:rPr>
      </w:pPr>
    </w:p>
    <w:p>
      <w:pPr>
        <w:pStyle w:val="BodyText"/>
        <w:ind w:left="72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spacing w:after="0"/>
        <w:sectPr>
          <w:pgSz w:w="11910" w:h="16840"/>
          <w:pgMar w:header="701" w:footer="683" w:top="1420" w:bottom="880" w:left="1500" w:right="920"/>
        </w:sectPr>
      </w:pPr>
    </w:p>
    <w:p>
      <w:pPr>
        <w:pStyle w:val="BodyText"/>
        <w:spacing w:before="115"/>
        <w:ind w:left="720"/>
      </w:pPr>
      <w:r>
        <w:rPr>
          <w:rFonts w:ascii="Times New Roman" w:eastAsia="Times New Roman"/>
        </w:rPr>
        <w:t>3</w:t>
      </w:r>
      <w:r>
        <w:rPr/>
        <w:t>、基金核算以人民币为记账本位币，以人民币元为记账单位。</w:t>
      </w:r>
    </w:p>
    <w:p>
      <w:pPr>
        <w:pStyle w:val="BodyText"/>
        <w:rPr>
          <w:sz w:val="16"/>
        </w:rPr>
      </w:pPr>
    </w:p>
    <w:p>
      <w:pPr>
        <w:pStyle w:val="BodyText"/>
        <w:spacing w:before="1"/>
        <w:ind w:left="720"/>
      </w:pPr>
      <w:r>
        <w:rPr>
          <w:rFonts w:ascii="Times New Roman" w:eastAsia="Times New Roman"/>
        </w:rPr>
        <w:t>4</w:t>
      </w:r>
      <w:r>
        <w:rPr/>
        <w:t>、会计制度执行国家有关会计制度。</w:t>
      </w:r>
    </w:p>
    <w:p>
      <w:pPr>
        <w:pStyle w:val="BodyText"/>
        <w:spacing w:before="1"/>
        <w:rPr>
          <w:sz w:val="16"/>
        </w:rPr>
      </w:pPr>
    </w:p>
    <w:p>
      <w:pPr>
        <w:pStyle w:val="BodyText"/>
        <w:ind w:left="720"/>
      </w:pPr>
      <w:r>
        <w:rPr>
          <w:rFonts w:ascii="Times New Roman" w:eastAsia="Times New Roman"/>
        </w:rPr>
        <w:t>5</w:t>
      </w:r>
      <w:r>
        <w:rPr/>
        <w:t>、本基金独立建账、独立核算。</w:t>
      </w:r>
    </w:p>
    <w:p>
      <w:pPr>
        <w:pStyle w:val="BodyText"/>
        <w:spacing w:before="1"/>
        <w:rPr>
          <w:sz w:val="16"/>
        </w:rPr>
      </w:pPr>
    </w:p>
    <w:p>
      <w:pPr>
        <w:pStyle w:val="BodyText"/>
        <w:spacing w:line="424" w:lineRule="auto"/>
        <w:ind w:left="300" w:right="87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24" w:lineRule="auto"/>
        <w:ind w:left="300" w:right="874" w:firstLine="419"/>
      </w:pPr>
      <w:r>
        <w:rPr>
          <w:rFonts w:ascii="Times New Roman" w:eastAsia="Times New Roman"/>
        </w:rPr>
        <w:t>7</w:t>
      </w:r>
      <w:r>
        <w:rPr/>
        <w:t>、基金托管人每月与基金管理人就基金的会计核算、报表编制等进行核对并以书面方式确认。</w:t>
      </w:r>
    </w:p>
    <w:p>
      <w:pPr>
        <w:pStyle w:val="BodyText"/>
        <w:spacing w:line="268" w:lineRule="exact"/>
        <w:ind w:left="720"/>
      </w:pPr>
      <w:r>
        <w:rPr/>
        <w:t>（二）基金的年度审计</w:t>
      </w:r>
    </w:p>
    <w:p>
      <w:pPr>
        <w:pStyle w:val="BodyText"/>
        <w:spacing w:before="1"/>
        <w:rPr>
          <w:sz w:val="16"/>
        </w:rPr>
      </w:pPr>
    </w:p>
    <w:p>
      <w:pPr>
        <w:pStyle w:val="BodyText"/>
        <w:spacing w:line="424" w:lineRule="auto"/>
        <w:ind w:left="300" w:right="873" w:firstLine="419"/>
      </w:pPr>
      <w:r>
        <w:rPr>
          <w:rFonts w:ascii="Times New Roman" w:eastAsia="Times New Roman"/>
        </w:rPr>
        <w:t>1</w:t>
      </w:r>
      <w:r>
        <w:rPr/>
        <w:t>、基金管理人聘请与基金管理人、基金托管人相互独立的符合《证券法》规定的会计师事务所及其注册会计师对本基金的年度财务报表进行审计。</w:t>
      </w:r>
    </w:p>
    <w:p>
      <w:pPr>
        <w:pStyle w:val="BodyText"/>
        <w:spacing w:line="267" w:lineRule="exact"/>
        <w:ind w:left="720"/>
      </w:pPr>
      <w:r>
        <w:rPr>
          <w:rFonts w:ascii="Times New Roman" w:eastAsia="Times New Roman"/>
        </w:rPr>
        <w:t>2</w:t>
      </w:r>
      <w:r>
        <w:rPr/>
        <w:t>、会计师事务所更换经办注册会计师，应事先征得基金管理人和基金托管人同意。</w:t>
      </w:r>
    </w:p>
    <w:p>
      <w:pPr>
        <w:pStyle w:val="BodyText"/>
        <w:spacing w:before="1"/>
        <w:rPr>
          <w:sz w:val="16"/>
        </w:rPr>
      </w:pPr>
    </w:p>
    <w:p>
      <w:pPr>
        <w:pStyle w:val="BodyText"/>
        <w:spacing w:line="424" w:lineRule="auto" w:before="1"/>
        <w:ind w:left="300" w:right="87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日内在规定媒介公告。</w:t>
      </w:r>
    </w:p>
    <w:p>
      <w:pPr>
        <w:pStyle w:val="BodyText"/>
        <w:spacing w:before="11"/>
        <w:rPr>
          <w:sz w:val="24"/>
        </w:rPr>
      </w:pPr>
    </w:p>
    <w:p>
      <w:pPr>
        <w:pStyle w:val="Heading1"/>
        <w:ind w:left="298"/>
      </w:pPr>
      <w:bookmarkStart w:name="_bookmark16" w:id="17"/>
      <w:bookmarkEnd w:id="17"/>
      <w:r>
        <w:rPr>
          <w:b w:val="0"/>
        </w:rPr>
      </w:r>
      <w:r>
        <w:rPr/>
        <w:t>十七、基金的信息披露</w:t>
      </w:r>
    </w:p>
    <w:p>
      <w:pPr>
        <w:pStyle w:val="BodyText"/>
        <w:rPr>
          <w:b/>
          <w:sz w:val="24"/>
        </w:rPr>
      </w:pPr>
    </w:p>
    <w:p>
      <w:pPr>
        <w:pStyle w:val="BodyText"/>
        <w:spacing w:line="424" w:lineRule="auto" w:before="212"/>
        <w:ind w:left="300" w:right="87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7" w:lineRule="exact"/>
        <w:ind w:left="720"/>
      </w:pPr>
      <w:r>
        <w:rPr/>
        <w:t>（二）信息披露义务人</w:t>
      </w:r>
    </w:p>
    <w:p>
      <w:pPr>
        <w:pStyle w:val="BodyText"/>
        <w:rPr>
          <w:sz w:val="16"/>
        </w:rPr>
      </w:pPr>
    </w:p>
    <w:p>
      <w:pPr>
        <w:pStyle w:val="BodyText"/>
        <w:spacing w:line="424" w:lineRule="auto" w:before="1"/>
        <w:ind w:left="300" w:right="87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24" w:lineRule="auto"/>
        <w:ind w:left="300" w:right="871" w:firstLine="419"/>
        <w:jc w:val="both"/>
      </w:pPr>
      <w:r>
        <w:rPr>
          <w:spacing w:val="-7"/>
        </w:rPr>
        <w:t>本基金信息披露义务人应当以保护基金份额持有人利益为根本出发点，按照法律、行政</w:t>
      </w:r>
      <w:r>
        <w:rPr>
          <w:spacing w:val="-11"/>
        </w:rPr>
        <w:t>法规和中国证监会的规定披露基金信息，并保证所披露信息的真实性、准确性、完整性、及</w:t>
      </w:r>
      <w:r>
        <w:rPr>
          <w:spacing w:val="-3"/>
        </w:rPr>
        <w:t>时性、简明性和易得性。</w:t>
      </w:r>
    </w:p>
    <w:p>
      <w:pPr>
        <w:pStyle w:val="BodyText"/>
        <w:spacing w:line="424" w:lineRule="auto"/>
        <w:ind w:left="300" w:right="871" w:firstLine="419"/>
        <w:jc w:val="both"/>
      </w:pPr>
      <w:r>
        <w:rPr>
          <w:spacing w:val="-7"/>
        </w:rPr>
        <w:t>本基金信息披露义务人应当在中国证监会规定时间内，将应予披露的基金信息通过中国</w:t>
      </w:r>
      <w:r>
        <w:rPr>
          <w:spacing w:val="-11"/>
        </w:rPr>
        <w:t>证监会规定媒介披露，并保证基金投资者能够按照《基金合同》约定的时间和方式查阅或者</w:t>
      </w:r>
      <w:r>
        <w:rPr>
          <w:spacing w:val="-6"/>
        </w:rPr>
        <w:t>复制公开披露的信息资料。</w:t>
      </w:r>
    </w:p>
    <w:p>
      <w:pPr>
        <w:pStyle w:val="BodyText"/>
        <w:spacing w:line="266" w:lineRule="exact"/>
        <w:ind w:left="720"/>
      </w:pPr>
      <w:r>
        <w:rPr/>
        <w:t>（三）本基金信息披露义务人承诺公开披露的基金信息，不得有下列行为：</w:t>
      </w:r>
    </w:p>
    <w:p>
      <w:pPr>
        <w:pStyle w:val="BodyText"/>
        <w:spacing w:before="12"/>
        <w:rPr>
          <w:sz w:val="15"/>
        </w:rPr>
      </w:pPr>
    </w:p>
    <w:p>
      <w:pPr>
        <w:pStyle w:val="BodyText"/>
        <w:ind w:left="720"/>
      </w:pPr>
      <w:r>
        <w:rPr>
          <w:rFonts w:ascii="Times New Roman" w:eastAsia="Times New Roman"/>
        </w:rPr>
        <w:t>1</w:t>
      </w:r>
      <w:r>
        <w:rPr/>
        <w:t>、虚假记载、误导性陈述或者重大遗漏；</w:t>
      </w:r>
    </w:p>
    <w:p>
      <w:pPr>
        <w:pStyle w:val="BodyText"/>
        <w:spacing w:before="1"/>
        <w:rPr>
          <w:sz w:val="16"/>
        </w:rPr>
      </w:pPr>
    </w:p>
    <w:p>
      <w:pPr>
        <w:pStyle w:val="BodyText"/>
        <w:ind w:left="720"/>
      </w:pPr>
      <w:r>
        <w:rPr>
          <w:rFonts w:ascii="Times New Roman" w:eastAsia="Times New Roman"/>
        </w:rPr>
        <w:t>2</w:t>
      </w:r>
      <w:r>
        <w:rPr/>
        <w:t>、对证券投资业绩进行预测；</w:t>
      </w:r>
    </w:p>
    <w:p>
      <w:pPr>
        <w:spacing w:after="0"/>
        <w:sectPr>
          <w:pgSz w:w="11910" w:h="16840"/>
          <w:pgMar w:header="701" w:footer="683" w:top="1420" w:bottom="880" w:left="1500" w:right="920"/>
        </w:sectPr>
      </w:pPr>
    </w:p>
    <w:p>
      <w:pPr>
        <w:pStyle w:val="BodyText"/>
        <w:spacing w:before="115"/>
        <w:ind w:left="720"/>
      </w:pPr>
      <w:r>
        <w:rPr>
          <w:rFonts w:ascii="Times New Roman" w:eastAsia="Times New Roman"/>
        </w:rPr>
        <w:t>3</w:t>
      </w:r>
      <w:r>
        <w:rPr/>
        <w:t>、违规承诺收益或者承担损失；</w:t>
      </w:r>
    </w:p>
    <w:p>
      <w:pPr>
        <w:pStyle w:val="BodyText"/>
        <w:rPr>
          <w:sz w:val="16"/>
        </w:rPr>
      </w:pPr>
    </w:p>
    <w:p>
      <w:pPr>
        <w:pStyle w:val="BodyText"/>
        <w:spacing w:before="1"/>
        <w:ind w:left="720"/>
      </w:pPr>
      <w:r>
        <w:rPr>
          <w:rFonts w:ascii="Times New Roman" w:eastAsia="Times New Roman"/>
        </w:rPr>
        <w:t>4</w:t>
      </w:r>
      <w:r>
        <w:rPr/>
        <w:t>、诋毁其他基金管理人、基金托管人或者基金销售机构；</w:t>
      </w:r>
    </w:p>
    <w:p>
      <w:pPr>
        <w:pStyle w:val="BodyText"/>
        <w:spacing w:before="1"/>
        <w:rPr>
          <w:sz w:val="16"/>
        </w:rPr>
      </w:pPr>
    </w:p>
    <w:p>
      <w:pPr>
        <w:pStyle w:val="BodyText"/>
        <w:ind w:left="720"/>
      </w:pPr>
      <w:r>
        <w:rPr>
          <w:rFonts w:ascii="Times New Roman" w:eastAsia="Times New Roman"/>
        </w:rPr>
        <w:t>5</w:t>
      </w:r>
      <w:r>
        <w:rPr/>
        <w:t>、登载任何自然人、法人和非法人组织的祝贺性、恭维性或推荐性文字；</w:t>
      </w:r>
    </w:p>
    <w:p>
      <w:pPr>
        <w:pStyle w:val="BodyText"/>
        <w:spacing w:before="1"/>
        <w:rPr>
          <w:sz w:val="16"/>
        </w:rPr>
      </w:pPr>
    </w:p>
    <w:p>
      <w:pPr>
        <w:pStyle w:val="BodyText"/>
        <w:ind w:left="720"/>
      </w:pPr>
      <w:r>
        <w:rPr>
          <w:rFonts w:ascii="Times New Roman" w:eastAsia="Times New Roman"/>
        </w:rPr>
        <w:t>6</w:t>
      </w:r>
      <w:r>
        <w:rPr/>
        <w:t>、中国证监会禁止的其他行为。</w:t>
      </w:r>
    </w:p>
    <w:p>
      <w:pPr>
        <w:pStyle w:val="BodyText"/>
        <w:spacing w:before="1"/>
        <w:rPr>
          <w:sz w:val="16"/>
        </w:rPr>
      </w:pPr>
    </w:p>
    <w:p>
      <w:pPr>
        <w:pStyle w:val="BodyText"/>
        <w:spacing w:line="427" w:lineRule="auto"/>
        <w:ind w:left="300" w:right="87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line="264" w:lineRule="exact"/>
        <w:ind w:left="720"/>
      </w:pPr>
      <w:r>
        <w:rPr/>
        <w:t>本基金公开披露的信息采用阿拉伯数字；除特别说明外，货币单位为人民币元。</w:t>
      </w:r>
    </w:p>
    <w:p>
      <w:pPr>
        <w:pStyle w:val="BodyText"/>
        <w:spacing w:before="2"/>
        <w:rPr>
          <w:sz w:val="16"/>
        </w:rPr>
      </w:pPr>
    </w:p>
    <w:p>
      <w:pPr>
        <w:pStyle w:val="BodyText"/>
        <w:spacing w:line="424" w:lineRule="auto"/>
        <w:ind w:left="720" w:right="6241"/>
      </w:pPr>
      <w:r>
        <w:rPr/>
        <w:t>（五）公开披露的基金信息公开披露的基金信息包括：</w:t>
      </w:r>
    </w:p>
    <w:p>
      <w:pPr>
        <w:pStyle w:val="BodyText"/>
        <w:spacing w:line="267" w:lineRule="exact"/>
        <w:ind w:left="720"/>
      </w:pPr>
      <w:r>
        <w:rPr>
          <w:rFonts w:ascii="Times New Roman" w:eastAsia="Times New Roman"/>
        </w:rPr>
        <w:t>1</w:t>
      </w:r>
      <w:r>
        <w:rPr/>
        <w:t>、基金招募说明书、《基金合同》、基金托管协议</w:t>
      </w:r>
    </w:p>
    <w:p>
      <w:pPr>
        <w:pStyle w:val="BodyText"/>
        <w:spacing w:before="1"/>
        <w:rPr>
          <w:sz w:val="16"/>
        </w:rPr>
      </w:pPr>
    </w:p>
    <w:p>
      <w:pPr>
        <w:pStyle w:val="ListParagraph"/>
        <w:numPr>
          <w:ilvl w:val="0"/>
          <w:numId w:val="36"/>
        </w:numPr>
        <w:tabs>
          <w:tab w:pos="1250" w:val="left" w:leader="none"/>
        </w:tabs>
        <w:spacing w:line="424" w:lineRule="auto" w:before="0" w:after="0"/>
        <w:ind w:left="300" w:right="87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6"/>
          <w:sz w:val="21"/>
        </w:rPr>
        <w:t> </w:t>
      </w:r>
      <w:r>
        <w:rPr>
          <w:spacing w:val="-7"/>
          <w:sz w:val="21"/>
        </w:rPr>
        <w:t>个工作日内，更</w:t>
      </w:r>
      <w:r>
        <w:rPr>
          <w:spacing w:val="-10"/>
          <w:sz w:val="21"/>
        </w:rPr>
        <w:t>新基金招募说明书并登载在规定网站上。基金招募说明书的其他信息发生变更的，基金管理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6"/>
        </w:numPr>
        <w:tabs>
          <w:tab w:pos="1250" w:val="left" w:leader="none"/>
        </w:tabs>
        <w:spacing w:line="424" w:lineRule="auto" w:before="0" w:after="0"/>
        <w:ind w:left="300" w:right="87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6"/>
        </w:numPr>
        <w:tabs>
          <w:tab w:pos="1250" w:val="left" w:leader="none"/>
        </w:tabs>
        <w:spacing w:line="424" w:lineRule="auto" w:before="0" w:after="0"/>
        <w:ind w:left="300" w:right="87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7" w:lineRule="exact"/>
        <w:ind w:left="720"/>
      </w:pPr>
      <w:r>
        <w:rPr>
          <w:rFonts w:ascii="Times New Roman" w:eastAsia="Times New Roman"/>
        </w:rPr>
        <w:t>2</w:t>
      </w:r>
      <w:r>
        <w:rPr/>
        <w:t>、基金产品资料概要</w:t>
      </w:r>
    </w:p>
    <w:p>
      <w:pPr>
        <w:pStyle w:val="BodyText"/>
        <w:spacing w:before="11"/>
        <w:rPr>
          <w:sz w:val="15"/>
        </w:rPr>
      </w:pPr>
    </w:p>
    <w:p>
      <w:pPr>
        <w:pStyle w:val="BodyText"/>
        <w:spacing w:line="424" w:lineRule="auto"/>
        <w:ind w:left="300" w:right="76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规定网站上和基金销售机构网站上或营业网点。基金产品资料概要的其他信息发生变更的，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4" w:lineRule="exact"/>
        <w:ind w:left="720"/>
      </w:pPr>
      <w:r>
        <w:rPr/>
        <w:t>关于基金产品资料概要编制、披露与更新的要求，自中国证监会规定之日起开始执行。</w:t>
      </w:r>
    </w:p>
    <w:p>
      <w:pPr>
        <w:pStyle w:val="BodyText"/>
        <w:spacing w:before="1"/>
        <w:rPr>
          <w:sz w:val="16"/>
        </w:rPr>
      </w:pPr>
    </w:p>
    <w:p>
      <w:pPr>
        <w:pStyle w:val="BodyText"/>
        <w:ind w:left="720"/>
      </w:pPr>
      <w:r>
        <w:rPr>
          <w:rFonts w:ascii="Times New Roman" w:eastAsia="Times New Roman"/>
        </w:rPr>
        <w:t>3</w:t>
      </w:r>
      <w:r>
        <w:rPr/>
        <w:t>、基金份额发售公告</w:t>
      </w:r>
    </w:p>
    <w:p>
      <w:pPr>
        <w:pStyle w:val="BodyText"/>
        <w:spacing w:before="2"/>
        <w:rPr>
          <w:sz w:val="16"/>
        </w:rPr>
      </w:pPr>
    </w:p>
    <w:p>
      <w:pPr>
        <w:pStyle w:val="BodyText"/>
        <w:ind w:left="720"/>
      </w:pPr>
      <w:r>
        <w:rPr/>
        <w:t>基金管理人应当就基金份额发售的具体事宜编制基金份额发售公告，并在披露招募说明</w:t>
      </w:r>
    </w:p>
    <w:p>
      <w:pPr>
        <w:spacing w:after="0"/>
        <w:sectPr>
          <w:pgSz w:w="11910" w:h="16840"/>
          <w:pgMar w:header="701" w:footer="683" w:top="1420" w:bottom="880" w:left="1500" w:right="920"/>
        </w:sectPr>
      </w:pPr>
    </w:p>
    <w:p>
      <w:pPr>
        <w:pStyle w:val="BodyText"/>
        <w:spacing w:before="115"/>
        <w:ind w:left="300"/>
      </w:pPr>
      <w:r>
        <w:rPr>
          <w:spacing w:val="-3"/>
        </w:rPr>
        <w:t>书的当日登载于规定媒介上。</w:t>
      </w:r>
    </w:p>
    <w:p>
      <w:pPr>
        <w:pStyle w:val="BodyText"/>
        <w:rPr>
          <w:sz w:val="16"/>
        </w:rPr>
      </w:pPr>
    </w:p>
    <w:p>
      <w:pPr>
        <w:pStyle w:val="BodyText"/>
        <w:spacing w:before="1"/>
        <w:ind w:left="720"/>
      </w:pPr>
      <w:r>
        <w:rPr>
          <w:rFonts w:ascii="Times New Roman" w:eastAsia="Times New Roman"/>
        </w:rPr>
        <w:t>4</w:t>
      </w:r>
      <w:r>
        <w:rPr>
          <w:spacing w:val="-13"/>
        </w:rPr>
        <w:t>、《基金合同》生效公告</w:t>
      </w:r>
    </w:p>
    <w:p>
      <w:pPr>
        <w:pStyle w:val="BodyText"/>
        <w:spacing w:before="1"/>
        <w:rPr>
          <w:sz w:val="16"/>
        </w:rPr>
      </w:pPr>
    </w:p>
    <w:p>
      <w:pPr>
        <w:pStyle w:val="BodyText"/>
        <w:spacing w:line="424" w:lineRule="auto"/>
        <w:ind w:left="300" w:right="871" w:firstLine="419"/>
      </w:pPr>
      <w:r>
        <w:rPr>
          <w:spacing w:val="-7"/>
        </w:rPr>
        <w:t>基金管理人应当在收到中国证监会确认文件的次日在规定媒介上登载《基金合同》生效公告。</w:t>
      </w:r>
    </w:p>
    <w:p>
      <w:pPr>
        <w:pStyle w:val="BodyText"/>
        <w:spacing w:line="267" w:lineRule="exact"/>
        <w:ind w:left="720"/>
      </w:pPr>
      <w:r>
        <w:rPr>
          <w:rFonts w:ascii="Times New Roman" w:eastAsia="Times New Roman"/>
        </w:rPr>
        <w:t>5</w:t>
      </w:r>
      <w:r>
        <w:rPr/>
        <w:t>、基金净值信息</w:t>
      </w:r>
    </w:p>
    <w:p>
      <w:pPr>
        <w:pStyle w:val="BodyText"/>
        <w:spacing w:before="3"/>
        <w:rPr>
          <w:sz w:val="16"/>
        </w:rPr>
      </w:pPr>
    </w:p>
    <w:p>
      <w:pPr>
        <w:pStyle w:val="BodyText"/>
        <w:spacing w:line="424" w:lineRule="auto"/>
        <w:ind w:left="300" w:right="871" w:firstLine="419"/>
      </w:pPr>
      <w:r>
        <w:rPr>
          <w:spacing w:val="-8"/>
        </w:rPr>
        <w:t>基金管理人应当在不晚于每个开放日的次日，通过规定网站、基金销售机构网站或者营</w:t>
      </w:r>
      <w:r>
        <w:rPr>
          <w:spacing w:val="-5"/>
        </w:rPr>
        <w:t>业网点，披露开放日的基金份额净值和基金份额累计净值。</w:t>
      </w:r>
    </w:p>
    <w:p>
      <w:pPr>
        <w:pStyle w:val="BodyText"/>
        <w:spacing w:line="424" w:lineRule="auto"/>
        <w:ind w:left="300" w:right="871" w:firstLine="419"/>
      </w:pPr>
      <w:r>
        <w:rPr>
          <w:spacing w:val="-7"/>
        </w:rPr>
        <w:t>基金管理人应当在不晚于半年度和年度最后一日的次日，在规定网站披露半年度和年度</w:t>
      </w:r>
      <w:r>
        <w:rPr>
          <w:spacing w:val="-5"/>
        </w:rPr>
        <w:t>最后一日的基金份额净值和基金份额累计净值。</w:t>
      </w:r>
    </w:p>
    <w:p>
      <w:pPr>
        <w:pStyle w:val="BodyText"/>
        <w:spacing w:line="267" w:lineRule="exact"/>
        <w:ind w:left="720"/>
      </w:pPr>
      <w:r>
        <w:rPr>
          <w:rFonts w:ascii="Times New Roman" w:eastAsia="Times New Roman"/>
        </w:rPr>
        <w:t>6</w:t>
      </w:r>
      <w:r>
        <w:rPr/>
        <w:t>、基金份额申购、赎回价格</w:t>
      </w:r>
    </w:p>
    <w:p>
      <w:pPr>
        <w:pStyle w:val="BodyText"/>
        <w:rPr>
          <w:sz w:val="16"/>
        </w:rPr>
      </w:pPr>
    </w:p>
    <w:p>
      <w:pPr>
        <w:pStyle w:val="BodyText"/>
        <w:spacing w:line="424" w:lineRule="auto"/>
        <w:ind w:left="300" w:right="87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24" w:lineRule="auto"/>
        <w:ind w:left="300" w:right="874" w:firstLine="419"/>
      </w:pPr>
      <w:r>
        <w:rPr>
          <w:rFonts w:ascii="Times New Roman" w:eastAsia="Times New Roman"/>
        </w:rPr>
        <w:t>7</w:t>
      </w:r>
      <w:r>
        <w:rPr/>
        <w:t>、基金定期报告，包括基金年度报告、基金中期报告和基金季度报告（含资产组合季度报告）</w:t>
      </w:r>
    </w:p>
    <w:p>
      <w:pPr>
        <w:pStyle w:val="BodyText"/>
        <w:spacing w:line="424" w:lineRule="auto"/>
        <w:ind w:left="300" w:right="871" w:firstLine="419"/>
        <w:jc w:val="both"/>
      </w:pPr>
      <w:r>
        <w:rPr>
          <w:spacing w:val="-5"/>
        </w:rPr>
        <w:t>基金管理人应当在每年结束之日起 </w:t>
      </w:r>
      <w:r>
        <w:rPr>
          <w:rFonts w:ascii="Times New Roman" w:eastAsia="Times New Roman"/>
        </w:rPr>
        <w:t>3 </w:t>
      </w:r>
      <w:r>
        <w:rPr>
          <w:spacing w:val="-12"/>
        </w:rPr>
        <w:t>个月内，编制完成基金年度报告，将年度报告登载在规定网站上，并将年度报告提示性公告登载在规定报刊上。基金年度报告中的财务会计报</w:t>
      </w:r>
      <w:r>
        <w:rPr>
          <w:spacing w:val="-6"/>
        </w:rPr>
        <w:t>告应当经过符合《证券法》规定的会计师事务所审计。</w:t>
      </w:r>
    </w:p>
    <w:p>
      <w:pPr>
        <w:pStyle w:val="BodyText"/>
        <w:spacing w:line="424" w:lineRule="auto"/>
        <w:ind w:left="300" w:right="871" w:firstLine="419"/>
        <w:jc w:val="both"/>
      </w:pPr>
      <w:r>
        <w:rPr>
          <w:spacing w:val="-5"/>
        </w:rPr>
        <w:t>基金管理人应当在上半年结束之日起 </w:t>
      </w:r>
      <w:r>
        <w:rPr>
          <w:rFonts w:ascii="Times New Roman" w:eastAsia="Times New Roman"/>
        </w:rPr>
        <w:t>2 </w:t>
      </w:r>
      <w:r>
        <w:rPr>
          <w:spacing w:val="-12"/>
        </w:rPr>
        <w:t>个月内，编制完成基金中期报告，将中期报告登</w:t>
      </w:r>
      <w:r>
        <w:rPr>
          <w:spacing w:val="-6"/>
        </w:rPr>
        <w:t>载在规定网站上，并将中期报告提示性公告登载在规定报刊上。</w:t>
      </w:r>
    </w:p>
    <w:p>
      <w:pPr>
        <w:pStyle w:val="BodyText"/>
        <w:spacing w:line="427" w:lineRule="auto"/>
        <w:ind w:left="300" w:right="87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个工作日内，编制完成基金季度报告，将季度报告登载在规定网站上，并将季度报告提示性公告登载在规定报刊上。</w:t>
      </w:r>
    </w:p>
    <w:p>
      <w:pPr>
        <w:pStyle w:val="BodyText"/>
        <w:spacing w:line="424" w:lineRule="auto"/>
        <w:ind w:left="300" w:right="87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24" w:lineRule="auto"/>
        <w:ind w:left="300" w:right="881" w:firstLine="419"/>
      </w:pPr>
      <w:r>
        <w:rPr/>
        <w:t>基金管理人应当在基金年度报告和中期报告中披露基金组合资产情况及其流动性风险分析等。</w:t>
      </w:r>
    </w:p>
    <w:p>
      <w:pPr>
        <w:pStyle w:val="BodyText"/>
        <w:spacing w:line="424" w:lineRule="auto"/>
        <w:ind w:left="300" w:right="871" w:firstLine="419"/>
        <w:jc w:val="both"/>
      </w:pPr>
      <w:r>
        <w:rPr>
          <w:spacing w:val="1"/>
        </w:rPr>
        <w:t>如报告期内出现单一投资者持有基金份额达到或超过基金总份额 </w:t>
      </w:r>
      <w:r>
        <w:rPr>
          <w:rFonts w:ascii="Times New Roman" w:hAnsi="Times New Roman" w:eastAsia="Times New Roman"/>
        </w:rPr>
        <w:t>20%</w:t>
      </w:r>
      <w:r>
        <w:rPr>
          <w:spacing w:val="-2"/>
        </w:rPr>
        <w:t>的情形，为保障</w:t>
      </w:r>
      <w:r>
        <w:rPr>
          <w:spacing w:val="-10"/>
        </w:rPr>
        <w:t>其他投资者的权益，基金管理人至少应当在基金定期报告</w:t>
      </w:r>
      <w:r>
        <w:rPr>
          <w:rFonts w:ascii="Times New Roman" w:hAnsi="Times New Roman" w:eastAsia="Times New Roman"/>
          <w:spacing w:val="-3"/>
        </w:rPr>
        <w:t>“</w:t>
      </w:r>
      <w:r>
        <w:rPr>
          <w:spacing w:val="-3"/>
        </w:rPr>
        <w:t>影响投资者决策的其他重要信息</w:t>
      </w:r>
      <w:r>
        <w:rPr>
          <w:rFonts w:ascii="Times New Roman" w:hAnsi="Times New Roman" w:eastAsia="Times New Roman"/>
        </w:rPr>
        <w:t>” </w:t>
      </w:r>
      <w:r>
        <w:rPr>
          <w:spacing w:val="-9"/>
        </w:rPr>
        <w:t>项下披露该投资者的类别、报告期末持有份额及占比、报告期内持有份额变化情况及产品的</w:t>
      </w:r>
    </w:p>
    <w:p>
      <w:pPr>
        <w:spacing w:after="0" w:line="424" w:lineRule="auto"/>
        <w:jc w:val="both"/>
        <w:sectPr>
          <w:pgSz w:w="11910" w:h="16840"/>
          <w:pgMar w:header="701" w:footer="683" w:top="1420" w:bottom="880" w:left="1500" w:right="920"/>
        </w:sectPr>
      </w:pPr>
    </w:p>
    <w:p>
      <w:pPr>
        <w:pStyle w:val="BodyText"/>
        <w:spacing w:before="115"/>
        <w:ind w:left="300"/>
      </w:pPr>
      <w:r>
        <w:rPr/>
        <w:t>特有风险，中国证监会认定的特殊情形除外。</w:t>
      </w:r>
    </w:p>
    <w:p>
      <w:pPr>
        <w:pStyle w:val="BodyText"/>
        <w:rPr>
          <w:sz w:val="16"/>
        </w:rPr>
      </w:pPr>
    </w:p>
    <w:p>
      <w:pPr>
        <w:pStyle w:val="BodyText"/>
        <w:spacing w:before="1"/>
        <w:ind w:left="720"/>
      </w:pPr>
      <w:r>
        <w:rPr>
          <w:rFonts w:ascii="Times New Roman" w:eastAsia="Times New Roman"/>
        </w:rPr>
        <w:t>8</w:t>
      </w:r>
      <w:r>
        <w:rPr/>
        <w:t>、临时报告</w:t>
      </w:r>
    </w:p>
    <w:p>
      <w:pPr>
        <w:pStyle w:val="BodyText"/>
        <w:spacing w:before="1"/>
        <w:rPr>
          <w:sz w:val="16"/>
        </w:rPr>
      </w:pPr>
    </w:p>
    <w:p>
      <w:pPr>
        <w:pStyle w:val="BodyText"/>
        <w:spacing w:line="424" w:lineRule="auto"/>
        <w:ind w:left="300" w:right="873" w:firstLine="419"/>
      </w:pPr>
      <w:r>
        <w:rPr>
          <w:spacing w:val="-10"/>
        </w:rPr>
        <w:t>本基金发生重大事件，有关信息披露义务人应当在 </w:t>
      </w:r>
      <w:r>
        <w:rPr>
          <w:rFonts w:ascii="Times New Roman" w:eastAsia="Times New Roman"/>
        </w:rPr>
        <w:t>2 </w:t>
      </w:r>
      <w:r>
        <w:rPr>
          <w:spacing w:val="-8"/>
        </w:rPr>
        <w:t>日内编制临时报告书，并登载在规</w:t>
      </w:r>
      <w:r>
        <w:rPr>
          <w:spacing w:val="-5"/>
        </w:rPr>
        <w:t>定报刊和规定网站上。</w:t>
      </w:r>
    </w:p>
    <w:p>
      <w:pPr>
        <w:pStyle w:val="BodyText"/>
        <w:spacing w:line="427" w:lineRule="auto"/>
        <w:ind w:left="300" w:right="87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7"/>
        </w:numPr>
        <w:tabs>
          <w:tab w:pos="1250" w:val="left" w:leader="none"/>
        </w:tabs>
        <w:spacing w:line="264" w:lineRule="exact" w:before="0" w:after="0"/>
        <w:ind w:left="1249" w:right="0" w:hanging="530"/>
        <w:jc w:val="left"/>
        <w:rPr>
          <w:sz w:val="21"/>
        </w:rPr>
      </w:pPr>
      <w:r>
        <w:rPr>
          <w:spacing w:val="-3"/>
          <w:sz w:val="21"/>
        </w:rPr>
        <w:t>基金份额持有人大会的召开及决定的事项；</w:t>
      </w:r>
    </w:p>
    <w:p>
      <w:pPr>
        <w:pStyle w:val="BodyText"/>
        <w:spacing w:before="12"/>
        <w:rPr>
          <w:sz w:val="15"/>
        </w:rPr>
      </w:pPr>
    </w:p>
    <w:p>
      <w:pPr>
        <w:pStyle w:val="ListParagraph"/>
        <w:numPr>
          <w:ilvl w:val="0"/>
          <w:numId w:val="37"/>
        </w:numPr>
        <w:tabs>
          <w:tab w:pos="1250" w:val="left" w:leader="none"/>
        </w:tabs>
        <w:spacing w:line="240" w:lineRule="auto" w:before="0" w:after="0"/>
        <w:ind w:left="1249" w:right="0" w:hanging="530"/>
        <w:jc w:val="left"/>
        <w:rPr>
          <w:sz w:val="21"/>
        </w:rPr>
      </w:pPr>
      <w:r>
        <w:rPr>
          <w:spacing w:val="-3"/>
          <w:sz w:val="21"/>
        </w:rPr>
        <w:t>《基金合同》终止、基金清算；</w:t>
      </w:r>
    </w:p>
    <w:p>
      <w:pPr>
        <w:pStyle w:val="BodyText"/>
        <w:spacing w:before="1"/>
        <w:rPr>
          <w:sz w:val="16"/>
        </w:rPr>
      </w:pPr>
    </w:p>
    <w:p>
      <w:pPr>
        <w:pStyle w:val="ListParagraph"/>
        <w:numPr>
          <w:ilvl w:val="0"/>
          <w:numId w:val="37"/>
        </w:numPr>
        <w:tabs>
          <w:tab w:pos="1250" w:val="left" w:leader="none"/>
        </w:tabs>
        <w:spacing w:line="240" w:lineRule="auto" w:before="0" w:after="0"/>
        <w:ind w:left="1249" w:right="0" w:hanging="530"/>
        <w:jc w:val="left"/>
        <w:rPr>
          <w:sz w:val="21"/>
        </w:rPr>
      </w:pPr>
      <w:r>
        <w:rPr>
          <w:spacing w:val="-3"/>
          <w:sz w:val="21"/>
        </w:rPr>
        <w:t>转换基金运作方式、基金合并；</w:t>
      </w:r>
    </w:p>
    <w:p>
      <w:pPr>
        <w:pStyle w:val="BodyText"/>
        <w:spacing w:before="1"/>
        <w:rPr>
          <w:sz w:val="16"/>
        </w:rPr>
      </w:pPr>
    </w:p>
    <w:p>
      <w:pPr>
        <w:pStyle w:val="ListParagraph"/>
        <w:numPr>
          <w:ilvl w:val="0"/>
          <w:numId w:val="37"/>
        </w:numPr>
        <w:tabs>
          <w:tab w:pos="1250" w:val="left" w:leader="none"/>
        </w:tabs>
        <w:spacing w:line="240" w:lineRule="auto" w:before="1" w:after="0"/>
        <w:ind w:left="1249" w:right="0" w:hanging="530"/>
        <w:jc w:val="left"/>
        <w:rPr>
          <w:sz w:val="21"/>
        </w:rPr>
      </w:pPr>
      <w:r>
        <w:rPr>
          <w:spacing w:val="-3"/>
          <w:sz w:val="21"/>
        </w:rPr>
        <w:t>更换基金管理人、基金托管人、基金份额登记机构，基金改聘会计师事务所；</w:t>
      </w:r>
    </w:p>
    <w:p>
      <w:pPr>
        <w:pStyle w:val="BodyText"/>
        <w:rPr>
          <w:sz w:val="16"/>
        </w:rPr>
      </w:pPr>
    </w:p>
    <w:p>
      <w:pPr>
        <w:pStyle w:val="ListParagraph"/>
        <w:numPr>
          <w:ilvl w:val="0"/>
          <w:numId w:val="37"/>
        </w:numPr>
        <w:tabs>
          <w:tab w:pos="1250" w:val="left" w:leader="none"/>
        </w:tabs>
        <w:spacing w:line="424" w:lineRule="auto" w:before="1" w:after="0"/>
        <w:ind w:left="300" w:right="87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7"/>
        </w:numPr>
        <w:tabs>
          <w:tab w:pos="1250" w:val="left" w:leader="none"/>
        </w:tabs>
        <w:spacing w:line="267" w:lineRule="exact" w:before="0" w:after="0"/>
        <w:ind w:left="1249" w:right="0" w:hanging="530"/>
        <w:jc w:val="left"/>
        <w:rPr>
          <w:sz w:val="21"/>
        </w:rPr>
      </w:pPr>
      <w:r>
        <w:rPr>
          <w:spacing w:val="-3"/>
          <w:sz w:val="21"/>
        </w:rPr>
        <w:t>基金管理人、基金托管人的法定名称、住所发生变更；</w:t>
      </w:r>
    </w:p>
    <w:p>
      <w:pPr>
        <w:pStyle w:val="BodyText"/>
        <w:spacing w:before="3"/>
        <w:rPr>
          <w:sz w:val="16"/>
        </w:rPr>
      </w:pPr>
    </w:p>
    <w:p>
      <w:pPr>
        <w:pStyle w:val="ListParagraph"/>
        <w:numPr>
          <w:ilvl w:val="0"/>
          <w:numId w:val="37"/>
        </w:numPr>
        <w:tabs>
          <w:tab w:pos="1250" w:val="left" w:leader="none"/>
        </w:tabs>
        <w:spacing w:line="240" w:lineRule="auto" w:before="0" w:after="0"/>
        <w:ind w:left="1249" w:right="0" w:hanging="530"/>
        <w:jc w:val="left"/>
        <w:rPr>
          <w:sz w:val="21"/>
        </w:rPr>
      </w:pPr>
      <w:r>
        <w:rPr>
          <w:spacing w:val="-3"/>
          <w:sz w:val="21"/>
        </w:rPr>
        <w:t>基金管理公司变更持有百分之五以上股权的股东、变更公司的实际控制人；</w:t>
      </w:r>
    </w:p>
    <w:p>
      <w:pPr>
        <w:pStyle w:val="BodyText"/>
        <w:spacing w:before="2"/>
        <w:rPr>
          <w:sz w:val="16"/>
        </w:rPr>
      </w:pPr>
    </w:p>
    <w:p>
      <w:pPr>
        <w:pStyle w:val="ListParagraph"/>
        <w:numPr>
          <w:ilvl w:val="0"/>
          <w:numId w:val="37"/>
        </w:numPr>
        <w:tabs>
          <w:tab w:pos="1250" w:val="left" w:leader="none"/>
        </w:tabs>
        <w:spacing w:line="424" w:lineRule="auto" w:before="0" w:after="0"/>
        <w:ind w:left="300" w:right="873" w:firstLine="419"/>
        <w:jc w:val="left"/>
        <w:rPr>
          <w:sz w:val="21"/>
        </w:rPr>
      </w:pPr>
      <w:r>
        <w:rPr>
          <w:spacing w:val="-3"/>
          <w:sz w:val="21"/>
        </w:rPr>
        <w:t>基金管理人高级管理人员、基金经理和基金托管人专门基金托管部门负责人发生变动；</w:t>
      </w:r>
    </w:p>
    <w:p>
      <w:pPr>
        <w:pStyle w:val="ListParagraph"/>
        <w:numPr>
          <w:ilvl w:val="0"/>
          <w:numId w:val="37"/>
        </w:numPr>
        <w:tabs>
          <w:tab w:pos="1250" w:val="left" w:leader="none"/>
        </w:tabs>
        <w:spacing w:line="267" w:lineRule="exact" w:before="0" w:after="0"/>
        <w:ind w:left="1249" w:right="0" w:hanging="530"/>
        <w:jc w:val="left"/>
        <w:rPr>
          <w:sz w:val="21"/>
        </w:rPr>
      </w:pPr>
      <w:r>
        <w:rPr>
          <w:spacing w:val="-7"/>
          <w:sz w:val="21"/>
        </w:rPr>
        <w:t>基金管理人的董事在最近 </w:t>
      </w:r>
      <w:r>
        <w:rPr>
          <w:sz w:val="21"/>
        </w:rPr>
        <w:t>12</w:t>
      </w:r>
      <w:r>
        <w:rPr>
          <w:spacing w:val="-13"/>
          <w:sz w:val="21"/>
        </w:rPr>
        <w:t> 个月内变更超过百分之五十，基金管理人、基金托管</w:t>
      </w:r>
    </w:p>
    <w:p>
      <w:pPr>
        <w:pStyle w:val="BodyText"/>
        <w:spacing w:before="1"/>
        <w:rPr>
          <w:sz w:val="16"/>
        </w:rPr>
      </w:pPr>
    </w:p>
    <w:p>
      <w:pPr>
        <w:pStyle w:val="BodyText"/>
        <w:ind w:left="300"/>
      </w:pPr>
      <w:r>
        <w:rPr/>
        <w:t>人专门基金托管部门的主要业务人员在最近 12 个月内变动超过百分之三十；</w:t>
      </w:r>
    </w:p>
    <w:p>
      <w:pPr>
        <w:pStyle w:val="BodyText"/>
        <w:spacing w:before="1"/>
        <w:rPr>
          <w:sz w:val="16"/>
        </w:rPr>
      </w:pPr>
    </w:p>
    <w:p>
      <w:pPr>
        <w:pStyle w:val="ListParagraph"/>
        <w:numPr>
          <w:ilvl w:val="0"/>
          <w:numId w:val="37"/>
        </w:numPr>
        <w:tabs>
          <w:tab w:pos="1355" w:val="left" w:leader="none"/>
        </w:tabs>
        <w:spacing w:line="240" w:lineRule="auto" w:before="0" w:after="0"/>
        <w:ind w:left="1355" w:right="0" w:hanging="635"/>
        <w:jc w:val="left"/>
        <w:rPr>
          <w:sz w:val="21"/>
        </w:rPr>
      </w:pPr>
      <w:r>
        <w:rPr>
          <w:spacing w:val="-3"/>
          <w:sz w:val="21"/>
        </w:rPr>
        <w:t>涉及基金财产、基金管理业务、基金托管业务的诉讼或仲裁；</w:t>
      </w:r>
    </w:p>
    <w:p>
      <w:pPr>
        <w:pStyle w:val="BodyText"/>
        <w:spacing w:before="1"/>
        <w:rPr>
          <w:sz w:val="16"/>
        </w:rPr>
      </w:pPr>
    </w:p>
    <w:p>
      <w:pPr>
        <w:pStyle w:val="ListParagraph"/>
        <w:numPr>
          <w:ilvl w:val="0"/>
          <w:numId w:val="37"/>
        </w:numPr>
        <w:tabs>
          <w:tab w:pos="1346" w:val="left" w:leader="none"/>
        </w:tabs>
        <w:spacing w:line="424" w:lineRule="auto" w:before="0" w:after="0"/>
        <w:ind w:left="300" w:right="87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7"/>
        </w:numPr>
        <w:tabs>
          <w:tab w:pos="1353" w:val="left" w:leader="none"/>
        </w:tabs>
        <w:spacing w:line="424" w:lineRule="auto" w:before="0" w:after="0"/>
        <w:ind w:left="300" w:right="87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7"/>
        </w:numPr>
        <w:tabs>
          <w:tab w:pos="1355" w:val="left" w:leader="none"/>
        </w:tabs>
        <w:spacing w:line="266" w:lineRule="exact" w:before="0" w:after="0"/>
        <w:ind w:left="1355" w:right="0" w:hanging="635"/>
        <w:jc w:val="left"/>
        <w:rPr>
          <w:sz w:val="21"/>
        </w:rPr>
      </w:pPr>
      <w:r>
        <w:rPr>
          <w:spacing w:val="-3"/>
          <w:sz w:val="21"/>
        </w:rPr>
        <w:t>基金收益分配事项；</w:t>
      </w:r>
    </w:p>
    <w:p>
      <w:pPr>
        <w:pStyle w:val="BodyText"/>
        <w:spacing w:before="1"/>
        <w:rPr>
          <w:sz w:val="16"/>
        </w:rPr>
      </w:pPr>
    </w:p>
    <w:p>
      <w:pPr>
        <w:pStyle w:val="ListParagraph"/>
        <w:numPr>
          <w:ilvl w:val="0"/>
          <w:numId w:val="37"/>
        </w:numPr>
        <w:tabs>
          <w:tab w:pos="1355" w:val="left" w:leader="none"/>
        </w:tabs>
        <w:spacing w:line="424" w:lineRule="auto" w:before="0" w:after="0"/>
        <w:ind w:left="300" w:right="871" w:firstLine="419"/>
        <w:jc w:val="left"/>
        <w:rPr>
          <w:sz w:val="21"/>
        </w:rPr>
      </w:pPr>
      <w:r>
        <w:rPr>
          <w:spacing w:val="-9"/>
          <w:sz w:val="21"/>
        </w:rPr>
        <w:t>管理费、托管费、销售服务费、申购费、赎回费等费用计提标准、计提方式和 </w:t>
      </w:r>
      <w:r>
        <w:rPr>
          <w:spacing w:val="-6"/>
          <w:sz w:val="21"/>
        </w:rPr>
        <w:t>费率发生变更；</w:t>
      </w:r>
    </w:p>
    <w:p>
      <w:pPr>
        <w:pStyle w:val="ListParagraph"/>
        <w:numPr>
          <w:ilvl w:val="0"/>
          <w:numId w:val="37"/>
        </w:numPr>
        <w:tabs>
          <w:tab w:pos="1355" w:val="left" w:leader="none"/>
        </w:tabs>
        <w:spacing w:line="267" w:lineRule="exact" w:before="0" w:after="0"/>
        <w:ind w:left="1355" w:right="0" w:hanging="635"/>
        <w:jc w:val="left"/>
        <w:rPr>
          <w:sz w:val="21"/>
        </w:rPr>
      </w:pPr>
      <w:r>
        <w:rPr>
          <w:spacing w:val="-3"/>
          <w:sz w:val="21"/>
        </w:rPr>
        <w:t>基金份额净值计价错误达基金份额净值百分之零点五；</w:t>
      </w:r>
    </w:p>
    <w:p>
      <w:pPr>
        <w:spacing w:after="0" w:line="267" w:lineRule="exact"/>
        <w:jc w:val="left"/>
        <w:rPr>
          <w:sz w:val="21"/>
        </w:rPr>
        <w:sectPr>
          <w:pgSz w:w="11910" w:h="16840"/>
          <w:pgMar w:header="701" w:footer="683" w:top="1420" w:bottom="880" w:left="1500" w:right="920"/>
        </w:sectPr>
      </w:pPr>
    </w:p>
    <w:p>
      <w:pPr>
        <w:pStyle w:val="ListParagraph"/>
        <w:numPr>
          <w:ilvl w:val="0"/>
          <w:numId w:val="37"/>
        </w:numPr>
        <w:tabs>
          <w:tab w:pos="1355" w:val="left" w:leader="none"/>
        </w:tabs>
        <w:spacing w:line="240" w:lineRule="auto" w:before="115" w:after="0"/>
        <w:ind w:left="1355" w:right="0" w:hanging="635"/>
        <w:jc w:val="left"/>
        <w:rPr>
          <w:sz w:val="21"/>
        </w:rPr>
      </w:pPr>
      <w:r>
        <w:rPr>
          <w:spacing w:val="-3"/>
          <w:sz w:val="21"/>
        </w:rPr>
        <w:t>本基金开始办理申购、赎回；</w:t>
      </w:r>
    </w:p>
    <w:p>
      <w:pPr>
        <w:pStyle w:val="BodyText"/>
        <w:rPr>
          <w:sz w:val="16"/>
        </w:rPr>
      </w:pPr>
    </w:p>
    <w:p>
      <w:pPr>
        <w:pStyle w:val="ListParagraph"/>
        <w:numPr>
          <w:ilvl w:val="0"/>
          <w:numId w:val="37"/>
        </w:numPr>
        <w:tabs>
          <w:tab w:pos="1355" w:val="left" w:leader="none"/>
        </w:tabs>
        <w:spacing w:line="240" w:lineRule="auto" w:before="1" w:after="0"/>
        <w:ind w:left="1355" w:right="0" w:hanging="635"/>
        <w:jc w:val="left"/>
        <w:rPr>
          <w:sz w:val="21"/>
        </w:rPr>
      </w:pPr>
      <w:r>
        <w:rPr>
          <w:spacing w:val="-3"/>
          <w:sz w:val="21"/>
        </w:rPr>
        <w:t>本基金发生巨额赎回并延期办理；</w:t>
      </w:r>
    </w:p>
    <w:p>
      <w:pPr>
        <w:pStyle w:val="BodyText"/>
        <w:spacing w:before="1"/>
        <w:rPr>
          <w:sz w:val="16"/>
        </w:rPr>
      </w:pPr>
    </w:p>
    <w:p>
      <w:pPr>
        <w:pStyle w:val="ListParagraph"/>
        <w:numPr>
          <w:ilvl w:val="0"/>
          <w:numId w:val="37"/>
        </w:numPr>
        <w:tabs>
          <w:tab w:pos="1355" w:val="left" w:leader="none"/>
        </w:tabs>
        <w:spacing w:line="240" w:lineRule="auto" w:before="0" w:after="0"/>
        <w:ind w:left="1355" w:right="0" w:hanging="635"/>
        <w:jc w:val="left"/>
        <w:rPr>
          <w:sz w:val="21"/>
        </w:rPr>
      </w:pPr>
      <w:r>
        <w:rPr>
          <w:spacing w:val="-3"/>
          <w:sz w:val="21"/>
        </w:rPr>
        <w:t>本基金连续发生巨额赎回并暂停接受赎回申请或延缓支付赎回款项；</w:t>
      </w:r>
    </w:p>
    <w:p>
      <w:pPr>
        <w:pStyle w:val="BodyText"/>
        <w:spacing w:before="1"/>
        <w:rPr>
          <w:sz w:val="16"/>
        </w:rPr>
      </w:pPr>
    </w:p>
    <w:p>
      <w:pPr>
        <w:pStyle w:val="ListParagraph"/>
        <w:numPr>
          <w:ilvl w:val="0"/>
          <w:numId w:val="37"/>
        </w:numPr>
        <w:tabs>
          <w:tab w:pos="1355" w:val="left" w:leader="none"/>
        </w:tabs>
        <w:spacing w:line="240" w:lineRule="auto" w:before="0" w:after="0"/>
        <w:ind w:left="1355" w:right="0" w:hanging="635"/>
        <w:jc w:val="left"/>
        <w:rPr>
          <w:sz w:val="21"/>
        </w:rPr>
      </w:pPr>
      <w:r>
        <w:rPr>
          <w:spacing w:val="-3"/>
          <w:sz w:val="21"/>
        </w:rPr>
        <w:t>本基金暂停接受申购、赎回申请或重新接受申购、赎回申请；</w:t>
      </w:r>
    </w:p>
    <w:p>
      <w:pPr>
        <w:pStyle w:val="BodyText"/>
        <w:spacing w:before="1"/>
        <w:rPr>
          <w:sz w:val="16"/>
        </w:rPr>
      </w:pPr>
    </w:p>
    <w:p>
      <w:pPr>
        <w:pStyle w:val="ListParagraph"/>
        <w:numPr>
          <w:ilvl w:val="0"/>
          <w:numId w:val="37"/>
        </w:numPr>
        <w:tabs>
          <w:tab w:pos="1355" w:val="left" w:leader="none"/>
        </w:tabs>
        <w:spacing w:line="240" w:lineRule="auto" w:before="0" w:after="0"/>
        <w:ind w:left="1355" w:right="0" w:hanging="635"/>
        <w:jc w:val="left"/>
        <w:rPr>
          <w:sz w:val="21"/>
        </w:rPr>
      </w:pPr>
      <w:r>
        <w:rPr>
          <w:spacing w:val="-3"/>
          <w:sz w:val="21"/>
        </w:rPr>
        <w:t>基金份额的拆分；</w:t>
      </w:r>
    </w:p>
    <w:p>
      <w:pPr>
        <w:pStyle w:val="BodyText"/>
        <w:spacing w:before="3"/>
        <w:rPr>
          <w:sz w:val="16"/>
        </w:rPr>
      </w:pPr>
    </w:p>
    <w:p>
      <w:pPr>
        <w:pStyle w:val="ListParagraph"/>
        <w:numPr>
          <w:ilvl w:val="0"/>
          <w:numId w:val="37"/>
        </w:numPr>
        <w:tabs>
          <w:tab w:pos="1355" w:val="left" w:leader="none"/>
        </w:tabs>
        <w:spacing w:line="240" w:lineRule="auto" w:before="1" w:after="0"/>
        <w:ind w:left="1355" w:right="0" w:hanging="635"/>
        <w:jc w:val="left"/>
        <w:rPr>
          <w:sz w:val="21"/>
        </w:rPr>
      </w:pPr>
      <w:r>
        <w:rPr>
          <w:spacing w:val="-3"/>
          <w:sz w:val="21"/>
        </w:rPr>
        <w:t>本基金发生涉及基金申购、赎回事项调整或潜在影响投资者赎回等重大事项；</w:t>
      </w:r>
    </w:p>
    <w:p>
      <w:pPr>
        <w:pStyle w:val="BodyText"/>
        <w:spacing w:before="1"/>
        <w:rPr>
          <w:sz w:val="16"/>
        </w:rPr>
      </w:pPr>
    </w:p>
    <w:p>
      <w:pPr>
        <w:pStyle w:val="ListParagraph"/>
        <w:numPr>
          <w:ilvl w:val="0"/>
          <w:numId w:val="37"/>
        </w:numPr>
        <w:tabs>
          <w:tab w:pos="1355" w:val="left" w:leader="none"/>
        </w:tabs>
        <w:spacing w:line="240" w:lineRule="auto" w:before="0" w:after="0"/>
        <w:ind w:left="1355" w:right="0" w:hanging="635"/>
        <w:jc w:val="left"/>
        <w:rPr>
          <w:sz w:val="21"/>
        </w:rPr>
      </w:pPr>
      <w:r>
        <w:rPr>
          <w:spacing w:val="-3"/>
          <w:sz w:val="21"/>
        </w:rPr>
        <w:t>基金管理人采用摆动定价机制进行估值；</w:t>
      </w:r>
    </w:p>
    <w:p>
      <w:pPr>
        <w:pStyle w:val="BodyText"/>
        <w:spacing w:before="1"/>
        <w:rPr>
          <w:sz w:val="16"/>
        </w:rPr>
      </w:pPr>
    </w:p>
    <w:p>
      <w:pPr>
        <w:pStyle w:val="ListParagraph"/>
        <w:numPr>
          <w:ilvl w:val="0"/>
          <w:numId w:val="37"/>
        </w:numPr>
        <w:tabs>
          <w:tab w:pos="1353" w:val="left" w:leader="none"/>
        </w:tabs>
        <w:spacing w:line="424" w:lineRule="auto" w:before="0" w:after="0"/>
        <w:ind w:left="300" w:right="87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7" w:lineRule="exact"/>
        <w:ind w:left="720"/>
      </w:pPr>
      <w:r>
        <w:rPr>
          <w:rFonts w:ascii="Times New Roman" w:eastAsia="Times New Roman"/>
        </w:rPr>
        <w:t>9</w:t>
      </w:r>
      <w:r>
        <w:rPr/>
        <w:t>、澄清公告</w:t>
      </w:r>
    </w:p>
    <w:p>
      <w:pPr>
        <w:pStyle w:val="BodyText"/>
        <w:spacing w:before="1"/>
        <w:rPr>
          <w:sz w:val="16"/>
        </w:rPr>
      </w:pPr>
    </w:p>
    <w:p>
      <w:pPr>
        <w:pStyle w:val="BodyText"/>
        <w:spacing w:line="424" w:lineRule="auto" w:before="1"/>
        <w:ind w:left="300" w:right="662" w:firstLine="419"/>
      </w:pPr>
      <w:r>
        <w:rPr>
          <w:spacing w:val="-12"/>
        </w:rPr>
        <w:t>在《基金合同》存续期限内，任何公共媒介中出现的或者在市场上流传的消息可能对基 </w:t>
      </w:r>
      <w:r>
        <w:rPr>
          <w:spacing w:val="-11"/>
        </w:rPr>
        <w:t>金份额价格产生误导性影响或者引起较大波动，以及可能损害基金份额持有人权益的，相关 </w:t>
      </w:r>
      <w:r>
        <w:rPr>
          <w:spacing w:val="-10"/>
        </w:rPr>
        <w:t>信息披露义务人知悉后应当立即对该消息进行公开澄清，并将有关情况立即报告中国证监会。</w:t>
      </w:r>
    </w:p>
    <w:p>
      <w:pPr>
        <w:pStyle w:val="BodyText"/>
        <w:spacing w:line="268" w:lineRule="exact"/>
        <w:ind w:left="720"/>
      </w:pPr>
      <w:r>
        <w:rPr>
          <w:rFonts w:ascii="Times New Roman" w:eastAsia="Times New Roman"/>
        </w:rPr>
        <w:t>10</w:t>
      </w:r>
      <w:r>
        <w:rPr/>
        <w:t>、清算报告</w:t>
      </w:r>
    </w:p>
    <w:p>
      <w:pPr>
        <w:pStyle w:val="BodyText"/>
        <w:spacing w:before="1"/>
        <w:rPr>
          <w:sz w:val="16"/>
        </w:rPr>
      </w:pPr>
    </w:p>
    <w:p>
      <w:pPr>
        <w:pStyle w:val="BodyText"/>
        <w:spacing w:line="424" w:lineRule="auto"/>
        <w:ind w:left="300" w:right="871" w:firstLine="419"/>
      </w:pPr>
      <w:r>
        <w:rPr>
          <w:spacing w:val="-7"/>
        </w:rPr>
        <w:t>基金财产清算小组应当将清算报告登载在规定网站上，并将清算报告提示性公告登载在</w:t>
      </w:r>
      <w:r>
        <w:rPr>
          <w:spacing w:val="-5"/>
        </w:rPr>
        <w:t>规定报刊上。</w:t>
      </w:r>
    </w:p>
    <w:p>
      <w:pPr>
        <w:pStyle w:val="BodyText"/>
        <w:spacing w:line="267" w:lineRule="exact"/>
        <w:ind w:left="720"/>
      </w:pPr>
      <w:r>
        <w:rPr>
          <w:rFonts w:ascii="Times New Roman" w:eastAsia="Times New Roman"/>
        </w:rPr>
        <w:t>11</w:t>
      </w:r>
      <w:r>
        <w:rPr/>
        <w:t>、基金份额持有人大会决议</w:t>
      </w:r>
    </w:p>
    <w:p>
      <w:pPr>
        <w:pStyle w:val="BodyText"/>
        <w:spacing w:before="1"/>
        <w:rPr>
          <w:sz w:val="16"/>
        </w:rPr>
      </w:pPr>
    </w:p>
    <w:p>
      <w:pPr>
        <w:pStyle w:val="BodyText"/>
        <w:spacing w:line="424" w:lineRule="auto"/>
        <w:ind w:left="300" w:right="871" w:firstLine="419"/>
      </w:pPr>
      <w:r>
        <w:rPr>
          <w:spacing w:val="-8"/>
        </w:rPr>
        <w:t>基金份额持有人大会决定的事项，应当依法报国务院证券监督管理机构备案，并予以公告。</w:t>
      </w:r>
    </w:p>
    <w:p>
      <w:pPr>
        <w:pStyle w:val="BodyText"/>
        <w:spacing w:line="267" w:lineRule="exact"/>
        <w:ind w:left="720"/>
      </w:pPr>
      <w:r>
        <w:rPr>
          <w:rFonts w:ascii="Times New Roman" w:eastAsia="Times New Roman"/>
        </w:rPr>
        <w:t>12</w:t>
      </w:r>
      <w:r>
        <w:rPr/>
        <w:t>、投资股指期货的相关公告</w:t>
      </w:r>
    </w:p>
    <w:p>
      <w:pPr>
        <w:pStyle w:val="BodyText"/>
        <w:spacing w:before="1"/>
        <w:rPr>
          <w:sz w:val="16"/>
        </w:rPr>
      </w:pPr>
    </w:p>
    <w:p>
      <w:pPr>
        <w:pStyle w:val="BodyText"/>
        <w:spacing w:line="424" w:lineRule="auto"/>
        <w:ind w:left="300" w:right="87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等文件中披露的股</w:t>
      </w:r>
      <w:r>
        <w:rPr>
          <w:spacing w:val="-10"/>
        </w:rPr>
        <w:t>指期货交易情况，应当包括投资政策、持仓情况、损益情况、风险指标等，并充分揭示股指</w:t>
      </w:r>
      <w:r>
        <w:rPr>
          <w:spacing w:val="-5"/>
        </w:rPr>
        <w:t>期货交易对本基金总体风险的影响以及是否符合既定的投资政策和投资目标等。</w:t>
      </w:r>
    </w:p>
    <w:p>
      <w:pPr>
        <w:pStyle w:val="BodyText"/>
        <w:ind w:left="720"/>
      </w:pPr>
      <w:r>
        <w:rPr>
          <w:rFonts w:ascii="Times New Roman" w:eastAsia="Times New Roman"/>
        </w:rPr>
        <w:t>13</w:t>
      </w:r>
      <w:r>
        <w:rPr/>
        <w:t>、投资国债期货的相关公告</w:t>
      </w:r>
    </w:p>
    <w:p>
      <w:pPr>
        <w:pStyle w:val="BodyText"/>
        <w:spacing w:before="1"/>
        <w:rPr>
          <w:sz w:val="16"/>
        </w:rPr>
      </w:pPr>
    </w:p>
    <w:p>
      <w:pPr>
        <w:pStyle w:val="BodyText"/>
        <w:spacing w:line="424" w:lineRule="auto"/>
        <w:ind w:left="300" w:right="871" w:firstLine="419"/>
        <w:jc w:val="both"/>
      </w:pPr>
      <w:r>
        <w:rPr>
          <w:spacing w:val="-9"/>
        </w:rPr>
        <w:t>在季度报告、中期报告、年度报告等定期报告和招募说明书</w:t>
      </w:r>
      <w:r>
        <w:rPr>
          <w:spacing w:val="-3"/>
        </w:rPr>
        <w:t>（</w:t>
      </w:r>
      <w:r>
        <w:rPr>
          <w:spacing w:val="-2"/>
        </w:rPr>
        <w:t>更新</w:t>
      </w:r>
      <w:r>
        <w:rPr>
          <w:spacing w:val="-25"/>
        </w:rPr>
        <w:t>）</w:t>
      </w:r>
      <w:r>
        <w:rPr>
          <w:spacing w:val="-3"/>
        </w:rPr>
        <w:t>等文件中披露的国</w:t>
      </w:r>
      <w:r>
        <w:rPr>
          <w:spacing w:val="-10"/>
        </w:rPr>
        <w:t>债期货交易情况，应当包括投资政策、持仓情况、损益情况、风险指标等，并充分揭示国债</w:t>
      </w:r>
      <w:r>
        <w:rPr>
          <w:spacing w:val="-5"/>
        </w:rPr>
        <w:t>期货交易对本基金总体风险的影响以及是否符合既定的投资政策和投资目标。</w:t>
      </w:r>
    </w:p>
    <w:p>
      <w:pPr>
        <w:pStyle w:val="BodyText"/>
        <w:spacing w:line="266" w:lineRule="exact"/>
        <w:ind w:left="720"/>
      </w:pPr>
      <w:r>
        <w:rPr>
          <w:rFonts w:ascii="Times New Roman" w:eastAsia="Times New Roman"/>
        </w:rPr>
        <w:t>14</w:t>
      </w:r>
      <w:r>
        <w:rPr/>
        <w:t>、投资期权的相关公告</w:t>
      </w:r>
    </w:p>
    <w:p>
      <w:pPr>
        <w:pStyle w:val="BodyText"/>
        <w:spacing w:before="2"/>
        <w:rPr>
          <w:sz w:val="16"/>
        </w:rPr>
      </w:pPr>
    </w:p>
    <w:p>
      <w:pPr>
        <w:pStyle w:val="BodyText"/>
        <w:ind w:left="720"/>
      </w:pPr>
      <w:r>
        <w:rPr/>
        <w:t>基金管理人应在定期信息披露文件中披露参与期权交易的有关情况，包括投资政策、持</w:t>
      </w:r>
    </w:p>
    <w:p>
      <w:pPr>
        <w:spacing w:after="0"/>
        <w:sectPr>
          <w:pgSz w:w="11910" w:h="16840"/>
          <w:pgMar w:header="701" w:footer="683" w:top="1420" w:bottom="880" w:left="1500" w:right="920"/>
        </w:sectPr>
      </w:pPr>
    </w:p>
    <w:p>
      <w:pPr>
        <w:pStyle w:val="BodyText"/>
        <w:spacing w:before="115"/>
        <w:ind w:left="300"/>
      </w:pPr>
      <w:r>
        <w:rPr/>
        <w:t>仓情况、损益情况、风险指标、估值方法等，并充分揭示期权交易对基金总体风险的影响等。</w:t>
      </w:r>
    </w:p>
    <w:p>
      <w:pPr>
        <w:pStyle w:val="BodyText"/>
        <w:rPr>
          <w:sz w:val="16"/>
        </w:rPr>
      </w:pPr>
    </w:p>
    <w:p>
      <w:pPr>
        <w:pStyle w:val="BodyText"/>
        <w:spacing w:before="1"/>
        <w:ind w:left="720"/>
      </w:pPr>
      <w:r>
        <w:rPr>
          <w:rFonts w:ascii="Times New Roman" w:eastAsia="Times New Roman"/>
        </w:rPr>
        <w:t>15</w:t>
      </w:r>
      <w:r>
        <w:rPr/>
        <w:t>、参与转融通证券出借业务的信息披露</w:t>
      </w:r>
    </w:p>
    <w:p>
      <w:pPr>
        <w:pStyle w:val="BodyText"/>
        <w:spacing w:before="1"/>
        <w:rPr>
          <w:sz w:val="16"/>
        </w:rPr>
      </w:pPr>
    </w:p>
    <w:p>
      <w:pPr>
        <w:pStyle w:val="BodyText"/>
        <w:spacing w:line="424" w:lineRule="auto"/>
        <w:ind w:left="300" w:right="871" w:firstLine="419"/>
        <w:jc w:val="both"/>
      </w:pPr>
      <w:r>
        <w:rPr>
          <w:spacing w:val="-7"/>
        </w:rPr>
        <w:t>本基金参与转融通证券出借业务的，基金管理人应当在季度报告、中期报告、年度报告</w:t>
      </w:r>
      <w:r>
        <w:rPr>
          <w:spacing w:val="-8"/>
        </w:rPr>
        <w:t>等定期报告和招募说明书</w:t>
      </w:r>
      <w:r>
        <w:rPr/>
        <w:t>（</w:t>
      </w:r>
      <w:r>
        <w:rPr>
          <w:spacing w:val="-2"/>
        </w:rPr>
        <w:t>更新</w:t>
      </w:r>
      <w:r>
        <w:rPr>
          <w:spacing w:val="-34"/>
        </w:rPr>
        <w:t>）</w:t>
      </w:r>
      <w:r>
        <w:rPr>
          <w:spacing w:val="-5"/>
        </w:rPr>
        <w:t>等文件中披露参与转融通证券出借业务的交易情况，包括</w:t>
      </w:r>
      <w:r>
        <w:rPr>
          <w:spacing w:val="-11"/>
        </w:rPr>
        <w:t>投资策略、业务开展情况、损益情况、风险及其管理情况等，并就报告期内本基金参与转融</w:t>
      </w:r>
      <w:r>
        <w:rPr>
          <w:spacing w:val="-6"/>
        </w:rPr>
        <w:t>通证券出借业务发生的重大关联交易事项做详细说明。</w:t>
      </w:r>
    </w:p>
    <w:p>
      <w:pPr>
        <w:pStyle w:val="BodyText"/>
        <w:spacing w:line="267" w:lineRule="exact"/>
        <w:ind w:left="720"/>
      </w:pPr>
      <w:r>
        <w:rPr>
          <w:rFonts w:ascii="Times New Roman" w:eastAsia="Times New Roman"/>
        </w:rPr>
        <w:t>16</w:t>
      </w:r>
      <w:r>
        <w:rPr/>
        <w:t>、中国证监会规定的其他信息。</w:t>
      </w:r>
    </w:p>
    <w:p>
      <w:pPr>
        <w:pStyle w:val="BodyText"/>
        <w:spacing w:before="1"/>
        <w:rPr>
          <w:sz w:val="16"/>
        </w:rPr>
      </w:pPr>
    </w:p>
    <w:p>
      <w:pPr>
        <w:pStyle w:val="BodyText"/>
        <w:spacing w:before="1"/>
        <w:ind w:left="720"/>
      </w:pPr>
      <w:r>
        <w:rPr/>
        <w:t>（六）信息披露事务管理</w:t>
      </w:r>
    </w:p>
    <w:p>
      <w:pPr>
        <w:pStyle w:val="BodyText"/>
        <w:rPr>
          <w:sz w:val="16"/>
        </w:rPr>
      </w:pPr>
    </w:p>
    <w:p>
      <w:pPr>
        <w:pStyle w:val="BodyText"/>
        <w:spacing w:line="424" w:lineRule="auto" w:before="1"/>
        <w:ind w:left="300" w:right="87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24" w:lineRule="auto"/>
        <w:ind w:left="300" w:right="87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24" w:lineRule="auto"/>
        <w:ind w:left="300" w:right="87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24" w:lineRule="auto"/>
        <w:ind w:left="300" w:right="871" w:firstLine="419"/>
      </w:pPr>
      <w:r>
        <w:rPr>
          <w:spacing w:val="-10"/>
        </w:rPr>
        <w:t>基金管理人、基金托管人应当在规定报刊中选择披露信息的报刊，本基金只需选择一家报刊。</w:t>
      </w:r>
    </w:p>
    <w:p>
      <w:pPr>
        <w:pStyle w:val="BodyText"/>
        <w:spacing w:line="424" w:lineRule="auto"/>
        <w:ind w:left="300" w:right="76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24" w:lineRule="auto"/>
        <w:ind w:left="300" w:right="87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spacing w:line="267" w:lineRule="exact"/>
        <w:ind w:left="720"/>
      </w:pPr>
      <w:r>
        <w:rPr/>
        <w:t>（七）信息披露文件的存放与查阅</w:t>
      </w:r>
    </w:p>
    <w:p>
      <w:pPr>
        <w:pStyle w:val="BodyText"/>
        <w:spacing w:before="6"/>
        <w:rPr>
          <w:sz w:val="15"/>
        </w:rPr>
      </w:pPr>
    </w:p>
    <w:p>
      <w:pPr>
        <w:pStyle w:val="BodyText"/>
        <w:spacing w:line="424" w:lineRule="auto"/>
        <w:ind w:left="300" w:right="87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7" w:lineRule="exact"/>
        <w:ind w:left="720"/>
      </w:pPr>
      <w:r>
        <w:rPr/>
        <w:t>（八）法律法规或监管部门对信息披露另有规定的，从其规定。</w:t>
      </w:r>
    </w:p>
    <w:p>
      <w:pPr>
        <w:spacing w:after="0" w:line="267" w:lineRule="exact"/>
        <w:sectPr>
          <w:pgSz w:w="11910" w:h="16840"/>
          <w:pgMar w:header="701" w:footer="683" w:top="1420" w:bottom="880" w:left="1500" w:right="920"/>
        </w:sectPr>
      </w:pPr>
    </w:p>
    <w:p>
      <w:pPr>
        <w:pStyle w:val="Heading1"/>
        <w:spacing w:before="92"/>
        <w:ind w:right="876"/>
      </w:pPr>
      <w:bookmarkStart w:name="_bookmark17" w:id="18"/>
      <w:bookmarkEnd w:id="18"/>
      <w:r>
        <w:rPr>
          <w:b w:val="0"/>
        </w:rPr>
      </w:r>
      <w:r>
        <w:rPr/>
        <w:t>十八、风险揭示</w:t>
      </w:r>
    </w:p>
    <w:p>
      <w:pPr>
        <w:pStyle w:val="BodyText"/>
        <w:rPr>
          <w:b/>
          <w:sz w:val="24"/>
        </w:rPr>
      </w:pPr>
    </w:p>
    <w:p>
      <w:pPr>
        <w:pStyle w:val="BodyText"/>
        <w:spacing w:before="214"/>
        <w:ind w:left="720"/>
      </w:pPr>
      <w:r>
        <w:rPr/>
        <w:t>（一）投资于本基金的主要风险</w:t>
      </w:r>
    </w:p>
    <w:p>
      <w:pPr>
        <w:pStyle w:val="BodyText"/>
        <w:spacing w:before="1"/>
        <w:rPr>
          <w:sz w:val="16"/>
        </w:rPr>
      </w:pPr>
    </w:p>
    <w:p>
      <w:pPr>
        <w:pStyle w:val="BodyText"/>
        <w:ind w:left="720"/>
      </w:pPr>
      <w:r>
        <w:rPr>
          <w:rFonts w:ascii="Times New Roman" w:eastAsia="Times New Roman"/>
        </w:rPr>
        <w:t>1</w:t>
      </w:r>
      <w:r>
        <w:rPr/>
        <w:t>、本基金的特有风险</w:t>
      </w:r>
    </w:p>
    <w:p>
      <w:pPr>
        <w:pStyle w:val="BodyText"/>
        <w:spacing w:before="1"/>
        <w:rPr>
          <w:sz w:val="16"/>
        </w:rPr>
      </w:pPr>
    </w:p>
    <w:p>
      <w:pPr>
        <w:pStyle w:val="ListParagraph"/>
        <w:numPr>
          <w:ilvl w:val="0"/>
          <w:numId w:val="38"/>
        </w:numPr>
        <w:tabs>
          <w:tab w:pos="1250" w:val="left" w:leader="none"/>
        </w:tabs>
        <w:spacing w:line="240" w:lineRule="auto" w:before="0" w:after="0"/>
        <w:ind w:left="1249" w:right="0" w:hanging="530"/>
        <w:jc w:val="left"/>
        <w:rPr>
          <w:sz w:val="21"/>
        </w:rPr>
      </w:pPr>
      <w:r>
        <w:rPr>
          <w:spacing w:val="-3"/>
          <w:sz w:val="21"/>
        </w:rPr>
        <w:t>联接基金风险</w:t>
      </w:r>
    </w:p>
    <w:p>
      <w:pPr>
        <w:pStyle w:val="BodyText"/>
        <w:spacing w:before="1"/>
        <w:rPr>
          <w:sz w:val="16"/>
        </w:rPr>
      </w:pPr>
    </w:p>
    <w:p>
      <w:pPr>
        <w:pStyle w:val="BodyText"/>
        <w:spacing w:line="424" w:lineRule="auto"/>
        <w:ind w:left="300" w:right="871" w:firstLine="419"/>
        <w:jc w:val="both"/>
      </w:pPr>
      <w:r>
        <w:rPr>
          <w:spacing w:val="-6"/>
        </w:rPr>
        <w:t>本基金为 </w:t>
      </w:r>
      <w:r>
        <w:rPr>
          <w:rFonts w:ascii="Times New Roman" w:eastAsia="Times New Roman"/>
        </w:rPr>
        <w:t>ETF </w:t>
      </w:r>
      <w:r>
        <w:rPr>
          <w:spacing w:val="-5"/>
        </w:rPr>
        <w:t>联接基金，基金资产主要投资于目标 </w:t>
      </w:r>
      <w:r>
        <w:rPr>
          <w:rFonts w:ascii="Times New Roman" w:eastAsia="Times New Roman"/>
        </w:rPr>
        <w:t>ETF</w:t>
      </w:r>
      <w:r>
        <w:rPr>
          <w:spacing w:val="-3"/>
        </w:rPr>
        <w:t>，在多数情况下将维持较高的</w:t>
      </w:r>
      <w:r>
        <w:rPr>
          <w:spacing w:val="23"/>
        </w:rPr>
        <w:t>目标</w:t>
      </w:r>
      <w:r>
        <w:rPr>
          <w:rFonts w:ascii="Times New Roman" w:eastAsia="Times New Roman"/>
        </w:rPr>
        <w:t>ETF </w:t>
      </w:r>
      <w:r>
        <w:rPr>
          <w:spacing w:val="-10"/>
        </w:rPr>
        <w:t>投资比例，基金净值可能会随目标 </w:t>
      </w:r>
      <w:r>
        <w:rPr>
          <w:rFonts w:ascii="Times New Roman" w:eastAsia="Times New Roman"/>
        </w:rPr>
        <w:t>ETF </w:t>
      </w:r>
      <w:r>
        <w:rPr>
          <w:spacing w:val="-11"/>
        </w:rPr>
        <w:t>的净值波动而波动，目标 </w:t>
      </w:r>
      <w:r>
        <w:rPr>
          <w:rFonts w:ascii="Times New Roman" w:eastAsia="Times New Roman"/>
        </w:rPr>
        <w:t>ETF </w:t>
      </w:r>
      <w:r>
        <w:rPr/>
        <w:t>的相关风险</w:t>
      </w:r>
      <w:r>
        <w:rPr>
          <w:spacing w:val="-3"/>
        </w:rPr>
        <w:t>可能直接或间接成为本基金的风险。</w:t>
      </w:r>
    </w:p>
    <w:p>
      <w:pPr>
        <w:pStyle w:val="ListParagraph"/>
        <w:numPr>
          <w:ilvl w:val="0"/>
          <w:numId w:val="38"/>
        </w:numPr>
        <w:tabs>
          <w:tab w:pos="1250" w:val="left" w:leader="none"/>
        </w:tabs>
        <w:spacing w:line="267" w:lineRule="exact" w:before="0" w:after="0"/>
        <w:ind w:left="1249" w:right="0" w:hanging="530"/>
        <w:jc w:val="left"/>
        <w:rPr>
          <w:sz w:val="21"/>
        </w:rPr>
      </w:pPr>
      <w:r>
        <w:rPr>
          <w:spacing w:val="-3"/>
          <w:sz w:val="21"/>
        </w:rPr>
        <w:t>跟踪偏离风险</w:t>
      </w:r>
    </w:p>
    <w:p>
      <w:pPr>
        <w:pStyle w:val="BodyText"/>
        <w:spacing w:before="1"/>
        <w:rPr>
          <w:sz w:val="16"/>
        </w:rPr>
      </w:pPr>
    </w:p>
    <w:p>
      <w:pPr>
        <w:pStyle w:val="BodyText"/>
        <w:spacing w:line="427" w:lineRule="auto"/>
        <w:ind w:left="300" w:right="871" w:firstLine="419"/>
      </w:pPr>
      <w:r>
        <w:rPr/>
        <w:t>本基金主要投资于目标 </w:t>
      </w:r>
      <w:r>
        <w:rPr>
          <w:rFonts w:ascii="Times New Roman" w:eastAsia="Times New Roman"/>
        </w:rPr>
        <w:t>ETF </w:t>
      </w:r>
      <w:r>
        <w:rPr/>
        <w:t>基金份额，追求跟踪标的指数，获得与指数收益相似的回报。以下因素可能会影响到基金的投资组合与跟踪基准之间产生偏离：</w:t>
      </w:r>
    </w:p>
    <w:p>
      <w:pPr>
        <w:pStyle w:val="BodyText"/>
        <w:spacing w:line="264" w:lineRule="exact"/>
        <w:ind w:left="720"/>
      </w:pPr>
      <w:r>
        <w:rPr/>
        <w:t>①目标 </w:t>
      </w:r>
      <w:r>
        <w:rPr>
          <w:rFonts w:ascii="Times New Roman" w:hAnsi="Times New Roman" w:eastAsia="Times New Roman"/>
        </w:rPr>
        <w:t>ETF </w:t>
      </w:r>
      <w:r>
        <w:rPr/>
        <w:t>与标的指数的偏离。</w:t>
      </w:r>
    </w:p>
    <w:p>
      <w:pPr>
        <w:pStyle w:val="BodyText"/>
        <w:spacing w:before="1"/>
        <w:rPr>
          <w:sz w:val="16"/>
        </w:rPr>
      </w:pPr>
    </w:p>
    <w:p>
      <w:pPr>
        <w:pStyle w:val="BodyText"/>
        <w:spacing w:before="1"/>
        <w:ind w:left="720"/>
      </w:pPr>
      <w:r>
        <w:rPr/>
        <w:t>②基金买卖目标 </w:t>
      </w:r>
      <w:r>
        <w:rPr>
          <w:rFonts w:ascii="Times New Roman" w:hAnsi="Times New Roman" w:eastAsia="Times New Roman"/>
        </w:rPr>
        <w:t>ETF </w:t>
      </w:r>
      <w:r>
        <w:rPr/>
        <w:t>时所产生的价格差异、交易成本和交易冲击。</w:t>
      </w:r>
    </w:p>
    <w:p>
      <w:pPr>
        <w:pStyle w:val="BodyText"/>
        <w:spacing w:before="1"/>
        <w:rPr>
          <w:sz w:val="16"/>
        </w:rPr>
      </w:pPr>
    </w:p>
    <w:p>
      <w:pPr>
        <w:pStyle w:val="BodyText"/>
        <w:ind w:left="720"/>
      </w:pPr>
      <w:r>
        <w:rPr/>
        <w:t>③基金调整资产配置结构时所产生的跟踪误差。</w:t>
      </w:r>
    </w:p>
    <w:p>
      <w:pPr>
        <w:pStyle w:val="BodyText"/>
        <w:spacing w:before="1"/>
        <w:rPr>
          <w:sz w:val="16"/>
        </w:rPr>
      </w:pPr>
    </w:p>
    <w:p>
      <w:pPr>
        <w:pStyle w:val="BodyText"/>
        <w:ind w:left="720"/>
      </w:pPr>
      <w:r>
        <w:rPr/>
        <w:t>④基金申购、赎回因素所产生的跟踪误差。</w:t>
      </w:r>
    </w:p>
    <w:p>
      <w:pPr>
        <w:pStyle w:val="BodyText"/>
        <w:spacing w:before="1"/>
        <w:rPr>
          <w:sz w:val="16"/>
        </w:rPr>
      </w:pPr>
    </w:p>
    <w:p>
      <w:pPr>
        <w:pStyle w:val="BodyText"/>
        <w:ind w:left="720"/>
      </w:pPr>
      <w:r>
        <w:rPr/>
        <w:t>⑤基金现金资产拖累所产生的跟踪误差。</w:t>
      </w:r>
    </w:p>
    <w:p>
      <w:pPr>
        <w:pStyle w:val="BodyText"/>
        <w:spacing w:before="1"/>
        <w:rPr>
          <w:sz w:val="16"/>
        </w:rPr>
      </w:pPr>
    </w:p>
    <w:p>
      <w:pPr>
        <w:pStyle w:val="BodyText"/>
        <w:spacing w:before="1"/>
        <w:ind w:left="720"/>
      </w:pPr>
      <w:r>
        <w:rPr/>
        <w:t>⑥基金的管理费和托管费所产生的跟踪误差。</w:t>
      </w:r>
    </w:p>
    <w:p>
      <w:pPr>
        <w:pStyle w:val="BodyText"/>
        <w:rPr>
          <w:sz w:val="16"/>
        </w:rPr>
      </w:pPr>
    </w:p>
    <w:p>
      <w:pPr>
        <w:pStyle w:val="BodyText"/>
        <w:spacing w:before="1"/>
        <w:ind w:left="720"/>
      </w:pPr>
      <w:r>
        <w:rPr/>
        <w:t>⑦其他因素所产生的偏差。</w:t>
      </w:r>
    </w:p>
    <w:p>
      <w:pPr>
        <w:pStyle w:val="BodyText"/>
        <w:spacing w:before="3"/>
        <w:rPr>
          <w:sz w:val="16"/>
        </w:rPr>
      </w:pPr>
    </w:p>
    <w:p>
      <w:pPr>
        <w:pStyle w:val="ListParagraph"/>
        <w:numPr>
          <w:ilvl w:val="0"/>
          <w:numId w:val="38"/>
        </w:numPr>
        <w:tabs>
          <w:tab w:pos="1250" w:val="left" w:leader="none"/>
        </w:tabs>
        <w:spacing w:line="240" w:lineRule="auto" w:before="0" w:after="0"/>
        <w:ind w:left="1249" w:right="0" w:hanging="530"/>
        <w:jc w:val="left"/>
        <w:rPr>
          <w:sz w:val="21"/>
        </w:rPr>
      </w:pPr>
      <w:r>
        <w:rPr>
          <w:spacing w:val="-15"/>
          <w:sz w:val="21"/>
        </w:rPr>
        <w:t>与目标 </w:t>
      </w:r>
      <w:r>
        <w:rPr>
          <w:rFonts w:ascii="Times New Roman" w:eastAsia="Times New Roman"/>
          <w:sz w:val="21"/>
        </w:rPr>
        <w:t>ETF</w:t>
      </w:r>
      <w:r>
        <w:rPr>
          <w:rFonts w:ascii="Times New Roman" w:eastAsia="Times New Roman"/>
          <w:spacing w:val="-4"/>
          <w:sz w:val="21"/>
        </w:rPr>
        <w:t> </w:t>
      </w:r>
      <w:r>
        <w:rPr>
          <w:spacing w:val="-2"/>
          <w:sz w:val="21"/>
        </w:rPr>
        <w:t>业绩差异的风险</w:t>
      </w:r>
    </w:p>
    <w:p>
      <w:pPr>
        <w:pStyle w:val="BodyText"/>
        <w:spacing w:before="1"/>
        <w:rPr>
          <w:sz w:val="16"/>
        </w:rPr>
      </w:pPr>
    </w:p>
    <w:p>
      <w:pPr>
        <w:pStyle w:val="BodyText"/>
        <w:spacing w:line="424" w:lineRule="auto"/>
        <w:ind w:left="300" w:right="768" w:firstLine="419"/>
      </w:pPr>
      <w:r>
        <w:rPr/>
        <w:t>本基金为目标 </w:t>
      </w:r>
      <w:r>
        <w:rPr>
          <w:rFonts w:ascii="Times New Roman" w:eastAsia="Times New Roman"/>
        </w:rPr>
        <w:t>ETF </w:t>
      </w:r>
      <w:r>
        <w:rPr/>
        <w:t>的联接基金，但由于投资方法、交易方式等方面与目标 </w:t>
      </w:r>
      <w:r>
        <w:rPr>
          <w:rFonts w:ascii="Times New Roman" w:eastAsia="Times New Roman"/>
        </w:rPr>
        <w:t>ETF </w:t>
      </w:r>
      <w:r>
        <w:rPr/>
        <w:t>不同， 本基金的业绩表现与目标</w:t>
      </w:r>
      <w:r>
        <w:rPr>
          <w:rFonts w:ascii="Times New Roman" w:eastAsia="Times New Roman"/>
        </w:rPr>
        <w:t>ETF </w:t>
      </w:r>
      <w:r>
        <w:rPr/>
        <w:t>的业绩表现可能出现差异。</w:t>
      </w:r>
    </w:p>
    <w:p>
      <w:pPr>
        <w:pStyle w:val="ListParagraph"/>
        <w:numPr>
          <w:ilvl w:val="0"/>
          <w:numId w:val="38"/>
        </w:numPr>
        <w:tabs>
          <w:tab w:pos="1250" w:val="left" w:leader="none"/>
        </w:tabs>
        <w:spacing w:line="268" w:lineRule="exact" w:before="0" w:after="0"/>
        <w:ind w:left="1249" w:right="0" w:hanging="530"/>
        <w:jc w:val="left"/>
        <w:rPr>
          <w:sz w:val="21"/>
        </w:rPr>
      </w:pPr>
      <w:r>
        <w:rPr>
          <w:spacing w:val="-10"/>
          <w:sz w:val="21"/>
        </w:rPr>
        <w:t>其他投资于目标 </w:t>
      </w:r>
      <w:r>
        <w:rPr>
          <w:rFonts w:ascii="Times New Roman" w:eastAsia="Times New Roman"/>
          <w:sz w:val="21"/>
        </w:rPr>
        <w:t>ETF</w:t>
      </w:r>
      <w:r>
        <w:rPr>
          <w:rFonts w:ascii="Times New Roman" w:eastAsia="Times New Roman"/>
          <w:spacing w:val="-5"/>
          <w:sz w:val="21"/>
        </w:rPr>
        <w:t> </w:t>
      </w:r>
      <w:r>
        <w:rPr>
          <w:sz w:val="21"/>
        </w:rPr>
        <w:t>的风险</w:t>
      </w:r>
    </w:p>
    <w:p>
      <w:pPr>
        <w:pStyle w:val="BodyText"/>
        <w:spacing w:before="1"/>
        <w:rPr>
          <w:sz w:val="16"/>
        </w:rPr>
      </w:pPr>
    </w:p>
    <w:p>
      <w:pPr>
        <w:pStyle w:val="BodyText"/>
        <w:ind w:left="720"/>
      </w:pPr>
      <w:r>
        <w:rPr/>
        <w:t>如目标 </w:t>
      </w:r>
      <w:r>
        <w:rPr>
          <w:rFonts w:ascii="Times New Roman" w:eastAsia="Times New Roman"/>
        </w:rPr>
        <w:t>ETF </w:t>
      </w:r>
      <w:r>
        <w:rPr/>
        <w:t>基金份额二级市场交易价格折溢价的风险、目标 </w:t>
      </w:r>
      <w:r>
        <w:rPr>
          <w:rFonts w:ascii="Times New Roman" w:eastAsia="Times New Roman"/>
        </w:rPr>
        <w:t>ETF </w:t>
      </w:r>
      <w:r>
        <w:rPr/>
        <w:t>参考 </w:t>
      </w:r>
      <w:r>
        <w:rPr>
          <w:rFonts w:ascii="Times New Roman" w:eastAsia="Times New Roman"/>
        </w:rPr>
        <w:t>IOPV </w:t>
      </w:r>
      <w:r>
        <w:rPr/>
        <w:t>决策和</w:t>
      </w:r>
    </w:p>
    <w:p>
      <w:pPr>
        <w:pStyle w:val="BodyText"/>
        <w:spacing w:before="1"/>
        <w:rPr>
          <w:sz w:val="16"/>
        </w:rPr>
      </w:pPr>
    </w:p>
    <w:p>
      <w:pPr>
        <w:pStyle w:val="BodyText"/>
        <w:spacing w:before="1"/>
        <w:ind w:left="300"/>
      </w:pPr>
      <w:r>
        <w:rPr>
          <w:rFonts w:ascii="Times New Roman" w:eastAsia="Times New Roman"/>
        </w:rPr>
        <w:t>IOPV </w:t>
      </w:r>
      <w:r>
        <w:rPr/>
        <w:t>计算错误的风险、目标 </w:t>
      </w:r>
      <w:r>
        <w:rPr>
          <w:rFonts w:ascii="Times New Roman" w:eastAsia="Times New Roman"/>
        </w:rPr>
        <w:t>ETF </w:t>
      </w:r>
      <w:r>
        <w:rPr/>
        <w:t>退市风险、申购赎回失败风险等等。</w:t>
      </w:r>
    </w:p>
    <w:p>
      <w:pPr>
        <w:pStyle w:val="BodyText"/>
        <w:spacing w:before="1"/>
        <w:rPr>
          <w:sz w:val="16"/>
        </w:rPr>
      </w:pPr>
    </w:p>
    <w:p>
      <w:pPr>
        <w:pStyle w:val="BodyText"/>
        <w:ind w:left="720"/>
      </w:pPr>
      <w:r>
        <w:rPr>
          <w:rFonts w:ascii="Times New Roman" w:eastAsia="Times New Roman"/>
        </w:rPr>
        <w:t>2</w:t>
      </w:r>
      <w:r>
        <w:rPr/>
        <w:t>、市场风险</w:t>
      </w:r>
    </w:p>
    <w:p>
      <w:pPr>
        <w:pStyle w:val="BodyText"/>
        <w:spacing w:before="1"/>
        <w:rPr>
          <w:sz w:val="16"/>
        </w:rPr>
      </w:pPr>
    </w:p>
    <w:p>
      <w:pPr>
        <w:pStyle w:val="BodyText"/>
        <w:spacing w:line="427" w:lineRule="auto"/>
        <w:ind w:left="300" w:right="87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BodyText"/>
        <w:spacing w:line="264" w:lineRule="exact"/>
        <w:ind w:left="720"/>
      </w:pPr>
      <w:r>
        <w:rPr/>
        <w:t>股票投资风险主要包括：</w:t>
      </w:r>
    </w:p>
    <w:p>
      <w:pPr>
        <w:pStyle w:val="BodyText"/>
        <w:spacing w:before="1"/>
        <w:rPr>
          <w:sz w:val="16"/>
        </w:rPr>
      </w:pPr>
    </w:p>
    <w:p>
      <w:pPr>
        <w:pStyle w:val="ListParagraph"/>
        <w:numPr>
          <w:ilvl w:val="0"/>
          <w:numId w:val="39"/>
        </w:numPr>
        <w:tabs>
          <w:tab w:pos="1250" w:val="left" w:leader="none"/>
        </w:tabs>
        <w:spacing w:line="240" w:lineRule="auto" w:before="0" w:after="0"/>
        <w:ind w:left="1249" w:right="0" w:hanging="530"/>
        <w:jc w:val="left"/>
        <w:rPr>
          <w:sz w:val="21"/>
        </w:rPr>
      </w:pPr>
      <w:r>
        <w:rPr>
          <w:spacing w:val="-3"/>
          <w:sz w:val="21"/>
        </w:rPr>
        <w:t>国家货币政策、财政政策、产业政策等的变化对证券市场产生一定的影响，导致</w:t>
      </w:r>
    </w:p>
    <w:p>
      <w:pPr>
        <w:spacing w:after="0" w:line="240" w:lineRule="auto"/>
        <w:jc w:val="left"/>
        <w:rPr>
          <w:sz w:val="21"/>
        </w:rPr>
        <w:sectPr>
          <w:footerReference w:type="default" r:id="rId224"/>
          <w:pgSz w:w="11910" w:h="16840"/>
          <w:pgMar w:footer="683" w:header="701" w:top="1420" w:bottom="880" w:left="1500" w:right="920"/>
        </w:sectPr>
      </w:pPr>
    </w:p>
    <w:p>
      <w:pPr>
        <w:pStyle w:val="BodyText"/>
        <w:spacing w:before="115"/>
        <w:ind w:left="300"/>
      </w:pPr>
      <w:r>
        <w:rPr/>
        <w:t>市场价格水平波动的风险。</w:t>
      </w:r>
    </w:p>
    <w:p>
      <w:pPr>
        <w:pStyle w:val="BodyText"/>
        <w:rPr>
          <w:sz w:val="16"/>
        </w:rPr>
      </w:pPr>
    </w:p>
    <w:p>
      <w:pPr>
        <w:pStyle w:val="ListParagraph"/>
        <w:numPr>
          <w:ilvl w:val="0"/>
          <w:numId w:val="39"/>
        </w:numPr>
        <w:tabs>
          <w:tab w:pos="1250" w:val="left" w:leader="none"/>
        </w:tabs>
        <w:spacing w:line="240" w:lineRule="auto" w:before="1" w:after="0"/>
        <w:ind w:left="1249" w:right="0" w:hanging="530"/>
        <w:jc w:val="left"/>
        <w:rPr>
          <w:sz w:val="21"/>
        </w:rPr>
      </w:pPr>
      <w:r>
        <w:rPr>
          <w:spacing w:val="-3"/>
          <w:sz w:val="21"/>
        </w:rPr>
        <w:t>宏观经济运行周期性波动，对股票市场的收益水平产生影响的风险。</w:t>
      </w:r>
    </w:p>
    <w:p>
      <w:pPr>
        <w:pStyle w:val="BodyText"/>
        <w:spacing w:before="1"/>
        <w:rPr>
          <w:sz w:val="16"/>
        </w:rPr>
      </w:pPr>
    </w:p>
    <w:p>
      <w:pPr>
        <w:pStyle w:val="ListParagraph"/>
        <w:numPr>
          <w:ilvl w:val="0"/>
          <w:numId w:val="39"/>
        </w:numPr>
        <w:tabs>
          <w:tab w:pos="1250" w:val="left" w:leader="none"/>
        </w:tabs>
        <w:spacing w:line="424" w:lineRule="auto" w:before="0" w:after="0"/>
        <w:ind w:left="300" w:right="874" w:firstLine="419"/>
        <w:jc w:val="left"/>
        <w:rPr>
          <w:sz w:val="21"/>
        </w:rPr>
      </w:pPr>
      <w:r>
        <w:rPr>
          <w:spacing w:val="-3"/>
          <w:sz w:val="21"/>
        </w:rPr>
        <w:t>上市公司的经营状况受多种因素影响，如市场、技术、竞争、管理、财务等都会导致公司盈利发生变化，从而导致股票价格变动的风险。</w:t>
      </w:r>
    </w:p>
    <w:p>
      <w:pPr>
        <w:pStyle w:val="BodyText"/>
        <w:spacing w:line="267" w:lineRule="exact"/>
        <w:ind w:left="720"/>
      </w:pPr>
      <w:r>
        <w:rPr/>
        <w:t>债券投资风险主要包括：</w:t>
      </w:r>
    </w:p>
    <w:p>
      <w:pPr>
        <w:pStyle w:val="BodyText"/>
        <w:spacing w:before="3"/>
        <w:rPr>
          <w:sz w:val="16"/>
        </w:rPr>
      </w:pPr>
    </w:p>
    <w:p>
      <w:pPr>
        <w:pStyle w:val="ListParagraph"/>
        <w:numPr>
          <w:ilvl w:val="0"/>
          <w:numId w:val="40"/>
        </w:numPr>
        <w:tabs>
          <w:tab w:pos="1250" w:val="left" w:leader="none"/>
        </w:tabs>
        <w:spacing w:line="240" w:lineRule="auto" w:before="0" w:after="0"/>
        <w:ind w:left="1249" w:right="0" w:hanging="530"/>
        <w:jc w:val="left"/>
        <w:rPr>
          <w:sz w:val="21"/>
        </w:rPr>
      </w:pPr>
      <w:r>
        <w:rPr>
          <w:spacing w:val="-3"/>
          <w:sz w:val="21"/>
        </w:rPr>
        <w:t>市场平均利率水平变化导致债券价格变化的风险。</w:t>
      </w:r>
    </w:p>
    <w:p>
      <w:pPr>
        <w:pStyle w:val="BodyText"/>
        <w:spacing w:before="1"/>
        <w:rPr>
          <w:sz w:val="16"/>
        </w:rPr>
      </w:pPr>
    </w:p>
    <w:p>
      <w:pPr>
        <w:pStyle w:val="ListParagraph"/>
        <w:numPr>
          <w:ilvl w:val="0"/>
          <w:numId w:val="40"/>
        </w:numPr>
        <w:tabs>
          <w:tab w:pos="1250" w:val="left" w:leader="none"/>
        </w:tabs>
        <w:spacing w:line="424" w:lineRule="auto" w:before="0" w:after="0"/>
        <w:ind w:left="300" w:right="874" w:firstLine="419"/>
        <w:jc w:val="left"/>
        <w:rPr>
          <w:sz w:val="21"/>
        </w:rPr>
      </w:pPr>
      <w:r>
        <w:rPr>
          <w:spacing w:val="-3"/>
          <w:sz w:val="21"/>
        </w:rPr>
        <w:t>债券市场不同期限、不同类属债券之间的利差变动导致相应期限和类属债券价格变化的风险。</w:t>
      </w:r>
    </w:p>
    <w:p>
      <w:pPr>
        <w:pStyle w:val="ListParagraph"/>
        <w:numPr>
          <w:ilvl w:val="0"/>
          <w:numId w:val="40"/>
        </w:numPr>
        <w:tabs>
          <w:tab w:pos="1250" w:val="left" w:leader="none"/>
        </w:tabs>
        <w:spacing w:line="424" w:lineRule="auto" w:before="0" w:after="0"/>
        <w:ind w:left="300" w:right="874" w:firstLine="419"/>
        <w:jc w:val="left"/>
        <w:rPr>
          <w:sz w:val="21"/>
        </w:rPr>
      </w:pPr>
      <w:r>
        <w:rPr>
          <w:spacing w:val="-3"/>
          <w:sz w:val="21"/>
        </w:rPr>
        <w:t>债券之发行人出现违约、拒绝支付到期本息，或由于债券发行人信用质量降低导致债券价格下降的风险。</w:t>
      </w:r>
    </w:p>
    <w:p>
      <w:pPr>
        <w:pStyle w:val="BodyText"/>
        <w:spacing w:line="267" w:lineRule="exact"/>
        <w:ind w:left="720"/>
      </w:pPr>
      <w:r>
        <w:rPr>
          <w:rFonts w:ascii="Times New Roman" w:eastAsia="Times New Roman"/>
        </w:rPr>
        <w:t>3</w:t>
      </w:r>
      <w:r>
        <w:rPr/>
        <w:t>、衍生品投资风险</w:t>
      </w:r>
    </w:p>
    <w:p>
      <w:pPr>
        <w:pStyle w:val="BodyText"/>
        <w:rPr>
          <w:sz w:val="16"/>
        </w:rPr>
      </w:pPr>
    </w:p>
    <w:p>
      <w:pPr>
        <w:pStyle w:val="BodyText"/>
        <w:spacing w:line="424" w:lineRule="auto"/>
        <w:ind w:left="300" w:right="871" w:firstLine="419"/>
      </w:pPr>
      <w:r>
        <w:rPr>
          <w:spacing w:val="-9"/>
        </w:rPr>
        <w:t>本基金可投资于股指期货、国债期货、股票期权等金融衍生品，投资期货、期权等金融</w:t>
      </w:r>
      <w:r>
        <w:rPr>
          <w:spacing w:val="-5"/>
        </w:rPr>
        <w:t>衍生品主要存在以下风险：</w:t>
      </w:r>
    </w:p>
    <w:p>
      <w:pPr>
        <w:pStyle w:val="ListParagraph"/>
        <w:numPr>
          <w:ilvl w:val="0"/>
          <w:numId w:val="41"/>
        </w:numPr>
        <w:tabs>
          <w:tab w:pos="1250" w:val="left" w:leader="none"/>
        </w:tabs>
        <w:spacing w:line="240" w:lineRule="auto" w:before="0" w:after="0"/>
        <w:ind w:left="1249" w:right="0" w:hanging="530"/>
        <w:jc w:val="left"/>
        <w:rPr>
          <w:sz w:val="21"/>
        </w:rPr>
      </w:pPr>
      <w:r>
        <w:rPr>
          <w:spacing w:val="-3"/>
          <w:sz w:val="21"/>
        </w:rPr>
        <w:t>市场风险：是指由于衍生品价格变动而给投资者带来的风险。</w:t>
      </w:r>
    </w:p>
    <w:p>
      <w:pPr>
        <w:pStyle w:val="BodyText"/>
        <w:spacing w:before="2"/>
        <w:rPr>
          <w:sz w:val="16"/>
        </w:rPr>
      </w:pPr>
    </w:p>
    <w:p>
      <w:pPr>
        <w:pStyle w:val="ListParagraph"/>
        <w:numPr>
          <w:ilvl w:val="0"/>
          <w:numId w:val="41"/>
        </w:numPr>
        <w:tabs>
          <w:tab w:pos="1250" w:val="left" w:leader="none"/>
        </w:tabs>
        <w:spacing w:line="240" w:lineRule="auto" w:before="0" w:after="0"/>
        <w:ind w:left="1249" w:right="0" w:hanging="530"/>
        <w:jc w:val="left"/>
        <w:rPr>
          <w:sz w:val="21"/>
        </w:rPr>
      </w:pPr>
      <w:r>
        <w:rPr>
          <w:spacing w:val="-3"/>
          <w:sz w:val="21"/>
        </w:rPr>
        <w:t>流动性风险：是指由于衍生品合约无法及时变现所带来的风险。</w:t>
      </w:r>
    </w:p>
    <w:p>
      <w:pPr>
        <w:pStyle w:val="BodyText"/>
        <w:spacing w:before="1"/>
        <w:rPr>
          <w:sz w:val="16"/>
        </w:rPr>
      </w:pPr>
    </w:p>
    <w:p>
      <w:pPr>
        <w:pStyle w:val="ListParagraph"/>
        <w:numPr>
          <w:ilvl w:val="0"/>
          <w:numId w:val="41"/>
        </w:numPr>
        <w:tabs>
          <w:tab w:pos="1250" w:val="left" w:leader="none"/>
        </w:tabs>
        <w:spacing w:line="424" w:lineRule="auto" w:before="0" w:after="0"/>
        <w:ind w:left="300" w:right="874" w:firstLine="419"/>
        <w:jc w:val="left"/>
        <w:rPr>
          <w:sz w:val="21"/>
        </w:rPr>
      </w:pPr>
      <w:r>
        <w:rPr>
          <w:spacing w:val="-3"/>
          <w:sz w:val="21"/>
        </w:rPr>
        <w:t>基差风险：是指衍生品合约价格和标的指数价格之间的价格差的波动所造成的风险，以及不同衍生品合约价格之间价格差的波动所造成的期现价差风险。</w:t>
      </w:r>
    </w:p>
    <w:p>
      <w:pPr>
        <w:pStyle w:val="ListParagraph"/>
        <w:numPr>
          <w:ilvl w:val="0"/>
          <w:numId w:val="41"/>
        </w:numPr>
        <w:tabs>
          <w:tab w:pos="1250" w:val="left" w:leader="none"/>
        </w:tabs>
        <w:spacing w:line="424" w:lineRule="auto" w:before="0" w:after="0"/>
        <w:ind w:left="300" w:right="874" w:firstLine="419"/>
        <w:jc w:val="left"/>
        <w:rPr>
          <w:sz w:val="21"/>
        </w:rPr>
      </w:pPr>
      <w:r>
        <w:rPr>
          <w:spacing w:val="-3"/>
          <w:sz w:val="21"/>
        </w:rPr>
        <w:t>保证金风险：是指由于无法及时筹措资金满足建立或者维持衍生品合约头寸所要求的保证金而带来的风险。</w:t>
      </w:r>
    </w:p>
    <w:p>
      <w:pPr>
        <w:pStyle w:val="ListParagraph"/>
        <w:numPr>
          <w:ilvl w:val="0"/>
          <w:numId w:val="41"/>
        </w:numPr>
        <w:tabs>
          <w:tab w:pos="1250" w:val="left" w:leader="none"/>
        </w:tabs>
        <w:spacing w:line="267" w:lineRule="exact" w:before="0" w:after="0"/>
        <w:ind w:left="1249" w:right="0" w:hanging="530"/>
        <w:jc w:val="left"/>
        <w:rPr>
          <w:sz w:val="21"/>
        </w:rPr>
      </w:pPr>
      <w:r>
        <w:rPr>
          <w:spacing w:val="-3"/>
          <w:sz w:val="21"/>
        </w:rPr>
        <w:t>信用风险：是指经纪公司违约而产生损失的风险。</w:t>
      </w:r>
    </w:p>
    <w:p>
      <w:pPr>
        <w:pStyle w:val="BodyText"/>
        <w:spacing w:before="12"/>
        <w:rPr>
          <w:sz w:val="15"/>
        </w:rPr>
      </w:pPr>
    </w:p>
    <w:p>
      <w:pPr>
        <w:pStyle w:val="ListParagraph"/>
        <w:numPr>
          <w:ilvl w:val="0"/>
          <w:numId w:val="41"/>
        </w:numPr>
        <w:tabs>
          <w:tab w:pos="1250" w:val="left" w:leader="none"/>
        </w:tabs>
        <w:spacing w:line="427" w:lineRule="auto" w:before="0" w:after="0"/>
        <w:ind w:left="300" w:right="874" w:firstLine="419"/>
        <w:jc w:val="left"/>
        <w:rPr>
          <w:sz w:val="21"/>
        </w:rPr>
      </w:pPr>
      <w:r>
        <w:rPr>
          <w:spacing w:val="-3"/>
          <w:sz w:val="21"/>
        </w:rPr>
        <w:t>操作风险：是指由于内部流程的不完善，业务人员出现差错或者疏漏，或者系统出现故障等原因造成损失的风险。</w:t>
      </w:r>
    </w:p>
    <w:p>
      <w:pPr>
        <w:pStyle w:val="BodyText"/>
        <w:spacing w:line="265" w:lineRule="exact"/>
        <w:ind w:left="720"/>
      </w:pPr>
      <w:r>
        <w:rPr>
          <w:rFonts w:ascii="Times New Roman" w:eastAsia="Times New Roman"/>
        </w:rPr>
        <w:t>4</w:t>
      </w:r>
      <w:r>
        <w:rPr/>
        <w:t>、资产支持证券投资风险</w:t>
      </w:r>
    </w:p>
    <w:p>
      <w:pPr>
        <w:pStyle w:val="BodyText"/>
        <w:spacing w:before="1"/>
        <w:rPr>
          <w:sz w:val="16"/>
        </w:rPr>
      </w:pPr>
    </w:p>
    <w:p>
      <w:pPr>
        <w:pStyle w:val="ListParagraph"/>
        <w:numPr>
          <w:ilvl w:val="0"/>
          <w:numId w:val="42"/>
        </w:numPr>
        <w:tabs>
          <w:tab w:pos="1250" w:val="left" w:leader="none"/>
        </w:tabs>
        <w:spacing w:line="424" w:lineRule="auto" w:before="0" w:after="0"/>
        <w:ind w:left="300" w:right="874" w:firstLine="419"/>
        <w:jc w:val="left"/>
        <w:rPr>
          <w:sz w:val="21"/>
        </w:rPr>
      </w:pPr>
      <w:r>
        <w:rPr>
          <w:spacing w:val="-3"/>
          <w:sz w:val="21"/>
        </w:rPr>
        <w:t>流动性风险：即证券的流动性下降从而给证券持有人带来损失</w:t>
      </w:r>
      <w:r>
        <w:rPr>
          <w:sz w:val="21"/>
        </w:rPr>
        <w:t>（</w:t>
      </w:r>
      <w:r>
        <w:rPr>
          <w:spacing w:val="-3"/>
          <w:sz w:val="21"/>
        </w:rPr>
        <w:t>如证券不能卖出或贬值出售等）的可能性。</w:t>
      </w:r>
    </w:p>
    <w:p>
      <w:pPr>
        <w:pStyle w:val="ListParagraph"/>
        <w:numPr>
          <w:ilvl w:val="0"/>
          <w:numId w:val="42"/>
        </w:numPr>
        <w:tabs>
          <w:tab w:pos="1247" w:val="left" w:leader="none"/>
        </w:tabs>
        <w:spacing w:line="424" w:lineRule="auto" w:before="0" w:after="0"/>
        <w:ind w:left="300" w:right="871" w:firstLine="419"/>
        <w:jc w:val="both"/>
        <w:rPr>
          <w:sz w:val="21"/>
        </w:rPr>
      </w:pPr>
      <w:r>
        <w:rPr>
          <w:spacing w:val="-9"/>
          <w:sz w:val="21"/>
        </w:rPr>
        <w:t>证券提前赎回风险：若某些交易赋予 </w:t>
      </w:r>
      <w:r>
        <w:rPr>
          <w:rFonts w:ascii="Times New Roman" w:eastAsia="Times New Roman"/>
          <w:sz w:val="21"/>
        </w:rPr>
        <w:t>SPV</w:t>
      </w:r>
      <w:r>
        <w:rPr>
          <w:rFonts w:ascii="Times New Roman" w:eastAsia="Times New Roman"/>
          <w:spacing w:val="13"/>
          <w:sz w:val="21"/>
        </w:rPr>
        <w:t> </w:t>
      </w:r>
      <w:r>
        <w:rPr>
          <w:spacing w:val="-3"/>
          <w:sz w:val="21"/>
        </w:rPr>
        <w:t>在资产支持证券发行后一定期限内以一定价格向投资者收购部分或全部证券的权利，则在市场条件许可的情况下，</w:t>
      </w:r>
      <w:r>
        <w:rPr>
          <w:rFonts w:ascii="Times New Roman" w:eastAsia="Times New Roman"/>
          <w:spacing w:val="-3"/>
          <w:sz w:val="21"/>
        </w:rPr>
        <w:t>SPV</w:t>
      </w:r>
      <w:r>
        <w:rPr>
          <w:rFonts w:ascii="Times New Roman" w:eastAsia="Times New Roman"/>
          <w:spacing w:val="44"/>
          <w:sz w:val="21"/>
        </w:rPr>
        <w:t> </w:t>
      </w:r>
      <w:r>
        <w:rPr>
          <w:spacing w:val="-4"/>
          <w:sz w:val="21"/>
        </w:rPr>
        <w:t>有可能行</w:t>
      </w:r>
      <w:r>
        <w:rPr>
          <w:spacing w:val="-3"/>
          <w:sz w:val="21"/>
        </w:rPr>
        <w:t>使这一权利从而使投资者受到不利影响。</w:t>
      </w:r>
    </w:p>
    <w:p>
      <w:pPr>
        <w:pStyle w:val="ListParagraph"/>
        <w:numPr>
          <w:ilvl w:val="0"/>
          <w:numId w:val="42"/>
        </w:numPr>
        <w:tabs>
          <w:tab w:pos="1250" w:val="left" w:leader="none"/>
        </w:tabs>
        <w:spacing w:line="266" w:lineRule="exact" w:before="0" w:after="0"/>
        <w:ind w:left="1249" w:right="0" w:hanging="530"/>
        <w:jc w:val="left"/>
        <w:rPr>
          <w:sz w:val="21"/>
        </w:rPr>
      </w:pPr>
      <w:r>
        <w:rPr>
          <w:spacing w:val="-3"/>
          <w:sz w:val="21"/>
        </w:rPr>
        <w:t>再投资风险：指证券因某种原因被提前清偿，投资者不得不将证券提前偿付资金</w:t>
      </w:r>
    </w:p>
    <w:p>
      <w:pPr>
        <w:spacing w:after="0" w:line="266" w:lineRule="exact"/>
        <w:jc w:val="left"/>
        <w:rPr>
          <w:sz w:val="21"/>
        </w:rPr>
        <w:sectPr>
          <w:footerReference w:type="default" r:id="rId225"/>
          <w:pgSz w:w="11910" w:h="16840"/>
          <w:pgMar w:footer="683" w:header="701" w:top="1420" w:bottom="880" w:left="1500" w:right="920"/>
          <w:pgNumType w:start="141"/>
        </w:sectPr>
      </w:pPr>
    </w:p>
    <w:p>
      <w:pPr>
        <w:pStyle w:val="BodyText"/>
        <w:spacing w:line="424" w:lineRule="auto" w:before="115"/>
        <w:ind w:left="300" w:right="881"/>
      </w:pPr>
      <w:r>
        <w:rPr/>
        <w:t>再做其他投资时面临的再投资收益率低于证券收益率导致投资者不能实现其参与证券化交易所预计的投资收益目标的可能性。</w:t>
      </w:r>
    </w:p>
    <w:p>
      <w:pPr>
        <w:pStyle w:val="ListParagraph"/>
        <w:numPr>
          <w:ilvl w:val="0"/>
          <w:numId w:val="42"/>
        </w:numPr>
        <w:tabs>
          <w:tab w:pos="1247" w:val="left" w:leader="none"/>
        </w:tabs>
        <w:spacing w:line="424" w:lineRule="auto" w:before="0" w:after="0"/>
        <w:ind w:left="300" w:right="871" w:firstLine="419"/>
        <w:jc w:val="both"/>
        <w:rPr>
          <w:sz w:val="21"/>
        </w:rPr>
      </w:pPr>
      <w:r>
        <w:rPr>
          <w:rFonts w:ascii="Times New Roman" w:eastAsia="Times New Roman"/>
          <w:sz w:val="21"/>
        </w:rPr>
        <w:t>SPV</w:t>
      </w:r>
      <w:r>
        <w:rPr>
          <w:rFonts w:ascii="Times New Roman" w:eastAsia="Times New Roman"/>
          <w:spacing w:val="27"/>
          <w:sz w:val="21"/>
        </w:rPr>
        <w:t> </w:t>
      </w:r>
      <w:r>
        <w:rPr>
          <w:spacing w:val="-3"/>
          <w:sz w:val="21"/>
        </w:rPr>
        <w:t>违约风险：在以债务工具</w:t>
      </w:r>
      <w:r>
        <w:rPr>
          <w:sz w:val="21"/>
        </w:rPr>
        <w:t>（</w:t>
      </w:r>
      <w:r>
        <w:rPr>
          <w:spacing w:val="-3"/>
          <w:sz w:val="21"/>
        </w:rPr>
        <w:t>债券、票据等</w:t>
      </w:r>
      <w:r>
        <w:rPr>
          <w:sz w:val="21"/>
        </w:rPr>
        <w:t>）</w:t>
      </w:r>
      <w:r>
        <w:rPr>
          <w:spacing w:val="-3"/>
          <w:sz w:val="21"/>
        </w:rPr>
        <w:t>作为证券化交易载体，也即交易所发行的证券系债权凭证的情况下，</w:t>
      </w:r>
      <w:r>
        <w:rPr>
          <w:rFonts w:ascii="Times New Roman" w:eastAsia="Times New Roman"/>
          <w:spacing w:val="-3"/>
          <w:sz w:val="21"/>
        </w:rPr>
        <w:t>SPV</w:t>
      </w:r>
      <w:r>
        <w:rPr>
          <w:rFonts w:ascii="Times New Roman" w:eastAsia="Times New Roman"/>
          <w:spacing w:val="38"/>
          <w:sz w:val="21"/>
        </w:rPr>
        <w:t> </w:t>
      </w:r>
      <w:r>
        <w:rPr>
          <w:spacing w:val="-1"/>
          <w:sz w:val="21"/>
        </w:rPr>
        <w:t>系投资者的债务人，其可能发生违约从而给投资</w:t>
      </w:r>
      <w:r>
        <w:rPr>
          <w:spacing w:val="-2"/>
          <w:sz w:val="21"/>
        </w:rPr>
        <w:t>者造成损失。</w:t>
      </w:r>
    </w:p>
    <w:p>
      <w:pPr>
        <w:pStyle w:val="BodyText"/>
        <w:spacing w:line="268" w:lineRule="exact"/>
        <w:ind w:left="720"/>
      </w:pPr>
      <w:r>
        <w:rPr>
          <w:rFonts w:ascii="Times New Roman" w:eastAsia="Times New Roman"/>
        </w:rPr>
        <w:t>5</w:t>
      </w:r>
      <w:r>
        <w:rPr/>
        <w:t>、参与转融通证券出借业务风险</w:t>
      </w:r>
    </w:p>
    <w:p>
      <w:pPr>
        <w:pStyle w:val="BodyText"/>
        <w:spacing w:before="11"/>
        <w:rPr>
          <w:sz w:val="15"/>
        </w:rPr>
      </w:pPr>
    </w:p>
    <w:p>
      <w:pPr>
        <w:pStyle w:val="BodyText"/>
        <w:ind w:left="720"/>
      </w:pPr>
      <w:r>
        <w:rPr/>
        <w:t>本基金可参与转融通证券出借业务，面临的风险包括但不限于：</w:t>
      </w:r>
    </w:p>
    <w:p>
      <w:pPr>
        <w:pStyle w:val="BodyText"/>
        <w:spacing w:before="2"/>
        <w:rPr>
          <w:sz w:val="16"/>
        </w:rPr>
      </w:pPr>
    </w:p>
    <w:p>
      <w:pPr>
        <w:pStyle w:val="ListParagraph"/>
        <w:numPr>
          <w:ilvl w:val="0"/>
          <w:numId w:val="43"/>
        </w:numPr>
        <w:tabs>
          <w:tab w:pos="1250" w:val="left" w:leader="none"/>
        </w:tabs>
        <w:spacing w:line="240" w:lineRule="auto" w:before="0" w:after="0"/>
        <w:ind w:left="1249" w:right="0" w:hanging="530"/>
        <w:jc w:val="left"/>
        <w:rPr>
          <w:sz w:val="21"/>
        </w:rPr>
      </w:pPr>
      <w:r>
        <w:rPr>
          <w:spacing w:val="-3"/>
          <w:sz w:val="21"/>
        </w:rPr>
        <w:t>流动性风险</w:t>
      </w:r>
    </w:p>
    <w:p>
      <w:pPr>
        <w:pStyle w:val="BodyText"/>
        <w:spacing w:before="1"/>
        <w:rPr>
          <w:sz w:val="16"/>
        </w:rPr>
      </w:pPr>
    </w:p>
    <w:p>
      <w:pPr>
        <w:pStyle w:val="BodyText"/>
        <w:spacing w:line="424" w:lineRule="auto"/>
        <w:ind w:left="300" w:right="871" w:firstLine="419"/>
      </w:pPr>
      <w:r>
        <w:rPr>
          <w:spacing w:val="-10"/>
        </w:rPr>
        <w:t>面临大额赎回时，可能因证券出借原因，无法及时收回出借证券、无法及时变现支付赎</w:t>
      </w:r>
      <w:r>
        <w:rPr>
          <w:spacing w:val="-5"/>
        </w:rPr>
        <w:t>回对价的风险。</w:t>
      </w:r>
    </w:p>
    <w:p>
      <w:pPr>
        <w:pStyle w:val="ListParagraph"/>
        <w:numPr>
          <w:ilvl w:val="0"/>
          <w:numId w:val="43"/>
        </w:numPr>
        <w:tabs>
          <w:tab w:pos="1250" w:val="left" w:leader="none"/>
        </w:tabs>
        <w:spacing w:line="267" w:lineRule="exact" w:before="0" w:after="0"/>
        <w:ind w:left="1249" w:right="0" w:hanging="530"/>
        <w:jc w:val="left"/>
        <w:rPr>
          <w:sz w:val="21"/>
        </w:rPr>
      </w:pPr>
      <w:r>
        <w:rPr>
          <w:spacing w:val="-2"/>
          <w:sz w:val="21"/>
        </w:rPr>
        <w:t>信用风险</w:t>
      </w:r>
    </w:p>
    <w:p>
      <w:pPr>
        <w:pStyle w:val="BodyText"/>
        <w:spacing w:before="1"/>
        <w:rPr>
          <w:sz w:val="16"/>
        </w:rPr>
      </w:pPr>
    </w:p>
    <w:p>
      <w:pPr>
        <w:pStyle w:val="BodyText"/>
        <w:ind w:left="720"/>
      </w:pPr>
      <w:r>
        <w:rPr/>
        <w:t>证券出借对手方可能无法及时归还证券，无法支付相应权益补偿及借券费用的风险。</w:t>
      </w:r>
    </w:p>
    <w:p>
      <w:pPr>
        <w:pStyle w:val="BodyText"/>
        <w:spacing w:before="1"/>
        <w:rPr>
          <w:sz w:val="16"/>
        </w:rPr>
      </w:pPr>
    </w:p>
    <w:p>
      <w:pPr>
        <w:pStyle w:val="ListParagraph"/>
        <w:numPr>
          <w:ilvl w:val="0"/>
          <w:numId w:val="43"/>
        </w:numPr>
        <w:tabs>
          <w:tab w:pos="1250" w:val="left" w:leader="none"/>
        </w:tabs>
        <w:spacing w:line="240" w:lineRule="auto" w:before="1" w:after="0"/>
        <w:ind w:left="1249" w:right="0" w:hanging="530"/>
        <w:jc w:val="left"/>
        <w:rPr>
          <w:sz w:val="21"/>
        </w:rPr>
      </w:pPr>
      <w:r>
        <w:rPr>
          <w:spacing w:val="-2"/>
          <w:sz w:val="21"/>
        </w:rPr>
        <w:t>市场风险</w:t>
      </w:r>
    </w:p>
    <w:p>
      <w:pPr>
        <w:pStyle w:val="BodyText"/>
        <w:spacing w:before="3"/>
        <w:rPr>
          <w:sz w:val="16"/>
        </w:rPr>
      </w:pPr>
    </w:p>
    <w:p>
      <w:pPr>
        <w:pStyle w:val="BodyText"/>
        <w:ind w:left="720"/>
      </w:pPr>
      <w:r>
        <w:rPr/>
        <w:t>证券出借后，可能面临出借期间无法及时处置证券的市场风险。</w:t>
      </w:r>
    </w:p>
    <w:p>
      <w:pPr>
        <w:pStyle w:val="BodyText"/>
        <w:spacing w:before="1"/>
        <w:rPr>
          <w:sz w:val="16"/>
        </w:rPr>
      </w:pPr>
    </w:p>
    <w:p>
      <w:pPr>
        <w:pStyle w:val="BodyText"/>
        <w:spacing w:before="1"/>
        <w:ind w:left="720"/>
      </w:pPr>
      <w:r>
        <w:rPr>
          <w:rFonts w:ascii="Times New Roman" w:eastAsia="Times New Roman"/>
        </w:rPr>
        <w:t>6</w:t>
      </w:r>
      <w:r>
        <w:rPr/>
        <w:t>、流动性风险</w:t>
      </w:r>
    </w:p>
    <w:p>
      <w:pPr>
        <w:pStyle w:val="BodyText"/>
        <w:spacing w:before="1"/>
        <w:rPr>
          <w:sz w:val="16"/>
        </w:rPr>
      </w:pPr>
    </w:p>
    <w:p>
      <w:pPr>
        <w:pStyle w:val="BodyText"/>
        <w:spacing w:line="424" w:lineRule="auto"/>
        <w:ind w:left="300" w:right="871" w:firstLine="419"/>
      </w:pPr>
      <w:r>
        <w:rPr/>
        <w:t>在目标 </w:t>
      </w:r>
      <w:r>
        <w:rPr>
          <w:rFonts w:ascii="Times New Roman" w:eastAsia="Times New Roman"/>
        </w:rPr>
        <w:t>ETF </w:t>
      </w:r>
      <w:r>
        <w:rPr/>
        <w:t>暂停交易或者暂停申购、赎回或个股流动性不足的情况下，基金管理人可能无法迅速、低成本地调整基金投资组合，从而对基金收益造成不利影响。</w:t>
      </w:r>
    </w:p>
    <w:p>
      <w:pPr>
        <w:pStyle w:val="BodyText"/>
        <w:spacing w:line="424" w:lineRule="auto"/>
        <w:ind w:left="300" w:right="871" w:firstLine="419"/>
      </w:pPr>
      <w:r>
        <w:rPr>
          <w:spacing w:val="-9"/>
        </w:rPr>
        <w:t>由于开放式基金的特殊要求，本基金必须保持一定的现金比例以应付赎回要求，在管理</w:t>
      </w:r>
      <w:r>
        <w:rPr>
          <w:spacing w:val="-5"/>
        </w:rPr>
        <w:t>现金头寸时，有可能存在现金不足的风险或现金过多所导致的收益下降风险。</w:t>
      </w:r>
    </w:p>
    <w:p>
      <w:pPr>
        <w:pStyle w:val="BodyText"/>
        <w:spacing w:line="424" w:lineRule="auto"/>
        <w:ind w:left="300" w:right="871" w:firstLine="419"/>
        <w:jc w:val="both"/>
      </w:pPr>
      <w:r>
        <w:rPr>
          <w:spacing w:val="-11"/>
        </w:rPr>
        <w:t>在本基金发生流动性风险时，基金管理人可以综合利用备用的流动性风险管理工具以减</w:t>
      </w:r>
      <w:r>
        <w:rPr>
          <w:spacing w:val="-12"/>
        </w:rPr>
        <w:t>少或应对基金的流动性风险，投资者可能面临巨额赎回申请被延期办理、赎回申请被暂停接受、赎回款项被延缓支付、基金估值被暂停、基金采用摆动定价等风险。投资者应该了解自</w:t>
      </w:r>
      <w:r>
        <w:rPr>
          <w:spacing w:val="-6"/>
        </w:rPr>
        <w:t>身的流动性偏好，并评估是否与本基金的流动性风险匹配。</w:t>
      </w:r>
    </w:p>
    <w:p>
      <w:pPr>
        <w:pStyle w:val="ListParagraph"/>
        <w:numPr>
          <w:ilvl w:val="0"/>
          <w:numId w:val="44"/>
        </w:numPr>
        <w:tabs>
          <w:tab w:pos="1250" w:val="left" w:leader="none"/>
        </w:tabs>
        <w:spacing w:line="268" w:lineRule="exact" w:before="0" w:after="0"/>
        <w:ind w:left="1249" w:right="0" w:hanging="530"/>
        <w:jc w:val="left"/>
        <w:rPr>
          <w:sz w:val="21"/>
        </w:rPr>
      </w:pPr>
      <w:r>
        <w:rPr>
          <w:spacing w:val="-3"/>
          <w:sz w:val="21"/>
        </w:rPr>
        <w:t>基金申购、赎回安排</w:t>
      </w:r>
    </w:p>
    <w:p>
      <w:pPr>
        <w:pStyle w:val="BodyText"/>
        <w:spacing w:before="9"/>
        <w:rPr>
          <w:sz w:val="15"/>
        </w:rPr>
      </w:pPr>
    </w:p>
    <w:p>
      <w:pPr>
        <w:pStyle w:val="BodyText"/>
        <w:spacing w:line="424" w:lineRule="auto" w:before="1"/>
        <w:ind w:left="300" w:right="871" w:firstLine="419"/>
      </w:pPr>
      <w:r>
        <w:rPr>
          <w:spacing w:val="-9"/>
        </w:rPr>
        <w:t>投资人具体请参见基金合同“五、基金份额的申购与赎回”和本招募说明书“八、基金</w:t>
      </w:r>
      <w:r>
        <w:rPr>
          <w:spacing w:val="-13"/>
          <w:w w:val="100"/>
        </w:rPr>
        <w:t>份额的申购、赎回与转换”，详细了解本基金的申购以及赎回安排。</w:t>
      </w:r>
    </w:p>
    <w:p>
      <w:pPr>
        <w:pStyle w:val="ListParagraph"/>
        <w:numPr>
          <w:ilvl w:val="0"/>
          <w:numId w:val="44"/>
        </w:numPr>
        <w:tabs>
          <w:tab w:pos="1250" w:val="left" w:leader="none"/>
        </w:tabs>
        <w:spacing w:line="267" w:lineRule="exact" w:before="0" w:after="0"/>
        <w:ind w:left="1249" w:right="0" w:hanging="530"/>
        <w:jc w:val="left"/>
        <w:rPr>
          <w:sz w:val="21"/>
        </w:rPr>
      </w:pPr>
      <w:r>
        <w:rPr>
          <w:spacing w:val="-3"/>
          <w:sz w:val="21"/>
        </w:rPr>
        <w:t>拟投资市场、行业及资产的流动性风险评估</w:t>
      </w:r>
    </w:p>
    <w:p>
      <w:pPr>
        <w:pStyle w:val="BodyText"/>
        <w:rPr>
          <w:sz w:val="16"/>
        </w:rPr>
      </w:pPr>
    </w:p>
    <w:p>
      <w:pPr>
        <w:pStyle w:val="BodyText"/>
        <w:spacing w:line="424" w:lineRule="auto" w:before="1"/>
        <w:ind w:left="300" w:right="802" w:firstLine="419"/>
      </w:pPr>
      <w:r>
        <w:rPr/>
        <w:t>本基金为</w:t>
      </w:r>
      <w:r>
        <w:rPr>
          <w:rFonts w:ascii="Times New Roman" w:eastAsia="Times New Roman"/>
        </w:rPr>
        <w:t>ETF </w:t>
      </w:r>
      <w:r>
        <w:rPr/>
        <w:t>联接基金，投资于目标 </w:t>
      </w:r>
      <w:r>
        <w:rPr>
          <w:rFonts w:ascii="Times New Roman" w:eastAsia="Times New Roman"/>
        </w:rPr>
        <w:t>ETF </w:t>
      </w:r>
      <w:r>
        <w:rPr/>
        <w:t>的比例不低于基金资产净值的 </w:t>
      </w:r>
      <w:r>
        <w:rPr>
          <w:rFonts w:ascii="Times New Roman" w:eastAsia="Times New Roman"/>
        </w:rPr>
        <w:t>90%</w:t>
      </w:r>
      <w:r>
        <w:rPr/>
        <w:t>。本基金的目标 </w:t>
      </w:r>
      <w:r>
        <w:rPr>
          <w:rFonts w:ascii="Times New Roman" w:eastAsia="Times New Roman"/>
        </w:rPr>
        <w:t>ETF </w:t>
      </w:r>
      <w:r>
        <w:rPr/>
        <w:t>可以在二级市场上买卖，也可以根据申购赎回清单进行申购赎回，通常情况下</w:t>
      </w:r>
    </w:p>
    <w:p>
      <w:pPr>
        <w:spacing w:after="0" w:line="424" w:lineRule="auto"/>
        <w:sectPr>
          <w:pgSz w:w="11910" w:h="16840"/>
          <w:pgMar w:header="701" w:footer="683" w:top="1420" w:bottom="880" w:left="1500" w:right="920"/>
        </w:sectPr>
      </w:pPr>
    </w:p>
    <w:p>
      <w:pPr>
        <w:pStyle w:val="BodyText"/>
        <w:spacing w:line="424" w:lineRule="auto" w:before="115"/>
        <w:ind w:left="300" w:right="871"/>
        <w:jc w:val="both"/>
      </w:pPr>
      <w:r>
        <w:rPr>
          <w:spacing w:val="-4"/>
        </w:rPr>
        <w:t>流动性情况良好。但是在目标 </w:t>
      </w:r>
      <w:r>
        <w:rPr>
          <w:rFonts w:ascii="Times New Roman" w:eastAsia="Times New Roman"/>
        </w:rPr>
        <w:t>ETF </w:t>
      </w:r>
      <w:r>
        <w:rPr>
          <w:spacing w:val="-3"/>
        </w:rPr>
        <w:t>暂停交易或者暂停赎回或个股流动性不足等的特殊情况</w:t>
      </w:r>
      <w:r>
        <w:rPr>
          <w:spacing w:val="-10"/>
        </w:rPr>
        <w:t>下，基金管理人可能无法迅速、低成本地调整基金投资组合，可能会对基金赎回款项的支付</w:t>
      </w:r>
      <w:r>
        <w:rPr>
          <w:spacing w:val="-5"/>
        </w:rPr>
        <w:t>产生影响。</w:t>
      </w:r>
    </w:p>
    <w:p>
      <w:pPr>
        <w:pStyle w:val="ListParagraph"/>
        <w:numPr>
          <w:ilvl w:val="0"/>
          <w:numId w:val="44"/>
        </w:numPr>
        <w:tabs>
          <w:tab w:pos="1250" w:val="left" w:leader="none"/>
        </w:tabs>
        <w:spacing w:line="266" w:lineRule="exact" w:before="0" w:after="0"/>
        <w:ind w:left="1249" w:right="0" w:hanging="530"/>
        <w:jc w:val="left"/>
        <w:rPr>
          <w:sz w:val="21"/>
        </w:rPr>
      </w:pPr>
      <w:r>
        <w:rPr>
          <w:spacing w:val="-3"/>
          <w:sz w:val="21"/>
        </w:rPr>
        <w:t>巨额赎回情形下的流动性风险管理措施</w:t>
      </w:r>
    </w:p>
    <w:p>
      <w:pPr>
        <w:pStyle w:val="BodyText"/>
        <w:rPr>
          <w:sz w:val="16"/>
        </w:rPr>
      </w:pPr>
    </w:p>
    <w:p>
      <w:pPr>
        <w:pStyle w:val="BodyText"/>
        <w:spacing w:before="1"/>
        <w:ind w:left="720"/>
      </w:pPr>
      <w:r>
        <w:rPr/>
        <w:t>当本基金发生巨额赎回情形时，基金管理人可以采用以下流动性风险管理措施：</w:t>
      </w:r>
    </w:p>
    <w:p>
      <w:pPr>
        <w:pStyle w:val="BodyText"/>
        <w:spacing w:before="3"/>
        <w:rPr>
          <w:sz w:val="16"/>
        </w:rPr>
      </w:pPr>
    </w:p>
    <w:p>
      <w:pPr>
        <w:pStyle w:val="BodyText"/>
        <w:ind w:left="720"/>
      </w:pPr>
      <w:r>
        <w:rPr/>
        <w:t>①延期办理巨额赎回申请；</w:t>
      </w:r>
    </w:p>
    <w:p>
      <w:pPr>
        <w:pStyle w:val="BodyText"/>
        <w:spacing w:before="1"/>
        <w:rPr>
          <w:sz w:val="16"/>
        </w:rPr>
      </w:pPr>
    </w:p>
    <w:p>
      <w:pPr>
        <w:pStyle w:val="BodyText"/>
        <w:ind w:left="720"/>
      </w:pPr>
      <w:r>
        <w:rPr>
          <w:spacing w:val="-3"/>
        </w:rPr>
        <w:t>②暂停接受赎回申请；</w:t>
      </w:r>
    </w:p>
    <w:p>
      <w:pPr>
        <w:pStyle w:val="BodyText"/>
        <w:spacing w:before="2"/>
        <w:rPr>
          <w:sz w:val="16"/>
        </w:rPr>
      </w:pPr>
    </w:p>
    <w:p>
      <w:pPr>
        <w:pStyle w:val="BodyText"/>
        <w:ind w:left="720"/>
      </w:pPr>
      <w:r>
        <w:rPr>
          <w:spacing w:val="-3"/>
        </w:rPr>
        <w:t>③延缓支付赎回款项；</w:t>
      </w:r>
    </w:p>
    <w:p>
      <w:pPr>
        <w:pStyle w:val="BodyText"/>
        <w:spacing w:before="1"/>
        <w:rPr>
          <w:sz w:val="16"/>
        </w:rPr>
      </w:pPr>
    </w:p>
    <w:p>
      <w:pPr>
        <w:pStyle w:val="BodyText"/>
        <w:ind w:left="720"/>
      </w:pPr>
      <w:r>
        <w:rPr/>
        <w:t>④摆动定价；</w:t>
      </w:r>
    </w:p>
    <w:p>
      <w:pPr>
        <w:pStyle w:val="BodyText"/>
        <w:spacing w:before="1"/>
        <w:rPr>
          <w:sz w:val="16"/>
        </w:rPr>
      </w:pPr>
    </w:p>
    <w:p>
      <w:pPr>
        <w:pStyle w:val="BodyText"/>
        <w:ind w:left="720"/>
      </w:pPr>
      <w:r>
        <w:rPr/>
        <w:t>⑤中国证监会认定的其他措施。</w:t>
      </w:r>
    </w:p>
    <w:p>
      <w:pPr>
        <w:pStyle w:val="BodyText"/>
        <w:spacing w:before="1"/>
        <w:rPr>
          <w:sz w:val="16"/>
        </w:rPr>
      </w:pPr>
    </w:p>
    <w:p>
      <w:pPr>
        <w:pStyle w:val="ListParagraph"/>
        <w:numPr>
          <w:ilvl w:val="0"/>
          <w:numId w:val="44"/>
        </w:numPr>
        <w:tabs>
          <w:tab w:pos="1250" w:val="left" w:leader="none"/>
        </w:tabs>
        <w:spacing w:line="240" w:lineRule="auto" w:before="0" w:after="0"/>
        <w:ind w:left="1249" w:right="0" w:hanging="530"/>
        <w:jc w:val="left"/>
        <w:rPr>
          <w:sz w:val="21"/>
        </w:rPr>
      </w:pPr>
      <w:r>
        <w:rPr>
          <w:spacing w:val="-3"/>
          <w:sz w:val="21"/>
        </w:rPr>
        <w:t>实施备用的流动性风险管理工具的情形、程序及对投资者的潜在影响</w:t>
      </w:r>
    </w:p>
    <w:p>
      <w:pPr>
        <w:pStyle w:val="BodyText"/>
        <w:spacing w:before="1"/>
        <w:rPr>
          <w:sz w:val="16"/>
        </w:rPr>
      </w:pPr>
    </w:p>
    <w:p>
      <w:pPr>
        <w:pStyle w:val="BodyText"/>
        <w:spacing w:line="424" w:lineRule="auto" w:before="1"/>
        <w:ind w:left="300" w:right="87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720"/>
      </w:pPr>
      <w:r>
        <w:rPr/>
        <w:t>①延期办理巨额赎回申请</w:t>
      </w:r>
    </w:p>
    <w:p>
      <w:pPr>
        <w:pStyle w:val="BodyText"/>
        <w:spacing w:before="1"/>
        <w:rPr>
          <w:sz w:val="16"/>
        </w:rPr>
      </w:pPr>
    </w:p>
    <w:p>
      <w:pPr>
        <w:pStyle w:val="BodyText"/>
        <w:spacing w:line="424" w:lineRule="auto"/>
        <w:ind w:left="300" w:right="871" w:firstLine="419"/>
      </w:pPr>
      <w:r>
        <w:rPr>
          <w:spacing w:val="-12"/>
        </w:rPr>
        <w:t>当基金出现巨额赎回时，基金管理人可以根据基金当时的资产组合状况决定全额赎回或</w:t>
      </w:r>
      <w:r>
        <w:rPr>
          <w:spacing w:val="-6"/>
        </w:rPr>
        <w:t>部分延期赎回。</w:t>
      </w:r>
    </w:p>
    <w:p>
      <w:pPr>
        <w:pStyle w:val="BodyText"/>
        <w:spacing w:line="424" w:lineRule="auto"/>
        <w:ind w:left="300" w:right="87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spacing w:line="267" w:lineRule="exact"/>
        <w:ind w:left="720"/>
      </w:pPr>
      <w:r>
        <w:rPr/>
        <w:t>②暂停接受赎回申请</w:t>
      </w:r>
    </w:p>
    <w:p>
      <w:pPr>
        <w:pStyle w:val="BodyText"/>
        <w:spacing w:before="11"/>
        <w:rPr>
          <w:sz w:val="15"/>
        </w:rPr>
      </w:pPr>
    </w:p>
    <w:p>
      <w:pPr>
        <w:pStyle w:val="BodyText"/>
        <w:spacing w:line="424" w:lineRule="auto" w:before="1"/>
        <w:ind w:left="300" w:right="871" w:firstLine="419"/>
        <w:jc w:val="both"/>
      </w:pPr>
      <w:r>
        <w:rPr>
          <w:spacing w:val="-7"/>
          <w:w w:val="100"/>
        </w:rPr>
        <w:t>投资人具体请参见基金合同“五、基金份额的申购与赎回”中的“</w:t>
      </w:r>
      <w:r>
        <w:rPr>
          <w:w w:val="100"/>
        </w:rPr>
        <w:t>（十</w:t>
      </w:r>
      <w:r>
        <w:rPr>
          <w:spacing w:val="-3"/>
          <w:w w:val="100"/>
        </w:rPr>
        <w:t>）暂停赎回或者</w:t>
      </w:r>
      <w:r>
        <w:rPr>
          <w:spacing w:val="-13"/>
          <w:w w:val="100"/>
        </w:rPr>
        <w:t>延缓支付赎回款项的情形及处理方式”和“</w:t>
      </w:r>
      <w:r>
        <w:rPr>
          <w:w w:val="100"/>
        </w:rPr>
        <w:t>（</w:t>
      </w:r>
      <w:r>
        <w:rPr>
          <w:spacing w:val="-2"/>
          <w:w w:val="100"/>
        </w:rPr>
        <w:t>十一</w:t>
      </w:r>
      <w:r>
        <w:rPr>
          <w:spacing w:val="-27"/>
          <w:w w:val="100"/>
        </w:rPr>
        <w:t>）</w:t>
      </w:r>
      <w:r>
        <w:rPr>
          <w:spacing w:val="-13"/>
          <w:w w:val="100"/>
        </w:rPr>
        <w:t>巨额赎回的情形及处理方式”，详细了解</w:t>
      </w:r>
      <w:r>
        <w:rPr>
          <w:spacing w:val="-6"/>
        </w:rPr>
        <w:t>本基金暂停接受赎回申请的情形及程序。</w:t>
      </w:r>
    </w:p>
    <w:p>
      <w:pPr>
        <w:pStyle w:val="BodyText"/>
        <w:spacing w:line="424" w:lineRule="auto"/>
        <w:ind w:left="300" w:right="87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line="267" w:lineRule="exact"/>
        <w:ind w:left="720"/>
      </w:pPr>
      <w:r>
        <w:rPr/>
        <w:t>③延缓支付赎回款项</w:t>
      </w:r>
    </w:p>
    <w:p>
      <w:pPr>
        <w:pStyle w:val="BodyText"/>
        <w:rPr>
          <w:sz w:val="16"/>
        </w:rPr>
      </w:pPr>
    </w:p>
    <w:p>
      <w:pPr>
        <w:pStyle w:val="BodyText"/>
        <w:spacing w:line="424" w:lineRule="auto" w:before="1"/>
        <w:ind w:left="300" w:right="871" w:firstLine="419"/>
        <w:jc w:val="both"/>
      </w:pPr>
      <w:r>
        <w:rPr>
          <w:spacing w:val="-7"/>
          <w:w w:val="100"/>
        </w:rPr>
        <w:t>投资人具体请参见基金合同“五、基金份额的申购与赎回”中的“</w:t>
      </w:r>
      <w:r>
        <w:rPr>
          <w:w w:val="100"/>
        </w:rPr>
        <w:t>（十</w:t>
      </w:r>
      <w:r>
        <w:rPr>
          <w:spacing w:val="-3"/>
          <w:w w:val="100"/>
        </w:rPr>
        <w:t>）暂停赎回或者</w:t>
      </w:r>
      <w:r>
        <w:rPr>
          <w:spacing w:val="-13"/>
          <w:w w:val="100"/>
        </w:rPr>
        <w:t>延缓支付赎回款项的情形及处理方式”和“</w:t>
      </w:r>
      <w:r>
        <w:rPr>
          <w:w w:val="100"/>
        </w:rPr>
        <w:t>（</w:t>
      </w:r>
      <w:r>
        <w:rPr>
          <w:spacing w:val="-2"/>
          <w:w w:val="100"/>
        </w:rPr>
        <w:t>十一</w:t>
      </w:r>
      <w:r>
        <w:rPr>
          <w:spacing w:val="-27"/>
          <w:w w:val="100"/>
        </w:rPr>
        <w:t>）</w:t>
      </w:r>
      <w:r>
        <w:rPr>
          <w:spacing w:val="-13"/>
          <w:w w:val="100"/>
        </w:rPr>
        <w:t>巨额赎回的情形及处理方式”，详细了解</w:t>
      </w:r>
      <w:r>
        <w:rPr>
          <w:spacing w:val="-6"/>
        </w:rPr>
        <w:t>本基金延缓支付赎回款项的情形及程序。</w:t>
      </w:r>
    </w:p>
    <w:p>
      <w:pPr>
        <w:spacing w:after="0" w:line="424" w:lineRule="auto"/>
        <w:jc w:val="both"/>
        <w:sectPr>
          <w:pgSz w:w="11910" w:h="16840"/>
          <w:pgMar w:header="701" w:footer="683" w:top="1420" w:bottom="880" w:left="1500" w:right="920"/>
        </w:sectPr>
      </w:pPr>
    </w:p>
    <w:p>
      <w:pPr>
        <w:pStyle w:val="BodyText"/>
        <w:spacing w:before="115"/>
        <w:ind w:left="720"/>
      </w:pPr>
      <w:r>
        <w:rPr/>
        <w:t>在此情形下，投资人接收赎回款项的时间将可能比一般正常情形下有所延迟。</w:t>
      </w:r>
    </w:p>
    <w:p>
      <w:pPr>
        <w:pStyle w:val="BodyText"/>
        <w:rPr>
          <w:sz w:val="16"/>
        </w:rPr>
      </w:pPr>
    </w:p>
    <w:p>
      <w:pPr>
        <w:pStyle w:val="BodyText"/>
        <w:spacing w:before="1"/>
        <w:ind w:left="720"/>
      </w:pPr>
      <w:r>
        <w:rPr/>
        <w:t>④暂停基金估值</w:t>
      </w:r>
    </w:p>
    <w:p>
      <w:pPr>
        <w:pStyle w:val="BodyText"/>
        <w:spacing w:before="1"/>
        <w:rPr>
          <w:sz w:val="16"/>
        </w:rPr>
      </w:pPr>
    </w:p>
    <w:p>
      <w:pPr>
        <w:pStyle w:val="BodyText"/>
        <w:spacing w:line="424" w:lineRule="auto"/>
        <w:ind w:left="300" w:right="872" w:firstLine="419"/>
      </w:pPr>
      <w:r>
        <w:rPr>
          <w:spacing w:val="-12"/>
          <w:w w:val="100"/>
        </w:rPr>
        <w:t>投资人具体请参见基金合同“十三、基金资产估值”中的“</w:t>
      </w:r>
      <w:r>
        <w:rPr>
          <w:spacing w:val="-3"/>
          <w:w w:val="100"/>
        </w:rPr>
        <w:t>（</w:t>
      </w:r>
      <w:r>
        <w:rPr>
          <w:w w:val="100"/>
        </w:rPr>
        <w:t>七</w:t>
      </w:r>
      <w:r>
        <w:rPr>
          <w:spacing w:val="-17"/>
          <w:w w:val="100"/>
        </w:rPr>
        <w:t>）</w:t>
      </w:r>
      <w:r>
        <w:rPr>
          <w:spacing w:val="-16"/>
          <w:w w:val="100"/>
        </w:rPr>
        <w:t>暂停估值的情形”，详</w:t>
      </w:r>
      <w:r>
        <w:rPr>
          <w:spacing w:val="-7"/>
        </w:rPr>
        <w:t>细了解本基金暂停估值的情形及程序。</w:t>
      </w:r>
    </w:p>
    <w:p>
      <w:pPr>
        <w:pStyle w:val="BodyText"/>
        <w:spacing w:line="267" w:lineRule="exact"/>
        <w:ind w:left="720"/>
      </w:pPr>
      <w:r>
        <w:rPr/>
        <w:t>在此情形下，投资人没有可供参考的基金份额净值，基金申购赎回申请或被暂停。</w:t>
      </w:r>
    </w:p>
    <w:p>
      <w:pPr>
        <w:pStyle w:val="BodyText"/>
        <w:spacing w:before="3"/>
        <w:rPr>
          <w:sz w:val="16"/>
        </w:rPr>
      </w:pPr>
    </w:p>
    <w:p>
      <w:pPr>
        <w:pStyle w:val="BodyText"/>
        <w:ind w:left="720"/>
      </w:pPr>
      <w:r>
        <w:rPr/>
        <w:t>⑤收取短期赎回费</w:t>
      </w:r>
    </w:p>
    <w:p>
      <w:pPr>
        <w:pStyle w:val="BodyText"/>
        <w:spacing w:before="1"/>
        <w:rPr>
          <w:sz w:val="16"/>
        </w:rPr>
      </w:pPr>
    </w:p>
    <w:p>
      <w:pPr>
        <w:pStyle w:val="BodyText"/>
        <w:spacing w:line="424" w:lineRule="auto"/>
        <w:ind w:left="300" w:right="808" w:firstLine="419"/>
      </w:pPr>
      <w:r>
        <w:rPr/>
        <w:t>本基金对持续持有期少于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line="268" w:lineRule="exact"/>
        <w:ind w:left="720"/>
      </w:pPr>
      <w:r>
        <w:rPr>
          <w:spacing w:val="-1"/>
        </w:rPr>
        <w:t>⑥摆动定价</w:t>
      </w:r>
    </w:p>
    <w:p>
      <w:pPr>
        <w:pStyle w:val="BodyText"/>
        <w:spacing w:before="1"/>
        <w:rPr>
          <w:sz w:val="16"/>
        </w:rPr>
      </w:pPr>
    </w:p>
    <w:p>
      <w:pPr>
        <w:pStyle w:val="BodyText"/>
        <w:spacing w:line="424" w:lineRule="auto" w:before="1"/>
        <w:ind w:left="300" w:right="871" w:firstLine="419"/>
      </w:pPr>
      <w:r>
        <w:rPr>
          <w:spacing w:val="-8"/>
        </w:rPr>
        <w:t>当本基金发生大额申购或赎回情形时，基金管理人可以采用摆动定价机制，以确保基金</w:t>
      </w:r>
      <w:r>
        <w:rPr>
          <w:spacing w:val="-5"/>
        </w:rPr>
        <w:t>估值的公平性。</w:t>
      </w:r>
    </w:p>
    <w:p>
      <w:pPr>
        <w:pStyle w:val="BodyText"/>
        <w:spacing w:line="424" w:lineRule="auto"/>
        <w:ind w:left="300" w:right="76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line="268" w:lineRule="exact"/>
        <w:ind w:left="720"/>
      </w:pPr>
      <w:r>
        <w:rPr/>
        <w:t>⑦中国证监会认定的其他措施。</w:t>
      </w:r>
    </w:p>
    <w:p>
      <w:pPr>
        <w:pStyle w:val="BodyText"/>
        <w:spacing w:before="11"/>
        <w:rPr>
          <w:sz w:val="15"/>
        </w:rPr>
      </w:pPr>
    </w:p>
    <w:p>
      <w:pPr>
        <w:pStyle w:val="BodyText"/>
        <w:ind w:left="720"/>
      </w:pPr>
      <w:r>
        <w:rPr>
          <w:rFonts w:ascii="Times New Roman" w:eastAsia="Times New Roman"/>
        </w:rPr>
        <w:t>7</w:t>
      </w:r>
      <w:r>
        <w:rPr/>
        <w:t>、操作或技术风险</w:t>
      </w:r>
    </w:p>
    <w:p>
      <w:pPr>
        <w:pStyle w:val="BodyText"/>
        <w:spacing w:before="1"/>
        <w:rPr>
          <w:sz w:val="16"/>
        </w:rPr>
      </w:pPr>
    </w:p>
    <w:p>
      <w:pPr>
        <w:pStyle w:val="BodyText"/>
        <w:spacing w:line="424" w:lineRule="auto" w:before="1"/>
        <w:ind w:left="300" w:right="871" w:firstLine="419"/>
        <w:jc w:val="both"/>
      </w:pPr>
      <w:r>
        <w:rPr>
          <w:spacing w:val="-9"/>
        </w:rPr>
        <w:t>相关当事人在业务各环节操作过程中，因内部控制存在缺陷或者人为因素造成操作失误</w:t>
      </w:r>
      <w:r>
        <w:rPr>
          <w:spacing w:val="-7"/>
        </w:rPr>
        <w:t>或违反操作规程等引致的风险，例如，越权违规交易、会计部门欺诈、交易错误、</w:t>
      </w:r>
      <w:r>
        <w:rPr>
          <w:rFonts w:ascii="Times New Roman" w:eastAsia="Times New Roman"/>
        </w:rPr>
        <w:t>IT </w:t>
      </w:r>
      <w:r>
        <w:rPr/>
        <w:t>系统</w:t>
      </w:r>
      <w:r>
        <w:rPr>
          <w:spacing w:val="-2"/>
        </w:rPr>
        <w:t>故障等风险。</w:t>
      </w:r>
    </w:p>
    <w:p>
      <w:pPr>
        <w:pStyle w:val="BodyText"/>
        <w:spacing w:line="424" w:lineRule="auto"/>
        <w:ind w:left="300" w:right="76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登记结算机构、销售机构、证券交易所、证券登记结算机构等。</w:t>
      </w:r>
    </w:p>
    <w:p>
      <w:pPr>
        <w:pStyle w:val="BodyText"/>
        <w:spacing w:line="424" w:lineRule="auto"/>
        <w:ind w:left="300" w:right="87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spacing w:line="266" w:lineRule="exact"/>
        <w:ind w:left="720"/>
      </w:pPr>
      <w:r>
        <w:rPr>
          <w:rFonts w:ascii="Times New Roman" w:eastAsia="Times New Roman"/>
        </w:rPr>
        <w:t>8</w:t>
      </w:r>
      <w:r>
        <w:rPr/>
        <w:t>、政策变更风险</w:t>
      </w:r>
    </w:p>
    <w:p>
      <w:pPr>
        <w:pStyle w:val="BodyText"/>
        <w:spacing w:before="10"/>
        <w:rPr>
          <w:sz w:val="15"/>
        </w:rPr>
      </w:pPr>
    </w:p>
    <w:p>
      <w:pPr>
        <w:pStyle w:val="BodyText"/>
        <w:spacing w:line="424" w:lineRule="auto"/>
        <w:ind w:left="300" w:right="871" w:firstLine="419"/>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p>
    <w:p>
      <w:pPr>
        <w:spacing w:after="0" w:line="424" w:lineRule="auto"/>
        <w:sectPr>
          <w:pgSz w:w="11910" w:h="16840"/>
          <w:pgMar w:header="701" w:footer="683" w:top="1420" w:bottom="880" w:left="1500" w:right="920"/>
        </w:sectPr>
      </w:pPr>
    </w:p>
    <w:p>
      <w:pPr>
        <w:pStyle w:val="BodyText"/>
        <w:spacing w:line="424" w:lineRule="auto" w:before="115"/>
        <w:ind w:left="300" w:right="871"/>
      </w:pPr>
      <w:r>
        <w:rPr>
          <w:spacing w:val="-11"/>
        </w:rPr>
        <w:t>引起基金净值波动的风险、相关法规的修改导致基金投资范围变化基金管理人为调整投资组</w:t>
      </w:r>
      <w:r>
        <w:rPr>
          <w:spacing w:val="-6"/>
        </w:rPr>
        <w:t>合而引起基金净值波动的风险等。</w:t>
      </w:r>
    </w:p>
    <w:p>
      <w:pPr>
        <w:pStyle w:val="BodyText"/>
        <w:spacing w:line="267" w:lineRule="exact"/>
        <w:ind w:left="720"/>
      </w:pPr>
      <w:r>
        <w:rPr>
          <w:rFonts w:ascii="Times New Roman" w:eastAsia="Times New Roman"/>
        </w:rPr>
        <w:t>9</w:t>
      </w:r>
      <w:r>
        <w:rPr/>
        <w:t>、其他风险</w:t>
      </w:r>
    </w:p>
    <w:p>
      <w:pPr>
        <w:pStyle w:val="BodyText"/>
        <w:rPr>
          <w:sz w:val="16"/>
        </w:rPr>
      </w:pPr>
    </w:p>
    <w:p>
      <w:pPr>
        <w:pStyle w:val="BodyText"/>
        <w:spacing w:line="424" w:lineRule="auto" w:before="1"/>
        <w:ind w:left="300" w:right="87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spacing w:line="268" w:lineRule="exact"/>
        <w:ind w:left="720"/>
      </w:pPr>
      <w:r>
        <w:rPr/>
        <w:t>（二）声明</w:t>
      </w:r>
    </w:p>
    <w:p>
      <w:pPr>
        <w:pStyle w:val="BodyText"/>
        <w:spacing w:before="1"/>
        <w:rPr>
          <w:sz w:val="16"/>
        </w:rPr>
      </w:pPr>
    </w:p>
    <w:p>
      <w:pPr>
        <w:pStyle w:val="BodyText"/>
        <w:spacing w:line="424" w:lineRule="auto"/>
        <w:ind w:left="300" w:right="874" w:firstLine="419"/>
      </w:pPr>
      <w:r>
        <w:rPr>
          <w:rFonts w:ascii="Times New Roman" w:eastAsia="Times New Roman"/>
        </w:rPr>
        <w:t>1</w:t>
      </w:r>
      <w:r>
        <w:rPr/>
        <w:t>、本基金未经任何一级政府、机构及部门担保。投资者自愿投资于本基金，须自行承担投资风险。</w:t>
      </w:r>
    </w:p>
    <w:p>
      <w:pPr>
        <w:pStyle w:val="BodyText"/>
        <w:spacing w:line="424" w:lineRule="auto"/>
        <w:ind w:left="300" w:right="87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24" w:lineRule="auto"/>
        <w:ind w:left="300" w:right="87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10"/>
        </w:rPr>
        <w:t>金管理人提醒投资者基金投资的“买者自负”原则，在做出投资决策后，基金运营状况与基</w:t>
      </w:r>
      <w:r>
        <w:rPr>
          <w:spacing w:val="-5"/>
        </w:rPr>
        <w:t>金净值变化引致的投资风险，由投资者自行负担。</w:t>
      </w:r>
    </w:p>
    <w:p>
      <w:pPr>
        <w:pStyle w:val="BodyText"/>
        <w:spacing w:before="4"/>
        <w:rPr>
          <w:sz w:val="24"/>
        </w:rPr>
      </w:pPr>
    </w:p>
    <w:p>
      <w:pPr>
        <w:pStyle w:val="Heading1"/>
        <w:ind w:left="1922" w:right="0"/>
        <w:jc w:val="left"/>
      </w:pPr>
      <w:bookmarkStart w:name="_bookmark18" w:id="19"/>
      <w:bookmarkEnd w:id="19"/>
      <w:r>
        <w:rPr>
          <w:b w:val="0"/>
        </w:rPr>
      </w:r>
      <w:r>
        <w:rPr/>
        <w:t>十九、基金合同的变更、终止与基金财产的清算</w:t>
      </w:r>
    </w:p>
    <w:p>
      <w:pPr>
        <w:pStyle w:val="BodyText"/>
        <w:rPr>
          <w:b/>
          <w:sz w:val="24"/>
        </w:rPr>
      </w:pPr>
    </w:p>
    <w:p>
      <w:pPr>
        <w:pStyle w:val="BodyText"/>
        <w:spacing w:before="212"/>
        <w:ind w:left="720"/>
      </w:pPr>
      <w:r>
        <w:rPr/>
        <w:t>（一</w:t>
      </w:r>
      <w:r>
        <w:rPr>
          <w:spacing w:val="-108"/>
        </w:rPr>
        <w:t>）</w:t>
      </w:r>
      <w:r>
        <w:rPr>
          <w:spacing w:val="-3"/>
        </w:rPr>
        <w:t>《基金合同》的变更</w:t>
      </w:r>
    </w:p>
    <w:p>
      <w:pPr>
        <w:pStyle w:val="BodyText"/>
        <w:spacing w:before="1"/>
        <w:rPr>
          <w:sz w:val="16"/>
        </w:rPr>
      </w:pPr>
    </w:p>
    <w:p>
      <w:pPr>
        <w:pStyle w:val="BodyText"/>
        <w:ind w:left="720"/>
      </w:pPr>
      <w:r>
        <w:rPr>
          <w:rFonts w:ascii="Times New Roman" w:eastAsia="Times New Roman"/>
        </w:rPr>
        <w:t>1</w:t>
      </w:r>
      <w:r>
        <w:rPr/>
        <w:t>、以下变更《基金合同》的事项应经基金份额持有人大会决议通过：</w:t>
      </w:r>
    </w:p>
    <w:p>
      <w:pPr>
        <w:pStyle w:val="BodyText"/>
        <w:spacing w:before="2"/>
        <w:rPr>
          <w:sz w:val="16"/>
        </w:rPr>
      </w:pPr>
    </w:p>
    <w:p>
      <w:pPr>
        <w:pStyle w:val="ListParagraph"/>
        <w:numPr>
          <w:ilvl w:val="0"/>
          <w:numId w:val="45"/>
        </w:numPr>
        <w:tabs>
          <w:tab w:pos="1250" w:val="left" w:leader="none"/>
        </w:tabs>
        <w:spacing w:line="240" w:lineRule="auto" w:before="0" w:after="0"/>
        <w:ind w:left="1249" w:right="0" w:hanging="530"/>
        <w:jc w:val="left"/>
        <w:rPr>
          <w:sz w:val="21"/>
        </w:rPr>
      </w:pPr>
      <w:r>
        <w:rPr>
          <w:spacing w:val="-3"/>
          <w:sz w:val="21"/>
        </w:rPr>
        <w:t>更换基金管理人。</w:t>
      </w:r>
    </w:p>
    <w:p>
      <w:pPr>
        <w:pStyle w:val="BodyText"/>
        <w:spacing w:before="3"/>
        <w:rPr>
          <w:sz w:val="16"/>
        </w:rPr>
      </w:pPr>
    </w:p>
    <w:p>
      <w:pPr>
        <w:pStyle w:val="ListParagraph"/>
        <w:numPr>
          <w:ilvl w:val="0"/>
          <w:numId w:val="45"/>
        </w:numPr>
        <w:tabs>
          <w:tab w:pos="1250" w:val="left" w:leader="none"/>
        </w:tabs>
        <w:spacing w:line="240" w:lineRule="auto" w:before="1" w:after="0"/>
        <w:ind w:left="1249" w:right="0" w:hanging="530"/>
        <w:jc w:val="left"/>
        <w:rPr>
          <w:sz w:val="21"/>
        </w:rPr>
      </w:pPr>
      <w:r>
        <w:rPr>
          <w:spacing w:val="-3"/>
          <w:sz w:val="21"/>
        </w:rPr>
        <w:t>更换基金托管人。</w:t>
      </w:r>
    </w:p>
    <w:p>
      <w:pPr>
        <w:pStyle w:val="BodyText"/>
        <w:rPr>
          <w:sz w:val="16"/>
        </w:rPr>
      </w:pPr>
    </w:p>
    <w:p>
      <w:pPr>
        <w:pStyle w:val="ListParagraph"/>
        <w:numPr>
          <w:ilvl w:val="0"/>
          <w:numId w:val="45"/>
        </w:numPr>
        <w:tabs>
          <w:tab w:pos="1250" w:val="left" w:leader="none"/>
        </w:tabs>
        <w:spacing w:line="240" w:lineRule="auto" w:before="1" w:after="0"/>
        <w:ind w:left="1249" w:right="0" w:hanging="530"/>
        <w:jc w:val="left"/>
        <w:rPr>
          <w:sz w:val="21"/>
        </w:rPr>
      </w:pPr>
      <w:r>
        <w:rPr>
          <w:spacing w:val="-3"/>
          <w:sz w:val="21"/>
        </w:rPr>
        <w:t>转换基金运作方式（法律法规、基金合同和中国证监会另有规定的除外</w:t>
      </w:r>
      <w:r>
        <w:rPr>
          <w:spacing w:val="-108"/>
          <w:sz w:val="21"/>
        </w:rPr>
        <w:t>）</w:t>
      </w:r>
      <w:r>
        <w:rPr>
          <w:sz w:val="21"/>
        </w:rPr>
        <w:t>。</w:t>
      </w:r>
    </w:p>
    <w:p>
      <w:pPr>
        <w:pStyle w:val="BodyText"/>
        <w:spacing w:before="1"/>
        <w:rPr>
          <w:sz w:val="16"/>
        </w:rPr>
      </w:pPr>
    </w:p>
    <w:p>
      <w:pPr>
        <w:pStyle w:val="ListParagraph"/>
        <w:numPr>
          <w:ilvl w:val="0"/>
          <w:numId w:val="45"/>
        </w:numPr>
        <w:tabs>
          <w:tab w:pos="1250" w:val="left" w:leader="none"/>
        </w:tabs>
        <w:spacing w:line="424" w:lineRule="auto" w:before="0" w:after="0"/>
        <w:ind w:left="300" w:right="874" w:firstLine="419"/>
        <w:jc w:val="left"/>
        <w:rPr>
          <w:sz w:val="21"/>
        </w:rPr>
      </w:pPr>
      <w:r>
        <w:rPr>
          <w:spacing w:val="-3"/>
          <w:sz w:val="21"/>
        </w:rPr>
        <w:t>提高基金管理人、基金托管人的报酬标准，但根据法律法规的要求提高该等报酬标准的除外。</w:t>
      </w:r>
    </w:p>
    <w:p>
      <w:pPr>
        <w:pStyle w:val="ListParagraph"/>
        <w:numPr>
          <w:ilvl w:val="0"/>
          <w:numId w:val="45"/>
        </w:numPr>
        <w:tabs>
          <w:tab w:pos="1250" w:val="left" w:leader="none"/>
        </w:tabs>
        <w:spacing w:line="267" w:lineRule="exact" w:before="0" w:after="0"/>
        <w:ind w:left="1249" w:right="0" w:hanging="530"/>
        <w:jc w:val="left"/>
        <w:rPr>
          <w:sz w:val="21"/>
        </w:rPr>
      </w:pPr>
      <w:r>
        <w:rPr>
          <w:spacing w:val="-3"/>
          <w:sz w:val="21"/>
        </w:rPr>
        <w:t>变更基金类别。</w:t>
      </w:r>
    </w:p>
    <w:p>
      <w:pPr>
        <w:pStyle w:val="BodyText"/>
        <w:spacing w:before="1"/>
        <w:rPr>
          <w:sz w:val="16"/>
        </w:rPr>
      </w:pPr>
    </w:p>
    <w:p>
      <w:pPr>
        <w:pStyle w:val="ListParagraph"/>
        <w:numPr>
          <w:ilvl w:val="0"/>
          <w:numId w:val="45"/>
        </w:numPr>
        <w:tabs>
          <w:tab w:pos="1250" w:val="left" w:leader="none"/>
        </w:tabs>
        <w:spacing w:line="424" w:lineRule="auto" w:before="0" w:after="0"/>
        <w:ind w:left="300" w:right="874" w:firstLine="419"/>
        <w:jc w:val="left"/>
        <w:rPr>
          <w:sz w:val="21"/>
        </w:rPr>
      </w:pPr>
      <w:r>
        <w:rPr>
          <w:spacing w:val="-3"/>
          <w:sz w:val="21"/>
        </w:rPr>
        <w:t>变更基金投资目标、范围或策略（法律法规、基金合同和中国证监会另有规定的除外</w:t>
      </w:r>
      <w:r>
        <w:rPr>
          <w:spacing w:val="-108"/>
          <w:sz w:val="21"/>
        </w:rPr>
        <w:t>）</w:t>
      </w:r>
      <w:r>
        <w:rPr>
          <w:sz w:val="21"/>
        </w:rPr>
        <w:t>。</w:t>
      </w:r>
    </w:p>
    <w:p>
      <w:pPr>
        <w:pStyle w:val="ListParagraph"/>
        <w:numPr>
          <w:ilvl w:val="0"/>
          <w:numId w:val="45"/>
        </w:numPr>
        <w:tabs>
          <w:tab w:pos="1250" w:val="left" w:leader="none"/>
        </w:tabs>
        <w:spacing w:line="267" w:lineRule="exact" w:before="0" w:after="0"/>
        <w:ind w:left="1249" w:right="0" w:hanging="530"/>
        <w:jc w:val="left"/>
        <w:rPr>
          <w:sz w:val="21"/>
        </w:rPr>
      </w:pPr>
      <w:r>
        <w:rPr>
          <w:spacing w:val="-3"/>
          <w:sz w:val="21"/>
        </w:rPr>
        <w:t>变更基金份额持有人大会召开程序。</w:t>
      </w:r>
    </w:p>
    <w:p>
      <w:pPr>
        <w:spacing w:after="0" w:line="267" w:lineRule="exact"/>
        <w:jc w:val="left"/>
        <w:rPr>
          <w:sz w:val="21"/>
        </w:rPr>
        <w:sectPr>
          <w:pgSz w:w="11910" w:h="16840"/>
          <w:pgMar w:header="701" w:footer="683" w:top="1420" w:bottom="880" w:left="1500" w:right="920"/>
        </w:sectPr>
      </w:pPr>
    </w:p>
    <w:p>
      <w:pPr>
        <w:pStyle w:val="ListParagraph"/>
        <w:numPr>
          <w:ilvl w:val="0"/>
          <w:numId w:val="45"/>
        </w:numPr>
        <w:tabs>
          <w:tab w:pos="1250" w:val="left" w:leader="none"/>
        </w:tabs>
        <w:spacing w:line="240" w:lineRule="auto" w:before="115" w:after="0"/>
        <w:ind w:left="1249" w:right="0" w:hanging="530"/>
        <w:jc w:val="left"/>
        <w:rPr>
          <w:sz w:val="21"/>
        </w:rPr>
      </w:pPr>
      <w:r>
        <w:rPr>
          <w:spacing w:val="-15"/>
          <w:sz w:val="21"/>
        </w:rPr>
        <w:t>终止《基金合同》。</w:t>
      </w:r>
    </w:p>
    <w:p>
      <w:pPr>
        <w:pStyle w:val="BodyText"/>
        <w:rPr>
          <w:sz w:val="16"/>
        </w:rPr>
      </w:pPr>
    </w:p>
    <w:p>
      <w:pPr>
        <w:pStyle w:val="ListParagraph"/>
        <w:numPr>
          <w:ilvl w:val="0"/>
          <w:numId w:val="45"/>
        </w:numPr>
        <w:tabs>
          <w:tab w:pos="1250" w:val="left" w:leader="none"/>
        </w:tabs>
        <w:spacing w:line="240" w:lineRule="auto" w:before="1" w:after="0"/>
        <w:ind w:left="1249" w:right="0" w:hanging="530"/>
        <w:jc w:val="left"/>
        <w:rPr>
          <w:sz w:val="21"/>
        </w:rPr>
      </w:pPr>
      <w:r>
        <w:rPr>
          <w:spacing w:val="-3"/>
          <w:sz w:val="21"/>
        </w:rPr>
        <w:t>其他可能对基金当事人权利和义务产生重大影响的事项。</w:t>
      </w:r>
    </w:p>
    <w:p>
      <w:pPr>
        <w:pStyle w:val="BodyText"/>
        <w:spacing w:before="1"/>
        <w:rPr>
          <w:sz w:val="16"/>
        </w:rPr>
      </w:pPr>
    </w:p>
    <w:p>
      <w:pPr>
        <w:pStyle w:val="BodyText"/>
        <w:spacing w:line="424" w:lineRule="auto"/>
        <w:ind w:left="300" w:right="871" w:firstLine="419"/>
      </w:pPr>
      <w:r>
        <w:rPr>
          <w:spacing w:val="-11"/>
        </w:rPr>
        <w:t>但出现下列情况时，可不经基金份额持有人大会决议，由基金管理人和基金托管人同意</w:t>
      </w:r>
      <w:r>
        <w:rPr>
          <w:spacing w:val="-6"/>
        </w:rPr>
        <w:t>后变更并公告，并报中国证监会备案：</w:t>
      </w:r>
    </w:p>
    <w:p>
      <w:pPr>
        <w:pStyle w:val="ListParagraph"/>
        <w:numPr>
          <w:ilvl w:val="0"/>
          <w:numId w:val="46"/>
        </w:numPr>
        <w:tabs>
          <w:tab w:pos="1250" w:val="left" w:leader="none"/>
        </w:tabs>
        <w:spacing w:line="267" w:lineRule="exact" w:before="0" w:after="0"/>
        <w:ind w:left="1249" w:right="0" w:hanging="530"/>
        <w:jc w:val="left"/>
        <w:rPr>
          <w:sz w:val="21"/>
        </w:rPr>
      </w:pPr>
      <w:r>
        <w:rPr>
          <w:spacing w:val="-3"/>
          <w:sz w:val="21"/>
        </w:rPr>
        <w:t>调低基金管理费、基金托管费和其他应由基金资产承担的费用。</w:t>
      </w:r>
    </w:p>
    <w:p>
      <w:pPr>
        <w:pStyle w:val="BodyText"/>
        <w:spacing w:before="3"/>
        <w:rPr>
          <w:sz w:val="16"/>
        </w:rPr>
      </w:pPr>
    </w:p>
    <w:p>
      <w:pPr>
        <w:pStyle w:val="ListParagraph"/>
        <w:numPr>
          <w:ilvl w:val="0"/>
          <w:numId w:val="46"/>
        </w:numPr>
        <w:tabs>
          <w:tab w:pos="1250" w:val="left" w:leader="none"/>
        </w:tabs>
        <w:spacing w:line="240" w:lineRule="auto" w:before="0" w:after="0"/>
        <w:ind w:left="1249" w:right="0" w:hanging="530"/>
        <w:jc w:val="left"/>
        <w:rPr>
          <w:sz w:val="21"/>
        </w:rPr>
      </w:pPr>
      <w:r>
        <w:rPr>
          <w:spacing w:val="-3"/>
          <w:sz w:val="21"/>
        </w:rPr>
        <w:t>法律法规要求增加的基金费用的收取。</w:t>
      </w:r>
    </w:p>
    <w:p>
      <w:pPr>
        <w:pStyle w:val="BodyText"/>
        <w:spacing w:before="1"/>
        <w:rPr>
          <w:sz w:val="16"/>
        </w:rPr>
      </w:pPr>
    </w:p>
    <w:p>
      <w:pPr>
        <w:pStyle w:val="ListParagraph"/>
        <w:numPr>
          <w:ilvl w:val="0"/>
          <w:numId w:val="46"/>
        </w:numPr>
        <w:tabs>
          <w:tab w:pos="1250" w:val="left" w:leader="none"/>
        </w:tabs>
        <w:spacing w:line="424" w:lineRule="auto" w:before="0" w:after="0"/>
        <w:ind w:left="300" w:right="874" w:firstLine="419"/>
        <w:jc w:val="left"/>
        <w:rPr>
          <w:sz w:val="21"/>
        </w:rPr>
      </w:pPr>
      <w:r>
        <w:rPr>
          <w:spacing w:val="-3"/>
          <w:sz w:val="21"/>
        </w:rPr>
        <w:t>在法律法规和《基金合同》规定的范围内变更本基金的申购费率、调低赎回费率或变更收费方式。</w:t>
      </w:r>
    </w:p>
    <w:p>
      <w:pPr>
        <w:pStyle w:val="ListParagraph"/>
        <w:numPr>
          <w:ilvl w:val="0"/>
          <w:numId w:val="46"/>
        </w:numPr>
        <w:tabs>
          <w:tab w:pos="1250" w:val="left" w:leader="none"/>
        </w:tabs>
        <w:spacing w:line="424" w:lineRule="auto" w:before="0" w:after="0"/>
        <w:ind w:left="300" w:right="873" w:firstLine="419"/>
        <w:jc w:val="left"/>
        <w:rPr>
          <w:sz w:val="21"/>
        </w:rPr>
      </w:pPr>
      <w:r>
        <w:rPr>
          <w:spacing w:val="-3"/>
          <w:sz w:val="21"/>
        </w:rPr>
        <w:t>经中国证监会允许，基金管理人、登记结算机构、代销机构在法律法规规定的范</w:t>
      </w:r>
      <w:r>
        <w:rPr>
          <w:spacing w:val="-21"/>
          <w:sz w:val="21"/>
        </w:rPr>
        <w:t>围内调整有关基金认购、申购、赎回、转换、收益分配、非交易过户、转托管等业务的规则。</w:t>
      </w:r>
    </w:p>
    <w:p>
      <w:pPr>
        <w:pStyle w:val="ListParagraph"/>
        <w:numPr>
          <w:ilvl w:val="0"/>
          <w:numId w:val="46"/>
        </w:numPr>
        <w:tabs>
          <w:tab w:pos="1250" w:val="left" w:leader="none"/>
        </w:tabs>
        <w:spacing w:line="267" w:lineRule="exact" w:before="0" w:after="0"/>
        <w:ind w:left="1249" w:right="0" w:hanging="530"/>
        <w:jc w:val="left"/>
        <w:rPr>
          <w:sz w:val="21"/>
        </w:rPr>
      </w:pPr>
      <w:r>
        <w:rPr>
          <w:spacing w:val="-3"/>
          <w:sz w:val="21"/>
        </w:rPr>
        <w:t>因相应的法律法规发生变动而应当对《基金合同》进行修改。</w:t>
      </w:r>
    </w:p>
    <w:p>
      <w:pPr>
        <w:pStyle w:val="BodyText"/>
        <w:rPr>
          <w:sz w:val="16"/>
        </w:rPr>
      </w:pPr>
    </w:p>
    <w:p>
      <w:pPr>
        <w:pStyle w:val="ListParagraph"/>
        <w:numPr>
          <w:ilvl w:val="0"/>
          <w:numId w:val="46"/>
        </w:numPr>
        <w:tabs>
          <w:tab w:pos="1250" w:val="left" w:leader="none"/>
        </w:tabs>
        <w:spacing w:line="424" w:lineRule="auto" w:before="0" w:after="0"/>
        <w:ind w:left="300" w:right="87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基金合同》当事人权利义务关系发生变化。</w:t>
      </w:r>
    </w:p>
    <w:p>
      <w:pPr>
        <w:pStyle w:val="ListParagraph"/>
        <w:numPr>
          <w:ilvl w:val="0"/>
          <w:numId w:val="46"/>
        </w:numPr>
        <w:tabs>
          <w:tab w:pos="1250" w:val="left" w:leader="none"/>
        </w:tabs>
        <w:spacing w:line="424" w:lineRule="auto" w:before="0" w:after="0"/>
        <w:ind w:left="300" w:right="874" w:firstLine="419"/>
        <w:jc w:val="left"/>
        <w:rPr>
          <w:sz w:val="21"/>
        </w:rPr>
      </w:pPr>
      <w:r>
        <w:rPr>
          <w:spacing w:val="-3"/>
          <w:sz w:val="21"/>
        </w:rPr>
        <w:t>除按照法律法规和《基金合同》规定应当召开基金份额持有人大会的以外的其他情形。</w:t>
      </w:r>
    </w:p>
    <w:p>
      <w:pPr>
        <w:pStyle w:val="BodyText"/>
        <w:spacing w:line="424" w:lineRule="auto"/>
        <w:ind w:left="300" w:right="873" w:firstLine="419"/>
      </w:pPr>
      <w:r>
        <w:rPr>
          <w:rFonts w:ascii="Times New Roman" w:eastAsia="Times New Roman"/>
        </w:rPr>
        <w:t>2</w:t>
      </w:r>
      <w:r>
        <w:rPr/>
        <w:t>、关于《基金合同》变更的基金份额持有人大会决议自生效后方可执行，自持有人大会决议生效后两日内在规定媒介公告。</w:t>
      </w:r>
    </w:p>
    <w:p>
      <w:pPr>
        <w:pStyle w:val="BodyText"/>
        <w:spacing w:line="267" w:lineRule="exact"/>
        <w:ind w:left="720"/>
      </w:pPr>
      <w:r>
        <w:rPr/>
        <w:t>（二</w:t>
      </w:r>
      <w:r>
        <w:rPr>
          <w:spacing w:val="-108"/>
        </w:rPr>
        <w:t>）</w:t>
      </w:r>
      <w:r>
        <w:rPr>
          <w:spacing w:val="-3"/>
        </w:rPr>
        <w:t>《基金合同》的终止</w:t>
      </w:r>
    </w:p>
    <w:p>
      <w:pPr>
        <w:pStyle w:val="BodyText"/>
        <w:rPr>
          <w:sz w:val="16"/>
        </w:rPr>
      </w:pPr>
    </w:p>
    <w:p>
      <w:pPr>
        <w:pStyle w:val="BodyText"/>
        <w:ind w:left="720"/>
      </w:pPr>
      <w:r>
        <w:rPr/>
        <w:t>有下列情形之一的，《基金合同》应当终止：</w:t>
      </w:r>
    </w:p>
    <w:p>
      <w:pPr>
        <w:pStyle w:val="BodyText"/>
        <w:spacing w:before="1"/>
        <w:rPr>
          <w:sz w:val="16"/>
        </w:rPr>
      </w:pPr>
    </w:p>
    <w:p>
      <w:pPr>
        <w:pStyle w:val="BodyText"/>
        <w:ind w:left="720"/>
      </w:pPr>
      <w:r>
        <w:rPr>
          <w:rFonts w:ascii="Times New Roman" w:eastAsia="Times New Roman"/>
        </w:rPr>
        <w:t>1</w:t>
      </w:r>
      <w:r>
        <w:rPr/>
        <w:t>、基金份额持有人大会决定终止的。</w:t>
      </w:r>
    </w:p>
    <w:p>
      <w:pPr>
        <w:pStyle w:val="BodyText"/>
        <w:spacing w:before="1"/>
        <w:rPr>
          <w:sz w:val="16"/>
        </w:rPr>
      </w:pPr>
    </w:p>
    <w:p>
      <w:pPr>
        <w:pStyle w:val="BodyText"/>
        <w:spacing w:line="427" w:lineRule="auto"/>
        <w:ind w:left="300" w:right="81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5" w:lineRule="exact"/>
        <w:ind w:left="720"/>
      </w:pPr>
      <w:r>
        <w:rPr>
          <w:rFonts w:ascii="Times New Roman" w:eastAsia="Times New Roman"/>
        </w:rPr>
        <w:t>3</w:t>
      </w:r>
      <w:r>
        <w:rPr/>
        <w:t>、《基金合同》约定的其他情形。</w:t>
      </w:r>
    </w:p>
    <w:p>
      <w:pPr>
        <w:pStyle w:val="BodyText"/>
        <w:spacing w:before="1"/>
        <w:rPr>
          <w:sz w:val="16"/>
        </w:rPr>
      </w:pPr>
    </w:p>
    <w:p>
      <w:pPr>
        <w:pStyle w:val="BodyText"/>
        <w:ind w:left="720"/>
      </w:pPr>
      <w:r>
        <w:rPr>
          <w:rFonts w:ascii="Times New Roman" w:eastAsia="Times New Roman"/>
        </w:rPr>
        <w:t>4</w:t>
      </w:r>
      <w:r>
        <w:rPr/>
        <w:t>、相关法律法规和中国证监会规定的其他情况。</w:t>
      </w:r>
    </w:p>
    <w:p>
      <w:pPr>
        <w:pStyle w:val="BodyText"/>
        <w:spacing w:before="1"/>
        <w:rPr>
          <w:sz w:val="16"/>
        </w:rPr>
      </w:pPr>
    </w:p>
    <w:p>
      <w:pPr>
        <w:pStyle w:val="BodyText"/>
        <w:ind w:left="720"/>
      </w:pPr>
      <w:r>
        <w:rPr/>
        <w:t>（三）基金财产的清算</w:t>
      </w:r>
    </w:p>
    <w:p>
      <w:pPr>
        <w:pStyle w:val="BodyText"/>
        <w:spacing w:before="1"/>
        <w:rPr>
          <w:sz w:val="16"/>
        </w:rPr>
      </w:pPr>
    </w:p>
    <w:p>
      <w:pPr>
        <w:pStyle w:val="BodyText"/>
        <w:spacing w:line="424" w:lineRule="auto" w:before="1"/>
        <w:ind w:left="300" w:right="873" w:firstLine="419"/>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24" w:lineRule="auto"/>
        <w:ind w:left="300" w:right="871" w:firstLine="419"/>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p>
    <w:p>
      <w:pPr>
        <w:spacing w:after="0" w:line="424" w:lineRule="auto"/>
        <w:sectPr>
          <w:pgSz w:w="11910" w:h="16840"/>
          <w:pgMar w:header="701" w:footer="683" w:top="1420" w:bottom="880" w:left="1500" w:right="920"/>
        </w:sectPr>
      </w:pPr>
    </w:p>
    <w:p>
      <w:pPr>
        <w:pStyle w:val="BodyText"/>
        <w:spacing w:before="115"/>
        <w:ind w:left="300"/>
      </w:pPr>
      <w:r>
        <w:rPr/>
        <w:t>小组可以聘用必要的工作人员。</w:t>
      </w:r>
    </w:p>
    <w:p>
      <w:pPr>
        <w:pStyle w:val="BodyText"/>
        <w:rPr>
          <w:sz w:val="16"/>
        </w:rPr>
      </w:pPr>
    </w:p>
    <w:p>
      <w:pPr>
        <w:pStyle w:val="BodyText"/>
        <w:spacing w:line="424" w:lineRule="auto" w:before="1"/>
        <w:ind w:left="300" w:right="87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7" w:lineRule="exact"/>
        <w:ind w:left="720"/>
      </w:pPr>
      <w:r>
        <w:rPr>
          <w:rFonts w:ascii="Times New Roman" w:eastAsia="Times New Roman"/>
        </w:rPr>
        <w:t>4</w:t>
      </w:r>
      <w:r>
        <w:rPr/>
        <w:t>、基金财产清算程序：</w:t>
      </w:r>
    </w:p>
    <w:p>
      <w:pPr>
        <w:pStyle w:val="BodyText"/>
        <w:spacing w:before="1"/>
        <w:rPr>
          <w:sz w:val="16"/>
        </w:rPr>
      </w:pPr>
    </w:p>
    <w:p>
      <w:pPr>
        <w:pStyle w:val="ListParagraph"/>
        <w:numPr>
          <w:ilvl w:val="0"/>
          <w:numId w:val="47"/>
        </w:numPr>
        <w:tabs>
          <w:tab w:pos="1250" w:val="left" w:leader="none"/>
        </w:tabs>
        <w:spacing w:line="240" w:lineRule="auto" w:before="0" w:after="0"/>
        <w:ind w:left="1249" w:right="0" w:hanging="530"/>
        <w:jc w:val="left"/>
        <w:rPr>
          <w:sz w:val="21"/>
        </w:rPr>
      </w:pPr>
      <w:r>
        <w:rPr>
          <w:spacing w:val="-3"/>
          <w:sz w:val="21"/>
        </w:rPr>
        <w:t>《基金合同》终止后，由基金财产清算小组统一接管基金。</w:t>
      </w:r>
    </w:p>
    <w:p>
      <w:pPr>
        <w:pStyle w:val="BodyText"/>
        <w:spacing w:before="3"/>
        <w:rPr>
          <w:sz w:val="16"/>
        </w:rPr>
      </w:pPr>
    </w:p>
    <w:p>
      <w:pPr>
        <w:pStyle w:val="ListParagraph"/>
        <w:numPr>
          <w:ilvl w:val="0"/>
          <w:numId w:val="47"/>
        </w:numPr>
        <w:tabs>
          <w:tab w:pos="1250" w:val="left" w:leader="none"/>
        </w:tabs>
        <w:spacing w:line="240" w:lineRule="auto" w:before="0" w:after="0"/>
        <w:ind w:left="1249" w:right="0" w:hanging="530"/>
        <w:jc w:val="left"/>
        <w:rPr>
          <w:sz w:val="21"/>
        </w:rPr>
      </w:pPr>
      <w:r>
        <w:rPr>
          <w:spacing w:val="-3"/>
          <w:sz w:val="21"/>
        </w:rPr>
        <w:t>对基金财产和债权债务进行清理和确认。</w:t>
      </w:r>
    </w:p>
    <w:p>
      <w:pPr>
        <w:pStyle w:val="BodyText"/>
        <w:spacing w:before="1"/>
        <w:rPr>
          <w:sz w:val="16"/>
        </w:rPr>
      </w:pPr>
    </w:p>
    <w:p>
      <w:pPr>
        <w:pStyle w:val="ListParagraph"/>
        <w:numPr>
          <w:ilvl w:val="0"/>
          <w:numId w:val="47"/>
        </w:numPr>
        <w:tabs>
          <w:tab w:pos="1250" w:val="left" w:leader="none"/>
        </w:tabs>
        <w:spacing w:line="240" w:lineRule="auto" w:before="0" w:after="0"/>
        <w:ind w:left="1249" w:right="0" w:hanging="530"/>
        <w:jc w:val="left"/>
        <w:rPr>
          <w:sz w:val="21"/>
        </w:rPr>
      </w:pPr>
      <w:r>
        <w:rPr>
          <w:spacing w:val="-3"/>
          <w:sz w:val="21"/>
        </w:rPr>
        <w:t>对基金财产进行估值和变现。</w:t>
      </w:r>
    </w:p>
    <w:p>
      <w:pPr>
        <w:pStyle w:val="BodyText"/>
        <w:spacing w:before="2"/>
        <w:rPr>
          <w:sz w:val="16"/>
        </w:rPr>
      </w:pPr>
    </w:p>
    <w:p>
      <w:pPr>
        <w:pStyle w:val="ListParagraph"/>
        <w:numPr>
          <w:ilvl w:val="0"/>
          <w:numId w:val="47"/>
        </w:numPr>
        <w:tabs>
          <w:tab w:pos="1250" w:val="left" w:leader="none"/>
        </w:tabs>
        <w:spacing w:line="240" w:lineRule="auto" w:before="0" w:after="0"/>
        <w:ind w:left="1249" w:right="0" w:hanging="530"/>
        <w:jc w:val="left"/>
        <w:rPr>
          <w:sz w:val="21"/>
        </w:rPr>
      </w:pPr>
      <w:r>
        <w:rPr>
          <w:spacing w:val="-3"/>
          <w:sz w:val="21"/>
        </w:rPr>
        <w:t>制作清算报告。</w:t>
      </w:r>
    </w:p>
    <w:p>
      <w:pPr>
        <w:pStyle w:val="BodyText"/>
        <w:spacing w:before="1"/>
        <w:rPr>
          <w:sz w:val="16"/>
        </w:rPr>
      </w:pPr>
    </w:p>
    <w:p>
      <w:pPr>
        <w:pStyle w:val="ListParagraph"/>
        <w:numPr>
          <w:ilvl w:val="0"/>
          <w:numId w:val="47"/>
        </w:numPr>
        <w:tabs>
          <w:tab w:pos="1250" w:val="left" w:leader="none"/>
        </w:tabs>
        <w:spacing w:line="424" w:lineRule="auto" w:before="0" w:after="0"/>
        <w:ind w:left="30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7"/>
        </w:numPr>
        <w:tabs>
          <w:tab w:pos="1250" w:val="left" w:leader="none"/>
        </w:tabs>
        <w:spacing w:line="267" w:lineRule="exact" w:before="0" w:after="0"/>
        <w:ind w:left="1249" w:right="0" w:hanging="530"/>
        <w:jc w:val="left"/>
        <w:rPr>
          <w:sz w:val="21"/>
        </w:rPr>
      </w:pPr>
      <w:r>
        <w:rPr>
          <w:spacing w:val="-3"/>
          <w:sz w:val="21"/>
        </w:rPr>
        <w:t>将清算结果报中国证监会备案并公告。</w:t>
      </w:r>
    </w:p>
    <w:p>
      <w:pPr>
        <w:pStyle w:val="BodyText"/>
        <w:spacing w:before="1"/>
        <w:rPr>
          <w:sz w:val="16"/>
        </w:rPr>
      </w:pPr>
    </w:p>
    <w:p>
      <w:pPr>
        <w:pStyle w:val="ListParagraph"/>
        <w:numPr>
          <w:ilvl w:val="0"/>
          <w:numId w:val="47"/>
        </w:numPr>
        <w:tabs>
          <w:tab w:pos="1250" w:val="left" w:leader="none"/>
        </w:tabs>
        <w:spacing w:line="240" w:lineRule="auto" w:before="0" w:after="0"/>
        <w:ind w:left="1249" w:right="0" w:hanging="530"/>
        <w:jc w:val="left"/>
        <w:rPr>
          <w:sz w:val="21"/>
        </w:rPr>
      </w:pPr>
      <w:r>
        <w:rPr>
          <w:spacing w:val="-3"/>
          <w:sz w:val="21"/>
        </w:rPr>
        <w:t>对基金财产进行分配。</w:t>
      </w:r>
    </w:p>
    <w:p>
      <w:pPr>
        <w:pStyle w:val="BodyText"/>
        <w:spacing w:before="1"/>
        <w:rPr>
          <w:sz w:val="16"/>
        </w:rPr>
      </w:pPr>
    </w:p>
    <w:p>
      <w:pPr>
        <w:pStyle w:val="BodyText"/>
        <w:spacing w:before="1"/>
        <w:ind w:left="720"/>
      </w:pPr>
      <w:r>
        <w:rPr/>
        <w:t>（四）清算费用</w:t>
      </w:r>
    </w:p>
    <w:p>
      <w:pPr>
        <w:pStyle w:val="BodyText"/>
        <w:spacing w:before="3"/>
        <w:rPr>
          <w:sz w:val="16"/>
        </w:rPr>
      </w:pPr>
    </w:p>
    <w:p>
      <w:pPr>
        <w:pStyle w:val="BodyText"/>
        <w:spacing w:line="424" w:lineRule="auto"/>
        <w:ind w:left="30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7" w:lineRule="exact"/>
        <w:ind w:left="720"/>
      </w:pPr>
      <w:r>
        <w:rPr/>
        <w:t>（五）基金财产清算剩余资产的分配</w:t>
      </w:r>
    </w:p>
    <w:p>
      <w:pPr>
        <w:pStyle w:val="BodyText"/>
        <w:spacing w:before="1"/>
        <w:rPr>
          <w:sz w:val="16"/>
        </w:rPr>
      </w:pPr>
    </w:p>
    <w:p>
      <w:pPr>
        <w:pStyle w:val="BodyText"/>
        <w:spacing w:line="424" w:lineRule="auto"/>
        <w:ind w:left="30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7" w:lineRule="exact"/>
        <w:ind w:left="720"/>
      </w:pPr>
      <w:r>
        <w:rPr/>
        <w:t>（六）基金财产清算的公告</w:t>
      </w:r>
    </w:p>
    <w:p>
      <w:pPr>
        <w:pStyle w:val="BodyText"/>
        <w:spacing w:before="1"/>
        <w:rPr>
          <w:sz w:val="16"/>
        </w:rPr>
      </w:pPr>
    </w:p>
    <w:p>
      <w:pPr>
        <w:pStyle w:val="BodyText"/>
        <w:spacing w:line="424" w:lineRule="auto"/>
        <w:ind w:left="300" w:right="871" w:firstLine="419"/>
        <w:jc w:val="both"/>
      </w:pPr>
      <w:r>
        <w:rPr>
          <w:spacing w:val="-9"/>
        </w:rPr>
        <w:t>清算过程中的有关重大事项须及时公告；基金财产清算报告经会计师事务所审计并由律师事务所出具法律意见书后报中国证监会备案并公告。基金财产清算结果于《基金合同》终</w:t>
      </w:r>
      <w:r>
        <w:rPr>
          <w:spacing w:val="-10"/>
        </w:rPr>
        <w:t>止并报中国证监会备案后 </w:t>
      </w:r>
      <w:r>
        <w:rPr>
          <w:rFonts w:ascii="Times New Roman" w:eastAsia="Times New Roman"/>
        </w:rPr>
        <w:t>5 </w:t>
      </w:r>
      <w:r>
        <w:rPr>
          <w:spacing w:val="-3"/>
        </w:rPr>
        <w:t>个工作日内由基金财产清算小组进行公告。</w:t>
      </w:r>
    </w:p>
    <w:p>
      <w:pPr>
        <w:pStyle w:val="BodyText"/>
        <w:ind w:left="720"/>
      </w:pPr>
      <w:r>
        <w:rPr/>
        <w:t>（七）基金财产清算账册及文件的保存</w:t>
      </w:r>
    </w:p>
    <w:p>
      <w:pPr>
        <w:pStyle w:val="BodyText"/>
        <w:spacing w:before="1"/>
        <w:rPr>
          <w:sz w:val="16"/>
        </w:rPr>
      </w:pPr>
    </w:p>
    <w:p>
      <w:pPr>
        <w:pStyle w:val="BodyText"/>
        <w:ind w:left="72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12"/>
        <w:rPr>
          <w:sz w:val="18"/>
        </w:rPr>
      </w:pPr>
    </w:p>
    <w:p>
      <w:pPr>
        <w:pStyle w:val="Heading1"/>
        <w:ind w:left="3008" w:right="0"/>
        <w:jc w:val="left"/>
      </w:pPr>
      <w:bookmarkStart w:name="_bookmark19" w:id="20"/>
      <w:bookmarkEnd w:id="20"/>
      <w:r>
        <w:rPr>
          <w:b w:val="0"/>
        </w:rPr>
      </w:r>
      <w:r>
        <w:rPr/>
        <w:t>二十、基金合同的内容摘要</w:t>
      </w:r>
    </w:p>
    <w:p>
      <w:pPr>
        <w:pStyle w:val="BodyText"/>
        <w:rPr>
          <w:b/>
          <w:sz w:val="24"/>
        </w:rPr>
      </w:pPr>
    </w:p>
    <w:p>
      <w:pPr>
        <w:pStyle w:val="BodyText"/>
        <w:spacing w:before="212"/>
        <w:ind w:left="720"/>
      </w:pPr>
      <w:r>
        <w:rPr/>
        <w:t>以下内容摘自《华夏沪深 </w:t>
      </w:r>
      <w:r>
        <w:rPr>
          <w:rFonts w:ascii="Times New Roman" w:eastAsia="Times New Roman"/>
        </w:rPr>
        <w:t>300 </w:t>
      </w:r>
      <w:r>
        <w:rPr/>
        <w:t>交易型开放式指数证券投资基金联接基金基金合同》。</w:t>
      </w:r>
    </w:p>
    <w:p>
      <w:pPr>
        <w:pStyle w:val="BodyText"/>
        <w:spacing w:before="1"/>
        <w:rPr>
          <w:sz w:val="16"/>
        </w:rPr>
      </w:pPr>
    </w:p>
    <w:p>
      <w:pPr>
        <w:pStyle w:val="BodyText"/>
        <w:ind w:left="300" w:right="455"/>
        <w:jc w:val="center"/>
      </w:pPr>
      <w:r>
        <w:rPr>
          <w:rFonts w:ascii="Times New Roman" w:hAnsi="Times New Roman" w:eastAsia="Times New Roman"/>
        </w:rPr>
        <w:t>“</w:t>
      </w:r>
      <w:r>
        <w:rPr/>
        <w:t>第七部分 基金合同当事人及权利义务</w:t>
      </w:r>
    </w:p>
    <w:p>
      <w:pPr>
        <w:pStyle w:val="BodyText"/>
        <w:spacing w:before="1"/>
        <w:rPr>
          <w:sz w:val="16"/>
        </w:rPr>
      </w:pPr>
    </w:p>
    <w:p>
      <w:pPr>
        <w:pStyle w:val="BodyText"/>
        <w:spacing w:before="1"/>
        <w:ind w:left="720"/>
      </w:pPr>
      <w:r>
        <w:rPr/>
        <w:t>（一）基金管理人</w:t>
      </w:r>
    </w:p>
    <w:p>
      <w:pPr>
        <w:spacing w:after="0"/>
        <w:sectPr>
          <w:pgSz w:w="11910" w:h="16840"/>
          <w:pgMar w:header="701" w:footer="683" w:top="1420" w:bottom="880" w:left="1500" w:right="920"/>
        </w:sectPr>
      </w:pPr>
    </w:p>
    <w:p>
      <w:pPr>
        <w:pStyle w:val="BodyText"/>
        <w:spacing w:before="115"/>
        <w:ind w:left="720"/>
      </w:pPr>
      <w:r>
        <w:rPr>
          <w:rFonts w:ascii="Times New Roman" w:eastAsia="Times New Roman"/>
        </w:rPr>
        <w:t>1</w:t>
      </w:r>
      <w:r>
        <w:rPr/>
        <w:t>、基金管理人简况</w:t>
      </w:r>
    </w:p>
    <w:p>
      <w:pPr>
        <w:pStyle w:val="BodyText"/>
        <w:rPr>
          <w:sz w:val="16"/>
        </w:rPr>
      </w:pPr>
    </w:p>
    <w:p>
      <w:pPr>
        <w:pStyle w:val="BodyText"/>
        <w:spacing w:before="1"/>
        <w:ind w:left="720"/>
      </w:pPr>
      <w:r>
        <w:rPr/>
        <w:t>名称：华夏基金管理有限公司</w:t>
      </w:r>
    </w:p>
    <w:p>
      <w:pPr>
        <w:pStyle w:val="BodyText"/>
        <w:spacing w:before="1"/>
        <w:rPr>
          <w:sz w:val="16"/>
        </w:rPr>
      </w:pPr>
    </w:p>
    <w:p>
      <w:pPr>
        <w:pStyle w:val="BodyText"/>
        <w:spacing w:line="424" w:lineRule="auto"/>
        <w:ind w:left="720" w:right="5129"/>
      </w:pPr>
      <w:r>
        <w:rPr/>
        <w:t>住所：北京市顺义区安庆大街甲 </w:t>
      </w:r>
      <w:r>
        <w:rPr>
          <w:rFonts w:ascii="Times New Roman" w:eastAsia="Times New Roman"/>
        </w:rPr>
        <w:t>3 </w:t>
      </w:r>
      <w:r>
        <w:rPr/>
        <w:t>号院法定代表人：杨明辉</w:t>
      </w:r>
    </w:p>
    <w:p>
      <w:pPr>
        <w:pStyle w:val="BodyText"/>
        <w:spacing w:line="267" w:lineRule="exact"/>
        <w:ind w:left="72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3"/>
        <w:rPr>
          <w:sz w:val="16"/>
        </w:rPr>
      </w:pPr>
    </w:p>
    <w:p>
      <w:pPr>
        <w:pStyle w:val="BodyText"/>
        <w:spacing w:line="424" w:lineRule="auto"/>
        <w:ind w:left="720" w:right="2688"/>
      </w:pPr>
      <w:r>
        <w:rPr/>
        <w:t>批准设立机关及批准设立文号：中国证监会证监基字</w:t>
      </w:r>
      <w:r>
        <w:rPr>
          <w:rFonts w:ascii="Times New Roman" w:eastAsia="Times New Roman"/>
        </w:rPr>
        <w:t>[1998]16 </w:t>
      </w:r>
      <w:r>
        <w:rPr/>
        <w:t>号文组织形式：有限责任公司</w:t>
      </w:r>
    </w:p>
    <w:p>
      <w:pPr>
        <w:pStyle w:val="BodyText"/>
        <w:spacing w:line="424" w:lineRule="auto"/>
        <w:ind w:left="720" w:right="624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7" w:lineRule="exact"/>
        <w:ind w:left="720"/>
        <w:rPr>
          <w:rFonts w:ascii="Times New Roman" w:eastAsia="Times New Roman"/>
        </w:rPr>
      </w:pPr>
      <w:r>
        <w:rPr/>
        <w:t>联系电话：</w:t>
      </w:r>
      <w:r>
        <w:rPr>
          <w:rFonts w:ascii="Times New Roman" w:eastAsia="Times New Roman"/>
        </w:rPr>
        <w:t>400-818-6666</w:t>
      </w:r>
    </w:p>
    <w:p>
      <w:pPr>
        <w:pStyle w:val="BodyText"/>
        <w:spacing w:before="9"/>
        <w:rPr>
          <w:rFonts w:ascii="Times New Roman"/>
          <w:sz w:val="17"/>
        </w:rPr>
      </w:pPr>
    </w:p>
    <w:p>
      <w:pPr>
        <w:pStyle w:val="BodyText"/>
        <w:ind w:left="720"/>
      </w:pPr>
      <w:r>
        <w:rPr>
          <w:rFonts w:ascii="Times New Roman" w:eastAsia="Times New Roman"/>
        </w:rPr>
        <w:t>2</w:t>
      </w:r>
      <w:r>
        <w:rPr/>
        <w:t>、基金管理人的权利</w:t>
      </w:r>
    </w:p>
    <w:p>
      <w:pPr>
        <w:pStyle w:val="BodyText"/>
        <w:spacing w:before="1"/>
        <w:rPr>
          <w:sz w:val="16"/>
        </w:rPr>
      </w:pPr>
    </w:p>
    <w:p>
      <w:pPr>
        <w:pStyle w:val="BodyText"/>
        <w:spacing w:before="1"/>
        <w:ind w:left="720"/>
      </w:pPr>
      <w:r>
        <w:rPr/>
        <w:t>根据《基金法》、《运作办法》及其他有关规定，基金管理人的权利包括但不限于：</w:t>
      </w:r>
    </w:p>
    <w:p>
      <w:pPr>
        <w:pStyle w:val="BodyText"/>
        <w:spacing w:before="1"/>
        <w:rPr>
          <w:sz w:val="16"/>
        </w:rPr>
      </w:pPr>
    </w:p>
    <w:p>
      <w:pPr>
        <w:pStyle w:val="ListParagraph"/>
        <w:numPr>
          <w:ilvl w:val="0"/>
          <w:numId w:val="48"/>
        </w:numPr>
        <w:tabs>
          <w:tab w:pos="1250" w:val="left" w:leader="none"/>
        </w:tabs>
        <w:spacing w:line="240" w:lineRule="auto" w:before="0" w:after="0"/>
        <w:ind w:left="1249" w:right="0" w:hanging="530"/>
        <w:jc w:val="left"/>
        <w:rPr>
          <w:sz w:val="21"/>
        </w:rPr>
      </w:pPr>
      <w:r>
        <w:rPr>
          <w:spacing w:val="-3"/>
          <w:sz w:val="21"/>
        </w:rPr>
        <w:t>依法募集基金；</w:t>
      </w:r>
    </w:p>
    <w:p>
      <w:pPr>
        <w:pStyle w:val="BodyText"/>
        <w:spacing w:before="3"/>
        <w:rPr>
          <w:sz w:val="16"/>
        </w:rPr>
      </w:pPr>
    </w:p>
    <w:p>
      <w:pPr>
        <w:pStyle w:val="ListParagraph"/>
        <w:numPr>
          <w:ilvl w:val="0"/>
          <w:numId w:val="48"/>
        </w:numPr>
        <w:tabs>
          <w:tab w:pos="1250" w:val="left" w:leader="none"/>
        </w:tabs>
        <w:spacing w:line="424" w:lineRule="auto" w:before="0" w:after="0"/>
        <w:ind w:left="300" w:right="874" w:firstLine="419"/>
        <w:jc w:val="left"/>
        <w:rPr>
          <w:sz w:val="21"/>
        </w:rPr>
      </w:pPr>
      <w:r>
        <w:rPr>
          <w:spacing w:val="-3"/>
          <w:sz w:val="21"/>
        </w:rPr>
        <w:t>自《基金合同》生效之日起，根据法律法规和《基金合同》独立运用并管理基金财产；</w:t>
      </w:r>
    </w:p>
    <w:p>
      <w:pPr>
        <w:pStyle w:val="ListParagraph"/>
        <w:numPr>
          <w:ilvl w:val="0"/>
          <w:numId w:val="48"/>
        </w:numPr>
        <w:tabs>
          <w:tab w:pos="1250" w:val="left" w:leader="none"/>
        </w:tabs>
        <w:spacing w:line="424" w:lineRule="auto" w:before="0" w:after="0"/>
        <w:ind w:left="300" w:right="874" w:firstLine="419"/>
        <w:jc w:val="left"/>
        <w:rPr>
          <w:sz w:val="21"/>
        </w:rPr>
      </w:pPr>
      <w:r>
        <w:rPr>
          <w:spacing w:val="-3"/>
          <w:sz w:val="21"/>
        </w:rPr>
        <w:t>依照《基金合同》收取基金管理费以及法律法规规定或中国证监会批准的其他费用；</w:t>
      </w:r>
    </w:p>
    <w:p>
      <w:pPr>
        <w:pStyle w:val="ListParagraph"/>
        <w:numPr>
          <w:ilvl w:val="0"/>
          <w:numId w:val="48"/>
        </w:numPr>
        <w:tabs>
          <w:tab w:pos="1250" w:val="left" w:leader="none"/>
        </w:tabs>
        <w:spacing w:line="267" w:lineRule="exact" w:before="0" w:after="0"/>
        <w:ind w:left="1249" w:right="0" w:hanging="530"/>
        <w:jc w:val="left"/>
        <w:rPr>
          <w:sz w:val="21"/>
        </w:rPr>
      </w:pPr>
      <w:r>
        <w:rPr>
          <w:spacing w:val="-3"/>
          <w:sz w:val="21"/>
        </w:rPr>
        <w:t>销售基金份额；</w:t>
      </w:r>
    </w:p>
    <w:p>
      <w:pPr>
        <w:pStyle w:val="BodyText"/>
        <w:rPr>
          <w:sz w:val="16"/>
        </w:rPr>
      </w:pPr>
    </w:p>
    <w:p>
      <w:pPr>
        <w:pStyle w:val="ListParagraph"/>
        <w:numPr>
          <w:ilvl w:val="0"/>
          <w:numId w:val="48"/>
        </w:numPr>
        <w:tabs>
          <w:tab w:pos="1250" w:val="left" w:leader="none"/>
        </w:tabs>
        <w:spacing w:line="240" w:lineRule="auto" w:before="0" w:after="0"/>
        <w:ind w:left="1249" w:right="0" w:hanging="530"/>
        <w:jc w:val="left"/>
        <w:rPr>
          <w:sz w:val="21"/>
        </w:rPr>
      </w:pPr>
      <w:r>
        <w:rPr>
          <w:spacing w:val="-3"/>
          <w:sz w:val="21"/>
        </w:rPr>
        <w:t>召集基金份额持有人大会；</w:t>
      </w:r>
    </w:p>
    <w:p>
      <w:pPr>
        <w:pStyle w:val="BodyText"/>
        <w:spacing w:before="1"/>
        <w:rPr>
          <w:sz w:val="16"/>
        </w:rPr>
      </w:pPr>
    </w:p>
    <w:p>
      <w:pPr>
        <w:pStyle w:val="ListParagraph"/>
        <w:numPr>
          <w:ilvl w:val="0"/>
          <w:numId w:val="48"/>
        </w:numPr>
        <w:tabs>
          <w:tab w:pos="1250" w:val="left" w:leader="none"/>
        </w:tabs>
        <w:spacing w:line="424" w:lineRule="auto" w:before="0" w:after="0"/>
        <w:ind w:left="300" w:right="87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48"/>
        </w:numPr>
        <w:tabs>
          <w:tab w:pos="1250" w:val="left" w:leader="none"/>
        </w:tabs>
        <w:spacing w:line="240" w:lineRule="auto" w:before="0" w:after="0"/>
        <w:ind w:left="1249" w:right="0" w:hanging="530"/>
        <w:jc w:val="left"/>
        <w:rPr>
          <w:sz w:val="21"/>
        </w:rPr>
      </w:pPr>
      <w:r>
        <w:rPr>
          <w:spacing w:val="-3"/>
          <w:sz w:val="21"/>
        </w:rPr>
        <w:t>在基金托管人更换时，提名新的基金托管人；</w:t>
      </w:r>
    </w:p>
    <w:p>
      <w:pPr>
        <w:pStyle w:val="BodyText"/>
        <w:spacing w:before="1"/>
        <w:rPr>
          <w:sz w:val="16"/>
        </w:rPr>
      </w:pPr>
    </w:p>
    <w:p>
      <w:pPr>
        <w:pStyle w:val="ListParagraph"/>
        <w:numPr>
          <w:ilvl w:val="0"/>
          <w:numId w:val="48"/>
        </w:numPr>
        <w:tabs>
          <w:tab w:pos="1250" w:val="left" w:leader="none"/>
        </w:tabs>
        <w:spacing w:line="240" w:lineRule="auto" w:before="0" w:after="0"/>
        <w:ind w:left="1249" w:right="0" w:hanging="530"/>
        <w:jc w:val="left"/>
        <w:rPr>
          <w:sz w:val="21"/>
        </w:rPr>
      </w:pPr>
      <w:r>
        <w:rPr>
          <w:spacing w:val="-3"/>
          <w:sz w:val="21"/>
        </w:rPr>
        <w:t>选择、委托、更换基金代销机构，对基金代销机构的相关行为进行监督和处理；</w:t>
      </w:r>
    </w:p>
    <w:p>
      <w:pPr>
        <w:pStyle w:val="BodyText"/>
        <w:spacing w:before="1"/>
        <w:rPr>
          <w:sz w:val="16"/>
        </w:rPr>
      </w:pPr>
    </w:p>
    <w:p>
      <w:pPr>
        <w:pStyle w:val="ListParagraph"/>
        <w:numPr>
          <w:ilvl w:val="0"/>
          <w:numId w:val="48"/>
        </w:numPr>
        <w:tabs>
          <w:tab w:pos="1250" w:val="left" w:leader="none"/>
        </w:tabs>
        <w:spacing w:line="424" w:lineRule="auto" w:before="0" w:after="0"/>
        <w:ind w:left="300" w:right="874" w:firstLine="419"/>
        <w:jc w:val="left"/>
        <w:rPr>
          <w:sz w:val="21"/>
        </w:rPr>
      </w:pPr>
      <w:r>
        <w:rPr>
          <w:spacing w:val="-3"/>
          <w:sz w:val="21"/>
        </w:rPr>
        <w:t>担任或委托其他符合条件的机构担任基金登记结算机构办理基金登记结算业务并获得《基金合同》规定的费用；</w:t>
      </w:r>
    </w:p>
    <w:p>
      <w:pPr>
        <w:pStyle w:val="ListParagraph"/>
        <w:numPr>
          <w:ilvl w:val="0"/>
          <w:numId w:val="48"/>
        </w:numPr>
        <w:tabs>
          <w:tab w:pos="1355" w:val="left" w:leader="none"/>
        </w:tabs>
        <w:spacing w:line="267" w:lineRule="exact" w:before="0" w:after="0"/>
        <w:ind w:left="1355" w:right="0" w:hanging="635"/>
        <w:jc w:val="left"/>
        <w:rPr>
          <w:sz w:val="21"/>
        </w:rPr>
      </w:pPr>
      <w:r>
        <w:rPr>
          <w:spacing w:val="-3"/>
          <w:sz w:val="21"/>
        </w:rPr>
        <w:t>依据《基金合同》及有关法律规定决定基金收益的分配方案；</w:t>
      </w:r>
    </w:p>
    <w:p>
      <w:pPr>
        <w:pStyle w:val="BodyText"/>
        <w:spacing w:before="1"/>
        <w:rPr>
          <w:sz w:val="16"/>
        </w:rPr>
      </w:pPr>
    </w:p>
    <w:p>
      <w:pPr>
        <w:pStyle w:val="ListParagraph"/>
        <w:numPr>
          <w:ilvl w:val="0"/>
          <w:numId w:val="48"/>
        </w:numPr>
        <w:tabs>
          <w:tab w:pos="1346" w:val="left" w:leader="none"/>
        </w:tabs>
        <w:spacing w:line="240" w:lineRule="auto" w:before="0" w:after="0"/>
        <w:ind w:left="1345" w:right="0" w:hanging="626"/>
        <w:jc w:val="left"/>
        <w:rPr>
          <w:sz w:val="21"/>
        </w:rPr>
      </w:pPr>
      <w:r>
        <w:rPr>
          <w:spacing w:val="-3"/>
          <w:sz w:val="21"/>
        </w:rPr>
        <w:t>在《基金合同》约定的范围内，拒绝或暂停受理申购与赎回申请；</w:t>
      </w:r>
    </w:p>
    <w:p>
      <w:pPr>
        <w:pStyle w:val="BodyText"/>
        <w:spacing w:before="2"/>
        <w:rPr>
          <w:sz w:val="16"/>
        </w:rPr>
      </w:pPr>
    </w:p>
    <w:p>
      <w:pPr>
        <w:pStyle w:val="ListParagraph"/>
        <w:numPr>
          <w:ilvl w:val="0"/>
          <w:numId w:val="48"/>
        </w:numPr>
        <w:tabs>
          <w:tab w:pos="1355" w:val="left" w:leader="none"/>
        </w:tabs>
        <w:spacing w:line="240" w:lineRule="auto" w:before="0" w:after="0"/>
        <w:ind w:left="1355" w:right="0" w:hanging="635"/>
        <w:jc w:val="left"/>
        <w:rPr>
          <w:sz w:val="21"/>
        </w:rPr>
      </w:pPr>
      <w:r>
        <w:rPr>
          <w:spacing w:val="-7"/>
          <w:sz w:val="21"/>
        </w:rPr>
        <w:t>在符合有关法律法规和《基金合同》的前提下，制订和调整《业务规则》，决定</w:t>
      </w:r>
    </w:p>
    <w:p>
      <w:pPr>
        <w:spacing w:after="0" w:line="240" w:lineRule="auto"/>
        <w:jc w:val="left"/>
        <w:rPr>
          <w:sz w:val="21"/>
        </w:rPr>
        <w:sectPr>
          <w:pgSz w:w="11910" w:h="16840"/>
          <w:pgMar w:header="701" w:footer="683" w:top="1420" w:bottom="880" w:left="1500" w:right="920"/>
        </w:sectPr>
      </w:pPr>
    </w:p>
    <w:p>
      <w:pPr>
        <w:pStyle w:val="BodyText"/>
        <w:spacing w:before="115"/>
        <w:ind w:left="300"/>
      </w:pPr>
      <w:r>
        <w:rPr/>
        <w:t>和调整除调高管理费率和托管费率之外的基金相关费率结构和收费方式；</w:t>
      </w:r>
    </w:p>
    <w:p>
      <w:pPr>
        <w:pStyle w:val="BodyText"/>
        <w:rPr>
          <w:sz w:val="16"/>
        </w:rPr>
      </w:pPr>
    </w:p>
    <w:p>
      <w:pPr>
        <w:pStyle w:val="ListParagraph"/>
        <w:numPr>
          <w:ilvl w:val="0"/>
          <w:numId w:val="48"/>
        </w:numPr>
        <w:tabs>
          <w:tab w:pos="1355" w:val="left" w:leader="none"/>
        </w:tabs>
        <w:spacing w:line="424" w:lineRule="auto" w:before="1" w:after="0"/>
        <w:ind w:left="300" w:right="87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48"/>
        </w:numPr>
        <w:tabs>
          <w:tab w:pos="1353" w:val="left" w:leader="none"/>
        </w:tabs>
        <w:spacing w:line="424" w:lineRule="auto" w:before="0" w:after="0"/>
        <w:ind w:left="300" w:right="871" w:firstLine="419"/>
        <w:jc w:val="left"/>
        <w:rPr>
          <w:sz w:val="21"/>
        </w:rPr>
      </w:pPr>
      <w:r>
        <w:rPr>
          <w:spacing w:val="-7"/>
          <w:sz w:val="21"/>
        </w:rPr>
        <w:t>在法律法规允许的前提下，为基金的利益依法为基金进行融资、融券及转融通 </w:t>
      </w:r>
      <w:r>
        <w:rPr>
          <w:spacing w:val="-5"/>
          <w:sz w:val="21"/>
        </w:rPr>
        <w:t>证券出借业务等；</w:t>
      </w:r>
    </w:p>
    <w:p>
      <w:pPr>
        <w:pStyle w:val="ListParagraph"/>
        <w:numPr>
          <w:ilvl w:val="0"/>
          <w:numId w:val="48"/>
        </w:numPr>
        <w:tabs>
          <w:tab w:pos="1355" w:val="left" w:leader="none"/>
        </w:tabs>
        <w:spacing w:line="424" w:lineRule="auto" w:before="0" w:after="0"/>
        <w:ind w:left="300" w:right="87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48"/>
        </w:numPr>
        <w:tabs>
          <w:tab w:pos="1355" w:val="left" w:leader="none"/>
        </w:tabs>
        <w:spacing w:line="424" w:lineRule="auto" w:before="0" w:after="0"/>
        <w:ind w:left="300" w:right="87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48"/>
        </w:numPr>
        <w:tabs>
          <w:tab w:pos="1355" w:val="left" w:leader="none"/>
        </w:tabs>
        <w:spacing w:line="267" w:lineRule="exact" w:before="0" w:after="0"/>
        <w:ind w:left="1355" w:right="0" w:hanging="635"/>
        <w:jc w:val="left"/>
        <w:rPr>
          <w:sz w:val="21"/>
        </w:rPr>
      </w:pPr>
      <w:r>
        <w:rPr>
          <w:spacing w:val="-3"/>
          <w:sz w:val="21"/>
        </w:rPr>
        <w:t>法律法规、中国证监会和《基金合同》规定的其他权利。</w:t>
      </w:r>
    </w:p>
    <w:p>
      <w:pPr>
        <w:pStyle w:val="BodyText"/>
        <w:spacing w:before="10"/>
        <w:rPr>
          <w:sz w:val="15"/>
        </w:rPr>
      </w:pPr>
    </w:p>
    <w:p>
      <w:pPr>
        <w:pStyle w:val="BodyText"/>
        <w:ind w:left="720"/>
      </w:pPr>
      <w:r>
        <w:rPr>
          <w:rFonts w:ascii="Times New Roman" w:eastAsia="Times New Roman"/>
        </w:rPr>
        <w:t>3</w:t>
      </w:r>
      <w:r>
        <w:rPr/>
        <w:t>、基金管理人的义务</w:t>
      </w:r>
    </w:p>
    <w:p>
      <w:pPr>
        <w:pStyle w:val="BodyText"/>
        <w:spacing w:before="1"/>
        <w:rPr>
          <w:sz w:val="16"/>
        </w:rPr>
      </w:pPr>
    </w:p>
    <w:p>
      <w:pPr>
        <w:pStyle w:val="BodyText"/>
        <w:ind w:left="720"/>
      </w:pPr>
      <w:r>
        <w:rPr/>
        <w:t>根据《基金法》、《运作办法》及其他有关规定，基金管理人的义务包括但不限于：</w:t>
      </w:r>
    </w:p>
    <w:p>
      <w:pPr>
        <w:pStyle w:val="BodyText"/>
        <w:spacing w:before="1"/>
        <w:rPr>
          <w:sz w:val="16"/>
        </w:rPr>
      </w:pPr>
    </w:p>
    <w:p>
      <w:pPr>
        <w:pStyle w:val="ListParagraph"/>
        <w:numPr>
          <w:ilvl w:val="0"/>
          <w:numId w:val="49"/>
        </w:numPr>
        <w:tabs>
          <w:tab w:pos="1250" w:val="left" w:leader="none"/>
        </w:tabs>
        <w:spacing w:line="424" w:lineRule="auto" w:before="1" w:after="0"/>
        <w:ind w:left="300" w:right="871" w:firstLine="419"/>
        <w:jc w:val="both"/>
        <w:rPr>
          <w:sz w:val="21"/>
        </w:rPr>
      </w:pPr>
      <w:r>
        <w:rPr>
          <w:spacing w:val="-3"/>
          <w:sz w:val="21"/>
        </w:rPr>
        <w:t>依法募集基金，办理或者委托经中国证监会认定的其他机构代为办理基金份额的</w:t>
      </w:r>
      <w:r>
        <w:rPr>
          <w:spacing w:val="-7"/>
          <w:sz w:val="21"/>
        </w:rPr>
        <w:t>发售、申购、赎回和登记事宜；如认为基金代销机构违反《基金合同》、基金销售与服务代</w:t>
      </w:r>
      <w:r>
        <w:rPr>
          <w:spacing w:val="-11"/>
          <w:sz w:val="21"/>
        </w:rPr>
        <w:t>理协议及国家有关法律规定，应呈报中国证监会和其他监管部门，并采取必要措施保护基金</w:t>
      </w:r>
      <w:r>
        <w:rPr>
          <w:spacing w:val="-6"/>
          <w:sz w:val="21"/>
        </w:rPr>
        <w:t>投资者的利益；</w:t>
      </w:r>
    </w:p>
    <w:p>
      <w:pPr>
        <w:pStyle w:val="ListParagraph"/>
        <w:numPr>
          <w:ilvl w:val="0"/>
          <w:numId w:val="49"/>
        </w:numPr>
        <w:tabs>
          <w:tab w:pos="1250" w:val="left" w:leader="none"/>
        </w:tabs>
        <w:spacing w:line="268" w:lineRule="exact" w:before="0" w:after="0"/>
        <w:ind w:left="1249" w:right="0" w:hanging="530"/>
        <w:jc w:val="left"/>
        <w:rPr>
          <w:sz w:val="21"/>
        </w:rPr>
      </w:pPr>
      <w:r>
        <w:rPr>
          <w:spacing w:val="-3"/>
          <w:sz w:val="21"/>
        </w:rPr>
        <w:t>办理基金备案手续；</w:t>
      </w:r>
    </w:p>
    <w:p>
      <w:pPr>
        <w:pStyle w:val="BodyText"/>
        <w:spacing w:before="1"/>
        <w:rPr>
          <w:sz w:val="16"/>
        </w:rPr>
      </w:pPr>
    </w:p>
    <w:p>
      <w:pPr>
        <w:pStyle w:val="ListParagraph"/>
        <w:numPr>
          <w:ilvl w:val="0"/>
          <w:numId w:val="49"/>
        </w:numPr>
        <w:tabs>
          <w:tab w:pos="1250" w:val="left" w:leader="none"/>
        </w:tabs>
        <w:spacing w:line="240" w:lineRule="auto" w:before="0" w:after="0"/>
        <w:ind w:left="1249" w:right="0" w:hanging="530"/>
        <w:jc w:val="left"/>
        <w:rPr>
          <w:sz w:val="21"/>
        </w:rPr>
      </w:pPr>
      <w:r>
        <w:rPr>
          <w:spacing w:val="-15"/>
          <w:sz w:val="21"/>
        </w:rPr>
        <w:t>自《基金合同》生效之日起，以诚实信用、谨慎勤勉的原则管理和运用基金财产；</w:t>
      </w:r>
    </w:p>
    <w:p>
      <w:pPr>
        <w:pStyle w:val="BodyText"/>
        <w:spacing w:before="1"/>
        <w:rPr>
          <w:sz w:val="16"/>
        </w:rPr>
      </w:pPr>
    </w:p>
    <w:p>
      <w:pPr>
        <w:pStyle w:val="ListParagraph"/>
        <w:numPr>
          <w:ilvl w:val="0"/>
          <w:numId w:val="49"/>
        </w:numPr>
        <w:tabs>
          <w:tab w:pos="1250" w:val="left" w:leader="none"/>
        </w:tabs>
        <w:spacing w:line="424" w:lineRule="auto" w:before="0" w:after="0"/>
        <w:ind w:left="300" w:right="87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9"/>
        </w:numPr>
        <w:tabs>
          <w:tab w:pos="1250" w:val="left" w:leader="none"/>
        </w:tabs>
        <w:spacing w:line="424" w:lineRule="auto" w:before="0" w:after="0"/>
        <w:ind w:left="300" w:right="87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49"/>
        </w:numPr>
        <w:tabs>
          <w:tab w:pos="1250" w:val="left" w:leader="none"/>
        </w:tabs>
        <w:spacing w:line="424" w:lineRule="auto" w:before="0" w:after="0"/>
        <w:ind w:left="30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49"/>
        </w:numPr>
        <w:tabs>
          <w:tab w:pos="1250" w:val="left" w:leader="none"/>
        </w:tabs>
        <w:spacing w:line="267" w:lineRule="exact" w:before="0" w:after="0"/>
        <w:ind w:left="1249" w:right="0" w:hanging="530"/>
        <w:jc w:val="left"/>
        <w:rPr>
          <w:sz w:val="21"/>
        </w:rPr>
      </w:pPr>
      <w:r>
        <w:rPr>
          <w:spacing w:val="-3"/>
          <w:sz w:val="21"/>
        </w:rPr>
        <w:t>依法接受基金托管人的监督；</w:t>
      </w:r>
    </w:p>
    <w:p>
      <w:pPr>
        <w:pStyle w:val="BodyText"/>
        <w:spacing w:before="11"/>
        <w:rPr>
          <w:sz w:val="15"/>
        </w:rPr>
      </w:pPr>
    </w:p>
    <w:p>
      <w:pPr>
        <w:pStyle w:val="ListParagraph"/>
        <w:numPr>
          <w:ilvl w:val="0"/>
          <w:numId w:val="49"/>
        </w:numPr>
        <w:tabs>
          <w:tab w:pos="1250" w:val="left" w:leader="none"/>
        </w:tabs>
        <w:spacing w:line="424" w:lineRule="auto" w:before="1" w:after="0"/>
        <w:ind w:left="300" w:right="87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spacing w:after="0" w:line="424" w:lineRule="auto"/>
        <w:jc w:val="both"/>
        <w:rPr>
          <w:sz w:val="21"/>
        </w:rPr>
        <w:sectPr>
          <w:pgSz w:w="11910" w:h="16840"/>
          <w:pgMar w:header="701" w:footer="683" w:top="1420" w:bottom="880" w:left="1500" w:right="920"/>
        </w:sectPr>
      </w:pPr>
    </w:p>
    <w:p>
      <w:pPr>
        <w:pStyle w:val="ListParagraph"/>
        <w:numPr>
          <w:ilvl w:val="0"/>
          <w:numId w:val="49"/>
        </w:numPr>
        <w:tabs>
          <w:tab w:pos="1250" w:val="left" w:leader="none"/>
        </w:tabs>
        <w:spacing w:line="240" w:lineRule="auto" w:before="115" w:after="0"/>
        <w:ind w:left="1249" w:right="0" w:hanging="530"/>
        <w:jc w:val="left"/>
        <w:rPr>
          <w:sz w:val="21"/>
        </w:rPr>
      </w:pPr>
      <w:r>
        <w:rPr>
          <w:spacing w:val="-3"/>
          <w:sz w:val="21"/>
        </w:rPr>
        <w:t>进行基金会计核算并编制基金财务会计报告；</w:t>
      </w:r>
    </w:p>
    <w:p>
      <w:pPr>
        <w:pStyle w:val="BodyText"/>
        <w:rPr>
          <w:sz w:val="16"/>
        </w:rPr>
      </w:pPr>
    </w:p>
    <w:p>
      <w:pPr>
        <w:pStyle w:val="ListParagraph"/>
        <w:numPr>
          <w:ilvl w:val="0"/>
          <w:numId w:val="49"/>
        </w:numPr>
        <w:tabs>
          <w:tab w:pos="1355" w:val="left" w:leader="none"/>
        </w:tabs>
        <w:spacing w:line="240" w:lineRule="auto" w:before="1" w:after="0"/>
        <w:ind w:left="1355" w:right="0" w:hanging="635"/>
        <w:jc w:val="left"/>
        <w:rPr>
          <w:sz w:val="21"/>
        </w:rPr>
      </w:pPr>
      <w:r>
        <w:rPr>
          <w:spacing w:val="-3"/>
          <w:sz w:val="21"/>
        </w:rPr>
        <w:t>编制中期和年度基金报告；</w:t>
      </w:r>
    </w:p>
    <w:p>
      <w:pPr>
        <w:pStyle w:val="BodyText"/>
        <w:spacing w:before="1"/>
        <w:rPr>
          <w:sz w:val="16"/>
        </w:rPr>
      </w:pPr>
    </w:p>
    <w:p>
      <w:pPr>
        <w:pStyle w:val="ListParagraph"/>
        <w:numPr>
          <w:ilvl w:val="0"/>
          <w:numId w:val="49"/>
        </w:numPr>
        <w:tabs>
          <w:tab w:pos="1346" w:val="left" w:leader="none"/>
        </w:tabs>
        <w:spacing w:line="240" w:lineRule="auto" w:before="0" w:after="0"/>
        <w:ind w:left="1345" w:right="0" w:hanging="626"/>
        <w:jc w:val="left"/>
        <w:rPr>
          <w:sz w:val="21"/>
        </w:rPr>
      </w:pPr>
      <w:r>
        <w:rPr>
          <w:spacing w:val="-17"/>
          <w:sz w:val="21"/>
        </w:rPr>
        <w:t>严格按照《基金法》、《基金合同》及其他有关规定，履行信息披露及报告义务；</w:t>
      </w:r>
    </w:p>
    <w:p>
      <w:pPr>
        <w:pStyle w:val="BodyText"/>
        <w:spacing w:before="1"/>
        <w:rPr>
          <w:sz w:val="16"/>
        </w:rPr>
      </w:pPr>
    </w:p>
    <w:p>
      <w:pPr>
        <w:pStyle w:val="ListParagraph"/>
        <w:numPr>
          <w:ilvl w:val="0"/>
          <w:numId w:val="49"/>
        </w:numPr>
        <w:tabs>
          <w:tab w:pos="1355" w:val="left" w:leader="none"/>
        </w:tabs>
        <w:spacing w:line="424" w:lineRule="auto" w:before="0" w:after="0"/>
        <w:ind w:left="300" w:right="87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9"/>
        </w:numPr>
        <w:tabs>
          <w:tab w:pos="1355" w:val="left" w:leader="none"/>
        </w:tabs>
        <w:spacing w:line="424" w:lineRule="auto" w:before="0" w:after="0"/>
        <w:ind w:left="300" w:right="87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9"/>
        </w:numPr>
        <w:tabs>
          <w:tab w:pos="1355" w:val="left" w:leader="none"/>
        </w:tabs>
        <w:spacing w:line="268" w:lineRule="exact" w:before="0" w:after="0"/>
        <w:ind w:left="1355" w:right="0" w:hanging="635"/>
        <w:jc w:val="left"/>
        <w:rPr>
          <w:sz w:val="21"/>
        </w:rPr>
      </w:pPr>
      <w:r>
        <w:rPr>
          <w:spacing w:val="-3"/>
          <w:sz w:val="21"/>
        </w:rPr>
        <w:t>按规定受理申购与赎回申请，及时、足额支付赎回款项；</w:t>
      </w:r>
    </w:p>
    <w:p>
      <w:pPr>
        <w:pStyle w:val="BodyText"/>
        <w:spacing w:before="1"/>
        <w:rPr>
          <w:sz w:val="16"/>
        </w:rPr>
      </w:pPr>
    </w:p>
    <w:p>
      <w:pPr>
        <w:pStyle w:val="ListParagraph"/>
        <w:numPr>
          <w:ilvl w:val="0"/>
          <w:numId w:val="49"/>
        </w:numPr>
        <w:tabs>
          <w:tab w:pos="1355" w:val="left" w:leader="none"/>
        </w:tabs>
        <w:spacing w:line="424" w:lineRule="auto" w:before="0" w:after="0"/>
        <w:ind w:left="300" w:right="87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9"/>
        </w:numPr>
        <w:tabs>
          <w:tab w:pos="1355" w:val="left" w:leader="none"/>
        </w:tabs>
        <w:spacing w:line="267" w:lineRule="exact" w:before="0" w:after="0"/>
        <w:ind w:left="135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11"/>
        <w:rPr>
          <w:rFonts w:ascii="Times New Roman"/>
          <w:sz w:val="17"/>
        </w:rPr>
      </w:pPr>
    </w:p>
    <w:p>
      <w:pPr>
        <w:pStyle w:val="BodyText"/>
        <w:ind w:left="300"/>
      </w:pPr>
      <w:r>
        <w:rPr/>
        <w:t>年以上；</w:t>
      </w:r>
    </w:p>
    <w:p>
      <w:pPr>
        <w:pStyle w:val="BodyText"/>
        <w:spacing w:before="1"/>
        <w:rPr>
          <w:sz w:val="16"/>
        </w:rPr>
      </w:pPr>
    </w:p>
    <w:p>
      <w:pPr>
        <w:pStyle w:val="ListParagraph"/>
        <w:numPr>
          <w:ilvl w:val="0"/>
          <w:numId w:val="49"/>
        </w:numPr>
        <w:tabs>
          <w:tab w:pos="1355" w:val="left" w:leader="none"/>
        </w:tabs>
        <w:spacing w:line="424" w:lineRule="auto" w:before="0" w:after="0"/>
        <w:ind w:left="300" w:right="87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9"/>
        </w:numPr>
        <w:tabs>
          <w:tab w:pos="1353" w:val="left" w:leader="none"/>
        </w:tabs>
        <w:spacing w:line="269" w:lineRule="exact" w:before="0" w:after="0"/>
        <w:ind w:left="1352" w:right="0" w:hanging="633"/>
        <w:jc w:val="left"/>
        <w:rPr>
          <w:sz w:val="21"/>
        </w:rPr>
      </w:pPr>
      <w:r>
        <w:rPr>
          <w:spacing w:val="-15"/>
          <w:sz w:val="21"/>
        </w:rPr>
        <w:t>组织并参加基金财产清算小组，参与基金财产的保管、清理、估价、变现和分配；</w:t>
      </w:r>
    </w:p>
    <w:p>
      <w:pPr>
        <w:pStyle w:val="BodyText"/>
        <w:spacing w:before="1"/>
        <w:rPr>
          <w:sz w:val="16"/>
        </w:rPr>
      </w:pPr>
    </w:p>
    <w:p>
      <w:pPr>
        <w:pStyle w:val="ListParagraph"/>
        <w:numPr>
          <w:ilvl w:val="0"/>
          <w:numId w:val="49"/>
        </w:numPr>
        <w:tabs>
          <w:tab w:pos="1353" w:val="left" w:leader="none"/>
        </w:tabs>
        <w:spacing w:line="424" w:lineRule="auto" w:before="0" w:after="0"/>
        <w:ind w:left="300" w:right="87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9"/>
        </w:numPr>
        <w:tabs>
          <w:tab w:pos="1355" w:val="left" w:leader="none"/>
        </w:tabs>
        <w:spacing w:line="424" w:lineRule="auto" w:before="0" w:after="0"/>
        <w:ind w:left="300" w:right="87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9"/>
        </w:numPr>
        <w:tabs>
          <w:tab w:pos="1355" w:val="left" w:leader="none"/>
        </w:tabs>
        <w:spacing w:line="424" w:lineRule="auto" w:before="0" w:after="0"/>
        <w:ind w:left="300" w:right="87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49"/>
        </w:numPr>
        <w:tabs>
          <w:tab w:pos="1355" w:val="left" w:leader="none"/>
        </w:tabs>
        <w:spacing w:line="424" w:lineRule="auto" w:before="0" w:after="0"/>
        <w:ind w:left="300" w:right="871" w:firstLine="419"/>
        <w:jc w:val="both"/>
        <w:rPr>
          <w:sz w:val="21"/>
        </w:rPr>
      </w:pPr>
      <w:r>
        <w:rPr>
          <w:spacing w:val="-6"/>
          <w:sz w:val="21"/>
        </w:rPr>
        <w:t>当基金管理人将其义务委托第三方处理时，应当对第三方处理有关基金事务的 </w:t>
      </w:r>
      <w:r>
        <w:rPr>
          <w:spacing w:val="-12"/>
          <w:sz w:val="21"/>
        </w:rPr>
        <w:t>行为承担责任；但因第三方责任导致基金财产或基金份额持有人利益受到损失，而基金管理</w:t>
      </w:r>
      <w:r>
        <w:rPr>
          <w:spacing w:val="-7"/>
          <w:sz w:val="21"/>
        </w:rPr>
        <w:t>人首先承担了责任的情况下，基金管理人有权向第三方追偿；</w:t>
      </w:r>
    </w:p>
    <w:p>
      <w:pPr>
        <w:pStyle w:val="ListParagraph"/>
        <w:numPr>
          <w:ilvl w:val="0"/>
          <w:numId w:val="49"/>
        </w:numPr>
        <w:tabs>
          <w:tab w:pos="1353" w:val="left" w:leader="none"/>
        </w:tabs>
        <w:spacing w:line="266" w:lineRule="exact" w:before="0" w:after="0"/>
        <w:ind w:left="1352" w:right="0" w:hanging="633"/>
        <w:jc w:val="left"/>
        <w:rPr>
          <w:sz w:val="21"/>
        </w:rPr>
      </w:pPr>
      <w:r>
        <w:rPr>
          <w:spacing w:val="-12"/>
          <w:sz w:val="21"/>
        </w:rPr>
        <w:t>以基金管理人名义，代表基金份额持有人利益行使诉讼权利或实施其他法律行为；</w:t>
      </w:r>
    </w:p>
    <w:p>
      <w:pPr>
        <w:pStyle w:val="BodyText"/>
        <w:spacing w:before="10"/>
        <w:rPr>
          <w:sz w:val="15"/>
        </w:rPr>
      </w:pPr>
    </w:p>
    <w:p>
      <w:pPr>
        <w:pStyle w:val="ListParagraph"/>
        <w:numPr>
          <w:ilvl w:val="0"/>
          <w:numId w:val="49"/>
        </w:numPr>
        <w:tabs>
          <w:tab w:pos="1355" w:val="left" w:leader="none"/>
        </w:tabs>
        <w:spacing w:line="424" w:lineRule="auto" w:before="0" w:after="0"/>
        <w:ind w:left="300" w:right="873" w:firstLine="419"/>
        <w:jc w:val="left"/>
        <w:rPr>
          <w:rFonts w:ascii="Times New Roman" w:eastAsia="Times New Roman"/>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w:t>
      </w:r>
    </w:p>
    <w:p>
      <w:pPr>
        <w:spacing w:after="0" w:line="424" w:lineRule="auto"/>
        <w:jc w:val="left"/>
        <w:rPr>
          <w:rFonts w:ascii="Times New Roman" w:eastAsia="Times New Roman"/>
          <w:sz w:val="21"/>
        </w:rPr>
        <w:sectPr>
          <w:footerReference w:type="default" r:id="rId226"/>
          <w:pgSz w:w="11910" w:h="16840"/>
          <w:pgMar w:footer="683" w:header="701" w:top="1420" w:bottom="880" w:left="1500" w:right="920"/>
        </w:sectPr>
      </w:pPr>
    </w:p>
    <w:p>
      <w:pPr>
        <w:pStyle w:val="BodyText"/>
        <w:spacing w:before="115"/>
        <w:ind w:left="300"/>
      </w:pPr>
      <w:r>
        <w:rPr/>
        <w:t>日内退还基金认购人；</w:t>
      </w:r>
    </w:p>
    <w:p>
      <w:pPr>
        <w:pStyle w:val="BodyText"/>
        <w:rPr>
          <w:sz w:val="16"/>
        </w:rPr>
      </w:pPr>
    </w:p>
    <w:p>
      <w:pPr>
        <w:pStyle w:val="ListParagraph"/>
        <w:numPr>
          <w:ilvl w:val="0"/>
          <w:numId w:val="49"/>
        </w:numPr>
        <w:tabs>
          <w:tab w:pos="1355" w:val="left" w:leader="none"/>
        </w:tabs>
        <w:spacing w:line="240" w:lineRule="auto" w:before="1" w:after="0"/>
        <w:ind w:left="1355" w:right="0" w:hanging="635"/>
        <w:jc w:val="left"/>
        <w:rPr>
          <w:sz w:val="21"/>
        </w:rPr>
      </w:pPr>
      <w:r>
        <w:rPr>
          <w:spacing w:val="-3"/>
          <w:sz w:val="21"/>
        </w:rPr>
        <w:t>执行生效的基金份额持有人大会的决议；</w:t>
      </w:r>
    </w:p>
    <w:p>
      <w:pPr>
        <w:pStyle w:val="BodyText"/>
        <w:spacing w:before="1"/>
        <w:rPr>
          <w:sz w:val="16"/>
        </w:rPr>
      </w:pPr>
    </w:p>
    <w:p>
      <w:pPr>
        <w:pStyle w:val="ListParagraph"/>
        <w:numPr>
          <w:ilvl w:val="0"/>
          <w:numId w:val="49"/>
        </w:numPr>
        <w:tabs>
          <w:tab w:pos="1355" w:val="left" w:leader="none"/>
        </w:tabs>
        <w:spacing w:line="424" w:lineRule="auto" w:before="0" w:after="0"/>
        <w:ind w:left="300" w:right="871" w:firstLine="419"/>
        <w:jc w:val="left"/>
        <w:rPr>
          <w:sz w:val="21"/>
        </w:rPr>
      </w:pPr>
      <w:r>
        <w:rPr>
          <w:spacing w:val="-7"/>
          <w:sz w:val="21"/>
        </w:rPr>
        <w:t>建立并保存基金份额持有人名册，定期或不定期向基金托管人提供基金份额持 </w:t>
      </w:r>
      <w:r>
        <w:rPr>
          <w:spacing w:val="-5"/>
          <w:sz w:val="21"/>
        </w:rPr>
        <w:t>有人名册；</w:t>
      </w:r>
    </w:p>
    <w:p>
      <w:pPr>
        <w:pStyle w:val="ListParagraph"/>
        <w:numPr>
          <w:ilvl w:val="0"/>
          <w:numId w:val="49"/>
        </w:numPr>
        <w:tabs>
          <w:tab w:pos="1355" w:val="left" w:leader="none"/>
        </w:tabs>
        <w:spacing w:line="267" w:lineRule="exact" w:before="0" w:after="0"/>
        <w:ind w:left="1355" w:right="0" w:hanging="635"/>
        <w:jc w:val="left"/>
        <w:rPr>
          <w:sz w:val="21"/>
        </w:rPr>
      </w:pPr>
      <w:r>
        <w:rPr>
          <w:spacing w:val="-3"/>
          <w:sz w:val="21"/>
        </w:rPr>
        <w:t>法律法规、中国证监会和《基金合同》规定的其他义务。</w:t>
      </w:r>
    </w:p>
    <w:p>
      <w:pPr>
        <w:pStyle w:val="BodyText"/>
        <w:spacing w:before="3"/>
        <w:rPr>
          <w:sz w:val="16"/>
        </w:rPr>
      </w:pPr>
    </w:p>
    <w:p>
      <w:pPr>
        <w:pStyle w:val="BodyText"/>
        <w:ind w:left="720"/>
      </w:pPr>
      <w:r>
        <w:rPr/>
        <w:t>（二）基金托管人</w:t>
      </w:r>
    </w:p>
    <w:p>
      <w:pPr>
        <w:pStyle w:val="BodyText"/>
        <w:spacing w:before="1"/>
        <w:rPr>
          <w:sz w:val="16"/>
        </w:rPr>
      </w:pPr>
    </w:p>
    <w:p>
      <w:pPr>
        <w:pStyle w:val="BodyText"/>
        <w:ind w:left="720"/>
      </w:pPr>
      <w:r>
        <w:rPr>
          <w:rFonts w:ascii="Times New Roman" w:eastAsia="Times New Roman"/>
        </w:rPr>
        <w:t>1</w:t>
      </w:r>
      <w:r>
        <w:rPr/>
        <w:t>、基金托管人简况</w:t>
      </w:r>
    </w:p>
    <w:p>
      <w:pPr>
        <w:pStyle w:val="BodyText"/>
        <w:spacing w:before="2"/>
        <w:rPr>
          <w:sz w:val="16"/>
        </w:rPr>
      </w:pPr>
    </w:p>
    <w:p>
      <w:pPr>
        <w:pStyle w:val="BodyText"/>
        <w:ind w:left="720"/>
      </w:pPr>
      <w:r>
        <w:rPr/>
        <w:t>名称：中国工商银行股份有限公司</w:t>
      </w:r>
    </w:p>
    <w:p>
      <w:pPr>
        <w:pStyle w:val="BodyText"/>
        <w:spacing w:before="1"/>
        <w:rPr>
          <w:sz w:val="16"/>
        </w:rPr>
      </w:pPr>
    </w:p>
    <w:p>
      <w:pPr>
        <w:pStyle w:val="BodyText"/>
        <w:spacing w:line="424" w:lineRule="auto"/>
        <w:ind w:left="720" w:right="4603"/>
      </w:pPr>
      <w:r>
        <w:rPr/>
        <w:t>注册地址：北京市西城区复兴门内大街 </w:t>
      </w:r>
      <w:r>
        <w:rPr>
          <w:rFonts w:ascii="Times New Roman" w:eastAsia="Times New Roman"/>
        </w:rPr>
        <w:t>55 </w:t>
      </w:r>
      <w:r>
        <w:rPr/>
        <w:t>号法定代表人：陈四清</w:t>
      </w:r>
    </w:p>
    <w:p>
      <w:pPr>
        <w:pStyle w:val="BodyText"/>
        <w:spacing w:line="267" w:lineRule="exact"/>
        <w:ind w:left="720"/>
      </w:pPr>
      <w:r>
        <w:rPr/>
        <w:t>成立时间：</w:t>
      </w:r>
      <w:r>
        <w:rPr>
          <w:rFonts w:ascii="Times New Roman" w:eastAsia="Times New Roman"/>
        </w:rPr>
        <w:t>1984 </w:t>
      </w:r>
      <w:r>
        <w:rPr/>
        <w:t>年 </w:t>
      </w:r>
      <w:r>
        <w:rPr>
          <w:rFonts w:ascii="Times New Roman" w:eastAsia="Times New Roman"/>
        </w:rPr>
        <w:t>1 </w:t>
      </w:r>
      <w:r>
        <w:rPr/>
        <w:t>月 </w:t>
      </w:r>
      <w:r>
        <w:rPr>
          <w:rFonts w:ascii="Times New Roman" w:eastAsia="Times New Roman"/>
        </w:rPr>
        <w:t>1 </w:t>
      </w:r>
      <w:r>
        <w:rPr/>
        <w:t>日</w:t>
      </w:r>
    </w:p>
    <w:p>
      <w:pPr>
        <w:pStyle w:val="BodyText"/>
        <w:spacing w:before="1"/>
        <w:rPr>
          <w:sz w:val="16"/>
        </w:rPr>
      </w:pPr>
    </w:p>
    <w:p>
      <w:pPr>
        <w:pStyle w:val="BodyText"/>
        <w:spacing w:line="424" w:lineRule="auto"/>
        <w:ind w:left="300" w:right="871" w:firstLine="419"/>
      </w:pPr>
      <w:r>
        <w:rPr>
          <w:spacing w:val="-10"/>
        </w:rPr>
        <w:t>批准设立机关和批准设立文号：国务院《关于中国人民银行专门行使中央银行职能的决</w:t>
      </w:r>
      <w:r>
        <w:rPr>
          <w:spacing w:val="-58"/>
        </w:rPr>
        <w:t>定》</w:t>
      </w:r>
      <w:r>
        <w:rPr>
          <w:spacing w:val="-3"/>
        </w:rPr>
        <w:t>（</w:t>
      </w:r>
      <w:r>
        <w:rPr/>
        <w:t>国发</w:t>
      </w:r>
      <w:r>
        <w:rPr>
          <w:rFonts w:ascii="Times New Roman" w:eastAsia="Times New Roman"/>
        </w:rPr>
        <w:t>[1983]146</w:t>
      </w:r>
      <w:r>
        <w:rPr>
          <w:rFonts w:ascii="Times New Roman" w:eastAsia="Times New Roman"/>
          <w:spacing w:val="-1"/>
        </w:rPr>
        <w:t> </w:t>
      </w:r>
      <w:r>
        <w:rPr>
          <w:spacing w:val="-3"/>
        </w:rPr>
        <w:t>号）</w:t>
      </w:r>
    </w:p>
    <w:p>
      <w:pPr>
        <w:pStyle w:val="BodyText"/>
        <w:spacing w:line="424" w:lineRule="auto" w:before="1"/>
        <w:ind w:left="720" w:right="5141"/>
      </w:pPr>
      <w:r>
        <w:rPr>
          <w:spacing w:val="-9"/>
        </w:rPr>
        <w:t>注册资本：人民币 </w:t>
      </w:r>
      <w:r>
        <w:rPr>
          <w:rFonts w:ascii="Times New Roman" w:eastAsia="Times New Roman"/>
        </w:rPr>
        <w:t>35,640,625.7089</w:t>
      </w:r>
      <w:r>
        <w:rPr>
          <w:rFonts w:ascii="Times New Roman" w:eastAsia="Times New Roman"/>
          <w:spacing w:val="3"/>
        </w:rPr>
        <w:t> </w:t>
      </w:r>
      <w:r>
        <w:rPr>
          <w:spacing w:val="-9"/>
        </w:rPr>
        <w:t>万元</w:t>
      </w:r>
      <w:r>
        <w:rPr>
          <w:spacing w:val="-3"/>
        </w:rPr>
        <w:t>存续期间：持续经营</w:t>
      </w:r>
    </w:p>
    <w:p>
      <w:pPr>
        <w:pStyle w:val="BodyText"/>
        <w:spacing w:line="267" w:lineRule="exact"/>
        <w:ind w:left="720"/>
      </w:pPr>
      <w:r>
        <w:rPr/>
        <w:t>基金托管资格批文及文号：中国证监会和中国人民银行证监基字【</w:t>
      </w:r>
      <w:r>
        <w:rPr>
          <w:rFonts w:ascii="Times New Roman" w:eastAsia="Times New Roman"/>
        </w:rPr>
        <w:t>1998</w:t>
      </w:r>
      <w:r>
        <w:rPr/>
        <w:t>】</w:t>
      </w:r>
      <w:r>
        <w:rPr>
          <w:rFonts w:ascii="Times New Roman" w:eastAsia="Times New Roman"/>
        </w:rPr>
        <w:t>3 </w:t>
      </w:r>
      <w:r>
        <w:rPr/>
        <w:t>号</w:t>
      </w:r>
    </w:p>
    <w:p>
      <w:pPr>
        <w:pStyle w:val="BodyText"/>
        <w:spacing w:before="1"/>
        <w:rPr>
          <w:sz w:val="16"/>
        </w:rPr>
      </w:pPr>
    </w:p>
    <w:p>
      <w:pPr>
        <w:pStyle w:val="BodyText"/>
        <w:ind w:left="720"/>
      </w:pPr>
      <w:r>
        <w:rPr>
          <w:rFonts w:ascii="Times New Roman" w:eastAsia="Times New Roman"/>
        </w:rPr>
        <w:t>2</w:t>
      </w:r>
      <w:r>
        <w:rPr/>
        <w:t>、基金托管人的权利</w:t>
      </w:r>
    </w:p>
    <w:p>
      <w:pPr>
        <w:pStyle w:val="BodyText"/>
        <w:spacing w:before="1"/>
        <w:rPr>
          <w:sz w:val="16"/>
        </w:rPr>
      </w:pPr>
    </w:p>
    <w:p>
      <w:pPr>
        <w:pStyle w:val="BodyText"/>
        <w:ind w:left="720"/>
      </w:pPr>
      <w:r>
        <w:rPr/>
        <w:t>根据《基金法》、《运作办法》及其他有关规定，基金托管人的权利包括但不限于：</w:t>
      </w:r>
    </w:p>
    <w:p>
      <w:pPr>
        <w:pStyle w:val="BodyText"/>
        <w:spacing w:before="1"/>
        <w:rPr>
          <w:sz w:val="16"/>
        </w:rPr>
      </w:pPr>
    </w:p>
    <w:p>
      <w:pPr>
        <w:pStyle w:val="ListParagraph"/>
        <w:numPr>
          <w:ilvl w:val="0"/>
          <w:numId w:val="50"/>
        </w:numPr>
        <w:tabs>
          <w:tab w:pos="1250" w:val="left" w:leader="none"/>
        </w:tabs>
        <w:spacing w:line="424" w:lineRule="auto" w:before="0" w:after="0"/>
        <w:ind w:left="300" w:right="874" w:firstLine="419"/>
        <w:jc w:val="left"/>
        <w:rPr>
          <w:sz w:val="21"/>
        </w:rPr>
      </w:pPr>
      <w:r>
        <w:rPr>
          <w:spacing w:val="-3"/>
          <w:sz w:val="21"/>
        </w:rPr>
        <w:t>自《基金合同》生效之日起，依法律法规和《基金合同》的规定安全保管基金财产；</w:t>
      </w:r>
    </w:p>
    <w:p>
      <w:pPr>
        <w:pStyle w:val="ListParagraph"/>
        <w:numPr>
          <w:ilvl w:val="0"/>
          <w:numId w:val="50"/>
        </w:numPr>
        <w:tabs>
          <w:tab w:pos="1250" w:val="left" w:leader="none"/>
        </w:tabs>
        <w:spacing w:line="427" w:lineRule="auto" w:before="0" w:after="0"/>
        <w:ind w:left="300" w:right="874" w:firstLine="419"/>
        <w:jc w:val="left"/>
        <w:rPr>
          <w:sz w:val="21"/>
        </w:rPr>
      </w:pPr>
      <w:r>
        <w:rPr>
          <w:spacing w:val="-3"/>
          <w:sz w:val="21"/>
        </w:rPr>
        <w:t>依《基金合同》约定获得基金托管费以及法律法规规定或监管部门批准的其他收入；</w:t>
      </w:r>
    </w:p>
    <w:p>
      <w:pPr>
        <w:pStyle w:val="ListParagraph"/>
        <w:numPr>
          <w:ilvl w:val="0"/>
          <w:numId w:val="50"/>
        </w:numPr>
        <w:tabs>
          <w:tab w:pos="1250" w:val="left" w:leader="none"/>
        </w:tabs>
        <w:spacing w:line="424" w:lineRule="auto" w:before="0" w:after="0"/>
        <w:ind w:left="300" w:right="87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50"/>
        </w:numPr>
        <w:tabs>
          <w:tab w:pos="1250" w:val="left" w:leader="none"/>
        </w:tabs>
        <w:spacing w:line="424" w:lineRule="auto" w:before="0" w:after="0"/>
        <w:ind w:left="300" w:right="874" w:firstLine="419"/>
        <w:jc w:val="left"/>
        <w:rPr>
          <w:sz w:val="21"/>
        </w:rPr>
      </w:pPr>
      <w:r>
        <w:rPr>
          <w:spacing w:val="-3"/>
          <w:sz w:val="21"/>
        </w:rPr>
        <w:t>以基金托管人和基金联名的方式在中国证券登记结算有限公司上海分公司和深圳分公司开设证券账户；</w:t>
      </w:r>
    </w:p>
    <w:p>
      <w:pPr>
        <w:pStyle w:val="ListParagraph"/>
        <w:numPr>
          <w:ilvl w:val="0"/>
          <w:numId w:val="50"/>
        </w:numPr>
        <w:tabs>
          <w:tab w:pos="1250" w:val="left" w:leader="none"/>
        </w:tabs>
        <w:spacing w:line="267" w:lineRule="exact" w:before="0" w:after="0"/>
        <w:ind w:left="1249" w:right="0" w:hanging="530"/>
        <w:jc w:val="left"/>
        <w:rPr>
          <w:sz w:val="21"/>
        </w:rPr>
      </w:pPr>
      <w:r>
        <w:rPr>
          <w:spacing w:val="-3"/>
          <w:sz w:val="21"/>
        </w:rPr>
        <w:t>以基金托管人名义开立证券交易资金账户，用于证券交易资金清算；</w:t>
      </w:r>
    </w:p>
    <w:p>
      <w:pPr>
        <w:pStyle w:val="ListParagraph"/>
        <w:numPr>
          <w:ilvl w:val="0"/>
          <w:numId w:val="50"/>
        </w:numPr>
        <w:tabs>
          <w:tab w:pos="1250" w:val="left" w:leader="none"/>
        </w:tabs>
        <w:spacing w:line="240" w:lineRule="auto" w:before="197" w:after="0"/>
        <w:ind w:left="1249" w:right="0" w:hanging="530"/>
        <w:jc w:val="left"/>
        <w:rPr>
          <w:sz w:val="21"/>
        </w:rPr>
      </w:pPr>
      <w:r>
        <w:rPr>
          <w:spacing w:val="-3"/>
          <w:sz w:val="21"/>
        </w:rPr>
        <w:t>以基金的名义在中央国债登记结算有限公司开设银行间债券托管账户，负责基金</w:t>
      </w:r>
    </w:p>
    <w:p>
      <w:pPr>
        <w:spacing w:after="0" w:line="240" w:lineRule="auto"/>
        <w:jc w:val="left"/>
        <w:rPr>
          <w:sz w:val="21"/>
        </w:rPr>
        <w:sectPr>
          <w:footerReference w:type="default" r:id="rId227"/>
          <w:pgSz w:w="11910" w:h="16840"/>
          <w:pgMar w:footer="683" w:header="701" w:top="1420" w:bottom="880" w:left="1500" w:right="920"/>
          <w:pgNumType w:start="151"/>
        </w:sectPr>
      </w:pPr>
    </w:p>
    <w:p>
      <w:pPr>
        <w:pStyle w:val="BodyText"/>
        <w:spacing w:before="115"/>
        <w:ind w:left="300"/>
      </w:pPr>
      <w:r>
        <w:rPr/>
        <w:t>投资债券的后台匹配及资金的清算；</w:t>
      </w:r>
    </w:p>
    <w:p>
      <w:pPr>
        <w:pStyle w:val="BodyText"/>
        <w:rPr>
          <w:sz w:val="16"/>
        </w:rPr>
      </w:pPr>
    </w:p>
    <w:p>
      <w:pPr>
        <w:pStyle w:val="ListParagraph"/>
        <w:numPr>
          <w:ilvl w:val="0"/>
          <w:numId w:val="50"/>
        </w:numPr>
        <w:tabs>
          <w:tab w:pos="1250" w:val="left" w:leader="none"/>
        </w:tabs>
        <w:spacing w:line="240" w:lineRule="auto" w:before="1" w:after="0"/>
        <w:ind w:left="1249" w:right="0" w:hanging="530"/>
        <w:jc w:val="left"/>
        <w:rPr>
          <w:sz w:val="21"/>
        </w:rPr>
      </w:pPr>
      <w:r>
        <w:rPr>
          <w:spacing w:val="-3"/>
          <w:sz w:val="21"/>
        </w:rPr>
        <w:t>提议召开或召集基金份额持有人大会；</w:t>
      </w:r>
    </w:p>
    <w:p>
      <w:pPr>
        <w:pStyle w:val="BodyText"/>
        <w:spacing w:before="1"/>
        <w:rPr>
          <w:sz w:val="16"/>
        </w:rPr>
      </w:pPr>
    </w:p>
    <w:p>
      <w:pPr>
        <w:pStyle w:val="ListParagraph"/>
        <w:numPr>
          <w:ilvl w:val="0"/>
          <w:numId w:val="50"/>
        </w:numPr>
        <w:tabs>
          <w:tab w:pos="1250" w:val="left" w:leader="none"/>
        </w:tabs>
        <w:spacing w:line="240" w:lineRule="auto" w:before="0" w:after="0"/>
        <w:ind w:left="1249" w:right="0" w:hanging="530"/>
        <w:jc w:val="left"/>
        <w:rPr>
          <w:sz w:val="21"/>
        </w:rPr>
      </w:pPr>
      <w:r>
        <w:rPr>
          <w:spacing w:val="-3"/>
          <w:sz w:val="21"/>
        </w:rPr>
        <w:t>在基金管理人更换时，提名新的基金管理人；</w:t>
      </w:r>
    </w:p>
    <w:p>
      <w:pPr>
        <w:pStyle w:val="BodyText"/>
        <w:spacing w:before="1"/>
        <w:rPr>
          <w:sz w:val="16"/>
        </w:rPr>
      </w:pPr>
    </w:p>
    <w:p>
      <w:pPr>
        <w:pStyle w:val="ListParagraph"/>
        <w:numPr>
          <w:ilvl w:val="0"/>
          <w:numId w:val="50"/>
        </w:numPr>
        <w:tabs>
          <w:tab w:pos="1250" w:val="left" w:leader="none"/>
        </w:tabs>
        <w:spacing w:line="240" w:lineRule="auto" w:before="0" w:after="0"/>
        <w:ind w:left="1249" w:right="0" w:hanging="530"/>
        <w:jc w:val="left"/>
        <w:rPr>
          <w:sz w:val="21"/>
        </w:rPr>
      </w:pPr>
      <w:r>
        <w:rPr>
          <w:spacing w:val="-3"/>
          <w:sz w:val="21"/>
        </w:rPr>
        <w:t>法律法规、中国证监会和《基金合同》规定的其他权利。</w:t>
      </w:r>
    </w:p>
    <w:p>
      <w:pPr>
        <w:pStyle w:val="BodyText"/>
        <w:spacing w:before="1"/>
        <w:rPr>
          <w:sz w:val="16"/>
        </w:rPr>
      </w:pPr>
    </w:p>
    <w:p>
      <w:pPr>
        <w:pStyle w:val="BodyText"/>
        <w:ind w:left="720"/>
      </w:pPr>
      <w:r>
        <w:rPr>
          <w:rFonts w:ascii="Times New Roman" w:eastAsia="Times New Roman"/>
        </w:rPr>
        <w:t>3</w:t>
      </w:r>
      <w:r>
        <w:rPr/>
        <w:t>、基金托管人的义务</w:t>
      </w:r>
    </w:p>
    <w:p>
      <w:pPr>
        <w:pStyle w:val="BodyText"/>
        <w:spacing w:before="3"/>
        <w:rPr>
          <w:sz w:val="16"/>
        </w:rPr>
      </w:pPr>
    </w:p>
    <w:p>
      <w:pPr>
        <w:pStyle w:val="BodyText"/>
        <w:spacing w:before="1"/>
        <w:ind w:left="720"/>
      </w:pPr>
      <w:r>
        <w:rPr/>
        <w:t>根据《基金法》、《运作办法》及其他有关规定，基金托管人的义务包括但不限于：</w:t>
      </w:r>
    </w:p>
    <w:p>
      <w:pPr>
        <w:pStyle w:val="BodyText"/>
        <w:spacing w:before="1"/>
        <w:rPr>
          <w:sz w:val="16"/>
        </w:rPr>
      </w:pPr>
    </w:p>
    <w:p>
      <w:pPr>
        <w:pStyle w:val="ListParagraph"/>
        <w:numPr>
          <w:ilvl w:val="0"/>
          <w:numId w:val="51"/>
        </w:numPr>
        <w:tabs>
          <w:tab w:pos="1250" w:val="left" w:leader="none"/>
        </w:tabs>
        <w:spacing w:line="240" w:lineRule="auto" w:before="0" w:after="0"/>
        <w:ind w:left="1249" w:right="0" w:hanging="530"/>
        <w:jc w:val="left"/>
        <w:rPr>
          <w:sz w:val="21"/>
        </w:rPr>
      </w:pPr>
      <w:r>
        <w:rPr>
          <w:spacing w:val="-3"/>
          <w:sz w:val="21"/>
        </w:rPr>
        <w:t>以诚实信用、勤勉尽责的原则持有并安全保管基金财产；</w:t>
      </w:r>
    </w:p>
    <w:p>
      <w:pPr>
        <w:pStyle w:val="BodyText"/>
        <w:spacing w:before="1"/>
        <w:rPr>
          <w:sz w:val="16"/>
        </w:rPr>
      </w:pPr>
    </w:p>
    <w:p>
      <w:pPr>
        <w:pStyle w:val="ListParagraph"/>
        <w:numPr>
          <w:ilvl w:val="0"/>
          <w:numId w:val="51"/>
        </w:numPr>
        <w:tabs>
          <w:tab w:pos="1250" w:val="left" w:leader="none"/>
        </w:tabs>
        <w:spacing w:line="424" w:lineRule="auto" w:before="0" w:after="0"/>
        <w:ind w:left="300" w:right="87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51"/>
        </w:numPr>
        <w:tabs>
          <w:tab w:pos="1250" w:val="left" w:leader="none"/>
        </w:tabs>
        <w:spacing w:line="424" w:lineRule="auto" w:before="0" w:after="0"/>
        <w:ind w:left="300" w:right="76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所托管的不同的基金分别设置账户，独立核算，分账管理，保证不同基金之间在名册登记、</w:t>
      </w:r>
      <w:r>
        <w:rPr>
          <w:spacing w:val="-4"/>
          <w:sz w:val="21"/>
        </w:rPr>
        <w:t>账户设置、资金划拨、账册记录等方面相互独立；</w:t>
      </w:r>
    </w:p>
    <w:p>
      <w:pPr>
        <w:pStyle w:val="ListParagraph"/>
        <w:numPr>
          <w:ilvl w:val="0"/>
          <w:numId w:val="51"/>
        </w:numPr>
        <w:tabs>
          <w:tab w:pos="1250" w:val="left" w:leader="none"/>
        </w:tabs>
        <w:spacing w:line="424" w:lineRule="auto" w:before="0" w:after="0"/>
        <w:ind w:left="30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51"/>
        </w:numPr>
        <w:tabs>
          <w:tab w:pos="1250" w:val="left" w:leader="none"/>
        </w:tabs>
        <w:spacing w:line="267" w:lineRule="exact" w:before="0" w:after="0"/>
        <w:ind w:left="1249" w:right="0" w:hanging="530"/>
        <w:jc w:val="left"/>
        <w:rPr>
          <w:sz w:val="21"/>
        </w:rPr>
      </w:pPr>
      <w:r>
        <w:rPr>
          <w:spacing w:val="-3"/>
          <w:sz w:val="21"/>
        </w:rPr>
        <w:t>保管由基金管理人代表基金签订的与基金有关的重大合同及有关凭证；</w:t>
      </w:r>
    </w:p>
    <w:p>
      <w:pPr>
        <w:pStyle w:val="BodyText"/>
        <w:spacing w:before="10"/>
        <w:rPr>
          <w:sz w:val="15"/>
        </w:rPr>
      </w:pPr>
    </w:p>
    <w:p>
      <w:pPr>
        <w:pStyle w:val="ListParagraph"/>
        <w:numPr>
          <w:ilvl w:val="0"/>
          <w:numId w:val="51"/>
        </w:numPr>
        <w:tabs>
          <w:tab w:pos="1250" w:val="left" w:leader="none"/>
        </w:tabs>
        <w:spacing w:line="424" w:lineRule="auto" w:before="1" w:after="0"/>
        <w:ind w:left="300" w:right="874"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51"/>
        </w:numPr>
        <w:tabs>
          <w:tab w:pos="1250" w:val="left" w:leader="none"/>
        </w:tabs>
        <w:spacing w:line="424" w:lineRule="auto" w:before="0" w:after="0"/>
        <w:ind w:left="300" w:right="87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51"/>
        </w:numPr>
        <w:tabs>
          <w:tab w:pos="1250" w:val="left" w:leader="none"/>
        </w:tabs>
        <w:spacing w:line="267" w:lineRule="exact" w:before="0" w:after="0"/>
        <w:ind w:left="1249" w:right="0" w:hanging="530"/>
        <w:jc w:val="left"/>
        <w:rPr>
          <w:sz w:val="21"/>
        </w:rPr>
      </w:pPr>
      <w:r>
        <w:rPr>
          <w:spacing w:val="-3"/>
          <w:sz w:val="21"/>
        </w:rPr>
        <w:t>复核、审查基金管理人计算的基金资产净值、基金份额申购、赎回价格；</w:t>
      </w:r>
    </w:p>
    <w:p>
      <w:pPr>
        <w:pStyle w:val="BodyText"/>
        <w:spacing w:before="1"/>
        <w:rPr>
          <w:sz w:val="16"/>
        </w:rPr>
      </w:pPr>
    </w:p>
    <w:p>
      <w:pPr>
        <w:pStyle w:val="ListParagraph"/>
        <w:numPr>
          <w:ilvl w:val="0"/>
          <w:numId w:val="51"/>
        </w:numPr>
        <w:tabs>
          <w:tab w:pos="1250" w:val="left" w:leader="none"/>
        </w:tabs>
        <w:spacing w:line="240" w:lineRule="auto" w:before="1" w:after="0"/>
        <w:ind w:left="1249" w:right="0" w:hanging="530"/>
        <w:jc w:val="left"/>
        <w:rPr>
          <w:sz w:val="21"/>
        </w:rPr>
      </w:pPr>
      <w:r>
        <w:rPr>
          <w:spacing w:val="-3"/>
          <w:sz w:val="21"/>
        </w:rPr>
        <w:t>办理与基金托管业务活动有关的信息披露事项；</w:t>
      </w:r>
    </w:p>
    <w:p>
      <w:pPr>
        <w:pStyle w:val="BodyText"/>
        <w:spacing w:before="1"/>
        <w:rPr>
          <w:sz w:val="16"/>
        </w:rPr>
      </w:pPr>
    </w:p>
    <w:p>
      <w:pPr>
        <w:pStyle w:val="ListParagraph"/>
        <w:numPr>
          <w:ilvl w:val="0"/>
          <w:numId w:val="51"/>
        </w:numPr>
        <w:tabs>
          <w:tab w:pos="1355" w:val="left" w:leader="none"/>
        </w:tabs>
        <w:spacing w:line="424" w:lineRule="auto" w:before="0" w:after="0"/>
        <w:ind w:left="300" w:right="87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51"/>
        </w:numPr>
        <w:tabs>
          <w:tab w:pos="1346" w:val="left" w:leader="none"/>
        </w:tabs>
        <w:spacing w:line="266" w:lineRule="exact" w:before="0" w:after="0"/>
        <w:ind w:left="134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1"/>
        <w:rPr>
          <w:sz w:val="16"/>
        </w:rPr>
      </w:pPr>
    </w:p>
    <w:p>
      <w:pPr>
        <w:pStyle w:val="ListParagraph"/>
        <w:numPr>
          <w:ilvl w:val="0"/>
          <w:numId w:val="51"/>
        </w:numPr>
        <w:tabs>
          <w:tab w:pos="1355" w:val="left" w:leader="none"/>
        </w:tabs>
        <w:spacing w:line="240" w:lineRule="auto" w:before="0" w:after="0"/>
        <w:ind w:left="1355" w:right="0" w:hanging="635"/>
        <w:jc w:val="left"/>
        <w:rPr>
          <w:sz w:val="21"/>
        </w:rPr>
      </w:pPr>
      <w:r>
        <w:rPr>
          <w:spacing w:val="-3"/>
          <w:sz w:val="21"/>
        </w:rPr>
        <w:t>建立并保存基金份额持有人名册；</w:t>
      </w:r>
    </w:p>
    <w:p>
      <w:pPr>
        <w:pStyle w:val="BodyText"/>
        <w:spacing w:before="1"/>
        <w:rPr>
          <w:sz w:val="16"/>
        </w:rPr>
      </w:pPr>
    </w:p>
    <w:p>
      <w:pPr>
        <w:pStyle w:val="ListParagraph"/>
        <w:numPr>
          <w:ilvl w:val="0"/>
          <w:numId w:val="51"/>
        </w:numPr>
        <w:tabs>
          <w:tab w:pos="1355" w:val="left" w:leader="none"/>
        </w:tabs>
        <w:spacing w:line="240" w:lineRule="auto" w:before="0" w:after="0"/>
        <w:ind w:left="1355" w:right="0" w:hanging="635"/>
        <w:jc w:val="left"/>
        <w:rPr>
          <w:sz w:val="21"/>
        </w:rPr>
      </w:pPr>
      <w:r>
        <w:rPr>
          <w:spacing w:val="-3"/>
          <w:sz w:val="21"/>
        </w:rPr>
        <w:t>按规定制作相关账册并与基金管理人核对；</w:t>
      </w:r>
    </w:p>
    <w:p>
      <w:pPr>
        <w:pStyle w:val="BodyText"/>
        <w:spacing w:before="1"/>
        <w:rPr>
          <w:sz w:val="16"/>
        </w:rPr>
      </w:pPr>
    </w:p>
    <w:p>
      <w:pPr>
        <w:pStyle w:val="ListParagraph"/>
        <w:numPr>
          <w:ilvl w:val="0"/>
          <w:numId w:val="51"/>
        </w:numPr>
        <w:tabs>
          <w:tab w:pos="1355" w:val="left" w:leader="none"/>
        </w:tabs>
        <w:spacing w:line="240" w:lineRule="auto" w:before="1" w:after="0"/>
        <w:ind w:left="1355" w:right="0" w:hanging="635"/>
        <w:jc w:val="left"/>
        <w:rPr>
          <w:sz w:val="21"/>
        </w:rPr>
      </w:pPr>
      <w:r>
        <w:rPr>
          <w:spacing w:val="-3"/>
          <w:sz w:val="21"/>
        </w:rPr>
        <w:t>依据基金管理人的指令或有关规定向基金份额持有人支付基金收益和赎回款项；</w:t>
      </w:r>
    </w:p>
    <w:p>
      <w:pPr>
        <w:spacing w:after="0" w:line="240" w:lineRule="auto"/>
        <w:jc w:val="left"/>
        <w:rPr>
          <w:sz w:val="21"/>
        </w:rPr>
        <w:sectPr>
          <w:pgSz w:w="11910" w:h="16840"/>
          <w:pgMar w:header="701" w:footer="683" w:top="1420" w:bottom="880" w:left="1500" w:right="920"/>
        </w:sectPr>
      </w:pPr>
    </w:p>
    <w:p>
      <w:pPr>
        <w:pStyle w:val="ListParagraph"/>
        <w:numPr>
          <w:ilvl w:val="0"/>
          <w:numId w:val="51"/>
        </w:numPr>
        <w:tabs>
          <w:tab w:pos="1355" w:val="left" w:leader="none"/>
        </w:tabs>
        <w:spacing w:line="424" w:lineRule="auto" w:before="115" w:after="0"/>
        <w:ind w:left="300" w:right="871" w:firstLine="419"/>
        <w:jc w:val="left"/>
        <w:rPr>
          <w:sz w:val="21"/>
        </w:rPr>
      </w:pPr>
      <w:r>
        <w:rPr>
          <w:spacing w:val="-5"/>
          <w:sz w:val="21"/>
        </w:rPr>
        <w:t>按照规定召集基金份额持有人大会或配合基金管理人、基金份额持有人依法召 </w:t>
      </w:r>
      <w:r>
        <w:rPr>
          <w:spacing w:val="-4"/>
          <w:sz w:val="21"/>
        </w:rPr>
        <w:t>集基金份额持有人大会；</w:t>
      </w:r>
    </w:p>
    <w:p>
      <w:pPr>
        <w:pStyle w:val="ListParagraph"/>
        <w:numPr>
          <w:ilvl w:val="0"/>
          <w:numId w:val="51"/>
        </w:numPr>
        <w:tabs>
          <w:tab w:pos="1355" w:val="left" w:leader="none"/>
        </w:tabs>
        <w:spacing w:line="267" w:lineRule="exact" w:before="0" w:after="0"/>
        <w:ind w:left="1355" w:right="0" w:hanging="635"/>
        <w:jc w:val="left"/>
        <w:rPr>
          <w:sz w:val="21"/>
        </w:rPr>
      </w:pPr>
      <w:r>
        <w:rPr>
          <w:spacing w:val="-3"/>
          <w:sz w:val="21"/>
        </w:rPr>
        <w:t>按照法律法规和《基金合同》的规定监督基金管理人的投资运作；</w:t>
      </w:r>
    </w:p>
    <w:p>
      <w:pPr>
        <w:pStyle w:val="BodyText"/>
        <w:rPr>
          <w:sz w:val="16"/>
        </w:rPr>
      </w:pPr>
    </w:p>
    <w:p>
      <w:pPr>
        <w:pStyle w:val="ListParagraph"/>
        <w:numPr>
          <w:ilvl w:val="0"/>
          <w:numId w:val="51"/>
        </w:numPr>
        <w:tabs>
          <w:tab w:pos="1355" w:val="left" w:leader="none"/>
        </w:tabs>
        <w:spacing w:line="240" w:lineRule="auto" w:before="1" w:after="0"/>
        <w:ind w:left="1355" w:right="0" w:hanging="635"/>
        <w:jc w:val="left"/>
        <w:rPr>
          <w:sz w:val="21"/>
        </w:rPr>
      </w:pPr>
      <w:r>
        <w:rPr>
          <w:spacing w:val="-3"/>
          <w:sz w:val="21"/>
        </w:rPr>
        <w:t>参加基金财产清算小组，参与基金财产的保管、清理、估价、变现和分配；</w:t>
      </w:r>
    </w:p>
    <w:p>
      <w:pPr>
        <w:pStyle w:val="BodyText"/>
        <w:spacing w:before="1"/>
        <w:rPr>
          <w:sz w:val="16"/>
        </w:rPr>
      </w:pPr>
    </w:p>
    <w:p>
      <w:pPr>
        <w:pStyle w:val="ListParagraph"/>
        <w:numPr>
          <w:ilvl w:val="0"/>
          <w:numId w:val="51"/>
        </w:numPr>
        <w:tabs>
          <w:tab w:pos="1353" w:val="left" w:leader="none"/>
        </w:tabs>
        <w:spacing w:line="427" w:lineRule="auto" w:before="0" w:after="0"/>
        <w:ind w:left="300" w:right="87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51"/>
        </w:numPr>
        <w:tabs>
          <w:tab w:pos="1355" w:val="left" w:leader="none"/>
        </w:tabs>
        <w:spacing w:line="424" w:lineRule="auto" w:before="0" w:after="0"/>
        <w:ind w:left="300" w:right="87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51"/>
        </w:numPr>
        <w:tabs>
          <w:tab w:pos="1355" w:val="left" w:leader="none"/>
        </w:tabs>
        <w:spacing w:line="424" w:lineRule="auto" w:before="0" w:after="0"/>
        <w:ind w:left="300" w:right="871" w:firstLine="419"/>
        <w:jc w:val="left"/>
        <w:rPr>
          <w:sz w:val="21"/>
        </w:rPr>
      </w:pPr>
      <w:r>
        <w:rPr>
          <w:spacing w:val="-7"/>
          <w:sz w:val="21"/>
        </w:rPr>
        <w:t>按规定监督基金管理人按法律法规和《基金合同》规定履行自己的义务，基金 </w:t>
      </w:r>
      <w:r>
        <w:rPr>
          <w:spacing w:val="-5"/>
          <w:sz w:val="21"/>
        </w:rPr>
        <w:t>管理人因违反《基金合同》造成基金财产损失时，应为基金利益向基金管理人追偿；</w:t>
      </w:r>
    </w:p>
    <w:p>
      <w:pPr>
        <w:pStyle w:val="ListParagraph"/>
        <w:numPr>
          <w:ilvl w:val="0"/>
          <w:numId w:val="51"/>
        </w:numPr>
        <w:tabs>
          <w:tab w:pos="1355" w:val="left" w:leader="none"/>
        </w:tabs>
        <w:spacing w:line="267" w:lineRule="exact" w:before="0" w:after="0"/>
        <w:ind w:left="135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51"/>
        </w:numPr>
        <w:tabs>
          <w:tab w:pos="1355" w:val="left" w:leader="none"/>
        </w:tabs>
        <w:spacing w:line="240" w:lineRule="auto" w:before="0" w:after="0"/>
        <w:ind w:left="1355" w:right="0" w:hanging="635"/>
        <w:jc w:val="left"/>
        <w:rPr>
          <w:sz w:val="21"/>
        </w:rPr>
      </w:pPr>
      <w:r>
        <w:rPr>
          <w:spacing w:val="-3"/>
          <w:sz w:val="21"/>
        </w:rPr>
        <w:t>法律法规、中国证监会和《基金合同》规定的其他义务。</w:t>
      </w:r>
    </w:p>
    <w:p>
      <w:pPr>
        <w:pStyle w:val="BodyText"/>
        <w:spacing w:before="1"/>
        <w:rPr>
          <w:sz w:val="16"/>
        </w:rPr>
      </w:pPr>
    </w:p>
    <w:p>
      <w:pPr>
        <w:pStyle w:val="BodyText"/>
        <w:ind w:left="720"/>
      </w:pPr>
      <w:r>
        <w:rPr/>
        <w:t>（三）基金份额持有人</w:t>
      </w:r>
    </w:p>
    <w:p>
      <w:pPr>
        <w:pStyle w:val="BodyText"/>
        <w:spacing w:before="4"/>
        <w:rPr>
          <w:sz w:val="16"/>
        </w:rPr>
      </w:pPr>
    </w:p>
    <w:p>
      <w:pPr>
        <w:pStyle w:val="BodyText"/>
        <w:spacing w:line="424" w:lineRule="auto"/>
        <w:ind w:left="300" w:right="871" w:firstLine="419"/>
        <w:jc w:val="both"/>
      </w:pPr>
      <w:r>
        <w:rPr>
          <w:spacing w:val="-7"/>
        </w:rPr>
        <w:t>基金投资者购买本基金基金份额的行为即视为对《基金合同》的承认和接受，基金投资</w:t>
      </w:r>
      <w:r>
        <w:rPr>
          <w:spacing w:val="-12"/>
        </w:rPr>
        <w:t>者自取得依据《基金合同》募集的基金份额，即成为本基金份额持有人和《基金合同》的当</w:t>
      </w:r>
      <w:r>
        <w:rPr>
          <w:spacing w:val="-11"/>
        </w:rPr>
        <w:t>事人，直至其不再持有本基金的基金份额。基金份额持有人作为《基金合同》当事人并不以</w:t>
      </w:r>
      <w:r>
        <w:rPr>
          <w:spacing w:val="-6"/>
        </w:rPr>
        <w:t>在《基金合同》上书面签章或签字为必要条件。</w:t>
      </w:r>
    </w:p>
    <w:p>
      <w:pPr>
        <w:pStyle w:val="BodyText"/>
        <w:spacing w:line="265" w:lineRule="exact"/>
        <w:ind w:left="720"/>
      </w:pPr>
      <w:r>
        <w:rPr/>
        <w:t>每份基金份额具有同等的合法权益。</w:t>
      </w:r>
    </w:p>
    <w:p>
      <w:pPr>
        <w:pStyle w:val="BodyText"/>
        <w:spacing w:before="1"/>
        <w:rPr>
          <w:sz w:val="16"/>
        </w:rPr>
      </w:pPr>
    </w:p>
    <w:p>
      <w:pPr>
        <w:pStyle w:val="BodyText"/>
        <w:spacing w:line="424" w:lineRule="auto"/>
        <w:ind w:left="300" w:right="87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52"/>
        </w:numPr>
        <w:tabs>
          <w:tab w:pos="1250" w:val="left" w:leader="none"/>
        </w:tabs>
        <w:spacing w:line="267" w:lineRule="exact" w:before="0" w:after="0"/>
        <w:ind w:left="1249" w:right="0" w:hanging="530"/>
        <w:jc w:val="left"/>
        <w:rPr>
          <w:sz w:val="21"/>
        </w:rPr>
      </w:pPr>
      <w:r>
        <w:rPr>
          <w:spacing w:val="-3"/>
          <w:sz w:val="21"/>
        </w:rPr>
        <w:t>分享基金财产收益；</w:t>
      </w:r>
    </w:p>
    <w:p>
      <w:pPr>
        <w:pStyle w:val="BodyText"/>
        <w:spacing w:before="4"/>
        <w:rPr>
          <w:sz w:val="16"/>
        </w:rPr>
      </w:pPr>
    </w:p>
    <w:p>
      <w:pPr>
        <w:pStyle w:val="ListParagraph"/>
        <w:numPr>
          <w:ilvl w:val="0"/>
          <w:numId w:val="52"/>
        </w:numPr>
        <w:tabs>
          <w:tab w:pos="1250" w:val="left" w:leader="none"/>
        </w:tabs>
        <w:spacing w:line="240" w:lineRule="auto" w:before="0" w:after="0"/>
        <w:ind w:left="1249" w:right="0" w:hanging="530"/>
        <w:jc w:val="left"/>
        <w:rPr>
          <w:sz w:val="21"/>
        </w:rPr>
      </w:pPr>
      <w:r>
        <w:rPr>
          <w:spacing w:val="-3"/>
          <w:sz w:val="21"/>
        </w:rPr>
        <w:t>参与分配清算后的剩余基金财产；</w:t>
      </w:r>
    </w:p>
    <w:p>
      <w:pPr>
        <w:pStyle w:val="BodyText"/>
        <w:spacing w:before="1"/>
        <w:rPr>
          <w:sz w:val="16"/>
        </w:rPr>
      </w:pPr>
    </w:p>
    <w:p>
      <w:pPr>
        <w:pStyle w:val="ListParagraph"/>
        <w:numPr>
          <w:ilvl w:val="0"/>
          <w:numId w:val="52"/>
        </w:numPr>
        <w:tabs>
          <w:tab w:pos="1250" w:val="left" w:leader="none"/>
        </w:tabs>
        <w:spacing w:line="240" w:lineRule="auto" w:before="0" w:after="0"/>
        <w:ind w:left="1249" w:right="0" w:hanging="530"/>
        <w:jc w:val="left"/>
        <w:rPr>
          <w:sz w:val="21"/>
        </w:rPr>
      </w:pPr>
      <w:r>
        <w:rPr>
          <w:spacing w:val="-3"/>
          <w:sz w:val="21"/>
        </w:rPr>
        <w:t>依法申请赎回其持有的基金份额；</w:t>
      </w:r>
    </w:p>
    <w:p>
      <w:pPr>
        <w:pStyle w:val="BodyText"/>
        <w:spacing w:before="1"/>
        <w:rPr>
          <w:sz w:val="16"/>
        </w:rPr>
      </w:pPr>
    </w:p>
    <w:p>
      <w:pPr>
        <w:pStyle w:val="ListParagraph"/>
        <w:numPr>
          <w:ilvl w:val="0"/>
          <w:numId w:val="52"/>
        </w:numPr>
        <w:tabs>
          <w:tab w:pos="1250" w:val="left" w:leader="none"/>
        </w:tabs>
        <w:spacing w:line="240" w:lineRule="auto" w:before="0" w:after="0"/>
        <w:ind w:left="1249" w:right="0" w:hanging="530"/>
        <w:jc w:val="left"/>
        <w:rPr>
          <w:sz w:val="21"/>
        </w:rPr>
      </w:pPr>
      <w:r>
        <w:rPr>
          <w:spacing w:val="-3"/>
          <w:sz w:val="21"/>
        </w:rPr>
        <w:t>按照规定要求召开基金份额持有人大会；</w:t>
      </w:r>
    </w:p>
    <w:p>
      <w:pPr>
        <w:pStyle w:val="BodyText"/>
        <w:spacing w:before="1"/>
        <w:rPr>
          <w:sz w:val="16"/>
        </w:rPr>
      </w:pPr>
    </w:p>
    <w:p>
      <w:pPr>
        <w:pStyle w:val="ListParagraph"/>
        <w:numPr>
          <w:ilvl w:val="0"/>
          <w:numId w:val="52"/>
        </w:numPr>
        <w:tabs>
          <w:tab w:pos="1250" w:val="left" w:leader="none"/>
        </w:tabs>
        <w:spacing w:line="424" w:lineRule="auto" w:before="1" w:after="0"/>
        <w:ind w:left="300" w:right="87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52"/>
        </w:numPr>
        <w:tabs>
          <w:tab w:pos="1250" w:val="left" w:leader="none"/>
        </w:tabs>
        <w:spacing w:line="267" w:lineRule="exact" w:before="0" w:after="0"/>
        <w:ind w:left="1249" w:right="0" w:hanging="530"/>
        <w:jc w:val="left"/>
        <w:rPr>
          <w:sz w:val="21"/>
        </w:rPr>
      </w:pPr>
      <w:r>
        <w:rPr>
          <w:spacing w:val="-3"/>
          <w:sz w:val="21"/>
        </w:rPr>
        <w:t>查阅或者复制公开披露的基金信息资料；</w:t>
      </w:r>
    </w:p>
    <w:p>
      <w:pPr>
        <w:pStyle w:val="BodyText"/>
        <w:rPr>
          <w:sz w:val="16"/>
        </w:rPr>
      </w:pPr>
    </w:p>
    <w:p>
      <w:pPr>
        <w:pStyle w:val="ListParagraph"/>
        <w:numPr>
          <w:ilvl w:val="0"/>
          <w:numId w:val="52"/>
        </w:numPr>
        <w:tabs>
          <w:tab w:pos="1250" w:val="left" w:leader="none"/>
        </w:tabs>
        <w:spacing w:line="240" w:lineRule="auto" w:before="1" w:after="0"/>
        <w:ind w:left="1249" w:right="0" w:hanging="530"/>
        <w:jc w:val="left"/>
        <w:rPr>
          <w:sz w:val="21"/>
        </w:rPr>
      </w:pPr>
      <w:r>
        <w:rPr>
          <w:spacing w:val="-3"/>
          <w:sz w:val="21"/>
        </w:rPr>
        <w:t>监督基金管理人的投资运作；</w:t>
      </w:r>
    </w:p>
    <w:p>
      <w:pPr>
        <w:pStyle w:val="BodyText"/>
        <w:spacing w:before="1"/>
        <w:rPr>
          <w:sz w:val="16"/>
        </w:rPr>
      </w:pPr>
    </w:p>
    <w:p>
      <w:pPr>
        <w:pStyle w:val="ListParagraph"/>
        <w:numPr>
          <w:ilvl w:val="0"/>
          <w:numId w:val="52"/>
        </w:numPr>
        <w:tabs>
          <w:tab w:pos="1250" w:val="left" w:leader="none"/>
        </w:tabs>
        <w:spacing w:line="240" w:lineRule="auto" w:before="0" w:after="0"/>
        <w:ind w:left="1249" w:right="0" w:hanging="530"/>
        <w:jc w:val="left"/>
        <w:rPr>
          <w:sz w:val="21"/>
        </w:rPr>
      </w:pPr>
      <w:r>
        <w:rPr>
          <w:spacing w:val="-14"/>
          <w:sz w:val="21"/>
        </w:rPr>
        <w:t>对基金管理人、基金托管人、基金销售机构损害其合法权益的行为依法提起诉讼；</w:t>
      </w:r>
    </w:p>
    <w:p>
      <w:pPr>
        <w:spacing w:after="0" w:line="240" w:lineRule="auto"/>
        <w:jc w:val="left"/>
        <w:rPr>
          <w:sz w:val="21"/>
        </w:rPr>
        <w:sectPr>
          <w:pgSz w:w="11910" w:h="16840"/>
          <w:pgMar w:header="701" w:footer="683" w:top="1420" w:bottom="880" w:left="1500" w:right="920"/>
        </w:sectPr>
      </w:pPr>
    </w:p>
    <w:p>
      <w:pPr>
        <w:pStyle w:val="ListParagraph"/>
        <w:numPr>
          <w:ilvl w:val="0"/>
          <w:numId w:val="52"/>
        </w:numPr>
        <w:tabs>
          <w:tab w:pos="1250" w:val="left" w:leader="none"/>
        </w:tabs>
        <w:spacing w:line="240" w:lineRule="auto" w:before="115" w:after="0"/>
        <w:ind w:left="1249" w:right="0" w:hanging="530"/>
        <w:jc w:val="left"/>
        <w:rPr>
          <w:sz w:val="21"/>
        </w:rPr>
      </w:pPr>
      <w:r>
        <w:rPr>
          <w:spacing w:val="-3"/>
          <w:sz w:val="21"/>
        </w:rPr>
        <w:t>法律法规、中国证监会和《基金合同》规定的其他权利。</w:t>
      </w:r>
    </w:p>
    <w:p>
      <w:pPr>
        <w:pStyle w:val="BodyText"/>
        <w:rPr>
          <w:sz w:val="16"/>
        </w:rPr>
      </w:pPr>
    </w:p>
    <w:p>
      <w:pPr>
        <w:pStyle w:val="BodyText"/>
        <w:spacing w:line="424" w:lineRule="auto" w:before="1"/>
        <w:ind w:left="300" w:right="87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53"/>
        </w:numPr>
        <w:tabs>
          <w:tab w:pos="1250" w:val="left" w:leader="none"/>
        </w:tabs>
        <w:spacing w:line="267" w:lineRule="exact" w:before="0" w:after="0"/>
        <w:ind w:left="1249" w:right="0" w:hanging="530"/>
        <w:jc w:val="left"/>
        <w:rPr>
          <w:sz w:val="21"/>
        </w:rPr>
      </w:pPr>
      <w:r>
        <w:rPr>
          <w:spacing w:val="-21"/>
          <w:sz w:val="21"/>
        </w:rPr>
        <w:t>遵守法律法规、《基金合同》、《业务规则》以及其他有关规定；</w:t>
      </w:r>
    </w:p>
    <w:p>
      <w:pPr>
        <w:pStyle w:val="BodyText"/>
        <w:spacing w:before="1"/>
        <w:rPr>
          <w:sz w:val="16"/>
        </w:rPr>
      </w:pPr>
    </w:p>
    <w:p>
      <w:pPr>
        <w:pStyle w:val="ListParagraph"/>
        <w:numPr>
          <w:ilvl w:val="0"/>
          <w:numId w:val="53"/>
        </w:numPr>
        <w:tabs>
          <w:tab w:pos="1250" w:val="left" w:leader="none"/>
        </w:tabs>
        <w:spacing w:line="240" w:lineRule="auto" w:before="0" w:after="0"/>
        <w:ind w:left="1249" w:right="0" w:hanging="530"/>
        <w:jc w:val="left"/>
        <w:rPr>
          <w:sz w:val="21"/>
        </w:rPr>
      </w:pPr>
      <w:r>
        <w:rPr>
          <w:spacing w:val="-3"/>
          <w:sz w:val="21"/>
        </w:rPr>
        <w:t>缴纳基金认购、申购、赎回款项及法律法规和《基金合同》所规定的费用；</w:t>
      </w:r>
    </w:p>
    <w:p>
      <w:pPr>
        <w:pStyle w:val="BodyText"/>
        <w:spacing w:before="3"/>
        <w:rPr>
          <w:sz w:val="16"/>
        </w:rPr>
      </w:pPr>
    </w:p>
    <w:p>
      <w:pPr>
        <w:pStyle w:val="ListParagraph"/>
        <w:numPr>
          <w:ilvl w:val="0"/>
          <w:numId w:val="53"/>
        </w:numPr>
        <w:tabs>
          <w:tab w:pos="1250" w:val="left" w:leader="none"/>
        </w:tabs>
        <w:spacing w:line="240" w:lineRule="auto" w:before="0" w:after="0"/>
        <w:ind w:left="1249" w:right="0" w:hanging="530"/>
        <w:jc w:val="left"/>
        <w:rPr>
          <w:sz w:val="21"/>
        </w:rPr>
      </w:pPr>
      <w:r>
        <w:rPr>
          <w:spacing w:val="-3"/>
          <w:sz w:val="21"/>
        </w:rPr>
        <w:t>在其持有的基金份额范围内，承担基金亏损或者《基金合同》终止的有限责任；</w:t>
      </w:r>
    </w:p>
    <w:p>
      <w:pPr>
        <w:pStyle w:val="BodyText"/>
        <w:spacing w:before="1"/>
        <w:rPr>
          <w:sz w:val="16"/>
        </w:rPr>
      </w:pPr>
    </w:p>
    <w:p>
      <w:pPr>
        <w:pStyle w:val="ListParagraph"/>
        <w:numPr>
          <w:ilvl w:val="0"/>
          <w:numId w:val="53"/>
        </w:numPr>
        <w:tabs>
          <w:tab w:pos="1250" w:val="left" w:leader="none"/>
        </w:tabs>
        <w:spacing w:line="240" w:lineRule="auto" w:before="0" w:after="0"/>
        <w:ind w:left="1249" w:right="0" w:hanging="530"/>
        <w:jc w:val="left"/>
        <w:rPr>
          <w:sz w:val="21"/>
        </w:rPr>
      </w:pPr>
      <w:r>
        <w:rPr>
          <w:spacing w:val="-3"/>
          <w:sz w:val="21"/>
        </w:rPr>
        <w:t>不从事任何有损基金及其他《基金合同》当事人合法权益的活动；</w:t>
      </w:r>
    </w:p>
    <w:p>
      <w:pPr>
        <w:pStyle w:val="BodyText"/>
        <w:spacing w:before="2"/>
        <w:rPr>
          <w:sz w:val="16"/>
        </w:rPr>
      </w:pPr>
    </w:p>
    <w:p>
      <w:pPr>
        <w:pStyle w:val="ListParagraph"/>
        <w:numPr>
          <w:ilvl w:val="0"/>
          <w:numId w:val="53"/>
        </w:numPr>
        <w:tabs>
          <w:tab w:pos="1250" w:val="left" w:leader="none"/>
        </w:tabs>
        <w:spacing w:line="424" w:lineRule="auto" w:before="0" w:after="0"/>
        <w:ind w:left="300" w:right="874" w:firstLine="419"/>
        <w:jc w:val="left"/>
        <w:rPr>
          <w:sz w:val="21"/>
        </w:rPr>
      </w:pPr>
      <w:r>
        <w:rPr>
          <w:spacing w:val="-3"/>
          <w:sz w:val="21"/>
        </w:rPr>
        <w:t>返还在基金交易过程中因任何原因，自基金管理人、基金托管人及代销机构处获得的不当得利；</w:t>
      </w:r>
    </w:p>
    <w:p>
      <w:pPr>
        <w:pStyle w:val="ListParagraph"/>
        <w:numPr>
          <w:ilvl w:val="0"/>
          <w:numId w:val="53"/>
        </w:numPr>
        <w:tabs>
          <w:tab w:pos="1250" w:val="left" w:leader="none"/>
        </w:tabs>
        <w:spacing w:line="267" w:lineRule="exact" w:before="0" w:after="0"/>
        <w:ind w:left="1249" w:right="0" w:hanging="530"/>
        <w:jc w:val="left"/>
        <w:rPr>
          <w:sz w:val="21"/>
        </w:rPr>
      </w:pPr>
      <w:r>
        <w:rPr>
          <w:spacing w:val="-3"/>
          <w:sz w:val="21"/>
        </w:rPr>
        <w:t>执行生效的基金份额持有人大会的决议；</w:t>
      </w:r>
    </w:p>
    <w:p>
      <w:pPr>
        <w:pStyle w:val="BodyText"/>
        <w:spacing w:before="1"/>
        <w:rPr>
          <w:sz w:val="16"/>
        </w:rPr>
      </w:pPr>
    </w:p>
    <w:p>
      <w:pPr>
        <w:pStyle w:val="ListParagraph"/>
        <w:numPr>
          <w:ilvl w:val="0"/>
          <w:numId w:val="53"/>
        </w:numPr>
        <w:tabs>
          <w:tab w:pos="1250" w:val="left" w:leader="none"/>
        </w:tabs>
        <w:spacing w:line="240" w:lineRule="auto" w:before="0" w:after="0"/>
        <w:ind w:left="1249" w:right="0" w:hanging="530"/>
        <w:jc w:val="left"/>
        <w:rPr>
          <w:sz w:val="21"/>
        </w:rPr>
      </w:pPr>
      <w:r>
        <w:rPr>
          <w:spacing w:val="-3"/>
          <w:sz w:val="21"/>
        </w:rPr>
        <w:t>法律法规、中国证监会和《基金合同》规定的其他义务。</w:t>
      </w:r>
    </w:p>
    <w:p>
      <w:pPr>
        <w:pStyle w:val="BodyText"/>
        <w:spacing w:before="1"/>
        <w:rPr>
          <w:sz w:val="16"/>
        </w:rPr>
      </w:pPr>
    </w:p>
    <w:p>
      <w:pPr>
        <w:pStyle w:val="BodyText"/>
        <w:ind w:left="3245"/>
      </w:pPr>
      <w:r>
        <w:rPr/>
        <w:t>第八部分 基金份额持有人大会</w:t>
      </w:r>
    </w:p>
    <w:p>
      <w:pPr>
        <w:pStyle w:val="BodyText"/>
        <w:spacing w:before="1"/>
        <w:rPr>
          <w:sz w:val="16"/>
        </w:rPr>
      </w:pPr>
    </w:p>
    <w:p>
      <w:pPr>
        <w:pStyle w:val="BodyText"/>
        <w:spacing w:line="427" w:lineRule="auto" w:before="1"/>
        <w:ind w:left="300" w:right="770"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p>
    <w:p>
      <w:pPr>
        <w:pStyle w:val="BodyText"/>
        <w:spacing w:line="264" w:lineRule="exact"/>
        <w:ind w:left="720"/>
      </w:pPr>
      <w:r>
        <w:rPr/>
        <w:t>（一）召开事由</w:t>
      </w:r>
    </w:p>
    <w:p>
      <w:pPr>
        <w:pStyle w:val="BodyText"/>
        <w:spacing w:before="1"/>
        <w:rPr>
          <w:sz w:val="16"/>
        </w:rPr>
      </w:pPr>
    </w:p>
    <w:p>
      <w:pPr>
        <w:pStyle w:val="BodyText"/>
        <w:ind w:left="720"/>
      </w:pPr>
      <w:r>
        <w:rPr>
          <w:rFonts w:ascii="Times New Roman" w:eastAsia="Times New Roman"/>
        </w:rPr>
        <w:t>1</w:t>
      </w:r>
      <w:r>
        <w:rPr/>
        <w:t>、当出现或需要决定下列事由之一的，应当召开基金份额持有人大会：</w:t>
      </w:r>
    </w:p>
    <w:p>
      <w:pPr>
        <w:pStyle w:val="BodyText"/>
        <w:spacing w:before="1"/>
        <w:rPr>
          <w:sz w:val="16"/>
        </w:rPr>
      </w:pPr>
    </w:p>
    <w:p>
      <w:pPr>
        <w:pStyle w:val="ListParagraph"/>
        <w:numPr>
          <w:ilvl w:val="0"/>
          <w:numId w:val="54"/>
        </w:numPr>
        <w:tabs>
          <w:tab w:pos="1250" w:val="left" w:leader="none"/>
        </w:tabs>
        <w:spacing w:line="240" w:lineRule="auto" w:before="0" w:after="0"/>
        <w:ind w:left="1249" w:right="0" w:hanging="530"/>
        <w:jc w:val="left"/>
        <w:rPr>
          <w:sz w:val="21"/>
        </w:rPr>
      </w:pPr>
      <w:r>
        <w:rPr>
          <w:spacing w:val="-15"/>
          <w:sz w:val="21"/>
        </w:rPr>
        <w:t>终止《基金合同》；</w:t>
      </w:r>
    </w:p>
    <w:p>
      <w:pPr>
        <w:pStyle w:val="BodyText"/>
        <w:spacing w:before="1"/>
        <w:rPr>
          <w:sz w:val="16"/>
        </w:rPr>
      </w:pPr>
    </w:p>
    <w:p>
      <w:pPr>
        <w:pStyle w:val="ListParagraph"/>
        <w:numPr>
          <w:ilvl w:val="0"/>
          <w:numId w:val="54"/>
        </w:numPr>
        <w:tabs>
          <w:tab w:pos="1250" w:val="left" w:leader="none"/>
        </w:tabs>
        <w:spacing w:line="240" w:lineRule="auto" w:before="0" w:after="0"/>
        <w:ind w:left="1249" w:right="0" w:hanging="530"/>
        <w:jc w:val="left"/>
        <w:rPr>
          <w:sz w:val="21"/>
        </w:rPr>
      </w:pPr>
      <w:r>
        <w:rPr>
          <w:spacing w:val="-3"/>
          <w:sz w:val="21"/>
        </w:rPr>
        <w:t>更换基金管理人；</w:t>
      </w:r>
    </w:p>
    <w:p>
      <w:pPr>
        <w:pStyle w:val="BodyText"/>
        <w:spacing w:before="1"/>
        <w:rPr>
          <w:sz w:val="16"/>
        </w:rPr>
      </w:pPr>
    </w:p>
    <w:p>
      <w:pPr>
        <w:pStyle w:val="ListParagraph"/>
        <w:numPr>
          <w:ilvl w:val="0"/>
          <w:numId w:val="54"/>
        </w:numPr>
        <w:tabs>
          <w:tab w:pos="1250" w:val="left" w:leader="none"/>
        </w:tabs>
        <w:spacing w:line="240" w:lineRule="auto" w:before="0" w:after="0"/>
        <w:ind w:left="1249" w:right="0" w:hanging="530"/>
        <w:jc w:val="left"/>
        <w:rPr>
          <w:sz w:val="21"/>
        </w:rPr>
      </w:pPr>
      <w:r>
        <w:rPr>
          <w:spacing w:val="-3"/>
          <w:sz w:val="21"/>
        </w:rPr>
        <w:t>更换基金托管人；</w:t>
      </w:r>
    </w:p>
    <w:p>
      <w:pPr>
        <w:pStyle w:val="BodyText"/>
        <w:spacing w:before="1"/>
        <w:rPr>
          <w:sz w:val="16"/>
        </w:rPr>
      </w:pPr>
    </w:p>
    <w:p>
      <w:pPr>
        <w:pStyle w:val="ListParagraph"/>
        <w:numPr>
          <w:ilvl w:val="0"/>
          <w:numId w:val="54"/>
        </w:numPr>
        <w:tabs>
          <w:tab w:pos="1250" w:val="left" w:leader="none"/>
        </w:tabs>
        <w:spacing w:line="240" w:lineRule="auto" w:before="0" w:after="0"/>
        <w:ind w:left="1249" w:right="0" w:hanging="530"/>
        <w:jc w:val="left"/>
        <w:rPr>
          <w:sz w:val="21"/>
        </w:rPr>
      </w:pPr>
      <w:r>
        <w:rPr>
          <w:spacing w:val="-3"/>
          <w:w w:val="100"/>
          <w:sz w:val="21"/>
        </w:rPr>
        <w:t>转换基金运作方式（法律法规、基金合同和中国证监会另有规定的除外</w:t>
      </w:r>
      <w:r>
        <w:rPr>
          <w:spacing w:val="-108"/>
          <w:w w:val="100"/>
          <w:sz w:val="21"/>
        </w:rPr>
        <w:t>）</w:t>
      </w:r>
      <w:r>
        <w:rPr>
          <w:w w:val="100"/>
          <w:sz w:val="21"/>
        </w:rPr>
        <w:t>；</w:t>
      </w:r>
    </w:p>
    <w:p>
      <w:pPr>
        <w:pStyle w:val="BodyText"/>
        <w:spacing w:before="1"/>
        <w:rPr>
          <w:sz w:val="16"/>
        </w:rPr>
      </w:pPr>
    </w:p>
    <w:p>
      <w:pPr>
        <w:pStyle w:val="ListParagraph"/>
        <w:numPr>
          <w:ilvl w:val="0"/>
          <w:numId w:val="54"/>
        </w:numPr>
        <w:tabs>
          <w:tab w:pos="1250" w:val="left" w:leader="none"/>
        </w:tabs>
        <w:spacing w:line="427" w:lineRule="auto" w:before="0" w:after="0"/>
        <w:ind w:left="300" w:right="873" w:firstLine="419"/>
        <w:jc w:val="left"/>
        <w:rPr>
          <w:sz w:val="21"/>
        </w:rPr>
      </w:pPr>
      <w:r>
        <w:rPr>
          <w:spacing w:val="-3"/>
          <w:sz w:val="21"/>
        </w:rPr>
        <w:t>提高基金管理人、基金托管人的报酬标准，但根据法律法规的要求提高该等报酬标准的除外；</w:t>
      </w:r>
    </w:p>
    <w:p>
      <w:pPr>
        <w:pStyle w:val="ListParagraph"/>
        <w:numPr>
          <w:ilvl w:val="0"/>
          <w:numId w:val="54"/>
        </w:numPr>
        <w:tabs>
          <w:tab w:pos="1250" w:val="left" w:leader="none"/>
        </w:tabs>
        <w:spacing w:line="265" w:lineRule="exact" w:before="0" w:after="0"/>
        <w:ind w:left="1249" w:right="0" w:hanging="530"/>
        <w:jc w:val="left"/>
        <w:rPr>
          <w:sz w:val="21"/>
        </w:rPr>
      </w:pPr>
      <w:r>
        <w:rPr>
          <w:spacing w:val="-3"/>
          <w:sz w:val="21"/>
        </w:rPr>
        <w:t>变更基金类别；</w:t>
      </w:r>
    </w:p>
    <w:p>
      <w:pPr>
        <w:pStyle w:val="BodyText"/>
        <w:spacing w:before="1"/>
        <w:rPr>
          <w:sz w:val="16"/>
        </w:rPr>
      </w:pPr>
    </w:p>
    <w:p>
      <w:pPr>
        <w:pStyle w:val="ListParagraph"/>
        <w:numPr>
          <w:ilvl w:val="0"/>
          <w:numId w:val="54"/>
        </w:numPr>
        <w:tabs>
          <w:tab w:pos="1250" w:val="left" w:leader="none"/>
        </w:tabs>
        <w:spacing w:line="424" w:lineRule="auto" w:before="1" w:after="0"/>
        <w:ind w:left="300" w:right="874" w:firstLine="419"/>
        <w:jc w:val="left"/>
        <w:rPr>
          <w:sz w:val="21"/>
        </w:rPr>
      </w:pPr>
      <w:r>
        <w:rPr>
          <w:spacing w:val="-3"/>
          <w:sz w:val="21"/>
        </w:rPr>
        <w:t>变更基金投资目标、范围或策略（法律法规、基金合同和中国证监会另有规定的</w:t>
      </w:r>
      <w:r>
        <w:rPr>
          <w:spacing w:val="-3"/>
          <w:w w:val="100"/>
          <w:sz w:val="21"/>
        </w:rPr>
        <w:t>除外</w:t>
      </w:r>
      <w:r>
        <w:rPr>
          <w:spacing w:val="-108"/>
          <w:w w:val="100"/>
          <w:sz w:val="21"/>
        </w:rPr>
        <w:t>）</w:t>
      </w:r>
      <w:r>
        <w:rPr>
          <w:w w:val="100"/>
          <w:sz w:val="21"/>
        </w:rPr>
        <w:t>；</w:t>
      </w:r>
    </w:p>
    <w:p>
      <w:pPr>
        <w:pStyle w:val="ListParagraph"/>
        <w:numPr>
          <w:ilvl w:val="0"/>
          <w:numId w:val="54"/>
        </w:numPr>
        <w:tabs>
          <w:tab w:pos="1250" w:val="left" w:leader="none"/>
        </w:tabs>
        <w:spacing w:line="267" w:lineRule="exact" w:before="0" w:after="0"/>
        <w:ind w:left="1249" w:right="0" w:hanging="530"/>
        <w:jc w:val="left"/>
        <w:rPr>
          <w:sz w:val="21"/>
        </w:rPr>
      </w:pPr>
      <w:r>
        <w:rPr>
          <w:spacing w:val="-3"/>
          <w:sz w:val="21"/>
        </w:rPr>
        <w:t>变更基金份额持有人大会程序；</w:t>
      </w:r>
    </w:p>
    <w:p>
      <w:pPr>
        <w:pStyle w:val="BodyText"/>
        <w:spacing w:before="1"/>
        <w:rPr>
          <w:sz w:val="16"/>
        </w:rPr>
      </w:pPr>
    </w:p>
    <w:p>
      <w:pPr>
        <w:pStyle w:val="ListParagraph"/>
        <w:numPr>
          <w:ilvl w:val="0"/>
          <w:numId w:val="54"/>
        </w:numPr>
        <w:tabs>
          <w:tab w:pos="1250" w:val="left" w:leader="none"/>
        </w:tabs>
        <w:spacing w:line="240" w:lineRule="auto" w:before="0" w:after="0"/>
        <w:ind w:left="1249" w:right="0" w:hanging="530"/>
        <w:jc w:val="left"/>
        <w:rPr>
          <w:sz w:val="21"/>
        </w:rPr>
      </w:pPr>
      <w:r>
        <w:rPr>
          <w:spacing w:val="-3"/>
          <w:sz w:val="21"/>
        </w:rPr>
        <w:t>对基金当事人权利和义务产生重大影响的其他事项；</w:t>
      </w:r>
    </w:p>
    <w:p>
      <w:pPr>
        <w:pStyle w:val="BodyText"/>
        <w:spacing w:before="1"/>
        <w:rPr>
          <w:sz w:val="16"/>
        </w:rPr>
      </w:pPr>
    </w:p>
    <w:p>
      <w:pPr>
        <w:pStyle w:val="ListParagraph"/>
        <w:numPr>
          <w:ilvl w:val="0"/>
          <w:numId w:val="54"/>
        </w:numPr>
        <w:tabs>
          <w:tab w:pos="1355" w:val="left" w:leader="none"/>
        </w:tabs>
        <w:spacing w:line="240" w:lineRule="auto" w:before="0" w:after="0"/>
        <w:ind w:left="1355" w:right="0" w:hanging="635"/>
        <w:jc w:val="left"/>
        <w:rPr>
          <w:sz w:val="21"/>
        </w:rPr>
      </w:pPr>
      <w:r>
        <w:rPr>
          <w:spacing w:val="-3"/>
          <w:sz w:val="21"/>
        </w:rPr>
        <w:t>基金管理人或基金托管人要求召开基金份额持有人大会；</w:t>
      </w:r>
    </w:p>
    <w:p>
      <w:pPr>
        <w:pStyle w:val="BodyText"/>
        <w:spacing w:before="1"/>
        <w:rPr>
          <w:sz w:val="16"/>
        </w:rPr>
      </w:pPr>
    </w:p>
    <w:p>
      <w:pPr>
        <w:pStyle w:val="ListParagraph"/>
        <w:numPr>
          <w:ilvl w:val="0"/>
          <w:numId w:val="54"/>
        </w:numPr>
        <w:tabs>
          <w:tab w:pos="1346" w:val="left" w:leader="none"/>
        </w:tabs>
        <w:spacing w:line="240" w:lineRule="auto" w:before="0" w:after="0"/>
        <w:ind w:left="134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spacing w:after="0" w:line="240" w:lineRule="auto"/>
        <w:jc w:val="left"/>
        <w:rPr>
          <w:sz w:val="21"/>
        </w:rPr>
        <w:sectPr>
          <w:pgSz w:w="11910" w:h="16840"/>
          <w:pgMar w:header="701" w:footer="683" w:top="1420" w:bottom="880" w:left="1500" w:right="920"/>
        </w:sectPr>
      </w:pPr>
    </w:p>
    <w:p>
      <w:pPr>
        <w:pStyle w:val="BodyText"/>
        <w:spacing w:line="424" w:lineRule="auto" w:before="115"/>
        <w:ind w:left="300" w:right="87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54"/>
        </w:numPr>
        <w:tabs>
          <w:tab w:pos="1355" w:val="left" w:leader="none"/>
        </w:tabs>
        <w:spacing w:line="424" w:lineRule="auto" w:before="0" w:after="0"/>
        <w:ind w:left="300" w:right="87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67" w:lineRule="exact"/>
        <w:ind w:left="720"/>
      </w:pPr>
      <w:r>
        <w:rPr>
          <w:rFonts w:ascii="Times New Roman" w:eastAsia="Times New Roman"/>
        </w:rPr>
        <w:t>2</w:t>
      </w:r>
      <w:r>
        <w:rPr/>
        <w:t>、以下情况可由基金管理人和基金托管人协商后修改，不需召开基金份额持有人大会：</w:t>
      </w:r>
    </w:p>
    <w:p>
      <w:pPr>
        <w:pStyle w:val="BodyText"/>
        <w:spacing w:before="1"/>
        <w:rPr>
          <w:sz w:val="16"/>
        </w:rPr>
      </w:pPr>
    </w:p>
    <w:p>
      <w:pPr>
        <w:pStyle w:val="ListParagraph"/>
        <w:numPr>
          <w:ilvl w:val="0"/>
          <w:numId w:val="55"/>
        </w:numPr>
        <w:tabs>
          <w:tab w:pos="1250" w:val="left" w:leader="none"/>
        </w:tabs>
        <w:spacing w:line="240" w:lineRule="auto" w:before="0" w:after="0"/>
        <w:ind w:left="1249" w:right="0" w:hanging="530"/>
        <w:jc w:val="left"/>
        <w:rPr>
          <w:sz w:val="21"/>
        </w:rPr>
      </w:pPr>
      <w:r>
        <w:rPr>
          <w:spacing w:val="-3"/>
          <w:sz w:val="21"/>
        </w:rPr>
        <w:t>调低基金管理费、基金托管费和其他应由基金资产承担的费用；</w:t>
      </w:r>
    </w:p>
    <w:p>
      <w:pPr>
        <w:pStyle w:val="BodyText"/>
        <w:spacing w:before="1"/>
        <w:rPr>
          <w:sz w:val="16"/>
        </w:rPr>
      </w:pPr>
    </w:p>
    <w:p>
      <w:pPr>
        <w:pStyle w:val="ListParagraph"/>
        <w:numPr>
          <w:ilvl w:val="0"/>
          <w:numId w:val="55"/>
        </w:numPr>
        <w:tabs>
          <w:tab w:pos="1250" w:val="left" w:leader="none"/>
        </w:tabs>
        <w:spacing w:line="240" w:lineRule="auto" w:before="0" w:after="0"/>
        <w:ind w:left="1249" w:right="0" w:hanging="530"/>
        <w:jc w:val="left"/>
        <w:rPr>
          <w:sz w:val="21"/>
        </w:rPr>
      </w:pPr>
      <w:r>
        <w:rPr>
          <w:spacing w:val="-3"/>
          <w:sz w:val="21"/>
        </w:rPr>
        <w:t>法律法规要求增加的基金费用的收取；</w:t>
      </w:r>
    </w:p>
    <w:p>
      <w:pPr>
        <w:pStyle w:val="BodyText"/>
        <w:spacing w:before="2"/>
        <w:rPr>
          <w:sz w:val="16"/>
        </w:rPr>
      </w:pPr>
    </w:p>
    <w:p>
      <w:pPr>
        <w:pStyle w:val="ListParagraph"/>
        <w:numPr>
          <w:ilvl w:val="0"/>
          <w:numId w:val="55"/>
        </w:numPr>
        <w:tabs>
          <w:tab w:pos="1250" w:val="left" w:leader="none"/>
        </w:tabs>
        <w:spacing w:line="424" w:lineRule="auto" w:before="0" w:after="0"/>
        <w:ind w:left="300" w:right="874" w:firstLine="419"/>
        <w:jc w:val="left"/>
        <w:rPr>
          <w:sz w:val="21"/>
        </w:rPr>
      </w:pPr>
      <w:r>
        <w:rPr>
          <w:spacing w:val="-3"/>
          <w:sz w:val="21"/>
        </w:rPr>
        <w:t>在法律法规和《基金合同》规定的范围内变更本基金的申购费率、调低赎回费率或变更收费方式；</w:t>
      </w:r>
    </w:p>
    <w:p>
      <w:pPr>
        <w:pStyle w:val="ListParagraph"/>
        <w:numPr>
          <w:ilvl w:val="0"/>
          <w:numId w:val="55"/>
        </w:numPr>
        <w:tabs>
          <w:tab w:pos="1250" w:val="left" w:leader="none"/>
        </w:tabs>
        <w:spacing w:line="424" w:lineRule="auto" w:before="0" w:after="0"/>
        <w:ind w:left="300" w:right="874" w:firstLine="419"/>
        <w:jc w:val="left"/>
        <w:rPr>
          <w:sz w:val="21"/>
        </w:rPr>
      </w:pPr>
      <w:r>
        <w:rPr>
          <w:spacing w:val="-3"/>
          <w:sz w:val="21"/>
        </w:rPr>
        <w:t>经中国证监会允许，基金管理人、登记结算机构、代销机构在法律法规规定的范</w:t>
      </w:r>
      <w:r>
        <w:rPr>
          <w:spacing w:val="-21"/>
          <w:sz w:val="21"/>
        </w:rPr>
        <w:t>围内调整有关基金认购、申购、赎回、转换、收益分配、非交易过户、转托管等业务的规则；</w:t>
      </w:r>
    </w:p>
    <w:p>
      <w:pPr>
        <w:pStyle w:val="ListParagraph"/>
        <w:numPr>
          <w:ilvl w:val="0"/>
          <w:numId w:val="55"/>
        </w:numPr>
        <w:tabs>
          <w:tab w:pos="1250" w:val="left" w:leader="none"/>
        </w:tabs>
        <w:spacing w:line="267" w:lineRule="exact" w:before="0" w:after="0"/>
        <w:ind w:left="1249" w:right="0" w:hanging="530"/>
        <w:jc w:val="left"/>
        <w:rPr>
          <w:sz w:val="21"/>
        </w:rPr>
      </w:pPr>
      <w:r>
        <w:rPr>
          <w:spacing w:val="-3"/>
          <w:sz w:val="21"/>
        </w:rPr>
        <w:t>因相应的法律法规发生变动而应当对《基金合同》进行修改；</w:t>
      </w:r>
    </w:p>
    <w:p>
      <w:pPr>
        <w:pStyle w:val="BodyText"/>
        <w:spacing w:before="12"/>
        <w:rPr>
          <w:sz w:val="15"/>
        </w:rPr>
      </w:pPr>
    </w:p>
    <w:p>
      <w:pPr>
        <w:pStyle w:val="ListParagraph"/>
        <w:numPr>
          <w:ilvl w:val="0"/>
          <w:numId w:val="55"/>
        </w:numPr>
        <w:tabs>
          <w:tab w:pos="1250" w:val="left" w:leader="none"/>
        </w:tabs>
        <w:spacing w:line="427" w:lineRule="auto" w:before="0" w:after="0"/>
        <w:ind w:left="300" w:right="87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基金合同》当事人权利义务关系发生变化；</w:t>
      </w:r>
    </w:p>
    <w:p>
      <w:pPr>
        <w:pStyle w:val="ListParagraph"/>
        <w:numPr>
          <w:ilvl w:val="0"/>
          <w:numId w:val="55"/>
        </w:numPr>
        <w:tabs>
          <w:tab w:pos="1250" w:val="left" w:leader="none"/>
        </w:tabs>
        <w:spacing w:line="424" w:lineRule="auto" w:before="0" w:after="0"/>
        <w:ind w:left="300" w:right="874" w:firstLine="419"/>
        <w:jc w:val="left"/>
        <w:rPr>
          <w:sz w:val="21"/>
        </w:rPr>
      </w:pPr>
      <w:r>
        <w:rPr>
          <w:spacing w:val="-3"/>
          <w:sz w:val="21"/>
        </w:rPr>
        <w:t>除按照法律法规和《基金合同》规定应当召开基金份额持有人大会的以外的其他情形。</w:t>
      </w:r>
    </w:p>
    <w:p>
      <w:pPr>
        <w:pStyle w:val="BodyText"/>
        <w:spacing w:line="267" w:lineRule="exact"/>
        <w:ind w:left="720"/>
      </w:pPr>
      <w:r>
        <w:rPr/>
        <w:t>（二）会议召集人及召集方式</w:t>
      </w:r>
    </w:p>
    <w:p>
      <w:pPr>
        <w:pStyle w:val="BodyText"/>
        <w:spacing w:before="9"/>
        <w:rPr>
          <w:sz w:val="15"/>
        </w:rPr>
      </w:pPr>
    </w:p>
    <w:p>
      <w:pPr>
        <w:pStyle w:val="BodyText"/>
        <w:spacing w:line="424" w:lineRule="auto"/>
        <w:ind w:left="300" w:right="874" w:firstLine="419"/>
      </w:pPr>
      <w:r>
        <w:rPr>
          <w:rFonts w:ascii="Times New Roman" w:eastAsia="Times New Roman"/>
        </w:rPr>
        <w:t>1</w:t>
      </w:r>
      <w:r>
        <w:rPr/>
        <w:t>、除法律法规规定或《基金合同》另有约定外，基金份额持有人大会由基金管理人召集。</w:t>
      </w:r>
    </w:p>
    <w:p>
      <w:pPr>
        <w:pStyle w:val="BodyText"/>
        <w:spacing w:line="267" w:lineRule="exact"/>
        <w:ind w:left="720"/>
      </w:pPr>
      <w:r>
        <w:rPr>
          <w:rFonts w:ascii="Times New Roman" w:eastAsia="Times New Roman"/>
        </w:rPr>
        <w:t>2</w:t>
      </w:r>
      <w:r>
        <w:rPr/>
        <w:t>、基金管理人未按规定召集或不能召集时，由基金托管人召集。</w:t>
      </w:r>
    </w:p>
    <w:p>
      <w:pPr>
        <w:pStyle w:val="BodyText"/>
        <w:spacing w:before="1"/>
        <w:rPr>
          <w:sz w:val="16"/>
        </w:rPr>
      </w:pPr>
    </w:p>
    <w:p>
      <w:pPr>
        <w:pStyle w:val="BodyText"/>
        <w:spacing w:line="427" w:lineRule="auto"/>
        <w:ind w:left="300" w:right="87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24" w:lineRule="auto"/>
        <w:ind w:left="300" w:right="87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24" w:lineRule="auto"/>
        <w:ind w:left="300" w:right="87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17"/>
        </w:rPr>
        <w:t>  </w:t>
      </w:r>
      <w:r>
        <w:rPr>
          <w:spacing w:val="-3"/>
        </w:rPr>
        <w:t>日内决定是否召集，并书面告知提出提议的基金份额持有人代表和基金托管人。基金管</w:t>
      </w:r>
    </w:p>
    <w:p>
      <w:pPr>
        <w:pStyle w:val="BodyText"/>
        <w:spacing w:line="424" w:lineRule="auto"/>
        <w:ind w:left="300" w:right="871"/>
        <w:jc w:val="both"/>
      </w:pPr>
      <w:r>
        <w:rPr>
          <w:spacing w:val="-5"/>
        </w:rPr>
        <w:t>理人决定召集的，应当自出具书面决定之日起 </w:t>
      </w:r>
      <w:r>
        <w:rPr>
          <w:rFonts w:ascii="Times New Roman" w:eastAsia="Times New Roman"/>
        </w:rPr>
        <w:t>60</w:t>
      </w:r>
      <w:r>
        <w:rPr>
          <w:rFonts w:ascii="Times New Roman" w:eastAsia="Times New Roman"/>
          <w:spacing w:val="26"/>
        </w:rPr>
        <w:t> </w:t>
      </w:r>
      <w:r>
        <w:rPr>
          <w:spacing w:val="-3"/>
        </w:rPr>
        <w:t>日内召开；基金管理人决定不召集，代表</w:t>
      </w:r>
      <w:r>
        <w:rPr>
          <w:spacing w:val="-1"/>
        </w:rPr>
        <w:t>基金份额 </w:t>
      </w:r>
      <w:r>
        <w:rPr>
          <w:rFonts w:ascii="Times New Roman" w:eastAsia="Times New Roman"/>
        </w:rPr>
        <w:t>10%</w:t>
      </w:r>
      <w:r>
        <w:rPr>
          <w:spacing w:val="-2"/>
        </w:rPr>
        <w:t>以上</w:t>
      </w:r>
      <w:r>
        <w:rPr>
          <w:spacing w:val="-3"/>
        </w:rPr>
        <w:t>（</w:t>
      </w:r>
      <w:r>
        <w:rPr>
          <w:spacing w:val="4"/>
        </w:rPr>
        <w:t>含 </w:t>
      </w:r>
      <w:r>
        <w:rPr>
          <w:rFonts w:ascii="Times New Roman" w:eastAsia="Times New Roman"/>
        </w:rPr>
        <w:t>10%</w:t>
      </w:r>
      <w:r>
        <w:rPr/>
        <w:t>）</w:t>
      </w:r>
      <w:r>
        <w:rPr>
          <w:spacing w:val="-3"/>
        </w:rPr>
        <w:t>的基金份额持有人仍认为有必要召开的，应当向基金托管人</w:t>
      </w:r>
    </w:p>
    <w:p>
      <w:pPr>
        <w:spacing w:after="0" w:line="424" w:lineRule="auto"/>
        <w:jc w:val="both"/>
        <w:sectPr>
          <w:pgSz w:w="11910" w:h="16840"/>
          <w:pgMar w:header="701" w:footer="683" w:top="1420" w:bottom="880" w:left="1500" w:right="920"/>
        </w:sectPr>
      </w:pPr>
    </w:p>
    <w:p>
      <w:pPr>
        <w:pStyle w:val="BodyText"/>
        <w:spacing w:line="424" w:lineRule="auto" w:before="115"/>
        <w:ind w:left="300" w:right="871"/>
        <w:jc w:val="both"/>
      </w:pP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24" w:lineRule="auto"/>
        <w:ind w:left="300" w:right="87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24" w:lineRule="auto"/>
        <w:ind w:left="300" w:right="87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267" w:lineRule="exact"/>
        <w:ind w:left="720"/>
      </w:pPr>
      <w:r>
        <w:rPr>
          <w:rFonts w:ascii="Times New Roman" w:eastAsia="Times New Roman"/>
        </w:rPr>
        <w:t>6</w:t>
      </w:r>
      <w:r>
        <w:rPr/>
        <w:t>、基金份额持有人会议的召集人负责选择确定开会时间、地点、方式和权益登记日。</w:t>
      </w:r>
    </w:p>
    <w:p>
      <w:pPr>
        <w:pStyle w:val="BodyText"/>
        <w:spacing w:before="10"/>
        <w:rPr>
          <w:sz w:val="15"/>
        </w:rPr>
      </w:pPr>
    </w:p>
    <w:p>
      <w:pPr>
        <w:pStyle w:val="BodyText"/>
        <w:spacing w:before="1"/>
        <w:ind w:left="720"/>
      </w:pPr>
      <w:r>
        <w:rPr/>
        <w:t>（三）召开基金份额持有人大会的通知时间、通知内容、通知方式</w:t>
      </w:r>
    </w:p>
    <w:p>
      <w:pPr>
        <w:pStyle w:val="BodyText"/>
        <w:spacing w:before="1"/>
        <w:rPr>
          <w:sz w:val="16"/>
        </w:rPr>
      </w:pPr>
    </w:p>
    <w:p>
      <w:pPr>
        <w:pStyle w:val="BodyText"/>
        <w:spacing w:line="424" w:lineRule="auto"/>
        <w:ind w:left="300" w:right="87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天，在规定媒介公告。基金份</w:t>
      </w:r>
      <w:r>
        <w:rPr>
          <w:spacing w:val="-5"/>
        </w:rPr>
        <w:t>额持有人大会通知应至少载明以下内容：</w:t>
      </w:r>
    </w:p>
    <w:p>
      <w:pPr>
        <w:pStyle w:val="ListParagraph"/>
        <w:numPr>
          <w:ilvl w:val="0"/>
          <w:numId w:val="56"/>
        </w:numPr>
        <w:tabs>
          <w:tab w:pos="1250" w:val="left" w:leader="none"/>
        </w:tabs>
        <w:spacing w:line="267" w:lineRule="exact" w:before="0" w:after="0"/>
        <w:ind w:left="1249" w:right="0" w:hanging="530"/>
        <w:jc w:val="left"/>
        <w:rPr>
          <w:sz w:val="21"/>
        </w:rPr>
      </w:pPr>
      <w:r>
        <w:rPr>
          <w:spacing w:val="-3"/>
          <w:sz w:val="21"/>
        </w:rPr>
        <w:t>会议召开的时间、地点、方式和会议形式；</w:t>
      </w:r>
    </w:p>
    <w:p>
      <w:pPr>
        <w:pStyle w:val="BodyText"/>
        <w:spacing w:before="3"/>
        <w:rPr>
          <w:sz w:val="16"/>
        </w:rPr>
      </w:pPr>
    </w:p>
    <w:p>
      <w:pPr>
        <w:pStyle w:val="ListParagraph"/>
        <w:numPr>
          <w:ilvl w:val="0"/>
          <w:numId w:val="56"/>
        </w:numPr>
        <w:tabs>
          <w:tab w:pos="1250" w:val="left" w:leader="none"/>
        </w:tabs>
        <w:spacing w:line="240" w:lineRule="auto" w:before="0" w:after="0"/>
        <w:ind w:left="1249" w:right="0" w:hanging="530"/>
        <w:jc w:val="left"/>
        <w:rPr>
          <w:sz w:val="21"/>
        </w:rPr>
      </w:pPr>
      <w:r>
        <w:rPr>
          <w:spacing w:val="-3"/>
          <w:sz w:val="21"/>
        </w:rPr>
        <w:t>会议拟审议的事项、议事程序和表决形式；</w:t>
      </w:r>
    </w:p>
    <w:p>
      <w:pPr>
        <w:pStyle w:val="BodyText"/>
        <w:spacing w:before="2"/>
        <w:rPr>
          <w:sz w:val="16"/>
        </w:rPr>
      </w:pPr>
    </w:p>
    <w:p>
      <w:pPr>
        <w:pStyle w:val="ListParagraph"/>
        <w:numPr>
          <w:ilvl w:val="0"/>
          <w:numId w:val="56"/>
        </w:numPr>
        <w:tabs>
          <w:tab w:pos="1250" w:val="left" w:leader="none"/>
        </w:tabs>
        <w:spacing w:line="240" w:lineRule="auto" w:before="0" w:after="0"/>
        <w:ind w:left="1249" w:right="0" w:hanging="530"/>
        <w:jc w:val="left"/>
        <w:rPr>
          <w:sz w:val="21"/>
        </w:rPr>
      </w:pPr>
      <w:r>
        <w:rPr>
          <w:spacing w:val="-3"/>
          <w:sz w:val="21"/>
        </w:rPr>
        <w:t>有权出席基金份额持有人大会的基金份额持有人的权益登记日；</w:t>
      </w:r>
    </w:p>
    <w:p>
      <w:pPr>
        <w:pStyle w:val="BodyText"/>
        <w:spacing w:before="1"/>
        <w:rPr>
          <w:sz w:val="16"/>
        </w:rPr>
      </w:pPr>
    </w:p>
    <w:p>
      <w:pPr>
        <w:pStyle w:val="ListParagraph"/>
        <w:numPr>
          <w:ilvl w:val="0"/>
          <w:numId w:val="56"/>
        </w:numPr>
        <w:tabs>
          <w:tab w:pos="1250" w:val="left" w:leader="none"/>
        </w:tabs>
        <w:spacing w:line="424" w:lineRule="auto" w:before="0" w:after="0"/>
        <w:ind w:left="300" w:right="873" w:firstLine="419"/>
        <w:jc w:val="left"/>
        <w:rPr>
          <w:sz w:val="21"/>
        </w:rPr>
      </w:pPr>
      <w:r>
        <w:rPr>
          <w:spacing w:val="-13"/>
          <w:sz w:val="21"/>
        </w:rPr>
        <w:t>授权委托书的内容要求</w:t>
      </w:r>
      <w:r>
        <w:rPr>
          <w:spacing w:val="-3"/>
          <w:sz w:val="21"/>
        </w:rPr>
        <w:t>（</w:t>
      </w:r>
      <w:r>
        <w:rPr>
          <w:spacing w:val="-12"/>
          <w:sz w:val="21"/>
        </w:rPr>
        <w:t>包括但不限于代理人身份，代理权限和代理有效期限等</w:t>
      </w:r>
      <w:r>
        <w:rPr>
          <w:spacing w:val="-108"/>
          <w:sz w:val="21"/>
        </w:rPr>
        <w:t>）</w:t>
      </w:r>
      <w:r>
        <w:rPr>
          <w:spacing w:val="-103"/>
          <w:sz w:val="21"/>
        </w:rPr>
        <w:t> </w:t>
      </w:r>
      <w:r>
        <w:rPr>
          <w:spacing w:val="-3"/>
          <w:sz w:val="21"/>
        </w:rPr>
        <w:t>、送达时间和地点；</w:t>
      </w:r>
    </w:p>
    <w:p>
      <w:pPr>
        <w:pStyle w:val="ListParagraph"/>
        <w:numPr>
          <w:ilvl w:val="0"/>
          <w:numId w:val="56"/>
        </w:numPr>
        <w:tabs>
          <w:tab w:pos="1250" w:val="left" w:leader="none"/>
        </w:tabs>
        <w:spacing w:line="267" w:lineRule="exact" w:before="0" w:after="0"/>
        <w:ind w:left="1249" w:right="0" w:hanging="530"/>
        <w:jc w:val="left"/>
        <w:rPr>
          <w:sz w:val="21"/>
        </w:rPr>
      </w:pPr>
      <w:r>
        <w:rPr>
          <w:spacing w:val="-3"/>
          <w:sz w:val="21"/>
        </w:rPr>
        <w:t>会务常设联系人姓名及联系电话。</w:t>
      </w:r>
    </w:p>
    <w:p>
      <w:pPr>
        <w:pStyle w:val="BodyText"/>
        <w:spacing w:before="1"/>
        <w:rPr>
          <w:sz w:val="16"/>
        </w:rPr>
      </w:pPr>
    </w:p>
    <w:p>
      <w:pPr>
        <w:pStyle w:val="BodyText"/>
        <w:spacing w:line="424" w:lineRule="auto"/>
        <w:ind w:left="300" w:right="871" w:firstLine="419"/>
        <w:jc w:val="both"/>
      </w:pPr>
      <w:r>
        <w:rPr>
          <w:rFonts w:ascii="Times New Roman" w:eastAsia="Times New Roman"/>
        </w:rPr>
        <w:t>2</w:t>
      </w:r>
      <w:r>
        <w:rPr>
          <w:spacing w:val="-3"/>
        </w:rPr>
        <w:t>、采取通讯开会方式并进行表决的情况下，由会议召集人决定通讯方式和书面表决方</w:t>
      </w:r>
      <w:r>
        <w:rPr>
          <w:spacing w:val="-11"/>
        </w:rPr>
        <w:t>式，并在会议通知中说明本次基金份额持有人大会所采取的具体通讯方式、委托的公证机关</w:t>
      </w:r>
      <w:r>
        <w:rPr>
          <w:spacing w:val="-6"/>
        </w:rPr>
        <w:t>及其联系方式和联系人、书面表决意见寄交的截止时间和收取方式。</w:t>
      </w:r>
    </w:p>
    <w:p>
      <w:pPr>
        <w:pStyle w:val="BodyText"/>
        <w:spacing w:line="424" w:lineRule="auto"/>
        <w:ind w:left="300" w:right="871" w:firstLine="419"/>
        <w:jc w:val="both"/>
      </w:pPr>
      <w:r>
        <w:rPr>
          <w:rFonts w:ascii="Times New Roman" w:eastAsia="Times New Roman"/>
        </w:rPr>
        <w:t>3</w:t>
      </w:r>
      <w:r>
        <w:rPr>
          <w:spacing w:val="-3"/>
        </w:rPr>
        <w:t>、如召集人为基金管理人，还应另行书面通知基金托管人到指定地点对书面表决意见</w:t>
      </w:r>
      <w:r>
        <w:rPr>
          <w:spacing w:val="-12"/>
        </w:rPr>
        <w:t>的计票进行监督；如召集人为基金托管人，则应另行书面通知基金管理人到指定地点对书面表决意见的计票进行监督；如召集人为基金份额持有人，则应另行书面通知基金管理人和基</w:t>
      </w:r>
      <w:r>
        <w:rPr>
          <w:spacing w:val="-10"/>
        </w:rPr>
        <w:t>金托管人到指定地点对书面表决意见的计票进行监督。基金管理人或基金托管人拒不派代表</w:t>
      </w:r>
      <w:r>
        <w:rPr>
          <w:spacing w:val="-5"/>
        </w:rPr>
        <w:t>对书面表决意见的计票进行监督的，不影响表决意见的计票结果。</w:t>
      </w:r>
    </w:p>
    <w:p>
      <w:pPr>
        <w:pStyle w:val="BodyText"/>
        <w:spacing w:line="264" w:lineRule="exact"/>
        <w:ind w:left="720"/>
      </w:pPr>
      <w:r>
        <w:rPr/>
        <w:t>（四）基金份额持有人出席会议的方式</w:t>
      </w:r>
    </w:p>
    <w:p>
      <w:pPr>
        <w:pStyle w:val="BodyText"/>
        <w:spacing w:before="1"/>
        <w:rPr>
          <w:sz w:val="16"/>
        </w:rPr>
      </w:pPr>
    </w:p>
    <w:p>
      <w:pPr>
        <w:pStyle w:val="BodyText"/>
        <w:spacing w:line="424" w:lineRule="auto"/>
        <w:ind w:left="720" w:right="2878"/>
      </w:pPr>
      <w:r>
        <w:rPr/>
        <w:t>基金份额持有人大会可通过现场开会方式或通讯开会方式召开。会议的召开方式由会议召集人确定。</w:t>
      </w:r>
    </w:p>
    <w:p>
      <w:pPr>
        <w:spacing w:after="0" w:line="424" w:lineRule="auto"/>
        <w:sectPr>
          <w:pgSz w:w="11910" w:h="16840"/>
          <w:pgMar w:header="701" w:footer="683" w:top="1420" w:bottom="880" w:left="1500" w:right="920"/>
        </w:sectPr>
      </w:pPr>
    </w:p>
    <w:p>
      <w:pPr>
        <w:pStyle w:val="BodyText"/>
        <w:spacing w:line="424" w:lineRule="auto" w:before="115"/>
        <w:ind w:left="300" w:right="871" w:firstLine="419"/>
        <w:jc w:val="both"/>
      </w:pPr>
      <w:r>
        <w:rPr>
          <w:rFonts w:ascii="Times New Roman" w:eastAsia="Times New Roman"/>
        </w:rPr>
        <w:t>1</w:t>
      </w:r>
      <w:r>
        <w:rPr>
          <w:spacing w:val="-3"/>
        </w:rPr>
        <w:t>、现场开会。由基金份额持有人本人出席或以代理投票授权委托书委派代表出席，现</w:t>
      </w:r>
      <w:r>
        <w:rPr>
          <w:spacing w:val="-6"/>
        </w:rPr>
        <w:t>场开会时基金管理人和基金托管人的授权代表应当列席基金份额持有人大会，基金管理人或</w:t>
      </w:r>
      <w:r>
        <w:rPr>
          <w:spacing w:val="-10"/>
        </w:rPr>
        <w:t>托管人不派代表列席的，不影响表决效力。现场开会同时符合以下条件时，可以进行基金份</w:t>
      </w:r>
      <w:r>
        <w:rPr>
          <w:spacing w:val="-5"/>
        </w:rPr>
        <w:t>额持有人大会议程：</w:t>
      </w:r>
    </w:p>
    <w:p>
      <w:pPr>
        <w:pStyle w:val="ListParagraph"/>
        <w:numPr>
          <w:ilvl w:val="0"/>
          <w:numId w:val="57"/>
        </w:numPr>
        <w:tabs>
          <w:tab w:pos="1250" w:val="left" w:leader="none"/>
        </w:tabs>
        <w:spacing w:line="424" w:lineRule="auto" w:before="0" w:after="0"/>
        <w:ind w:left="300" w:right="871" w:firstLine="419"/>
        <w:jc w:val="both"/>
        <w:rPr>
          <w:sz w:val="21"/>
        </w:rPr>
      </w:pPr>
      <w:r>
        <w:rPr>
          <w:spacing w:val="-3"/>
          <w:sz w:val="21"/>
        </w:rPr>
        <w:t>亲自出席会议者持有基金份额的凭证、受托出席会议者出具的委托人持有基金份</w:t>
      </w:r>
      <w:r>
        <w:rPr>
          <w:spacing w:val="-8"/>
          <w:sz w:val="21"/>
        </w:rPr>
        <w:t>额的凭证及委托人的代理投票授权委托书符合法律法规、《基金合同》和会议通知的规定， </w:t>
      </w:r>
      <w:r>
        <w:rPr>
          <w:spacing w:val="-5"/>
          <w:sz w:val="21"/>
        </w:rPr>
        <w:t>并且持有基金份额的凭证与基金管理人持有的登记资料相符；</w:t>
      </w:r>
    </w:p>
    <w:p>
      <w:pPr>
        <w:pStyle w:val="ListParagraph"/>
        <w:numPr>
          <w:ilvl w:val="0"/>
          <w:numId w:val="57"/>
        </w:numPr>
        <w:tabs>
          <w:tab w:pos="1250" w:val="left" w:leader="none"/>
        </w:tabs>
        <w:spacing w:line="424" w:lineRule="auto" w:before="0" w:after="0"/>
        <w:ind w:left="300" w:right="871" w:firstLine="419"/>
        <w:jc w:val="both"/>
        <w:rPr>
          <w:sz w:val="21"/>
        </w:rPr>
      </w:pPr>
      <w:r>
        <w:rPr>
          <w:spacing w:val="-3"/>
          <w:sz w:val="21"/>
        </w:rPr>
        <w:t>经核对，汇总到会者出示的在权益登记日持有基金份额的凭证显示，有效的基金份额不少于本基金在权益登记日基金总份额的二分之一（</w:t>
      </w:r>
      <w:r>
        <w:rPr>
          <w:spacing w:val="-1"/>
          <w:sz w:val="21"/>
        </w:rPr>
        <w:t>含二分之一</w:t>
      </w:r>
      <w:r>
        <w:rPr>
          <w:spacing w:val="-108"/>
          <w:sz w:val="21"/>
        </w:rPr>
        <w:t>）</w:t>
      </w:r>
      <w:r>
        <w:rPr>
          <w:spacing w:val="-2"/>
          <w:sz w:val="21"/>
        </w:rPr>
        <w:t>。若到会者在权益登</w:t>
      </w:r>
      <w:r>
        <w:rPr>
          <w:spacing w:val="-6"/>
          <w:sz w:val="21"/>
        </w:rPr>
        <w:t>记日代表的有效的基金份额少于本基金在权益登记日基金总份额的二分之一，召集人可以在原公告的基金份额持有人大会召开时间的 </w:t>
      </w:r>
      <w:r>
        <w:rPr>
          <w:rFonts w:ascii="Times New Roman" w:eastAsia="Times New Roman"/>
          <w:sz w:val="21"/>
        </w:rPr>
        <w:t>3</w:t>
      </w:r>
      <w:r>
        <w:rPr>
          <w:rFonts w:ascii="Times New Roman" w:eastAsia="Times New Roman"/>
          <w:spacing w:val="14"/>
          <w:sz w:val="21"/>
        </w:rPr>
        <w:t> </w:t>
      </w:r>
      <w:r>
        <w:rPr>
          <w:spacing w:val="-7"/>
          <w:sz w:val="21"/>
        </w:rPr>
        <w:t>个月以后、</w:t>
      </w:r>
      <w:r>
        <w:rPr>
          <w:rFonts w:ascii="Times New Roman" w:eastAsia="Times New Roman"/>
          <w:sz w:val="21"/>
        </w:rPr>
        <w:t>6</w:t>
      </w:r>
      <w:r>
        <w:rPr>
          <w:rFonts w:ascii="Times New Roman" w:eastAsia="Times New Roman"/>
          <w:spacing w:val="14"/>
          <w:sz w:val="21"/>
        </w:rPr>
        <w:t> </w:t>
      </w:r>
      <w:r>
        <w:rPr>
          <w:spacing w:val="-7"/>
          <w:sz w:val="21"/>
        </w:rPr>
        <w:t>个月以内，就原定审议事项重新召</w:t>
      </w:r>
      <w:r>
        <w:rPr>
          <w:spacing w:val="-13"/>
          <w:sz w:val="21"/>
        </w:rPr>
        <w:t>集基金份额持有人大会。重新召集的基金份额持有人大会到会者在权益登记日代表的有效的</w:t>
      </w:r>
      <w:r>
        <w:rPr>
          <w:spacing w:val="-6"/>
          <w:sz w:val="21"/>
        </w:rPr>
        <w:t>基金份额应不少于本基金在权益登记日基金总份额的三分之一</w:t>
      </w:r>
      <w:r>
        <w:rPr>
          <w:sz w:val="21"/>
        </w:rPr>
        <w:t>（</w:t>
      </w:r>
      <w:r>
        <w:rPr>
          <w:spacing w:val="-3"/>
          <w:sz w:val="21"/>
        </w:rPr>
        <w:t>含三分之一</w:t>
      </w:r>
      <w:r>
        <w:rPr>
          <w:spacing w:val="-108"/>
          <w:sz w:val="21"/>
        </w:rPr>
        <w:t>）</w:t>
      </w:r>
      <w:r>
        <w:rPr>
          <w:sz w:val="21"/>
        </w:rPr>
        <w:t>。</w:t>
      </w:r>
    </w:p>
    <w:p>
      <w:pPr>
        <w:pStyle w:val="BodyText"/>
        <w:spacing w:line="424" w:lineRule="auto"/>
        <w:ind w:left="300" w:right="87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7" w:lineRule="exact"/>
        <w:ind w:left="720"/>
      </w:pPr>
      <w:r>
        <w:rPr/>
        <w:t>在同时符合以下条件时，通讯开会的方式视为有效：</w:t>
      </w:r>
    </w:p>
    <w:p>
      <w:pPr>
        <w:pStyle w:val="BodyText"/>
        <w:spacing w:before="5"/>
        <w:rPr>
          <w:sz w:val="15"/>
        </w:rPr>
      </w:pPr>
    </w:p>
    <w:p>
      <w:pPr>
        <w:pStyle w:val="ListParagraph"/>
        <w:numPr>
          <w:ilvl w:val="0"/>
          <w:numId w:val="58"/>
        </w:numPr>
        <w:tabs>
          <w:tab w:pos="1250" w:val="left" w:leader="none"/>
        </w:tabs>
        <w:spacing w:line="240" w:lineRule="auto" w:before="0" w:after="0"/>
        <w:ind w:left="1249" w:right="0" w:hanging="530"/>
        <w:jc w:val="left"/>
        <w:rPr>
          <w:sz w:val="21"/>
        </w:rPr>
      </w:pPr>
      <w:r>
        <w:rPr>
          <w:spacing w:val="-3"/>
          <w:sz w:val="21"/>
        </w:rPr>
        <w:t>会议召集人按《基金合同》规定公布会议通知后，按规定进行公告。</w:t>
      </w:r>
    </w:p>
    <w:p>
      <w:pPr>
        <w:pStyle w:val="BodyText"/>
        <w:spacing w:before="1"/>
        <w:rPr>
          <w:sz w:val="16"/>
        </w:rPr>
      </w:pPr>
    </w:p>
    <w:p>
      <w:pPr>
        <w:pStyle w:val="ListParagraph"/>
        <w:numPr>
          <w:ilvl w:val="0"/>
          <w:numId w:val="58"/>
        </w:numPr>
        <w:tabs>
          <w:tab w:pos="1250" w:val="left" w:leader="none"/>
        </w:tabs>
        <w:spacing w:line="424" w:lineRule="auto" w:before="0" w:after="0"/>
        <w:ind w:left="300" w:right="873" w:firstLine="419"/>
        <w:jc w:val="left"/>
        <w:rPr>
          <w:sz w:val="21"/>
        </w:rPr>
      </w:pPr>
      <w:r>
        <w:rPr>
          <w:spacing w:val="-3"/>
          <w:sz w:val="21"/>
        </w:rPr>
        <w:t>大会召集人按本基金合同规定通知基金托管人或</w:t>
      </w:r>
      <w:r>
        <w:rPr>
          <w:rFonts w:ascii="Times New Roman" w:hAnsi="Times New Roman" w:eastAsia="Times New Roman"/>
          <w:sz w:val="21"/>
        </w:rPr>
        <w:t>/</w:t>
      </w:r>
      <w:r>
        <w:rPr>
          <w:spacing w:val="-7"/>
          <w:sz w:val="21"/>
        </w:rPr>
        <w:t>和基金管理人</w:t>
      </w:r>
      <w:r>
        <w:rPr>
          <w:spacing w:val="-3"/>
          <w:sz w:val="21"/>
        </w:rPr>
        <w:t>（分别或共同地 </w:t>
      </w:r>
      <w:r>
        <w:rPr>
          <w:sz w:val="21"/>
        </w:rPr>
        <w:t>称为</w:t>
      </w:r>
      <w:r>
        <w:rPr>
          <w:rFonts w:ascii="Times New Roman" w:hAnsi="Times New Roman" w:eastAsia="Times New Roman"/>
          <w:sz w:val="21"/>
        </w:rPr>
        <w:t>“</w:t>
      </w:r>
      <w:r>
        <w:rPr>
          <w:spacing w:val="-2"/>
          <w:sz w:val="21"/>
        </w:rPr>
        <w:t>监督人</w:t>
      </w:r>
      <w:r>
        <w:rPr>
          <w:rFonts w:ascii="Times New Roman" w:hAnsi="Times New Roman" w:eastAsia="Times New Roman"/>
          <w:sz w:val="21"/>
        </w:rPr>
        <w:t>”</w:t>
      </w:r>
      <w:r>
        <w:rPr>
          <w:sz w:val="21"/>
        </w:rPr>
        <w:t>）</w:t>
      </w:r>
      <w:r>
        <w:rPr>
          <w:spacing w:val="-3"/>
          <w:sz w:val="21"/>
        </w:rPr>
        <w:t>到指定地点对书面表决意见的计票进行监督。</w:t>
      </w:r>
    </w:p>
    <w:p>
      <w:pPr>
        <w:pStyle w:val="ListParagraph"/>
        <w:numPr>
          <w:ilvl w:val="0"/>
          <w:numId w:val="58"/>
        </w:numPr>
        <w:tabs>
          <w:tab w:pos="1250" w:val="left" w:leader="none"/>
        </w:tabs>
        <w:spacing w:line="424" w:lineRule="auto" w:before="0" w:after="0"/>
        <w:ind w:left="300" w:right="871" w:firstLine="419"/>
        <w:jc w:val="both"/>
        <w:rPr>
          <w:sz w:val="21"/>
        </w:rPr>
      </w:pPr>
      <w:r>
        <w:rPr>
          <w:spacing w:val="-3"/>
          <w:sz w:val="21"/>
        </w:rPr>
        <w:t>会议召集人按规定收取基金份额持有人的书面表决意见；并在监督人和公证机关</w:t>
      </w:r>
      <w:r>
        <w:rPr>
          <w:spacing w:val="-8"/>
          <w:sz w:val="21"/>
        </w:rPr>
        <w:t>的监督下统计基金份额持有人的书面表决意见，如基金管理人或基金托管人经通知拒不到场</w:t>
      </w:r>
      <w:r>
        <w:rPr>
          <w:spacing w:val="-5"/>
          <w:sz w:val="21"/>
        </w:rPr>
        <w:t>监督的，不影响表决效力。</w:t>
      </w:r>
    </w:p>
    <w:p>
      <w:pPr>
        <w:pStyle w:val="ListParagraph"/>
        <w:numPr>
          <w:ilvl w:val="0"/>
          <w:numId w:val="58"/>
        </w:numPr>
        <w:tabs>
          <w:tab w:pos="1303" w:val="left" w:leader="none"/>
        </w:tabs>
        <w:spacing w:line="424" w:lineRule="auto" w:before="0" w:after="0"/>
        <w:ind w:left="300" w:right="871" w:firstLine="472"/>
        <w:jc w:val="both"/>
        <w:rPr>
          <w:sz w:val="21"/>
        </w:rPr>
      </w:pPr>
      <w:r>
        <w:rPr>
          <w:spacing w:val="-4"/>
          <w:sz w:val="21"/>
        </w:rPr>
        <w:t>本人直接出具书面意见或授权他人代表出具书面意见的，基金份额持有人所持 </w:t>
      </w:r>
      <w:r>
        <w:rPr>
          <w:spacing w:val="-3"/>
          <w:sz w:val="21"/>
        </w:rPr>
        <w:t>有的基金份额不小于在权益登记日基金总份额的二分之一（</w:t>
      </w:r>
      <w:r>
        <w:rPr>
          <w:spacing w:val="-1"/>
          <w:sz w:val="21"/>
        </w:rPr>
        <w:t>含二分之一</w:t>
      </w:r>
      <w:r>
        <w:rPr>
          <w:spacing w:val="-108"/>
          <w:sz w:val="21"/>
        </w:rPr>
        <w:t>）</w:t>
      </w:r>
      <w:r>
        <w:rPr>
          <w:spacing w:val="-2"/>
          <w:sz w:val="21"/>
        </w:rPr>
        <w:t>。若本人直接出具书面意见或授权他人代表出具书面意见的基金份额持有人所持有的基金份额小于在权益登</w:t>
      </w:r>
      <w:r>
        <w:rPr>
          <w:spacing w:val="-12"/>
          <w:sz w:val="21"/>
        </w:rPr>
        <w:t>记日基金总份额的二分之一，召集人可以在原公告的基金份额持有人大会召开时间的 </w:t>
      </w:r>
      <w:r>
        <w:rPr>
          <w:rFonts w:ascii="Times New Roman" w:eastAsia="Times New Roman"/>
          <w:sz w:val="21"/>
        </w:rPr>
        <w:t>3</w:t>
      </w:r>
      <w:r>
        <w:rPr>
          <w:rFonts w:ascii="Times New Roman" w:eastAsia="Times New Roman"/>
          <w:spacing w:val="16"/>
          <w:sz w:val="21"/>
        </w:rPr>
        <w:t> </w:t>
      </w:r>
      <w:r>
        <w:rPr>
          <w:spacing w:val="-2"/>
          <w:sz w:val="21"/>
        </w:rPr>
        <w:t>个月</w:t>
      </w:r>
      <w:r>
        <w:rPr>
          <w:spacing w:val="-5"/>
          <w:sz w:val="21"/>
        </w:rPr>
        <w:t>以后、</w:t>
      </w:r>
      <w:r>
        <w:rPr>
          <w:rFonts w:ascii="Times New Roman" w:eastAsia="Times New Roman"/>
          <w:sz w:val="21"/>
        </w:rPr>
        <w:t>6</w:t>
      </w:r>
      <w:r>
        <w:rPr>
          <w:rFonts w:ascii="Times New Roman" w:eastAsia="Times New Roman"/>
          <w:spacing w:val="31"/>
          <w:sz w:val="21"/>
        </w:rPr>
        <w:t> </w:t>
      </w:r>
      <w:r>
        <w:rPr>
          <w:spacing w:val="-6"/>
          <w:sz w:val="21"/>
        </w:rPr>
        <w:t>个月以内，就原定审议事项重新召集基金份额持有人大会。重新召集的基金份额持</w:t>
      </w:r>
      <w:r>
        <w:rPr>
          <w:spacing w:val="-7"/>
          <w:sz w:val="21"/>
        </w:rPr>
        <w:t>有人大会应当有代表三分之一以上</w:t>
      </w:r>
      <w:r>
        <w:rPr>
          <w:sz w:val="21"/>
        </w:rPr>
        <w:t>（</w:t>
      </w:r>
      <w:r>
        <w:rPr>
          <w:spacing w:val="-3"/>
          <w:sz w:val="21"/>
        </w:rPr>
        <w:t>含三分之一</w:t>
      </w:r>
      <w:r>
        <w:rPr>
          <w:spacing w:val="-51"/>
          <w:sz w:val="21"/>
        </w:rPr>
        <w:t>）</w:t>
      </w:r>
      <w:r>
        <w:rPr>
          <w:spacing w:val="-3"/>
          <w:sz w:val="21"/>
        </w:rPr>
        <w:t>基金份额的持有人直接出具书面意见或授权他人代表出具书面意见。</w:t>
      </w:r>
    </w:p>
    <w:p>
      <w:pPr>
        <w:spacing w:after="0" w:line="424" w:lineRule="auto"/>
        <w:jc w:val="both"/>
        <w:rPr>
          <w:sz w:val="21"/>
        </w:rPr>
        <w:sectPr>
          <w:pgSz w:w="11910" w:h="16840"/>
          <w:pgMar w:header="701" w:footer="683" w:top="1420" w:bottom="880" w:left="1500" w:right="920"/>
        </w:sectPr>
      </w:pPr>
    </w:p>
    <w:p>
      <w:pPr>
        <w:pStyle w:val="ListParagraph"/>
        <w:numPr>
          <w:ilvl w:val="0"/>
          <w:numId w:val="58"/>
        </w:numPr>
        <w:tabs>
          <w:tab w:pos="1250" w:val="left" w:leader="none"/>
        </w:tabs>
        <w:spacing w:line="424" w:lineRule="auto" w:before="115" w:after="0"/>
        <w:ind w:left="300" w:right="871" w:firstLine="419"/>
        <w:jc w:val="both"/>
        <w:rPr>
          <w:sz w:val="21"/>
        </w:rPr>
      </w:pPr>
      <w:r>
        <w:rPr>
          <w:spacing w:val="-12"/>
          <w:sz w:val="21"/>
        </w:rPr>
        <w:t>上述第</w:t>
      </w:r>
      <w:r>
        <w:rPr>
          <w:spacing w:val="-13"/>
          <w:sz w:val="21"/>
        </w:rPr>
        <w:t>（</w:t>
      </w:r>
      <w:r>
        <w:rPr>
          <w:rFonts w:ascii="Times New Roman" w:eastAsia="Times New Roman"/>
          <w:spacing w:val="-13"/>
          <w:sz w:val="21"/>
        </w:rPr>
        <w:t>4</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持有基金份额的凭证及委托人的代理投票授权委托书符合法律法规、《基金合同》和会议通</w:t>
      </w:r>
      <w:r>
        <w:rPr>
          <w:spacing w:val="-7"/>
          <w:sz w:val="21"/>
        </w:rPr>
        <w:t>知的规定，并与基金登记机构记录相符。</w:t>
      </w:r>
    </w:p>
    <w:p>
      <w:pPr>
        <w:pStyle w:val="ListParagraph"/>
        <w:numPr>
          <w:ilvl w:val="0"/>
          <w:numId w:val="58"/>
        </w:numPr>
        <w:tabs>
          <w:tab w:pos="1250" w:val="left" w:leader="none"/>
        </w:tabs>
        <w:spacing w:line="265" w:lineRule="exact" w:before="0" w:after="0"/>
        <w:ind w:left="1249" w:right="0" w:hanging="530"/>
        <w:jc w:val="left"/>
        <w:rPr>
          <w:sz w:val="21"/>
        </w:rPr>
      </w:pPr>
      <w:r>
        <w:rPr>
          <w:spacing w:val="-3"/>
          <w:sz w:val="21"/>
        </w:rPr>
        <w:t>会议通知公布前报中国证监会备案。</w:t>
      </w:r>
    </w:p>
    <w:p>
      <w:pPr>
        <w:pStyle w:val="BodyText"/>
        <w:spacing w:before="3"/>
        <w:rPr>
          <w:sz w:val="16"/>
        </w:rPr>
      </w:pPr>
    </w:p>
    <w:p>
      <w:pPr>
        <w:pStyle w:val="BodyText"/>
        <w:spacing w:line="424" w:lineRule="auto"/>
        <w:ind w:left="300" w:right="768" w:firstLine="419"/>
      </w:pPr>
      <w:r>
        <w:rPr>
          <w:spacing w:val="-9"/>
        </w:rPr>
        <w:t>采取通讯方式进行表决时，除非在计票时有充分的相反证据证明，否则提交符合会议通知中规定的确认投资者身份文件的表决视为有效出席的投资者；表面符合法律法规和会议通</w:t>
      </w:r>
      <w:r>
        <w:rPr>
          <w:spacing w:val="-5"/>
        </w:rPr>
        <w:t>知规定的书面表决意见即视为有效的表决，表决意见模糊不清或相互矛盾的视为弃权表决， </w:t>
      </w:r>
      <w:r>
        <w:rPr>
          <w:spacing w:val="-4"/>
        </w:rPr>
        <w:t>但应当计入出具书面意见的基金份额持有人所代表的基金份额总数。</w:t>
      </w:r>
    </w:p>
    <w:p>
      <w:pPr>
        <w:pStyle w:val="BodyText"/>
        <w:spacing w:line="266" w:lineRule="exact"/>
        <w:ind w:left="720"/>
      </w:pPr>
      <w:r>
        <w:rPr/>
        <w:t>（五）议事内容与程序</w:t>
      </w:r>
    </w:p>
    <w:p>
      <w:pPr>
        <w:pStyle w:val="BodyText"/>
        <w:spacing w:before="1"/>
        <w:rPr>
          <w:sz w:val="16"/>
        </w:rPr>
      </w:pPr>
    </w:p>
    <w:p>
      <w:pPr>
        <w:pStyle w:val="BodyText"/>
        <w:ind w:left="720"/>
      </w:pPr>
      <w:r>
        <w:rPr>
          <w:rFonts w:ascii="Times New Roman" w:eastAsia="Times New Roman"/>
        </w:rPr>
        <w:t>1</w:t>
      </w:r>
      <w:r>
        <w:rPr/>
        <w:t>、议事内容及提案权</w:t>
      </w:r>
    </w:p>
    <w:p>
      <w:pPr>
        <w:pStyle w:val="BodyText"/>
        <w:spacing w:before="1"/>
        <w:rPr>
          <w:sz w:val="16"/>
        </w:rPr>
      </w:pPr>
    </w:p>
    <w:p>
      <w:pPr>
        <w:pStyle w:val="BodyText"/>
        <w:spacing w:line="424" w:lineRule="auto"/>
        <w:ind w:left="300" w:right="871" w:firstLine="419"/>
        <w:jc w:val="both"/>
      </w:pPr>
      <w:r>
        <w:rPr>
          <w:spacing w:val="-8"/>
        </w:rPr>
        <w:t>议事内容为关系基金份额持有人利益的重大事项，如《基金合同》的重大修改、决定终</w:t>
      </w:r>
      <w:r>
        <w:rPr>
          <w:spacing w:val="-13"/>
        </w:rPr>
        <w:t>止《基金合同》、更换基金管理人、更换基金托管人、法律法规及《基金合同》规定的其他</w:t>
      </w:r>
      <w:r>
        <w:rPr>
          <w:spacing w:val="-6"/>
        </w:rPr>
        <w:t>事项以及会议召集人认为需提交基金份额持有人大会讨论的其他事项。</w:t>
      </w:r>
    </w:p>
    <w:p>
      <w:pPr>
        <w:pStyle w:val="BodyText"/>
        <w:spacing w:line="424" w:lineRule="auto"/>
        <w:ind w:left="300" w:right="87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7" w:lineRule="exact"/>
        <w:ind w:left="720"/>
      </w:pPr>
      <w:r>
        <w:rPr/>
        <w:t>基金份额持有人大会不得对未事先公告的议事内容进行表决。</w:t>
      </w:r>
    </w:p>
    <w:p>
      <w:pPr>
        <w:pStyle w:val="BodyText"/>
        <w:spacing w:before="1"/>
        <w:rPr>
          <w:sz w:val="16"/>
        </w:rPr>
      </w:pPr>
    </w:p>
    <w:p>
      <w:pPr>
        <w:pStyle w:val="BodyText"/>
        <w:ind w:left="720"/>
      </w:pPr>
      <w:r>
        <w:rPr>
          <w:rFonts w:ascii="Times New Roman" w:eastAsia="Times New Roman"/>
        </w:rPr>
        <w:t>2</w:t>
      </w:r>
      <w:r>
        <w:rPr/>
        <w:t>、议事程序</w:t>
      </w:r>
    </w:p>
    <w:p>
      <w:pPr>
        <w:pStyle w:val="BodyText"/>
        <w:spacing w:before="1"/>
        <w:rPr>
          <w:sz w:val="16"/>
        </w:rPr>
      </w:pPr>
    </w:p>
    <w:p>
      <w:pPr>
        <w:pStyle w:val="ListParagraph"/>
        <w:numPr>
          <w:ilvl w:val="0"/>
          <w:numId w:val="59"/>
        </w:numPr>
        <w:tabs>
          <w:tab w:pos="1250" w:val="left" w:leader="none"/>
        </w:tabs>
        <w:spacing w:line="240" w:lineRule="auto" w:before="0" w:after="0"/>
        <w:ind w:left="1249" w:right="0" w:hanging="530"/>
        <w:jc w:val="left"/>
        <w:rPr>
          <w:sz w:val="21"/>
        </w:rPr>
      </w:pPr>
      <w:r>
        <w:rPr>
          <w:spacing w:val="-2"/>
          <w:sz w:val="21"/>
        </w:rPr>
        <w:t>现场开会</w:t>
      </w:r>
    </w:p>
    <w:p>
      <w:pPr>
        <w:pStyle w:val="BodyText"/>
        <w:spacing w:before="1"/>
        <w:rPr>
          <w:sz w:val="16"/>
        </w:rPr>
      </w:pPr>
    </w:p>
    <w:p>
      <w:pPr>
        <w:pStyle w:val="BodyText"/>
        <w:spacing w:line="424" w:lineRule="auto"/>
        <w:ind w:left="300" w:right="871" w:firstLine="419"/>
        <w:jc w:val="both"/>
      </w:pPr>
      <w:r>
        <w:rPr>
          <w:spacing w:val="-7"/>
        </w:rPr>
        <w:t>在现场开会的方式下，首先由大会主持人按照下列第</w:t>
      </w:r>
      <w:r>
        <w:rPr/>
        <w:t>（</w:t>
      </w:r>
      <w:r>
        <w:rPr>
          <w:spacing w:val="-3"/>
        </w:rPr>
        <w:t>七</w:t>
      </w:r>
      <w:r>
        <w:rPr>
          <w:spacing w:val="-25"/>
        </w:rPr>
        <w:t>）</w:t>
      </w:r>
      <w:r>
        <w:rPr>
          <w:spacing w:val="-5"/>
        </w:rPr>
        <w:t>条规定程序公布监票人，然</w:t>
      </w:r>
      <w:r>
        <w:rPr>
          <w:spacing w:val="-10"/>
        </w:rPr>
        <w:t>后由大会主持人宣读提案，经讨论后进行表决，并形成大会决议。大会主持人为基金管理人</w:t>
      </w:r>
      <w:r>
        <w:rPr>
          <w:spacing w:val="-12"/>
        </w:rPr>
        <w:t>授权出席会议的代表，在基金管理人授权代表未能主持大会的情况下，由基金托管人授权其出席会议的代表主持；如果基金管理人授权代表和基金托管人授权代表均未能主持大会，则</w:t>
      </w:r>
      <w:r>
        <w:rPr>
          <w:spacing w:val="-6"/>
        </w:rPr>
        <w:t>由出席大会的基金份额持有人所持表决权的 </w:t>
      </w:r>
      <w:r>
        <w:rPr>
          <w:rFonts w:ascii="Times New Roman" w:eastAsia="Times New Roman"/>
        </w:rPr>
        <w:t>50%</w:t>
      </w:r>
      <w:r>
        <w:rPr>
          <w:spacing w:val="-2"/>
        </w:rPr>
        <w:t>以上</w:t>
      </w:r>
      <w:r>
        <w:rPr>
          <w:spacing w:val="-3"/>
        </w:rPr>
        <w:t>（</w:t>
      </w:r>
      <w:r>
        <w:rPr>
          <w:spacing w:val="2"/>
        </w:rPr>
        <w:t>含 </w:t>
      </w:r>
      <w:r>
        <w:rPr>
          <w:rFonts w:ascii="Times New Roman" w:eastAsia="Times New Roman"/>
        </w:rPr>
        <w:t>50%</w:t>
      </w:r>
      <w:r>
        <w:rPr/>
        <w:t>）</w:t>
      </w:r>
      <w:r>
        <w:rPr>
          <w:spacing w:val="-3"/>
        </w:rPr>
        <w:t>选举产生一名基金份额持</w:t>
      </w:r>
      <w:r>
        <w:rPr>
          <w:spacing w:val="-8"/>
        </w:rPr>
        <w:t>有人作为该次基金份额持有人大会的主持人。基金管理人和基金托管人不出席或主持基金份</w:t>
      </w:r>
      <w:r>
        <w:rPr>
          <w:spacing w:val="-5"/>
        </w:rPr>
        <w:t>额持有人大会，不影响基金份额持有人大会作出的决议的效力。</w:t>
      </w:r>
    </w:p>
    <w:p>
      <w:pPr>
        <w:pStyle w:val="BodyText"/>
        <w:spacing w:line="424" w:lineRule="auto"/>
        <w:ind w:left="300" w:right="871" w:firstLine="419"/>
      </w:pPr>
      <w:r>
        <w:rPr>
          <w:spacing w:val="-8"/>
        </w:rPr>
        <w:t>会议召集人应当制作出席会议人员的签名册。签名册载明参加会议人员姓名</w:t>
      </w:r>
      <w:r>
        <w:rPr/>
        <w:t>（</w:t>
      </w:r>
      <w:r>
        <w:rPr>
          <w:spacing w:val="-2"/>
        </w:rPr>
        <w:t>或单位名称</w:t>
      </w:r>
      <w:r>
        <w:rPr>
          <w:spacing w:val="-106"/>
        </w:rPr>
        <w:t>）</w:t>
      </w:r>
      <w:r>
        <w:rPr>
          <w:spacing w:val="-3"/>
        </w:rPr>
        <w:t>、证件号码、持有或代表有表决权的基金份额、委托人姓名</w:t>
      </w:r>
      <w:r>
        <w:rPr/>
        <w:t>（</w:t>
      </w:r>
      <w:r>
        <w:rPr>
          <w:spacing w:val="-3"/>
        </w:rPr>
        <w:t>或单位名称</w:t>
      </w:r>
      <w:r>
        <w:rPr/>
        <w:t>）</w:t>
      </w:r>
      <w:r>
        <w:rPr>
          <w:spacing w:val="-2"/>
        </w:rPr>
        <w:t>等事项。</w:t>
      </w:r>
    </w:p>
    <w:p>
      <w:pPr>
        <w:pStyle w:val="ListParagraph"/>
        <w:numPr>
          <w:ilvl w:val="0"/>
          <w:numId w:val="59"/>
        </w:numPr>
        <w:tabs>
          <w:tab w:pos="1250" w:val="left" w:leader="none"/>
        </w:tabs>
        <w:spacing w:line="267" w:lineRule="exact" w:before="0" w:after="0"/>
        <w:ind w:left="1249" w:right="0" w:hanging="530"/>
        <w:jc w:val="left"/>
        <w:rPr>
          <w:sz w:val="21"/>
        </w:rPr>
      </w:pPr>
      <w:r>
        <w:rPr>
          <w:spacing w:val="-2"/>
          <w:sz w:val="21"/>
        </w:rPr>
        <w:t>通讯开会</w:t>
      </w:r>
    </w:p>
    <w:p>
      <w:pPr>
        <w:spacing w:after="0" w:line="267" w:lineRule="exact"/>
        <w:jc w:val="left"/>
        <w:rPr>
          <w:sz w:val="21"/>
        </w:rPr>
        <w:sectPr>
          <w:pgSz w:w="11910" w:h="16840"/>
          <w:pgMar w:header="701" w:footer="683" w:top="1420" w:bottom="880" w:left="1500" w:right="920"/>
        </w:sectPr>
      </w:pPr>
    </w:p>
    <w:p>
      <w:pPr>
        <w:pStyle w:val="BodyText"/>
        <w:spacing w:before="115"/>
        <w:ind w:left="720"/>
      </w:pPr>
      <w:r>
        <w:rPr/>
        <w:t>在通讯开会的情况下，首先由召集人提前 </w:t>
      </w:r>
      <w:r>
        <w:rPr>
          <w:rFonts w:ascii="Times New Roman" w:eastAsia="Times New Roman"/>
        </w:rPr>
        <w:t>30 </w:t>
      </w:r>
      <w:r>
        <w:rPr/>
        <w:t>日公布提案，在所通知的表决截止日期后</w:t>
      </w:r>
    </w:p>
    <w:p>
      <w:pPr>
        <w:pStyle w:val="BodyText"/>
        <w:rPr>
          <w:sz w:val="16"/>
        </w:rPr>
      </w:pPr>
    </w:p>
    <w:p>
      <w:pPr>
        <w:pStyle w:val="BodyText"/>
        <w:spacing w:line="424" w:lineRule="auto" w:before="1"/>
        <w:ind w:left="300" w:right="820"/>
      </w:pPr>
      <w:r>
        <w:rPr>
          <w:rFonts w:ascii="Times New Roman" w:eastAsia="Times New Roman"/>
        </w:rPr>
        <w:t>2 </w:t>
      </w:r>
      <w:r>
        <w:rPr/>
        <w:t>个工作日内在监督人和公证机关监督下由召集人统计全部有效表决，并形成决议。如监督人经通知但拒绝到场监督，则在公证机构监督下形成的决议有效。</w:t>
      </w:r>
    </w:p>
    <w:p>
      <w:pPr>
        <w:pStyle w:val="BodyText"/>
        <w:spacing w:line="267" w:lineRule="exact"/>
        <w:ind w:left="720"/>
      </w:pPr>
      <w:r>
        <w:rPr/>
        <w:t>（六）表决</w:t>
      </w:r>
    </w:p>
    <w:p>
      <w:pPr>
        <w:pStyle w:val="BodyText"/>
        <w:spacing w:before="1"/>
        <w:rPr>
          <w:sz w:val="16"/>
        </w:rPr>
      </w:pPr>
    </w:p>
    <w:p>
      <w:pPr>
        <w:pStyle w:val="BodyText"/>
        <w:spacing w:line="427" w:lineRule="auto"/>
        <w:ind w:left="720" w:right="3929"/>
      </w:pPr>
      <w:r>
        <w:rPr>
          <w:spacing w:val="-3"/>
        </w:rPr>
        <w:t>基金份额持有人所持每份基金份额有一票表决权。 </w:t>
      </w:r>
      <w:r>
        <w:rPr>
          <w:spacing w:val="-4"/>
        </w:rPr>
        <w:t>基金份额持有人大会决议分为一般决议和特别决议：</w:t>
      </w:r>
    </w:p>
    <w:p>
      <w:pPr>
        <w:pStyle w:val="BodyText"/>
        <w:spacing w:line="424" w:lineRule="auto"/>
        <w:ind w:left="300" w:right="87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424" w:lineRule="auto"/>
        <w:ind w:left="300" w:right="871" w:firstLine="419"/>
        <w:jc w:val="both"/>
      </w:pPr>
      <w:r>
        <w:rPr>
          <w:rFonts w:ascii="Times New Roman" w:eastAsia="Times New Roman"/>
        </w:rPr>
        <w:t>2</w:t>
      </w:r>
      <w:r>
        <w:rPr>
          <w:spacing w:val="-3"/>
        </w:rPr>
        <w:t>、特别决议，特别决议应当经参加大会的基金份额持有人或其代理人所持表决权的三</w:t>
      </w:r>
      <w:r>
        <w:rPr>
          <w:spacing w:val="-8"/>
        </w:rPr>
        <w:t>分之二以上</w:t>
      </w:r>
      <w:r>
        <w:rPr/>
        <w:t>（</w:t>
      </w:r>
      <w:r>
        <w:rPr>
          <w:spacing w:val="-3"/>
        </w:rPr>
        <w:t>含三分之二</w:t>
      </w:r>
      <w:r>
        <w:rPr>
          <w:spacing w:val="-25"/>
        </w:rPr>
        <w:t>）</w:t>
      </w:r>
      <w:r>
        <w:rPr>
          <w:spacing w:val="-9"/>
        </w:rPr>
        <w:t>通过方可做出。转换基金运作方式、更换基金管理人或者基金托</w:t>
      </w:r>
      <w:r>
        <w:rPr>
          <w:spacing w:val="-5"/>
        </w:rPr>
        <w:t>管人、终止《基金合同》以特别决议通过方为有效。</w:t>
      </w:r>
    </w:p>
    <w:p>
      <w:pPr>
        <w:pStyle w:val="BodyText"/>
        <w:spacing w:line="266" w:lineRule="exact"/>
        <w:ind w:left="720"/>
      </w:pPr>
      <w:r>
        <w:rPr/>
        <w:t>基金份额持有人大会采取记名方式进行投票表决。</w:t>
      </w:r>
    </w:p>
    <w:p>
      <w:pPr>
        <w:pStyle w:val="BodyText"/>
        <w:spacing w:before="8"/>
        <w:rPr>
          <w:sz w:val="15"/>
        </w:rPr>
      </w:pPr>
    </w:p>
    <w:p>
      <w:pPr>
        <w:pStyle w:val="BodyText"/>
        <w:spacing w:line="424" w:lineRule="auto" w:before="1"/>
        <w:ind w:left="300" w:right="871" w:firstLine="419"/>
        <w:jc w:val="both"/>
      </w:pPr>
      <w:r>
        <w:rPr>
          <w:spacing w:val="-9"/>
        </w:rPr>
        <w:t>采取通讯方式进行表决时，除非在计票时有充分的相反证据证明，提交符合会议通知中规定的确认投资者身份文件的表决视为有效出席的投资者，符合会议通知规定的书面表决意</w:t>
      </w:r>
      <w:r>
        <w:rPr>
          <w:spacing w:val="-12"/>
        </w:rPr>
        <w:t>见视为有效表决，表决意见模糊不清或相互矛盾的视为弃权表决，但应当计入出具书面意见</w:t>
      </w:r>
      <w:r>
        <w:rPr>
          <w:spacing w:val="-6"/>
        </w:rPr>
        <w:t>的基金份额持有人所代表的基金份额总数。</w:t>
      </w:r>
    </w:p>
    <w:p>
      <w:pPr>
        <w:pStyle w:val="BodyText"/>
        <w:spacing w:line="424" w:lineRule="auto"/>
        <w:ind w:left="300" w:right="871" w:firstLine="419"/>
      </w:pPr>
      <w:r>
        <w:rPr>
          <w:spacing w:val="-6"/>
        </w:rPr>
        <w:t>基金份额持有人大会的各项提案或同一项提案内并列的各项议题应当分开审议、逐项表决。</w:t>
      </w:r>
    </w:p>
    <w:p>
      <w:pPr>
        <w:pStyle w:val="BodyText"/>
        <w:spacing w:line="267" w:lineRule="exact"/>
        <w:ind w:left="720"/>
      </w:pPr>
      <w:r>
        <w:rPr/>
        <w:t>（七）计票</w:t>
      </w:r>
    </w:p>
    <w:p>
      <w:pPr>
        <w:pStyle w:val="BodyText"/>
        <w:spacing w:before="10"/>
        <w:rPr>
          <w:sz w:val="15"/>
        </w:rPr>
      </w:pPr>
    </w:p>
    <w:p>
      <w:pPr>
        <w:pStyle w:val="BodyText"/>
        <w:ind w:left="720"/>
      </w:pPr>
      <w:r>
        <w:rPr>
          <w:rFonts w:ascii="Times New Roman" w:eastAsia="Times New Roman"/>
        </w:rPr>
        <w:t>1</w:t>
      </w:r>
      <w:r>
        <w:rPr/>
        <w:t>、现场开会</w:t>
      </w:r>
    </w:p>
    <w:p>
      <w:pPr>
        <w:pStyle w:val="BodyText"/>
        <w:spacing w:before="4"/>
        <w:rPr>
          <w:sz w:val="16"/>
        </w:rPr>
      </w:pPr>
    </w:p>
    <w:p>
      <w:pPr>
        <w:pStyle w:val="ListParagraph"/>
        <w:numPr>
          <w:ilvl w:val="0"/>
          <w:numId w:val="60"/>
        </w:numPr>
        <w:tabs>
          <w:tab w:pos="1250" w:val="left" w:leader="none"/>
        </w:tabs>
        <w:spacing w:line="424" w:lineRule="auto" w:before="0" w:after="0"/>
        <w:ind w:left="300" w:right="871" w:firstLine="419"/>
        <w:jc w:val="both"/>
        <w:rPr>
          <w:sz w:val="21"/>
        </w:rPr>
      </w:pPr>
      <w:r>
        <w:rPr>
          <w:spacing w:val="-3"/>
          <w:sz w:val="21"/>
        </w:rPr>
        <w:t>如大会由基金管理人或基金托管人召集，基金份额持有人大会的主持人应当在出席会议的基金份额持有人和代理人中选举两名基金份额持有人代表与大会召集人授权的一</w:t>
      </w:r>
      <w:r>
        <w:rPr>
          <w:spacing w:val="-9"/>
          <w:sz w:val="21"/>
        </w:rPr>
        <w:t>名监督员共同担任监票人；如大会由基金份额持有人自行召集，基金份额持有人大会的主持人应当在出席会议的基金份额持有人和代理人中推举两名基金份额持有人代表与基金管理</w:t>
      </w:r>
      <w:r>
        <w:rPr>
          <w:spacing w:val="-11"/>
          <w:sz w:val="21"/>
        </w:rPr>
        <w:t>人、基金托管人授权的一名监督员共同担任监票人，但如基金管理人或基金托管人授权代表</w:t>
      </w:r>
      <w:r>
        <w:rPr>
          <w:spacing w:val="-13"/>
          <w:sz w:val="21"/>
        </w:rPr>
        <w:t>未出席大会的，基金份额持有人大会的主持人应当在出席会议的基金份额持有人和代理人中</w:t>
      </w:r>
      <w:r>
        <w:rPr>
          <w:spacing w:val="-11"/>
          <w:sz w:val="21"/>
        </w:rPr>
        <w:t>选举三名基金份额持有人代表担任监票人。基金管理人或基金托管人不出席大会的，不影响</w:t>
      </w:r>
      <w:r>
        <w:rPr>
          <w:spacing w:val="-6"/>
          <w:sz w:val="21"/>
        </w:rPr>
        <w:t>计票的效力。</w:t>
      </w:r>
    </w:p>
    <w:p>
      <w:pPr>
        <w:spacing w:after="0" w:line="424" w:lineRule="auto"/>
        <w:jc w:val="both"/>
        <w:rPr>
          <w:sz w:val="21"/>
        </w:rPr>
        <w:sectPr>
          <w:pgSz w:w="11910" w:h="16840"/>
          <w:pgMar w:header="701" w:footer="683" w:top="1420" w:bottom="880" w:left="1500" w:right="920"/>
        </w:sectPr>
      </w:pPr>
    </w:p>
    <w:p>
      <w:pPr>
        <w:pStyle w:val="ListParagraph"/>
        <w:numPr>
          <w:ilvl w:val="0"/>
          <w:numId w:val="60"/>
        </w:numPr>
        <w:tabs>
          <w:tab w:pos="1250" w:val="left" w:leader="none"/>
        </w:tabs>
        <w:spacing w:line="424" w:lineRule="auto" w:before="115" w:after="0"/>
        <w:ind w:left="300" w:right="87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60"/>
        </w:numPr>
        <w:tabs>
          <w:tab w:pos="1250" w:val="left" w:leader="none"/>
        </w:tabs>
        <w:spacing w:line="424" w:lineRule="auto" w:before="0" w:after="0"/>
        <w:ind w:left="300" w:right="765" w:firstLine="419"/>
        <w:jc w:val="left"/>
        <w:rPr>
          <w:sz w:val="21"/>
        </w:rPr>
      </w:pPr>
      <w:r>
        <w:rPr>
          <w:spacing w:val="-3"/>
          <w:sz w:val="21"/>
        </w:rPr>
        <w:t>如果会议主持人或基金份额持有人对于提交的表决结果有怀疑，可以在宣布表决</w:t>
      </w:r>
      <w:r>
        <w:rPr>
          <w:spacing w:val="-12"/>
          <w:sz w:val="21"/>
        </w:rPr>
        <w:t>结果后立即对所投票数要求进行重新清点。监票人应当进行重新清点，重新清点以一次为限。</w:t>
      </w:r>
      <w:r>
        <w:rPr>
          <w:spacing w:val="-6"/>
          <w:sz w:val="21"/>
        </w:rPr>
        <w:t>重新清点后，大会主持人应当当场公布重新清点结果。</w:t>
      </w:r>
    </w:p>
    <w:p>
      <w:pPr>
        <w:pStyle w:val="BodyText"/>
        <w:spacing w:line="268" w:lineRule="exact"/>
        <w:ind w:left="720"/>
      </w:pPr>
      <w:r>
        <w:rPr>
          <w:rFonts w:ascii="Times New Roman" w:eastAsia="Times New Roman"/>
        </w:rPr>
        <w:t>2</w:t>
      </w:r>
      <w:r>
        <w:rPr/>
        <w:t>、通讯开会</w:t>
      </w:r>
    </w:p>
    <w:p>
      <w:pPr>
        <w:pStyle w:val="BodyText"/>
        <w:spacing w:before="11"/>
        <w:rPr>
          <w:sz w:val="15"/>
        </w:rPr>
      </w:pPr>
    </w:p>
    <w:p>
      <w:pPr>
        <w:pStyle w:val="BodyText"/>
        <w:spacing w:line="424" w:lineRule="auto"/>
        <w:ind w:left="300" w:right="871" w:firstLine="419"/>
        <w:jc w:val="both"/>
      </w:pPr>
      <w:r>
        <w:rPr>
          <w:spacing w:val="-11"/>
        </w:rPr>
        <w:t>在通讯开会的情况下，计票方式为：由大会召集人授权的两名监督员在监督人派出的授</w:t>
      </w:r>
      <w:r>
        <w:rPr>
          <w:spacing w:val="-12"/>
        </w:rPr>
        <w:t>权代表的监督下进行计票，并由公证机关对其计票过程予以公证。如监督人经通知拒派代表</w:t>
      </w:r>
      <w:r>
        <w:rPr>
          <w:spacing w:val="-6"/>
        </w:rPr>
        <w:t>对书面表决意见的计票进行监督的，不影响计票和表决结果。</w:t>
      </w:r>
    </w:p>
    <w:p>
      <w:pPr>
        <w:pStyle w:val="BodyText"/>
        <w:spacing w:line="267" w:lineRule="exact"/>
        <w:ind w:left="720"/>
      </w:pPr>
      <w:r>
        <w:rPr/>
        <w:t>（八）生效与公告</w:t>
      </w:r>
    </w:p>
    <w:p>
      <w:pPr>
        <w:pStyle w:val="BodyText"/>
        <w:spacing w:before="1"/>
        <w:rPr>
          <w:sz w:val="16"/>
        </w:rPr>
      </w:pPr>
    </w:p>
    <w:p>
      <w:pPr>
        <w:pStyle w:val="BodyText"/>
        <w:spacing w:line="424" w:lineRule="auto" w:before="1"/>
        <w:ind w:left="720" w:right="113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27" w:lineRule="auto"/>
        <w:ind w:left="300" w:right="871" w:firstLine="419"/>
      </w:pPr>
      <w:r>
        <w:rPr>
          <w:spacing w:val="-5"/>
        </w:rPr>
        <w:t>基金份额持有人大会决议自生效之日起 </w:t>
      </w:r>
      <w:r>
        <w:rPr>
          <w:rFonts w:ascii="Times New Roman" w:eastAsia="Times New Roman"/>
        </w:rPr>
        <w:t>2 </w:t>
      </w:r>
      <w:r>
        <w:rPr>
          <w:spacing w:val="-11"/>
        </w:rPr>
        <w:t>日内在规定媒介公告。基金管理人、基金托管</w:t>
      </w:r>
      <w:r>
        <w:rPr>
          <w:spacing w:val="-6"/>
        </w:rPr>
        <w:t>人和基金份额持有人应当执行生效的基金份额持有人大会的决议。</w:t>
      </w:r>
    </w:p>
    <w:p>
      <w:pPr>
        <w:pStyle w:val="BodyText"/>
        <w:spacing w:line="264" w:lineRule="exact"/>
        <w:ind w:left="720"/>
      </w:pPr>
      <w:r>
        <w:rPr/>
        <w:t>基金份额持有人大会决议对全体基金份额持有人、基金管理人、基金托管人均有约束力。</w:t>
      </w:r>
    </w:p>
    <w:p>
      <w:pPr>
        <w:pStyle w:val="BodyText"/>
        <w:spacing w:before="11"/>
        <w:rPr>
          <w:sz w:val="15"/>
        </w:rPr>
      </w:pPr>
    </w:p>
    <w:p>
      <w:pPr>
        <w:pStyle w:val="BodyText"/>
        <w:ind w:left="720"/>
        <w:jc w:val="both"/>
      </w:pPr>
      <w:r>
        <w:rPr/>
        <w:t>（九）关于本基金所持目标 </w:t>
      </w:r>
      <w:r>
        <w:rPr>
          <w:rFonts w:ascii="Times New Roman" w:eastAsia="Times New Roman"/>
        </w:rPr>
        <w:t>ETF </w:t>
      </w:r>
      <w:r>
        <w:rPr/>
        <w:t>份额行使表决权的方式</w:t>
      </w:r>
    </w:p>
    <w:p>
      <w:pPr>
        <w:pStyle w:val="BodyText"/>
        <w:spacing w:before="1"/>
        <w:rPr>
          <w:sz w:val="16"/>
        </w:rPr>
      </w:pPr>
    </w:p>
    <w:p>
      <w:pPr>
        <w:pStyle w:val="BodyText"/>
        <w:spacing w:line="424" w:lineRule="auto" w:before="1"/>
        <w:ind w:left="300" w:right="871" w:firstLine="419"/>
        <w:jc w:val="both"/>
      </w:pPr>
      <w:r>
        <w:rPr>
          <w:spacing w:val="-4"/>
        </w:rPr>
        <w:t>鉴于本基金是目标 </w:t>
      </w:r>
      <w:r>
        <w:rPr>
          <w:rFonts w:ascii="Times New Roman" w:eastAsia="Times New Roman"/>
        </w:rPr>
        <w:t>ETF </w:t>
      </w:r>
      <w:r>
        <w:rPr>
          <w:spacing w:val="-3"/>
        </w:rPr>
        <w:t>的联接基金，本基金的基金份额持有人可以凭所持有的本基金</w:t>
      </w:r>
      <w:r>
        <w:rPr>
          <w:spacing w:val="4"/>
        </w:rPr>
        <w:t>份额行使与目标</w:t>
      </w:r>
      <w:r>
        <w:rPr>
          <w:rFonts w:ascii="Times New Roman" w:eastAsia="Times New Roman"/>
        </w:rPr>
        <w:t>ETF </w:t>
      </w:r>
      <w:r>
        <w:rPr>
          <w:spacing w:val="-10"/>
        </w:rPr>
        <w:t>相关的持有人权利，如目标 </w:t>
      </w:r>
      <w:r>
        <w:rPr>
          <w:rFonts w:ascii="Times New Roman" w:eastAsia="Times New Roman"/>
        </w:rPr>
        <w:t>ETF </w:t>
      </w:r>
      <w:r>
        <w:rPr>
          <w:spacing w:val="-9"/>
        </w:rPr>
        <w:t>持有人大会召集权、参加目标 </w:t>
      </w:r>
      <w:r>
        <w:rPr>
          <w:rFonts w:ascii="Times New Roman" w:eastAsia="Times New Roman"/>
        </w:rPr>
        <w:t>ETF </w:t>
      </w:r>
      <w:r>
        <w:rPr/>
        <w:t>持</w:t>
      </w:r>
      <w:r>
        <w:rPr>
          <w:spacing w:val="-12"/>
        </w:rPr>
        <w:t>有人大会的表决权。计算参会份额和计票时，本基金基金份额持有人的参会份额数和票数按</w:t>
      </w:r>
      <w:r>
        <w:rPr>
          <w:spacing w:val="-6"/>
        </w:rPr>
        <w:t>权益登记日本基金所持有的目标 </w:t>
      </w:r>
      <w:r>
        <w:rPr>
          <w:rFonts w:ascii="Times New Roman" w:eastAsia="Times New Roman"/>
        </w:rPr>
        <w:t>ETF </w:t>
      </w:r>
      <w:r>
        <w:rPr>
          <w:spacing w:val="-3"/>
        </w:rPr>
        <w:t>的基金份额、该持有人所持有的本基金份额占本基金</w:t>
      </w:r>
      <w:r>
        <w:rPr>
          <w:spacing w:val="-12"/>
        </w:rPr>
        <w:t>总份额的比例折算。本基金持有人，如经基金管理人确认其单独或合计持有的联接基金份额</w:t>
      </w:r>
      <w:r>
        <w:rPr>
          <w:spacing w:val="2"/>
        </w:rPr>
        <w:t>所对应的目标</w:t>
      </w:r>
      <w:r>
        <w:rPr>
          <w:rFonts w:ascii="Times New Roman" w:eastAsia="Times New Roman"/>
        </w:rPr>
        <w:t>ETF </w:t>
      </w:r>
      <w:r>
        <w:rPr>
          <w:spacing w:val="5"/>
        </w:rPr>
        <w:t>份额不少于目标</w:t>
      </w:r>
      <w:r>
        <w:rPr>
          <w:rFonts w:ascii="Times New Roman" w:eastAsia="Times New Roman"/>
        </w:rPr>
        <w:t>ETF </w:t>
      </w:r>
      <w:r>
        <w:rPr>
          <w:spacing w:val="-10"/>
        </w:rPr>
        <w:t>总份额的 </w:t>
      </w:r>
      <w:r>
        <w:rPr>
          <w:rFonts w:ascii="Times New Roman" w:eastAsia="Times New Roman"/>
        </w:rPr>
        <w:t>10%</w:t>
      </w:r>
      <w:r>
        <w:rPr>
          <w:spacing w:val="-20"/>
        </w:rPr>
        <w:t>的，可对目标 </w:t>
      </w:r>
      <w:r>
        <w:rPr>
          <w:rFonts w:ascii="Times New Roman" w:eastAsia="Times New Roman"/>
        </w:rPr>
        <w:t>ETF </w:t>
      </w:r>
      <w:r>
        <w:rPr>
          <w:spacing w:val="-3"/>
        </w:rPr>
        <w:t>行使基金份额持有人大会的召集权。</w:t>
      </w:r>
    </w:p>
    <w:p>
      <w:pPr>
        <w:pStyle w:val="BodyText"/>
        <w:spacing w:line="424" w:lineRule="auto"/>
        <w:ind w:left="300" w:right="873" w:firstLine="419"/>
        <w:jc w:val="both"/>
      </w:pPr>
      <w:r>
        <w:rPr>
          <w:spacing w:val="-11"/>
        </w:rPr>
        <w:t>如目标 </w:t>
      </w:r>
      <w:r>
        <w:rPr>
          <w:rFonts w:ascii="Times New Roman" w:eastAsia="Times New Roman"/>
        </w:rPr>
        <w:t>ETF </w:t>
      </w:r>
      <w:r>
        <w:rPr>
          <w:spacing w:val="-3"/>
        </w:rPr>
        <w:t>召开基金份额持有人大会，本基金的基金份额持有人有权亲自出席</w:t>
      </w:r>
      <w:r>
        <w:rPr>
          <w:rFonts w:ascii="Times New Roman" w:eastAsia="Times New Roman"/>
        </w:rPr>
        <w:t>/</w:t>
      </w:r>
      <w:r>
        <w:rPr>
          <w:spacing w:val="-2"/>
        </w:rPr>
        <w:t>出具书面表决意见或以代理投票授权委托书委派代表出席</w:t>
      </w:r>
      <w:r>
        <w:rPr>
          <w:rFonts w:ascii="Times New Roman" w:eastAsia="Times New Roman"/>
        </w:rPr>
        <w:t>/</w:t>
      </w:r>
      <w:r>
        <w:rPr>
          <w:spacing w:val="-1"/>
        </w:rPr>
        <w:t>出具书面表决意见，并有权按照所持有</w:t>
      </w:r>
      <w:r>
        <w:rPr>
          <w:spacing w:val="1"/>
        </w:rPr>
        <w:t>的本基金基金份额对应的目标</w:t>
      </w:r>
      <w:r>
        <w:rPr>
          <w:rFonts w:ascii="Times New Roman" w:eastAsia="Times New Roman"/>
        </w:rPr>
        <w:t>ETF </w:t>
      </w:r>
      <w:r>
        <w:rPr>
          <w:spacing w:val="-3"/>
        </w:rPr>
        <w:t>份额参与投票表决。</w:t>
      </w:r>
    </w:p>
    <w:p>
      <w:pPr>
        <w:pStyle w:val="BodyText"/>
        <w:spacing w:line="424" w:lineRule="auto"/>
        <w:ind w:left="300" w:right="873" w:firstLine="419"/>
        <w:jc w:val="both"/>
      </w:pPr>
      <w:r>
        <w:rPr>
          <w:spacing w:val="5"/>
        </w:rPr>
        <w:t>本基金的基金管理人不应以本基金的名义代表本基金的全体基金份额持有人以目标</w:t>
      </w:r>
      <w:r>
        <w:rPr>
          <w:rFonts w:ascii="Times New Roman" w:eastAsia="Times New Roman"/>
          <w:spacing w:val="5"/>
        </w:rPr>
        <w:t>ETF </w:t>
      </w:r>
      <w:r>
        <w:rPr>
          <w:spacing w:val="-9"/>
        </w:rPr>
        <w:t>的基金份额持有人的身份行使表决权，但可接受本基金的基金份额持有人的委托以本基</w:t>
      </w:r>
      <w:r>
        <w:rPr>
          <w:spacing w:val="-3"/>
        </w:rPr>
        <w:t>金的基金份额持有人代理人的身份出席目标</w:t>
      </w:r>
      <w:r>
        <w:rPr>
          <w:rFonts w:ascii="Times New Roman" w:eastAsia="Times New Roman"/>
        </w:rPr>
        <w:t>ETF </w:t>
      </w:r>
      <w:r>
        <w:rPr>
          <w:spacing w:val="-3"/>
        </w:rPr>
        <w:t>的基金份额持有人大会并参与表决。</w:t>
      </w:r>
    </w:p>
    <w:p>
      <w:pPr>
        <w:spacing w:after="0" w:line="424" w:lineRule="auto"/>
        <w:jc w:val="both"/>
        <w:sectPr>
          <w:footerReference w:type="default" r:id="rId228"/>
          <w:pgSz w:w="11910" w:h="16840"/>
          <w:pgMar w:footer="683" w:header="701" w:top="1420" w:bottom="880" w:left="1500" w:right="920"/>
        </w:sectPr>
      </w:pPr>
    </w:p>
    <w:p>
      <w:pPr>
        <w:pStyle w:val="BodyText"/>
        <w:spacing w:line="424" w:lineRule="auto" w:before="115"/>
        <w:ind w:left="2193" w:right="1827" w:hanging="1474"/>
      </w:pPr>
      <w:r>
        <w:rPr/>
        <w:t>（十）法律法规或监管部门对基金份额持有人大会另有规定的，从其规定。第十九部分 基金合同的变更、终止与基金财产的清算</w:t>
      </w:r>
    </w:p>
    <w:p>
      <w:pPr>
        <w:pStyle w:val="BodyText"/>
        <w:spacing w:line="267" w:lineRule="exact"/>
        <w:ind w:left="720"/>
      </w:pPr>
      <w:r>
        <w:rPr/>
        <w:t>（一</w:t>
      </w:r>
      <w:r>
        <w:rPr>
          <w:spacing w:val="-108"/>
        </w:rPr>
        <w:t>）</w:t>
      </w:r>
      <w:r>
        <w:rPr>
          <w:spacing w:val="-3"/>
        </w:rPr>
        <w:t>《基金合同》的变更</w:t>
      </w:r>
    </w:p>
    <w:p>
      <w:pPr>
        <w:pStyle w:val="BodyText"/>
        <w:rPr>
          <w:sz w:val="16"/>
        </w:rPr>
      </w:pPr>
    </w:p>
    <w:p>
      <w:pPr>
        <w:pStyle w:val="BodyText"/>
        <w:spacing w:before="1"/>
        <w:ind w:left="720"/>
      </w:pPr>
      <w:r>
        <w:rPr>
          <w:rFonts w:ascii="Times New Roman" w:eastAsia="Times New Roman"/>
        </w:rPr>
        <w:t>1</w:t>
      </w:r>
      <w:r>
        <w:rPr/>
        <w:t>、以下变更《基金合同》的事项应经基金份额持有人大会决议通过：</w:t>
      </w:r>
    </w:p>
    <w:p>
      <w:pPr>
        <w:pStyle w:val="BodyText"/>
        <w:spacing w:before="1"/>
        <w:rPr>
          <w:sz w:val="16"/>
        </w:rPr>
      </w:pPr>
    </w:p>
    <w:p>
      <w:pPr>
        <w:pStyle w:val="ListParagraph"/>
        <w:numPr>
          <w:ilvl w:val="0"/>
          <w:numId w:val="61"/>
        </w:numPr>
        <w:tabs>
          <w:tab w:pos="1250" w:val="left" w:leader="none"/>
        </w:tabs>
        <w:spacing w:line="240" w:lineRule="auto" w:before="0" w:after="0"/>
        <w:ind w:left="1249" w:right="0" w:hanging="530"/>
        <w:jc w:val="left"/>
        <w:rPr>
          <w:sz w:val="21"/>
        </w:rPr>
      </w:pPr>
      <w:r>
        <w:rPr>
          <w:spacing w:val="-3"/>
          <w:sz w:val="21"/>
        </w:rPr>
        <w:t>更换基金管理人；</w:t>
      </w:r>
    </w:p>
    <w:p>
      <w:pPr>
        <w:pStyle w:val="BodyText"/>
        <w:spacing w:before="3"/>
        <w:rPr>
          <w:sz w:val="16"/>
        </w:rPr>
      </w:pPr>
    </w:p>
    <w:p>
      <w:pPr>
        <w:pStyle w:val="ListParagraph"/>
        <w:numPr>
          <w:ilvl w:val="0"/>
          <w:numId w:val="61"/>
        </w:numPr>
        <w:tabs>
          <w:tab w:pos="1250" w:val="left" w:leader="none"/>
        </w:tabs>
        <w:spacing w:line="240" w:lineRule="auto" w:before="0" w:after="0"/>
        <w:ind w:left="1249" w:right="0" w:hanging="530"/>
        <w:jc w:val="left"/>
        <w:rPr>
          <w:sz w:val="21"/>
        </w:rPr>
      </w:pPr>
      <w:r>
        <w:rPr>
          <w:spacing w:val="-3"/>
          <w:sz w:val="21"/>
        </w:rPr>
        <w:t>更换基金托管人；</w:t>
      </w:r>
    </w:p>
    <w:p>
      <w:pPr>
        <w:pStyle w:val="BodyText"/>
        <w:spacing w:before="1"/>
        <w:rPr>
          <w:sz w:val="16"/>
        </w:rPr>
      </w:pPr>
    </w:p>
    <w:p>
      <w:pPr>
        <w:pStyle w:val="ListParagraph"/>
        <w:numPr>
          <w:ilvl w:val="0"/>
          <w:numId w:val="61"/>
        </w:numPr>
        <w:tabs>
          <w:tab w:pos="1250" w:val="left" w:leader="none"/>
        </w:tabs>
        <w:spacing w:line="240" w:lineRule="auto" w:before="0" w:after="0"/>
        <w:ind w:left="1249" w:right="0" w:hanging="530"/>
        <w:jc w:val="left"/>
        <w:rPr>
          <w:sz w:val="21"/>
        </w:rPr>
      </w:pPr>
      <w:r>
        <w:rPr>
          <w:spacing w:val="-3"/>
          <w:w w:val="100"/>
          <w:sz w:val="21"/>
        </w:rPr>
        <w:t>转换基金运作方式（法律法规、基金合同和中国证监会另有规定的除外</w:t>
      </w:r>
      <w:r>
        <w:rPr>
          <w:spacing w:val="-108"/>
          <w:w w:val="100"/>
          <w:sz w:val="21"/>
        </w:rPr>
        <w:t>）</w:t>
      </w:r>
      <w:r>
        <w:rPr>
          <w:w w:val="100"/>
          <w:sz w:val="21"/>
        </w:rPr>
        <w:t>；</w:t>
      </w:r>
    </w:p>
    <w:p>
      <w:pPr>
        <w:pStyle w:val="BodyText"/>
        <w:spacing w:before="2"/>
        <w:rPr>
          <w:sz w:val="16"/>
        </w:rPr>
      </w:pPr>
    </w:p>
    <w:p>
      <w:pPr>
        <w:pStyle w:val="ListParagraph"/>
        <w:numPr>
          <w:ilvl w:val="0"/>
          <w:numId w:val="61"/>
        </w:numPr>
        <w:tabs>
          <w:tab w:pos="1250" w:val="left" w:leader="none"/>
        </w:tabs>
        <w:spacing w:line="424" w:lineRule="auto" w:before="0" w:after="0"/>
        <w:ind w:left="511" w:right="873" w:firstLine="208"/>
        <w:jc w:val="left"/>
        <w:rPr>
          <w:sz w:val="21"/>
        </w:rPr>
      </w:pPr>
      <w:r>
        <w:rPr>
          <w:spacing w:val="-3"/>
          <w:sz w:val="21"/>
        </w:rPr>
        <w:t>提高基金管理人、基金托管人的报酬标准，但根据法律法规的要求提高该等报酬标准的除外；</w:t>
      </w:r>
    </w:p>
    <w:p>
      <w:pPr>
        <w:pStyle w:val="ListParagraph"/>
        <w:numPr>
          <w:ilvl w:val="0"/>
          <w:numId w:val="61"/>
        </w:numPr>
        <w:tabs>
          <w:tab w:pos="1250" w:val="left" w:leader="none"/>
        </w:tabs>
        <w:spacing w:line="267" w:lineRule="exact" w:before="0" w:after="0"/>
        <w:ind w:left="1249" w:right="0" w:hanging="530"/>
        <w:jc w:val="left"/>
        <w:rPr>
          <w:sz w:val="21"/>
        </w:rPr>
      </w:pPr>
      <w:r>
        <w:rPr>
          <w:spacing w:val="-3"/>
          <w:sz w:val="21"/>
        </w:rPr>
        <w:t>变更基金类别；</w:t>
      </w:r>
    </w:p>
    <w:p>
      <w:pPr>
        <w:pStyle w:val="BodyText"/>
        <w:spacing w:before="1"/>
        <w:rPr>
          <w:sz w:val="16"/>
        </w:rPr>
      </w:pPr>
    </w:p>
    <w:p>
      <w:pPr>
        <w:pStyle w:val="ListParagraph"/>
        <w:numPr>
          <w:ilvl w:val="0"/>
          <w:numId w:val="61"/>
        </w:numPr>
        <w:tabs>
          <w:tab w:pos="1250" w:val="left" w:leader="none"/>
        </w:tabs>
        <w:spacing w:line="424" w:lineRule="auto" w:before="0" w:after="0"/>
        <w:ind w:left="511" w:right="874" w:firstLine="208"/>
        <w:jc w:val="left"/>
        <w:rPr>
          <w:sz w:val="21"/>
        </w:rPr>
      </w:pPr>
      <w:r>
        <w:rPr>
          <w:spacing w:val="-3"/>
          <w:sz w:val="21"/>
        </w:rPr>
        <w:t>变更基金投资目标、范围或策略（法律法规、基金合同和中国证监会另有规定的</w:t>
      </w:r>
      <w:r>
        <w:rPr>
          <w:spacing w:val="-3"/>
          <w:w w:val="100"/>
          <w:sz w:val="21"/>
        </w:rPr>
        <w:t>除外</w:t>
      </w:r>
      <w:r>
        <w:rPr>
          <w:spacing w:val="-108"/>
          <w:w w:val="100"/>
          <w:sz w:val="21"/>
        </w:rPr>
        <w:t>）</w:t>
      </w:r>
      <w:r>
        <w:rPr>
          <w:w w:val="100"/>
          <w:sz w:val="21"/>
        </w:rPr>
        <w:t>；</w:t>
      </w:r>
    </w:p>
    <w:p>
      <w:pPr>
        <w:pStyle w:val="ListParagraph"/>
        <w:numPr>
          <w:ilvl w:val="0"/>
          <w:numId w:val="61"/>
        </w:numPr>
        <w:tabs>
          <w:tab w:pos="1250" w:val="left" w:leader="none"/>
        </w:tabs>
        <w:spacing w:line="267" w:lineRule="exact" w:before="0" w:after="0"/>
        <w:ind w:left="1249" w:right="0" w:hanging="530"/>
        <w:jc w:val="left"/>
        <w:rPr>
          <w:sz w:val="21"/>
        </w:rPr>
      </w:pPr>
      <w:r>
        <w:rPr>
          <w:spacing w:val="-3"/>
          <w:sz w:val="21"/>
        </w:rPr>
        <w:t>变更基金份额持有人大会召开程序；</w:t>
      </w:r>
    </w:p>
    <w:p>
      <w:pPr>
        <w:pStyle w:val="BodyText"/>
        <w:spacing w:before="4"/>
        <w:rPr>
          <w:sz w:val="16"/>
        </w:rPr>
      </w:pPr>
    </w:p>
    <w:p>
      <w:pPr>
        <w:pStyle w:val="ListParagraph"/>
        <w:numPr>
          <w:ilvl w:val="0"/>
          <w:numId w:val="61"/>
        </w:numPr>
        <w:tabs>
          <w:tab w:pos="1250" w:val="left" w:leader="none"/>
        </w:tabs>
        <w:spacing w:line="240" w:lineRule="auto" w:before="0" w:after="0"/>
        <w:ind w:left="1249" w:right="0" w:hanging="530"/>
        <w:jc w:val="left"/>
        <w:rPr>
          <w:sz w:val="21"/>
        </w:rPr>
      </w:pPr>
      <w:r>
        <w:rPr>
          <w:spacing w:val="-15"/>
          <w:sz w:val="21"/>
        </w:rPr>
        <w:t>终止《基金合同》；</w:t>
      </w:r>
    </w:p>
    <w:p>
      <w:pPr>
        <w:pStyle w:val="BodyText"/>
        <w:spacing w:before="1"/>
        <w:rPr>
          <w:sz w:val="16"/>
        </w:rPr>
      </w:pPr>
    </w:p>
    <w:p>
      <w:pPr>
        <w:pStyle w:val="ListParagraph"/>
        <w:numPr>
          <w:ilvl w:val="0"/>
          <w:numId w:val="61"/>
        </w:numPr>
        <w:tabs>
          <w:tab w:pos="1250" w:val="left" w:leader="none"/>
        </w:tabs>
        <w:spacing w:line="240" w:lineRule="auto" w:before="0" w:after="0"/>
        <w:ind w:left="1249" w:right="0" w:hanging="530"/>
        <w:jc w:val="left"/>
        <w:rPr>
          <w:sz w:val="21"/>
        </w:rPr>
      </w:pPr>
      <w:r>
        <w:rPr>
          <w:spacing w:val="-3"/>
          <w:sz w:val="21"/>
        </w:rPr>
        <w:t>其他可能对基金当事人权利和义务产生重大影响的事项。</w:t>
      </w:r>
    </w:p>
    <w:p>
      <w:pPr>
        <w:pStyle w:val="BodyText"/>
        <w:spacing w:before="1"/>
        <w:rPr>
          <w:sz w:val="16"/>
        </w:rPr>
      </w:pPr>
    </w:p>
    <w:p>
      <w:pPr>
        <w:pStyle w:val="BodyText"/>
        <w:spacing w:line="424" w:lineRule="auto" w:before="1"/>
        <w:ind w:left="300" w:right="871" w:firstLine="419"/>
      </w:pPr>
      <w:r>
        <w:rPr>
          <w:spacing w:val="-11"/>
        </w:rPr>
        <w:t>但出现下列情况时，可不经基金份额持有人大会决议，由基金管理人和基金托管人同意</w:t>
      </w:r>
      <w:r>
        <w:rPr>
          <w:spacing w:val="-6"/>
        </w:rPr>
        <w:t>后变更并公告，并报中国证监会备案：</w:t>
      </w:r>
    </w:p>
    <w:p>
      <w:pPr>
        <w:pStyle w:val="ListParagraph"/>
        <w:numPr>
          <w:ilvl w:val="0"/>
          <w:numId w:val="62"/>
        </w:numPr>
        <w:tabs>
          <w:tab w:pos="1250" w:val="left" w:leader="none"/>
        </w:tabs>
        <w:spacing w:line="267" w:lineRule="exact" w:before="0" w:after="0"/>
        <w:ind w:left="1249" w:right="0" w:hanging="530"/>
        <w:jc w:val="left"/>
        <w:rPr>
          <w:sz w:val="21"/>
        </w:rPr>
      </w:pPr>
      <w:r>
        <w:rPr>
          <w:spacing w:val="-3"/>
          <w:sz w:val="21"/>
        </w:rPr>
        <w:t>调低基金管理费、基金托管费和其他应由基金资产承担的费用；</w:t>
      </w:r>
    </w:p>
    <w:p>
      <w:pPr>
        <w:pStyle w:val="BodyText"/>
        <w:rPr>
          <w:sz w:val="16"/>
        </w:rPr>
      </w:pPr>
    </w:p>
    <w:p>
      <w:pPr>
        <w:pStyle w:val="ListParagraph"/>
        <w:numPr>
          <w:ilvl w:val="0"/>
          <w:numId w:val="62"/>
        </w:numPr>
        <w:tabs>
          <w:tab w:pos="1250" w:val="left" w:leader="none"/>
        </w:tabs>
        <w:spacing w:line="240" w:lineRule="auto" w:before="1" w:after="0"/>
        <w:ind w:left="1249" w:right="0" w:hanging="530"/>
        <w:jc w:val="left"/>
        <w:rPr>
          <w:sz w:val="21"/>
        </w:rPr>
      </w:pPr>
      <w:r>
        <w:rPr>
          <w:spacing w:val="-3"/>
          <w:sz w:val="21"/>
        </w:rPr>
        <w:t>法律法规要求增加的基金费用的收取；</w:t>
      </w:r>
    </w:p>
    <w:p>
      <w:pPr>
        <w:pStyle w:val="BodyText"/>
        <w:spacing w:before="1"/>
        <w:rPr>
          <w:sz w:val="16"/>
        </w:rPr>
      </w:pPr>
    </w:p>
    <w:p>
      <w:pPr>
        <w:pStyle w:val="ListParagraph"/>
        <w:numPr>
          <w:ilvl w:val="0"/>
          <w:numId w:val="62"/>
        </w:numPr>
        <w:tabs>
          <w:tab w:pos="1250" w:val="left" w:leader="none"/>
        </w:tabs>
        <w:spacing w:line="424" w:lineRule="auto" w:before="0" w:after="0"/>
        <w:ind w:left="511" w:right="874" w:firstLine="208"/>
        <w:jc w:val="left"/>
        <w:rPr>
          <w:sz w:val="21"/>
        </w:rPr>
      </w:pPr>
      <w:r>
        <w:rPr>
          <w:spacing w:val="-3"/>
          <w:sz w:val="21"/>
        </w:rPr>
        <w:t>在法律法规和《基金合同》规定的范围内变更本基金的申购费率、调低赎回费率或变更收费方式；</w:t>
      </w:r>
    </w:p>
    <w:p>
      <w:pPr>
        <w:pStyle w:val="ListParagraph"/>
        <w:numPr>
          <w:ilvl w:val="0"/>
          <w:numId w:val="62"/>
        </w:numPr>
        <w:tabs>
          <w:tab w:pos="1250" w:val="left" w:leader="none"/>
        </w:tabs>
        <w:spacing w:line="424" w:lineRule="auto" w:before="1" w:after="0"/>
        <w:ind w:left="511" w:right="872" w:firstLine="208"/>
        <w:jc w:val="both"/>
        <w:rPr>
          <w:sz w:val="21"/>
        </w:rPr>
      </w:pPr>
      <w:r>
        <w:rPr>
          <w:spacing w:val="-3"/>
          <w:sz w:val="21"/>
        </w:rPr>
        <w:t>经中国证监会允许，基金管理人、登记结算机构、代销机构在法律法规规定的范</w:t>
      </w:r>
      <w:r>
        <w:rPr>
          <w:spacing w:val="-11"/>
          <w:sz w:val="21"/>
        </w:rPr>
        <w:t>围内调整有关基金认购、申购、赎回、转换、收益分配、非交易过户、转托管等业务的规则；</w:t>
      </w:r>
    </w:p>
    <w:p>
      <w:pPr>
        <w:pStyle w:val="ListParagraph"/>
        <w:numPr>
          <w:ilvl w:val="0"/>
          <w:numId w:val="62"/>
        </w:numPr>
        <w:tabs>
          <w:tab w:pos="1250" w:val="left" w:leader="none"/>
        </w:tabs>
        <w:spacing w:line="266" w:lineRule="exact" w:before="0" w:after="0"/>
        <w:ind w:left="1249" w:right="0" w:hanging="530"/>
        <w:jc w:val="left"/>
        <w:rPr>
          <w:sz w:val="21"/>
        </w:rPr>
      </w:pPr>
      <w:r>
        <w:rPr>
          <w:spacing w:val="-3"/>
          <w:sz w:val="21"/>
        </w:rPr>
        <w:t>因相应的法律法规发生变动而应当对《基金合同》进行修改；</w:t>
      </w:r>
    </w:p>
    <w:p>
      <w:pPr>
        <w:pStyle w:val="BodyText"/>
        <w:spacing w:before="1"/>
        <w:rPr>
          <w:sz w:val="16"/>
        </w:rPr>
      </w:pPr>
    </w:p>
    <w:p>
      <w:pPr>
        <w:pStyle w:val="ListParagraph"/>
        <w:numPr>
          <w:ilvl w:val="0"/>
          <w:numId w:val="62"/>
        </w:numPr>
        <w:tabs>
          <w:tab w:pos="1250" w:val="left" w:leader="none"/>
        </w:tabs>
        <w:spacing w:line="424" w:lineRule="auto" w:before="0" w:after="0"/>
        <w:ind w:left="511" w:right="871" w:firstLine="208"/>
        <w:jc w:val="left"/>
        <w:rPr>
          <w:sz w:val="21"/>
        </w:rPr>
      </w:pPr>
      <w:r>
        <w:rPr>
          <w:spacing w:val="-14"/>
          <w:sz w:val="21"/>
        </w:rPr>
        <w:t>对《基金合同》的修改对基金份额持有人利益无实质性不利影响或修改不涉及《 </w:t>
      </w:r>
      <w:r>
        <w:rPr>
          <w:spacing w:val="-8"/>
          <w:sz w:val="21"/>
        </w:rPr>
        <w:t>基金合同》当事人权利义务关系发生变化；</w:t>
      </w:r>
    </w:p>
    <w:p>
      <w:pPr>
        <w:pStyle w:val="ListParagraph"/>
        <w:numPr>
          <w:ilvl w:val="0"/>
          <w:numId w:val="62"/>
        </w:numPr>
        <w:tabs>
          <w:tab w:pos="1250" w:val="left" w:leader="none"/>
        </w:tabs>
        <w:spacing w:line="424" w:lineRule="auto" w:before="0" w:after="0"/>
        <w:ind w:left="511" w:right="874" w:firstLine="208"/>
        <w:jc w:val="left"/>
        <w:rPr>
          <w:sz w:val="21"/>
        </w:rPr>
      </w:pPr>
      <w:r>
        <w:rPr>
          <w:spacing w:val="-3"/>
          <w:sz w:val="21"/>
        </w:rPr>
        <w:t>除按照法律法规和《基金合同》规定应当召开基金份额持有人大会的以外的其他情形。</w:t>
      </w:r>
    </w:p>
    <w:p>
      <w:pPr>
        <w:spacing w:after="0" w:line="424" w:lineRule="auto"/>
        <w:jc w:val="left"/>
        <w:rPr>
          <w:sz w:val="21"/>
        </w:rPr>
        <w:sectPr>
          <w:footerReference w:type="default" r:id="rId229"/>
          <w:pgSz w:w="11910" w:h="16840"/>
          <w:pgMar w:footer="683" w:header="701" w:top="1420" w:bottom="880" w:left="1500" w:right="920"/>
          <w:pgNumType w:start="161"/>
        </w:sectPr>
      </w:pPr>
    </w:p>
    <w:p>
      <w:pPr>
        <w:pStyle w:val="BodyText"/>
        <w:spacing w:line="424" w:lineRule="auto" w:before="115"/>
        <w:ind w:left="300" w:right="873" w:firstLine="419"/>
      </w:pPr>
      <w:r>
        <w:rPr>
          <w:rFonts w:ascii="Times New Roman" w:eastAsia="Times New Roman"/>
        </w:rPr>
        <w:t>2</w:t>
      </w:r>
      <w:r>
        <w:rPr/>
        <w:t>、关于《基金合同》变更的基金份额持有人大会决议自生效后方可执行，自持有人大会决议生效后两日内在规定媒介公告。</w:t>
      </w:r>
    </w:p>
    <w:p>
      <w:pPr>
        <w:pStyle w:val="BodyText"/>
        <w:spacing w:line="267" w:lineRule="exact"/>
        <w:ind w:left="720"/>
      </w:pPr>
      <w:r>
        <w:rPr/>
        <w:t>（二</w:t>
      </w:r>
      <w:r>
        <w:rPr>
          <w:spacing w:val="-108"/>
        </w:rPr>
        <w:t>）</w:t>
      </w:r>
      <w:r>
        <w:rPr>
          <w:spacing w:val="-3"/>
        </w:rPr>
        <w:t>《基金合同》的终止</w:t>
      </w:r>
    </w:p>
    <w:p>
      <w:pPr>
        <w:pStyle w:val="BodyText"/>
        <w:rPr>
          <w:sz w:val="16"/>
        </w:rPr>
      </w:pPr>
    </w:p>
    <w:p>
      <w:pPr>
        <w:pStyle w:val="BodyText"/>
        <w:spacing w:before="1"/>
        <w:ind w:left="720"/>
      </w:pPr>
      <w:r>
        <w:rPr/>
        <w:t>有下列情形之一的，《基金合同》应当终止：</w:t>
      </w:r>
    </w:p>
    <w:p>
      <w:pPr>
        <w:pStyle w:val="BodyText"/>
        <w:spacing w:before="1"/>
        <w:rPr>
          <w:sz w:val="16"/>
        </w:rPr>
      </w:pPr>
    </w:p>
    <w:p>
      <w:pPr>
        <w:pStyle w:val="BodyText"/>
        <w:ind w:left="720"/>
      </w:pPr>
      <w:r>
        <w:rPr>
          <w:rFonts w:ascii="Times New Roman" w:eastAsia="Times New Roman"/>
        </w:rPr>
        <w:t>1</w:t>
      </w:r>
      <w:r>
        <w:rPr/>
        <w:t>、基金份额持有人大会决定终止的；</w:t>
      </w:r>
    </w:p>
    <w:p>
      <w:pPr>
        <w:pStyle w:val="BodyText"/>
        <w:spacing w:before="3"/>
        <w:rPr>
          <w:sz w:val="16"/>
        </w:rPr>
      </w:pPr>
    </w:p>
    <w:p>
      <w:pPr>
        <w:pStyle w:val="BodyText"/>
        <w:spacing w:line="424" w:lineRule="auto"/>
        <w:ind w:left="300" w:right="81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8" w:lineRule="exact"/>
        <w:ind w:left="720"/>
      </w:pPr>
      <w:r>
        <w:rPr>
          <w:rFonts w:ascii="Times New Roman" w:eastAsia="Times New Roman"/>
        </w:rPr>
        <w:t>3</w:t>
      </w:r>
      <w:r>
        <w:rPr/>
        <w:t>、《基金合同》约定的其他情形；</w:t>
      </w:r>
    </w:p>
    <w:p>
      <w:pPr>
        <w:pStyle w:val="BodyText"/>
        <w:spacing w:before="1"/>
        <w:rPr>
          <w:sz w:val="16"/>
        </w:rPr>
      </w:pPr>
    </w:p>
    <w:p>
      <w:pPr>
        <w:pStyle w:val="BodyText"/>
        <w:ind w:left="720"/>
      </w:pPr>
      <w:r>
        <w:rPr>
          <w:rFonts w:ascii="Times New Roman" w:eastAsia="Times New Roman"/>
        </w:rPr>
        <w:t>4</w:t>
      </w:r>
      <w:r>
        <w:rPr/>
        <w:t>、相关法律法规和中国证监会规定的其他情况。</w:t>
      </w:r>
    </w:p>
    <w:p>
      <w:pPr>
        <w:pStyle w:val="BodyText"/>
        <w:spacing w:before="1"/>
        <w:rPr>
          <w:sz w:val="16"/>
        </w:rPr>
      </w:pPr>
    </w:p>
    <w:p>
      <w:pPr>
        <w:pStyle w:val="BodyText"/>
        <w:spacing w:before="1"/>
        <w:ind w:left="720"/>
      </w:pPr>
      <w:r>
        <w:rPr/>
        <w:t>（三）基金财产的清算</w:t>
      </w:r>
    </w:p>
    <w:p>
      <w:pPr>
        <w:pStyle w:val="BodyText"/>
        <w:spacing w:before="1"/>
        <w:rPr>
          <w:sz w:val="16"/>
        </w:rPr>
      </w:pPr>
    </w:p>
    <w:p>
      <w:pPr>
        <w:pStyle w:val="BodyText"/>
        <w:spacing w:line="424" w:lineRule="auto"/>
        <w:ind w:left="300" w:right="87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24" w:lineRule="auto"/>
        <w:ind w:left="300" w:right="87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24" w:lineRule="auto"/>
        <w:ind w:left="300" w:right="87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7" w:lineRule="exact"/>
        <w:ind w:left="720"/>
      </w:pPr>
      <w:r>
        <w:rPr>
          <w:rFonts w:ascii="Times New Roman" w:eastAsia="Times New Roman"/>
        </w:rPr>
        <w:t>4</w:t>
      </w:r>
      <w:r>
        <w:rPr/>
        <w:t>、基金财产清算程序：</w:t>
      </w:r>
    </w:p>
    <w:p>
      <w:pPr>
        <w:pStyle w:val="BodyText"/>
        <w:spacing w:before="11"/>
        <w:rPr>
          <w:sz w:val="15"/>
        </w:rPr>
      </w:pPr>
    </w:p>
    <w:p>
      <w:pPr>
        <w:pStyle w:val="ListParagraph"/>
        <w:numPr>
          <w:ilvl w:val="0"/>
          <w:numId w:val="63"/>
        </w:numPr>
        <w:tabs>
          <w:tab w:pos="1250" w:val="left" w:leader="none"/>
        </w:tabs>
        <w:spacing w:line="240" w:lineRule="auto" w:before="0" w:after="0"/>
        <w:ind w:left="1249" w:right="0" w:hanging="530"/>
        <w:jc w:val="left"/>
        <w:rPr>
          <w:sz w:val="21"/>
        </w:rPr>
      </w:pPr>
      <w:r>
        <w:rPr>
          <w:spacing w:val="-3"/>
          <w:sz w:val="21"/>
        </w:rPr>
        <w:t>《基金合同》终止后，由基金财产清算小组统一接管基金；</w:t>
      </w:r>
    </w:p>
    <w:p>
      <w:pPr>
        <w:pStyle w:val="BodyText"/>
        <w:spacing w:before="1"/>
        <w:rPr>
          <w:sz w:val="16"/>
        </w:rPr>
      </w:pPr>
    </w:p>
    <w:p>
      <w:pPr>
        <w:pStyle w:val="ListParagraph"/>
        <w:numPr>
          <w:ilvl w:val="0"/>
          <w:numId w:val="63"/>
        </w:numPr>
        <w:tabs>
          <w:tab w:pos="1250" w:val="left" w:leader="none"/>
        </w:tabs>
        <w:spacing w:line="240" w:lineRule="auto" w:before="0" w:after="0"/>
        <w:ind w:left="1249" w:right="0" w:hanging="530"/>
        <w:jc w:val="left"/>
        <w:rPr>
          <w:sz w:val="21"/>
        </w:rPr>
      </w:pPr>
      <w:r>
        <w:rPr>
          <w:spacing w:val="-3"/>
          <w:sz w:val="21"/>
        </w:rPr>
        <w:t>对基金财产和债权债务进行清理和确认；</w:t>
      </w:r>
    </w:p>
    <w:p>
      <w:pPr>
        <w:pStyle w:val="BodyText"/>
        <w:spacing w:before="1"/>
        <w:rPr>
          <w:sz w:val="16"/>
        </w:rPr>
      </w:pPr>
    </w:p>
    <w:p>
      <w:pPr>
        <w:pStyle w:val="ListParagraph"/>
        <w:numPr>
          <w:ilvl w:val="0"/>
          <w:numId w:val="63"/>
        </w:numPr>
        <w:tabs>
          <w:tab w:pos="1250" w:val="left" w:leader="none"/>
        </w:tabs>
        <w:spacing w:line="240" w:lineRule="auto" w:before="1" w:after="0"/>
        <w:ind w:left="1249" w:right="0" w:hanging="530"/>
        <w:jc w:val="left"/>
        <w:rPr>
          <w:sz w:val="21"/>
        </w:rPr>
      </w:pPr>
      <w:r>
        <w:rPr>
          <w:spacing w:val="-3"/>
          <w:sz w:val="21"/>
        </w:rPr>
        <w:t>对基金财产进行估值和变现；</w:t>
      </w:r>
    </w:p>
    <w:p>
      <w:pPr>
        <w:pStyle w:val="BodyText"/>
        <w:spacing w:before="3"/>
        <w:rPr>
          <w:sz w:val="16"/>
        </w:rPr>
      </w:pPr>
    </w:p>
    <w:p>
      <w:pPr>
        <w:pStyle w:val="ListParagraph"/>
        <w:numPr>
          <w:ilvl w:val="0"/>
          <w:numId w:val="63"/>
        </w:numPr>
        <w:tabs>
          <w:tab w:pos="1250" w:val="left" w:leader="none"/>
        </w:tabs>
        <w:spacing w:line="240" w:lineRule="auto" w:before="1" w:after="0"/>
        <w:ind w:left="1249" w:right="0" w:hanging="530"/>
        <w:jc w:val="left"/>
        <w:rPr>
          <w:sz w:val="21"/>
        </w:rPr>
      </w:pPr>
      <w:r>
        <w:rPr>
          <w:spacing w:val="-3"/>
          <w:sz w:val="21"/>
        </w:rPr>
        <w:t>制作清算报告；</w:t>
      </w:r>
    </w:p>
    <w:p>
      <w:pPr>
        <w:pStyle w:val="BodyText"/>
        <w:spacing w:before="1"/>
        <w:rPr>
          <w:sz w:val="16"/>
        </w:rPr>
      </w:pPr>
    </w:p>
    <w:p>
      <w:pPr>
        <w:pStyle w:val="ListParagraph"/>
        <w:numPr>
          <w:ilvl w:val="0"/>
          <w:numId w:val="63"/>
        </w:numPr>
        <w:tabs>
          <w:tab w:pos="1250" w:val="left" w:leader="none"/>
        </w:tabs>
        <w:spacing w:line="424" w:lineRule="auto" w:before="0" w:after="0"/>
        <w:ind w:left="30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63"/>
        </w:numPr>
        <w:tabs>
          <w:tab w:pos="1250" w:val="left" w:leader="none"/>
        </w:tabs>
        <w:spacing w:line="267" w:lineRule="exact" w:before="0" w:after="0"/>
        <w:ind w:left="1249" w:right="0" w:hanging="530"/>
        <w:jc w:val="left"/>
        <w:rPr>
          <w:sz w:val="21"/>
        </w:rPr>
      </w:pPr>
      <w:r>
        <w:rPr>
          <w:spacing w:val="-3"/>
          <w:sz w:val="21"/>
        </w:rPr>
        <w:t>将清算结果报中国证监会备案并公告；</w:t>
      </w:r>
    </w:p>
    <w:p>
      <w:pPr>
        <w:pStyle w:val="BodyText"/>
        <w:spacing w:before="1"/>
        <w:rPr>
          <w:sz w:val="16"/>
        </w:rPr>
      </w:pPr>
    </w:p>
    <w:p>
      <w:pPr>
        <w:pStyle w:val="ListParagraph"/>
        <w:numPr>
          <w:ilvl w:val="0"/>
          <w:numId w:val="63"/>
        </w:numPr>
        <w:tabs>
          <w:tab w:pos="1250" w:val="left" w:leader="none"/>
        </w:tabs>
        <w:spacing w:line="240" w:lineRule="auto" w:before="0" w:after="0"/>
        <w:ind w:left="1249" w:right="0" w:hanging="530"/>
        <w:jc w:val="left"/>
        <w:rPr>
          <w:sz w:val="21"/>
        </w:rPr>
      </w:pPr>
      <w:r>
        <w:rPr>
          <w:spacing w:val="-3"/>
          <w:sz w:val="21"/>
        </w:rPr>
        <w:t>对基金财产进行分配。</w:t>
      </w:r>
    </w:p>
    <w:p>
      <w:pPr>
        <w:pStyle w:val="BodyText"/>
        <w:spacing w:before="1"/>
        <w:rPr>
          <w:sz w:val="16"/>
        </w:rPr>
      </w:pPr>
    </w:p>
    <w:p>
      <w:pPr>
        <w:pStyle w:val="BodyText"/>
        <w:ind w:left="720"/>
      </w:pPr>
      <w:r>
        <w:rPr/>
        <w:t>（四）清算费用</w:t>
      </w:r>
    </w:p>
    <w:p>
      <w:pPr>
        <w:pStyle w:val="BodyText"/>
        <w:spacing w:before="1"/>
        <w:rPr>
          <w:sz w:val="16"/>
        </w:rPr>
      </w:pPr>
    </w:p>
    <w:p>
      <w:pPr>
        <w:pStyle w:val="BodyText"/>
        <w:spacing w:line="424" w:lineRule="auto"/>
        <w:ind w:left="30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spacing w:after="0" w:line="424" w:lineRule="auto"/>
        <w:sectPr>
          <w:pgSz w:w="11910" w:h="16840"/>
          <w:pgMar w:header="701" w:footer="683" w:top="1420" w:bottom="880" w:left="1500" w:right="920"/>
        </w:sectPr>
      </w:pPr>
    </w:p>
    <w:p>
      <w:pPr>
        <w:pStyle w:val="BodyText"/>
        <w:spacing w:before="115"/>
        <w:ind w:left="720"/>
      </w:pPr>
      <w:r>
        <w:rPr/>
        <w:t>（五）基金财产清算剩余资产的分配</w:t>
      </w:r>
    </w:p>
    <w:p>
      <w:pPr>
        <w:pStyle w:val="BodyText"/>
        <w:rPr>
          <w:sz w:val="16"/>
        </w:rPr>
      </w:pPr>
    </w:p>
    <w:p>
      <w:pPr>
        <w:pStyle w:val="BodyText"/>
        <w:spacing w:line="424" w:lineRule="auto" w:before="1"/>
        <w:ind w:left="30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7" w:lineRule="exact"/>
        <w:ind w:left="720"/>
      </w:pPr>
      <w:r>
        <w:rPr/>
        <w:t>（六）基金财产清算的公告</w:t>
      </w:r>
    </w:p>
    <w:p>
      <w:pPr>
        <w:pStyle w:val="BodyText"/>
        <w:spacing w:before="1"/>
        <w:rPr>
          <w:sz w:val="16"/>
        </w:rPr>
      </w:pPr>
    </w:p>
    <w:p>
      <w:pPr>
        <w:pStyle w:val="BodyText"/>
        <w:spacing w:line="424" w:lineRule="auto"/>
        <w:ind w:left="300" w:right="871" w:firstLine="419"/>
        <w:jc w:val="both"/>
      </w:pPr>
      <w:r>
        <w:rPr>
          <w:spacing w:val="-9"/>
        </w:rPr>
        <w:t>清算过程中的有关重大事项须及时公告；基金财产清算报告经会计师事务所审计并由律师事务所出具法律意见书后报中国证监会备案并公告。基金财产清算结果于《基金合同》终</w:t>
      </w:r>
      <w:r>
        <w:rPr>
          <w:spacing w:val="-10"/>
        </w:rPr>
        <w:t>止并报中国证监会备案后 </w:t>
      </w:r>
      <w:r>
        <w:rPr>
          <w:rFonts w:ascii="Times New Roman" w:eastAsia="Times New Roman"/>
        </w:rPr>
        <w:t>5 </w:t>
      </w:r>
      <w:r>
        <w:rPr>
          <w:spacing w:val="-3"/>
        </w:rPr>
        <w:t>个工作日内由基金财产清算小组进行公告。</w:t>
      </w:r>
    </w:p>
    <w:p>
      <w:pPr>
        <w:pStyle w:val="BodyText"/>
        <w:ind w:left="720"/>
      </w:pPr>
      <w:r>
        <w:rPr/>
        <w:t>（七）基金财产清算账册及文件的保存</w:t>
      </w:r>
    </w:p>
    <w:p>
      <w:pPr>
        <w:pStyle w:val="BodyText"/>
        <w:spacing w:before="1"/>
        <w:rPr>
          <w:sz w:val="16"/>
        </w:rPr>
      </w:pPr>
    </w:p>
    <w:p>
      <w:pPr>
        <w:pStyle w:val="BodyText"/>
        <w:ind w:left="720"/>
      </w:pPr>
      <w:r>
        <w:rPr/>
        <w:t>基金财产清算账册及有关文件由基金托管人保存 </w:t>
      </w:r>
      <w:r>
        <w:rPr>
          <w:rFonts w:ascii="Times New Roman" w:eastAsia="Times New Roman"/>
        </w:rPr>
        <w:t>15 </w:t>
      </w:r>
      <w:r>
        <w:rPr/>
        <w:t>年以上。</w:t>
      </w:r>
    </w:p>
    <w:p>
      <w:pPr>
        <w:pStyle w:val="BodyText"/>
        <w:spacing w:before="1"/>
        <w:rPr>
          <w:sz w:val="16"/>
        </w:rPr>
      </w:pPr>
    </w:p>
    <w:p>
      <w:pPr>
        <w:pStyle w:val="BodyText"/>
        <w:ind w:left="2825"/>
        <w:jc w:val="both"/>
      </w:pPr>
      <w:r>
        <w:rPr/>
        <w:t>第二十二部分 争议的处理和适用的法律</w:t>
      </w:r>
    </w:p>
    <w:p>
      <w:pPr>
        <w:pStyle w:val="BodyText"/>
        <w:spacing w:before="1"/>
        <w:rPr>
          <w:sz w:val="16"/>
        </w:rPr>
      </w:pPr>
    </w:p>
    <w:p>
      <w:pPr>
        <w:pStyle w:val="BodyText"/>
        <w:spacing w:line="424" w:lineRule="auto"/>
        <w:ind w:left="300" w:right="871" w:firstLine="419"/>
        <w:jc w:val="both"/>
      </w:pPr>
      <w:r>
        <w:rPr>
          <w:spacing w:val="-11"/>
        </w:rPr>
        <w:t>各方当事人同意，因《基金合同》而产生的或与《基金合同》有关的一切争议，如经友</w:t>
      </w:r>
      <w:r>
        <w:rPr>
          <w:spacing w:val="-13"/>
        </w:rPr>
        <w:t>好协商未能解决的，应提交中国国际经济贸易仲裁委员会根据该会当时有效的仲裁规则进行</w:t>
      </w:r>
      <w:r>
        <w:rPr>
          <w:spacing w:val="-12"/>
        </w:rPr>
        <w:t>仲裁，仲裁地点为北京，仲裁裁决是终局性的并对各方当事人具有约束力，仲裁费由败诉方承担。</w:t>
      </w:r>
    </w:p>
    <w:p>
      <w:pPr>
        <w:pStyle w:val="BodyText"/>
        <w:spacing w:line="268" w:lineRule="exact"/>
        <w:ind w:left="720"/>
      </w:pPr>
      <w:r>
        <w:rPr/>
        <w:t>《基金合同》受中国法律管辖。</w:t>
      </w:r>
    </w:p>
    <w:p>
      <w:pPr>
        <w:pStyle w:val="BodyText"/>
        <w:spacing w:before="1"/>
        <w:rPr>
          <w:sz w:val="16"/>
        </w:rPr>
      </w:pPr>
    </w:p>
    <w:p>
      <w:pPr>
        <w:pStyle w:val="BodyText"/>
        <w:ind w:left="3245"/>
      </w:pPr>
      <w:r>
        <w:rPr/>
        <w:t>第二十三部分 基金合同的效力</w:t>
      </w:r>
    </w:p>
    <w:p>
      <w:pPr>
        <w:pStyle w:val="BodyText"/>
        <w:spacing w:before="1"/>
        <w:rPr>
          <w:sz w:val="16"/>
        </w:rPr>
      </w:pPr>
    </w:p>
    <w:p>
      <w:pPr>
        <w:pStyle w:val="BodyText"/>
        <w:spacing w:line="424" w:lineRule="auto"/>
        <w:ind w:left="300" w:right="871" w:firstLine="419"/>
      </w:pPr>
      <w:r>
        <w:rPr>
          <w:spacing w:val="-10"/>
        </w:rPr>
        <w:t>《基金合同》存放在基金管理人和基金托管人住所。投资者可登录基金管理人和基金托</w:t>
      </w:r>
      <w:r>
        <w:rPr>
          <w:spacing w:val="-5"/>
        </w:rPr>
        <w:t>管人网站查询。</w:t>
      </w:r>
    </w:p>
    <w:p>
      <w:pPr>
        <w:pStyle w:val="BodyText"/>
        <w:spacing w:line="424" w:lineRule="auto"/>
        <w:ind w:left="300" w:right="87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before="7"/>
        <w:rPr>
          <w:sz w:val="24"/>
        </w:rPr>
      </w:pPr>
    </w:p>
    <w:p>
      <w:pPr>
        <w:pStyle w:val="Heading1"/>
        <w:ind w:left="2645" w:right="0"/>
        <w:jc w:val="left"/>
      </w:pPr>
      <w:bookmarkStart w:name="_bookmark20" w:id="21"/>
      <w:bookmarkEnd w:id="21"/>
      <w:r>
        <w:rPr>
          <w:b w:val="0"/>
        </w:rPr>
      </w:r>
      <w:r>
        <w:rPr/>
        <w:t>二十一、基金托管协议的内容摘要</w:t>
      </w:r>
    </w:p>
    <w:p>
      <w:pPr>
        <w:pStyle w:val="BodyText"/>
        <w:rPr>
          <w:b/>
          <w:sz w:val="24"/>
        </w:rPr>
      </w:pPr>
    </w:p>
    <w:p>
      <w:pPr>
        <w:pStyle w:val="BodyText"/>
        <w:spacing w:before="214"/>
        <w:ind w:left="720"/>
      </w:pPr>
      <w:r>
        <w:rPr/>
        <w:t>以下内容摘自《华夏沪深 </w:t>
      </w:r>
      <w:r>
        <w:rPr>
          <w:rFonts w:ascii="Times New Roman" w:eastAsia="Times New Roman"/>
        </w:rPr>
        <w:t>300 </w:t>
      </w:r>
      <w:r>
        <w:rPr/>
        <w:t>交易型开放式指数证券投资基金联接基金托管协议》。</w:t>
      </w:r>
    </w:p>
    <w:p>
      <w:pPr>
        <w:pStyle w:val="BodyText"/>
        <w:spacing w:before="1"/>
        <w:rPr>
          <w:sz w:val="16"/>
        </w:rPr>
      </w:pPr>
    </w:p>
    <w:p>
      <w:pPr>
        <w:pStyle w:val="BodyText"/>
        <w:spacing w:before="1"/>
        <w:ind w:left="300" w:right="455"/>
        <w:jc w:val="center"/>
      </w:pPr>
      <w:r>
        <w:rPr>
          <w:rFonts w:ascii="Times New Roman" w:hAnsi="Times New Roman" w:eastAsia="Times New Roman"/>
        </w:rPr>
        <w:t>“</w:t>
      </w:r>
      <w:r>
        <w:rPr/>
        <w:t>一、基金托管协议当事人</w:t>
      </w:r>
    </w:p>
    <w:p>
      <w:pPr>
        <w:pStyle w:val="BodyText"/>
        <w:spacing w:before="1"/>
        <w:rPr>
          <w:sz w:val="16"/>
        </w:rPr>
      </w:pPr>
    </w:p>
    <w:p>
      <w:pPr>
        <w:pStyle w:val="BodyText"/>
        <w:ind w:left="720"/>
      </w:pPr>
      <w:r>
        <w:rPr/>
        <w:t>（一）基金管理人</w:t>
      </w:r>
    </w:p>
    <w:p>
      <w:pPr>
        <w:pStyle w:val="BodyText"/>
        <w:spacing w:before="1"/>
        <w:rPr>
          <w:sz w:val="16"/>
        </w:rPr>
      </w:pPr>
    </w:p>
    <w:p>
      <w:pPr>
        <w:pStyle w:val="BodyText"/>
        <w:ind w:left="720"/>
      </w:pPr>
      <w:r>
        <w:rPr/>
        <w:t>名称：华夏基金管理有限公司</w:t>
      </w:r>
    </w:p>
    <w:p>
      <w:pPr>
        <w:pStyle w:val="BodyText"/>
        <w:spacing w:before="1"/>
        <w:rPr>
          <w:sz w:val="16"/>
        </w:rPr>
      </w:pPr>
    </w:p>
    <w:p>
      <w:pPr>
        <w:pStyle w:val="BodyText"/>
        <w:spacing w:line="424" w:lineRule="auto"/>
        <w:ind w:left="720" w:right="5129"/>
      </w:pPr>
      <w:r>
        <w:rPr/>
        <w:t>住所：北京市顺义区安庆大街甲 </w:t>
      </w:r>
      <w:r>
        <w:rPr>
          <w:rFonts w:ascii="Times New Roman" w:eastAsia="Times New Roman"/>
        </w:rPr>
        <w:t>3 </w:t>
      </w:r>
      <w:r>
        <w:rPr/>
        <w:t>号院法定代表人：杨明辉</w:t>
      </w:r>
    </w:p>
    <w:p>
      <w:pPr>
        <w:pStyle w:val="BodyText"/>
        <w:spacing w:line="267" w:lineRule="exact"/>
        <w:ind w:left="720"/>
      </w:pPr>
      <w:r>
        <w:rPr/>
        <w:t>成立时间：</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spacing w:after="0" w:line="267" w:lineRule="exact"/>
        <w:sectPr>
          <w:pgSz w:w="11910" w:h="16840"/>
          <w:pgMar w:header="701" w:footer="683" w:top="1420" w:bottom="880" w:left="1500" w:right="920"/>
        </w:sectPr>
      </w:pPr>
    </w:p>
    <w:p>
      <w:pPr>
        <w:pStyle w:val="BodyText"/>
        <w:spacing w:line="424" w:lineRule="auto" w:before="115"/>
        <w:ind w:left="720" w:right="2688"/>
      </w:pPr>
      <w:r>
        <w:rPr/>
        <w:t>批准设立机关及批准设立文号：中国证监会证监基字</w:t>
      </w:r>
      <w:r>
        <w:rPr>
          <w:rFonts w:ascii="Times New Roman" w:eastAsia="Times New Roman"/>
        </w:rPr>
        <w:t>[1998]16 </w:t>
      </w:r>
      <w:r>
        <w:rPr/>
        <w:t>号文注册资本：</w:t>
      </w:r>
      <w:r>
        <w:rPr>
          <w:rFonts w:ascii="Times New Roman" w:eastAsia="Times New Roman"/>
        </w:rPr>
        <w:t>2.38 </w:t>
      </w:r>
      <w:r>
        <w:rPr/>
        <w:t>亿元</w:t>
      </w:r>
    </w:p>
    <w:p>
      <w:pPr>
        <w:pStyle w:val="BodyText"/>
        <w:spacing w:line="424" w:lineRule="auto"/>
        <w:ind w:left="720" w:right="6450"/>
      </w:pPr>
      <w:r>
        <w:rPr/>
        <w:t>组织形式：有限责任公司存续期间：</w:t>
      </w:r>
      <w:r>
        <w:rPr>
          <w:rFonts w:ascii="Times New Roman" w:eastAsia="Times New Roman"/>
        </w:rPr>
        <w:t>100 </w:t>
      </w:r>
      <w:r>
        <w:rPr/>
        <w:t>年</w:t>
      </w:r>
    </w:p>
    <w:p>
      <w:pPr>
        <w:pStyle w:val="BodyText"/>
        <w:spacing w:line="427" w:lineRule="auto"/>
        <w:ind w:left="300" w:right="871" w:firstLine="419"/>
      </w:pPr>
      <w:r>
        <w:rPr>
          <w:spacing w:val="-25"/>
          <w:w w:val="100"/>
        </w:rPr>
        <w:t>经营范围：</w:t>
      </w:r>
      <w:r>
        <w:rPr>
          <w:w w:val="100"/>
        </w:rPr>
        <w:t>（一</w:t>
      </w:r>
      <w:r>
        <w:rPr>
          <w:spacing w:val="-15"/>
          <w:w w:val="100"/>
        </w:rPr>
        <w:t>）</w:t>
      </w:r>
      <w:r>
        <w:rPr>
          <w:spacing w:val="-26"/>
          <w:w w:val="100"/>
        </w:rPr>
        <w:t>基金募集；</w:t>
      </w:r>
      <w:r>
        <w:rPr>
          <w:w w:val="100"/>
        </w:rPr>
        <w:t>（</w:t>
      </w:r>
      <w:r>
        <w:rPr>
          <w:spacing w:val="-3"/>
          <w:w w:val="100"/>
        </w:rPr>
        <w:t>二</w:t>
      </w:r>
      <w:r>
        <w:rPr>
          <w:spacing w:val="-13"/>
          <w:w w:val="100"/>
        </w:rPr>
        <w:t>）</w:t>
      </w:r>
      <w:r>
        <w:rPr>
          <w:spacing w:val="-26"/>
          <w:w w:val="100"/>
        </w:rPr>
        <w:t>基金销售；</w:t>
      </w:r>
      <w:r>
        <w:rPr>
          <w:spacing w:val="-3"/>
          <w:w w:val="100"/>
        </w:rPr>
        <w:t>（</w:t>
      </w:r>
      <w:r>
        <w:rPr>
          <w:w w:val="100"/>
        </w:rPr>
        <w:t>三</w:t>
      </w:r>
      <w:r>
        <w:rPr>
          <w:spacing w:val="-15"/>
          <w:w w:val="100"/>
        </w:rPr>
        <w:t>）</w:t>
      </w:r>
      <w:r>
        <w:rPr>
          <w:spacing w:val="-25"/>
          <w:w w:val="100"/>
        </w:rPr>
        <w:t>资产管理；</w:t>
      </w:r>
      <w:r>
        <w:rPr>
          <w:w w:val="100"/>
        </w:rPr>
        <w:t>（四</w:t>
      </w:r>
      <w:r>
        <w:rPr>
          <w:spacing w:val="-15"/>
          <w:w w:val="100"/>
        </w:rPr>
        <w:t>）</w:t>
      </w:r>
      <w:r>
        <w:rPr>
          <w:spacing w:val="-3"/>
          <w:w w:val="100"/>
        </w:rPr>
        <w:t>从事特定客户资产</w:t>
      </w:r>
      <w:r>
        <w:rPr>
          <w:spacing w:val="-24"/>
          <w:w w:val="100"/>
        </w:rPr>
        <w:t>管理业务；</w:t>
      </w:r>
      <w:r>
        <w:rPr>
          <w:w w:val="100"/>
        </w:rPr>
        <w:t>（</w:t>
      </w:r>
      <w:r>
        <w:rPr>
          <w:spacing w:val="-3"/>
          <w:w w:val="100"/>
        </w:rPr>
        <w:t>五</w:t>
      </w:r>
      <w:r>
        <w:rPr>
          <w:w w:val="100"/>
        </w:rPr>
        <w:t>）</w:t>
      </w:r>
      <w:r>
        <w:rPr>
          <w:spacing w:val="-3"/>
          <w:w w:val="100"/>
        </w:rPr>
        <w:t>中国证监会核准的其他业务。</w:t>
      </w:r>
    </w:p>
    <w:p>
      <w:pPr>
        <w:pStyle w:val="BodyText"/>
        <w:spacing w:line="264" w:lineRule="exact"/>
        <w:ind w:left="720"/>
      </w:pPr>
      <w:r>
        <w:rPr/>
        <w:t>（二）基金托管人</w:t>
      </w:r>
    </w:p>
    <w:p>
      <w:pPr>
        <w:pStyle w:val="BodyText"/>
        <w:spacing w:before="10"/>
        <w:rPr>
          <w:sz w:val="15"/>
        </w:rPr>
      </w:pPr>
    </w:p>
    <w:p>
      <w:pPr>
        <w:pStyle w:val="BodyText"/>
        <w:ind w:left="720"/>
      </w:pPr>
      <w:r>
        <w:rPr/>
        <w:t>名称：中国工商银行股份有限公司</w:t>
      </w:r>
    </w:p>
    <w:p>
      <w:pPr>
        <w:pStyle w:val="BodyText"/>
        <w:spacing w:before="1"/>
        <w:rPr>
          <w:sz w:val="16"/>
        </w:rPr>
      </w:pPr>
    </w:p>
    <w:p>
      <w:pPr>
        <w:pStyle w:val="BodyText"/>
        <w:spacing w:line="424" w:lineRule="auto"/>
        <w:ind w:left="720" w:right="3973"/>
      </w:pPr>
      <w:r>
        <w:rPr/>
        <w:t>住所：北京市西城区复兴门内大街 </w:t>
      </w:r>
      <w:r>
        <w:rPr>
          <w:rFonts w:ascii="Times New Roman" w:eastAsia="Times New Roman"/>
        </w:rPr>
        <w:t>55 </w:t>
      </w:r>
      <w:r>
        <w:rPr/>
        <w:t>号（</w:t>
      </w:r>
      <w:r>
        <w:rPr>
          <w:rFonts w:ascii="Times New Roman" w:eastAsia="Times New Roman"/>
        </w:rPr>
        <w:t>100140</w:t>
      </w:r>
      <w:r>
        <w:rPr/>
        <w:t>） 法定代表人：陈四清</w:t>
      </w:r>
    </w:p>
    <w:p>
      <w:pPr>
        <w:pStyle w:val="BodyText"/>
        <w:spacing w:line="424" w:lineRule="auto"/>
        <w:ind w:left="720" w:right="6906"/>
        <w:rPr>
          <w:rFonts w:ascii="Times New Roman" w:eastAsia="Times New Roman"/>
        </w:rPr>
      </w:pPr>
      <w:r>
        <w:rPr/>
        <w:t>电话：</w:t>
      </w:r>
      <w:r>
        <w:rPr>
          <w:rFonts w:ascii="Times New Roman" w:eastAsia="Times New Roman"/>
        </w:rPr>
        <w:t>010-66105799 </w:t>
      </w:r>
      <w:r>
        <w:rPr/>
        <w:t>传真：</w:t>
      </w:r>
      <w:r>
        <w:rPr>
          <w:rFonts w:ascii="Times New Roman" w:eastAsia="Times New Roman"/>
        </w:rPr>
        <w:t>010-66105798</w:t>
      </w:r>
    </w:p>
    <w:p>
      <w:pPr>
        <w:pStyle w:val="BodyText"/>
        <w:spacing w:line="267" w:lineRule="exact"/>
        <w:ind w:left="720"/>
      </w:pPr>
      <w:r>
        <w:rPr/>
        <w:t>联系人：郭明</w:t>
      </w:r>
    </w:p>
    <w:p>
      <w:pPr>
        <w:pStyle w:val="BodyText"/>
        <w:spacing w:before="1"/>
        <w:rPr>
          <w:sz w:val="16"/>
        </w:rPr>
      </w:pPr>
    </w:p>
    <w:p>
      <w:pPr>
        <w:pStyle w:val="BodyText"/>
        <w:spacing w:line="424" w:lineRule="auto"/>
        <w:ind w:left="720" w:right="6190"/>
      </w:pPr>
      <w:r>
        <w:rPr>
          <w:spacing w:val="-1"/>
        </w:rPr>
        <w:t>成立时间：</w:t>
      </w:r>
      <w:r>
        <w:rPr>
          <w:rFonts w:ascii="Times New Roman" w:eastAsia="Times New Roman"/>
        </w:rPr>
        <w:t>1984 </w:t>
      </w:r>
      <w:r>
        <w:rPr>
          <w:spacing w:val="-27"/>
        </w:rPr>
        <w:t>年 </w:t>
      </w:r>
      <w:r>
        <w:rPr>
          <w:rFonts w:ascii="Times New Roman" w:eastAsia="Times New Roman"/>
        </w:rPr>
        <w:t>1 </w:t>
      </w:r>
      <w:r>
        <w:rPr>
          <w:spacing w:val="-27"/>
        </w:rPr>
        <w:t>月 </w:t>
      </w:r>
      <w:r>
        <w:rPr>
          <w:rFonts w:ascii="Times New Roman" w:eastAsia="Times New Roman"/>
        </w:rPr>
        <w:t>1 </w:t>
      </w:r>
      <w:r>
        <w:rPr>
          <w:spacing w:val="-13"/>
        </w:rPr>
        <w:t>日</w:t>
      </w:r>
      <w:r>
        <w:rPr>
          <w:spacing w:val="-3"/>
        </w:rPr>
        <w:t>组织形式：股份有限公司</w:t>
      </w:r>
    </w:p>
    <w:p>
      <w:pPr>
        <w:pStyle w:val="BodyText"/>
        <w:spacing w:line="267" w:lineRule="exact"/>
        <w:ind w:left="720"/>
      </w:pPr>
      <w:r>
        <w:rPr/>
        <w:t>注册资本：人民币 </w:t>
      </w:r>
      <w:r>
        <w:rPr>
          <w:rFonts w:ascii="Times New Roman" w:eastAsia="Times New Roman"/>
        </w:rPr>
        <w:t>35,640,625.7089 </w:t>
      </w:r>
      <w:r>
        <w:rPr/>
        <w:t>万元</w:t>
      </w:r>
    </w:p>
    <w:p>
      <w:pPr>
        <w:pStyle w:val="BodyText"/>
        <w:spacing w:before="1"/>
        <w:rPr>
          <w:sz w:val="16"/>
        </w:rPr>
      </w:pPr>
    </w:p>
    <w:p>
      <w:pPr>
        <w:pStyle w:val="BodyText"/>
        <w:spacing w:before="1"/>
        <w:ind w:left="720"/>
      </w:pPr>
      <w:r>
        <w:rPr/>
        <w:t>批准设立机关和设立文号：国务院《关于中国人民银行专门行使中央银行职能的决定》</w:t>
      </w:r>
    </w:p>
    <w:p>
      <w:pPr>
        <w:pStyle w:val="BodyText"/>
        <w:spacing w:before="1"/>
        <w:rPr>
          <w:sz w:val="16"/>
        </w:rPr>
      </w:pPr>
    </w:p>
    <w:p>
      <w:pPr>
        <w:pStyle w:val="BodyText"/>
        <w:ind w:left="300"/>
      </w:pPr>
      <w:r>
        <w:rPr/>
        <w:t>（国发</w:t>
      </w:r>
      <w:r>
        <w:rPr>
          <w:rFonts w:ascii="Times New Roman" w:eastAsia="Times New Roman"/>
        </w:rPr>
        <w:t>[1983]146 </w:t>
      </w:r>
      <w:r>
        <w:rPr/>
        <w:t>号）</w:t>
      </w:r>
    </w:p>
    <w:p>
      <w:pPr>
        <w:pStyle w:val="BodyText"/>
        <w:spacing w:before="1"/>
        <w:rPr>
          <w:sz w:val="16"/>
        </w:rPr>
      </w:pPr>
    </w:p>
    <w:p>
      <w:pPr>
        <w:pStyle w:val="BodyText"/>
        <w:ind w:left="720"/>
      </w:pPr>
      <w:r>
        <w:rPr/>
        <w:t>存续期间：持续经营</w:t>
      </w:r>
    </w:p>
    <w:p>
      <w:pPr>
        <w:pStyle w:val="BodyText"/>
        <w:spacing w:before="1"/>
        <w:rPr>
          <w:sz w:val="16"/>
        </w:rPr>
      </w:pPr>
    </w:p>
    <w:p>
      <w:pPr>
        <w:pStyle w:val="BodyText"/>
        <w:spacing w:line="424" w:lineRule="auto"/>
        <w:ind w:left="300" w:right="871" w:firstLine="419"/>
        <w:jc w:val="both"/>
      </w:pPr>
      <w:r>
        <w:rPr>
          <w:spacing w:val="-21"/>
        </w:rPr>
        <w:t>经营范围：办理人民币存款、贷款、同业拆借业务；国内外结算；办理票据承兑、贴现、</w:t>
      </w:r>
      <w:r>
        <w:rPr>
          <w:spacing w:val="-22"/>
        </w:rPr>
        <w:t>转贴现、各类汇兑业务；代理资金清算；提供信用证服务及担保；代理销售业务；代理发行、</w:t>
      </w:r>
      <w:r>
        <w:rPr>
          <w:spacing w:val="-7"/>
          <w:w w:val="100"/>
        </w:rPr>
        <w:t>代理承销、代理兑付政府债券；代收代付业务；代理证券投资基金清算业务</w:t>
      </w:r>
      <w:r>
        <w:rPr>
          <w:w w:val="100"/>
        </w:rPr>
        <w:t>（</w:t>
      </w:r>
      <w:r>
        <w:rPr>
          <w:spacing w:val="-2"/>
          <w:w w:val="100"/>
        </w:rPr>
        <w:t>银证转账</w:t>
      </w:r>
      <w:r>
        <w:rPr>
          <w:spacing w:val="-108"/>
          <w:w w:val="100"/>
        </w:rPr>
        <w:t>）</w:t>
      </w:r>
      <w:r>
        <w:rPr>
          <w:w w:val="100"/>
        </w:rPr>
        <w:t>；</w:t>
      </w:r>
      <w:r>
        <w:rPr>
          <w:spacing w:val="-10"/>
        </w:rPr>
        <w:t>保险代理业务；代理政策性银行、外国政府和国际金融机构贷款业务；保管箱服务；发行金</w:t>
      </w:r>
      <w:r>
        <w:rPr>
          <w:spacing w:val="-13"/>
        </w:rPr>
        <w:t>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w:t>
      </w:r>
      <w:r>
        <w:rPr>
          <w:spacing w:val="-12"/>
        </w:rPr>
        <w:t>行、代理发行、买卖或代理买卖股票以外的外币有价证券；自营、代客外汇买卖；外汇金融</w:t>
      </w:r>
      <w:r>
        <w:rPr>
          <w:spacing w:val="-13"/>
        </w:rPr>
        <w:t>衍生业务；银行卡业务；电话银行、网上银行、手机银行业务；办理结汇、售汇业务；经国</w:t>
      </w:r>
    </w:p>
    <w:p>
      <w:pPr>
        <w:spacing w:after="0" w:line="424" w:lineRule="auto"/>
        <w:jc w:val="both"/>
        <w:sectPr>
          <w:pgSz w:w="11910" w:h="16840"/>
          <w:pgMar w:header="701" w:footer="683" w:top="1420" w:bottom="880" w:left="1500" w:right="920"/>
        </w:sectPr>
      </w:pPr>
    </w:p>
    <w:p>
      <w:pPr>
        <w:pStyle w:val="BodyText"/>
        <w:spacing w:before="115"/>
        <w:ind w:left="300"/>
      </w:pPr>
      <w:r>
        <w:rPr/>
        <w:t>务院银行业监督管理机构批准的其他业务。</w:t>
      </w:r>
    </w:p>
    <w:p>
      <w:pPr>
        <w:pStyle w:val="BodyText"/>
        <w:rPr>
          <w:sz w:val="16"/>
        </w:rPr>
      </w:pPr>
    </w:p>
    <w:p>
      <w:pPr>
        <w:pStyle w:val="BodyText"/>
        <w:spacing w:before="1"/>
        <w:ind w:left="300" w:right="452"/>
        <w:jc w:val="center"/>
      </w:pPr>
      <w:r>
        <w:rPr/>
        <w:t>三、基金托管人对基金管理人的业务监督和核查</w:t>
      </w:r>
    </w:p>
    <w:p>
      <w:pPr>
        <w:pStyle w:val="BodyText"/>
        <w:spacing w:before="1"/>
        <w:rPr>
          <w:sz w:val="16"/>
        </w:rPr>
      </w:pPr>
    </w:p>
    <w:p>
      <w:pPr>
        <w:pStyle w:val="BodyText"/>
        <w:ind w:left="720"/>
      </w:pPr>
      <w:r>
        <w:rPr/>
        <w:t>（一）基金托管人对基金管理人的投资行为行使监督权</w:t>
      </w:r>
    </w:p>
    <w:p>
      <w:pPr>
        <w:pStyle w:val="BodyText"/>
        <w:spacing w:before="1"/>
        <w:rPr>
          <w:sz w:val="16"/>
        </w:rPr>
      </w:pPr>
    </w:p>
    <w:p>
      <w:pPr>
        <w:pStyle w:val="BodyText"/>
        <w:spacing w:line="424" w:lineRule="auto"/>
        <w:ind w:left="300" w:right="871" w:firstLine="419"/>
      </w:pPr>
      <w:r>
        <w:rPr>
          <w:rFonts w:ascii="Times New Roman" w:eastAsia="Times New Roman"/>
        </w:rPr>
        <w:t>1</w:t>
      </w:r>
      <w:r>
        <w:rPr>
          <w:spacing w:val="-16"/>
        </w:rPr>
        <w:t>、基金托管人根据有关法律法规的规定和《基金合同》的约定，对下述基金投资范围、</w:t>
      </w:r>
      <w:r>
        <w:rPr>
          <w:spacing w:val="-7"/>
        </w:rPr>
        <w:t>投资对象进行监督。</w:t>
      </w:r>
    </w:p>
    <w:p>
      <w:pPr>
        <w:pStyle w:val="BodyText"/>
        <w:spacing w:line="424" w:lineRule="auto"/>
        <w:ind w:left="300" w:right="766" w:firstLine="419"/>
      </w:pPr>
      <w:r>
        <w:rPr>
          <w:spacing w:val="-5"/>
        </w:rPr>
        <w:t>本基金主要投资于目标 </w:t>
      </w:r>
      <w:r>
        <w:rPr>
          <w:rFonts w:ascii="Times New Roman" w:eastAsia="Times New Roman"/>
        </w:rPr>
        <w:t>ETF </w:t>
      </w:r>
      <w:r>
        <w:rPr>
          <w:spacing w:val="-3"/>
        </w:rPr>
        <w:t>基金份额、标的指数成份股、备选成份股。为更好地实现</w:t>
      </w:r>
      <w:r>
        <w:rPr>
          <w:spacing w:val="-9"/>
        </w:rPr>
        <w:t>投资目标，基金还可投资于非成份股</w:t>
      </w:r>
      <w:r>
        <w:rPr>
          <w:spacing w:val="-3"/>
        </w:rPr>
        <w:t>（</w:t>
      </w:r>
      <w:r>
        <w:rPr>
          <w:spacing w:val="-7"/>
        </w:rPr>
        <w:t>含中小板、创业板及其他中国证监会注册或核准上市的股票</w:t>
      </w:r>
      <w:r>
        <w:rPr>
          <w:spacing w:val="-108"/>
        </w:rPr>
        <w:t>）</w:t>
      </w:r>
      <w:r>
        <w:rPr>
          <w:spacing w:val="-1"/>
        </w:rPr>
        <w:t>、债券</w:t>
      </w:r>
      <w:r>
        <w:rPr/>
        <w:t>（</w:t>
      </w:r>
      <w:r>
        <w:rPr>
          <w:spacing w:val="-3"/>
        </w:rPr>
        <w:t>包括国债、央行票据、金融债券、企业债券、公司债券、中期票据、短期</w:t>
      </w:r>
      <w:r>
        <w:rPr>
          <w:spacing w:val="-11"/>
        </w:rPr>
        <w:t>融资券、超短期融资券、次级债券、地方政府债券、可转换债券、可交换债券及其他经中国</w:t>
      </w:r>
      <w:r>
        <w:rPr>
          <w:spacing w:val="-6"/>
        </w:rPr>
        <w:t>证监会允许投资的债券</w:t>
      </w:r>
      <w:r>
        <w:rPr>
          <w:spacing w:val="-106"/>
        </w:rPr>
        <w:t>）</w:t>
      </w:r>
      <w:r>
        <w:rPr>
          <w:spacing w:val="-3"/>
        </w:rPr>
        <w:t>、衍生品</w:t>
      </w:r>
      <w:r>
        <w:rPr/>
        <w:t>（</w:t>
      </w:r>
      <w:r>
        <w:rPr>
          <w:spacing w:val="-3"/>
        </w:rPr>
        <w:t>包括股指期货、股票期权、国债期货</w:t>
      </w:r>
      <w:r>
        <w:rPr>
          <w:spacing w:val="-106"/>
        </w:rPr>
        <w:t>）</w:t>
      </w:r>
      <w:r>
        <w:rPr>
          <w:spacing w:val="-3"/>
        </w:rPr>
        <w:t>、资产支持证券、货币市场工具</w:t>
      </w:r>
      <w:r>
        <w:rPr/>
        <w:t>（</w:t>
      </w:r>
      <w:r>
        <w:rPr>
          <w:spacing w:val="-3"/>
        </w:rPr>
        <w:t>含同业存单、债券回购等</w:t>
      </w:r>
      <w:r>
        <w:rPr>
          <w:spacing w:val="-106"/>
        </w:rPr>
        <w:t>）</w:t>
      </w:r>
      <w:r>
        <w:rPr>
          <w:spacing w:val="-3"/>
        </w:rPr>
        <w:t>、银行存款以及法律法规或中国证监会允许基金</w:t>
      </w:r>
      <w:r>
        <w:rPr>
          <w:spacing w:val="-10"/>
        </w:rPr>
        <w:t>投资的其他金融工具。本基金还可根据法律法规的规定参与转融通证券出借业务。法律法规</w:t>
      </w:r>
      <w:r>
        <w:rPr>
          <w:spacing w:val="-5"/>
          <w:w w:val="100"/>
        </w:rPr>
        <w:t>或监管机构允许基金投资其他品种的</w:t>
      </w:r>
      <w:r>
        <w:rPr>
          <w:spacing w:val="-3"/>
          <w:w w:val="100"/>
        </w:rPr>
        <w:t>（包括但不限于股指期权等金融衍生品</w:t>
      </w:r>
      <w:r>
        <w:rPr>
          <w:spacing w:val="-108"/>
          <w:w w:val="100"/>
        </w:rPr>
        <w:t>）</w:t>
      </w:r>
      <w:r>
        <w:rPr>
          <w:spacing w:val="-1"/>
          <w:w w:val="100"/>
        </w:rPr>
        <w:t>，基金管理人</w:t>
      </w:r>
      <w:r>
        <w:rPr>
          <w:spacing w:val="-3"/>
        </w:rPr>
        <w:t>在履行适当程序后，可以将其纳入投资范围。</w:t>
      </w:r>
    </w:p>
    <w:p>
      <w:pPr>
        <w:pStyle w:val="BodyText"/>
        <w:spacing w:line="263" w:lineRule="exact"/>
        <w:ind w:left="720"/>
      </w:pPr>
      <w:r>
        <w:rPr/>
        <w:t>本基金不得投资于相关法律、法规、部门规章及《基金合同》禁止投资的投资工具。</w:t>
      </w:r>
    </w:p>
    <w:p>
      <w:pPr>
        <w:pStyle w:val="BodyText"/>
        <w:spacing w:before="1"/>
        <w:rPr>
          <w:sz w:val="16"/>
        </w:rPr>
      </w:pPr>
    </w:p>
    <w:p>
      <w:pPr>
        <w:pStyle w:val="BodyText"/>
        <w:spacing w:line="424" w:lineRule="auto"/>
        <w:ind w:left="300" w:right="874" w:firstLine="419"/>
      </w:pPr>
      <w:r>
        <w:rPr>
          <w:rFonts w:ascii="Times New Roman" w:eastAsia="Times New Roman"/>
        </w:rPr>
        <w:t>2</w:t>
      </w:r>
      <w:r>
        <w:rPr/>
        <w:t>、基金托管人根据有关法律法规的规定及《基金合同》的约定对下述基金投融资比例进行监督：</w:t>
      </w:r>
    </w:p>
    <w:p>
      <w:pPr>
        <w:pStyle w:val="ListParagraph"/>
        <w:numPr>
          <w:ilvl w:val="0"/>
          <w:numId w:val="64"/>
        </w:numPr>
        <w:tabs>
          <w:tab w:pos="1250" w:val="left" w:leader="none"/>
        </w:tabs>
        <w:spacing w:line="267" w:lineRule="exact" w:before="0" w:after="0"/>
        <w:ind w:left="1249" w:right="0" w:hanging="530"/>
        <w:jc w:val="left"/>
        <w:rPr>
          <w:sz w:val="21"/>
        </w:rPr>
      </w:pPr>
      <w:r>
        <w:rPr>
          <w:spacing w:val="-3"/>
          <w:sz w:val="21"/>
        </w:rPr>
        <w:t>按法律法规的规定及《基金合同》的约定，本基金的投资资产配置比例为：</w:t>
      </w:r>
    </w:p>
    <w:p>
      <w:pPr>
        <w:pStyle w:val="BodyText"/>
        <w:spacing w:before="1"/>
        <w:rPr>
          <w:sz w:val="16"/>
        </w:rPr>
      </w:pPr>
    </w:p>
    <w:p>
      <w:pPr>
        <w:pStyle w:val="BodyText"/>
        <w:spacing w:line="424" w:lineRule="auto" w:before="1"/>
        <w:ind w:left="300" w:right="871" w:firstLine="419"/>
        <w:jc w:val="both"/>
      </w:pPr>
      <w:r>
        <w:rPr>
          <w:spacing w:val="-5"/>
        </w:rPr>
        <w:t>正常情况下，本基金投资于目标 </w:t>
      </w:r>
      <w:r>
        <w:rPr>
          <w:rFonts w:ascii="Times New Roman" w:eastAsia="Times New Roman"/>
        </w:rPr>
        <w:t>ETF </w:t>
      </w:r>
      <w:r>
        <w:rPr>
          <w:spacing w:val="-5"/>
        </w:rPr>
        <w:t>的比例不低于基金资产净值的 </w:t>
      </w:r>
      <w:r>
        <w:rPr>
          <w:rFonts w:ascii="Times New Roman" w:eastAsia="Times New Roman"/>
        </w:rPr>
        <w:t>90%</w:t>
      </w:r>
      <w:r>
        <w:rPr/>
        <w:t>（</w:t>
      </w:r>
      <w:r>
        <w:rPr>
          <w:spacing w:val="-3"/>
        </w:rPr>
        <w:t>已申购但尚</w:t>
      </w:r>
      <w:r>
        <w:rPr>
          <w:spacing w:val="5"/>
        </w:rPr>
        <w:t>未确认的目标</w:t>
      </w:r>
      <w:r>
        <w:rPr>
          <w:rFonts w:ascii="Times New Roman" w:eastAsia="Times New Roman"/>
        </w:rPr>
        <w:t>ETF </w:t>
      </w:r>
      <w:r>
        <w:rPr>
          <w:spacing w:val="-2"/>
        </w:rPr>
        <w:t>份额可计入在内</w:t>
      </w:r>
      <w:r>
        <w:rPr>
          <w:spacing w:val="-108"/>
        </w:rPr>
        <w:t>）</w:t>
      </w:r>
      <w:r>
        <w:rPr>
          <w:spacing w:val="-9"/>
        </w:rPr>
        <w:t>。每个交易日日终在扣除股指期货、国债期货和股票期</w:t>
      </w:r>
      <w:r>
        <w:rPr>
          <w:spacing w:val="-7"/>
        </w:rPr>
        <w:t>权合约需缴纳的交易保证金后，保持不低于基金资产净值 </w:t>
      </w:r>
      <w:r>
        <w:rPr>
          <w:rFonts w:ascii="Times New Roman" w:eastAsia="Times New Roman"/>
        </w:rPr>
        <w:t>5%</w:t>
      </w:r>
      <w:r>
        <w:rPr>
          <w:spacing w:val="-3"/>
        </w:rPr>
        <w:t>的现金或者到期日在一年以内的政府债券；其中，现金不包括结算备付金、存出保证金、应收申购款等。</w:t>
      </w:r>
    </w:p>
    <w:p>
      <w:pPr>
        <w:pStyle w:val="BodyText"/>
        <w:spacing w:line="424" w:lineRule="auto"/>
        <w:ind w:left="300" w:right="871" w:firstLine="419"/>
      </w:pPr>
      <w:r>
        <w:rPr>
          <w:spacing w:val="-7"/>
        </w:rPr>
        <w:t>因基金规模或市场变化等因素导致投资组合不符合上述规定的，基金管理人应在合理的</w:t>
      </w:r>
      <w:r>
        <w:rPr>
          <w:spacing w:val="-5"/>
        </w:rPr>
        <w:t>期限内调整基金的投资组合，以符合上述比例限定。法律法规另有规定时，从其规定。</w:t>
      </w:r>
    </w:p>
    <w:p>
      <w:pPr>
        <w:pStyle w:val="BodyText"/>
        <w:spacing w:line="424" w:lineRule="auto"/>
        <w:ind w:left="300" w:right="768" w:firstLine="419"/>
      </w:pPr>
      <w:r>
        <w:rPr/>
        <w:t>如法律法规或监管机构以后允许本基金投资其他品种，基金管理人在履行适当程序后， 可以将其纳入投资范围，并可依据届时有效的法律法规适时合理地调整投资范围。</w:t>
      </w:r>
    </w:p>
    <w:p>
      <w:pPr>
        <w:pStyle w:val="ListParagraph"/>
        <w:numPr>
          <w:ilvl w:val="0"/>
          <w:numId w:val="64"/>
        </w:numPr>
        <w:tabs>
          <w:tab w:pos="1250" w:val="left" w:leader="none"/>
        </w:tabs>
        <w:spacing w:line="267" w:lineRule="exact" w:before="0" w:after="0"/>
        <w:ind w:left="1249" w:right="0" w:hanging="530"/>
        <w:jc w:val="left"/>
        <w:rPr>
          <w:sz w:val="21"/>
        </w:rPr>
      </w:pPr>
      <w:r>
        <w:rPr>
          <w:spacing w:val="-13"/>
          <w:sz w:val="21"/>
        </w:rPr>
        <w:t>根据法律法规的规定及《基金合同》的约定，本基金投资组合遵循以下投资限制：</w:t>
      </w:r>
    </w:p>
    <w:p>
      <w:pPr>
        <w:pStyle w:val="BodyText"/>
        <w:spacing w:before="10"/>
        <w:rPr>
          <w:sz w:val="15"/>
        </w:rPr>
      </w:pPr>
    </w:p>
    <w:p>
      <w:pPr>
        <w:pStyle w:val="BodyText"/>
        <w:spacing w:line="424" w:lineRule="auto"/>
        <w:ind w:left="300" w:right="871" w:firstLine="419"/>
      </w:pPr>
      <w:r>
        <w:rPr>
          <w:spacing w:val="-8"/>
        </w:rPr>
        <w:t>①本基金财产参与股票发行申购，所申报的金额不得超过本基金的总资产，所申报的股</w:t>
      </w:r>
      <w:r>
        <w:rPr>
          <w:spacing w:val="-5"/>
        </w:rPr>
        <w:t>票数量不得超过拟发行股票公司本次发行股票的总量。</w:t>
      </w:r>
    </w:p>
    <w:p>
      <w:pPr>
        <w:spacing w:after="0" w:line="424" w:lineRule="auto"/>
        <w:sectPr>
          <w:pgSz w:w="11910" w:h="16840"/>
          <w:pgMar w:header="701" w:footer="683" w:top="1420" w:bottom="880" w:left="1500" w:right="920"/>
        </w:sectPr>
      </w:pPr>
    </w:p>
    <w:p>
      <w:pPr>
        <w:pStyle w:val="BodyText"/>
        <w:spacing w:line="424" w:lineRule="auto" w:before="115"/>
        <w:ind w:left="300" w:right="768" w:firstLine="419"/>
      </w:pPr>
      <w:r>
        <w:rPr>
          <w:spacing w:val="-3"/>
        </w:rPr>
        <w:t>②每个交易日日终在扣除股指期货、国债期货和股票期权合约需缴纳的交易保证金后， </w:t>
      </w:r>
      <w:r>
        <w:rPr>
          <w:spacing w:val="-7"/>
        </w:rPr>
        <w:t>保持不低于基金资产净值 </w:t>
      </w:r>
      <w:r>
        <w:rPr>
          <w:rFonts w:ascii="Times New Roman" w:hAnsi="Times New Roman" w:eastAsia="Times New Roman"/>
        </w:rPr>
        <w:t>5%</w:t>
      </w:r>
      <w:r>
        <w:rPr>
          <w:spacing w:val="-3"/>
        </w:rPr>
        <w:t>的现金或者到期日在一年以内的政府债券；其中，现金不包括结算备付金、存出保证金、应收申购款等。</w:t>
      </w:r>
    </w:p>
    <w:p>
      <w:pPr>
        <w:pStyle w:val="BodyText"/>
        <w:spacing w:line="424" w:lineRule="auto"/>
        <w:ind w:left="300" w:right="868" w:firstLine="419"/>
        <w:jc w:val="both"/>
      </w:pPr>
      <w:r>
        <w:rPr>
          <w:spacing w:val="1"/>
        </w:rPr>
        <w:t>③本基金主动投资于流动性受限资产的市值合计不得超过本基金资产净值的 </w:t>
      </w:r>
      <w:r>
        <w:rPr>
          <w:rFonts w:ascii="Times New Roman" w:hAnsi="Times New Roman" w:eastAsia="Times New Roman"/>
        </w:rPr>
        <w:t>15%</w:t>
      </w:r>
      <w:r>
        <w:rPr>
          <w:spacing w:val="-6"/>
        </w:rPr>
        <w:t>。因</w:t>
      </w:r>
      <w:r>
        <w:rPr>
          <w:spacing w:val="-11"/>
        </w:rPr>
        <w:t>证券市场波动、上市公司股票停牌、基金规模变动等基金管理人之外的因素致使基金不符合</w:t>
      </w:r>
      <w:r>
        <w:rPr>
          <w:spacing w:val="-6"/>
        </w:rPr>
        <w:t>前述所规定比例限制的，基金管理人不得主动新增流动性受限资产的投资。</w:t>
      </w:r>
    </w:p>
    <w:p>
      <w:pPr>
        <w:pStyle w:val="BodyText"/>
        <w:spacing w:line="254" w:lineRule="exact"/>
        <w:ind w:left="720"/>
      </w:pPr>
      <w:r>
        <w:rPr/>
        <w:t>④本基金与私募类证券资管产品及中国证监会认定的其他主体为交易对手开展逆回购</w:t>
      </w:r>
    </w:p>
    <w:p>
      <w:pPr>
        <w:pStyle w:val="BodyText"/>
        <w:spacing w:before="172"/>
        <w:ind w:left="300"/>
      </w:pPr>
      <w:r>
        <w:rPr/>
        <w:t>交易的，可接受质押品的资质要求应当与基金合同约定的投资范围保持一致。</w:t>
      </w:r>
    </w:p>
    <w:p>
      <w:pPr>
        <w:pStyle w:val="BodyText"/>
        <w:spacing w:before="10"/>
        <w:rPr>
          <w:sz w:val="14"/>
        </w:rPr>
      </w:pPr>
    </w:p>
    <w:p>
      <w:pPr>
        <w:pStyle w:val="BodyText"/>
        <w:spacing w:line="424" w:lineRule="auto"/>
        <w:ind w:left="300" w:right="765" w:firstLine="419"/>
      </w:pPr>
      <w:r>
        <w:rPr>
          <w:spacing w:val="-9"/>
        </w:rPr>
        <w:t>⑤本基金在任何交易日日终，持有的买入股指期货合约价值，不得超过基金资产净值的</w:t>
      </w:r>
      <w:r>
        <w:rPr>
          <w:rFonts w:ascii="Times New Roman" w:hAnsi="Times New Roman" w:eastAsia="Times New Roman"/>
          <w:spacing w:val="-9"/>
          <w:w w:val="100"/>
        </w:rPr>
        <w:t>10</w:t>
      </w:r>
      <w:r>
        <w:rPr>
          <w:rFonts w:ascii="Times New Roman" w:hAnsi="Times New Roman" w:eastAsia="Times New Roman"/>
          <w:spacing w:val="-1"/>
          <w:w w:val="100"/>
        </w:rPr>
        <w:t>%</w:t>
      </w:r>
      <w:r>
        <w:rPr>
          <w:spacing w:val="-16"/>
          <w:w w:val="100"/>
        </w:rPr>
        <w:t>；在任何交易日日终，持有的卖出期货合约价值不得超过基金持有的股票总市值的</w:t>
      </w:r>
      <w:r>
        <w:rPr>
          <w:spacing w:val="-16"/>
        </w:rPr>
        <w:t> </w:t>
      </w:r>
      <w:r>
        <w:rPr>
          <w:rFonts w:ascii="Times New Roman" w:hAnsi="Times New Roman" w:eastAsia="Times New Roman"/>
          <w:spacing w:val="-3"/>
          <w:w w:val="100"/>
        </w:rPr>
        <w:t>2</w:t>
      </w:r>
      <w:r>
        <w:rPr>
          <w:rFonts w:ascii="Times New Roman" w:hAnsi="Times New Roman" w:eastAsia="Times New Roman"/>
          <w:w w:val="100"/>
        </w:rPr>
        <w:t>0</w:t>
      </w:r>
      <w:r>
        <w:rPr>
          <w:rFonts w:ascii="Times New Roman" w:hAnsi="Times New Roman" w:eastAsia="Times New Roman"/>
          <w:spacing w:val="-1"/>
          <w:w w:val="100"/>
        </w:rPr>
        <w:t>%</w:t>
      </w:r>
      <w:r>
        <w:rPr>
          <w:w w:val="100"/>
        </w:rPr>
        <w:t>，</w:t>
      </w:r>
      <w:r>
        <w:rPr>
          <w:spacing w:val="-9"/>
        </w:rPr>
        <w:t>在任何交易日内交易</w:t>
      </w:r>
      <w:r>
        <w:rPr/>
        <w:t>（</w:t>
      </w:r>
      <w:r>
        <w:rPr>
          <w:spacing w:val="-3"/>
        </w:rPr>
        <w:t>不包括平仓</w:t>
      </w:r>
      <w:r>
        <w:rPr>
          <w:spacing w:val="-51"/>
        </w:rPr>
        <w:t>）</w:t>
      </w:r>
      <w:r>
        <w:rPr>
          <w:spacing w:val="-3"/>
        </w:rPr>
        <w:t>的股指期货合约的成交金额不得超过上一交易日基金资</w:t>
      </w:r>
      <w:r>
        <w:rPr>
          <w:spacing w:val="-13"/>
        </w:rPr>
        <w:t>产净值的 </w:t>
      </w:r>
      <w:r>
        <w:rPr>
          <w:rFonts w:ascii="Times New Roman" w:hAnsi="Times New Roman" w:eastAsia="Times New Roman"/>
        </w:rPr>
        <w:t>20%</w:t>
      </w:r>
      <w:r>
        <w:rPr/>
        <w:t>。</w:t>
      </w:r>
    </w:p>
    <w:p>
      <w:pPr>
        <w:pStyle w:val="BodyText"/>
        <w:spacing w:line="424" w:lineRule="auto"/>
        <w:ind w:left="300" w:right="874" w:firstLine="419"/>
        <w:jc w:val="both"/>
      </w:pPr>
      <w:r>
        <w:rPr/>
        <w:t>⑥基金在任何交易日日终，持有的买入国债期货合约价值，不得超过基金资产净值的</w:t>
      </w:r>
      <w:r>
        <w:rPr>
          <w:rFonts w:ascii="Times New Roman" w:hAnsi="Times New Roman" w:eastAsia="Times New Roman"/>
          <w:spacing w:val="-9"/>
        </w:rPr>
        <w:t>15%</w:t>
      </w:r>
      <w:r>
        <w:rPr>
          <w:spacing w:val="-7"/>
        </w:rPr>
        <w:t>；基金在任何交易日日终，持有的卖出国债期货合约价值不得超过基金持有的债券总市</w:t>
      </w:r>
      <w:r>
        <w:rPr>
          <w:spacing w:val="7"/>
        </w:rPr>
        <w:t>值的 </w:t>
      </w:r>
      <w:r>
        <w:rPr>
          <w:rFonts w:ascii="Times New Roman" w:hAnsi="Times New Roman" w:eastAsia="Times New Roman"/>
        </w:rPr>
        <w:t>30%</w:t>
      </w:r>
      <w:r>
        <w:rPr/>
        <w:t>；基金在任何交易日内交易（不包括平仓）</w:t>
      </w:r>
      <w:r>
        <w:rPr>
          <w:spacing w:val="-1"/>
        </w:rPr>
        <w:t>的国债期货合约的成交金额不得超过</w:t>
      </w:r>
      <w:r>
        <w:rPr>
          <w:spacing w:val="-7"/>
        </w:rPr>
        <w:t>上一交易日基金资产净值的 </w:t>
      </w:r>
      <w:r>
        <w:rPr>
          <w:rFonts w:ascii="Times New Roman" w:hAnsi="Times New Roman" w:eastAsia="Times New Roman"/>
        </w:rPr>
        <w:t>30%</w:t>
      </w:r>
      <w:r>
        <w:rPr/>
        <w:t>。</w:t>
      </w:r>
    </w:p>
    <w:p>
      <w:pPr>
        <w:pStyle w:val="BodyText"/>
        <w:spacing w:line="424" w:lineRule="auto"/>
        <w:ind w:left="300" w:right="768" w:firstLine="419"/>
        <w:jc w:val="both"/>
      </w:pPr>
      <w:r>
        <w:rPr/>
        <w:t>⑦在任何交易日日终，持有的买入股指期货和国债期货合约价值与有价证券市值之和， 不得超过基金资产净值的 </w:t>
      </w:r>
      <w:r>
        <w:rPr>
          <w:rFonts w:ascii="Times New Roman" w:hAnsi="Times New Roman" w:eastAsia="Times New Roman"/>
        </w:rPr>
        <w:t>100%</w:t>
      </w:r>
      <w:r>
        <w:rPr/>
        <w:t>。</w:t>
      </w:r>
    </w:p>
    <w:p>
      <w:pPr>
        <w:pStyle w:val="BodyText"/>
        <w:spacing w:line="424" w:lineRule="auto"/>
        <w:ind w:left="300" w:right="871" w:firstLine="419"/>
        <w:jc w:val="both"/>
      </w:pPr>
      <w:r>
        <w:rPr>
          <w:spacing w:val="1"/>
        </w:rPr>
        <w:t>⑧基金因未平仓的期权合约支付和收取的权利金总额不得超过基金资产净值的 </w:t>
      </w:r>
      <w:r>
        <w:rPr>
          <w:rFonts w:ascii="Times New Roman" w:hAnsi="Times New Roman" w:eastAsia="Times New Roman"/>
          <w:spacing w:val="-5"/>
        </w:rPr>
        <w:t>10%</w:t>
      </w:r>
      <w:r>
        <w:rPr>
          <w:spacing w:val="-5"/>
        </w:rPr>
        <w:t>； </w:t>
      </w:r>
      <w:r>
        <w:rPr>
          <w:spacing w:val="-9"/>
        </w:rPr>
        <w:t>开仓卖出认购期权的，应持有足额标的证券；开仓卖出认沽期权的，应持有合约行权所需的全额现金或交易所规则认可的可冲抵期权保证金的现金等价物；未平仓的期权合约面值不得</w:t>
      </w:r>
      <w:r>
        <w:rPr>
          <w:spacing w:val="-10"/>
        </w:rPr>
        <w:t>超过基金资产净值的 </w:t>
      </w:r>
      <w:r>
        <w:rPr>
          <w:rFonts w:ascii="Times New Roman" w:hAnsi="Times New Roman" w:eastAsia="Times New Roman"/>
        </w:rPr>
        <w:t>20%</w:t>
      </w:r>
      <w:r>
        <w:rPr>
          <w:spacing w:val="-3"/>
        </w:rPr>
        <w:t>。其中，合约面值按照行权价乘以合约乘数计算。</w:t>
      </w:r>
    </w:p>
    <w:p>
      <w:pPr>
        <w:pStyle w:val="BodyText"/>
        <w:spacing w:line="265" w:lineRule="exact"/>
        <w:ind w:left="720"/>
      </w:pPr>
      <w:r>
        <w:rPr/>
        <w:t>⑨本基金参与转融通证券出借业务的，应当符合下列要求：</w:t>
      </w:r>
    </w:p>
    <w:p>
      <w:pPr>
        <w:pStyle w:val="BodyText"/>
        <w:spacing w:before="6"/>
        <w:rPr>
          <w:sz w:val="15"/>
        </w:rPr>
      </w:pPr>
    </w:p>
    <w:p>
      <w:pPr>
        <w:pStyle w:val="ListParagraph"/>
        <w:numPr>
          <w:ilvl w:val="0"/>
          <w:numId w:val="65"/>
        </w:numPr>
        <w:tabs>
          <w:tab w:pos="991" w:val="left" w:leader="none"/>
        </w:tabs>
        <w:spacing w:line="427" w:lineRule="auto" w:before="0" w:after="0"/>
        <w:ind w:left="300" w:right="765" w:firstLine="419"/>
        <w:jc w:val="left"/>
        <w:rPr>
          <w:sz w:val="21"/>
        </w:rPr>
      </w:pPr>
      <w:r>
        <w:rPr>
          <w:spacing w:val="-6"/>
          <w:sz w:val="21"/>
        </w:rPr>
        <w:t>出借证券资产不得超过基金资产净值的 </w:t>
      </w:r>
      <w:r>
        <w:rPr>
          <w:rFonts w:ascii="Times New Roman" w:eastAsia="Times New Roman"/>
          <w:spacing w:val="-10"/>
          <w:sz w:val="21"/>
        </w:rPr>
        <w:t>30%</w:t>
      </w:r>
      <w:r>
        <w:rPr>
          <w:spacing w:val="-10"/>
          <w:sz w:val="21"/>
        </w:rPr>
        <w:t>，出借期限在 </w:t>
      </w:r>
      <w:r>
        <w:rPr>
          <w:rFonts w:ascii="Times New Roman" w:eastAsia="Times New Roman"/>
          <w:sz w:val="21"/>
        </w:rPr>
        <w:t>10</w:t>
      </w:r>
      <w:r>
        <w:rPr>
          <w:rFonts w:ascii="Times New Roman" w:eastAsia="Times New Roman"/>
          <w:spacing w:val="9"/>
          <w:sz w:val="21"/>
        </w:rPr>
        <w:t> </w:t>
      </w:r>
      <w:r>
        <w:rPr>
          <w:spacing w:val="-3"/>
          <w:sz w:val="21"/>
        </w:rPr>
        <w:t>个交易日以上的出借证</w:t>
      </w:r>
      <w:r>
        <w:rPr>
          <w:spacing w:val="-17"/>
          <w:sz w:val="21"/>
        </w:rPr>
        <w:t>券应纳入《公开募集开放式证券投资基金流动性风险管理规定》所述流动性受限证券的范围；</w:t>
      </w:r>
    </w:p>
    <w:p>
      <w:pPr>
        <w:pStyle w:val="ListParagraph"/>
        <w:numPr>
          <w:ilvl w:val="0"/>
          <w:numId w:val="65"/>
        </w:numPr>
        <w:tabs>
          <w:tab w:pos="1048" w:val="left" w:leader="none"/>
        </w:tabs>
        <w:spacing w:line="424" w:lineRule="auto" w:before="0" w:after="0"/>
        <w:ind w:left="720" w:right="3754" w:firstLine="0"/>
        <w:jc w:val="left"/>
        <w:rPr>
          <w:sz w:val="21"/>
        </w:rPr>
      </w:pPr>
      <w:r>
        <w:rPr>
          <w:spacing w:val="-6"/>
          <w:sz w:val="21"/>
        </w:rPr>
        <w:t>单只证券不得超过基金持有该证券总量的 </w:t>
      </w:r>
      <w:r>
        <w:rPr>
          <w:rFonts w:ascii="Times New Roman" w:eastAsia="Times New Roman"/>
          <w:sz w:val="21"/>
        </w:rPr>
        <w:t>50%</w:t>
      </w:r>
      <w:r>
        <w:rPr>
          <w:sz w:val="21"/>
        </w:rPr>
        <w:t>； </w:t>
      </w:r>
      <w:r>
        <w:rPr>
          <w:rFonts w:ascii="Times New Roman" w:eastAsia="Times New Roman"/>
          <w:sz w:val="21"/>
        </w:rPr>
        <w:t>iii</w:t>
      </w:r>
      <w:r>
        <w:rPr>
          <w:spacing w:val="-13"/>
          <w:sz w:val="21"/>
        </w:rPr>
        <w:t>．最近 </w:t>
      </w:r>
      <w:r>
        <w:rPr>
          <w:rFonts w:ascii="Times New Roman" w:eastAsia="Times New Roman"/>
          <w:sz w:val="21"/>
        </w:rPr>
        <w:t>6</w:t>
      </w:r>
      <w:r>
        <w:rPr>
          <w:rFonts w:ascii="Times New Roman" w:eastAsia="Times New Roman"/>
          <w:spacing w:val="2"/>
          <w:sz w:val="21"/>
        </w:rPr>
        <w:t> </w:t>
      </w:r>
      <w:r>
        <w:rPr>
          <w:spacing w:val="-6"/>
          <w:sz w:val="21"/>
        </w:rPr>
        <w:t>个月内日均基金资产净值不得低于 </w:t>
      </w:r>
      <w:r>
        <w:rPr>
          <w:rFonts w:ascii="Times New Roman" w:eastAsia="Times New Roman"/>
          <w:sz w:val="21"/>
        </w:rPr>
        <w:t>2</w:t>
      </w:r>
      <w:r>
        <w:rPr>
          <w:rFonts w:ascii="Times New Roman" w:eastAsia="Times New Roman"/>
          <w:spacing w:val="5"/>
          <w:sz w:val="21"/>
        </w:rPr>
        <w:t> </w:t>
      </w:r>
      <w:r>
        <w:rPr>
          <w:spacing w:val="-2"/>
          <w:sz w:val="21"/>
        </w:rPr>
        <w:t>亿元；</w:t>
      </w:r>
    </w:p>
    <w:p>
      <w:pPr>
        <w:pStyle w:val="BodyText"/>
        <w:spacing w:line="267" w:lineRule="exact"/>
        <w:ind w:left="720"/>
      </w:pPr>
      <w:r>
        <w:rPr>
          <w:rFonts w:ascii="Times New Roman" w:eastAsia="Times New Roman"/>
        </w:rPr>
        <w:t>iv</w:t>
      </w:r>
      <w:r>
        <w:rPr/>
        <w:t>．证券出借的平均剩余期限不得超过 </w:t>
      </w:r>
      <w:r>
        <w:rPr>
          <w:rFonts w:ascii="Times New Roman" w:eastAsia="Times New Roman"/>
        </w:rPr>
        <w:t>30 </w:t>
      </w:r>
      <w:r>
        <w:rPr/>
        <w:t>天，平均剩余期限按照市值加权平均计算。</w:t>
      </w:r>
    </w:p>
    <w:p>
      <w:pPr>
        <w:pStyle w:val="BodyText"/>
        <w:spacing w:before="9"/>
        <w:rPr>
          <w:sz w:val="15"/>
        </w:rPr>
      </w:pPr>
    </w:p>
    <w:p>
      <w:pPr>
        <w:pStyle w:val="BodyText"/>
        <w:spacing w:before="1"/>
        <w:ind w:left="720"/>
      </w:pPr>
      <w:r>
        <w:rPr/>
        <w:t>《基金法》及其他有关法律法规或监管部门修改或取消上述限制的，履行适当程序后，</w:t>
      </w:r>
    </w:p>
    <w:p>
      <w:pPr>
        <w:spacing w:after="0"/>
        <w:sectPr>
          <w:pgSz w:w="11910" w:h="16840"/>
          <w:pgMar w:header="701" w:footer="683" w:top="1420" w:bottom="880" w:left="1500" w:right="920"/>
        </w:sectPr>
      </w:pPr>
    </w:p>
    <w:p>
      <w:pPr>
        <w:pStyle w:val="BodyText"/>
        <w:spacing w:before="115"/>
        <w:ind w:left="300"/>
      </w:pPr>
      <w:r>
        <w:rPr/>
        <w:t>本基金可相应调整投资组合限制的规定，不受上述限制。</w:t>
      </w:r>
    </w:p>
    <w:p>
      <w:pPr>
        <w:pStyle w:val="BodyText"/>
        <w:rPr>
          <w:sz w:val="16"/>
        </w:rPr>
      </w:pPr>
    </w:p>
    <w:p>
      <w:pPr>
        <w:pStyle w:val="BodyText"/>
        <w:spacing w:before="1"/>
        <w:ind w:left="720"/>
      </w:pPr>
      <w:r>
        <w:rPr/>
        <w:t>基金托管人对基金的投资的监督和检查自本基金合同生效之日起开始。</w:t>
      </w:r>
    </w:p>
    <w:p>
      <w:pPr>
        <w:pStyle w:val="BodyText"/>
        <w:spacing w:before="1"/>
        <w:rPr>
          <w:sz w:val="16"/>
        </w:rPr>
      </w:pPr>
    </w:p>
    <w:p>
      <w:pPr>
        <w:pStyle w:val="ListParagraph"/>
        <w:numPr>
          <w:ilvl w:val="0"/>
          <w:numId w:val="64"/>
        </w:numPr>
        <w:tabs>
          <w:tab w:pos="1250" w:val="left" w:leader="none"/>
        </w:tabs>
        <w:spacing w:line="240" w:lineRule="auto" w:before="0" w:after="0"/>
        <w:ind w:left="1249" w:right="0" w:hanging="530"/>
        <w:jc w:val="left"/>
        <w:rPr>
          <w:sz w:val="21"/>
        </w:rPr>
      </w:pPr>
      <w:r>
        <w:rPr>
          <w:spacing w:val="-3"/>
          <w:sz w:val="21"/>
        </w:rPr>
        <w:t>法规允许的基金投资比例调整期限</w:t>
      </w:r>
    </w:p>
    <w:p>
      <w:pPr>
        <w:pStyle w:val="BodyText"/>
        <w:spacing w:before="1"/>
        <w:rPr>
          <w:sz w:val="16"/>
        </w:rPr>
      </w:pPr>
    </w:p>
    <w:p>
      <w:pPr>
        <w:pStyle w:val="BodyText"/>
        <w:spacing w:line="424" w:lineRule="auto"/>
        <w:ind w:left="300" w:right="871" w:firstLine="419"/>
        <w:jc w:val="both"/>
      </w:pPr>
      <w:r>
        <w:rPr/>
        <w:t>除上述第②、③、④、⑨项另有约定外，由于证券</w:t>
      </w:r>
      <w:r>
        <w:rPr>
          <w:rFonts w:ascii="Times New Roman" w:hAnsi="Times New Roman" w:eastAsia="Times New Roman"/>
        </w:rPr>
        <w:t>/</w:t>
      </w:r>
      <w:r>
        <w:rPr>
          <w:spacing w:val="-1"/>
        </w:rPr>
        <w:t>期货市场波动、上市公司合并、基</w:t>
      </w:r>
      <w:r>
        <w:rPr>
          <w:spacing w:val="-15"/>
        </w:rPr>
        <w:t>金规模变动、标的指数成份股调整、标的指数成份股流动性限制、目标 </w:t>
      </w:r>
      <w:r>
        <w:rPr>
          <w:rFonts w:ascii="Times New Roman" w:hAnsi="Times New Roman" w:eastAsia="Times New Roman"/>
        </w:rPr>
        <w:t>ETF </w:t>
      </w:r>
      <w:r>
        <w:rPr>
          <w:spacing w:val="-2"/>
        </w:rPr>
        <w:t>暂停申购赎回、</w:t>
      </w:r>
      <w:r>
        <w:rPr>
          <w:spacing w:val="-4"/>
        </w:rPr>
        <w:t>目标 </w:t>
      </w:r>
      <w:r>
        <w:rPr>
          <w:rFonts w:ascii="Times New Roman" w:hAnsi="Times New Roman" w:eastAsia="Times New Roman"/>
        </w:rPr>
        <w:t>ETF </w:t>
      </w:r>
      <w:r>
        <w:rPr>
          <w:spacing w:val="-3"/>
        </w:rPr>
        <w:t>未上市或二级市场交易停牌等基金管理人之外的原因导致的投资组合不符合上述</w:t>
      </w:r>
      <w:r>
        <w:rPr>
          <w:spacing w:val="-5"/>
        </w:rPr>
        <w:t>约定的比例不在限制之内，但基金管理人应在 </w:t>
      </w:r>
      <w:r>
        <w:rPr>
          <w:rFonts w:ascii="Times New Roman" w:hAnsi="Times New Roman" w:eastAsia="Times New Roman"/>
        </w:rPr>
        <w:t>10 </w:t>
      </w:r>
      <w:r>
        <w:rPr>
          <w:spacing w:val="-3"/>
        </w:rPr>
        <w:t>个交易日内进行调整，以达到标准。因证</w:t>
      </w:r>
      <w:r>
        <w:rPr>
          <w:spacing w:val="-12"/>
        </w:rPr>
        <w:t>券市场波动、上市公司合并、基金规模变动等基金管理人之外的因素致使基金投资不符合上述⑨规定的，基金管理人不得新增证券出借业务。但法律法规、基金合同另有规定的从其规定。</w:t>
      </w:r>
    </w:p>
    <w:p>
      <w:pPr>
        <w:pStyle w:val="BodyText"/>
        <w:spacing w:line="424" w:lineRule="auto"/>
        <w:ind w:left="300" w:right="871" w:firstLine="419"/>
        <w:jc w:val="both"/>
      </w:pPr>
      <w:r>
        <w:rPr>
          <w:spacing w:val="-8"/>
        </w:rPr>
        <w:t>基金管理人应在出现可预见资产规模大幅变动的情况下，至少提前 </w:t>
      </w:r>
      <w:r>
        <w:rPr>
          <w:rFonts w:ascii="Times New Roman" w:eastAsia="Times New Roman"/>
        </w:rPr>
        <w:t>2 </w:t>
      </w:r>
      <w:r>
        <w:rPr>
          <w:spacing w:val="-3"/>
        </w:rPr>
        <w:t>个工作日正式向基金托管人发函说明基金可能变动规模和公司应对措施，便于托管人实施交易监督。</w:t>
      </w:r>
    </w:p>
    <w:p>
      <w:pPr>
        <w:pStyle w:val="ListParagraph"/>
        <w:numPr>
          <w:ilvl w:val="0"/>
          <w:numId w:val="64"/>
        </w:numPr>
        <w:tabs>
          <w:tab w:pos="1250" w:val="left" w:leader="none"/>
        </w:tabs>
        <w:spacing w:line="267" w:lineRule="exact" w:before="0" w:after="0"/>
        <w:ind w:left="1249" w:right="0" w:hanging="530"/>
        <w:jc w:val="left"/>
        <w:rPr>
          <w:sz w:val="21"/>
        </w:rPr>
      </w:pPr>
      <w:r>
        <w:rPr>
          <w:spacing w:val="-3"/>
          <w:sz w:val="21"/>
        </w:rPr>
        <w:t>本基金可以按照国家的有关规定进行融资融券。</w:t>
      </w:r>
    </w:p>
    <w:p>
      <w:pPr>
        <w:pStyle w:val="BodyText"/>
        <w:spacing w:before="12"/>
        <w:rPr>
          <w:sz w:val="15"/>
        </w:rPr>
      </w:pPr>
    </w:p>
    <w:p>
      <w:pPr>
        <w:pStyle w:val="ListParagraph"/>
        <w:numPr>
          <w:ilvl w:val="0"/>
          <w:numId w:val="64"/>
        </w:numPr>
        <w:tabs>
          <w:tab w:pos="1250" w:val="left" w:leader="none"/>
        </w:tabs>
        <w:spacing w:line="240" w:lineRule="auto" w:before="0" w:after="0"/>
        <w:ind w:left="1249" w:right="0" w:hanging="530"/>
        <w:jc w:val="left"/>
        <w:rPr>
          <w:sz w:val="21"/>
        </w:rPr>
      </w:pPr>
      <w:r>
        <w:rPr>
          <w:spacing w:val="-3"/>
          <w:sz w:val="21"/>
        </w:rPr>
        <w:t>相关法律、法规或部门规章规定的其他比例限制。</w:t>
      </w:r>
    </w:p>
    <w:p>
      <w:pPr>
        <w:pStyle w:val="BodyText"/>
        <w:spacing w:before="1"/>
        <w:rPr>
          <w:sz w:val="16"/>
        </w:rPr>
      </w:pPr>
    </w:p>
    <w:p>
      <w:pPr>
        <w:pStyle w:val="BodyText"/>
        <w:spacing w:before="1"/>
        <w:ind w:left="720"/>
      </w:pPr>
      <w:r>
        <w:rPr/>
        <w:t>基金托管人对基金投资的监督和检查自《基金合同》生效之日起开始。</w:t>
      </w:r>
    </w:p>
    <w:p>
      <w:pPr>
        <w:pStyle w:val="BodyText"/>
        <w:rPr>
          <w:sz w:val="16"/>
        </w:rPr>
      </w:pPr>
    </w:p>
    <w:p>
      <w:pPr>
        <w:pStyle w:val="BodyText"/>
        <w:spacing w:line="424" w:lineRule="auto" w:before="1"/>
        <w:ind w:left="300" w:right="871" w:firstLine="419"/>
        <w:jc w:val="both"/>
      </w:pPr>
      <w:r>
        <w:rPr>
          <w:rFonts w:ascii="Times New Roman" w:eastAsia="Times New Roman"/>
        </w:rPr>
        <w:t>3</w:t>
      </w:r>
      <w:r>
        <w:rPr>
          <w:spacing w:val="-3"/>
        </w:rPr>
        <w:t>、基金参与转融通证券出借业务的，基金管理人应遵守审慎经营原则，配备专门的技</w:t>
      </w:r>
      <w:r>
        <w:rPr>
          <w:spacing w:val="-9"/>
        </w:rPr>
        <w:t>术系统和管理人员，制定科学合理的投资策略和风险管理制度，完善业务流程，有效防范和</w:t>
      </w:r>
      <w:r>
        <w:rPr>
          <w:spacing w:val="-5"/>
        </w:rPr>
        <w:t>控制风险，基金托管人将对基金参与出借业务进行监督和复核。</w:t>
      </w:r>
    </w:p>
    <w:p>
      <w:pPr>
        <w:pStyle w:val="BodyText"/>
        <w:spacing w:line="424" w:lineRule="auto"/>
        <w:ind w:left="300" w:right="874" w:firstLine="419"/>
      </w:pPr>
      <w:r>
        <w:rPr>
          <w:rFonts w:ascii="Times New Roman" w:eastAsia="Times New Roman"/>
        </w:rPr>
        <w:t>4</w:t>
      </w:r>
      <w:r>
        <w:rPr/>
        <w:t>、基金托管人根据有关法律法规的规定及《基金合同》的约定对下述基金投资禁止行为进行监督：</w:t>
      </w:r>
    </w:p>
    <w:p>
      <w:pPr>
        <w:pStyle w:val="BodyText"/>
        <w:spacing w:line="267" w:lineRule="exact"/>
        <w:ind w:left="720"/>
      </w:pPr>
      <w:r>
        <w:rPr/>
        <w:t>根据法律法规的规定及《基金合同》的约定，本基金禁止从事下列行为：</w:t>
      </w:r>
    </w:p>
    <w:p>
      <w:pPr>
        <w:pStyle w:val="BodyText"/>
        <w:rPr>
          <w:sz w:val="16"/>
        </w:rPr>
      </w:pPr>
    </w:p>
    <w:p>
      <w:pPr>
        <w:pStyle w:val="ListParagraph"/>
        <w:numPr>
          <w:ilvl w:val="0"/>
          <w:numId w:val="66"/>
        </w:numPr>
        <w:tabs>
          <w:tab w:pos="1250" w:val="left" w:leader="none"/>
        </w:tabs>
        <w:spacing w:line="240" w:lineRule="auto" w:before="1" w:after="0"/>
        <w:ind w:left="1249" w:right="0" w:hanging="530"/>
        <w:jc w:val="left"/>
        <w:rPr>
          <w:sz w:val="21"/>
        </w:rPr>
      </w:pPr>
      <w:r>
        <w:rPr>
          <w:spacing w:val="-3"/>
          <w:sz w:val="21"/>
        </w:rPr>
        <w:t>承销证券；</w:t>
      </w:r>
    </w:p>
    <w:p>
      <w:pPr>
        <w:pStyle w:val="BodyText"/>
        <w:spacing w:before="1"/>
        <w:rPr>
          <w:sz w:val="16"/>
        </w:rPr>
      </w:pPr>
    </w:p>
    <w:p>
      <w:pPr>
        <w:pStyle w:val="ListParagraph"/>
        <w:numPr>
          <w:ilvl w:val="0"/>
          <w:numId w:val="66"/>
        </w:numPr>
        <w:tabs>
          <w:tab w:pos="1250" w:val="left" w:leader="none"/>
        </w:tabs>
        <w:spacing w:line="240" w:lineRule="auto" w:before="0" w:after="0"/>
        <w:ind w:left="1249" w:right="0" w:hanging="530"/>
        <w:jc w:val="left"/>
        <w:rPr>
          <w:sz w:val="21"/>
        </w:rPr>
      </w:pPr>
      <w:r>
        <w:rPr>
          <w:spacing w:val="-3"/>
          <w:sz w:val="21"/>
        </w:rPr>
        <w:t>向他人贷款或提供担保；</w:t>
      </w:r>
    </w:p>
    <w:p>
      <w:pPr>
        <w:pStyle w:val="BodyText"/>
        <w:spacing w:before="1"/>
        <w:rPr>
          <w:sz w:val="16"/>
        </w:rPr>
      </w:pPr>
    </w:p>
    <w:p>
      <w:pPr>
        <w:pStyle w:val="ListParagraph"/>
        <w:numPr>
          <w:ilvl w:val="0"/>
          <w:numId w:val="66"/>
        </w:numPr>
        <w:tabs>
          <w:tab w:pos="1250" w:val="left" w:leader="none"/>
        </w:tabs>
        <w:spacing w:line="240" w:lineRule="auto" w:before="0" w:after="0"/>
        <w:ind w:left="1249" w:right="0" w:hanging="530"/>
        <w:jc w:val="left"/>
        <w:rPr>
          <w:sz w:val="21"/>
        </w:rPr>
      </w:pPr>
      <w:r>
        <w:rPr>
          <w:spacing w:val="-3"/>
          <w:sz w:val="21"/>
        </w:rPr>
        <w:t>从事可能使基金承担无限责任的投资；</w:t>
      </w:r>
    </w:p>
    <w:p>
      <w:pPr>
        <w:pStyle w:val="BodyText"/>
        <w:spacing w:before="1"/>
        <w:rPr>
          <w:sz w:val="16"/>
        </w:rPr>
      </w:pPr>
    </w:p>
    <w:p>
      <w:pPr>
        <w:pStyle w:val="ListParagraph"/>
        <w:numPr>
          <w:ilvl w:val="0"/>
          <w:numId w:val="66"/>
        </w:numPr>
        <w:tabs>
          <w:tab w:pos="1250" w:val="left" w:leader="none"/>
        </w:tabs>
        <w:spacing w:line="240" w:lineRule="auto" w:before="0" w:after="0"/>
        <w:ind w:left="1249" w:right="0" w:hanging="530"/>
        <w:jc w:val="left"/>
        <w:rPr>
          <w:sz w:val="21"/>
        </w:rPr>
      </w:pPr>
      <w:r>
        <w:rPr>
          <w:spacing w:val="-3"/>
          <w:sz w:val="21"/>
        </w:rPr>
        <w:t>向基金管理人、基金托管人出资；</w:t>
      </w:r>
    </w:p>
    <w:p>
      <w:pPr>
        <w:pStyle w:val="BodyText"/>
        <w:spacing w:before="1"/>
        <w:rPr>
          <w:sz w:val="16"/>
        </w:rPr>
      </w:pPr>
    </w:p>
    <w:p>
      <w:pPr>
        <w:pStyle w:val="ListParagraph"/>
        <w:numPr>
          <w:ilvl w:val="0"/>
          <w:numId w:val="66"/>
        </w:numPr>
        <w:tabs>
          <w:tab w:pos="1250" w:val="left" w:leader="none"/>
        </w:tabs>
        <w:spacing w:line="240" w:lineRule="auto" w:before="0" w:after="0"/>
        <w:ind w:left="1249" w:right="0" w:hanging="530"/>
        <w:jc w:val="left"/>
        <w:rPr>
          <w:sz w:val="21"/>
        </w:rPr>
      </w:pPr>
      <w:r>
        <w:rPr>
          <w:spacing w:val="-3"/>
          <w:sz w:val="21"/>
        </w:rPr>
        <w:t>从事内幕交易、操纵证券价格及其他不正当的证券交易活动；</w:t>
      </w:r>
    </w:p>
    <w:p>
      <w:pPr>
        <w:pStyle w:val="BodyText"/>
        <w:spacing w:before="1"/>
        <w:rPr>
          <w:sz w:val="16"/>
        </w:rPr>
      </w:pPr>
    </w:p>
    <w:p>
      <w:pPr>
        <w:pStyle w:val="ListParagraph"/>
        <w:numPr>
          <w:ilvl w:val="0"/>
          <w:numId w:val="66"/>
        </w:numPr>
        <w:tabs>
          <w:tab w:pos="1250" w:val="left" w:leader="none"/>
        </w:tabs>
        <w:spacing w:line="240" w:lineRule="auto" w:before="0" w:after="0"/>
        <w:ind w:left="1249" w:right="0" w:hanging="530"/>
        <w:jc w:val="left"/>
        <w:rPr>
          <w:sz w:val="21"/>
        </w:rPr>
      </w:pPr>
      <w:r>
        <w:rPr>
          <w:spacing w:val="-3"/>
          <w:sz w:val="21"/>
        </w:rPr>
        <w:t>法律、行政法规和国务院证券监督管理机构规定禁止从事的其他行为。</w:t>
      </w:r>
    </w:p>
    <w:p>
      <w:pPr>
        <w:pStyle w:val="BodyText"/>
        <w:spacing w:before="1"/>
        <w:rPr>
          <w:sz w:val="16"/>
        </w:rPr>
      </w:pPr>
    </w:p>
    <w:p>
      <w:pPr>
        <w:pStyle w:val="BodyText"/>
        <w:spacing w:line="424" w:lineRule="auto"/>
        <w:ind w:left="300" w:right="871" w:firstLine="419"/>
      </w:pPr>
      <w:r>
        <w:rPr>
          <w:spacing w:val="-8"/>
        </w:rPr>
        <w:t>如法律法规或监管部门修改或取消上述禁止性规定，基金管理人在履行适当程序后可相</w:t>
      </w:r>
      <w:r>
        <w:rPr>
          <w:spacing w:val="-5"/>
        </w:rPr>
        <w:t>应调整投资禁止行为的规定，不受上述规定的限制。</w:t>
      </w:r>
    </w:p>
    <w:p>
      <w:pPr>
        <w:spacing w:after="0" w:line="424" w:lineRule="auto"/>
        <w:sectPr>
          <w:pgSz w:w="11910" w:h="16840"/>
          <w:pgMar w:header="701" w:footer="683" w:top="1420" w:bottom="880" w:left="1500" w:right="920"/>
        </w:sectPr>
      </w:pPr>
    </w:p>
    <w:p>
      <w:pPr>
        <w:pStyle w:val="BodyText"/>
        <w:spacing w:line="424" w:lineRule="auto" w:before="115"/>
        <w:ind w:left="300" w:right="874" w:firstLine="419"/>
      </w:pPr>
      <w:r>
        <w:rPr>
          <w:rFonts w:ascii="Times New Roman" w:eastAsia="Times New Roman"/>
        </w:rPr>
        <w:t>5</w:t>
      </w:r>
      <w:r>
        <w:rPr/>
        <w:t>、基金托管人依据有关法律法规的规定和《基金合同》的约定对于基金关联投资限制进行监督。</w:t>
      </w:r>
    </w:p>
    <w:p>
      <w:pPr>
        <w:pStyle w:val="BodyText"/>
        <w:spacing w:line="424" w:lineRule="auto"/>
        <w:ind w:left="300" w:right="871" w:firstLine="419"/>
        <w:jc w:val="both"/>
      </w:pPr>
      <w:r>
        <w:rPr>
          <w:spacing w:val="-8"/>
        </w:rPr>
        <w:t>根据法律法规有关基金禁止从事的关联交易的规定，基金管理人和基金托管人应事先相互提供与本机构有控股关系的股东或与本机构有其他重大利害关系的公司名单及其更新，加</w:t>
      </w:r>
      <w:r>
        <w:rPr>
          <w:spacing w:val="-11"/>
        </w:rPr>
        <w:t>盖公章并书面提交，并确保所提供的关联交易名单的真实性、完整性、全面性。基金管理人</w:t>
      </w:r>
      <w:r>
        <w:rPr>
          <w:spacing w:val="-13"/>
        </w:rPr>
        <w:t>有责任保管真实、完整、全面的关联交易名单，并负责及时更新该名单。名单变更后基金管</w:t>
      </w:r>
      <w:r>
        <w:rPr>
          <w:spacing w:val="-12"/>
        </w:rPr>
        <w:t>理人应及时发送基金托管人，基金托管人于 </w:t>
      </w:r>
      <w:r>
        <w:rPr>
          <w:rFonts w:ascii="Times New Roman" w:eastAsia="Times New Roman"/>
        </w:rPr>
        <w:t>2 </w:t>
      </w:r>
      <w:r>
        <w:rPr>
          <w:spacing w:val="-6"/>
        </w:rPr>
        <w:t>个工作日内进行回函确认已知名单的变更。如</w:t>
      </w:r>
      <w:r>
        <w:rPr>
          <w:spacing w:val="-9"/>
        </w:rPr>
        <w:t>果基金托管人在运作中严格遵循了监督流程，基金管理人仍违规进行关联交易，并造成基金</w:t>
      </w:r>
      <w:r>
        <w:rPr>
          <w:spacing w:val="-5"/>
        </w:rPr>
        <w:t>资产损失的，由基金管理人承担责任。</w:t>
      </w:r>
    </w:p>
    <w:p>
      <w:pPr>
        <w:pStyle w:val="BodyText"/>
        <w:spacing w:line="424" w:lineRule="auto"/>
        <w:ind w:left="300" w:right="871" w:firstLine="419"/>
        <w:jc w:val="both"/>
      </w:pPr>
      <w:r>
        <w:rPr/>
        <w:t>若基金托管人发现基金管理人与关联交易名单中列示的关联方进行法律法规禁止基金</w:t>
      </w:r>
      <w:r>
        <w:rPr>
          <w:spacing w:val="-12"/>
        </w:rPr>
        <w:t>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w:t>
      </w:r>
      <w:r>
        <w:rPr>
          <w:spacing w:val="-6"/>
        </w:rPr>
        <w:t>所规则的规定进行结算，同时向中国证监会报告。</w:t>
      </w:r>
    </w:p>
    <w:p>
      <w:pPr>
        <w:pStyle w:val="BodyText"/>
        <w:spacing w:line="424" w:lineRule="auto"/>
        <w:ind w:left="300" w:right="874" w:firstLine="419"/>
      </w:pPr>
      <w:r>
        <w:rPr>
          <w:rFonts w:ascii="Times New Roman" w:eastAsia="Times New Roman"/>
        </w:rPr>
        <w:t>6</w:t>
      </w:r>
      <w:r>
        <w:rPr/>
        <w:t>、基金托管人依据有关法律法规的规定和《基金合同》的约定对基金管理人参与银行间债券市场进行监督。</w:t>
      </w:r>
    </w:p>
    <w:p>
      <w:pPr>
        <w:pStyle w:val="ListParagraph"/>
        <w:numPr>
          <w:ilvl w:val="0"/>
          <w:numId w:val="67"/>
        </w:numPr>
        <w:tabs>
          <w:tab w:pos="1250" w:val="left" w:leader="none"/>
        </w:tabs>
        <w:spacing w:line="424" w:lineRule="auto" w:before="0" w:after="0"/>
        <w:ind w:left="300" w:right="874" w:firstLine="419"/>
        <w:jc w:val="left"/>
        <w:rPr>
          <w:sz w:val="21"/>
        </w:rPr>
      </w:pPr>
      <w:r>
        <w:rPr>
          <w:spacing w:val="-3"/>
          <w:sz w:val="21"/>
        </w:rPr>
        <w:t>基金托管人依据有关法律法规的规定和《基金合同》的约定对于基金管理人参与银行间市场交易时面临的交易对手资信风险进行监督。</w:t>
      </w:r>
    </w:p>
    <w:p>
      <w:pPr>
        <w:pStyle w:val="BodyText"/>
        <w:spacing w:line="424" w:lineRule="auto"/>
        <w:ind w:left="300" w:right="768" w:firstLine="419"/>
      </w:pPr>
      <w:r>
        <w:rPr>
          <w:spacing w:val="-3"/>
        </w:rPr>
        <w:t>基金管理人向基金托管人提供符合法律法规及行业标准的银行间市场交易对手的名单， </w:t>
      </w:r>
      <w:r>
        <w:rPr>
          <w:spacing w:val="-6"/>
        </w:rPr>
        <w:t>并按照审慎的风险控制原则在该名单中约定各交易对手所适用的交易结算方式。基金托管人</w:t>
      </w:r>
      <w:r>
        <w:rPr>
          <w:spacing w:val="-10"/>
        </w:rPr>
        <w:t>在收到名单后 </w:t>
      </w:r>
      <w:r>
        <w:rPr>
          <w:rFonts w:ascii="Times New Roman" w:eastAsia="Times New Roman"/>
        </w:rPr>
        <w:t>2 </w:t>
      </w:r>
      <w:r>
        <w:rPr>
          <w:spacing w:val="-10"/>
        </w:rPr>
        <w:t>个工作日内回函确认收到该名单。基金管理人应定期或不定期对银行间市场</w:t>
      </w:r>
      <w:r>
        <w:rPr>
          <w:spacing w:val="-11"/>
        </w:rPr>
        <w:t>现券及回购交易对手的名单进行更新，名单中增加或减少银行间市场交易对手时须向基金托</w:t>
      </w:r>
      <w:r>
        <w:rPr>
          <w:spacing w:val="-12"/>
        </w:rPr>
        <w:t>管人提出书面申请，基金托管人于 </w:t>
      </w:r>
      <w:r>
        <w:rPr>
          <w:rFonts w:ascii="Times New Roman" w:eastAsia="Times New Roman"/>
        </w:rPr>
        <w:t>2 </w:t>
      </w:r>
      <w:r>
        <w:rPr>
          <w:spacing w:val="-8"/>
        </w:rPr>
        <w:t>个工作日内回函确认收到后，对名单进行更新。基金管</w:t>
      </w:r>
      <w:r>
        <w:rPr>
          <w:spacing w:val="-10"/>
        </w:rPr>
        <w:t>理人收到基金托管人书面确认后，被确认调整的名单开始生效，新名单生效前已与本次剔除</w:t>
      </w:r>
      <w:r>
        <w:rPr>
          <w:spacing w:val="-5"/>
        </w:rPr>
        <w:t>的交易对手所进行但尚未结算的交易，仍应按照协议进行结算。</w:t>
      </w:r>
    </w:p>
    <w:p>
      <w:pPr>
        <w:pStyle w:val="BodyText"/>
        <w:spacing w:line="424" w:lineRule="auto"/>
        <w:ind w:left="300" w:right="871" w:firstLine="419"/>
        <w:jc w:val="both"/>
      </w:pPr>
      <w:r>
        <w:rPr>
          <w:spacing w:val="-6"/>
        </w:rPr>
        <w:t>如果基金托管人发现基金管理人与不在名单内的银行间市场交易对手进行交易，应及时</w:t>
      </w:r>
      <w:r>
        <w:rPr>
          <w:spacing w:val="-10"/>
        </w:rPr>
        <w:t>提醒基金管理人撤销交易，经提醒后基金管理人仍执行交易并造成基金资产损失的，基金托</w:t>
      </w:r>
      <w:r>
        <w:rPr>
          <w:spacing w:val="-5"/>
        </w:rPr>
        <w:t>管人不承担责任，发生此种情形时，托管人有权报告中国证监会。</w:t>
      </w:r>
    </w:p>
    <w:p>
      <w:pPr>
        <w:pStyle w:val="ListParagraph"/>
        <w:numPr>
          <w:ilvl w:val="0"/>
          <w:numId w:val="67"/>
        </w:numPr>
        <w:tabs>
          <w:tab w:pos="1250" w:val="left" w:leader="none"/>
        </w:tabs>
        <w:spacing w:line="266" w:lineRule="exact" w:before="0" w:after="0"/>
        <w:ind w:left="1249" w:right="0" w:hanging="530"/>
        <w:jc w:val="left"/>
        <w:rPr>
          <w:sz w:val="21"/>
        </w:rPr>
      </w:pPr>
      <w:r>
        <w:rPr>
          <w:spacing w:val="-3"/>
          <w:sz w:val="21"/>
        </w:rPr>
        <w:t>基金托管人对于基金管理人参与银行间市场交易的交易方式的控制</w:t>
      </w:r>
    </w:p>
    <w:p>
      <w:pPr>
        <w:spacing w:after="0" w:line="266" w:lineRule="exact"/>
        <w:jc w:val="left"/>
        <w:rPr>
          <w:sz w:val="21"/>
        </w:rPr>
        <w:sectPr>
          <w:pgSz w:w="11910" w:h="16840"/>
          <w:pgMar w:header="701" w:footer="683" w:top="1420" w:bottom="880" w:left="1500" w:right="920"/>
        </w:sectPr>
      </w:pPr>
    </w:p>
    <w:p>
      <w:pPr>
        <w:pStyle w:val="BodyText"/>
        <w:spacing w:line="424" w:lineRule="auto" w:before="115"/>
        <w:ind w:left="300" w:right="770" w:firstLine="419"/>
        <w:jc w:val="both"/>
      </w:pPr>
      <w:r>
        <w:rPr>
          <w:spacing w:val="-7"/>
        </w:rPr>
        <w:t>基金管理人在银行间市场进行现券买卖和回购交易时，需按交易对手名单中约定的该交</w:t>
      </w:r>
      <w:r>
        <w:rPr>
          <w:spacing w:val="-10"/>
        </w:rPr>
        <w:t>易对手所适用的交易结算方式进行交易。如果基金托管人发现基金管理人没有按照事先约定的有利于信用风险控制的交易方式进行交易时，基金托管人应及时提醒基金管理人与交易对</w:t>
      </w:r>
      <w:r>
        <w:rPr>
          <w:spacing w:val="-5"/>
        </w:rPr>
        <w:t>手重新确定交易方式，经提醒后仍未改正时造成基金资产损失的，基金托管人不承担责任。</w:t>
      </w:r>
    </w:p>
    <w:p>
      <w:pPr>
        <w:pStyle w:val="ListParagraph"/>
        <w:numPr>
          <w:ilvl w:val="0"/>
          <w:numId w:val="67"/>
        </w:numPr>
        <w:tabs>
          <w:tab w:pos="1250" w:val="left" w:leader="none"/>
        </w:tabs>
        <w:spacing w:line="424" w:lineRule="auto" w:before="0" w:after="0"/>
        <w:ind w:left="300" w:right="871" w:firstLine="419"/>
        <w:jc w:val="both"/>
        <w:rPr>
          <w:sz w:val="21"/>
        </w:rPr>
      </w:pPr>
      <w:r>
        <w:rPr>
          <w:spacing w:val="-3"/>
          <w:sz w:val="21"/>
        </w:rPr>
        <w:t>基金管理人参与银行间市场交易的核心交易对手为中国工商银行、中国银行、中</w:t>
      </w:r>
      <w:r>
        <w:rPr>
          <w:spacing w:val="-10"/>
          <w:sz w:val="21"/>
        </w:rPr>
        <w:t>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w:t>
      </w:r>
      <w:r>
        <w:rPr>
          <w:spacing w:val="-12"/>
          <w:sz w:val="21"/>
        </w:rPr>
        <w:t>承担，其后有权要求相关责任人进行赔偿，如果基金托管人在运作中严格遵循了上述监督流</w:t>
      </w:r>
      <w:r>
        <w:rPr>
          <w:spacing w:val="-6"/>
          <w:sz w:val="21"/>
        </w:rPr>
        <w:t>程，则对于由于交易对手资信风险引起的损失，不承担赔偿责任。</w:t>
      </w:r>
    </w:p>
    <w:p>
      <w:pPr>
        <w:pStyle w:val="BodyText"/>
        <w:spacing w:line="266" w:lineRule="exact"/>
        <w:ind w:left="720"/>
      </w:pPr>
      <w:r>
        <w:rPr>
          <w:rFonts w:ascii="Times New Roman" w:eastAsia="Times New Roman"/>
        </w:rPr>
        <w:t>7</w:t>
      </w:r>
      <w:r>
        <w:rPr/>
        <w:t>、基金托管人对基金管理人选择存款银行进行监督</w:t>
      </w:r>
    </w:p>
    <w:p>
      <w:pPr>
        <w:pStyle w:val="BodyText"/>
        <w:spacing w:before="9"/>
        <w:rPr>
          <w:sz w:val="15"/>
        </w:rPr>
      </w:pPr>
    </w:p>
    <w:p>
      <w:pPr>
        <w:pStyle w:val="BodyText"/>
        <w:spacing w:line="424" w:lineRule="auto"/>
        <w:ind w:left="300" w:right="871" w:firstLine="419"/>
        <w:jc w:val="both"/>
      </w:pPr>
      <w:r>
        <w:rPr>
          <w:spacing w:val="-7"/>
        </w:rPr>
        <w:t>本基金投资银行存款的信用风险主要包括存款银行的信用等级、存款银行的支付能力等</w:t>
      </w:r>
      <w:r>
        <w:rPr>
          <w:spacing w:val="-9"/>
        </w:rPr>
        <w:t>涉及到存款银行选择方面的风险。本基金核心存款银行名单为中国工商银行、中国银行、中</w:t>
      </w:r>
      <w:r>
        <w:rPr>
          <w:spacing w:val="-13"/>
        </w:rPr>
        <w:t>国建设银行、中国农业银行和交通银行，本基金投资除核心存款银行以外的银行存款出现由</w:t>
      </w:r>
      <w:r>
        <w:rPr>
          <w:spacing w:val="-11"/>
        </w:rPr>
        <w:t>于存款银行信用风险而造成的损失时，先由基金管理人负责赔偿，之后有权要求相关责任人</w:t>
      </w:r>
      <w:r>
        <w:rPr>
          <w:spacing w:val="-12"/>
        </w:rPr>
        <w:t>进行赔偿，如果基金托管人在运作过程中遵循上述监督流程，则对于由于存款银行信用风险引起的损失，不承担赔偿责任。基金管理人与基金托管人协商一致后，可以根据当时的市场</w:t>
      </w:r>
      <w:r>
        <w:rPr>
          <w:spacing w:val="-6"/>
        </w:rPr>
        <w:t>情况对于核心存款银行名单进行调整。</w:t>
      </w:r>
    </w:p>
    <w:p>
      <w:pPr>
        <w:pStyle w:val="BodyText"/>
        <w:spacing w:line="265" w:lineRule="exact"/>
        <w:ind w:left="720"/>
      </w:pPr>
      <w:r>
        <w:rPr>
          <w:rFonts w:ascii="Times New Roman" w:eastAsia="Times New Roman"/>
        </w:rPr>
        <w:t>8</w:t>
      </w:r>
      <w:r>
        <w:rPr/>
        <w:t>、基金托管人对基金投资流通受限证券的监督</w:t>
      </w:r>
    </w:p>
    <w:p>
      <w:pPr>
        <w:pStyle w:val="BodyText"/>
        <w:spacing w:before="1"/>
        <w:rPr>
          <w:sz w:val="16"/>
        </w:rPr>
      </w:pPr>
    </w:p>
    <w:p>
      <w:pPr>
        <w:pStyle w:val="ListParagraph"/>
        <w:numPr>
          <w:ilvl w:val="0"/>
          <w:numId w:val="68"/>
        </w:numPr>
        <w:tabs>
          <w:tab w:pos="1250" w:val="left" w:leader="none"/>
        </w:tabs>
        <w:spacing w:line="424" w:lineRule="auto" w:before="0" w:after="0"/>
        <w:ind w:left="300" w:right="871" w:firstLine="419"/>
        <w:jc w:val="both"/>
        <w:rPr>
          <w:sz w:val="21"/>
        </w:rPr>
      </w:pPr>
      <w:r>
        <w:rPr>
          <w:spacing w:val="-3"/>
          <w:sz w:val="21"/>
        </w:rPr>
        <w:t>基金投资流通受限证券，应遵守《关于规范基金投资非公开发行证券行为的紧急</w:t>
      </w:r>
      <w:r>
        <w:rPr>
          <w:spacing w:val="-20"/>
          <w:sz w:val="21"/>
        </w:rPr>
        <w:t>通知》、《关于基金投资非公开发行股票等流通受限证券有关问题的通知》等有关法律法规规定。</w:t>
      </w:r>
    </w:p>
    <w:p>
      <w:pPr>
        <w:pStyle w:val="ListParagraph"/>
        <w:numPr>
          <w:ilvl w:val="0"/>
          <w:numId w:val="68"/>
        </w:numPr>
        <w:tabs>
          <w:tab w:pos="1250" w:val="left" w:leader="none"/>
        </w:tabs>
        <w:spacing w:line="424" w:lineRule="auto" w:before="0" w:after="0"/>
        <w:ind w:left="300" w:right="871" w:firstLine="419"/>
        <w:jc w:val="both"/>
        <w:rPr>
          <w:sz w:val="21"/>
        </w:rPr>
      </w:pPr>
      <w:r>
        <w:rPr>
          <w:spacing w:val="-3"/>
          <w:sz w:val="21"/>
        </w:rPr>
        <w:t>流通受限证券，包括由《上市公司证券发行管理办法》规范的非公开发行股票、</w:t>
      </w:r>
      <w:r>
        <w:rPr>
          <w:spacing w:val="-6"/>
          <w:sz w:val="21"/>
        </w:rPr>
        <w:t>公开发行股票网下配售部分等在发行时明确一定期限锁定期的可交易证券，不包括由于发布</w:t>
      </w:r>
      <w:r>
        <w:rPr>
          <w:spacing w:val="-9"/>
          <w:sz w:val="21"/>
        </w:rPr>
        <w:t>重大消息或其他原因而临时停牌的证券、已发行未上市证券、回购交易中的质押券等流通受</w:t>
      </w:r>
      <w:r>
        <w:rPr>
          <w:spacing w:val="-6"/>
          <w:sz w:val="21"/>
        </w:rPr>
        <w:t>限证券。</w:t>
      </w:r>
    </w:p>
    <w:p>
      <w:pPr>
        <w:pStyle w:val="ListParagraph"/>
        <w:numPr>
          <w:ilvl w:val="0"/>
          <w:numId w:val="68"/>
        </w:numPr>
        <w:tabs>
          <w:tab w:pos="1250" w:val="left" w:leader="none"/>
        </w:tabs>
        <w:spacing w:line="424" w:lineRule="auto" w:before="0" w:after="0"/>
        <w:ind w:left="300" w:right="871" w:firstLine="419"/>
        <w:jc w:val="both"/>
        <w:rPr>
          <w:sz w:val="21"/>
        </w:rPr>
      </w:pPr>
      <w:r>
        <w:rPr>
          <w:spacing w:val="-3"/>
          <w:sz w:val="21"/>
        </w:rPr>
        <w:t>基金管理人应在基金首次投资流通受限证券前，向基金托管人提供经基金管理人</w:t>
      </w:r>
      <w:r>
        <w:rPr>
          <w:spacing w:val="-7"/>
          <w:sz w:val="21"/>
        </w:rPr>
        <w:t>董事会批准的有关基金投资流通受限证券的投资决策流程、风险控制制度。基金投资非公开</w:t>
      </w:r>
      <w:r>
        <w:rPr>
          <w:spacing w:val="-12"/>
          <w:sz w:val="21"/>
        </w:rPr>
        <w:t>发行股票，基金管理人还应提供基金管理人董事会批准的流动性风险处置预案。上述资料应</w:t>
      </w:r>
    </w:p>
    <w:p>
      <w:pPr>
        <w:spacing w:after="0" w:line="424" w:lineRule="auto"/>
        <w:jc w:val="both"/>
        <w:rPr>
          <w:sz w:val="21"/>
        </w:rPr>
        <w:sectPr>
          <w:pgSz w:w="11910" w:h="16840"/>
          <w:pgMar w:header="701" w:footer="683" w:top="1420" w:bottom="880" w:left="1500" w:right="920"/>
        </w:sectPr>
      </w:pPr>
    </w:p>
    <w:p>
      <w:pPr>
        <w:pStyle w:val="BodyText"/>
        <w:spacing w:before="115"/>
        <w:ind w:left="300"/>
      </w:pPr>
      <w:r>
        <w:rPr/>
        <w:t>包括但不限于基金投资流通受限证券的投资额度和投资比例控制情况。</w:t>
      </w:r>
    </w:p>
    <w:p>
      <w:pPr>
        <w:pStyle w:val="BodyText"/>
        <w:rPr>
          <w:sz w:val="16"/>
        </w:rPr>
      </w:pPr>
    </w:p>
    <w:p>
      <w:pPr>
        <w:pStyle w:val="BodyText"/>
        <w:spacing w:line="424" w:lineRule="auto" w:before="1"/>
        <w:ind w:left="300" w:right="765" w:firstLine="419"/>
      </w:pPr>
      <w:r>
        <w:rPr/>
        <w:t>基金管理人应至少于首次执行投资指令之前两个工作日将上述资料书面发至基金托管 </w:t>
      </w:r>
      <w:r>
        <w:rPr>
          <w:spacing w:val="-17"/>
        </w:rPr>
        <w:t>人，保证基金托管人有足够的时间进行审核。基金托管人应在收到上述资料后两个工作日内， </w:t>
      </w:r>
      <w:r>
        <w:rPr>
          <w:spacing w:val="-7"/>
        </w:rPr>
        <w:t>以书面或其他双方认可的方式确认收到上述资料。</w:t>
      </w:r>
    </w:p>
    <w:p>
      <w:pPr>
        <w:pStyle w:val="ListParagraph"/>
        <w:numPr>
          <w:ilvl w:val="0"/>
          <w:numId w:val="68"/>
        </w:numPr>
        <w:tabs>
          <w:tab w:pos="1250" w:val="left" w:leader="none"/>
        </w:tabs>
        <w:spacing w:line="424" w:lineRule="auto" w:before="0" w:after="0"/>
        <w:ind w:left="300" w:right="765" w:firstLine="419"/>
        <w:jc w:val="left"/>
        <w:rPr>
          <w:sz w:val="21"/>
        </w:rPr>
      </w:pPr>
      <w:r>
        <w:rPr>
          <w:spacing w:val="-3"/>
          <w:sz w:val="21"/>
        </w:rPr>
        <w:t>基金投资流通受限证券前，基金管理人应向基金托管人提供符合法律法规要求的</w:t>
      </w:r>
      <w:r>
        <w:rPr>
          <w:spacing w:val="-9"/>
          <w:sz w:val="21"/>
        </w:rPr>
        <w:t>有关书面信息，包括但不限于拟发行证券主体的中国证监会批准文件、发行证券数量、发行</w:t>
      </w:r>
      <w:r>
        <w:rPr>
          <w:spacing w:val="-13"/>
          <w:sz w:val="21"/>
        </w:rPr>
        <w:t>价格、锁定期，基金拟认购的数量、价格、总成本、总成本占基金资产净值的比例、已持有</w:t>
      </w:r>
      <w:r>
        <w:rPr>
          <w:spacing w:val="-16"/>
          <w:sz w:val="21"/>
        </w:rPr>
        <w:t>流通受限证券市值占资产净值的比例、资金划付时间等。基金管理人应保证上述信息的真实、</w:t>
      </w:r>
      <w:r>
        <w:rPr>
          <w:spacing w:val="-13"/>
          <w:sz w:val="21"/>
        </w:rPr>
        <w:t>完整，并于拟执行投资指令前将上述信息书面发至基金托管人，保证基金托管人有足够的时</w:t>
      </w:r>
      <w:r>
        <w:rPr>
          <w:spacing w:val="-6"/>
          <w:sz w:val="21"/>
        </w:rPr>
        <w:t>间进行审核。</w:t>
      </w:r>
    </w:p>
    <w:p>
      <w:pPr>
        <w:pStyle w:val="ListParagraph"/>
        <w:numPr>
          <w:ilvl w:val="0"/>
          <w:numId w:val="68"/>
        </w:numPr>
        <w:tabs>
          <w:tab w:pos="1250" w:val="left" w:leader="none"/>
        </w:tabs>
        <w:spacing w:line="424" w:lineRule="auto" w:before="0" w:after="0"/>
        <w:ind w:left="300" w:right="765" w:firstLine="419"/>
        <w:jc w:val="left"/>
        <w:rPr>
          <w:sz w:val="21"/>
        </w:rPr>
      </w:pPr>
      <w:r>
        <w:rPr>
          <w:spacing w:val="-3"/>
          <w:sz w:val="21"/>
        </w:rPr>
        <w:t>基金托管人应对基金管理人是否遵守法律法规、投资决策流程、风险控制制度、</w:t>
      </w:r>
      <w:r>
        <w:rPr>
          <w:spacing w:val="-8"/>
          <w:sz w:val="21"/>
        </w:rPr>
        <w:t>流动性风险处置预案情况进行监督，并审核基金管理人提供的有关书面信息。基金托管人认</w:t>
      </w:r>
      <w:r>
        <w:rPr>
          <w:spacing w:val="-11"/>
          <w:sz w:val="21"/>
        </w:rPr>
        <w:t>为上述资料可能导致基金出现风险的，有权要求基金管理人在投资流通受限证券前就该风险</w:t>
      </w:r>
      <w:r>
        <w:rPr>
          <w:spacing w:val="-12"/>
          <w:sz w:val="21"/>
        </w:rPr>
        <w:t>的消除或防范措施进行补充书面说明，并保留查看基金管理人风险管理部门就基金投资流通</w:t>
      </w:r>
      <w:r>
        <w:rPr>
          <w:spacing w:val="-15"/>
          <w:sz w:val="21"/>
        </w:rPr>
        <w:t>受限证券出具的风险评估报告等备查资料的权利。否则，基金托管人有权拒绝执行有关指令。</w:t>
      </w:r>
      <w:r>
        <w:rPr>
          <w:spacing w:val="-12"/>
          <w:sz w:val="21"/>
        </w:rPr>
        <w:t>因拒绝执行该指令造成基金财产损失的，基金托管人不承担任何责任，并有权报告中国证监会。</w:t>
      </w:r>
    </w:p>
    <w:p>
      <w:pPr>
        <w:pStyle w:val="BodyText"/>
        <w:spacing w:line="424" w:lineRule="auto"/>
        <w:ind w:left="300" w:right="871" w:firstLine="419"/>
        <w:jc w:val="both"/>
      </w:pPr>
      <w:r>
        <w:rPr>
          <w:spacing w:val="-8"/>
        </w:rPr>
        <w:t>如基金管理人和基金托管人无法达成一致，应及时上报中国证监会请求解决。如果基金</w:t>
      </w:r>
      <w:r>
        <w:rPr>
          <w:spacing w:val="-11"/>
        </w:rPr>
        <w:t>托管人切实履行监督职责，则不承担任何责任。如果基金托管人没有切实履行监督职责，导</w:t>
      </w:r>
      <w:r>
        <w:rPr>
          <w:spacing w:val="-6"/>
        </w:rPr>
        <w:t>致基金出现风险，基金托管人应承担连带责任。</w:t>
      </w:r>
    </w:p>
    <w:p>
      <w:pPr>
        <w:pStyle w:val="BodyText"/>
        <w:spacing w:line="424" w:lineRule="auto"/>
        <w:ind w:left="300" w:right="871" w:firstLine="419"/>
        <w:jc w:val="both"/>
      </w:pPr>
      <w:r>
        <w:rPr/>
        <w:t>（二</w:t>
      </w:r>
      <w:r>
        <w:rPr>
          <w:spacing w:val="-27"/>
        </w:rPr>
        <w:t>）</w:t>
      </w:r>
      <w:r>
        <w:rPr>
          <w:spacing w:val="-7"/>
        </w:rPr>
        <w:t>基金托管人应根据有关法律法规的规定及《基金合同》的约定，对基金资产净值</w:t>
      </w:r>
      <w:r>
        <w:rPr>
          <w:spacing w:val="-12"/>
        </w:rPr>
        <w:t>计算、基金份额净值计算、应收资金到账、基金费用开支及收入确定、基金收益分配、相关</w:t>
      </w:r>
      <w:r>
        <w:rPr>
          <w:spacing w:val="-6"/>
        </w:rPr>
        <w:t>信息披露、基金宣传推介材料中登载基金业绩表现数据等进行监督和核查。</w:t>
      </w:r>
    </w:p>
    <w:p>
      <w:pPr>
        <w:pStyle w:val="BodyText"/>
        <w:spacing w:line="424" w:lineRule="auto"/>
        <w:ind w:left="300" w:right="871" w:firstLine="419"/>
        <w:jc w:val="both"/>
      </w:pPr>
      <w:r>
        <w:rPr/>
        <w:t>（三</w:t>
      </w:r>
      <w:r>
        <w:rPr>
          <w:spacing w:val="-70"/>
        </w:rPr>
        <w:t>）</w:t>
      </w:r>
      <w:r>
        <w:rPr>
          <w:spacing w:val="-10"/>
        </w:rPr>
        <w:t>基金托管人发现基金管理人的投资运作及其他运作违反《基金法》</w:t>
      </w:r>
      <w:r>
        <w:rPr>
          <w:spacing w:val="-37"/>
        </w:rPr>
        <w:t>、《基金合同》、</w:t>
      </w:r>
      <w:r>
        <w:rPr>
          <w:spacing w:val="-15"/>
        </w:rPr>
        <w:t>基金托管协议及其他有关规定时，应及时以书面形式通知基金管理人限期纠正，基金管理人</w:t>
      </w:r>
      <w:r>
        <w:rPr>
          <w:spacing w:val="-12"/>
        </w:rPr>
        <w:t>收到通知后应在下一个工作日及时核对，并以书面形式向基金托管人发出回函，进行解释或举证。</w:t>
      </w:r>
    </w:p>
    <w:p>
      <w:pPr>
        <w:pStyle w:val="BodyText"/>
        <w:spacing w:line="424" w:lineRule="auto"/>
        <w:ind w:left="300" w:right="871" w:firstLine="419"/>
      </w:pPr>
      <w:r>
        <w:rPr>
          <w:spacing w:val="-10"/>
        </w:rPr>
        <w:t>在限期内，基金托管人有权随时对通知事项进行复查，督促基金管理人改正。基金管理</w:t>
      </w:r>
      <w:r>
        <w:rPr>
          <w:spacing w:val="-9"/>
        </w:rPr>
        <w:t>人对基金托管人通知的违规事项未能在限期内纠正的，基金托管人应报告中国证监会。基金</w:t>
      </w:r>
    </w:p>
    <w:p>
      <w:pPr>
        <w:spacing w:after="0" w:line="424" w:lineRule="auto"/>
        <w:sectPr>
          <w:footerReference w:type="default" r:id="rId230"/>
          <w:pgSz w:w="11910" w:h="16840"/>
          <w:pgMar w:footer="683" w:header="701" w:top="1420" w:bottom="880" w:left="1500" w:right="920"/>
        </w:sectPr>
      </w:pPr>
    </w:p>
    <w:p>
      <w:pPr>
        <w:pStyle w:val="BodyText"/>
        <w:spacing w:before="115"/>
        <w:ind w:left="300"/>
      </w:pPr>
      <w:r>
        <w:rPr/>
        <w:t>托管人有义务要求基金管理人赔偿因其违反《基金合同》而致使投资者遭受的损失。</w:t>
      </w:r>
    </w:p>
    <w:p>
      <w:pPr>
        <w:pStyle w:val="BodyText"/>
        <w:rPr>
          <w:sz w:val="16"/>
        </w:rPr>
      </w:pPr>
    </w:p>
    <w:p>
      <w:pPr>
        <w:pStyle w:val="BodyText"/>
        <w:spacing w:line="424" w:lineRule="auto" w:before="1"/>
        <w:ind w:left="300" w:right="765" w:firstLine="419"/>
      </w:pPr>
      <w:r>
        <w:rPr>
          <w:spacing w:val="-10"/>
        </w:rPr>
        <w:t>基金托管人发现基金管理人的投资指令违反法律法规规定或者违反《基金合同》约定的， </w:t>
      </w:r>
      <w:r>
        <w:rPr>
          <w:spacing w:val="-5"/>
        </w:rPr>
        <w:t>应当拒绝执行，立即通知基金管理人，并向中国证监会报告。</w:t>
      </w:r>
    </w:p>
    <w:p>
      <w:pPr>
        <w:pStyle w:val="BodyText"/>
        <w:spacing w:line="424" w:lineRule="auto"/>
        <w:ind w:left="300" w:right="871" w:firstLine="419"/>
        <w:jc w:val="right"/>
      </w:pPr>
      <w:r>
        <w:rPr>
          <w:spacing w:val="-6"/>
        </w:rPr>
        <w:t>基金托管人发现基金管理人依据交易程序已经生效的投资指令违反法律、行政法规和其</w:t>
      </w:r>
      <w:r>
        <w:rPr>
          <w:spacing w:val="-21"/>
        </w:rPr>
        <w:t>他有关规定，或者违反《基金合同》约定的，应当立即通知基金管理人，并报告中国证监会。</w:t>
      </w:r>
      <w:r>
        <w:rPr>
          <w:spacing w:val="-12"/>
        </w:rPr>
        <w:t>基金管理人应积极配合和协助基金托管人的监督和核查，必须在规定时间内答复基金托</w:t>
      </w:r>
    </w:p>
    <w:p>
      <w:pPr>
        <w:pStyle w:val="BodyText"/>
        <w:spacing w:line="424" w:lineRule="auto"/>
        <w:ind w:left="300" w:right="871"/>
      </w:pPr>
      <w:r>
        <w:rPr>
          <w:spacing w:val="-10"/>
        </w:rPr>
        <w:t>管人并改正，就基金托管人的疑义进行解释或举证，对基金托管人按照法规要求需向中国证</w:t>
      </w:r>
      <w:r>
        <w:rPr>
          <w:spacing w:val="-5"/>
        </w:rPr>
        <w:t>监会报送基金监督报告的，基金管理人应积极配合提供相关数据资料和制度等。</w:t>
      </w:r>
    </w:p>
    <w:p>
      <w:pPr>
        <w:pStyle w:val="BodyText"/>
        <w:spacing w:line="424" w:lineRule="auto"/>
        <w:ind w:left="300" w:right="871" w:firstLine="419"/>
      </w:pPr>
      <w:r>
        <w:rPr>
          <w:spacing w:val="-8"/>
        </w:rPr>
        <w:t>基金托管人发现基金管理人有重大违规行为，应立即报告中国证监会，同时通知基金管</w:t>
      </w:r>
      <w:r>
        <w:rPr>
          <w:spacing w:val="-5"/>
        </w:rPr>
        <w:t>理人限期纠正。</w:t>
      </w:r>
    </w:p>
    <w:p>
      <w:pPr>
        <w:pStyle w:val="BodyText"/>
        <w:spacing w:line="424" w:lineRule="auto"/>
        <w:ind w:left="300" w:right="871" w:firstLine="419"/>
        <w:jc w:val="both"/>
      </w:pPr>
      <w:r>
        <w:rPr>
          <w:spacing w:val="-9"/>
        </w:rPr>
        <w:t>基金管理人无正当理由，拒绝、阻挠基金托管人根据本协议规定行使监督权，或采取拖</w:t>
      </w:r>
      <w:r>
        <w:rPr>
          <w:spacing w:val="-11"/>
        </w:rPr>
        <w:t>延、欺诈等手段妨碍基金托管人进行有效监督，情节严重或经基金托管人提出警告仍不改正</w:t>
      </w:r>
      <w:r>
        <w:rPr>
          <w:spacing w:val="-6"/>
        </w:rPr>
        <w:t>的，基金托管人应报告中国证监会。</w:t>
      </w:r>
    </w:p>
    <w:p>
      <w:pPr>
        <w:pStyle w:val="BodyText"/>
        <w:spacing w:line="268" w:lineRule="exact"/>
        <w:ind w:left="300" w:right="453"/>
        <w:jc w:val="center"/>
      </w:pPr>
      <w:r>
        <w:rPr/>
        <w:t>四、基金管理人对基金托管人的业务核查</w:t>
      </w:r>
    </w:p>
    <w:p>
      <w:pPr>
        <w:pStyle w:val="BodyText"/>
        <w:spacing w:before="7"/>
        <w:rPr>
          <w:sz w:val="15"/>
        </w:rPr>
      </w:pPr>
    </w:p>
    <w:p>
      <w:pPr>
        <w:pStyle w:val="BodyText"/>
        <w:spacing w:line="424" w:lineRule="auto" w:before="1"/>
        <w:ind w:left="300" w:right="871" w:firstLine="419"/>
        <w:jc w:val="both"/>
      </w:pPr>
      <w:r>
        <w:rPr>
          <w:spacing w:val="-7"/>
        </w:rPr>
        <w:t>基金管理人对基金托管人履行托管职责情况进行核查，核查事项包括但不限于基金托管</w:t>
      </w:r>
      <w:r>
        <w:rPr>
          <w:spacing w:val="-12"/>
        </w:rPr>
        <w:t>人安全保管基金财产、开设基金财产的资金账户和证券账户、复核基金管理人计算的基金资</w:t>
      </w:r>
      <w:r>
        <w:rPr>
          <w:spacing w:val="-13"/>
        </w:rPr>
        <w:t>产净值和基金份额净值、根据管理人指令办理清算交收、相关信息披露和监督基金投资运作</w:t>
      </w:r>
      <w:r>
        <w:rPr>
          <w:spacing w:val="-8"/>
        </w:rPr>
        <w:t>等行为。</w:t>
      </w:r>
    </w:p>
    <w:p>
      <w:pPr>
        <w:pStyle w:val="BodyText"/>
        <w:spacing w:line="424" w:lineRule="auto"/>
        <w:ind w:left="300" w:right="871" w:firstLine="419"/>
        <w:jc w:val="both"/>
      </w:pPr>
      <w:r>
        <w:rPr>
          <w:spacing w:val="-8"/>
        </w:rPr>
        <w:t>基金管理人发现基金托管人擅自挪用基金财产、未对基金财产实行分账管理、未执行或</w:t>
      </w:r>
      <w:r>
        <w:rPr>
          <w:spacing w:val="-15"/>
        </w:rPr>
        <w:t>无故延迟执行基金管理人划款指令、泄露基金投资信息等违反《基金法》、《基金合同》、本</w:t>
      </w:r>
      <w:r>
        <w:rPr>
          <w:spacing w:val="-13"/>
        </w:rPr>
        <w:t>托管协议及其他有关规定时，基金管理人应及时以书面形式通知基金托管人限期纠正，基金</w:t>
      </w:r>
      <w:r>
        <w:rPr>
          <w:spacing w:val="-10"/>
        </w:rPr>
        <w:t>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w:t>
      </w:r>
      <w:r>
        <w:rPr>
          <w:spacing w:val="-5"/>
        </w:rPr>
        <w:t>有义务要求基金托管人赔偿基金因此所遭受的损失。</w:t>
      </w:r>
    </w:p>
    <w:p>
      <w:pPr>
        <w:pStyle w:val="BodyText"/>
        <w:spacing w:line="424" w:lineRule="auto"/>
        <w:ind w:left="300" w:right="871" w:firstLine="419"/>
      </w:pPr>
      <w:r>
        <w:rPr>
          <w:spacing w:val="-8"/>
        </w:rPr>
        <w:t>基金管理人发现基金托管人有重大违规行为，应立即报告中国证监会和银行业监督管理</w:t>
      </w:r>
      <w:r>
        <w:rPr>
          <w:spacing w:val="-5"/>
        </w:rPr>
        <w:t>机构，同时通知基金托管人限期纠正。</w:t>
      </w:r>
    </w:p>
    <w:p>
      <w:pPr>
        <w:pStyle w:val="BodyText"/>
        <w:spacing w:line="424" w:lineRule="auto"/>
        <w:ind w:left="300" w:right="871" w:firstLine="419"/>
      </w:pPr>
      <w:r>
        <w:rPr>
          <w:spacing w:val="-8"/>
        </w:rPr>
        <w:t>基金托管人应积极配合基金管理人的核查行为，包括但不限于：提交相关资料以供基金</w:t>
      </w:r>
      <w:r>
        <w:rPr>
          <w:spacing w:val="-5"/>
        </w:rPr>
        <w:t>管理人核查托管财产的完整性和真实性，在规定时间内答复基金管理人并改正。</w:t>
      </w:r>
    </w:p>
    <w:p>
      <w:pPr>
        <w:spacing w:after="0" w:line="424" w:lineRule="auto"/>
        <w:sectPr>
          <w:footerReference w:type="default" r:id="rId231"/>
          <w:pgSz w:w="11910" w:h="16840"/>
          <w:pgMar w:footer="683" w:header="701" w:top="1420" w:bottom="880" w:left="1500" w:right="920"/>
          <w:pgNumType w:start="171"/>
        </w:sectPr>
      </w:pPr>
    </w:p>
    <w:p>
      <w:pPr>
        <w:pStyle w:val="BodyText"/>
        <w:spacing w:line="424" w:lineRule="auto" w:before="115"/>
        <w:ind w:left="300" w:right="871" w:firstLine="419"/>
        <w:jc w:val="both"/>
      </w:pPr>
      <w:r>
        <w:rPr>
          <w:spacing w:val="-9"/>
        </w:rPr>
        <w:t>基金托管人无正当理由，拒绝、阻挠基金管理人根据本协议规定行使监督权，或采取拖</w:t>
      </w:r>
      <w:r>
        <w:rPr>
          <w:spacing w:val="-11"/>
        </w:rPr>
        <w:t>延、欺诈等手段妨碍基金管理人进行有效监督，情节严重或经基金管理人提出警告仍不改正</w:t>
      </w:r>
      <w:r>
        <w:rPr>
          <w:spacing w:val="-6"/>
        </w:rPr>
        <w:t>的，基金管理人应报告中国证监会。</w:t>
      </w:r>
    </w:p>
    <w:p>
      <w:pPr>
        <w:pStyle w:val="BodyText"/>
        <w:spacing w:line="266" w:lineRule="exact"/>
        <w:ind w:left="300" w:right="453"/>
        <w:jc w:val="center"/>
      </w:pPr>
      <w:r>
        <w:rPr/>
        <w:t>五、基金财产保管</w:t>
      </w:r>
    </w:p>
    <w:p>
      <w:pPr>
        <w:pStyle w:val="BodyText"/>
        <w:rPr>
          <w:sz w:val="16"/>
        </w:rPr>
      </w:pPr>
    </w:p>
    <w:p>
      <w:pPr>
        <w:pStyle w:val="BodyText"/>
        <w:spacing w:before="1"/>
        <w:ind w:left="720"/>
      </w:pPr>
      <w:r>
        <w:rPr/>
        <w:t>（一）基金财产保管的原则</w:t>
      </w:r>
    </w:p>
    <w:p>
      <w:pPr>
        <w:pStyle w:val="BodyText"/>
        <w:spacing w:before="3"/>
        <w:rPr>
          <w:sz w:val="16"/>
        </w:rPr>
      </w:pPr>
    </w:p>
    <w:p>
      <w:pPr>
        <w:pStyle w:val="BodyText"/>
        <w:ind w:left="720"/>
      </w:pPr>
      <w:r>
        <w:rPr>
          <w:rFonts w:ascii="Times New Roman" w:eastAsia="Times New Roman"/>
        </w:rPr>
        <w:t>1</w:t>
      </w:r>
      <w:r>
        <w:rPr/>
        <w:t>、基金财产应独立于基金管理人、基金托管人的固有财产。</w:t>
      </w:r>
    </w:p>
    <w:p>
      <w:pPr>
        <w:pStyle w:val="BodyText"/>
        <w:spacing w:before="1"/>
        <w:rPr>
          <w:sz w:val="16"/>
        </w:rPr>
      </w:pPr>
    </w:p>
    <w:p>
      <w:pPr>
        <w:pStyle w:val="BodyText"/>
        <w:spacing w:line="424" w:lineRule="auto"/>
        <w:ind w:left="300" w:right="874" w:firstLine="419"/>
      </w:pPr>
      <w:r>
        <w:rPr>
          <w:rFonts w:ascii="Times New Roman" w:eastAsia="Times New Roman"/>
        </w:rPr>
        <w:t>2</w:t>
      </w:r>
      <w:r>
        <w:rPr/>
        <w:t>、基金托管人应安全保管基金财产。未经基金管理人的正当指令，不得自行运用、处分、分配基金的任何财产。</w:t>
      </w:r>
    </w:p>
    <w:p>
      <w:pPr>
        <w:pStyle w:val="BodyText"/>
        <w:spacing w:line="268" w:lineRule="exact"/>
        <w:ind w:left="720"/>
      </w:pPr>
      <w:r>
        <w:rPr>
          <w:rFonts w:ascii="Times New Roman" w:eastAsia="Times New Roman"/>
        </w:rPr>
        <w:t>3</w:t>
      </w:r>
      <w:r>
        <w:rPr/>
        <w:t>、基金托管人按照规定开设基金财产的资金账户和证券账户。</w:t>
      </w:r>
    </w:p>
    <w:p>
      <w:pPr>
        <w:pStyle w:val="BodyText"/>
        <w:spacing w:before="1"/>
        <w:rPr>
          <w:sz w:val="16"/>
        </w:rPr>
      </w:pPr>
    </w:p>
    <w:p>
      <w:pPr>
        <w:pStyle w:val="BodyText"/>
        <w:spacing w:line="424" w:lineRule="auto"/>
        <w:ind w:left="300" w:right="874" w:firstLine="419"/>
      </w:pPr>
      <w:r>
        <w:rPr>
          <w:rFonts w:ascii="Times New Roman" w:eastAsia="Times New Roman"/>
        </w:rPr>
        <w:t>4</w:t>
      </w:r>
      <w:r>
        <w:rPr/>
        <w:t>、基金托管人对所托管的不同基金财产分别设置账户，与基金托管人的其他业务和其他基金的托管业务实行严格的分账管理，确保基金财产的完整与独立。</w:t>
      </w:r>
    </w:p>
    <w:p>
      <w:pPr>
        <w:pStyle w:val="BodyText"/>
        <w:spacing w:line="424" w:lineRule="auto"/>
        <w:ind w:left="300" w:right="871" w:firstLine="419"/>
        <w:jc w:val="both"/>
      </w:pPr>
      <w:r>
        <w:rPr>
          <w:rFonts w:ascii="Times New Roman" w:eastAsia="Times New Roman"/>
        </w:rPr>
        <w:t>5</w:t>
      </w:r>
      <w:r>
        <w:rPr>
          <w:spacing w:val="-2"/>
        </w:rPr>
        <w:t>、对于因基金认</w:t>
      </w:r>
      <w:r>
        <w:rPr/>
        <w:t>（</w:t>
      </w:r>
      <w:r>
        <w:rPr>
          <w:spacing w:val="-3"/>
        </w:rPr>
        <w:t>申</w:t>
      </w:r>
      <w:r>
        <w:rPr/>
        <w:t>）</w:t>
      </w:r>
      <w:r>
        <w:rPr>
          <w:spacing w:val="-3"/>
        </w:rPr>
        <w:t>购、基金投资过程中产生的应收财产，应由基金管理人负责与</w:t>
      </w:r>
      <w:r>
        <w:rPr>
          <w:spacing w:val="-8"/>
        </w:rPr>
        <w:t>有关当事人确定到账日期并通知基金托管人，到账日基金财产没有到达基金托管人处的，基</w:t>
      </w:r>
      <w:r>
        <w:rPr>
          <w:spacing w:val="-9"/>
        </w:rPr>
        <w:t>金托管人应及时通知基金管理人采取措施进行催收。由此给基金造成损失的，基金管理人应</w:t>
      </w:r>
      <w:r>
        <w:rPr>
          <w:spacing w:val="-5"/>
        </w:rPr>
        <w:t>负责向有关当事人追偿基金的损失，基金托管人对此不承担责任。</w:t>
      </w:r>
    </w:p>
    <w:p>
      <w:pPr>
        <w:pStyle w:val="BodyText"/>
        <w:spacing w:line="268" w:lineRule="exact"/>
        <w:ind w:left="720"/>
      </w:pPr>
      <w:r>
        <w:rPr/>
        <w:t>（二）募集资金的验证</w:t>
      </w:r>
    </w:p>
    <w:p>
      <w:pPr>
        <w:pStyle w:val="BodyText"/>
        <w:spacing w:before="12"/>
        <w:rPr>
          <w:sz w:val="15"/>
        </w:rPr>
      </w:pPr>
    </w:p>
    <w:p>
      <w:pPr>
        <w:pStyle w:val="BodyText"/>
        <w:spacing w:line="424" w:lineRule="auto"/>
        <w:ind w:left="300" w:right="871" w:firstLine="419"/>
        <w:jc w:val="both"/>
      </w:pPr>
      <w:r>
        <w:rPr>
          <w:spacing w:val="-8"/>
        </w:rPr>
        <w:t>募集期内销售机构按销售与服务代理协议的约定，将认购资金划入基金管理人在具有托</w:t>
      </w:r>
      <w:r>
        <w:rPr>
          <w:spacing w:val="-9"/>
        </w:rPr>
        <w:t>管资格的商业银行开设的华夏基金管理有限公司基金募集专户。该账户由基金管理人开立并</w:t>
      </w:r>
      <w:r>
        <w:rPr>
          <w:spacing w:val="-13"/>
        </w:rPr>
        <w:t>管理。基金募集期满，募集的基金份额总额、基金募集金额、基金份额持有人人数符合《基</w:t>
      </w:r>
      <w:r>
        <w:rPr>
          <w:spacing w:val="-21"/>
        </w:rPr>
        <w:t>金法》、《运作办法》等有关规定后，由基金管理人聘请具有从事证券业务资格的会计师事务</w:t>
      </w:r>
      <w:r>
        <w:rPr>
          <w:spacing w:val="-14"/>
        </w:rPr>
        <w:t>所进行验资，出具验资报告，出具的验资报告应由参加验资的 </w:t>
      </w:r>
      <w:r>
        <w:rPr>
          <w:rFonts w:ascii="Times New Roman" w:eastAsia="Times New Roman"/>
        </w:rPr>
        <w:t>2 </w:t>
      </w:r>
      <w:r>
        <w:rPr>
          <w:spacing w:val="-11"/>
        </w:rPr>
        <w:t>名以上</w:t>
      </w:r>
      <w:r>
        <w:rPr/>
        <w:t>（</w:t>
      </w:r>
      <w:r>
        <w:rPr>
          <w:spacing w:val="-23"/>
        </w:rPr>
        <w:t>含 </w:t>
      </w:r>
      <w:r>
        <w:rPr>
          <w:rFonts w:ascii="Times New Roman" w:eastAsia="Times New Roman"/>
        </w:rPr>
        <w:t>2 </w:t>
      </w:r>
      <w:r>
        <w:rPr/>
        <w:t>名</w:t>
      </w:r>
      <w:r>
        <w:rPr>
          <w:spacing w:val="-27"/>
        </w:rPr>
        <w:t>）</w:t>
      </w:r>
      <w:r>
        <w:rPr>
          <w:spacing w:val="-2"/>
        </w:rPr>
        <w:t>中国注册</w:t>
      </w:r>
      <w:r>
        <w:rPr>
          <w:spacing w:val="-12"/>
        </w:rPr>
        <w:t>会计师签字有效。验资完成，基金管理人应将募集的属于本基金财产的全部资金划入基金托</w:t>
      </w:r>
      <w:r>
        <w:rPr>
          <w:spacing w:val="-6"/>
        </w:rPr>
        <w:t>管人为基金开立的资产托管专户中，基金托管人在收到资金当日出具确认文件。</w:t>
      </w:r>
    </w:p>
    <w:p>
      <w:pPr>
        <w:pStyle w:val="BodyText"/>
        <w:spacing w:line="424" w:lineRule="auto"/>
        <w:ind w:left="300" w:right="871" w:firstLine="419"/>
      </w:pPr>
      <w:r>
        <w:rPr>
          <w:spacing w:val="-10"/>
        </w:rPr>
        <w:t>若基金募集期限届满，未能达到《基金合同》生效的条件，由基金管理人按规定办理退</w:t>
      </w:r>
      <w:r>
        <w:rPr>
          <w:spacing w:val="-6"/>
        </w:rPr>
        <w:t>款事宜。</w:t>
      </w:r>
    </w:p>
    <w:p>
      <w:pPr>
        <w:pStyle w:val="BodyText"/>
        <w:spacing w:line="267" w:lineRule="exact"/>
        <w:ind w:left="720"/>
      </w:pPr>
      <w:r>
        <w:rPr/>
        <w:t>（三）基金的银行账户的开立和管理</w:t>
      </w:r>
    </w:p>
    <w:p>
      <w:pPr>
        <w:pStyle w:val="BodyText"/>
        <w:spacing w:before="10"/>
        <w:rPr>
          <w:sz w:val="15"/>
        </w:rPr>
      </w:pPr>
    </w:p>
    <w:p>
      <w:pPr>
        <w:pStyle w:val="BodyText"/>
        <w:spacing w:line="424" w:lineRule="auto"/>
        <w:ind w:left="300" w:right="662" w:firstLine="419"/>
      </w:pPr>
      <w:r>
        <w:rPr>
          <w:spacing w:val="-7"/>
        </w:rPr>
        <w:t>基金托管人以基金托管人的名义在其营业机构开设资产托管专户，保管基金的银行存款。</w:t>
      </w:r>
      <w:r>
        <w:rPr>
          <w:spacing w:val="-9"/>
        </w:rPr>
        <w:t>该资产托管专户是指基金托管人在集中托管模式下，代表所托管的基金与中国证券登记结算 </w:t>
      </w:r>
      <w:r>
        <w:rPr>
          <w:spacing w:val="-10"/>
        </w:rPr>
        <w:t>有限责任公司进行一级结算的专用账户。该账户的开设和管理由基金托管人承担。本基金的</w:t>
      </w:r>
    </w:p>
    <w:p>
      <w:pPr>
        <w:spacing w:after="0" w:line="424" w:lineRule="auto"/>
        <w:sectPr>
          <w:pgSz w:w="11910" w:h="16840"/>
          <w:pgMar w:header="701" w:footer="683" w:top="1420" w:bottom="880" w:left="1500" w:right="920"/>
        </w:sectPr>
      </w:pPr>
    </w:p>
    <w:p>
      <w:pPr>
        <w:pStyle w:val="BodyText"/>
        <w:spacing w:before="115"/>
        <w:ind w:left="300"/>
      </w:pPr>
      <w:r>
        <w:rPr/>
        <w:t>一切货币收支活动，均需通过基金托管人的资产托管专户进行。</w:t>
      </w:r>
    </w:p>
    <w:p>
      <w:pPr>
        <w:pStyle w:val="BodyText"/>
        <w:rPr>
          <w:sz w:val="16"/>
        </w:rPr>
      </w:pPr>
    </w:p>
    <w:p>
      <w:pPr>
        <w:pStyle w:val="BodyText"/>
        <w:spacing w:line="424" w:lineRule="auto" w:before="1"/>
        <w:ind w:left="300" w:right="871" w:firstLine="419"/>
        <w:jc w:val="both"/>
      </w:pPr>
      <w:r>
        <w:rPr>
          <w:spacing w:val="-9"/>
        </w:rPr>
        <w:t>资产托管专户的开立和使用，限于满足开展本基金业务的需要。基金托管人和基金管理</w:t>
      </w:r>
      <w:r>
        <w:rPr>
          <w:spacing w:val="-10"/>
        </w:rPr>
        <w:t>人不得假借本基金的名义开立其他任何银行账户；亦不得使用基金的任何银行账户进行本基</w:t>
      </w:r>
      <w:r>
        <w:rPr>
          <w:spacing w:val="-5"/>
        </w:rPr>
        <w:t>金业务以外的活动。</w:t>
      </w:r>
    </w:p>
    <w:p>
      <w:pPr>
        <w:pStyle w:val="BodyText"/>
        <w:spacing w:line="266" w:lineRule="exact"/>
        <w:ind w:left="720"/>
      </w:pPr>
      <w:r>
        <w:rPr/>
        <w:t>资产托管专户的管理应符合《人民币银行结算账户管理办法》、《现金管理暂行条例》、</w:t>
      </w:r>
    </w:p>
    <w:p>
      <w:pPr>
        <w:pStyle w:val="BodyText"/>
        <w:spacing w:before="3"/>
        <w:rPr>
          <w:sz w:val="16"/>
        </w:rPr>
      </w:pPr>
    </w:p>
    <w:p>
      <w:pPr>
        <w:pStyle w:val="BodyText"/>
        <w:spacing w:line="424" w:lineRule="auto"/>
        <w:ind w:left="300" w:right="871"/>
      </w:pPr>
      <w:r>
        <w:rPr>
          <w:spacing w:val="-13"/>
        </w:rPr>
        <w:t>《人民币利率管理规定》</w:t>
      </w:r>
      <w:r>
        <w:rPr>
          <w:spacing w:val="-24"/>
        </w:rPr>
        <w:t>、《利率管理暂行规定》、《支付结算办法》以及银行业监督管理机构</w:t>
      </w:r>
      <w:r>
        <w:rPr>
          <w:spacing w:val="-10"/>
        </w:rPr>
        <w:t>的其他规定。</w:t>
      </w:r>
    </w:p>
    <w:p>
      <w:pPr>
        <w:pStyle w:val="BodyText"/>
        <w:spacing w:line="268" w:lineRule="exact"/>
        <w:ind w:left="720"/>
      </w:pPr>
      <w:r>
        <w:rPr/>
        <w:t>（四）基金证券账户与证券交易资金账户的开设和管理</w:t>
      </w:r>
    </w:p>
    <w:p>
      <w:pPr>
        <w:pStyle w:val="BodyText"/>
        <w:spacing w:before="1"/>
        <w:rPr>
          <w:sz w:val="16"/>
        </w:rPr>
      </w:pPr>
    </w:p>
    <w:p>
      <w:pPr>
        <w:pStyle w:val="BodyText"/>
        <w:spacing w:line="424" w:lineRule="auto"/>
        <w:ind w:left="300" w:right="874" w:firstLine="419"/>
      </w:pPr>
      <w:r>
        <w:rPr/>
        <w:t>基金托管人以基金托管人和本基金联名的方式在中国证券登记结算有限公司上海分公司</w:t>
      </w:r>
      <w:r>
        <w:rPr>
          <w:rFonts w:ascii="Times New Roman" w:eastAsia="Times New Roman"/>
        </w:rPr>
        <w:t>/</w:t>
      </w:r>
      <w:r>
        <w:rPr/>
        <w:t>深圳分公司开设证券账户。</w:t>
      </w:r>
    </w:p>
    <w:p>
      <w:pPr>
        <w:pStyle w:val="BodyText"/>
        <w:spacing w:line="424" w:lineRule="auto"/>
        <w:ind w:left="300" w:right="871" w:firstLine="419"/>
      </w:pPr>
      <w:r>
        <w:rPr/>
        <w:t>基金托管人以基金托管人的名义在中国证券登记结算有限责任公司上海分公司</w:t>
      </w:r>
      <w:r>
        <w:rPr>
          <w:rFonts w:ascii="Times New Roman" w:eastAsia="Times New Roman"/>
        </w:rPr>
        <w:t>/</w:t>
      </w:r>
      <w:r>
        <w:rPr/>
        <w:t>深圳分公司开立基金证券交易资金账户，用于证券清算。</w:t>
      </w:r>
    </w:p>
    <w:p>
      <w:pPr>
        <w:pStyle w:val="BodyText"/>
        <w:spacing w:line="424" w:lineRule="auto"/>
        <w:ind w:left="300" w:right="871" w:firstLine="419"/>
        <w:jc w:val="both"/>
      </w:pPr>
      <w:r>
        <w:rPr>
          <w:spacing w:val="-9"/>
        </w:rPr>
        <w:t>基金证券账户的开立和使用，限于满足开展本基金业务的需要。基金托管人和基金管理人不得出借和未经对方同意擅自转让基金的任何证券账户；亦不得使用基金的任何账户进行</w:t>
      </w:r>
      <w:r>
        <w:rPr>
          <w:spacing w:val="-5"/>
        </w:rPr>
        <w:t>本基金业务以外的活动。</w:t>
      </w:r>
    </w:p>
    <w:p>
      <w:pPr>
        <w:pStyle w:val="BodyText"/>
        <w:spacing w:line="269" w:lineRule="exact"/>
        <w:ind w:left="720"/>
      </w:pPr>
      <w:r>
        <w:rPr/>
        <w:t>（五）债券托管账户的开立和管理</w:t>
      </w:r>
    </w:p>
    <w:p>
      <w:pPr>
        <w:pStyle w:val="BodyText"/>
        <w:spacing w:before="10"/>
        <w:rPr>
          <w:sz w:val="15"/>
        </w:rPr>
      </w:pPr>
    </w:p>
    <w:p>
      <w:pPr>
        <w:pStyle w:val="BodyText"/>
        <w:spacing w:line="424" w:lineRule="auto"/>
        <w:ind w:left="300" w:right="871" w:firstLine="419"/>
        <w:jc w:val="both"/>
      </w:pPr>
      <w:r>
        <w:rPr>
          <w:rFonts w:ascii="Times New Roman" w:eastAsia="Times New Roman"/>
        </w:rPr>
        <w:t>1</w:t>
      </w:r>
      <w:r>
        <w:rPr>
          <w:spacing w:val="-17"/>
        </w:rPr>
        <w:t>、《基金合同》生效后，基金管理人负责以基金的名义申请并取得进入全国银行间同业</w:t>
      </w:r>
      <w:r>
        <w:rPr>
          <w:spacing w:val="-13"/>
        </w:rPr>
        <w:t>拆借市场的交易资格，并代表基金进行交易；基金托管人负责以基金的名义在中央国债登记</w:t>
      </w:r>
      <w:r>
        <w:rPr>
          <w:spacing w:val="-10"/>
        </w:rPr>
        <w:t>结算有限责任公司和银行间市场清算所股份有限公司开设银行间债券市场债券托管账户和</w:t>
      </w:r>
      <w:r>
        <w:rPr>
          <w:spacing w:val="-3"/>
        </w:rPr>
        <w:t>资金结算专户，并由基金托管人负责基金的债券的后台匹配及资金的清算。</w:t>
      </w:r>
    </w:p>
    <w:p>
      <w:pPr>
        <w:pStyle w:val="BodyText"/>
        <w:spacing w:line="427" w:lineRule="auto"/>
        <w:ind w:left="300" w:right="874" w:firstLine="419"/>
      </w:pPr>
      <w:r>
        <w:rPr>
          <w:rFonts w:ascii="Times New Roman" w:eastAsia="Times New Roman"/>
        </w:rPr>
        <w:t>2</w:t>
      </w:r>
      <w:r>
        <w:rPr/>
        <w:t>、基金管理人和基金托管人应一起负责为基金对外签订全国银行间国债市场回购主协议，正本由基金托管人保管，基金管理人保存副本。</w:t>
      </w:r>
    </w:p>
    <w:p>
      <w:pPr>
        <w:pStyle w:val="BodyText"/>
        <w:spacing w:line="265" w:lineRule="exact"/>
        <w:ind w:left="720"/>
      </w:pPr>
      <w:r>
        <w:rPr/>
        <w:t>（六）其他账户的开设和管理</w:t>
      </w:r>
    </w:p>
    <w:p>
      <w:pPr>
        <w:pStyle w:val="BodyText"/>
        <w:spacing w:before="10"/>
        <w:rPr>
          <w:sz w:val="15"/>
        </w:rPr>
      </w:pPr>
    </w:p>
    <w:p>
      <w:pPr>
        <w:pStyle w:val="BodyText"/>
        <w:spacing w:line="424" w:lineRule="auto"/>
        <w:ind w:left="300" w:right="871" w:firstLine="419"/>
        <w:jc w:val="both"/>
      </w:pPr>
      <w:r>
        <w:rPr>
          <w:spacing w:val="-8"/>
        </w:rPr>
        <w:t>在本托管协议订立日之后，本基金被允许从事符合法律法规规定和《基金合同》约定的</w:t>
      </w:r>
      <w:r>
        <w:rPr>
          <w:spacing w:val="-11"/>
        </w:rPr>
        <w:t>其他投资品种的投资业务时，如果涉及相关账户的开设和使用，由基金管理人协助托管人根据有关法律法规的规定和《基金合同》的约定，开立有关账户。该账户按有关规则使用并管理。</w:t>
      </w:r>
    </w:p>
    <w:p>
      <w:pPr>
        <w:pStyle w:val="BodyText"/>
        <w:spacing w:line="265" w:lineRule="exact"/>
        <w:ind w:left="720"/>
      </w:pPr>
      <w:r>
        <w:rPr/>
        <w:t>（七）基金财产投资的有关银行存款证实书等实物证券的保管</w:t>
      </w:r>
    </w:p>
    <w:p>
      <w:pPr>
        <w:pStyle w:val="BodyText"/>
        <w:spacing w:before="1"/>
        <w:rPr>
          <w:sz w:val="16"/>
        </w:rPr>
      </w:pPr>
    </w:p>
    <w:p>
      <w:pPr>
        <w:pStyle w:val="BodyText"/>
        <w:ind w:left="720"/>
      </w:pPr>
      <w:r>
        <w:rPr/>
        <w:t>基金财产投资的有关实物证券由基金托管人存放于基金托管人的保管库。属于基金托管</w:t>
      </w:r>
    </w:p>
    <w:p>
      <w:pPr>
        <w:spacing w:after="0"/>
        <w:sectPr>
          <w:pgSz w:w="11910" w:h="16840"/>
          <w:pgMar w:header="701" w:footer="683" w:top="1420" w:bottom="880" w:left="1500" w:right="920"/>
        </w:sectPr>
      </w:pPr>
    </w:p>
    <w:p>
      <w:pPr>
        <w:pStyle w:val="BodyText"/>
        <w:spacing w:line="424" w:lineRule="auto" w:before="115"/>
        <w:ind w:left="300" w:right="871"/>
      </w:pPr>
      <w:r>
        <w:rPr>
          <w:spacing w:val="-7"/>
        </w:rPr>
        <w:t>人实际有效控制下的实物证券在基金托管人保管期间的损坏、灭失，由此产生的责任应由基</w:t>
      </w:r>
      <w:r>
        <w:rPr>
          <w:spacing w:val="-5"/>
        </w:rPr>
        <w:t>金托管人承担。基金托管人对基金托管人以外机构实际有效控制的证券不承担保管责任。</w:t>
      </w:r>
    </w:p>
    <w:p>
      <w:pPr>
        <w:pStyle w:val="BodyText"/>
        <w:spacing w:line="267" w:lineRule="exact"/>
        <w:ind w:left="720"/>
      </w:pPr>
      <w:r>
        <w:rPr/>
        <w:t>（八）与基金财产有关的重大合同的保管</w:t>
      </w:r>
    </w:p>
    <w:p>
      <w:pPr>
        <w:pStyle w:val="BodyText"/>
        <w:rPr>
          <w:sz w:val="16"/>
        </w:rPr>
      </w:pPr>
    </w:p>
    <w:p>
      <w:pPr>
        <w:pStyle w:val="BodyText"/>
        <w:spacing w:line="424" w:lineRule="auto" w:before="1"/>
        <w:ind w:left="300" w:right="871" w:firstLine="419"/>
        <w:jc w:val="both"/>
      </w:pPr>
      <w:r>
        <w:rPr>
          <w:spacing w:val="-6"/>
        </w:rPr>
        <w:t>由基金管理人代表基金签署的与基金有关的重大合同的原件分别应由基金托管人、基金</w:t>
      </w:r>
      <w:r>
        <w:rPr>
          <w:spacing w:val="-12"/>
        </w:rPr>
        <w:t>管理人保管。除本协议另有规定外，基金管理人在代表基金签署与基金有关的重大合同时应保证基金一方持有两份以上的正本，以便基金管理人和基金托管人至少各持有一份正本的原</w:t>
      </w:r>
      <w:r>
        <w:rPr>
          <w:spacing w:val="-11"/>
        </w:rPr>
        <w:t>件。基金管理人在合同签署后 </w:t>
      </w:r>
      <w:r>
        <w:rPr>
          <w:rFonts w:ascii="Times New Roman" w:eastAsia="Times New Roman"/>
        </w:rPr>
        <w:t>5 </w:t>
      </w:r>
      <w:r>
        <w:rPr>
          <w:spacing w:val="-7"/>
        </w:rPr>
        <w:t>个工作日内通过专人送达、挂号邮寄等安全方式将合同原件</w:t>
      </w:r>
    </w:p>
    <w:p>
      <w:pPr>
        <w:pStyle w:val="BodyText"/>
        <w:spacing w:line="424" w:lineRule="auto"/>
        <w:ind w:left="300" w:right="873"/>
        <w:jc w:val="both"/>
      </w:pPr>
      <w:r>
        <w:rPr>
          <w:spacing w:val="-4"/>
        </w:rPr>
        <w:t>送达基金托管人处。合同原件应存放于基金管理人和基金托管人各自文件保管部门 </w:t>
      </w:r>
      <w:r>
        <w:rPr>
          <w:rFonts w:ascii="Times New Roman" w:eastAsia="Times New Roman"/>
        </w:rPr>
        <w:t>15 </w:t>
      </w:r>
      <w:r>
        <w:rPr>
          <w:spacing w:val="-3"/>
        </w:rPr>
        <w:t>年以</w:t>
      </w:r>
      <w:r>
        <w:rPr/>
        <w:t>上。</w:t>
      </w:r>
    </w:p>
    <w:p>
      <w:pPr>
        <w:pStyle w:val="BodyText"/>
        <w:spacing w:line="267" w:lineRule="exact"/>
        <w:ind w:left="300" w:right="455"/>
        <w:jc w:val="center"/>
      </w:pPr>
      <w:r>
        <w:rPr/>
        <w:t>八、基金资产净值计算和会计核算</w:t>
      </w:r>
    </w:p>
    <w:p>
      <w:pPr>
        <w:pStyle w:val="BodyText"/>
        <w:spacing w:before="12"/>
        <w:rPr>
          <w:sz w:val="15"/>
        </w:rPr>
      </w:pPr>
    </w:p>
    <w:p>
      <w:pPr>
        <w:pStyle w:val="BodyText"/>
        <w:ind w:left="720"/>
      </w:pPr>
      <w:r>
        <w:rPr/>
        <w:t>（一）基金资产净值的计算</w:t>
      </w:r>
    </w:p>
    <w:p>
      <w:pPr>
        <w:pStyle w:val="BodyText"/>
        <w:spacing w:before="1"/>
        <w:rPr>
          <w:sz w:val="16"/>
        </w:rPr>
      </w:pPr>
    </w:p>
    <w:p>
      <w:pPr>
        <w:pStyle w:val="BodyText"/>
        <w:spacing w:before="1"/>
        <w:ind w:left="720"/>
      </w:pPr>
      <w:r>
        <w:rPr>
          <w:rFonts w:ascii="Times New Roman" w:eastAsia="Times New Roman"/>
        </w:rPr>
        <w:t>1</w:t>
      </w:r>
      <w:r>
        <w:rPr/>
        <w:t>、基金资产净值的计算、复核的时间和程序</w:t>
      </w:r>
    </w:p>
    <w:p>
      <w:pPr>
        <w:pStyle w:val="BodyText"/>
        <w:spacing w:before="1"/>
        <w:rPr>
          <w:sz w:val="16"/>
        </w:rPr>
      </w:pPr>
    </w:p>
    <w:p>
      <w:pPr>
        <w:pStyle w:val="BodyText"/>
        <w:spacing w:line="427" w:lineRule="auto"/>
        <w:ind w:left="300" w:right="870" w:firstLine="419"/>
        <w:jc w:val="both"/>
      </w:pPr>
      <w:r>
        <w:rPr>
          <w:spacing w:val="-8"/>
        </w:rPr>
        <w:t>基金资产净值是指基金资产总值减去负债后的价值。基金份额净值是指计算日基金资产</w:t>
      </w:r>
      <w:r>
        <w:rPr>
          <w:spacing w:val="-9"/>
        </w:rPr>
        <w:t>净值除以该计算日基金总份额后的数值。基金份额净值的计算保留到小数点后 </w:t>
      </w:r>
      <w:r>
        <w:rPr>
          <w:rFonts w:ascii="Times New Roman" w:eastAsia="Times New Roman"/>
        </w:rPr>
        <w:t>4 </w:t>
      </w:r>
      <w:r>
        <w:rPr>
          <w:spacing w:val="-12"/>
        </w:rPr>
        <w:t>位，小数点</w:t>
      </w:r>
    </w:p>
    <w:p>
      <w:pPr>
        <w:pStyle w:val="BodyText"/>
        <w:spacing w:line="424" w:lineRule="auto"/>
        <w:ind w:left="300" w:right="871"/>
        <w:jc w:val="both"/>
      </w:pPr>
      <w:r>
        <w:rPr>
          <w:spacing w:val="-12"/>
        </w:rPr>
        <w:t>后第 </w:t>
      </w:r>
      <w:r>
        <w:rPr>
          <w:rFonts w:ascii="Times New Roman" w:eastAsia="Times New Roman"/>
        </w:rPr>
        <w:t>5 </w:t>
      </w:r>
      <w:r>
        <w:rPr>
          <w:spacing w:val="-11"/>
        </w:rPr>
        <w:t>位四舍五入，由此产生的误差计入基金财产。基金管理人可以设立大额赎回情形下的</w:t>
      </w:r>
      <w:r>
        <w:rPr>
          <w:spacing w:val="-12"/>
        </w:rPr>
        <w:t>净值精度应急调整机制。国家另有规定的，从其规定。基金管理人应每工作日对基金资产估</w:t>
      </w:r>
      <w:r>
        <w:rPr>
          <w:spacing w:val="-21"/>
        </w:rPr>
        <w:t>值。估值原则应符合《基金合同》、《证券投资基金会计核算业务指引》及其他法律、法规的</w:t>
      </w:r>
      <w:r>
        <w:rPr>
          <w:spacing w:val="-11"/>
        </w:rPr>
        <w:t>规定。用于基金信息披露的基金净值信息由基金管理人负责计算，基金托管人复核。基金管理人应于每个工作日交易结束后计算当日的基金份额资产净值并以加密传真方式发送给基</w:t>
      </w:r>
      <w:r>
        <w:rPr>
          <w:spacing w:val="-12"/>
        </w:rPr>
        <w:t>金托管人。基金托管人对净值计算结果复核后，签名、盖章并以加密传真方式传送给基金管</w:t>
      </w:r>
      <w:r>
        <w:rPr>
          <w:spacing w:val="-6"/>
        </w:rPr>
        <w:t>理人，由基金管理人对基金净值予以公布。</w:t>
      </w:r>
    </w:p>
    <w:p>
      <w:pPr>
        <w:pStyle w:val="BodyText"/>
        <w:spacing w:line="424" w:lineRule="auto"/>
        <w:ind w:left="300" w:right="768" w:firstLine="419"/>
      </w:pPr>
      <w:r>
        <w:rPr>
          <w:spacing w:val="-12"/>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w:t>
      </w:r>
      <w:r>
        <w:rPr>
          <w:spacing w:val="-6"/>
        </w:rPr>
        <w:t>对基金净值信息的计算结果对外予以公布法律法规以及监管部门有强制规定的，从其规定。</w:t>
      </w:r>
      <w:r>
        <w:rPr>
          <w:spacing w:val="-4"/>
        </w:rPr>
        <w:t>如有新增事项，按国家最新规定估值。</w:t>
      </w:r>
    </w:p>
    <w:p>
      <w:pPr>
        <w:pStyle w:val="BodyText"/>
        <w:spacing w:line="424" w:lineRule="auto"/>
        <w:ind w:left="300" w:right="871" w:firstLine="419"/>
        <w:jc w:val="both"/>
      </w:pPr>
      <w:r>
        <w:rPr>
          <w:spacing w:val="-7"/>
        </w:rPr>
        <w:t>基金资产净值计算和基金会计核算的义务由基金管理人承担。因此，就与本基金有关的</w:t>
      </w:r>
      <w:r>
        <w:rPr>
          <w:spacing w:val="-12"/>
        </w:rPr>
        <w:t>会计问题，本基金的会计责任方是基金管理人，如经相关各方在平等基础上充分讨论后，仍</w:t>
      </w:r>
      <w:r>
        <w:rPr>
          <w:spacing w:val="-6"/>
        </w:rPr>
        <w:t>无法达成一致的意见，按照基金管理人对基金净值信息的计算结果对外予以公布。</w:t>
      </w:r>
    </w:p>
    <w:p>
      <w:pPr>
        <w:spacing w:after="0" w:line="424" w:lineRule="auto"/>
        <w:jc w:val="both"/>
        <w:sectPr>
          <w:pgSz w:w="11910" w:h="16840"/>
          <w:pgMar w:header="701" w:footer="683" w:top="1420" w:bottom="880" w:left="1500" w:right="920"/>
        </w:sectPr>
      </w:pPr>
    </w:p>
    <w:p>
      <w:pPr>
        <w:pStyle w:val="BodyText"/>
        <w:spacing w:before="115"/>
        <w:ind w:left="300" w:right="455"/>
        <w:jc w:val="center"/>
      </w:pPr>
      <w:r>
        <w:rPr/>
        <w:t>十二、基金份额持有人名册的保管</w:t>
      </w:r>
    </w:p>
    <w:p>
      <w:pPr>
        <w:pStyle w:val="BodyText"/>
        <w:rPr>
          <w:sz w:val="16"/>
        </w:rPr>
      </w:pPr>
    </w:p>
    <w:p>
      <w:pPr>
        <w:pStyle w:val="BodyText"/>
        <w:spacing w:line="424" w:lineRule="auto" w:before="1"/>
        <w:ind w:left="300" w:right="871" w:firstLine="419"/>
        <w:jc w:val="both"/>
      </w:pPr>
      <w:r>
        <w:rPr>
          <w:spacing w:val="-6"/>
        </w:rPr>
        <w:t>基金管理人和基金托管人须分别妥善保管的基金份额持有人名册，包括《基金合同》生</w:t>
      </w:r>
      <w:r>
        <w:rPr>
          <w:spacing w:val="-16"/>
        </w:rPr>
        <w:t>效日、《基金合同》终止日、基金份额持有人大会权利登记日、每年 </w:t>
      </w:r>
      <w:r>
        <w:rPr>
          <w:rFonts w:ascii="Times New Roman" w:eastAsia="Times New Roman"/>
        </w:rPr>
        <w:t>6 </w:t>
      </w:r>
      <w:r>
        <w:rPr>
          <w:spacing w:val="-24"/>
        </w:rPr>
        <w:t>月 </w:t>
      </w:r>
      <w:r>
        <w:rPr>
          <w:rFonts w:ascii="Times New Roman" w:eastAsia="Times New Roman"/>
        </w:rPr>
        <w:t>30 </w:t>
      </w:r>
      <w:r>
        <w:rPr>
          <w:spacing w:val="-5"/>
        </w:rPr>
        <w:t>日、</w:t>
      </w:r>
      <w:r>
        <w:rPr>
          <w:rFonts w:ascii="Times New Roman" w:eastAsia="Times New Roman"/>
        </w:rPr>
        <w:t>12 </w:t>
      </w:r>
      <w:r>
        <w:rPr>
          <w:spacing w:val="-24"/>
        </w:rPr>
        <w:t>月 </w:t>
      </w:r>
      <w:r>
        <w:rPr>
          <w:rFonts w:ascii="Times New Roman" w:eastAsia="Times New Roman"/>
        </w:rPr>
        <w:t>31 </w:t>
      </w:r>
      <w:r>
        <w:rPr/>
        <w:t>日</w:t>
      </w:r>
      <w:r>
        <w:rPr>
          <w:spacing w:val="-12"/>
        </w:rPr>
        <w:t>的基金份额持有人名册。基金份额持有人名册的内容必须包括基金份额持有人的名称和持有</w:t>
      </w:r>
      <w:r>
        <w:rPr>
          <w:spacing w:val="-6"/>
        </w:rPr>
        <w:t>的基金份额。</w:t>
      </w:r>
    </w:p>
    <w:p>
      <w:pPr>
        <w:pStyle w:val="BodyText"/>
        <w:spacing w:line="424" w:lineRule="auto"/>
        <w:ind w:left="300" w:right="871" w:firstLine="419"/>
        <w:jc w:val="both"/>
      </w:pPr>
      <w:r>
        <w:rPr>
          <w:spacing w:val="-6"/>
        </w:rPr>
        <w:t>基金份额持有人名册由基金的基金登记结算机构根据基金管理人的指令编制和保管，基</w:t>
      </w:r>
      <w:r>
        <w:rPr>
          <w:spacing w:val="-8"/>
        </w:rPr>
        <w:t>金托管人应按照目前相关规则保管基金份额持有人名册。保管方式可以采用电子或文档的形</w:t>
      </w:r>
      <w:r>
        <w:rPr>
          <w:spacing w:val="-12"/>
        </w:rPr>
        <w:t>式。保管期限为 </w:t>
      </w:r>
      <w:r>
        <w:rPr>
          <w:rFonts w:ascii="Times New Roman" w:eastAsia="Times New Roman"/>
        </w:rPr>
        <w:t>15 </w:t>
      </w:r>
      <w:r>
        <w:rPr/>
        <w:t>年。</w:t>
      </w:r>
    </w:p>
    <w:p>
      <w:pPr>
        <w:pStyle w:val="BodyText"/>
        <w:spacing w:line="424" w:lineRule="auto"/>
        <w:ind w:left="300" w:right="871" w:firstLine="419"/>
        <w:jc w:val="both"/>
        <w:rPr>
          <w:rFonts w:ascii="Times New Roman" w:eastAsia="Times New Roman"/>
        </w:rPr>
      </w:pPr>
      <w:r>
        <w:rPr>
          <w:spacing w:val="-7"/>
        </w:rPr>
        <w:t>基金管理人应当及时向基金托管人提交下列日期的基金份额持有人名册：《基金合同》</w:t>
      </w:r>
      <w:r>
        <w:rPr>
          <w:spacing w:val="-14"/>
        </w:rPr>
        <w:t>生效日、《基金合同》终止日、基金份额持有人大会权利登记日、每年 </w:t>
      </w:r>
      <w:r>
        <w:rPr>
          <w:rFonts w:ascii="Times New Roman" w:eastAsia="Times New Roman"/>
        </w:rPr>
        <w:t>6</w:t>
      </w:r>
      <w:r>
        <w:rPr>
          <w:rFonts w:ascii="Times New Roman" w:eastAsia="Times New Roman"/>
          <w:spacing w:val="21"/>
        </w:rPr>
        <w:t> </w:t>
      </w:r>
      <w:r>
        <w:rPr>
          <w:spacing w:val="-17"/>
        </w:rPr>
        <w:t>月 </w:t>
      </w:r>
      <w:r>
        <w:rPr>
          <w:rFonts w:ascii="Times New Roman" w:eastAsia="Times New Roman"/>
        </w:rPr>
        <w:t>30</w:t>
      </w:r>
      <w:r>
        <w:rPr>
          <w:rFonts w:ascii="Times New Roman" w:eastAsia="Times New Roman"/>
          <w:spacing w:val="21"/>
        </w:rPr>
        <w:t> </w:t>
      </w:r>
      <w:r>
        <w:rPr>
          <w:spacing w:val="-8"/>
        </w:rPr>
        <w:t>日、每年 </w:t>
      </w:r>
      <w:r>
        <w:rPr>
          <w:rFonts w:ascii="Times New Roman" w:eastAsia="Times New Roman"/>
        </w:rPr>
        <w:t>12</w:t>
      </w:r>
    </w:p>
    <w:p>
      <w:pPr>
        <w:pStyle w:val="BodyText"/>
        <w:spacing w:line="267" w:lineRule="exact"/>
        <w:ind w:left="300"/>
        <w:jc w:val="both"/>
      </w:pPr>
      <w:r>
        <w:rPr>
          <w:spacing w:val="-13"/>
        </w:rPr>
        <w:t>月 </w:t>
      </w:r>
      <w:r>
        <w:rPr>
          <w:rFonts w:ascii="Times New Roman" w:eastAsia="Times New Roman"/>
        </w:rPr>
        <w:t>31</w:t>
      </w:r>
      <w:r>
        <w:rPr>
          <w:rFonts w:ascii="Times New Roman" w:eastAsia="Times New Roman"/>
          <w:spacing w:val="28"/>
        </w:rPr>
        <w:t> </w:t>
      </w:r>
      <w:r>
        <w:rPr>
          <w:spacing w:val="-3"/>
        </w:rPr>
        <w:t>日的基金份额持有人名册。基金份额持有人名册的内容必须包括基金份额持有人的名</w:t>
      </w:r>
    </w:p>
    <w:p>
      <w:pPr>
        <w:pStyle w:val="BodyText"/>
        <w:spacing w:before="9"/>
        <w:rPr>
          <w:sz w:val="15"/>
        </w:rPr>
      </w:pPr>
    </w:p>
    <w:p>
      <w:pPr>
        <w:pStyle w:val="BodyText"/>
        <w:spacing w:line="424" w:lineRule="auto"/>
        <w:ind w:left="300" w:right="871"/>
        <w:jc w:val="both"/>
      </w:pPr>
      <w:r>
        <w:rPr>
          <w:spacing w:val="-14"/>
        </w:rPr>
        <w:t>称和持有的基金份额。其中每年 </w:t>
      </w:r>
      <w:r>
        <w:rPr>
          <w:rFonts w:ascii="Times New Roman" w:eastAsia="Times New Roman"/>
        </w:rPr>
        <w:t>12 </w:t>
      </w:r>
      <w:r>
        <w:rPr>
          <w:spacing w:val="-23"/>
        </w:rPr>
        <w:t>月 </w:t>
      </w:r>
      <w:r>
        <w:rPr>
          <w:rFonts w:ascii="Times New Roman" w:eastAsia="Times New Roman"/>
        </w:rPr>
        <w:t>31 </w:t>
      </w:r>
      <w:r>
        <w:rPr>
          <w:spacing w:val="-3"/>
        </w:rPr>
        <w:t>日的基金份额持有人名册应于下月前十个工作日内</w:t>
      </w:r>
      <w:r>
        <w:rPr>
          <w:spacing w:val="-21"/>
        </w:rPr>
        <w:t>提交；《基金合同》生效日、《基金合同》终止日等涉及到基金重要事项日期的基金份额持有</w:t>
      </w:r>
      <w:r>
        <w:rPr>
          <w:spacing w:val="-8"/>
        </w:rPr>
        <w:t>人名册应于发生日后十个工作日内提交。</w:t>
      </w:r>
    </w:p>
    <w:p>
      <w:pPr>
        <w:pStyle w:val="BodyText"/>
        <w:spacing w:line="424" w:lineRule="auto"/>
        <w:ind w:left="300" w:right="871" w:firstLine="419"/>
        <w:jc w:val="both"/>
      </w:pPr>
      <w:r>
        <w:rPr>
          <w:spacing w:val="-7"/>
        </w:rPr>
        <w:t>基金托管人以电子版形式妥善保管基金份额持有人名册，并定期刻成光盘备份，保存期</w:t>
      </w:r>
      <w:r>
        <w:rPr>
          <w:spacing w:val="-14"/>
        </w:rPr>
        <w:t>限为 </w:t>
      </w:r>
      <w:r>
        <w:rPr>
          <w:rFonts w:ascii="Times New Roman" w:eastAsia="Times New Roman"/>
        </w:rPr>
        <w:t>15 </w:t>
      </w:r>
      <w:r>
        <w:rPr>
          <w:spacing w:val="-3"/>
        </w:rPr>
        <w:t>年。基金托管人不得将所保管的基金份额持有人名册用于基金托管业务以外的其他用途，并应遵守保密义务。</w:t>
      </w:r>
    </w:p>
    <w:p>
      <w:pPr>
        <w:pStyle w:val="BodyText"/>
        <w:spacing w:line="424" w:lineRule="auto"/>
        <w:ind w:left="300" w:right="871" w:firstLine="419"/>
      </w:pPr>
      <w:r>
        <w:rPr>
          <w:spacing w:val="-6"/>
        </w:rPr>
        <w:t>若基金管理人或基金托管人由于自身原因无法妥善保管基金份额持有人名册，应按有关</w:t>
      </w:r>
      <w:r>
        <w:rPr>
          <w:spacing w:val="-4"/>
        </w:rPr>
        <w:t>法规规定各自承担相应的责任。</w:t>
      </w:r>
    </w:p>
    <w:p>
      <w:pPr>
        <w:pStyle w:val="BodyText"/>
        <w:spacing w:line="267" w:lineRule="exact"/>
        <w:ind w:left="3718"/>
      </w:pPr>
      <w:r>
        <w:rPr/>
        <w:t>十八、争议解决方式</w:t>
      </w:r>
    </w:p>
    <w:p>
      <w:pPr>
        <w:pStyle w:val="BodyText"/>
        <w:spacing w:before="11"/>
        <w:rPr>
          <w:sz w:val="15"/>
        </w:rPr>
      </w:pPr>
    </w:p>
    <w:p>
      <w:pPr>
        <w:pStyle w:val="BodyText"/>
        <w:spacing w:line="424" w:lineRule="auto"/>
        <w:ind w:left="300" w:right="770" w:firstLine="419"/>
        <w:jc w:val="both"/>
      </w:pPr>
      <w:r>
        <w:rPr>
          <w:spacing w:val="-10"/>
        </w:rPr>
        <w:t>相关各方当事人同意，因本协议而产生的或与本协议有关的一切争议，除经友好协商可</w:t>
      </w:r>
      <w:r>
        <w:rPr>
          <w:spacing w:val="-11"/>
        </w:rPr>
        <w:t>以解决的，应提交中国国际经济贸易仲裁委员会根据该会当时有效的仲裁规则进行仲裁，仲</w:t>
      </w:r>
      <w:r>
        <w:rPr>
          <w:spacing w:val="-6"/>
        </w:rPr>
        <w:t>裁的地点在北京，仲裁裁决是终局性的并对相关各方均有约束力，仲裁费用由败诉方承担。</w:t>
      </w:r>
    </w:p>
    <w:p>
      <w:pPr>
        <w:pStyle w:val="BodyText"/>
        <w:spacing w:line="424" w:lineRule="auto"/>
        <w:ind w:left="300" w:right="871" w:firstLine="419"/>
      </w:pPr>
      <w:r>
        <w:rPr>
          <w:spacing w:val="-18"/>
        </w:rPr>
        <w:t>争议处理期间，相关各方当事人应恪守基金管理人和基金托管人职责，继续忠实、勤勉、</w:t>
      </w:r>
      <w:r>
        <w:rPr>
          <w:spacing w:val="-7"/>
        </w:rPr>
        <w:t>尽责地履行《基金合同》和托管协议规定的义务，维护基金份额持有人的合法权益。</w:t>
      </w:r>
    </w:p>
    <w:p>
      <w:pPr>
        <w:pStyle w:val="BodyText"/>
        <w:spacing w:line="267" w:lineRule="exact"/>
        <w:ind w:left="720"/>
      </w:pPr>
      <w:r>
        <w:rPr/>
        <w:t>本协议受中国法律管辖。</w:t>
      </w:r>
    </w:p>
    <w:p>
      <w:pPr>
        <w:pStyle w:val="BodyText"/>
        <w:spacing w:before="1"/>
        <w:rPr>
          <w:sz w:val="16"/>
        </w:rPr>
      </w:pPr>
    </w:p>
    <w:p>
      <w:pPr>
        <w:pStyle w:val="BodyText"/>
        <w:ind w:left="300" w:right="455"/>
        <w:jc w:val="center"/>
      </w:pPr>
      <w:r>
        <w:rPr/>
        <w:t>十六、基金托管协议的变更、终止与基金财产的清算</w:t>
      </w:r>
    </w:p>
    <w:p>
      <w:pPr>
        <w:pStyle w:val="BodyText"/>
        <w:spacing w:before="1"/>
        <w:rPr>
          <w:sz w:val="16"/>
        </w:rPr>
      </w:pPr>
    </w:p>
    <w:p>
      <w:pPr>
        <w:pStyle w:val="BodyText"/>
        <w:ind w:left="720"/>
      </w:pPr>
      <w:r>
        <w:rPr/>
        <w:t>（一）托管协议的变更与终止</w:t>
      </w:r>
    </w:p>
    <w:p>
      <w:pPr>
        <w:pStyle w:val="BodyText"/>
        <w:spacing w:before="1"/>
        <w:rPr>
          <w:sz w:val="16"/>
        </w:rPr>
      </w:pPr>
    </w:p>
    <w:p>
      <w:pPr>
        <w:pStyle w:val="BodyText"/>
        <w:ind w:left="720"/>
      </w:pPr>
      <w:r>
        <w:rPr>
          <w:rFonts w:ascii="Times New Roman" w:eastAsia="Times New Roman"/>
        </w:rPr>
        <w:t>1</w:t>
      </w:r>
      <w:r>
        <w:rPr/>
        <w:t>、托管协议的变更程序</w:t>
      </w:r>
    </w:p>
    <w:p>
      <w:pPr>
        <w:spacing w:after="0"/>
        <w:sectPr>
          <w:pgSz w:w="11910" w:h="16840"/>
          <w:pgMar w:header="701" w:footer="683" w:top="1420" w:bottom="880" w:left="1500" w:right="920"/>
        </w:sectPr>
      </w:pPr>
    </w:p>
    <w:p>
      <w:pPr>
        <w:pStyle w:val="BodyText"/>
        <w:spacing w:line="424" w:lineRule="auto" w:before="115"/>
        <w:ind w:left="300" w:right="770" w:firstLine="419"/>
      </w:pPr>
      <w:r>
        <w:rPr>
          <w:spacing w:val="-8"/>
        </w:rPr>
        <w:t>本协议双方当事人经协商一致，可以对协议的内容进行变更。变更后的托管协议，其内</w:t>
      </w:r>
      <w:r>
        <w:rPr>
          <w:spacing w:val="-5"/>
        </w:rPr>
        <w:t>容不得与《基金合同》的规定有任何冲突。基金托管协议的变更报中国证监会备案后生效。</w:t>
      </w:r>
    </w:p>
    <w:p>
      <w:pPr>
        <w:pStyle w:val="BodyText"/>
        <w:spacing w:line="267" w:lineRule="exact"/>
        <w:ind w:left="720"/>
      </w:pPr>
      <w:r>
        <w:rPr>
          <w:rFonts w:ascii="Times New Roman" w:eastAsia="Times New Roman"/>
        </w:rPr>
        <w:t>2</w:t>
      </w:r>
      <w:r>
        <w:rPr/>
        <w:t>、基金托管协议终止的情形</w:t>
      </w:r>
    </w:p>
    <w:p>
      <w:pPr>
        <w:pStyle w:val="BodyText"/>
        <w:rPr>
          <w:sz w:val="16"/>
        </w:rPr>
      </w:pPr>
    </w:p>
    <w:p>
      <w:pPr>
        <w:pStyle w:val="BodyText"/>
        <w:spacing w:before="1"/>
        <w:ind w:left="720"/>
      </w:pPr>
      <w:r>
        <w:rPr/>
        <w:t>发生以下情况，本托管协议终止：</w:t>
      </w:r>
    </w:p>
    <w:p>
      <w:pPr>
        <w:pStyle w:val="BodyText"/>
        <w:spacing w:before="1"/>
        <w:rPr>
          <w:sz w:val="16"/>
        </w:rPr>
      </w:pPr>
    </w:p>
    <w:p>
      <w:pPr>
        <w:pStyle w:val="ListParagraph"/>
        <w:numPr>
          <w:ilvl w:val="0"/>
          <w:numId w:val="69"/>
        </w:numPr>
        <w:tabs>
          <w:tab w:pos="1250" w:val="left" w:leader="none"/>
        </w:tabs>
        <w:spacing w:line="240" w:lineRule="auto" w:before="0" w:after="0"/>
        <w:ind w:left="1249" w:right="0" w:hanging="530"/>
        <w:jc w:val="left"/>
        <w:rPr>
          <w:sz w:val="21"/>
        </w:rPr>
      </w:pPr>
      <w:r>
        <w:rPr>
          <w:spacing w:val="-3"/>
          <w:sz w:val="21"/>
        </w:rPr>
        <w:t>《基金合同》终止；</w:t>
      </w:r>
    </w:p>
    <w:p>
      <w:pPr>
        <w:pStyle w:val="BodyText"/>
        <w:spacing w:before="3"/>
        <w:rPr>
          <w:sz w:val="16"/>
        </w:rPr>
      </w:pPr>
    </w:p>
    <w:p>
      <w:pPr>
        <w:pStyle w:val="ListParagraph"/>
        <w:numPr>
          <w:ilvl w:val="0"/>
          <w:numId w:val="69"/>
        </w:numPr>
        <w:tabs>
          <w:tab w:pos="1250" w:val="left" w:leader="none"/>
        </w:tabs>
        <w:spacing w:line="240" w:lineRule="auto" w:before="0" w:after="0"/>
        <w:ind w:left="1249" w:right="0" w:hanging="530"/>
        <w:jc w:val="left"/>
        <w:rPr>
          <w:sz w:val="21"/>
        </w:rPr>
      </w:pPr>
      <w:r>
        <w:rPr>
          <w:spacing w:val="-3"/>
          <w:sz w:val="21"/>
        </w:rPr>
        <w:t>基金托管人解散、依法被撤销、破产或有其他基金托管人接管基金资产；</w:t>
      </w:r>
    </w:p>
    <w:p>
      <w:pPr>
        <w:pStyle w:val="BodyText"/>
        <w:spacing w:before="1"/>
        <w:rPr>
          <w:sz w:val="16"/>
        </w:rPr>
      </w:pPr>
    </w:p>
    <w:p>
      <w:pPr>
        <w:pStyle w:val="ListParagraph"/>
        <w:numPr>
          <w:ilvl w:val="0"/>
          <w:numId w:val="69"/>
        </w:numPr>
        <w:tabs>
          <w:tab w:pos="1250" w:val="left" w:leader="none"/>
        </w:tabs>
        <w:spacing w:line="240" w:lineRule="auto" w:before="0" w:after="0"/>
        <w:ind w:left="1249" w:right="0" w:hanging="530"/>
        <w:jc w:val="left"/>
        <w:rPr>
          <w:sz w:val="21"/>
        </w:rPr>
      </w:pPr>
      <w:r>
        <w:rPr>
          <w:spacing w:val="-3"/>
          <w:sz w:val="21"/>
        </w:rPr>
        <w:t>基金管理人解散、依法被撤销、破产或有其他基金管理人接管基金管理权；</w:t>
      </w:r>
    </w:p>
    <w:p>
      <w:pPr>
        <w:pStyle w:val="BodyText"/>
        <w:spacing w:before="2"/>
        <w:rPr>
          <w:sz w:val="16"/>
        </w:rPr>
      </w:pPr>
    </w:p>
    <w:p>
      <w:pPr>
        <w:pStyle w:val="ListParagraph"/>
        <w:numPr>
          <w:ilvl w:val="0"/>
          <w:numId w:val="69"/>
        </w:numPr>
        <w:tabs>
          <w:tab w:pos="1250" w:val="left" w:leader="none"/>
        </w:tabs>
        <w:spacing w:line="240" w:lineRule="auto" w:before="0" w:after="0"/>
        <w:ind w:left="1249" w:right="0" w:hanging="530"/>
        <w:jc w:val="left"/>
        <w:rPr>
          <w:sz w:val="21"/>
        </w:rPr>
      </w:pPr>
      <w:r>
        <w:rPr>
          <w:spacing w:val="-3"/>
          <w:sz w:val="21"/>
        </w:rPr>
        <w:t>发生法律法规或《基金合同》规定的终止事项”。</w:t>
      </w:r>
    </w:p>
    <w:p>
      <w:pPr>
        <w:pStyle w:val="BodyText"/>
        <w:rPr>
          <w:sz w:val="22"/>
        </w:rPr>
      </w:pPr>
    </w:p>
    <w:p>
      <w:pPr>
        <w:pStyle w:val="BodyText"/>
        <w:spacing w:before="12"/>
        <w:rPr>
          <w:sz w:val="18"/>
        </w:rPr>
      </w:pPr>
    </w:p>
    <w:p>
      <w:pPr>
        <w:pStyle w:val="Heading1"/>
        <w:ind w:left="2645" w:right="0"/>
        <w:jc w:val="left"/>
      </w:pPr>
      <w:bookmarkStart w:name="_bookmark21" w:id="22"/>
      <w:bookmarkEnd w:id="22"/>
      <w:r>
        <w:rPr>
          <w:b w:val="0"/>
        </w:rPr>
      </w:r>
      <w:r>
        <w:rPr/>
        <w:t>二十二、对基金份额持有人的服务</w:t>
      </w:r>
    </w:p>
    <w:p>
      <w:pPr>
        <w:pStyle w:val="BodyText"/>
        <w:rPr>
          <w:b/>
          <w:sz w:val="24"/>
        </w:rPr>
      </w:pPr>
    </w:p>
    <w:p>
      <w:pPr>
        <w:pStyle w:val="BodyText"/>
        <w:spacing w:before="212"/>
        <w:ind w:left="720"/>
      </w:pPr>
      <w:r>
        <w:rPr>
          <w:spacing w:val="-3"/>
        </w:rPr>
        <w:t>对本基金份额持有人的服务主要由基金管理人和代销机构提供。</w:t>
      </w:r>
    </w:p>
    <w:p>
      <w:pPr>
        <w:pStyle w:val="BodyText"/>
        <w:spacing w:before="1"/>
        <w:rPr>
          <w:sz w:val="16"/>
        </w:rPr>
      </w:pPr>
    </w:p>
    <w:p>
      <w:pPr>
        <w:pStyle w:val="BodyText"/>
        <w:spacing w:line="427" w:lineRule="auto"/>
        <w:ind w:left="300" w:right="87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4" w:lineRule="exact"/>
        <w:ind w:left="720"/>
      </w:pPr>
      <w:r>
        <w:rPr/>
        <w:t>（一）资料发送</w:t>
      </w:r>
    </w:p>
    <w:p>
      <w:pPr>
        <w:pStyle w:val="BodyText"/>
        <w:spacing w:before="1"/>
        <w:rPr>
          <w:sz w:val="16"/>
        </w:rPr>
      </w:pPr>
    </w:p>
    <w:p>
      <w:pPr>
        <w:pStyle w:val="BodyText"/>
        <w:ind w:left="720"/>
      </w:pPr>
      <w:r>
        <w:rPr>
          <w:rFonts w:ascii="Times New Roman" w:eastAsia="Times New Roman"/>
        </w:rPr>
        <w:t>1</w:t>
      </w:r>
      <w:r>
        <w:rPr/>
        <w:t>、基金交易对账单</w:t>
      </w:r>
    </w:p>
    <w:p>
      <w:pPr>
        <w:pStyle w:val="BodyText"/>
        <w:spacing w:before="1"/>
        <w:rPr>
          <w:sz w:val="16"/>
        </w:rPr>
      </w:pPr>
    </w:p>
    <w:p>
      <w:pPr>
        <w:pStyle w:val="BodyText"/>
        <w:spacing w:line="424" w:lineRule="auto"/>
        <w:ind w:left="300" w:right="76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6" w:lineRule="exact"/>
        <w:ind w:left="720"/>
      </w:pPr>
      <w:r>
        <w:rPr>
          <w:rFonts w:ascii="Times New Roman" w:eastAsia="Times New Roman"/>
        </w:rPr>
        <w:t>2</w:t>
      </w:r>
      <w:r>
        <w:rPr/>
        <w:t>、其他相关的信息资料</w:t>
      </w:r>
    </w:p>
    <w:p>
      <w:pPr>
        <w:pStyle w:val="BodyText"/>
        <w:spacing w:before="1"/>
        <w:rPr>
          <w:sz w:val="16"/>
        </w:rPr>
      </w:pPr>
    </w:p>
    <w:p>
      <w:pPr>
        <w:pStyle w:val="BodyText"/>
        <w:spacing w:line="424" w:lineRule="auto"/>
        <w:ind w:left="300" w:right="768" w:firstLine="419"/>
      </w:pPr>
      <w:r>
        <w:rPr/>
        <w:t>指随基金交易对账单不定期发送的基金资讯材料，如基金新产品或新服务的相关材料、客户服务问答等。</w:t>
      </w:r>
    </w:p>
    <w:p>
      <w:pPr>
        <w:pStyle w:val="BodyText"/>
        <w:spacing w:before="1"/>
        <w:ind w:left="720"/>
      </w:pPr>
      <w:r>
        <w:rPr/>
        <w:t>（二）电子交易</w:t>
      </w:r>
    </w:p>
    <w:p>
      <w:pPr>
        <w:pStyle w:val="BodyText"/>
        <w:spacing w:before="1"/>
        <w:rPr>
          <w:sz w:val="16"/>
        </w:rPr>
      </w:pPr>
    </w:p>
    <w:p>
      <w:pPr>
        <w:pStyle w:val="BodyText"/>
        <w:spacing w:line="424" w:lineRule="auto"/>
        <w:ind w:left="300" w:right="76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9">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p>
    <w:p>
      <w:pPr>
        <w:spacing w:after="0" w:line="424" w:lineRule="auto"/>
        <w:sectPr>
          <w:pgSz w:w="11910" w:h="16840"/>
          <w:pgMar w:header="701" w:footer="683" w:top="1420" w:bottom="880" w:left="1500" w:right="920"/>
        </w:sectPr>
      </w:pPr>
    </w:p>
    <w:p>
      <w:pPr>
        <w:pStyle w:val="BodyText"/>
        <w:spacing w:before="115"/>
        <w:ind w:left="300"/>
      </w:pPr>
      <w:r>
        <w:rPr/>
        <w:t>则请登录本公司网站查询。</w:t>
      </w:r>
    </w:p>
    <w:p>
      <w:pPr>
        <w:pStyle w:val="BodyText"/>
        <w:rPr>
          <w:sz w:val="16"/>
        </w:rPr>
      </w:pPr>
    </w:p>
    <w:p>
      <w:pPr>
        <w:pStyle w:val="BodyText"/>
        <w:spacing w:before="1"/>
        <w:ind w:left="720"/>
      </w:pPr>
      <w:r>
        <w:rPr/>
        <w:t>（三）电子邮件及短信服务</w:t>
      </w:r>
    </w:p>
    <w:p>
      <w:pPr>
        <w:pStyle w:val="BodyText"/>
        <w:spacing w:before="1"/>
        <w:rPr>
          <w:sz w:val="16"/>
        </w:rPr>
      </w:pPr>
    </w:p>
    <w:p>
      <w:pPr>
        <w:pStyle w:val="BodyText"/>
        <w:spacing w:line="424" w:lineRule="auto"/>
        <w:ind w:left="300" w:right="87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7" w:lineRule="exact"/>
        <w:ind w:left="720"/>
      </w:pPr>
      <w:r>
        <w:rPr/>
        <w:t>（四）呼叫中心</w:t>
      </w:r>
    </w:p>
    <w:p>
      <w:pPr>
        <w:pStyle w:val="BodyText"/>
        <w:spacing w:before="3"/>
        <w:rPr>
          <w:sz w:val="16"/>
        </w:rPr>
      </w:pPr>
    </w:p>
    <w:p>
      <w:pPr>
        <w:pStyle w:val="BodyText"/>
        <w:ind w:left="720"/>
      </w:pPr>
      <w:r>
        <w:rPr>
          <w:rFonts w:ascii="Times New Roman" w:eastAsia="Times New Roman"/>
        </w:rPr>
        <w:t>1</w:t>
      </w:r>
      <w:r>
        <w:rPr/>
        <w:t>、自动语音服务</w:t>
      </w:r>
    </w:p>
    <w:p>
      <w:pPr>
        <w:pStyle w:val="BodyText"/>
        <w:spacing w:before="1"/>
        <w:rPr>
          <w:sz w:val="16"/>
        </w:rPr>
      </w:pPr>
    </w:p>
    <w:p>
      <w:pPr>
        <w:pStyle w:val="BodyText"/>
        <w:spacing w:line="424" w:lineRule="auto"/>
        <w:ind w:left="300" w:right="87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8" w:lineRule="exact"/>
        <w:ind w:left="720"/>
      </w:pPr>
      <w:r>
        <w:rPr>
          <w:rFonts w:ascii="Times New Roman" w:eastAsia="Times New Roman"/>
        </w:rPr>
        <w:t>2</w:t>
      </w:r>
      <w:r>
        <w:rPr/>
        <w:t>、人工电话服务</w:t>
      </w:r>
    </w:p>
    <w:p>
      <w:pPr>
        <w:pStyle w:val="BodyText"/>
        <w:spacing w:before="1"/>
        <w:rPr>
          <w:sz w:val="16"/>
        </w:rPr>
      </w:pPr>
    </w:p>
    <w:p>
      <w:pPr>
        <w:pStyle w:val="BodyText"/>
        <w:spacing w:line="424" w:lineRule="auto" w:before="1"/>
        <w:ind w:left="300" w:right="87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24" w:lineRule="auto"/>
        <w:ind w:left="720" w:right="606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720"/>
      </w:pPr>
      <w:r>
        <w:rPr/>
        <w:t>（五）在线服务</w:t>
      </w:r>
    </w:p>
    <w:p>
      <w:pPr>
        <w:pStyle w:val="BodyText"/>
        <w:spacing w:before="12"/>
        <w:rPr>
          <w:sz w:val="15"/>
        </w:rPr>
      </w:pPr>
    </w:p>
    <w:p>
      <w:pPr>
        <w:pStyle w:val="BodyText"/>
        <w:ind w:left="720"/>
      </w:pPr>
      <w:r>
        <w:rPr/>
        <w:t>投资者可通过本公司网站、</w:t>
      </w:r>
      <w:r>
        <w:rPr>
          <w:rFonts w:ascii="Times New Roman" w:eastAsia="Times New Roman"/>
        </w:rPr>
        <w:t>APP</w:t>
      </w:r>
      <w:r>
        <w:rPr/>
        <w:t>、微信公众号、微官网等渠道获得在线服务。</w:t>
      </w:r>
    </w:p>
    <w:p>
      <w:pPr>
        <w:pStyle w:val="BodyText"/>
        <w:spacing w:before="1"/>
        <w:rPr>
          <w:sz w:val="16"/>
        </w:rPr>
      </w:pPr>
    </w:p>
    <w:p>
      <w:pPr>
        <w:pStyle w:val="BodyText"/>
        <w:ind w:left="720"/>
      </w:pPr>
      <w:r>
        <w:rPr>
          <w:rFonts w:ascii="Times New Roman" w:eastAsia="Times New Roman"/>
        </w:rPr>
        <w:t>1</w:t>
      </w:r>
      <w:r>
        <w:rPr/>
        <w:t>、查询服务</w:t>
      </w:r>
    </w:p>
    <w:p>
      <w:pPr>
        <w:pStyle w:val="BodyText"/>
        <w:spacing w:before="1"/>
        <w:rPr>
          <w:sz w:val="16"/>
        </w:rPr>
      </w:pPr>
    </w:p>
    <w:p>
      <w:pPr>
        <w:pStyle w:val="BodyText"/>
        <w:ind w:left="720"/>
      </w:pPr>
      <w:r>
        <w:rPr>
          <w:spacing w:val="-9"/>
          <w:w w:val="100"/>
        </w:rPr>
        <w:t>投资者可登录本公司网站“基金账户查询”，查询基金账户情况、更改个人信息。</w:t>
      </w:r>
    </w:p>
    <w:p>
      <w:pPr>
        <w:pStyle w:val="BodyText"/>
        <w:spacing w:before="1"/>
        <w:rPr>
          <w:sz w:val="16"/>
        </w:rPr>
      </w:pPr>
    </w:p>
    <w:p>
      <w:pPr>
        <w:pStyle w:val="BodyText"/>
        <w:spacing w:before="1"/>
        <w:ind w:left="720"/>
      </w:pPr>
      <w:r>
        <w:rPr>
          <w:rFonts w:ascii="Times New Roman" w:eastAsia="Times New Roman"/>
        </w:rPr>
        <w:t>2</w:t>
      </w:r>
      <w:r>
        <w:rPr/>
        <w:t>、自助服务</w:t>
      </w:r>
    </w:p>
    <w:p>
      <w:pPr>
        <w:pStyle w:val="BodyText"/>
        <w:spacing w:before="1"/>
        <w:rPr>
          <w:sz w:val="16"/>
        </w:rPr>
      </w:pPr>
    </w:p>
    <w:p>
      <w:pPr>
        <w:pStyle w:val="BodyText"/>
        <w:spacing w:line="424" w:lineRule="auto"/>
        <w:ind w:left="300" w:right="87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7" w:lineRule="exact"/>
        <w:ind w:left="720"/>
      </w:pPr>
      <w:r>
        <w:rPr>
          <w:rFonts w:ascii="Times New Roman" w:eastAsia="Times New Roman"/>
        </w:rPr>
        <w:t>3</w:t>
      </w:r>
      <w:r>
        <w:rPr/>
        <w:t>、人工服务</w:t>
      </w:r>
    </w:p>
    <w:p>
      <w:pPr>
        <w:pStyle w:val="BodyText"/>
        <w:spacing w:before="4"/>
        <w:rPr>
          <w:sz w:val="16"/>
        </w:rPr>
      </w:pPr>
    </w:p>
    <w:p>
      <w:pPr>
        <w:pStyle w:val="BodyText"/>
        <w:spacing w:line="424" w:lineRule="auto"/>
        <w:ind w:left="300" w:right="87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7" w:lineRule="exact"/>
        <w:ind w:left="720"/>
      </w:pPr>
      <w:r>
        <w:rPr>
          <w:rFonts w:ascii="Times New Roman" w:eastAsia="Times New Roman"/>
        </w:rPr>
        <w:t>4</w:t>
      </w:r>
      <w:r>
        <w:rPr/>
        <w:t>、资讯服务</w:t>
      </w:r>
    </w:p>
    <w:p>
      <w:pPr>
        <w:pStyle w:val="BodyText"/>
        <w:spacing w:before="1"/>
        <w:rPr>
          <w:sz w:val="16"/>
        </w:rPr>
      </w:pPr>
    </w:p>
    <w:p>
      <w:pPr>
        <w:pStyle w:val="BodyText"/>
        <w:spacing w:line="424" w:lineRule="auto"/>
        <w:ind w:left="300" w:right="87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7" w:lineRule="exact"/>
        <w:ind w:left="720"/>
        <w:rPr>
          <w:rFonts w:ascii="Times New Roman" w:eastAsia="Times New Roman"/>
        </w:rPr>
      </w:pPr>
      <w:r>
        <w:rPr/>
        <w:t>公司网址：</w:t>
      </w:r>
      <w:hyperlink r:id="rId232">
        <w:r>
          <w:rPr>
            <w:rFonts w:ascii="Times New Roman" w:eastAsia="Times New Roman"/>
          </w:rPr>
          <w:t>www.ChinaAMC.com</w:t>
        </w:r>
      </w:hyperlink>
    </w:p>
    <w:p>
      <w:pPr>
        <w:pStyle w:val="BodyText"/>
        <w:spacing w:before="10"/>
        <w:rPr>
          <w:rFonts w:ascii="Times New Roman"/>
          <w:sz w:val="17"/>
        </w:rPr>
      </w:pPr>
    </w:p>
    <w:p>
      <w:pPr>
        <w:pStyle w:val="BodyText"/>
        <w:spacing w:before="1"/>
        <w:ind w:left="720"/>
        <w:rPr>
          <w:rFonts w:ascii="Times New Roman" w:eastAsia="Times New Roman"/>
        </w:rPr>
      </w:pPr>
      <w:r>
        <w:rPr/>
        <w:t>电子信箱：</w:t>
      </w:r>
      <w:hyperlink r:id="rId233">
        <w:r>
          <w:rPr>
            <w:rFonts w:ascii="Times New Roman" w:eastAsia="Times New Roman"/>
          </w:rPr>
          <w:t>service@ChinaAMC.com</w:t>
        </w:r>
      </w:hyperlink>
    </w:p>
    <w:p>
      <w:pPr>
        <w:pStyle w:val="BodyText"/>
        <w:spacing w:before="11"/>
        <w:rPr>
          <w:rFonts w:ascii="Times New Roman"/>
          <w:sz w:val="17"/>
        </w:rPr>
      </w:pPr>
    </w:p>
    <w:p>
      <w:pPr>
        <w:pStyle w:val="BodyText"/>
        <w:ind w:left="720"/>
      </w:pPr>
      <w:r>
        <w:rPr/>
        <w:t>（六）客户投诉和建议处理</w:t>
      </w:r>
    </w:p>
    <w:p>
      <w:pPr>
        <w:spacing w:after="0"/>
        <w:sectPr>
          <w:pgSz w:w="11910" w:h="16840"/>
          <w:pgMar w:header="701" w:footer="683" w:top="1420" w:bottom="880" w:left="1500" w:right="920"/>
        </w:sectPr>
      </w:pPr>
    </w:p>
    <w:p>
      <w:pPr>
        <w:pStyle w:val="BodyText"/>
        <w:spacing w:line="424" w:lineRule="auto" w:before="115"/>
        <w:ind w:left="300" w:right="87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BodyText"/>
        <w:spacing w:before="7"/>
        <w:rPr>
          <w:sz w:val="24"/>
        </w:rPr>
      </w:pPr>
    </w:p>
    <w:p>
      <w:pPr>
        <w:pStyle w:val="Heading1"/>
        <w:ind w:left="299"/>
      </w:pPr>
      <w:bookmarkStart w:name="_bookmark22" w:id="23"/>
      <w:bookmarkEnd w:id="23"/>
      <w:r>
        <w:rPr>
          <w:b w:val="0"/>
        </w:rPr>
      </w:r>
      <w:r>
        <w:rPr/>
        <w:t>二十三、其他应披露事项</w:t>
      </w:r>
    </w:p>
    <w:p>
      <w:pPr>
        <w:pStyle w:val="BodyText"/>
        <w:rPr>
          <w:b/>
          <w:sz w:val="24"/>
        </w:rPr>
      </w:pPr>
    </w:p>
    <w:p>
      <w:pPr>
        <w:pStyle w:val="BodyText"/>
        <w:spacing w:line="424" w:lineRule="auto" w:before="214"/>
        <w:ind w:left="300" w:right="871" w:firstLine="482"/>
      </w:pPr>
      <w:r>
        <w:rPr/>
        <w:t>（一）</w:t>
      </w:r>
      <w:r>
        <w:rPr>
          <w:rFonts w:ascii="Times New Roman" w:eastAsia="Times New Roman"/>
        </w:rPr>
        <w:t>2020</w:t>
      </w:r>
      <w:r>
        <w:rPr/>
        <w:t>年</w:t>
      </w:r>
      <w:r>
        <w:rPr>
          <w:rFonts w:ascii="Times New Roman" w:eastAsia="Times New Roman"/>
        </w:rPr>
        <w:t>9</w:t>
      </w:r>
      <w:r>
        <w:rPr/>
        <w:t>月</w:t>
      </w:r>
      <w:r>
        <w:rPr>
          <w:rFonts w:ascii="Times New Roman" w:eastAsia="Times New Roman"/>
        </w:rPr>
        <w:t>30</w:t>
      </w:r>
      <w:r>
        <w:rPr/>
        <w:t>日发布华夏基金管理有限公司关于以通讯方式召开华夏沪深</w:t>
      </w:r>
      <w:r>
        <w:rPr>
          <w:rFonts w:ascii="Times New Roman" w:eastAsia="Times New Roman"/>
        </w:rPr>
        <w:t>300</w:t>
      </w:r>
      <w:r>
        <w:rPr/>
        <w:t>交易型开放式指数证券投资基金联接基金基金份额持有人大会的公告。</w:t>
      </w:r>
    </w:p>
    <w:p>
      <w:pPr>
        <w:pStyle w:val="BodyText"/>
        <w:spacing w:line="424" w:lineRule="auto"/>
        <w:ind w:left="300" w:right="871" w:firstLine="482"/>
      </w:pPr>
      <w:r>
        <w:rPr/>
        <w:t>（二）</w:t>
      </w:r>
      <w:r>
        <w:rPr>
          <w:rFonts w:ascii="Times New Roman" w:eastAsia="Times New Roman"/>
        </w:rPr>
        <w:t>2020</w:t>
      </w:r>
      <w:r>
        <w:rPr/>
        <w:t>年</w:t>
      </w:r>
      <w:r>
        <w:rPr>
          <w:rFonts w:ascii="Times New Roman" w:eastAsia="Times New Roman"/>
        </w:rPr>
        <w:t>10</w:t>
      </w:r>
      <w:r>
        <w:rPr/>
        <w:t>月</w:t>
      </w:r>
      <w:r>
        <w:rPr>
          <w:rFonts w:ascii="Times New Roman" w:eastAsia="Times New Roman"/>
        </w:rPr>
        <w:t>9</w:t>
      </w:r>
      <w:r>
        <w:rPr/>
        <w:t>日发布华夏基金管理有限公司关于以通讯方式召开华夏沪深</w:t>
      </w:r>
      <w:r>
        <w:rPr>
          <w:rFonts w:ascii="Times New Roman" w:eastAsia="Times New Roman"/>
        </w:rPr>
        <w:t>300</w:t>
      </w:r>
      <w:r>
        <w:rPr>
          <w:spacing w:val="-13"/>
        </w:rPr>
        <w:t>交</w:t>
      </w:r>
      <w:r>
        <w:rPr>
          <w:spacing w:val="-3"/>
        </w:rPr>
        <w:t>易型开放式指数证券投资基金联接基金基金份额持有人大会的第一次提示性公告。</w:t>
      </w:r>
    </w:p>
    <w:p>
      <w:pPr>
        <w:pStyle w:val="BodyText"/>
        <w:spacing w:line="424" w:lineRule="auto"/>
        <w:ind w:left="300" w:right="871" w:firstLine="482"/>
      </w:pPr>
      <w:r>
        <w:rPr/>
        <w:t>（</w:t>
      </w:r>
      <w:r>
        <w:rPr>
          <w:spacing w:val="-3"/>
        </w:rPr>
        <w:t>三</w:t>
      </w:r>
      <w:r>
        <w:rPr>
          <w:spacing w:val="-11"/>
        </w:rPr>
        <w:t>）</w:t>
      </w:r>
      <w:r>
        <w:rPr>
          <w:rFonts w:ascii="Times New Roman" w:eastAsia="Times New Roman"/>
          <w:spacing w:val="-11"/>
        </w:rPr>
        <w:t>2020</w:t>
      </w:r>
      <w:r>
        <w:rPr/>
        <w:t>年</w:t>
      </w:r>
      <w:r>
        <w:rPr>
          <w:rFonts w:ascii="Times New Roman" w:eastAsia="Times New Roman"/>
        </w:rPr>
        <w:t>10</w:t>
      </w:r>
      <w:r>
        <w:rPr/>
        <w:t>月</w:t>
      </w:r>
      <w:r>
        <w:rPr>
          <w:rFonts w:ascii="Times New Roman" w:eastAsia="Times New Roman"/>
        </w:rPr>
        <w:t>10</w:t>
      </w:r>
      <w:r>
        <w:rPr>
          <w:spacing w:val="-3"/>
        </w:rPr>
        <w:t>日发布华夏基金管理有限公司关于以通讯方式召开华夏沪深</w:t>
      </w:r>
      <w:r>
        <w:rPr>
          <w:rFonts w:ascii="Times New Roman" w:eastAsia="Times New Roman"/>
        </w:rPr>
        <w:t>300</w:t>
      </w:r>
      <w:r>
        <w:rPr/>
        <w:t>交</w:t>
      </w:r>
      <w:r>
        <w:rPr>
          <w:spacing w:val="-3"/>
        </w:rPr>
        <w:t>易型开放式指数证券投资基金联接基金基金份额持有人大会的第二次提示性公告。</w:t>
      </w:r>
    </w:p>
    <w:p>
      <w:pPr>
        <w:pStyle w:val="BodyText"/>
        <w:spacing w:line="427" w:lineRule="auto"/>
        <w:ind w:left="300" w:right="876" w:firstLine="482"/>
      </w:pPr>
      <w:r>
        <w:rPr/>
        <w:t>（四）</w:t>
      </w:r>
      <w:r>
        <w:rPr>
          <w:rFonts w:ascii="Times New Roman" w:eastAsia="Times New Roman"/>
        </w:rPr>
        <w:t>2020</w:t>
      </w:r>
      <w:r>
        <w:rPr/>
        <w:t>年</w:t>
      </w:r>
      <w:r>
        <w:rPr>
          <w:rFonts w:ascii="Times New Roman" w:eastAsia="Times New Roman"/>
        </w:rPr>
        <w:t>11</w:t>
      </w:r>
      <w:r>
        <w:rPr/>
        <w:t>月</w:t>
      </w:r>
      <w:r>
        <w:rPr>
          <w:rFonts w:ascii="Times New Roman" w:eastAsia="Times New Roman"/>
        </w:rPr>
        <w:t>6</w:t>
      </w:r>
      <w:r>
        <w:rPr/>
        <w:t>日发布华夏沪深</w:t>
      </w:r>
      <w:r>
        <w:rPr>
          <w:rFonts w:ascii="Times New Roman" w:eastAsia="Times New Roman"/>
        </w:rPr>
        <w:t>300</w:t>
      </w:r>
      <w:r>
        <w:rPr/>
        <w:t>交易型开放式指数证券投资基金联接基金基金份额持有人大会表决结果暨决议生效公告。</w:t>
      </w:r>
    </w:p>
    <w:p>
      <w:pPr>
        <w:pStyle w:val="BodyText"/>
        <w:rPr>
          <w:sz w:val="24"/>
        </w:rPr>
      </w:pPr>
    </w:p>
    <w:p>
      <w:pPr>
        <w:pStyle w:val="Heading1"/>
        <w:ind w:left="298"/>
      </w:pPr>
      <w:r>
        <w:rPr/>
        <w:t>二十四、招募说明书存放及查阅方式</w:t>
      </w:r>
    </w:p>
    <w:p>
      <w:pPr>
        <w:pStyle w:val="BodyText"/>
        <w:rPr>
          <w:b/>
          <w:sz w:val="24"/>
        </w:rPr>
      </w:pPr>
    </w:p>
    <w:p>
      <w:pPr>
        <w:pStyle w:val="BodyText"/>
        <w:spacing w:line="424" w:lineRule="auto" w:before="212"/>
        <w:ind w:left="300" w:right="871" w:firstLine="419"/>
      </w:pPr>
      <w:r>
        <w:rPr>
          <w:spacing w:val="-9"/>
        </w:rPr>
        <w:t>本基金招募说明书公布后，置备于基金管理人的住所，投资者可免费查阅。投资者在支</w:t>
      </w:r>
      <w:r>
        <w:rPr>
          <w:spacing w:val="-5"/>
        </w:rPr>
        <w:t>付工本费后，可在合理时间内取得上述文件复印件。</w:t>
      </w:r>
    </w:p>
    <w:p>
      <w:pPr>
        <w:pStyle w:val="BodyText"/>
        <w:spacing w:before="8"/>
        <w:rPr>
          <w:sz w:val="24"/>
        </w:rPr>
      </w:pPr>
    </w:p>
    <w:p>
      <w:pPr>
        <w:pStyle w:val="Heading1"/>
        <w:ind w:right="876"/>
      </w:pPr>
      <w:bookmarkStart w:name="_bookmark23" w:id="24"/>
      <w:bookmarkEnd w:id="24"/>
      <w:r>
        <w:rPr>
          <w:b w:val="0"/>
        </w:rPr>
      </w:r>
      <w:r>
        <w:rPr/>
        <w:t>二十五、备查文件</w:t>
      </w:r>
    </w:p>
    <w:p>
      <w:pPr>
        <w:pStyle w:val="BodyText"/>
        <w:rPr>
          <w:b/>
          <w:sz w:val="24"/>
        </w:rPr>
      </w:pPr>
    </w:p>
    <w:p>
      <w:pPr>
        <w:pStyle w:val="BodyText"/>
        <w:spacing w:before="213"/>
        <w:ind w:left="720"/>
      </w:pPr>
      <w:r>
        <w:rPr/>
        <w:t>（一）备查文件目录</w:t>
      </w:r>
    </w:p>
    <w:p>
      <w:pPr>
        <w:pStyle w:val="BodyText"/>
        <w:spacing w:before="3"/>
        <w:rPr>
          <w:sz w:val="16"/>
        </w:rPr>
      </w:pPr>
    </w:p>
    <w:p>
      <w:pPr>
        <w:pStyle w:val="BodyText"/>
        <w:ind w:left="720"/>
      </w:pPr>
      <w:r>
        <w:rPr>
          <w:rFonts w:ascii="Times New Roman" w:eastAsia="Times New Roman"/>
        </w:rPr>
        <w:t>1</w:t>
      </w:r>
      <w:r>
        <w:rPr/>
        <w:t>、中国证监会核准基金募集的文件。</w:t>
      </w:r>
    </w:p>
    <w:p>
      <w:pPr>
        <w:pStyle w:val="BodyText"/>
        <w:spacing w:before="1"/>
        <w:rPr>
          <w:sz w:val="16"/>
        </w:rPr>
      </w:pPr>
    </w:p>
    <w:p>
      <w:pPr>
        <w:pStyle w:val="BodyText"/>
        <w:spacing w:before="1"/>
        <w:ind w:left="720"/>
      </w:pPr>
      <w:r>
        <w:rPr>
          <w:rFonts w:ascii="Times New Roman" w:eastAsia="Times New Roman"/>
        </w:rPr>
        <w:t>2</w:t>
      </w:r>
      <w:r>
        <w:rPr>
          <w:spacing w:val="-23"/>
        </w:rPr>
        <w:t>、《华夏沪深 </w:t>
      </w:r>
      <w:r>
        <w:rPr>
          <w:rFonts w:ascii="Times New Roman" w:eastAsia="Times New Roman"/>
        </w:rPr>
        <w:t>300</w:t>
      </w:r>
      <w:r>
        <w:rPr>
          <w:rFonts w:ascii="Times New Roman" w:eastAsia="Times New Roman"/>
          <w:spacing w:val="17"/>
        </w:rPr>
        <w:t> </w:t>
      </w:r>
      <w:r>
        <w:rPr>
          <w:spacing w:val="-8"/>
        </w:rPr>
        <w:t>交易型开放式指数证券投资基金联接基金基金合同》。</w:t>
      </w:r>
    </w:p>
    <w:p>
      <w:pPr>
        <w:pStyle w:val="BodyText"/>
        <w:spacing w:before="1"/>
        <w:rPr>
          <w:sz w:val="16"/>
        </w:rPr>
      </w:pPr>
    </w:p>
    <w:p>
      <w:pPr>
        <w:pStyle w:val="BodyText"/>
        <w:ind w:left="720"/>
      </w:pPr>
      <w:r>
        <w:rPr>
          <w:rFonts w:ascii="Times New Roman" w:eastAsia="Times New Roman"/>
        </w:rPr>
        <w:t>3</w:t>
      </w:r>
      <w:r>
        <w:rPr>
          <w:spacing w:val="-23"/>
        </w:rPr>
        <w:t>、《华夏沪深 </w:t>
      </w:r>
      <w:r>
        <w:rPr>
          <w:rFonts w:ascii="Times New Roman" w:eastAsia="Times New Roman"/>
        </w:rPr>
        <w:t>300</w:t>
      </w:r>
      <w:r>
        <w:rPr>
          <w:rFonts w:ascii="Times New Roman" w:eastAsia="Times New Roman"/>
          <w:spacing w:val="17"/>
        </w:rPr>
        <w:t> </w:t>
      </w:r>
      <w:r>
        <w:rPr>
          <w:spacing w:val="-8"/>
        </w:rPr>
        <w:t>交易型开放式指数证券投资基金联接基金托管协议》。</w:t>
      </w:r>
    </w:p>
    <w:p>
      <w:pPr>
        <w:pStyle w:val="BodyText"/>
        <w:spacing w:before="1"/>
        <w:rPr>
          <w:sz w:val="16"/>
        </w:rPr>
      </w:pPr>
    </w:p>
    <w:p>
      <w:pPr>
        <w:pStyle w:val="BodyText"/>
        <w:ind w:left="720"/>
      </w:pPr>
      <w:r>
        <w:rPr>
          <w:rFonts w:ascii="Times New Roman" w:eastAsia="Times New Roman"/>
        </w:rPr>
        <w:t>4</w:t>
      </w:r>
      <w:r>
        <w:rPr/>
        <w:t>、法律意见书。</w:t>
      </w:r>
    </w:p>
    <w:p>
      <w:pPr>
        <w:pStyle w:val="BodyText"/>
        <w:spacing w:before="1"/>
        <w:rPr>
          <w:sz w:val="16"/>
        </w:rPr>
      </w:pPr>
    </w:p>
    <w:p>
      <w:pPr>
        <w:pStyle w:val="BodyText"/>
        <w:ind w:left="720"/>
      </w:pPr>
      <w:r>
        <w:rPr>
          <w:rFonts w:ascii="Times New Roman" w:eastAsia="Times New Roman"/>
          <w:spacing w:val="-1"/>
        </w:rPr>
        <w:t>5</w:t>
      </w:r>
      <w:r>
        <w:rPr>
          <w:spacing w:val="-3"/>
        </w:rPr>
        <w:t>、基金管理人业务资格批件、营业执照。</w:t>
      </w:r>
    </w:p>
    <w:p>
      <w:pPr>
        <w:pStyle w:val="BodyText"/>
        <w:spacing w:before="1"/>
        <w:rPr>
          <w:sz w:val="16"/>
        </w:rPr>
      </w:pPr>
    </w:p>
    <w:p>
      <w:pPr>
        <w:pStyle w:val="BodyText"/>
        <w:ind w:left="720"/>
      </w:pPr>
      <w:r>
        <w:rPr>
          <w:rFonts w:ascii="Times New Roman" w:eastAsia="Times New Roman"/>
          <w:spacing w:val="-1"/>
        </w:rPr>
        <w:t>6</w:t>
      </w:r>
      <w:r>
        <w:rPr>
          <w:spacing w:val="-3"/>
        </w:rPr>
        <w:t>、基金托管人业务资格批件、营业执照。</w:t>
      </w:r>
    </w:p>
    <w:p>
      <w:pPr>
        <w:pStyle w:val="BodyText"/>
        <w:spacing w:before="1"/>
        <w:rPr>
          <w:sz w:val="16"/>
        </w:rPr>
      </w:pPr>
    </w:p>
    <w:p>
      <w:pPr>
        <w:pStyle w:val="BodyText"/>
        <w:spacing w:before="1"/>
        <w:ind w:left="720"/>
      </w:pPr>
      <w:r>
        <w:rPr/>
        <w:t>（二）存放地点</w:t>
      </w:r>
    </w:p>
    <w:p>
      <w:pPr>
        <w:pStyle w:val="BodyText"/>
        <w:spacing w:before="1"/>
        <w:rPr>
          <w:sz w:val="16"/>
        </w:rPr>
      </w:pPr>
    </w:p>
    <w:p>
      <w:pPr>
        <w:pStyle w:val="BodyText"/>
        <w:ind w:left="720"/>
      </w:pPr>
      <w:r>
        <w:rPr/>
        <w:t>备查文件存放于基金管理人和</w:t>
      </w:r>
      <w:r>
        <w:rPr>
          <w:rFonts w:ascii="Times New Roman" w:eastAsia="Times New Roman"/>
        </w:rPr>
        <w:t>/</w:t>
      </w:r>
      <w:r>
        <w:rPr/>
        <w:t>或基金托管人处。</w:t>
      </w:r>
    </w:p>
    <w:p>
      <w:pPr>
        <w:spacing w:after="0"/>
        <w:sectPr>
          <w:pgSz w:w="11910" w:h="16840"/>
          <w:pgMar w:header="701" w:footer="683" w:top="1420" w:bottom="880" w:left="1500" w:right="920"/>
        </w:sectPr>
      </w:pPr>
    </w:p>
    <w:p>
      <w:pPr>
        <w:pStyle w:val="BodyText"/>
        <w:spacing w:before="115"/>
        <w:ind w:left="720"/>
      </w:pPr>
      <w:r>
        <w:rPr/>
        <w:t>（三）查阅方式</w:t>
      </w:r>
    </w:p>
    <w:p>
      <w:pPr>
        <w:pStyle w:val="BodyText"/>
        <w:rPr>
          <w:sz w:val="16"/>
        </w:rPr>
      </w:pPr>
    </w:p>
    <w:p>
      <w:pPr>
        <w:pStyle w:val="BodyText"/>
        <w:spacing w:line="424" w:lineRule="auto" w:before="1"/>
        <w:ind w:left="300" w:right="873" w:firstLine="419"/>
      </w:pPr>
      <w:r>
        <w:rPr/>
        <w:t>投资者可到基金管理人和</w:t>
      </w:r>
      <w:r>
        <w:rPr>
          <w:rFonts w:ascii="Times New Roman" w:eastAsia="Times New Roman"/>
        </w:rPr>
        <w:t>/</w:t>
      </w:r>
      <w:r>
        <w:rPr/>
        <w:t>或基金托管人的办公场所、营业场所及网站免费查阅备查文件。在支付工本费后，投资者可在合理时间内取得备查文件的复制件或复印件。</w:t>
      </w:r>
    </w:p>
    <w:p>
      <w:pPr>
        <w:pStyle w:val="BodyText"/>
        <w:rPr>
          <w:sz w:val="20"/>
        </w:rPr>
      </w:pPr>
    </w:p>
    <w:p>
      <w:pPr>
        <w:pStyle w:val="BodyText"/>
        <w:rPr>
          <w:sz w:val="20"/>
        </w:rPr>
      </w:pPr>
    </w:p>
    <w:p>
      <w:pPr>
        <w:pStyle w:val="BodyText"/>
        <w:rPr>
          <w:sz w:val="20"/>
        </w:rPr>
      </w:pPr>
    </w:p>
    <w:p>
      <w:pPr>
        <w:pStyle w:val="BodyText"/>
        <w:spacing w:before="2"/>
        <w:rPr>
          <w:sz w:val="14"/>
        </w:rPr>
      </w:pPr>
    </w:p>
    <w:p>
      <w:pPr>
        <w:pStyle w:val="BodyText"/>
        <w:spacing w:line="424" w:lineRule="auto"/>
        <w:ind w:left="6507" w:right="873"/>
        <w:jc w:val="right"/>
      </w:pPr>
      <w:r>
        <w:rPr/>
        <w:t>华夏基金管理有限公司二○二○年十一月六日</w:t>
      </w:r>
    </w:p>
    <w:sectPr>
      <w:pgSz w:w="11910" w:h="16840"/>
      <w:pgMar w:header="701" w:footer="683" w:top="1420" w:bottom="880" w:left="15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algun Gothic">
    <w:altName w:val="Malgun Gothic"/>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91.209991pt;margin-top:795.219971pt;width:13.15pt;height:13.55pt;mso-position-horizontal-relative:page;mso-position-vertical-relative:page;z-index:-261686272" type="#_x0000_t202" filled="false" stroked="false">
          <v:textbox inset="0,0,0,0">
            <w:txbxContent>
              <w:p>
                <w:pPr>
                  <w:spacing w:before="43"/>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770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152</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96.779968pt;width:15.7pt;height:12pt;mso-position-horizontal-relative:page;mso-position-vertical-relative:page;z-index:-261676032"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75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96.779968pt;width:15.7pt;height:12pt;mso-position-horizontal-relative:page;mso-position-vertical-relative:page;z-index:-261673984" type="#_x0000_t202" filled="false" stroked="false">
          <v:textbox inset="0,0,0,0">
            <w:txbxContent>
              <w:p>
                <w:pPr>
                  <w:spacing w:before="12"/>
                  <w:ind w:left="20" w:right="0" w:firstLine="0"/>
                  <w:jc w:val="left"/>
                  <w:rPr>
                    <w:rFonts w:ascii="Times New Roman"/>
                    <w:sz w:val="18"/>
                  </w:rPr>
                </w:pPr>
                <w:r>
                  <w:rPr>
                    <w:rFonts w:ascii="Times New Roman"/>
                    <w:sz w:val="18"/>
                  </w:rPr>
                  <w:t>170</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729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171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8524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96.779968pt;width:17.3pt;height:12pt;mso-position-horizontal-relative:page;mso-position-vertical-relative:page;z-index:-26168422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832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96.779968pt;width:15.7pt;height:12pt;mso-position-horizontal-relative:page;mso-position-vertical-relative:page;z-index:-261682176"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811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96.779968pt;width:15.7pt;height:12pt;mso-position-horizontal-relative:page;mso-position-vertical-relative:page;z-index:-261680128"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96.779968pt;width:17.7pt;height:12pt;mso-position-horizontal-relative:page;mso-position-vertical-relative:page;z-index:-2616791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96.779968pt;width:15.7pt;height:12pt;mso-position-horizontal-relative:page;mso-position-vertical-relative:page;z-index:-261678080"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688320" from="88.584pt,47.039982pt" to="506.854pt,47.03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07.369995pt;margin-top:34.059963pt;width:299.05pt;height:12pt;mso-position-horizontal-relative:page;mso-position-vertical-relative:page;z-index:-261687296" type="#_x0000_t202" filled="false" stroked="false">
          <v:textbox inset="0,0,0,0">
            <w:txbxContent>
              <w:p>
                <w:pPr>
                  <w:spacing w:before="0"/>
                  <w:ind w:left="20" w:right="0" w:firstLine="0"/>
                  <w:jc w:val="left"/>
                  <w:rPr>
                    <w:sz w:val="18"/>
                  </w:rPr>
                </w:pPr>
                <w:r>
                  <w:rPr>
                    <w:spacing w:val="-10"/>
                    <w:sz w:val="18"/>
                  </w:rPr>
                  <w:t>华夏沪深 </w:t>
                </w:r>
                <w:r>
                  <w:rPr>
                    <w:rFonts w:ascii="Times New Roman" w:eastAsia="Times New Roman"/>
                    <w:sz w:val="18"/>
                  </w:rPr>
                  <w:t>300 </w:t>
                </w:r>
                <w:r>
                  <w:rPr>
                    <w:spacing w:val="-1"/>
                    <w:sz w:val="18"/>
                  </w:rPr>
                  <w:t>交易型开放式指数证券投资基金联接基金招募说明书</w:t>
                </w:r>
                <w:r>
                  <w:rPr>
                    <w:sz w:val="18"/>
                  </w:rPr>
                  <w:t>（更新）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14">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12">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68">
    <w:multiLevelType w:val="hybridMultilevel"/>
    <w:lvl w:ilvl="0">
      <w:start w:val="1"/>
      <w:numFmt w:val="decimal"/>
      <w:lvlText w:val="（%1）"/>
      <w:lvlJc w:val="left"/>
      <w:pPr>
        <w:ind w:left="124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67">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66">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6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64">
    <w:multiLevelType w:val="hybridMultilevel"/>
    <w:lvl w:ilvl="0">
      <w:start w:val="1"/>
      <w:numFmt w:val="lowerRoman"/>
      <w:lvlText w:val="%1."/>
      <w:lvlJc w:val="left"/>
      <w:pPr>
        <w:ind w:left="300" w:hanging="270"/>
        <w:jc w:val="left"/>
      </w:pPr>
      <w:rPr>
        <w:rFonts w:hint="default" w:ascii="Times New Roman" w:hAnsi="Times New Roman" w:eastAsia="Times New Roman" w:cs="Times New Roman"/>
        <w:spacing w:val="-32"/>
        <w:w w:val="100"/>
        <w:sz w:val="19"/>
        <w:szCs w:val="19"/>
        <w:lang w:val="zh-CN" w:eastAsia="zh-CN" w:bidi="zh-CN"/>
      </w:rPr>
    </w:lvl>
    <w:lvl w:ilvl="1">
      <w:start w:val="0"/>
      <w:numFmt w:val="bullet"/>
      <w:lvlText w:val="•"/>
      <w:lvlJc w:val="left"/>
      <w:pPr>
        <w:ind w:left="1218" w:hanging="270"/>
      </w:pPr>
      <w:rPr>
        <w:rFonts w:hint="default"/>
        <w:lang w:val="zh-CN" w:eastAsia="zh-CN" w:bidi="zh-CN"/>
      </w:rPr>
    </w:lvl>
    <w:lvl w:ilvl="2">
      <w:start w:val="0"/>
      <w:numFmt w:val="bullet"/>
      <w:lvlText w:val="•"/>
      <w:lvlJc w:val="left"/>
      <w:pPr>
        <w:ind w:left="2137" w:hanging="270"/>
      </w:pPr>
      <w:rPr>
        <w:rFonts w:hint="default"/>
        <w:lang w:val="zh-CN" w:eastAsia="zh-CN" w:bidi="zh-CN"/>
      </w:rPr>
    </w:lvl>
    <w:lvl w:ilvl="3">
      <w:start w:val="0"/>
      <w:numFmt w:val="bullet"/>
      <w:lvlText w:val="•"/>
      <w:lvlJc w:val="left"/>
      <w:pPr>
        <w:ind w:left="3055" w:hanging="270"/>
      </w:pPr>
      <w:rPr>
        <w:rFonts w:hint="default"/>
        <w:lang w:val="zh-CN" w:eastAsia="zh-CN" w:bidi="zh-CN"/>
      </w:rPr>
    </w:lvl>
    <w:lvl w:ilvl="4">
      <w:start w:val="0"/>
      <w:numFmt w:val="bullet"/>
      <w:lvlText w:val="•"/>
      <w:lvlJc w:val="left"/>
      <w:pPr>
        <w:ind w:left="3974" w:hanging="270"/>
      </w:pPr>
      <w:rPr>
        <w:rFonts w:hint="default"/>
        <w:lang w:val="zh-CN" w:eastAsia="zh-CN" w:bidi="zh-CN"/>
      </w:rPr>
    </w:lvl>
    <w:lvl w:ilvl="5">
      <w:start w:val="0"/>
      <w:numFmt w:val="bullet"/>
      <w:lvlText w:val="•"/>
      <w:lvlJc w:val="left"/>
      <w:pPr>
        <w:ind w:left="4893" w:hanging="270"/>
      </w:pPr>
      <w:rPr>
        <w:rFonts w:hint="default"/>
        <w:lang w:val="zh-CN" w:eastAsia="zh-CN" w:bidi="zh-CN"/>
      </w:rPr>
    </w:lvl>
    <w:lvl w:ilvl="6">
      <w:start w:val="0"/>
      <w:numFmt w:val="bullet"/>
      <w:lvlText w:val="•"/>
      <w:lvlJc w:val="left"/>
      <w:pPr>
        <w:ind w:left="5811" w:hanging="270"/>
      </w:pPr>
      <w:rPr>
        <w:rFonts w:hint="default"/>
        <w:lang w:val="zh-CN" w:eastAsia="zh-CN" w:bidi="zh-CN"/>
      </w:rPr>
    </w:lvl>
    <w:lvl w:ilvl="7">
      <w:start w:val="0"/>
      <w:numFmt w:val="bullet"/>
      <w:lvlText w:val="•"/>
      <w:lvlJc w:val="left"/>
      <w:pPr>
        <w:ind w:left="6730" w:hanging="270"/>
      </w:pPr>
      <w:rPr>
        <w:rFonts w:hint="default"/>
        <w:lang w:val="zh-CN" w:eastAsia="zh-CN" w:bidi="zh-CN"/>
      </w:rPr>
    </w:lvl>
    <w:lvl w:ilvl="8">
      <w:start w:val="0"/>
      <w:numFmt w:val="bullet"/>
      <w:lvlText w:val="•"/>
      <w:lvlJc w:val="left"/>
      <w:pPr>
        <w:ind w:left="7649" w:hanging="270"/>
      </w:pPr>
      <w:rPr>
        <w:rFonts w:hint="default"/>
        <w:lang w:val="zh-CN" w:eastAsia="zh-CN" w:bidi="zh-CN"/>
      </w:rPr>
    </w:lvl>
  </w:abstractNum>
  <w:abstractNum w:abstractNumId="6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62">
    <w:multiLevelType w:val="hybridMultilevel"/>
    <w:lvl w:ilvl="0">
      <w:start w:val="1"/>
      <w:numFmt w:val="decimal"/>
      <w:lvlText w:val="（%1）"/>
      <w:lvlJc w:val="left"/>
      <w:pPr>
        <w:ind w:left="124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6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6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8">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7">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6">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5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2">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5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9">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48">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47">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6">
    <w:multiLevelType w:val="hybridMultilevel"/>
    <w:lvl w:ilvl="0">
      <w:start w:val="1"/>
      <w:numFmt w:val="decimal"/>
      <w:lvlText w:val="（%1）"/>
      <w:lvlJc w:val="left"/>
      <w:pPr>
        <w:ind w:left="124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2">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1">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4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9">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8">
    <w:multiLevelType w:val="hybridMultilevel"/>
    <w:lvl w:ilvl="0">
      <w:start w:val="1"/>
      <w:numFmt w:val="decimal"/>
      <w:lvlText w:val="（%1）"/>
      <w:lvlJc w:val="left"/>
      <w:pPr>
        <w:ind w:left="1249"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7">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6">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5">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34">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33">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2">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31">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30">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9">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8">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7">
    <w:multiLevelType w:val="hybridMultilevel"/>
    <w:lvl w:ilvl="0">
      <w:start w:val="1"/>
      <w:numFmt w:val="decimal"/>
      <w:lvlText w:val="（%1）"/>
      <w:lvlJc w:val="left"/>
      <w:pPr>
        <w:ind w:left="300"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6">
    <w:multiLevelType w:val="hybridMultilevel"/>
    <w:lvl w:ilvl="0">
      <w:start w:val="5"/>
      <w:numFmt w:val="decimal"/>
      <w:lvlText w:val="%1"/>
      <w:lvlJc w:val="left"/>
      <w:pPr>
        <w:ind w:left="617" w:hanging="317"/>
        <w:jc w:val="left"/>
      </w:pPr>
      <w:rPr>
        <w:rFonts w:hint="default"/>
        <w:lang w:val="zh-CN" w:eastAsia="zh-CN" w:bidi="zh-CN"/>
      </w:rPr>
    </w:lvl>
    <w:lvl w:ilvl="1">
      <w:start w:val="1"/>
      <w:numFmt w:val="decimal"/>
      <w:lvlText w:val="%1.%2"/>
      <w:lvlJc w:val="left"/>
      <w:pPr>
        <w:ind w:left="617" w:hanging="317"/>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773" w:hanging="473"/>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300" w:hanging="527"/>
        <w:jc w:val="left"/>
      </w:pPr>
      <w:rPr>
        <w:rFonts w:hint="default" w:ascii="宋体" w:hAnsi="宋体" w:eastAsia="宋体" w:cs="宋体"/>
        <w:spacing w:val="-99"/>
        <w:w w:val="100"/>
        <w:sz w:val="19"/>
        <w:szCs w:val="19"/>
        <w:lang w:val="zh-CN" w:eastAsia="zh-CN" w:bidi="zh-CN"/>
      </w:rPr>
    </w:lvl>
    <w:lvl w:ilvl="4">
      <w:start w:val="0"/>
      <w:numFmt w:val="bullet"/>
      <w:lvlText w:val="•"/>
      <w:lvlJc w:val="left"/>
      <w:pPr>
        <w:ind w:left="880" w:hanging="527"/>
      </w:pPr>
      <w:rPr>
        <w:rFonts w:hint="default"/>
        <w:lang w:val="zh-CN" w:eastAsia="zh-CN" w:bidi="zh-CN"/>
      </w:rPr>
    </w:lvl>
    <w:lvl w:ilvl="5">
      <w:start w:val="0"/>
      <w:numFmt w:val="bullet"/>
      <w:lvlText w:val="•"/>
      <w:lvlJc w:val="left"/>
      <w:pPr>
        <w:ind w:left="2314" w:hanging="527"/>
      </w:pPr>
      <w:rPr>
        <w:rFonts w:hint="default"/>
        <w:lang w:val="zh-CN" w:eastAsia="zh-CN" w:bidi="zh-CN"/>
      </w:rPr>
    </w:lvl>
    <w:lvl w:ilvl="6">
      <w:start w:val="0"/>
      <w:numFmt w:val="bullet"/>
      <w:lvlText w:val="•"/>
      <w:lvlJc w:val="left"/>
      <w:pPr>
        <w:ind w:left="3748" w:hanging="527"/>
      </w:pPr>
      <w:rPr>
        <w:rFonts w:hint="default"/>
        <w:lang w:val="zh-CN" w:eastAsia="zh-CN" w:bidi="zh-CN"/>
      </w:rPr>
    </w:lvl>
    <w:lvl w:ilvl="7">
      <w:start w:val="0"/>
      <w:numFmt w:val="bullet"/>
      <w:lvlText w:val="•"/>
      <w:lvlJc w:val="left"/>
      <w:pPr>
        <w:ind w:left="5183" w:hanging="527"/>
      </w:pPr>
      <w:rPr>
        <w:rFonts w:hint="default"/>
        <w:lang w:val="zh-CN" w:eastAsia="zh-CN" w:bidi="zh-CN"/>
      </w:rPr>
    </w:lvl>
    <w:lvl w:ilvl="8">
      <w:start w:val="0"/>
      <w:numFmt w:val="bullet"/>
      <w:lvlText w:val="•"/>
      <w:lvlJc w:val="left"/>
      <w:pPr>
        <w:ind w:left="6617" w:hanging="527"/>
      </w:pPr>
      <w:rPr>
        <w:rFonts w:hint="default"/>
        <w:lang w:val="zh-CN" w:eastAsia="zh-CN" w:bidi="zh-CN"/>
      </w:rPr>
    </w:lvl>
  </w:abstractNum>
  <w:abstractNum w:abstractNumId="25">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4">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23">
    <w:multiLevelType w:val="hybridMultilevel"/>
    <w:lvl w:ilvl="0">
      <w:start w:val="1"/>
      <w:numFmt w:val="decimal"/>
      <w:lvlText w:val="（%1）"/>
      <w:lvlJc w:val="left"/>
      <w:pPr>
        <w:ind w:left="30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2">
    <w:multiLevelType w:val="hybridMultilevel"/>
    <w:lvl w:ilvl="0">
      <w:start w:val="1"/>
      <w:numFmt w:val="decimal"/>
      <w:lvlText w:val="（%1）"/>
      <w:lvlJc w:val="left"/>
      <w:pPr>
        <w:ind w:left="30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1">
    <w:multiLevelType w:val="hybridMultilevel"/>
    <w:lvl w:ilvl="0">
      <w:start w:val="1"/>
      <w:numFmt w:val="decimal"/>
      <w:lvlText w:val="（%1）"/>
      <w:lvlJc w:val="left"/>
      <w:pPr>
        <w:ind w:left="3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0">
    <w:multiLevelType w:val="hybridMultilevel"/>
    <w:lvl w:ilvl="0">
      <w:start w:val="1"/>
      <w:numFmt w:val="decimal"/>
      <w:lvlText w:val="（%1）"/>
      <w:lvlJc w:val="left"/>
      <w:pPr>
        <w:ind w:left="3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19">
    <w:multiLevelType w:val="hybridMultilevel"/>
    <w:lvl w:ilvl="0">
      <w:start w:val="1"/>
      <w:numFmt w:val="decimal"/>
      <w:lvlText w:val="（%1）"/>
      <w:lvlJc w:val="left"/>
      <w:pPr>
        <w:ind w:left="30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18">
    <w:multiLevelType w:val="hybridMultilevel"/>
    <w:lvl w:ilvl="0">
      <w:start w:val="1"/>
      <w:numFmt w:val="decimal"/>
      <w:lvlText w:val="（%1）"/>
      <w:lvlJc w:val="left"/>
      <w:pPr>
        <w:ind w:left="30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17">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16">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1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13">
    <w:multiLevelType w:val="hybridMultilevel"/>
    <w:lvl w:ilvl="0">
      <w:start w:val="1"/>
      <w:numFmt w:val="decimal"/>
      <w:lvlText w:val="（%1）"/>
      <w:lvlJc w:val="left"/>
      <w:pPr>
        <w:ind w:left="72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596" w:hanging="529"/>
      </w:pPr>
      <w:rPr>
        <w:rFonts w:hint="default"/>
        <w:lang w:val="zh-CN" w:eastAsia="zh-CN" w:bidi="zh-CN"/>
      </w:rPr>
    </w:lvl>
    <w:lvl w:ilvl="2">
      <w:start w:val="0"/>
      <w:numFmt w:val="bullet"/>
      <w:lvlText w:val="•"/>
      <w:lvlJc w:val="left"/>
      <w:pPr>
        <w:ind w:left="2473" w:hanging="529"/>
      </w:pPr>
      <w:rPr>
        <w:rFonts w:hint="default"/>
        <w:lang w:val="zh-CN" w:eastAsia="zh-CN" w:bidi="zh-CN"/>
      </w:rPr>
    </w:lvl>
    <w:lvl w:ilvl="3">
      <w:start w:val="0"/>
      <w:numFmt w:val="bullet"/>
      <w:lvlText w:val="•"/>
      <w:lvlJc w:val="left"/>
      <w:pPr>
        <w:ind w:left="3349" w:hanging="529"/>
      </w:pPr>
      <w:rPr>
        <w:rFonts w:hint="default"/>
        <w:lang w:val="zh-CN" w:eastAsia="zh-CN" w:bidi="zh-CN"/>
      </w:rPr>
    </w:lvl>
    <w:lvl w:ilvl="4">
      <w:start w:val="0"/>
      <w:numFmt w:val="bullet"/>
      <w:lvlText w:val="•"/>
      <w:lvlJc w:val="left"/>
      <w:pPr>
        <w:ind w:left="4226" w:hanging="529"/>
      </w:pPr>
      <w:rPr>
        <w:rFonts w:hint="default"/>
        <w:lang w:val="zh-CN" w:eastAsia="zh-CN" w:bidi="zh-CN"/>
      </w:rPr>
    </w:lvl>
    <w:lvl w:ilvl="5">
      <w:start w:val="0"/>
      <w:numFmt w:val="bullet"/>
      <w:lvlText w:val="•"/>
      <w:lvlJc w:val="left"/>
      <w:pPr>
        <w:ind w:left="5103" w:hanging="529"/>
      </w:pPr>
      <w:rPr>
        <w:rFonts w:hint="default"/>
        <w:lang w:val="zh-CN" w:eastAsia="zh-CN" w:bidi="zh-CN"/>
      </w:rPr>
    </w:lvl>
    <w:lvl w:ilvl="6">
      <w:start w:val="0"/>
      <w:numFmt w:val="bullet"/>
      <w:lvlText w:val="•"/>
      <w:lvlJc w:val="left"/>
      <w:pPr>
        <w:ind w:left="5979" w:hanging="529"/>
      </w:pPr>
      <w:rPr>
        <w:rFonts w:hint="default"/>
        <w:lang w:val="zh-CN" w:eastAsia="zh-CN" w:bidi="zh-CN"/>
      </w:rPr>
    </w:lvl>
    <w:lvl w:ilvl="7">
      <w:start w:val="0"/>
      <w:numFmt w:val="bullet"/>
      <w:lvlText w:val="•"/>
      <w:lvlJc w:val="left"/>
      <w:pPr>
        <w:ind w:left="6856" w:hanging="529"/>
      </w:pPr>
      <w:rPr>
        <w:rFonts w:hint="default"/>
        <w:lang w:val="zh-CN" w:eastAsia="zh-CN" w:bidi="zh-CN"/>
      </w:rPr>
    </w:lvl>
    <w:lvl w:ilvl="8">
      <w:start w:val="0"/>
      <w:numFmt w:val="bullet"/>
      <w:lvlText w:val="•"/>
      <w:lvlJc w:val="left"/>
      <w:pPr>
        <w:ind w:left="7733" w:hanging="529"/>
      </w:pPr>
      <w:rPr>
        <w:rFonts w:hint="default"/>
        <w:lang w:val="zh-CN" w:eastAsia="zh-CN" w:bidi="zh-CN"/>
      </w:rPr>
    </w:lvl>
  </w:abstractNum>
  <w:abstractNum w:abstractNumId="1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10">
    <w:multiLevelType w:val="hybridMultilevel"/>
    <w:lvl w:ilvl="0">
      <w:start w:val="169"/>
      <w:numFmt w:val="decimal"/>
      <w:lvlText w:val="（%1）"/>
      <w:lvlJc w:val="left"/>
      <w:pPr>
        <w:ind w:left="1458" w:hanging="738"/>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2" w:hanging="738"/>
      </w:pPr>
      <w:rPr>
        <w:rFonts w:hint="default"/>
        <w:lang w:val="zh-CN" w:eastAsia="zh-CN" w:bidi="zh-CN"/>
      </w:rPr>
    </w:lvl>
    <w:lvl w:ilvl="2">
      <w:start w:val="0"/>
      <w:numFmt w:val="bullet"/>
      <w:lvlText w:val="•"/>
      <w:lvlJc w:val="left"/>
      <w:pPr>
        <w:ind w:left="3065" w:hanging="738"/>
      </w:pPr>
      <w:rPr>
        <w:rFonts w:hint="default"/>
        <w:lang w:val="zh-CN" w:eastAsia="zh-CN" w:bidi="zh-CN"/>
      </w:rPr>
    </w:lvl>
    <w:lvl w:ilvl="3">
      <w:start w:val="0"/>
      <w:numFmt w:val="bullet"/>
      <w:lvlText w:val="•"/>
      <w:lvlJc w:val="left"/>
      <w:pPr>
        <w:ind w:left="3867" w:hanging="738"/>
      </w:pPr>
      <w:rPr>
        <w:rFonts w:hint="default"/>
        <w:lang w:val="zh-CN" w:eastAsia="zh-CN" w:bidi="zh-CN"/>
      </w:rPr>
    </w:lvl>
    <w:lvl w:ilvl="4">
      <w:start w:val="0"/>
      <w:numFmt w:val="bullet"/>
      <w:lvlText w:val="•"/>
      <w:lvlJc w:val="left"/>
      <w:pPr>
        <w:ind w:left="4670" w:hanging="738"/>
      </w:pPr>
      <w:rPr>
        <w:rFonts w:hint="default"/>
        <w:lang w:val="zh-CN" w:eastAsia="zh-CN" w:bidi="zh-CN"/>
      </w:rPr>
    </w:lvl>
    <w:lvl w:ilvl="5">
      <w:start w:val="0"/>
      <w:numFmt w:val="bullet"/>
      <w:lvlText w:val="•"/>
      <w:lvlJc w:val="left"/>
      <w:pPr>
        <w:ind w:left="5473" w:hanging="738"/>
      </w:pPr>
      <w:rPr>
        <w:rFonts w:hint="default"/>
        <w:lang w:val="zh-CN" w:eastAsia="zh-CN" w:bidi="zh-CN"/>
      </w:rPr>
    </w:lvl>
    <w:lvl w:ilvl="6">
      <w:start w:val="0"/>
      <w:numFmt w:val="bullet"/>
      <w:lvlText w:val="•"/>
      <w:lvlJc w:val="left"/>
      <w:pPr>
        <w:ind w:left="6275" w:hanging="738"/>
      </w:pPr>
      <w:rPr>
        <w:rFonts w:hint="default"/>
        <w:lang w:val="zh-CN" w:eastAsia="zh-CN" w:bidi="zh-CN"/>
      </w:rPr>
    </w:lvl>
    <w:lvl w:ilvl="7">
      <w:start w:val="0"/>
      <w:numFmt w:val="bullet"/>
      <w:lvlText w:val="•"/>
      <w:lvlJc w:val="left"/>
      <w:pPr>
        <w:ind w:left="7078" w:hanging="738"/>
      </w:pPr>
      <w:rPr>
        <w:rFonts w:hint="default"/>
        <w:lang w:val="zh-CN" w:eastAsia="zh-CN" w:bidi="zh-CN"/>
      </w:rPr>
    </w:lvl>
    <w:lvl w:ilvl="8">
      <w:start w:val="0"/>
      <w:numFmt w:val="bullet"/>
      <w:lvlText w:val="•"/>
      <w:lvlJc w:val="left"/>
      <w:pPr>
        <w:ind w:left="7881" w:hanging="738"/>
      </w:pPr>
      <w:rPr>
        <w:rFonts w:hint="default"/>
        <w:lang w:val="zh-CN" w:eastAsia="zh-CN" w:bidi="zh-CN"/>
      </w:rPr>
    </w:lvl>
  </w:abstractNum>
  <w:abstractNum w:abstractNumId="9">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8">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7">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6">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5">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4">
    <w:multiLevelType w:val="hybridMultilevel"/>
    <w:lvl w:ilvl="0">
      <w:start w:val="1"/>
      <w:numFmt w:val="decimal"/>
      <w:lvlText w:val="（%1）"/>
      <w:lvlJc w:val="left"/>
      <w:pPr>
        <w:ind w:left="126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82" w:hanging="529"/>
      </w:pPr>
      <w:rPr>
        <w:rFonts w:hint="default"/>
        <w:lang w:val="zh-CN" w:eastAsia="zh-CN" w:bidi="zh-CN"/>
      </w:rPr>
    </w:lvl>
    <w:lvl w:ilvl="2">
      <w:start w:val="0"/>
      <w:numFmt w:val="bullet"/>
      <w:lvlText w:val="•"/>
      <w:lvlJc w:val="left"/>
      <w:pPr>
        <w:ind w:left="2905" w:hanging="529"/>
      </w:pPr>
      <w:rPr>
        <w:rFonts w:hint="default"/>
        <w:lang w:val="zh-CN" w:eastAsia="zh-CN" w:bidi="zh-CN"/>
      </w:rPr>
    </w:lvl>
    <w:lvl w:ilvl="3">
      <w:start w:val="0"/>
      <w:numFmt w:val="bullet"/>
      <w:lvlText w:val="•"/>
      <w:lvlJc w:val="left"/>
      <w:pPr>
        <w:ind w:left="3727" w:hanging="529"/>
      </w:pPr>
      <w:rPr>
        <w:rFonts w:hint="default"/>
        <w:lang w:val="zh-CN" w:eastAsia="zh-CN" w:bidi="zh-CN"/>
      </w:rPr>
    </w:lvl>
    <w:lvl w:ilvl="4">
      <w:start w:val="0"/>
      <w:numFmt w:val="bullet"/>
      <w:lvlText w:val="•"/>
      <w:lvlJc w:val="left"/>
      <w:pPr>
        <w:ind w:left="4550" w:hanging="529"/>
      </w:pPr>
      <w:rPr>
        <w:rFonts w:hint="default"/>
        <w:lang w:val="zh-CN" w:eastAsia="zh-CN" w:bidi="zh-CN"/>
      </w:rPr>
    </w:lvl>
    <w:lvl w:ilvl="5">
      <w:start w:val="0"/>
      <w:numFmt w:val="bullet"/>
      <w:lvlText w:val="•"/>
      <w:lvlJc w:val="left"/>
      <w:pPr>
        <w:ind w:left="5373" w:hanging="529"/>
      </w:pPr>
      <w:rPr>
        <w:rFonts w:hint="default"/>
        <w:lang w:val="zh-CN" w:eastAsia="zh-CN" w:bidi="zh-CN"/>
      </w:rPr>
    </w:lvl>
    <w:lvl w:ilvl="6">
      <w:start w:val="0"/>
      <w:numFmt w:val="bullet"/>
      <w:lvlText w:val="•"/>
      <w:lvlJc w:val="left"/>
      <w:pPr>
        <w:ind w:left="6195" w:hanging="529"/>
      </w:pPr>
      <w:rPr>
        <w:rFonts w:hint="default"/>
        <w:lang w:val="zh-CN" w:eastAsia="zh-CN" w:bidi="zh-CN"/>
      </w:rPr>
    </w:lvl>
    <w:lvl w:ilvl="7">
      <w:start w:val="0"/>
      <w:numFmt w:val="bullet"/>
      <w:lvlText w:val="•"/>
      <w:lvlJc w:val="left"/>
      <w:pPr>
        <w:ind w:left="7018" w:hanging="529"/>
      </w:pPr>
      <w:rPr>
        <w:rFonts w:hint="default"/>
        <w:lang w:val="zh-CN" w:eastAsia="zh-CN" w:bidi="zh-CN"/>
      </w:rPr>
    </w:lvl>
    <w:lvl w:ilvl="8">
      <w:start w:val="0"/>
      <w:numFmt w:val="bullet"/>
      <w:lvlText w:val="•"/>
      <w:lvlJc w:val="left"/>
      <w:pPr>
        <w:ind w:left="7841" w:hanging="529"/>
      </w:pPr>
      <w:rPr>
        <w:rFonts w:hint="default"/>
        <w:lang w:val="zh-CN" w:eastAsia="zh-CN" w:bidi="zh-CN"/>
      </w:rPr>
    </w:lvl>
  </w:abstractNum>
  <w:abstractNum w:abstractNumId="3">
    <w:multiLevelType w:val="hybridMultilevel"/>
    <w:lvl w:ilvl="0">
      <w:start w:val="1"/>
      <w:numFmt w:val="decimal"/>
      <w:lvlText w:val="（%1）"/>
      <w:lvlJc w:val="left"/>
      <w:pPr>
        <w:ind w:left="3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2">
    <w:multiLevelType w:val="hybridMultilevel"/>
    <w:lvl w:ilvl="0">
      <w:start w:val="1"/>
      <w:numFmt w:val="decimal"/>
      <w:lvlText w:val="（%1）"/>
      <w:lvlJc w:val="left"/>
      <w:pPr>
        <w:ind w:left="3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218" w:hanging="529"/>
      </w:pPr>
      <w:rPr>
        <w:rFonts w:hint="default"/>
        <w:lang w:val="zh-CN" w:eastAsia="zh-CN" w:bidi="zh-CN"/>
      </w:rPr>
    </w:lvl>
    <w:lvl w:ilvl="2">
      <w:start w:val="0"/>
      <w:numFmt w:val="bullet"/>
      <w:lvlText w:val="•"/>
      <w:lvlJc w:val="left"/>
      <w:pPr>
        <w:ind w:left="2137" w:hanging="529"/>
      </w:pPr>
      <w:rPr>
        <w:rFonts w:hint="default"/>
        <w:lang w:val="zh-CN" w:eastAsia="zh-CN" w:bidi="zh-CN"/>
      </w:rPr>
    </w:lvl>
    <w:lvl w:ilvl="3">
      <w:start w:val="0"/>
      <w:numFmt w:val="bullet"/>
      <w:lvlText w:val="•"/>
      <w:lvlJc w:val="left"/>
      <w:pPr>
        <w:ind w:left="3055" w:hanging="529"/>
      </w:pPr>
      <w:rPr>
        <w:rFonts w:hint="default"/>
        <w:lang w:val="zh-CN" w:eastAsia="zh-CN" w:bidi="zh-CN"/>
      </w:rPr>
    </w:lvl>
    <w:lvl w:ilvl="4">
      <w:start w:val="0"/>
      <w:numFmt w:val="bullet"/>
      <w:lvlText w:val="•"/>
      <w:lvlJc w:val="left"/>
      <w:pPr>
        <w:ind w:left="3974" w:hanging="529"/>
      </w:pPr>
      <w:rPr>
        <w:rFonts w:hint="default"/>
        <w:lang w:val="zh-CN" w:eastAsia="zh-CN" w:bidi="zh-CN"/>
      </w:rPr>
    </w:lvl>
    <w:lvl w:ilvl="5">
      <w:start w:val="0"/>
      <w:numFmt w:val="bullet"/>
      <w:lvlText w:val="•"/>
      <w:lvlJc w:val="left"/>
      <w:pPr>
        <w:ind w:left="4893" w:hanging="529"/>
      </w:pPr>
      <w:rPr>
        <w:rFonts w:hint="default"/>
        <w:lang w:val="zh-CN" w:eastAsia="zh-CN" w:bidi="zh-CN"/>
      </w:rPr>
    </w:lvl>
    <w:lvl w:ilvl="6">
      <w:start w:val="0"/>
      <w:numFmt w:val="bullet"/>
      <w:lvlText w:val="•"/>
      <w:lvlJc w:val="left"/>
      <w:pPr>
        <w:ind w:left="5811" w:hanging="529"/>
      </w:pPr>
      <w:rPr>
        <w:rFonts w:hint="default"/>
        <w:lang w:val="zh-CN" w:eastAsia="zh-CN" w:bidi="zh-CN"/>
      </w:rPr>
    </w:lvl>
    <w:lvl w:ilvl="7">
      <w:start w:val="0"/>
      <w:numFmt w:val="bullet"/>
      <w:lvlText w:val="•"/>
      <w:lvlJc w:val="left"/>
      <w:pPr>
        <w:ind w:left="6730" w:hanging="529"/>
      </w:pPr>
      <w:rPr>
        <w:rFonts w:hint="default"/>
        <w:lang w:val="zh-CN" w:eastAsia="zh-CN" w:bidi="zh-CN"/>
      </w:rPr>
    </w:lvl>
    <w:lvl w:ilvl="8">
      <w:start w:val="0"/>
      <w:numFmt w:val="bullet"/>
      <w:lvlText w:val="•"/>
      <w:lvlJc w:val="left"/>
      <w:pPr>
        <w:ind w:left="7649" w:hanging="529"/>
      </w:pPr>
      <w:rPr>
        <w:rFonts w:hint="default"/>
        <w:lang w:val="zh-CN" w:eastAsia="zh-CN" w:bidi="zh-CN"/>
      </w:rPr>
    </w:lvl>
  </w:abstractNum>
  <w:abstractNum w:abstractNumId="1">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abstractNum w:abstractNumId="0">
    <w:multiLevelType w:val="hybridMultilevel"/>
    <w:lvl w:ilvl="0">
      <w:start w:val="1"/>
      <w:numFmt w:val="decimal"/>
      <w:lvlText w:val="（%1）"/>
      <w:lvlJc w:val="left"/>
      <w:pPr>
        <w:ind w:left="12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64" w:hanging="529"/>
      </w:pPr>
      <w:rPr>
        <w:rFonts w:hint="default"/>
        <w:lang w:val="zh-CN" w:eastAsia="zh-CN" w:bidi="zh-CN"/>
      </w:rPr>
    </w:lvl>
    <w:lvl w:ilvl="2">
      <w:start w:val="0"/>
      <w:numFmt w:val="bullet"/>
      <w:lvlText w:val="•"/>
      <w:lvlJc w:val="left"/>
      <w:pPr>
        <w:ind w:left="2889" w:hanging="529"/>
      </w:pPr>
      <w:rPr>
        <w:rFonts w:hint="default"/>
        <w:lang w:val="zh-CN" w:eastAsia="zh-CN" w:bidi="zh-CN"/>
      </w:rPr>
    </w:lvl>
    <w:lvl w:ilvl="3">
      <w:start w:val="0"/>
      <w:numFmt w:val="bullet"/>
      <w:lvlText w:val="•"/>
      <w:lvlJc w:val="left"/>
      <w:pPr>
        <w:ind w:left="3713" w:hanging="529"/>
      </w:pPr>
      <w:rPr>
        <w:rFonts w:hint="default"/>
        <w:lang w:val="zh-CN" w:eastAsia="zh-CN" w:bidi="zh-CN"/>
      </w:rPr>
    </w:lvl>
    <w:lvl w:ilvl="4">
      <w:start w:val="0"/>
      <w:numFmt w:val="bullet"/>
      <w:lvlText w:val="•"/>
      <w:lvlJc w:val="left"/>
      <w:pPr>
        <w:ind w:left="4538" w:hanging="529"/>
      </w:pPr>
      <w:rPr>
        <w:rFonts w:hint="default"/>
        <w:lang w:val="zh-CN" w:eastAsia="zh-CN" w:bidi="zh-CN"/>
      </w:rPr>
    </w:lvl>
    <w:lvl w:ilvl="5">
      <w:start w:val="0"/>
      <w:numFmt w:val="bullet"/>
      <w:lvlText w:val="•"/>
      <w:lvlJc w:val="left"/>
      <w:pPr>
        <w:ind w:left="5363" w:hanging="529"/>
      </w:pPr>
      <w:rPr>
        <w:rFonts w:hint="default"/>
        <w:lang w:val="zh-CN" w:eastAsia="zh-CN" w:bidi="zh-CN"/>
      </w:rPr>
    </w:lvl>
    <w:lvl w:ilvl="6">
      <w:start w:val="0"/>
      <w:numFmt w:val="bullet"/>
      <w:lvlText w:val="•"/>
      <w:lvlJc w:val="left"/>
      <w:pPr>
        <w:ind w:left="6187" w:hanging="529"/>
      </w:pPr>
      <w:rPr>
        <w:rFonts w:hint="default"/>
        <w:lang w:val="zh-CN" w:eastAsia="zh-CN" w:bidi="zh-CN"/>
      </w:rPr>
    </w:lvl>
    <w:lvl w:ilvl="7">
      <w:start w:val="0"/>
      <w:numFmt w:val="bullet"/>
      <w:lvlText w:val="•"/>
      <w:lvlJc w:val="left"/>
      <w:pPr>
        <w:ind w:left="7012" w:hanging="529"/>
      </w:pPr>
      <w:rPr>
        <w:rFonts w:hint="default"/>
        <w:lang w:val="zh-CN" w:eastAsia="zh-CN" w:bidi="zh-CN"/>
      </w:rPr>
    </w:lvl>
    <w:lvl w:ilvl="8">
      <w:start w:val="0"/>
      <w:numFmt w:val="bullet"/>
      <w:lvlText w:val="•"/>
      <w:lvlJc w:val="left"/>
      <w:pPr>
        <w:ind w:left="7837" w:hanging="529"/>
      </w:pPr>
      <w:rPr>
        <w:rFonts w:hint="default"/>
        <w:lang w:val="zh-CN" w:eastAsia="zh-CN" w:bidi="zh-CN"/>
      </w:rPr>
    </w:lvl>
  </w:abstractNum>
  <w:num w:numId="60">
    <w:abstractNumId w:val="59"/>
  </w:num>
  <w:num w:numId="15">
    <w:abstractNumId w:val="14"/>
  </w:num>
  <w:num w:numId="13">
    <w:abstractNumId w:val="12"/>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206"/>
      <w:ind w:right="582"/>
      <w:jc w:val="center"/>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300" w:right="877"/>
      <w:jc w:val="center"/>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1249" w:hanging="530"/>
    </w:pPr>
    <w:rPr>
      <w:rFonts w:ascii="宋体" w:hAnsi="宋体" w:eastAsia="宋体" w:cs="宋体"/>
      <w:lang w:val="zh-CN" w:eastAsia="zh-CN" w:bidi="zh-CN"/>
    </w:rPr>
  </w:style>
  <w:style w:styleId="TableParagraph" w:type="paragraph">
    <w:name w:val="Table Paragraph"/>
    <w:basedOn w:val="Normal"/>
    <w:uiPriority w:val="1"/>
    <w:qFormat/>
    <w:pPr>
      <w:spacing w:before="2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ChinaAMC.com/" TargetMode="External"/><Relationship Id="rId10" Type="http://schemas.openxmlformats.org/officeDocument/2006/relationships/hyperlink" Target="http://www.icbc.com.cn/" TargetMode="External"/><Relationship Id="rId11" Type="http://schemas.openxmlformats.org/officeDocument/2006/relationships/hyperlink" Target="http://www.abchina.com/" TargetMode="External"/><Relationship Id="rId12" Type="http://schemas.openxmlformats.org/officeDocument/2006/relationships/hyperlink" Target="http://www.boc.cn/" TargetMode="External"/><Relationship Id="rId13" Type="http://schemas.openxmlformats.org/officeDocument/2006/relationships/hyperlink" Target="http://www.ccb.com/" TargetMode="External"/><Relationship Id="rId14" Type="http://schemas.openxmlformats.org/officeDocument/2006/relationships/hyperlink" Target="http://www.bankcomm.com/" TargetMode="External"/><Relationship Id="rId15" Type="http://schemas.openxmlformats.org/officeDocument/2006/relationships/hyperlink" Target="http://www.cmbchina.com/" TargetMode="External"/><Relationship Id="rId16" Type="http://schemas.openxmlformats.org/officeDocument/2006/relationships/hyperlink" Target="http://www.spdb.com.cn/" TargetMode="External"/><Relationship Id="rId17" Type="http://schemas.openxmlformats.org/officeDocument/2006/relationships/hyperlink" Target="http://www.cib.com.cn/" TargetMode="External"/><Relationship Id="rId18" Type="http://schemas.openxmlformats.org/officeDocument/2006/relationships/hyperlink" Target="http://www.cmbc.com.cn/" TargetMode="External"/><Relationship Id="rId19" Type="http://schemas.openxmlformats.org/officeDocument/2006/relationships/hyperlink" Target="http://www.psbc.com/" TargetMode="External"/><Relationship Id="rId20" Type="http://schemas.openxmlformats.org/officeDocument/2006/relationships/hyperlink" Target="http://www.bankofbeijing.com.cn/" TargetMode="External"/><Relationship Id="rId21" Type="http://schemas.openxmlformats.org/officeDocument/2006/relationships/hyperlink" Target="http://www.hxb.com.cn/" TargetMode="External"/><Relationship Id="rId22" Type="http://schemas.openxmlformats.org/officeDocument/2006/relationships/hyperlink" Target="http://www.bosc.cn/" TargetMode="External"/><Relationship Id="rId23" Type="http://schemas.openxmlformats.org/officeDocument/2006/relationships/hyperlink" Target="http://www.nbcb.cn/" TargetMode="External"/><Relationship Id="rId24" Type="http://schemas.openxmlformats.org/officeDocument/2006/relationships/hyperlink" Target="http://www.srcb.com/" TargetMode="External"/><Relationship Id="rId25" Type="http://schemas.openxmlformats.org/officeDocument/2006/relationships/hyperlink" Target="http://www.bjrcb.com/" TargetMode="External"/><Relationship Id="rId26" Type="http://schemas.openxmlformats.org/officeDocument/2006/relationships/hyperlink" Target="http://www.qdccb.com/" TargetMode="External"/><Relationship Id="rId27" Type="http://schemas.openxmlformats.org/officeDocument/2006/relationships/hyperlink" Target="http://www.hsbank.com.cn/" TargetMode="External"/><Relationship Id="rId28" Type="http://schemas.openxmlformats.org/officeDocument/2006/relationships/hyperlink" Target="http://www.czbank.com/" TargetMode="External"/><Relationship Id="rId29" Type="http://schemas.openxmlformats.org/officeDocument/2006/relationships/hyperlink" Target="http://www.dongguanbank.cn/" TargetMode="External"/><Relationship Id="rId30" Type="http://schemas.openxmlformats.org/officeDocument/2006/relationships/hyperlink" Target="http://www.hzbank.com.cn/" TargetMode="External"/><Relationship Id="rId31" Type="http://schemas.openxmlformats.org/officeDocument/2006/relationships/hyperlink" Target="http://www.njcb.com.cn/" TargetMode="External"/><Relationship Id="rId32" Type="http://schemas.openxmlformats.org/officeDocument/2006/relationships/hyperlink" Target="http://www.lsbchina.com/" TargetMode="External"/><Relationship Id="rId33" Type="http://schemas.openxmlformats.org/officeDocument/2006/relationships/hyperlink" Target="http://www.wzbank.cn/" TargetMode="External"/><Relationship Id="rId34" Type="http://schemas.openxmlformats.org/officeDocument/2006/relationships/hyperlink" Target="http://www.hkbchina.com/" TargetMode="External"/><Relationship Id="rId35" Type="http://schemas.openxmlformats.org/officeDocument/2006/relationships/hyperlink" Target="http://www.jsbchina.cn/" TargetMode="External"/><Relationship Id="rId36" Type="http://schemas.openxmlformats.org/officeDocument/2006/relationships/hyperlink" Target="http://www.cbhb.com.cn/" TargetMode="External"/><Relationship Id="rId37" Type="http://schemas.openxmlformats.org/officeDocument/2006/relationships/hyperlink" Target="http://www.bankofluoyang.com.cn/" TargetMode="External"/><Relationship Id="rId38" Type="http://schemas.openxmlformats.org/officeDocument/2006/relationships/hyperlink" Target="http://www.uccb.com.cn/" TargetMode="External"/><Relationship Id="rId39" Type="http://schemas.openxmlformats.org/officeDocument/2006/relationships/hyperlink" Target="http://www.yantaibank.net/" TargetMode="External"/><Relationship Id="rId40" Type="http://schemas.openxmlformats.org/officeDocument/2006/relationships/hyperlink" Target="http://www.bankofdl.com/" TargetMode="External"/><Relationship Id="rId41" Type="http://schemas.openxmlformats.org/officeDocument/2006/relationships/hyperlink" Target="http://www.cqcbank.com/" TargetMode="External"/><Relationship Id="rId42" Type="http://schemas.openxmlformats.org/officeDocument/2006/relationships/hyperlink" Target="http://www.drcbank.com/" TargetMode="External"/><Relationship Id="rId43" Type="http://schemas.openxmlformats.org/officeDocument/2006/relationships/hyperlink" Target="http://www.hebbank.com/" TargetMode="External"/><Relationship Id="rId44" Type="http://schemas.openxmlformats.org/officeDocument/2006/relationships/hyperlink" Target="http://www.szrcb.com/" TargetMode="External"/><Relationship Id="rId45" Type="http://schemas.openxmlformats.org/officeDocument/2006/relationships/hyperlink" Target="http://www.xacbank.com/" TargetMode="External"/><Relationship Id="rId46" Type="http://schemas.openxmlformats.org/officeDocument/2006/relationships/hyperlink" Target="http://www.jnbank.com.cn/" TargetMode="External"/><Relationship Id="rId47" Type="http://schemas.openxmlformats.org/officeDocument/2006/relationships/hyperlink" Target="http://www.bsb.com.cn/" TargetMode="External"/><Relationship Id="rId48" Type="http://schemas.openxmlformats.org/officeDocument/2006/relationships/hyperlink" Target="http://www.bankofchangsha.com/" TargetMode="External"/><Relationship Id="rId49" Type="http://schemas.openxmlformats.org/officeDocument/2006/relationships/hyperlink" Target="http://www.xmccb.com/" TargetMode="External"/><Relationship Id="rId50" Type="http://schemas.openxmlformats.org/officeDocument/2006/relationships/hyperlink" Target="http://www.jlbank.com.cn/" TargetMode="External"/><Relationship Id="rId51" Type="http://schemas.openxmlformats.org/officeDocument/2006/relationships/hyperlink" Target="http://www.suzhoubank.com/" TargetMode="External"/><Relationship Id="rId52" Type="http://schemas.openxmlformats.org/officeDocument/2006/relationships/hyperlink" Target="http://www/" TargetMode="External"/><Relationship Id="rId53" Type="http://schemas.openxmlformats.org/officeDocument/2006/relationships/hyperlink" Target="http://www.hrxjbank.com.cn/" TargetMode="External"/><Relationship Id="rId54" Type="http://schemas.openxmlformats.org/officeDocument/2006/relationships/hyperlink" Target="http://www.ynhtbank.com/" TargetMode="External"/><Relationship Id="rId55" Type="http://schemas.openxmlformats.org/officeDocument/2006/relationships/hyperlink" Target="http://www.zybank.com.cn/" TargetMode="External"/><Relationship Id="rId56" Type="http://schemas.openxmlformats.org/officeDocument/2006/relationships/hyperlink" Target="http://www.borf.cn/" TargetMode="External"/><Relationship Id="rId57" Type="http://schemas.openxmlformats.org/officeDocument/2006/relationships/hyperlink" Target="http://www.txsec.com/" TargetMode="External"/><Relationship Id="rId58" Type="http://schemas.openxmlformats.org/officeDocument/2006/relationships/hyperlink" Target="http://www.9ifund.com/" TargetMode="External"/><Relationship Id="rId59" Type="http://schemas.openxmlformats.org/officeDocument/2006/relationships/hyperlink" Target="http://8.jrj.com.cn/" TargetMode="External"/><Relationship Id="rId60" Type="http://schemas.openxmlformats.org/officeDocument/2006/relationships/hyperlink" Target="http://www.huilinbd.com/" TargetMode="External"/><Relationship Id="rId61" Type="http://schemas.openxmlformats.org/officeDocument/2006/relationships/hyperlink" Target="http://www.wacaijijin.com/" TargetMode="External"/><Relationship Id="rId62" Type="http://schemas.openxmlformats.org/officeDocument/2006/relationships/hyperlink" Target="http://www.xiquefund.com/" TargetMode="External"/><Relationship Id="rId63" Type="http://schemas.openxmlformats.org/officeDocument/2006/relationships/hyperlink" Target="http://www.baiyingfund.com/" TargetMode="External"/><Relationship Id="rId64" Type="http://schemas.openxmlformats.org/officeDocument/2006/relationships/hyperlink" Target="http://www.noah-fund.com/" TargetMode="External"/><Relationship Id="rId65" Type="http://schemas.openxmlformats.org/officeDocument/2006/relationships/hyperlink" Target="http://www.zlfund.cn/" TargetMode="External"/><Relationship Id="rId66" Type="http://schemas.openxmlformats.org/officeDocument/2006/relationships/hyperlink" Target="http://www.1234567.com.cn/" TargetMode="External"/><Relationship Id="rId67" Type="http://schemas.openxmlformats.org/officeDocument/2006/relationships/hyperlink" Target="http://www.ehowbuy.com/" TargetMode="External"/><Relationship Id="rId68" Type="http://schemas.openxmlformats.org/officeDocument/2006/relationships/hyperlink" Target="http://www.fund123.cn/" TargetMode="External"/><Relationship Id="rId69" Type="http://schemas.openxmlformats.org/officeDocument/2006/relationships/hyperlink" Target="http://www.erichfund.com/" TargetMode="External"/><Relationship Id="rId70" Type="http://schemas.openxmlformats.org/officeDocument/2006/relationships/hyperlink" Target="http://www.5ifund.com/" TargetMode="External"/><Relationship Id="rId71" Type="http://schemas.openxmlformats.org/officeDocument/2006/relationships/hyperlink" Target="http://www.myfund.com/" TargetMode="External"/><Relationship Id="rId72" Type="http://schemas.openxmlformats.org/officeDocument/2006/relationships/hyperlink" Target="http://www.leadfund.com.cn/" TargetMode="External"/><Relationship Id="rId73" Type="http://schemas.openxmlformats.org/officeDocument/2006/relationships/hyperlink" Target="http://www.jincheng-fund.com/" TargetMode="External"/><Relationship Id="rId74" Type="http://schemas.openxmlformats.org/officeDocument/2006/relationships/hyperlink" Target="http://www.harvestwm.cn/" TargetMode="External"/><Relationship Id="rId75" Type="http://schemas.openxmlformats.org/officeDocument/2006/relationships/hyperlink" Target="http://www.qiandaojr.com/" TargetMode="External"/><Relationship Id="rId76" Type="http://schemas.openxmlformats.org/officeDocument/2006/relationships/hyperlink" Target="http://www.5irich.com/" TargetMode="External"/><Relationship Id="rId77" Type="http://schemas.openxmlformats.org/officeDocument/2006/relationships/hyperlink" Target="http://www.puyifund.com/" TargetMode="External"/><Relationship Id="rId78" Type="http://schemas.openxmlformats.org/officeDocument/2006/relationships/hyperlink" Target="http://www.yixinfund.com/" TargetMode="External"/><Relationship Id="rId79" Type="http://schemas.openxmlformats.org/officeDocument/2006/relationships/hyperlink" Target="http://www.snjijin.com/" TargetMode="External"/><Relationship Id="rId80" Type="http://schemas.openxmlformats.org/officeDocument/2006/relationships/hyperlink" Target="http://www.zscffund.com/" TargetMode="External"/><Relationship Id="rId81" Type="http://schemas.openxmlformats.org/officeDocument/2006/relationships/hyperlink" Target="http://www.tenyuanfund.com/" TargetMode="External"/><Relationship Id="rId82" Type="http://schemas.openxmlformats.org/officeDocument/2006/relationships/hyperlink" Target="http://www.tonghuafund.com/" TargetMode="External"/><Relationship Id="rId83" Type="http://schemas.openxmlformats.org/officeDocument/2006/relationships/hyperlink" Target="http://www.chtwm.com/" TargetMode="External"/><Relationship Id="rId84" Type="http://schemas.openxmlformats.org/officeDocument/2006/relationships/hyperlink" Target="http://www.yitfund.com/" TargetMode="External"/><Relationship Id="rId85" Type="http://schemas.openxmlformats.org/officeDocument/2006/relationships/hyperlink" Target="http://www.hcjijin.com/" TargetMode="External"/><Relationship Id="rId86" Type="http://schemas.openxmlformats.org/officeDocument/2006/relationships/hyperlink" Target="http://www.shengshiview.com.cn/" TargetMode="External"/><Relationship Id="rId87" Type="http://schemas.openxmlformats.org/officeDocument/2006/relationships/hyperlink" Target="http://www.niuji.net/" TargetMode="External"/><Relationship Id="rId88" Type="http://schemas.openxmlformats.org/officeDocument/2006/relationships/hyperlink" Target="http://www.tdyhfund.com/" TargetMode="External"/><Relationship Id="rId89" Type="http://schemas.openxmlformats.org/officeDocument/2006/relationships/hyperlink" Target="http://www.zhixin-inv.com/" TargetMode="External"/><Relationship Id="rId90" Type="http://schemas.openxmlformats.org/officeDocument/2006/relationships/hyperlink" Target="http://www.fundhaiyin.com/" TargetMode="External"/><Relationship Id="rId91" Type="http://schemas.openxmlformats.org/officeDocument/2006/relationships/hyperlink" Target="http://www.jfcta.com/" TargetMode="External"/><Relationship Id="rId92" Type="http://schemas.openxmlformats.org/officeDocument/2006/relationships/hyperlink" Target="http://www.gomefund.com/" TargetMode="External"/><Relationship Id="rId93" Type="http://schemas.openxmlformats.org/officeDocument/2006/relationships/hyperlink" Target="http://www.wg.com.cn/" TargetMode="External"/><Relationship Id="rId94" Type="http://schemas.openxmlformats.org/officeDocument/2006/relationships/hyperlink" Target="http://www.xincai.com/" TargetMode="External"/><Relationship Id="rId95" Type="http://schemas.openxmlformats.org/officeDocument/2006/relationships/hyperlink" Target="http://www.htfund.com/" TargetMode="External"/><Relationship Id="rId96" Type="http://schemas.openxmlformats.org/officeDocument/2006/relationships/hyperlink" Target="http://www.jianfortune.com/" TargetMode="External"/><Relationship Id="rId97" Type="http://schemas.openxmlformats.org/officeDocument/2006/relationships/hyperlink" Target="http://www.520fund.com.cn/" TargetMode="External"/><Relationship Id="rId98" Type="http://schemas.openxmlformats.org/officeDocument/2006/relationships/hyperlink" Target="http://www.fengfd.com/" TargetMode="External"/><Relationship Id="rId99" Type="http://schemas.openxmlformats.org/officeDocument/2006/relationships/hyperlink" Target="http://www.66liantai.com/" TargetMode="External"/><Relationship Id="rId100" Type="http://schemas.openxmlformats.org/officeDocument/2006/relationships/hyperlink" Target="http://www.jhjzfund.com/" TargetMode="External"/><Relationship Id="rId101" Type="http://schemas.openxmlformats.org/officeDocument/2006/relationships/hyperlink" Target="http://www.haojiyoujijin.com/" TargetMode="External"/><Relationship Id="rId102" Type="http://schemas.openxmlformats.org/officeDocument/2006/relationships/hyperlink" Target="http://www.hotjijin.com/" TargetMode="External"/><Relationship Id="rId103" Type="http://schemas.openxmlformats.org/officeDocument/2006/relationships/hyperlink" Target="http://www.jiyufund.com.cn/" TargetMode="External"/><Relationship Id="rId104" Type="http://schemas.openxmlformats.org/officeDocument/2006/relationships/hyperlink" Target="http://www.zhongzhengfund.com/" TargetMode="External"/><Relationship Id="rId105" Type="http://schemas.openxmlformats.org/officeDocument/2006/relationships/hyperlink" Target="http://www.hongdianfund.com/" TargetMode="External"/><Relationship Id="rId106" Type="http://schemas.openxmlformats.org/officeDocument/2006/relationships/footer" Target="footer2.xml"/><Relationship Id="rId107" Type="http://schemas.openxmlformats.org/officeDocument/2006/relationships/hyperlink" Target="http://www.fujifund.cn/" TargetMode="External"/><Relationship Id="rId108" Type="http://schemas.openxmlformats.org/officeDocument/2006/relationships/hyperlink" Target="http://www.lufunds.com/" TargetMode="External"/><Relationship Id="rId109" Type="http://schemas.openxmlformats.org/officeDocument/2006/relationships/hyperlink" Target="http://www.dtfunds.com/" TargetMode="External"/><Relationship Id="rId110" Type="http://schemas.openxmlformats.org/officeDocument/2006/relationships/hyperlink" Target="http://www.yingmi.cn/" TargetMode="External"/><Relationship Id="rId111" Type="http://schemas.openxmlformats.org/officeDocument/2006/relationships/hyperlink" Target="http://www.hgccpb.com/" TargetMode="External"/><Relationship Id="rId112" Type="http://schemas.openxmlformats.org/officeDocument/2006/relationships/hyperlink" Target="http://www.ifastps.com.cn/" TargetMode="External"/><Relationship Id="rId113" Type="http://schemas.openxmlformats.org/officeDocument/2006/relationships/hyperlink" Target="http://www.jnlc.com/" TargetMode="External"/><Relationship Id="rId114" Type="http://schemas.openxmlformats.org/officeDocument/2006/relationships/hyperlink" Target="http://fund.jd.com/" TargetMode="External"/><Relationship Id="rId115" Type="http://schemas.openxmlformats.org/officeDocument/2006/relationships/hyperlink" Target="http://www.yibaijin.com/" TargetMode="External"/><Relationship Id="rId116" Type="http://schemas.openxmlformats.org/officeDocument/2006/relationships/hyperlink" Target="http://www.cmiwm.com/" TargetMode="External"/><Relationship Id="rId117" Type="http://schemas.openxmlformats.org/officeDocument/2006/relationships/hyperlink" Target="http://www.jfzinv.com/" TargetMode="External"/><Relationship Id="rId118" Type="http://schemas.openxmlformats.org/officeDocument/2006/relationships/hyperlink" Target="http://www.qiangungun.com/" TargetMode="External"/><Relationship Id="rId119" Type="http://schemas.openxmlformats.org/officeDocument/2006/relationships/hyperlink" Target="http://www.wanjiawealth.com/" TargetMode="External"/><Relationship Id="rId120" Type="http://schemas.openxmlformats.org/officeDocument/2006/relationships/hyperlink" Target="http://www.amcfortune.com/" TargetMode="External"/><Relationship Id="rId121" Type="http://schemas.openxmlformats.org/officeDocument/2006/relationships/hyperlink" Target="http://www.citicsf.com/" TargetMode="External"/><Relationship Id="rId122" Type="http://schemas.openxmlformats.org/officeDocument/2006/relationships/hyperlink" Target="http://www.ftol.com.cn/" TargetMode="External"/><Relationship Id="rId123" Type="http://schemas.openxmlformats.org/officeDocument/2006/relationships/hyperlink" Target="http://www.gtja.com/" TargetMode="External"/><Relationship Id="rId124" Type="http://schemas.openxmlformats.org/officeDocument/2006/relationships/hyperlink" Target="http://www.csc108.com/" TargetMode="External"/><Relationship Id="rId125" Type="http://schemas.openxmlformats.org/officeDocument/2006/relationships/hyperlink" Target="http://www.guosen.com.cn/" TargetMode="External"/><Relationship Id="rId126" Type="http://schemas.openxmlformats.org/officeDocument/2006/relationships/hyperlink" Target="http://www.newone.com.cn/" TargetMode="External"/><Relationship Id="rId127" Type="http://schemas.openxmlformats.org/officeDocument/2006/relationships/hyperlink" Target="http://www.gf.com.cn/" TargetMode="External"/><Relationship Id="rId128" Type="http://schemas.openxmlformats.org/officeDocument/2006/relationships/hyperlink" Target="http://www.cs.ecitic.com/" TargetMode="External"/><Relationship Id="rId129" Type="http://schemas.openxmlformats.org/officeDocument/2006/relationships/hyperlink" Target="http://www.chinastock.com.cn/" TargetMode="External"/><Relationship Id="rId130" Type="http://schemas.openxmlformats.org/officeDocument/2006/relationships/hyperlink" Target="http://www.htsec.com/" TargetMode="External"/><Relationship Id="rId131" Type="http://schemas.openxmlformats.org/officeDocument/2006/relationships/hyperlink" Target="http://www.swhysc.com/" TargetMode="External"/><Relationship Id="rId132" Type="http://schemas.openxmlformats.org/officeDocument/2006/relationships/hyperlink" Target="http://www.xyzq.com.cn/" TargetMode="External"/><Relationship Id="rId133" Type="http://schemas.openxmlformats.org/officeDocument/2006/relationships/hyperlink" Target="http://www.95579.com/" TargetMode="External"/><Relationship Id="rId134" Type="http://schemas.openxmlformats.org/officeDocument/2006/relationships/hyperlink" Target="http://www.essence.com.cn/" TargetMode="External"/><Relationship Id="rId135" Type="http://schemas.openxmlformats.org/officeDocument/2006/relationships/hyperlink" Target="http://www.swsc.com.cn/" TargetMode="External"/><Relationship Id="rId136" Type="http://schemas.openxmlformats.org/officeDocument/2006/relationships/hyperlink" Target="http://www.xcsc.com/" TargetMode="External"/><Relationship Id="rId137" Type="http://schemas.openxmlformats.org/officeDocument/2006/relationships/hyperlink" Target="http://www.wlzq.com.cn/" TargetMode="External"/><Relationship Id="rId138" Type="http://schemas.openxmlformats.org/officeDocument/2006/relationships/hyperlink" Target="http://www.mszq.com/" TargetMode="External"/><Relationship Id="rId139" Type="http://schemas.openxmlformats.org/officeDocument/2006/relationships/hyperlink" Target="http://www.gyzq.com.cn/" TargetMode="External"/><Relationship Id="rId140" Type="http://schemas.openxmlformats.org/officeDocument/2006/relationships/hyperlink" Target="http://www.ewww.com.cn/" TargetMode="External"/><Relationship Id="rId141" Type="http://schemas.openxmlformats.org/officeDocument/2006/relationships/hyperlink" Target="http://www.htsc.com.cn/" TargetMode="External"/><Relationship Id="rId142" Type="http://schemas.openxmlformats.org/officeDocument/2006/relationships/hyperlink" Target="http://www.i618.com.cn/" TargetMode="External"/><Relationship Id="rId143" Type="http://schemas.openxmlformats.org/officeDocument/2006/relationships/hyperlink" Target="http://sd.citics.com/" TargetMode="External"/><Relationship Id="rId144" Type="http://schemas.openxmlformats.org/officeDocument/2006/relationships/hyperlink" Target="http://www.dxzq.net.cn/" TargetMode="External"/><Relationship Id="rId145" Type="http://schemas.openxmlformats.org/officeDocument/2006/relationships/hyperlink" Target="http://www.dwzq.com.cn/" TargetMode="External"/><Relationship Id="rId146" Type="http://schemas.openxmlformats.org/officeDocument/2006/relationships/hyperlink" Target="http://www.cindasc.com/" TargetMode="External"/><Relationship Id="rId147" Type="http://schemas.openxmlformats.org/officeDocument/2006/relationships/hyperlink" Target="http://www.dfzq.com.cn/" TargetMode="External"/><Relationship Id="rId148" Type="http://schemas.openxmlformats.org/officeDocument/2006/relationships/hyperlink" Target="http://www.foundersc.com/" TargetMode="External"/><Relationship Id="rId149" Type="http://schemas.openxmlformats.org/officeDocument/2006/relationships/hyperlink" Target="http://www.cgws.com/" TargetMode="External"/><Relationship Id="rId150" Type="http://schemas.openxmlformats.org/officeDocument/2006/relationships/hyperlink" Target="http://www.ebscn.com/" TargetMode="External"/><Relationship Id="rId151" Type="http://schemas.openxmlformats.org/officeDocument/2006/relationships/hyperlink" Target="http://www.gzs.com.cn/" TargetMode="External"/><Relationship Id="rId152" Type="http://schemas.openxmlformats.org/officeDocument/2006/relationships/hyperlink" Target="http://www.nesc.cn/" TargetMode="External"/><Relationship Id="rId153" Type="http://schemas.openxmlformats.org/officeDocument/2006/relationships/hyperlink" Target="http://www.njzq.com.cn/" TargetMode="External"/><Relationship Id="rId154" Type="http://schemas.openxmlformats.org/officeDocument/2006/relationships/hyperlink" Target="http://www.962518.com/" TargetMode="External"/><Relationship Id="rId155" Type="http://schemas.openxmlformats.org/officeDocument/2006/relationships/hyperlink" Target="http://www.xsdzq.cn/" TargetMode="External"/><Relationship Id="rId156" Type="http://schemas.openxmlformats.org/officeDocument/2006/relationships/hyperlink" Target="http://www.dtsbc.com.cn/" TargetMode="External"/><Relationship Id="rId157" Type="http://schemas.openxmlformats.org/officeDocument/2006/relationships/hyperlink" Target="http://www.glsc.com.cn/" TargetMode="External"/><Relationship Id="rId158" Type="http://schemas.openxmlformats.org/officeDocument/2006/relationships/hyperlink" Target="http://www.stocke.com.cn/" TargetMode="External"/><Relationship Id="rId159" Type="http://schemas.openxmlformats.org/officeDocument/2006/relationships/hyperlink" Target="http://www.pingan.com/" TargetMode="External"/><Relationship Id="rId160" Type="http://schemas.openxmlformats.org/officeDocument/2006/relationships/hyperlink" Target="http://www.hazq.com/" TargetMode="External"/><Relationship Id="rId161" Type="http://schemas.openxmlformats.org/officeDocument/2006/relationships/hyperlink" Target="http://www.ghzq.com.cn/" TargetMode="External"/><Relationship Id="rId162" Type="http://schemas.openxmlformats.org/officeDocument/2006/relationships/hyperlink" Target="http://www.cfzq.com/" TargetMode="External"/><Relationship Id="rId163" Type="http://schemas.openxmlformats.org/officeDocument/2006/relationships/hyperlink" Target="http://www.dgzq.com.cn/" TargetMode="External"/><Relationship Id="rId164" Type="http://schemas.openxmlformats.org/officeDocument/2006/relationships/hyperlink" Target="http://www.ccnew.com/" TargetMode="External"/><Relationship Id="rId165" Type="http://schemas.openxmlformats.org/officeDocument/2006/relationships/hyperlink" Target="http://www.guodu.com/" TargetMode="External"/><Relationship Id="rId166" Type="http://schemas.openxmlformats.org/officeDocument/2006/relationships/hyperlink" Target="http://www.longone.com.cn/" TargetMode="External"/><Relationship Id="rId167" Type="http://schemas.openxmlformats.org/officeDocument/2006/relationships/hyperlink" Target="http://www.bocichina.com.cn/" TargetMode="External"/><Relationship Id="rId168" Type="http://schemas.openxmlformats.org/officeDocument/2006/relationships/hyperlink" Target="http://www.cnht.com.cn/" TargetMode="External"/><Relationship Id="rId169" Type="http://schemas.openxmlformats.org/officeDocument/2006/relationships/hyperlink" Target="http://www.gszq.com/" TargetMode="External"/><Relationship Id="rId170" Type="http://schemas.openxmlformats.org/officeDocument/2006/relationships/hyperlink" Target="http://www.hx168.com.cn/" TargetMode="External"/><Relationship Id="rId171" Type="http://schemas.openxmlformats.org/officeDocument/2006/relationships/hyperlink" Target="http://www.hysec.com/" TargetMode="External"/><Relationship Id="rId172" Type="http://schemas.openxmlformats.org/officeDocument/2006/relationships/hyperlink" Target="http://www.zts.com.cn/" TargetMode="External"/><Relationship Id="rId173" Type="http://schemas.openxmlformats.org/officeDocument/2006/relationships/hyperlink" Target="http://www.csco.com.cn/" TargetMode="External"/><Relationship Id="rId174" Type="http://schemas.openxmlformats.org/officeDocument/2006/relationships/hyperlink" Target="http://www.firstcapital.com.cn/" TargetMode="External"/><Relationship Id="rId175" Type="http://schemas.openxmlformats.org/officeDocument/2006/relationships/hyperlink" Target="http://www.chinalin.com/" TargetMode="External"/><Relationship Id="rId176" Type="http://schemas.openxmlformats.org/officeDocument/2006/relationships/hyperlink" Target="http://www.tebon.com.cn/" TargetMode="External"/><Relationship Id="rId177" Type="http://schemas.openxmlformats.org/officeDocument/2006/relationships/hyperlink" Target="http://www.westsecu.com/" TargetMode="External"/><Relationship Id="rId178" Type="http://schemas.openxmlformats.org/officeDocument/2006/relationships/hyperlink" Target="http://www.hfzq.com.cn/" TargetMode="External"/><Relationship Id="rId179" Type="http://schemas.openxmlformats.org/officeDocument/2006/relationships/hyperlink" Target="http://www.hlzqgs.com/" TargetMode="External"/><Relationship Id="rId180" Type="http://schemas.openxmlformats.org/officeDocument/2006/relationships/hyperlink" Target="http://www.cicc.com.cn/" TargetMode="External"/><Relationship Id="rId181" Type="http://schemas.openxmlformats.org/officeDocument/2006/relationships/hyperlink" Target="http://www.ctsec.com/" TargetMode="External"/><Relationship Id="rId182" Type="http://schemas.openxmlformats.org/officeDocument/2006/relationships/hyperlink" Target="http://www.shhxzq.com/" TargetMode="External"/><Relationship Id="rId183" Type="http://schemas.openxmlformats.org/officeDocument/2006/relationships/hyperlink" Target="http://www.wkzq.com.cn/" TargetMode="External"/><Relationship Id="rId184" Type="http://schemas.openxmlformats.org/officeDocument/2006/relationships/hyperlink" Target="http://www.cfsc.com.cn/" TargetMode="External"/><Relationship Id="rId185" Type="http://schemas.openxmlformats.org/officeDocument/2006/relationships/hyperlink" Target="http://www.ubssecurities.com/" TargetMode="External"/><Relationship Id="rId186" Type="http://schemas.openxmlformats.org/officeDocument/2006/relationships/hyperlink" Target="http://www.china-invs.cn/" TargetMode="External"/><Relationship Id="rId187" Type="http://schemas.openxmlformats.org/officeDocument/2006/relationships/hyperlink" Target="http://www.zszq.com/" TargetMode="External"/><Relationship Id="rId188" Type="http://schemas.openxmlformats.org/officeDocument/2006/relationships/hyperlink" Target="http://www.18.cn/" TargetMode="External"/><Relationship Id="rId189" Type="http://schemas.openxmlformats.org/officeDocument/2006/relationships/hyperlink" Target="http://www.grzq.com/" TargetMode="External"/><Relationship Id="rId190" Type="http://schemas.openxmlformats.org/officeDocument/2006/relationships/hyperlink" Target="http://www.ykzq.com/" TargetMode="External"/><Relationship Id="rId191" Type="http://schemas.openxmlformats.org/officeDocument/2006/relationships/hyperlink" Target="http://www.jhzq.com.cn/" TargetMode="External"/><Relationship Id="rId192" Type="http://schemas.openxmlformats.org/officeDocument/2006/relationships/hyperlink" Target="http://www.gjzq.com.cn/" TargetMode="External"/><Relationship Id="rId193" Type="http://schemas.openxmlformats.org/officeDocument/2006/relationships/hyperlink" Target="http://www.cnhbstock.com/" TargetMode="External"/><Relationship Id="rId194" Type="http://schemas.openxmlformats.org/officeDocument/2006/relationships/hyperlink" Target="http://www.gwgsc.com/" TargetMode="External"/><Relationship Id="rId195" Type="http://schemas.openxmlformats.org/officeDocument/2006/relationships/hyperlink" Target="http://www.ajzq.com/" TargetMode="External"/><Relationship Id="rId196" Type="http://schemas.openxmlformats.org/officeDocument/2006/relationships/hyperlink" Target="http://www.ydsc.com.cn/" TargetMode="External"/><Relationship Id="rId197" Type="http://schemas.openxmlformats.org/officeDocument/2006/relationships/hyperlink" Target="http://www.hrsec.com.cn/" TargetMode="External"/><Relationship Id="rId198" Type="http://schemas.openxmlformats.org/officeDocument/2006/relationships/hyperlink" Target="http://www.tfzq.com/" TargetMode="External"/><Relationship Id="rId199" Type="http://schemas.openxmlformats.org/officeDocument/2006/relationships/hyperlink" Target="http://www.iztzq.com/" TargetMode="External"/><Relationship Id="rId200" Type="http://schemas.openxmlformats.org/officeDocument/2006/relationships/hyperlink" Target="http://www.wanhesec.com.cn/" TargetMode="External"/><Relationship Id="rId201" Type="http://schemas.openxmlformats.org/officeDocument/2006/relationships/hyperlink" Target="http://www.hxzq.cn/" TargetMode="External"/><Relationship Id="rId202" Type="http://schemas.openxmlformats.org/officeDocument/2006/relationships/hyperlink" Target="http://www.tpyzq.com/" TargetMode="External"/><Relationship Id="rId203" Type="http://schemas.openxmlformats.org/officeDocument/2006/relationships/hyperlink" Target="http://www.kysec.cn/" TargetMode="External"/><Relationship Id="rId204" Type="http://schemas.openxmlformats.org/officeDocument/2006/relationships/hyperlink" Target="http://www.cczp.com/" TargetMode="External"/><Relationship Id="rId205" Type="http://schemas.openxmlformats.org/officeDocument/2006/relationships/hyperlink" Target="http://www.lczq.com/" TargetMode="External"/><Relationship Id="rId206" Type="http://schemas.openxmlformats.org/officeDocument/2006/relationships/hyperlink" Target="http://www.huaruisales.com/" TargetMode="External"/><Relationship Id="rId207" Type="http://schemas.openxmlformats.org/officeDocument/2006/relationships/hyperlink" Target="http://fund.sinosig.com/" TargetMode="External"/><Relationship Id="rId208" Type="http://schemas.openxmlformats.org/officeDocument/2006/relationships/hyperlink" Target="http://www.e-chinalife.com/" TargetMode="External"/><Relationship Id="rId209" Type="http://schemas.openxmlformats.org/officeDocument/2006/relationships/image" Target="media/image3.png"/><Relationship Id="rId210" Type="http://schemas.openxmlformats.org/officeDocument/2006/relationships/image" Target="media/image4.png"/><Relationship Id="rId211" Type="http://schemas.openxmlformats.org/officeDocument/2006/relationships/image" Target="media/image5.png"/><Relationship Id="rId212" Type="http://schemas.openxmlformats.org/officeDocument/2006/relationships/image" Target="media/image6.png"/><Relationship Id="rId213" Type="http://schemas.openxmlformats.org/officeDocument/2006/relationships/image" Target="media/image7.png"/><Relationship Id="rId214" Type="http://schemas.openxmlformats.org/officeDocument/2006/relationships/image" Target="media/image8.png"/><Relationship Id="rId215" Type="http://schemas.openxmlformats.org/officeDocument/2006/relationships/image" Target="media/image9.png"/><Relationship Id="rId216" Type="http://schemas.openxmlformats.org/officeDocument/2006/relationships/image" Target="media/image10.png"/><Relationship Id="rId217" Type="http://schemas.openxmlformats.org/officeDocument/2006/relationships/image" Target="media/image11.png"/><Relationship Id="rId218" Type="http://schemas.openxmlformats.org/officeDocument/2006/relationships/image" Target="media/image12.png"/><Relationship Id="rId219" Type="http://schemas.openxmlformats.org/officeDocument/2006/relationships/image" Target="media/image13.png"/><Relationship Id="rId220" Type="http://schemas.openxmlformats.org/officeDocument/2006/relationships/footer" Target="footer3.xml"/><Relationship Id="rId221" Type="http://schemas.openxmlformats.org/officeDocument/2006/relationships/footer" Target="footer4.xml"/><Relationship Id="rId222" Type="http://schemas.openxmlformats.org/officeDocument/2006/relationships/footer" Target="footer5.xml"/><Relationship Id="rId223" Type="http://schemas.openxmlformats.org/officeDocument/2006/relationships/footer" Target="footer6.xml"/><Relationship Id="rId224" Type="http://schemas.openxmlformats.org/officeDocument/2006/relationships/footer" Target="footer7.xml"/><Relationship Id="rId225" Type="http://schemas.openxmlformats.org/officeDocument/2006/relationships/footer" Target="footer8.xml"/><Relationship Id="rId226" Type="http://schemas.openxmlformats.org/officeDocument/2006/relationships/footer" Target="footer9.xml"/><Relationship Id="rId227" Type="http://schemas.openxmlformats.org/officeDocument/2006/relationships/footer" Target="footer10.xml"/><Relationship Id="rId228" Type="http://schemas.openxmlformats.org/officeDocument/2006/relationships/footer" Target="footer11.xml"/><Relationship Id="rId229" Type="http://schemas.openxmlformats.org/officeDocument/2006/relationships/footer" Target="footer12.xml"/><Relationship Id="rId230" Type="http://schemas.openxmlformats.org/officeDocument/2006/relationships/footer" Target="footer13.xml"/><Relationship Id="rId231" Type="http://schemas.openxmlformats.org/officeDocument/2006/relationships/footer" Target="footer14.xml"/><Relationship Id="rId232" Type="http://schemas.openxmlformats.org/officeDocument/2006/relationships/hyperlink" Target="http://www.chinaamc.com/" TargetMode="External"/><Relationship Id="rId233" Type="http://schemas.openxmlformats.org/officeDocument/2006/relationships/hyperlink" Target="mailto:service@ChinaAMC.com" TargetMode="External"/><Relationship Id="rId2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lidk</dc:creator>
  <dc:title>上证50交易型开放式指数证券投资基金（ETF）</dc:title>
  <dcterms:created xsi:type="dcterms:W3CDTF">2020-11-22T13:54:04Z</dcterms:created>
  <dcterms:modified xsi:type="dcterms:W3CDTF">2020-11-22T13:54:04Z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2020-11-22T00:00:00Z</vt:filetime>
  </property>
</Properties>
</file>