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9"/>
        </w:rPr>
      </w:pPr>
    </w:p>
    <w:p>
      <w:pPr>
        <w:spacing w:line="702" w:lineRule="exact" w:before="0"/>
        <w:ind w:left="835" w:right="2035" w:firstLine="0"/>
        <w:jc w:val="center"/>
        <w:rPr>
          <w:rFonts w:ascii="Microsoft JhengHei" w:eastAsia="Microsoft JhengHei" w:hint="eastAsia"/>
          <w:b/>
          <w:sz w:val="44"/>
        </w:rPr>
      </w:pPr>
      <w:r>
        <w:rPr>
          <w:rFonts w:ascii="Microsoft JhengHei" w:eastAsia="Microsoft JhengHei" w:hint="eastAsia"/>
          <w:b/>
          <w:sz w:val="44"/>
        </w:rPr>
        <w:t>易方达双债增强债券型证券投资基金</w:t>
      </w:r>
    </w:p>
    <w:p>
      <w:pPr>
        <w:spacing w:before="47"/>
        <w:ind w:left="835" w:right="2035"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3"/>
        <w:ind w:left="0"/>
        <w:rPr>
          <w:rFonts w:ascii="Microsoft JhengHei"/>
          <w:b/>
          <w:sz w:val="26"/>
        </w:rPr>
      </w:pPr>
    </w:p>
    <w:p>
      <w:pPr>
        <w:spacing w:line="254" w:lineRule="auto" w:before="1"/>
        <w:ind w:left="1671" w:right="2490" w:firstLine="2"/>
        <w:jc w:val="left"/>
        <w:rPr>
          <w:rFonts w:ascii="Microsoft JhengHei" w:eastAsia="Microsoft JhengHei" w:hint="eastAsia"/>
          <w:b/>
          <w:sz w:val="32"/>
        </w:rPr>
      </w:pPr>
      <w:r>
        <w:rPr>
          <w:rFonts w:ascii="Microsoft JhengHei" w:eastAsia="Microsoft JhengHei" w:hint="eastAsia"/>
          <w:b/>
          <w:sz w:val="32"/>
        </w:rPr>
        <w:t>基金管理人：易方达基金管理有限公司 </w:t>
      </w:r>
      <w:r>
        <w:rPr>
          <w:rFonts w:ascii="Microsoft JhengHei" w:eastAsia="Microsoft JhengHei" w:hint="eastAsia"/>
          <w:b/>
          <w:spacing w:val="-1"/>
          <w:sz w:val="32"/>
        </w:rPr>
        <w:t>基金托管人：中国建设银行股份有限公司</w:t>
      </w:r>
    </w:p>
    <w:p>
      <w:pPr>
        <w:pStyle w:val="BodyText"/>
        <w:spacing w:before="13"/>
        <w:ind w:left="0"/>
        <w:rPr>
          <w:rFonts w:ascii="Microsoft JhengHei"/>
          <w:b/>
          <w:sz w:val="33"/>
        </w:rPr>
      </w:pPr>
    </w:p>
    <w:p>
      <w:pPr>
        <w:spacing w:before="0"/>
        <w:ind w:left="835" w:right="1473" w:firstLine="0"/>
        <w:jc w:val="center"/>
        <w:rPr>
          <w:rFonts w:ascii="Microsoft JhengHei" w:hAnsi="Microsoft JhengHei" w:eastAsia="Microsoft JhengHei" w:hint="eastAsia"/>
          <w:b/>
          <w:sz w:val="32"/>
        </w:rPr>
      </w:pPr>
      <w:r>
        <w:rPr>
          <w:rFonts w:ascii="Microsoft JhengHei" w:hAnsi="Microsoft JhengHei" w:eastAsia="Microsoft JhengHei" w:hint="eastAsia"/>
          <w:b/>
          <w:sz w:val="32"/>
        </w:rPr>
        <w:t>二○二○年十月</w:t>
      </w:r>
    </w:p>
    <w:p>
      <w:pPr>
        <w:spacing w:after="0"/>
        <w:jc w:val="center"/>
        <w:rPr>
          <w:rFonts w:ascii="Microsoft JhengHei" w:hAnsi="Microsoft JhengHei" w:eastAsia="Microsoft JhengHei" w:hint="eastAsia"/>
          <w:sz w:val="32"/>
        </w:rPr>
        <w:sectPr>
          <w:type w:val="continuous"/>
          <w:pgSz w:w="11910" w:h="16840"/>
          <w:pgMar w:top="1580" w:bottom="280" w:left="1580" w:right="380"/>
        </w:sectPr>
      </w:pPr>
    </w:p>
    <w:p>
      <w:pPr>
        <w:spacing w:before="15"/>
        <w:ind w:left="835" w:right="1473" w:firstLine="0"/>
        <w:jc w:val="center"/>
        <w:rPr>
          <w:rFonts w:ascii="Microsoft JhengHei" w:eastAsia="Microsoft JhengHei" w:hint="eastAsia"/>
          <w:b/>
          <w:sz w:val="28"/>
        </w:rPr>
      </w:pPr>
      <w:r>
        <w:rPr>
          <w:rFonts w:ascii="Microsoft JhengHei" w:eastAsia="Microsoft JhengHei" w:hint="eastAsia"/>
          <w:b/>
          <w:sz w:val="28"/>
        </w:rPr>
        <w:t>重要提示</w:t>
      </w:r>
    </w:p>
    <w:p>
      <w:pPr>
        <w:pStyle w:val="Heading4"/>
        <w:spacing w:before="51"/>
        <w:ind w:left="715"/>
        <w:jc w:val="both"/>
      </w:pPr>
      <w:r>
        <w:rPr/>
        <w:t>本基金根据 2011 年 9 月 23 日中国证券监督管理委员会《关于核准易方达双债增强债</w:t>
      </w:r>
    </w:p>
    <w:p>
      <w:pPr>
        <w:spacing w:line="254" w:lineRule="auto" w:before="23"/>
        <w:ind w:left="233" w:right="1433" w:firstLine="0"/>
        <w:jc w:val="both"/>
        <w:rPr>
          <w:rFonts w:ascii="Microsoft JhengHei" w:eastAsia="Microsoft JhengHei" w:hint="eastAsia"/>
          <w:b/>
          <w:sz w:val="21"/>
        </w:rPr>
      </w:pPr>
      <w:r>
        <w:rPr>
          <w:rFonts w:ascii="Microsoft JhengHei" w:eastAsia="Microsoft JhengHei" w:hint="eastAsia"/>
          <w:b/>
          <w:spacing w:val="3"/>
          <w:sz w:val="21"/>
        </w:rPr>
        <w:t>券型证券投资基金募集的批复》</w:t>
      </w:r>
      <w:r>
        <w:rPr>
          <w:rFonts w:ascii="Microsoft JhengHei" w:eastAsia="Microsoft JhengHei" w:hint="eastAsia"/>
          <w:b/>
          <w:spacing w:val="3"/>
          <w:w w:val="115"/>
          <w:sz w:val="21"/>
        </w:rPr>
        <w:t>(</w:t>
      </w:r>
      <w:r>
        <w:rPr>
          <w:rFonts w:ascii="Microsoft JhengHei" w:eastAsia="Microsoft JhengHei" w:hint="eastAsia"/>
          <w:b/>
          <w:spacing w:val="3"/>
          <w:sz w:val="21"/>
        </w:rPr>
        <w:t>证监许可[</w:t>
      </w:r>
      <w:r>
        <w:rPr>
          <w:rFonts w:ascii="Microsoft JhengHei" w:eastAsia="Microsoft JhengHei" w:hint="eastAsia"/>
          <w:b/>
          <w:sz w:val="21"/>
        </w:rPr>
        <w:t>2011]1539</w:t>
      </w:r>
      <w:r>
        <w:rPr>
          <w:rFonts w:ascii="Microsoft JhengHei" w:eastAsia="Microsoft JhengHei" w:hint="eastAsia"/>
          <w:b/>
          <w:spacing w:val="-11"/>
          <w:sz w:val="21"/>
        </w:rPr>
        <w:t> 号</w:t>
      </w:r>
      <w:r>
        <w:rPr>
          <w:rFonts w:ascii="Microsoft JhengHei" w:eastAsia="Microsoft JhengHei" w:hint="eastAsia"/>
          <w:b/>
          <w:spacing w:val="3"/>
          <w:w w:val="115"/>
          <w:sz w:val="21"/>
        </w:rPr>
        <w:t>)</w:t>
      </w:r>
      <w:r>
        <w:rPr>
          <w:rFonts w:ascii="Microsoft JhengHei" w:eastAsia="Microsoft JhengHei" w:hint="eastAsia"/>
          <w:b/>
          <w:spacing w:val="-13"/>
          <w:sz w:val="21"/>
        </w:rPr>
        <w:t>和 </w:t>
      </w:r>
      <w:r>
        <w:rPr>
          <w:rFonts w:ascii="Microsoft JhengHei" w:eastAsia="Microsoft JhengHei" w:hint="eastAsia"/>
          <w:b/>
          <w:sz w:val="21"/>
        </w:rPr>
        <w:t>2011</w:t>
      </w:r>
      <w:r>
        <w:rPr>
          <w:rFonts w:ascii="Microsoft JhengHei" w:eastAsia="Microsoft JhengHei" w:hint="eastAsia"/>
          <w:b/>
          <w:spacing w:val="-18"/>
          <w:sz w:val="21"/>
        </w:rPr>
        <w:t> 年 </w:t>
      </w:r>
      <w:r>
        <w:rPr>
          <w:rFonts w:ascii="Microsoft JhengHei" w:eastAsia="Microsoft JhengHei" w:hint="eastAsia"/>
          <w:b/>
          <w:sz w:val="21"/>
        </w:rPr>
        <w:t>10</w:t>
      </w:r>
      <w:r>
        <w:rPr>
          <w:rFonts w:ascii="Microsoft JhengHei" w:eastAsia="Microsoft JhengHei" w:hint="eastAsia"/>
          <w:b/>
          <w:spacing w:val="-17"/>
          <w:sz w:val="21"/>
        </w:rPr>
        <w:t> 月 </w:t>
      </w:r>
      <w:r>
        <w:rPr>
          <w:rFonts w:ascii="Microsoft JhengHei" w:eastAsia="Microsoft JhengHei" w:hint="eastAsia"/>
          <w:b/>
          <w:sz w:val="21"/>
        </w:rPr>
        <w:t>20</w:t>
      </w:r>
      <w:r>
        <w:rPr>
          <w:rFonts w:ascii="Microsoft JhengHei" w:eastAsia="Microsoft JhengHei" w:hint="eastAsia"/>
          <w:b/>
          <w:spacing w:val="-3"/>
          <w:sz w:val="21"/>
        </w:rPr>
        <w:t> 日《关于易</w:t>
      </w:r>
      <w:r>
        <w:rPr>
          <w:rFonts w:ascii="Microsoft JhengHei" w:eastAsia="Microsoft JhengHei" w:hint="eastAsia"/>
          <w:b/>
          <w:spacing w:val="3"/>
          <w:sz w:val="21"/>
        </w:rPr>
        <w:t>方达双债增强债券型证券投资基金募集时间安排的确认函》</w:t>
      </w:r>
      <w:r>
        <w:rPr>
          <w:rFonts w:ascii="Microsoft JhengHei" w:eastAsia="Microsoft JhengHei" w:hint="eastAsia"/>
          <w:b/>
          <w:spacing w:val="3"/>
          <w:w w:val="115"/>
          <w:sz w:val="21"/>
        </w:rPr>
        <w:t>(</w:t>
      </w:r>
      <w:r>
        <w:rPr>
          <w:rFonts w:ascii="Microsoft JhengHei" w:eastAsia="Microsoft JhengHei" w:hint="eastAsia"/>
          <w:b/>
          <w:spacing w:val="2"/>
          <w:sz w:val="21"/>
        </w:rPr>
        <w:t>基金部函[</w:t>
      </w:r>
      <w:r>
        <w:rPr>
          <w:rFonts w:ascii="Microsoft JhengHei" w:eastAsia="Microsoft JhengHei" w:hint="eastAsia"/>
          <w:b/>
          <w:sz w:val="21"/>
        </w:rPr>
        <w:t>2011]806</w:t>
      </w:r>
      <w:r>
        <w:rPr>
          <w:rFonts w:ascii="Microsoft JhengHei" w:eastAsia="Microsoft JhengHei" w:hint="eastAsia"/>
          <w:b/>
          <w:spacing w:val="-8"/>
          <w:sz w:val="21"/>
        </w:rPr>
        <w:t> 号</w:t>
      </w:r>
      <w:r>
        <w:rPr>
          <w:rFonts w:ascii="Microsoft JhengHei" w:eastAsia="Microsoft JhengHei" w:hint="eastAsia"/>
          <w:b/>
          <w:spacing w:val="3"/>
          <w:w w:val="115"/>
          <w:sz w:val="21"/>
        </w:rPr>
        <w:t>)</w:t>
      </w:r>
      <w:r>
        <w:rPr>
          <w:rFonts w:ascii="Microsoft JhengHei" w:eastAsia="Microsoft JhengHei" w:hint="eastAsia"/>
          <w:b/>
          <w:spacing w:val="1"/>
          <w:sz w:val="21"/>
        </w:rPr>
        <w:t>的核</w:t>
      </w:r>
      <w:r>
        <w:rPr>
          <w:rFonts w:ascii="Microsoft JhengHei" w:eastAsia="Microsoft JhengHei" w:hint="eastAsia"/>
          <w:b/>
          <w:sz w:val="21"/>
        </w:rPr>
        <w:t>准，进行募集。本基金的基金合同于 2011</w:t>
      </w:r>
      <w:r>
        <w:rPr>
          <w:rFonts w:ascii="Microsoft JhengHei" w:eastAsia="Microsoft JhengHei" w:hint="eastAsia"/>
          <w:b/>
          <w:spacing w:val="-3"/>
          <w:sz w:val="21"/>
        </w:rPr>
        <w:t> 年 </w:t>
      </w:r>
      <w:r>
        <w:rPr>
          <w:rFonts w:ascii="Microsoft JhengHei" w:eastAsia="Microsoft JhengHei" w:hint="eastAsia"/>
          <w:b/>
          <w:sz w:val="21"/>
        </w:rPr>
        <w:t>12</w:t>
      </w:r>
      <w:r>
        <w:rPr>
          <w:rFonts w:ascii="Microsoft JhengHei" w:eastAsia="Microsoft JhengHei" w:hint="eastAsia"/>
          <w:b/>
          <w:spacing w:val="-3"/>
          <w:sz w:val="21"/>
        </w:rPr>
        <w:t> 月 </w:t>
      </w:r>
      <w:r>
        <w:rPr>
          <w:rFonts w:ascii="Microsoft JhengHei" w:eastAsia="Microsoft JhengHei" w:hint="eastAsia"/>
          <w:b/>
          <w:sz w:val="21"/>
        </w:rPr>
        <w:t>1</w:t>
      </w:r>
      <w:r>
        <w:rPr>
          <w:rFonts w:ascii="Microsoft JhengHei" w:eastAsia="Microsoft JhengHei" w:hint="eastAsia"/>
          <w:b/>
          <w:spacing w:val="-2"/>
          <w:sz w:val="21"/>
        </w:rPr>
        <w:t> 日正式生效。</w:t>
      </w:r>
    </w:p>
    <w:p>
      <w:pPr>
        <w:spacing w:line="254" w:lineRule="auto" w:before="0"/>
        <w:ind w:left="233" w:right="1432" w:firstLine="482"/>
        <w:jc w:val="both"/>
        <w:rPr>
          <w:rFonts w:ascii="Microsoft JhengHei" w:eastAsia="Microsoft JhengHei" w:hint="eastAsia"/>
          <w:b/>
          <w:sz w:val="21"/>
        </w:rPr>
      </w:pPr>
      <w:r>
        <w:rPr>
          <w:rFonts w:ascii="Microsoft JhengHei" w:eastAsia="Microsoft JhengHei" w:hint="eastAsia"/>
          <w:b/>
          <w:sz w:val="2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spacing w:line="254" w:lineRule="auto" w:before="0"/>
        <w:ind w:left="233" w:right="1432" w:firstLine="482"/>
        <w:jc w:val="left"/>
        <w:rPr>
          <w:rFonts w:ascii="Microsoft JhengHei" w:eastAsia="Microsoft JhengHei" w:hint="eastAsia"/>
          <w:b/>
          <w:sz w:val="21"/>
        </w:rPr>
      </w:pPr>
      <w:r>
        <w:rPr>
          <w:rFonts w:ascii="Microsoft JhengHei" w:eastAsia="Microsoft JhengHei" w:hint="eastAsia"/>
          <w:b/>
          <w:sz w:val="21"/>
        </w:rPr>
        <w:t>基金管理人依照恪尽职守、诚实信用、谨慎勤勉的原则管理和运用基金财产，但不保证基金一定盈利，也不保证最低收益。</w:t>
      </w:r>
    </w:p>
    <w:p>
      <w:pPr>
        <w:spacing w:line="254" w:lineRule="auto" w:before="0"/>
        <w:ind w:left="233" w:right="1222" w:firstLine="482"/>
        <w:jc w:val="left"/>
        <w:rPr>
          <w:rFonts w:ascii="Microsoft JhengHei" w:eastAsia="Microsoft JhengHei" w:hint="eastAsia"/>
          <w:b/>
          <w:sz w:val="21"/>
        </w:rPr>
      </w:pPr>
      <w:r>
        <w:rPr>
          <w:rFonts w:ascii="Microsoft JhengHei" w:eastAsia="Microsoft JhengHei" w:hint="eastAsia"/>
          <w:b/>
          <w:sz w:val="21"/>
        </w:rPr>
        <w:t>本基金主要投资于可转债、信用债等固定收益品种并可参与一级市场股票投资，投资 者在投资本基金前，需充分了解本基金的产品特性，并承担基金投资中出现的各类风险。  投资本基金可能遇到的风险包括：利率风险，本基金持有的信用品种违约带来的信用风险， 新股发行数量减少及新股申购收益率降低带来的风险，股票市场的系统性风险及个别证券  特有的非系统性风险，等等；基金运作风险，包括由于基金投资人连续大量赎回基金产生  的流动性风险，本基金法律文件中涉及基金风险特征的表述与销售机构对基金的风险评级  可能不一致的风险，基金管理人在基金管理运作过程中产生的基金管理风险，等等。此外， </w:t>
      </w:r>
      <w:r>
        <w:rPr>
          <w:rFonts w:ascii="Microsoft JhengHei" w:eastAsia="Microsoft JhengHei" w:hint="eastAsia"/>
          <w:b/>
          <w:spacing w:val="7"/>
          <w:sz w:val="21"/>
        </w:rPr>
        <w:t>本基金以 </w:t>
      </w:r>
      <w:r>
        <w:rPr>
          <w:rFonts w:ascii="Microsoft JhengHei" w:eastAsia="Microsoft JhengHei" w:hint="eastAsia"/>
          <w:b/>
          <w:sz w:val="21"/>
        </w:rPr>
        <w:t>1</w:t>
      </w:r>
      <w:r>
        <w:rPr>
          <w:rFonts w:ascii="Microsoft JhengHei" w:eastAsia="Microsoft JhengHei" w:hint="eastAsia"/>
          <w:b/>
          <w:spacing w:val="1"/>
          <w:sz w:val="21"/>
        </w:rPr>
        <w:t> 元初始面值进行募集，在市场波动等因素的影响下，存在单位份额净值跌破 </w:t>
      </w:r>
      <w:r>
        <w:rPr>
          <w:rFonts w:ascii="Microsoft JhengHei" w:eastAsia="Microsoft JhengHei" w:hint="eastAsia"/>
          <w:b/>
          <w:sz w:val="21"/>
        </w:rPr>
        <w:t>1 元初始面值的风险。</w:t>
      </w:r>
    </w:p>
    <w:p>
      <w:pPr>
        <w:spacing w:line="254" w:lineRule="auto" w:before="0"/>
        <w:ind w:left="233" w:right="1309" w:firstLine="482"/>
        <w:jc w:val="left"/>
        <w:rPr>
          <w:rFonts w:ascii="Microsoft JhengHei" w:eastAsia="Microsoft JhengHei" w:hint="eastAsia"/>
          <w:b/>
          <w:sz w:val="21"/>
        </w:rPr>
      </w:pPr>
      <w:r>
        <w:rPr>
          <w:rFonts w:ascii="Microsoft JhengHei" w:eastAsia="Microsoft JhengHei" w:hint="eastAsia"/>
          <w:b/>
          <w:sz w:val="21"/>
        </w:rPr>
        <w:t>基金不同于银行储蓄，基金投资者有可能获得较高的收益，也有可能损失本金。投资有风险，投资者在进行投资决策前，请仔细阅读本基金的《招募说明书》及《基金合同》。</w:t>
      </w:r>
    </w:p>
    <w:p>
      <w:pPr>
        <w:spacing w:line="384" w:lineRule="exact" w:before="0"/>
        <w:ind w:left="715" w:right="0" w:firstLine="0"/>
        <w:jc w:val="left"/>
        <w:rPr>
          <w:rFonts w:ascii="Microsoft JhengHei" w:eastAsia="Microsoft JhengHei" w:hint="eastAsia"/>
          <w:b/>
          <w:sz w:val="21"/>
        </w:rPr>
      </w:pPr>
      <w:r>
        <w:rPr>
          <w:rFonts w:ascii="Microsoft JhengHei" w:eastAsia="Microsoft JhengHei" w:hint="eastAsia"/>
          <w:b/>
          <w:sz w:val="21"/>
        </w:rPr>
        <w:t>基金的过往业绩并不预示其未来表现。</w:t>
      </w:r>
    </w:p>
    <w:p>
      <w:pPr>
        <w:spacing w:line="254" w:lineRule="auto" w:before="8"/>
        <w:ind w:left="233" w:right="1432" w:firstLine="482"/>
        <w:jc w:val="left"/>
        <w:rPr>
          <w:rFonts w:ascii="Microsoft JhengHei" w:eastAsia="Microsoft JhengHei" w:hint="eastAsia"/>
          <w:b/>
          <w:sz w:val="21"/>
        </w:rPr>
      </w:pPr>
      <w:r>
        <w:rPr>
          <w:rFonts w:ascii="Microsoft JhengHei" w:eastAsia="Microsoft JhengHei" w:hint="eastAsia"/>
          <w:b/>
          <w:sz w:val="21"/>
        </w:rPr>
        <w:t>基金合同约定的基金产品资料概要编制、披露与更新要求，自《信息披露办法》实施之日起一年后开始执行。</w:t>
      </w:r>
    </w:p>
    <w:p>
      <w:pPr>
        <w:spacing w:line="254" w:lineRule="auto" w:before="0"/>
        <w:ind w:left="233" w:right="1433" w:firstLine="482"/>
        <w:jc w:val="left"/>
        <w:rPr>
          <w:rFonts w:ascii="Microsoft JhengHei" w:eastAsia="Microsoft JhengHei" w:hint="eastAsia"/>
          <w:b/>
          <w:sz w:val="21"/>
        </w:rPr>
      </w:pPr>
      <w:r>
        <w:rPr>
          <w:rFonts w:ascii="Microsoft JhengHei" w:eastAsia="Microsoft JhengHei" w:hint="eastAsia"/>
          <w:b/>
          <w:sz w:val="21"/>
        </w:rPr>
        <w:t>本基金本次更新招募说明书对基金经理变更及董事、监事、高级管理人员相关信息进</w:t>
      </w:r>
      <w:r>
        <w:rPr>
          <w:rFonts w:ascii="Microsoft JhengHei" w:eastAsia="Microsoft JhengHei" w:hint="eastAsia"/>
          <w:b/>
          <w:spacing w:val="-6"/>
          <w:sz w:val="21"/>
        </w:rPr>
        <w:t>行更新，相关信息更新截止日为 </w:t>
      </w:r>
      <w:r>
        <w:rPr>
          <w:rFonts w:ascii="Microsoft JhengHei" w:eastAsia="Microsoft JhengHei" w:hint="eastAsia"/>
          <w:b/>
          <w:sz w:val="21"/>
        </w:rPr>
        <w:t>2020</w:t>
      </w:r>
      <w:r>
        <w:rPr>
          <w:rFonts w:ascii="Microsoft JhengHei" w:eastAsia="Microsoft JhengHei" w:hint="eastAsia"/>
          <w:b/>
          <w:spacing w:val="-18"/>
          <w:sz w:val="21"/>
        </w:rPr>
        <w:t> 年 </w:t>
      </w:r>
      <w:r>
        <w:rPr>
          <w:rFonts w:ascii="Microsoft JhengHei" w:eastAsia="Microsoft JhengHei" w:hint="eastAsia"/>
          <w:b/>
          <w:sz w:val="21"/>
        </w:rPr>
        <w:t>10</w:t>
      </w:r>
      <w:r>
        <w:rPr>
          <w:rFonts w:ascii="Microsoft JhengHei" w:eastAsia="Microsoft JhengHei" w:hint="eastAsia"/>
          <w:b/>
          <w:spacing w:val="-19"/>
          <w:sz w:val="21"/>
        </w:rPr>
        <w:t> 月 </w:t>
      </w:r>
      <w:r>
        <w:rPr>
          <w:rFonts w:ascii="Microsoft JhengHei" w:eastAsia="Microsoft JhengHei" w:hint="eastAsia"/>
          <w:b/>
          <w:sz w:val="21"/>
        </w:rPr>
        <w:t>16</w:t>
      </w:r>
      <w:r>
        <w:rPr>
          <w:rFonts w:ascii="Microsoft JhengHei" w:eastAsia="Microsoft JhengHei" w:hint="eastAsia"/>
          <w:b/>
          <w:spacing w:val="-8"/>
          <w:sz w:val="21"/>
        </w:rPr>
        <w:t> 日。除非另有说明，本招募说明书其他所</w:t>
      </w:r>
    </w:p>
    <w:p>
      <w:pPr>
        <w:spacing w:line="384" w:lineRule="exact" w:before="0"/>
        <w:ind w:left="233" w:right="0" w:firstLine="0"/>
        <w:jc w:val="left"/>
        <w:rPr>
          <w:rFonts w:ascii="Microsoft JhengHei" w:eastAsia="Microsoft JhengHei" w:hint="eastAsia"/>
          <w:b/>
          <w:sz w:val="21"/>
        </w:rPr>
      </w:pPr>
      <w:r>
        <w:rPr>
          <w:rFonts w:ascii="Microsoft JhengHei" w:eastAsia="Microsoft JhengHei" w:hint="eastAsia"/>
          <w:b/>
          <w:spacing w:val="-4"/>
          <w:sz w:val="21"/>
        </w:rPr>
        <w:t>载内容截止日为 </w:t>
      </w:r>
      <w:r>
        <w:rPr>
          <w:rFonts w:ascii="Microsoft JhengHei" w:eastAsia="Microsoft JhengHei" w:hint="eastAsia"/>
          <w:b/>
          <w:sz w:val="21"/>
        </w:rPr>
        <w:t>2020</w:t>
      </w:r>
      <w:r>
        <w:rPr>
          <w:rFonts w:ascii="Microsoft JhengHei" w:eastAsia="Microsoft JhengHei" w:hint="eastAsia"/>
          <w:b/>
          <w:spacing w:val="-17"/>
          <w:sz w:val="21"/>
        </w:rPr>
        <w:t> 年 </w:t>
      </w:r>
      <w:r>
        <w:rPr>
          <w:rFonts w:ascii="Microsoft JhengHei" w:eastAsia="Microsoft JhengHei" w:hint="eastAsia"/>
          <w:b/>
          <w:sz w:val="21"/>
        </w:rPr>
        <w:t>3</w:t>
      </w:r>
      <w:r>
        <w:rPr>
          <w:rFonts w:ascii="Microsoft JhengHei" w:eastAsia="Microsoft JhengHei" w:hint="eastAsia"/>
          <w:b/>
          <w:spacing w:val="-17"/>
          <w:sz w:val="21"/>
        </w:rPr>
        <w:t> 月 </w:t>
      </w:r>
      <w:r>
        <w:rPr>
          <w:rFonts w:ascii="Microsoft JhengHei" w:eastAsia="Microsoft JhengHei" w:hint="eastAsia"/>
          <w:b/>
          <w:sz w:val="21"/>
        </w:rPr>
        <w:t>16</w:t>
      </w:r>
      <w:r>
        <w:rPr>
          <w:rFonts w:ascii="Microsoft JhengHei" w:eastAsia="Microsoft JhengHei" w:hint="eastAsia"/>
          <w:b/>
          <w:spacing w:val="-10"/>
          <w:sz w:val="21"/>
        </w:rPr>
        <w:t> 日，有关财务数据截止日为 </w:t>
      </w:r>
      <w:r>
        <w:rPr>
          <w:rFonts w:ascii="Microsoft JhengHei" w:eastAsia="Microsoft JhengHei" w:hint="eastAsia"/>
          <w:b/>
          <w:sz w:val="21"/>
        </w:rPr>
        <w:t>2019</w:t>
      </w:r>
      <w:r>
        <w:rPr>
          <w:rFonts w:ascii="Microsoft JhengHei" w:eastAsia="Microsoft JhengHei" w:hint="eastAsia"/>
          <w:b/>
          <w:spacing w:val="-17"/>
          <w:sz w:val="21"/>
        </w:rPr>
        <w:t> 年 </w:t>
      </w:r>
      <w:r>
        <w:rPr>
          <w:rFonts w:ascii="Microsoft JhengHei" w:eastAsia="Microsoft JhengHei" w:hint="eastAsia"/>
          <w:b/>
          <w:sz w:val="21"/>
        </w:rPr>
        <w:t>12</w:t>
      </w:r>
      <w:r>
        <w:rPr>
          <w:rFonts w:ascii="Microsoft JhengHei" w:eastAsia="Microsoft JhengHei" w:hint="eastAsia"/>
          <w:b/>
          <w:spacing w:val="-17"/>
          <w:sz w:val="21"/>
        </w:rPr>
        <w:t> 月 </w:t>
      </w:r>
      <w:r>
        <w:rPr>
          <w:rFonts w:ascii="Microsoft JhengHei" w:eastAsia="Microsoft JhengHei" w:hint="eastAsia"/>
          <w:b/>
          <w:sz w:val="21"/>
        </w:rPr>
        <w:t>31</w:t>
      </w:r>
      <w:r>
        <w:rPr>
          <w:rFonts w:ascii="Microsoft JhengHei" w:eastAsia="Microsoft JhengHei" w:hint="eastAsia"/>
          <w:b/>
          <w:spacing w:val="-9"/>
          <w:sz w:val="21"/>
        </w:rPr>
        <w:t> 日，净值表现</w:t>
      </w:r>
    </w:p>
    <w:p>
      <w:pPr>
        <w:spacing w:before="21"/>
        <w:ind w:left="233" w:right="0" w:firstLine="0"/>
        <w:jc w:val="left"/>
        <w:rPr>
          <w:rFonts w:ascii="Microsoft JhengHei" w:eastAsia="Microsoft JhengHei" w:hint="eastAsia"/>
          <w:b/>
          <w:sz w:val="21"/>
        </w:rPr>
      </w:pPr>
      <w:r>
        <w:rPr>
          <w:rFonts w:ascii="Microsoft JhengHei" w:eastAsia="Microsoft JhengHei" w:hint="eastAsia"/>
          <w:b/>
          <w:sz w:val="21"/>
        </w:rPr>
        <w:t>截止日为 2019 年 12 月 31 日。（本报告中财务数据未经审计）</w:t>
      </w:r>
    </w:p>
    <w:p>
      <w:pPr>
        <w:spacing w:after="0"/>
        <w:jc w:val="left"/>
        <w:rPr>
          <w:rFonts w:ascii="Microsoft JhengHei" w:eastAsia="Microsoft JhengHei" w:hint="eastAsia"/>
          <w:sz w:val="21"/>
        </w:rPr>
        <w:sectPr>
          <w:pgSz w:w="11910" w:h="16840"/>
          <w:pgMar w:top="1580" w:bottom="280" w:left="1580" w:right="380"/>
        </w:sectPr>
      </w:pPr>
    </w:p>
    <w:p>
      <w:pPr>
        <w:spacing w:before="107"/>
        <w:ind w:left="835" w:right="2034" w:firstLine="0"/>
        <w:jc w:val="center"/>
        <w:rPr>
          <w:sz w:val="30"/>
        </w:rPr>
      </w:pPr>
      <w:r>
        <w:rPr>
          <w:sz w:val="30"/>
        </w:rPr>
        <w:t>目录</w:t>
      </w:r>
    </w:p>
    <w:p>
      <w:pPr>
        <w:spacing w:after="0"/>
        <w:jc w:val="center"/>
        <w:rPr>
          <w:sz w:val="30"/>
        </w:rPr>
        <w:sectPr>
          <w:footerReference w:type="default" r:id="rId5"/>
          <w:pgSz w:w="11910" w:h="16840"/>
          <w:pgMar w:footer="1245" w:header="0" w:top="1580" w:bottom="1782" w:left="1580" w:right="380"/>
          <w:pgNumType w:start="1"/>
        </w:sectPr>
      </w:pPr>
    </w:p>
    <w:sdt>
      <w:sdtPr>
        <w:docPartObj>
          <w:docPartGallery w:val="Table of Contents"/>
          <w:docPartUnique/>
        </w:docPartObj>
      </w:sdtPr>
      <w:sdtEndPr/>
      <w:sdtContent>
        <w:p>
          <w:pPr>
            <w:pStyle w:val="TOC1"/>
            <w:tabs>
              <w:tab w:pos="8175" w:val="left" w:leader="dot"/>
            </w:tabs>
            <w:spacing w:before="243"/>
          </w:pPr>
          <w:hyperlink w:history="true" w:anchor="_bookmark0">
            <w:r>
              <w:rPr/>
              <w:t>一、绪言</w:t>
              <w:tab/>
              <w:t>1</w:t>
            </w:r>
          </w:hyperlink>
        </w:p>
        <w:p>
          <w:pPr>
            <w:pStyle w:val="TOC1"/>
            <w:tabs>
              <w:tab w:pos="8175" w:val="left" w:leader="dot"/>
            </w:tabs>
            <w:spacing w:before="52"/>
          </w:pPr>
          <w:hyperlink w:history="true" w:anchor="_bookmark1">
            <w:r>
              <w:rPr/>
              <w:t>二、释义</w:t>
              <w:tab/>
              <w:t>2</w:t>
            </w:r>
          </w:hyperlink>
        </w:p>
        <w:p>
          <w:pPr>
            <w:pStyle w:val="TOC1"/>
            <w:tabs>
              <w:tab w:pos="8175" w:val="left" w:leader="dot"/>
            </w:tabs>
            <w:spacing w:before="53"/>
          </w:pPr>
          <w:hyperlink w:history="true" w:anchor="_bookmark2">
            <w:r>
              <w:rPr/>
              <w:t>三、基金管理人</w:t>
              <w:tab/>
              <w:t>6</w:t>
            </w:r>
          </w:hyperlink>
        </w:p>
        <w:p>
          <w:pPr>
            <w:pStyle w:val="TOC2"/>
            <w:tabs>
              <w:tab w:pos="7422" w:val="left" w:leader="dot"/>
            </w:tabs>
            <w:spacing w:before="95"/>
          </w:pPr>
          <w:hyperlink w:history="true" w:anchor="_bookmark3">
            <w:r>
              <w:rPr/>
              <w:t>(一)基金管理人基本情况</w:t>
              <w:tab/>
              <w:t>6</w:t>
            </w:r>
          </w:hyperlink>
        </w:p>
        <w:p>
          <w:pPr>
            <w:pStyle w:val="TOC2"/>
            <w:tabs>
              <w:tab w:pos="7422" w:val="left" w:leader="dot"/>
            </w:tabs>
          </w:pPr>
          <w:hyperlink w:history="true" w:anchor="_bookmark4">
            <w:r>
              <w:rPr/>
              <w:t>(二)主要人员情况</w:t>
              <w:tab/>
              <w:t>6</w:t>
            </w:r>
          </w:hyperlink>
        </w:p>
        <w:p>
          <w:pPr>
            <w:pStyle w:val="TOC2"/>
            <w:tabs>
              <w:tab w:pos="7317" w:val="left" w:leader="dot"/>
            </w:tabs>
          </w:pPr>
          <w:hyperlink w:history="true" w:anchor="_bookmark5">
            <w:r>
              <w:rPr/>
              <w:t>(三)基金管理人的职责</w:t>
              <w:tab/>
              <w:t>13</w:t>
            </w:r>
          </w:hyperlink>
        </w:p>
        <w:p>
          <w:pPr>
            <w:pStyle w:val="TOC2"/>
            <w:tabs>
              <w:tab w:pos="7317" w:val="left" w:leader="dot"/>
            </w:tabs>
          </w:pPr>
          <w:hyperlink w:history="true" w:anchor="_bookmark6">
            <w:r>
              <w:rPr/>
              <w:t>(四)基金管理人的承诺</w:t>
              <w:tab/>
              <w:t>13</w:t>
            </w:r>
          </w:hyperlink>
        </w:p>
        <w:p>
          <w:pPr>
            <w:pStyle w:val="TOC2"/>
            <w:tabs>
              <w:tab w:pos="7317" w:val="left" w:leader="dot"/>
            </w:tabs>
          </w:pPr>
          <w:hyperlink w:history="true" w:anchor="_bookmark7">
            <w:r>
              <w:rPr/>
              <w:t>(五)基金管理人的内部控制制度</w:t>
              <w:tab/>
              <w:t>14</w:t>
            </w:r>
          </w:hyperlink>
        </w:p>
        <w:p>
          <w:pPr>
            <w:pStyle w:val="TOC1"/>
            <w:tabs>
              <w:tab w:pos="8055" w:val="left" w:leader="dot"/>
            </w:tabs>
          </w:pPr>
          <w:hyperlink w:history="true" w:anchor="_bookmark8">
            <w:r>
              <w:rPr/>
              <w:t>四、基金托管人</w:t>
              <w:tab/>
              <w:t>18</w:t>
            </w:r>
          </w:hyperlink>
        </w:p>
        <w:p>
          <w:pPr>
            <w:pStyle w:val="TOC1"/>
            <w:tabs>
              <w:tab w:pos="8055" w:val="left" w:leader="dot"/>
            </w:tabs>
            <w:spacing w:before="53"/>
          </w:pPr>
          <w:hyperlink w:history="true" w:anchor="_bookmark9">
            <w:r>
              <w:rPr/>
              <w:t>五、相关服务机构</w:t>
              <w:tab/>
              <w:t>22</w:t>
            </w:r>
          </w:hyperlink>
        </w:p>
        <w:p>
          <w:pPr>
            <w:pStyle w:val="TOC2"/>
            <w:tabs>
              <w:tab w:pos="7317" w:val="left" w:leader="dot"/>
            </w:tabs>
            <w:spacing w:before="95"/>
          </w:pPr>
          <w:hyperlink w:history="true" w:anchor="_bookmark10">
            <w:r>
              <w:rPr/>
              <w:t>(一)基金份额销售机构</w:t>
              <w:tab/>
              <w:t>22</w:t>
            </w:r>
          </w:hyperlink>
        </w:p>
        <w:p>
          <w:pPr>
            <w:pStyle w:val="TOC2"/>
            <w:tabs>
              <w:tab w:pos="7317" w:val="left" w:leader="dot"/>
            </w:tabs>
          </w:pPr>
          <w:hyperlink w:history="true" w:anchor="_bookmark11">
            <w:r>
              <w:rPr/>
              <w:t>(二)基金注册登记机构</w:t>
              <w:tab/>
              <w:t>79</w:t>
            </w:r>
          </w:hyperlink>
        </w:p>
        <w:p>
          <w:pPr>
            <w:pStyle w:val="TOC2"/>
            <w:tabs>
              <w:tab w:pos="7317" w:val="left" w:leader="dot"/>
            </w:tabs>
          </w:pPr>
          <w:hyperlink w:history="true" w:anchor="_bookmark12">
            <w:r>
              <w:rPr/>
              <w:t>(三)律师事务所和经办律师</w:t>
              <w:tab/>
              <w:t>79</w:t>
            </w:r>
          </w:hyperlink>
        </w:p>
        <w:p>
          <w:pPr>
            <w:pStyle w:val="TOC2"/>
            <w:tabs>
              <w:tab w:pos="7317" w:val="left" w:leader="dot"/>
            </w:tabs>
          </w:pPr>
          <w:hyperlink w:history="true" w:anchor="_bookmark13">
            <w:r>
              <w:rPr/>
              <w:t>(四)会计师事务所和经办注册会计师</w:t>
              <w:tab/>
              <w:t>79</w:t>
            </w:r>
          </w:hyperlink>
        </w:p>
        <w:p>
          <w:pPr>
            <w:pStyle w:val="TOC1"/>
            <w:tabs>
              <w:tab w:pos="8055" w:val="left" w:leader="dot"/>
            </w:tabs>
          </w:pPr>
          <w:hyperlink w:history="true" w:anchor="_bookmark14">
            <w:r>
              <w:rPr/>
              <w:t>六、基金的募集</w:t>
              <w:tab/>
              <w:t>80</w:t>
            </w:r>
          </w:hyperlink>
        </w:p>
        <w:p>
          <w:pPr>
            <w:pStyle w:val="TOC1"/>
            <w:tabs>
              <w:tab w:pos="8055" w:val="left" w:leader="dot"/>
            </w:tabs>
            <w:spacing w:before="52"/>
          </w:pPr>
          <w:hyperlink w:history="true" w:anchor="_bookmark15">
            <w:r>
              <w:rPr/>
              <w:t>七、基金合同的生效</w:t>
              <w:tab/>
              <w:t>81</w:t>
            </w:r>
          </w:hyperlink>
        </w:p>
        <w:p>
          <w:pPr>
            <w:pStyle w:val="TOC2"/>
            <w:tabs>
              <w:tab w:pos="7317" w:val="left" w:leader="dot"/>
            </w:tabs>
            <w:spacing w:before="95"/>
          </w:pPr>
          <w:hyperlink w:history="true" w:anchor="_bookmark16">
            <w:r>
              <w:rPr/>
              <w:t>（一）基金合同的生效</w:t>
              <w:tab/>
              <w:t>81</w:t>
            </w:r>
          </w:hyperlink>
        </w:p>
        <w:p>
          <w:pPr>
            <w:pStyle w:val="TOC2"/>
            <w:tabs>
              <w:tab w:pos="7317" w:val="left" w:leader="dot"/>
            </w:tabs>
          </w:pPr>
          <w:hyperlink w:history="true" w:anchor="_bookmark17">
            <w:r>
              <w:rPr/>
              <w:t>（二）基金存续期内的基金份额持有人数量和资金额</w:t>
              <w:tab/>
              <w:t>81</w:t>
            </w:r>
          </w:hyperlink>
        </w:p>
        <w:p>
          <w:pPr>
            <w:pStyle w:val="TOC1"/>
            <w:tabs>
              <w:tab w:pos="8055" w:val="left" w:leader="dot"/>
            </w:tabs>
            <w:spacing w:before="136"/>
          </w:pPr>
          <w:hyperlink w:history="true" w:anchor="_bookmark18">
            <w:r>
              <w:rPr/>
              <w:t>八、基金份额的申购、赎回</w:t>
              <w:tab/>
              <w:t>82</w:t>
            </w:r>
          </w:hyperlink>
        </w:p>
        <w:p>
          <w:pPr>
            <w:pStyle w:val="TOC2"/>
            <w:tabs>
              <w:tab w:pos="7317" w:val="left" w:leader="dot"/>
            </w:tabs>
            <w:spacing w:before="95"/>
          </w:pPr>
          <w:hyperlink w:history="true" w:anchor="_bookmark19">
            <w:r>
              <w:rPr/>
              <w:t>(一)基金投资者范围</w:t>
              <w:tab/>
              <w:t>82</w:t>
            </w:r>
          </w:hyperlink>
        </w:p>
        <w:p>
          <w:pPr>
            <w:pStyle w:val="TOC2"/>
            <w:tabs>
              <w:tab w:pos="7317" w:val="left" w:leader="dot"/>
            </w:tabs>
          </w:pPr>
          <w:hyperlink w:history="true" w:anchor="_bookmark20">
            <w:r>
              <w:rPr/>
              <w:t>(二)申购与赎回的场所</w:t>
              <w:tab/>
              <w:t>82</w:t>
            </w:r>
          </w:hyperlink>
        </w:p>
        <w:p>
          <w:pPr>
            <w:pStyle w:val="TOC2"/>
            <w:tabs>
              <w:tab w:pos="7317" w:val="left" w:leader="dot"/>
            </w:tabs>
          </w:pPr>
          <w:hyperlink w:history="true" w:anchor="_bookmark21">
            <w:r>
              <w:rPr/>
              <w:t>(三)申购与赎回办理的开放日及时间</w:t>
              <w:tab/>
              <w:t>82</w:t>
            </w:r>
          </w:hyperlink>
        </w:p>
        <w:p>
          <w:pPr>
            <w:pStyle w:val="TOC2"/>
            <w:tabs>
              <w:tab w:pos="7317" w:val="left" w:leader="dot"/>
            </w:tabs>
          </w:pPr>
          <w:hyperlink w:history="true" w:anchor="_bookmark22">
            <w:r>
              <w:rPr/>
              <w:t>(四)申购与赎回的原则</w:t>
              <w:tab/>
              <w:t>82</w:t>
            </w:r>
          </w:hyperlink>
        </w:p>
        <w:p>
          <w:pPr>
            <w:pStyle w:val="TOC2"/>
            <w:tabs>
              <w:tab w:pos="7317" w:val="left" w:leader="dot"/>
            </w:tabs>
          </w:pPr>
          <w:hyperlink w:history="true" w:anchor="_bookmark23">
            <w:r>
              <w:rPr/>
              <w:t>(五)申购与赎回的程序</w:t>
              <w:tab/>
              <w:t>83</w:t>
            </w:r>
          </w:hyperlink>
        </w:p>
        <w:p>
          <w:pPr>
            <w:pStyle w:val="TOC2"/>
            <w:tabs>
              <w:tab w:pos="7317" w:val="left" w:leader="dot"/>
            </w:tabs>
          </w:pPr>
          <w:hyperlink w:history="true" w:anchor="_bookmark24">
            <w:r>
              <w:rPr/>
              <w:t>(六)申购与赎回的数额限制</w:t>
              <w:tab/>
              <w:t>83</w:t>
            </w:r>
          </w:hyperlink>
        </w:p>
        <w:p>
          <w:pPr>
            <w:pStyle w:val="TOC2"/>
            <w:tabs>
              <w:tab w:pos="7317" w:val="left" w:leader="dot"/>
            </w:tabs>
            <w:spacing w:before="177"/>
          </w:pPr>
          <w:hyperlink w:history="true" w:anchor="_bookmark25">
            <w:r>
              <w:rPr/>
              <w:t>(七)基金的申购费和赎回费</w:t>
              <w:tab/>
              <w:t>84</w:t>
            </w:r>
          </w:hyperlink>
        </w:p>
        <w:p>
          <w:pPr>
            <w:pStyle w:val="TOC2"/>
            <w:tabs>
              <w:tab w:pos="7317" w:val="left" w:leader="dot"/>
            </w:tabs>
          </w:pPr>
          <w:hyperlink w:history="true" w:anchor="_bookmark26">
            <w:r>
              <w:rPr/>
              <w:t>(八)申购和赎回的数额和价格</w:t>
              <w:tab/>
              <w:t>86</w:t>
            </w:r>
          </w:hyperlink>
        </w:p>
        <w:p>
          <w:pPr>
            <w:pStyle w:val="TOC2"/>
            <w:tabs>
              <w:tab w:pos="7317" w:val="left" w:leader="dot"/>
            </w:tabs>
          </w:pPr>
          <w:hyperlink w:history="true" w:anchor="_bookmark27">
            <w:r>
              <w:rPr/>
              <w:t>(九)申购与赎回的注册登记</w:t>
              <w:tab/>
              <w:t>87</w:t>
            </w:r>
          </w:hyperlink>
        </w:p>
        <w:p>
          <w:pPr>
            <w:pStyle w:val="TOC2"/>
            <w:tabs>
              <w:tab w:pos="7317" w:val="left" w:leader="dot"/>
            </w:tabs>
          </w:pPr>
          <w:hyperlink w:history="true" w:anchor="_bookmark28">
            <w:r>
              <w:rPr/>
              <w:t>(十)巨额赎回的认定及处理方式</w:t>
              <w:tab/>
              <w:t>88</w:t>
            </w:r>
          </w:hyperlink>
        </w:p>
        <w:p>
          <w:pPr>
            <w:pStyle w:val="TOC2"/>
            <w:tabs>
              <w:tab w:pos="7317" w:val="left" w:leader="dot"/>
            </w:tabs>
            <w:spacing w:after="144"/>
          </w:pPr>
          <w:hyperlink w:history="true" w:anchor="_bookmark29">
            <w:r>
              <w:rPr/>
              <w:t>(十一)拒绝或暂停申购、暂停赎回的情形及处理</w:t>
              <w:tab/>
              <w:t>88</w:t>
            </w:r>
          </w:hyperlink>
        </w:p>
        <w:p>
          <w:pPr>
            <w:pStyle w:val="TOC1"/>
            <w:tabs>
              <w:tab w:pos="8055" w:val="left" w:leader="dot"/>
            </w:tabs>
            <w:spacing w:before="151"/>
          </w:pPr>
          <w:hyperlink w:history="true" w:anchor="_bookmark30">
            <w:r>
              <w:rPr/>
              <w:t>九、基金转换</w:t>
              <w:tab/>
              <w:t>91</w:t>
            </w:r>
          </w:hyperlink>
        </w:p>
        <w:p>
          <w:pPr>
            <w:pStyle w:val="TOC2"/>
            <w:tabs>
              <w:tab w:pos="7317" w:val="left" w:leader="dot"/>
            </w:tabs>
            <w:spacing w:before="95"/>
          </w:pPr>
          <w:hyperlink w:history="true" w:anchor="_bookmark31">
            <w:r>
              <w:rPr/>
              <w:t>(一)基金转换开始日及时间</w:t>
              <w:tab/>
              <w:t>91</w:t>
            </w:r>
          </w:hyperlink>
        </w:p>
        <w:p>
          <w:pPr>
            <w:pStyle w:val="TOC2"/>
            <w:tabs>
              <w:tab w:pos="7317" w:val="left" w:leader="dot"/>
            </w:tabs>
          </w:pPr>
          <w:hyperlink w:history="true" w:anchor="_bookmark32">
            <w:r>
              <w:rPr/>
              <w:t>(二)基金转换的原则</w:t>
              <w:tab/>
              <w:t>91</w:t>
            </w:r>
          </w:hyperlink>
        </w:p>
        <w:p>
          <w:pPr>
            <w:pStyle w:val="TOC2"/>
            <w:tabs>
              <w:tab w:pos="7317" w:val="left" w:leader="dot"/>
            </w:tabs>
          </w:pPr>
          <w:hyperlink w:history="true" w:anchor="_bookmark33">
            <w:r>
              <w:rPr/>
              <w:t>(三)基金转换的程序</w:t>
              <w:tab/>
              <w:t>91</w:t>
            </w:r>
          </w:hyperlink>
        </w:p>
        <w:p>
          <w:pPr>
            <w:pStyle w:val="TOC2"/>
            <w:tabs>
              <w:tab w:pos="7317" w:val="left" w:leader="dot"/>
            </w:tabs>
          </w:pPr>
          <w:hyperlink w:history="true" w:anchor="_bookmark34">
            <w:r>
              <w:rPr/>
              <w:t>(四)基金转换的份额限制</w:t>
              <w:tab/>
              <w:t>92</w:t>
            </w:r>
          </w:hyperlink>
        </w:p>
        <w:p>
          <w:pPr>
            <w:pStyle w:val="TOC2"/>
            <w:tabs>
              <w:tab w:pos="7317" w:val="left" w:leader="dot"/>
            </w:tabs>
          </w:pPr>
          <w:hyperlink w:history="true" w:anchor="_bookmark35">
            <w:r>
              <w:rPr/>
              <w:t>(五)基金转换费率</w:t>
              <w:tab/>
              <w:t>92</w:t>
            </w:r>
          </w:hyperlink>
        </w:p>
        <w:p>
          <w:pPr>
            <w:pStyle w:val="TOC2"/>
            <w:tabs>
              <w:tab w:pos="7317" w:val="left" w:leader="dot"/>
            </w:tabs>
            <w:spacing w:before="177"/>
          </w:pPr>
          <w:hyperlink w:history="true" w:anchor="_bookmark36">
            <w:r>
              <w:rPr/>
              <w:t>(六)基金转换份额的计算方式</w:t>
              <w:tab/>
              <w:t>92</w:t>
            </w:r>
          </w:hyperlink>
        </w:p>
        <w:p>
          <w:pPr>
            <w:pStyle w:val="TOC2"/>
            <w:tabs>
              <w:tab w:pos="7317" w:val="left" w:leader="dot"/>
            </w:tabs>
          </w:pPr>
          <w:hyperlink w:history="true" w:anchor="_bookmark37">
            <w:r>
              <w:rPr/>
              <w:t>(七)基金转换的注册登记</w:t>
              <w:tab/>
              <w:t>95</w:t>
            </w:r>
          </w:hyperlink>
        </w:p>
        <w:p>
          <w:pPr>
            <w:pStyle w:val="TOC2"/>
            <w:tabs>
              <w:tab w:pos="7317" w:val="left" w:leader="dot"/>
            </w:tabs>
          </w:pPr>
          <w:hyperlink w:history="true" w:anchor="_bookmark38">
            <w:r>
              <w:rPr/>
              <w:t>(八)基金转换与巨额赎回</w:t>
              <w:tab/>
              <w:t>95</w:t>
            </w:r>
          </w:hyperlink>
        </w:p>
        <w:p>
          <w:pPr>
            <w:pStyle w:val="TOC2"/>
            <w:tabs>
              <w:tab w:pos="7317" w:val="left" w:leader="dot"/>
            </w:tabs>
          </w:pPr>
          <w:hyperlink w:history="true" w:anchor="_bookmark39">
            <w:r>
              <w:rPr/>
              <w:t>(九)暂停基金转换的情形</w:t>
              <w:tab/>
              <w:t>95</w:t>
            </w:r>
          </w:hyperlink>
        </w:p>
        <w:p>
          <w:pPr>
            <w:pStyle w:val="TOC1"/>
            <w:tabs>
              <w:tab w:pos="8055" w:val="left" w:leader="dot"/>
            </w:tabs>
            <w:spacing w:before="136"/>
          </w:pPr>
          <w:hyperlink w:history="true" w:anchor="_bookmark40">
            <w:r>
              <w:rPr/>
              <w:t>十、基金的转托管、非交易过户、冻结与解冻</w:t>
              <w:tab/>
              <w:t>97</w:t>
            </w:r>
          </w:hyperlink>
        </w:p>
        <w:p>
          <w:pPr>
            <w:pStyle w:val="TOC2"/>
            <w:tabs>
              <w:tab w:pos="7317" w:val="left" w:leader="dot"/>
            </w:tabs>
            <w:spacing w:before="95"/>
          </w:pPr>
          <w:hyperlink w:history="true" w:anchor="_bookmark41">
            <w:r>
              <w:rPr/>
              <w:t>(一)转托管</w:t>
              <w:tab/>
              <w:t>97</w:t>
            </w:r>
          </w:hyperlink>
        </w:p>
        <w:p>
          <w:pPr>
            <w:pStyle w:val="TOC2"/>
            <w:tabs>
              <w:tab w:pos="7317" w:val="left" w:leader="dot"/>
            </w:tabs>
          </w:pPr>
          <w:hyperlink w:history="true" w:anchor="_bookmark42">
            <w:r>
              <w:rPr/>
              <w:t>(二)基金的非交易过户</w:t>
              <w:tab/>
              <w:t>97</w:t>
            </w:r>
          </w:hyperlink>
        </w:p>
        <w:p>
          <w:pPr>
            <w:pStyle w:val="TOC2"/>
            <w:tabs>
              <w:tab w:pos="7317" w:val="left" w:leader="dot"/>
            </w:tabs>
          </w:pPr>
          <w:hyperlink w:history="true" w:anchor="_bookmark43">
            <w:r>
              <w:rPr/>
              <w:t>(三)基金的冻结与解冻</w:t>
              <w:tab/>
              <w:t>97</w:t>
            </w:r>
          </w:hyperlink>
        </w:p>
        <w:p>
          <w:pPr>
            <w:pStyle w:val="TOC1"/>
            <w:tabs>
              <w:tab w:pos="8055" w:val="left" w:leader="dot"/>
            </w:tabs>
          </w:pPr>
          <w:hyperlink w:history="true" w:anchor="_bookmark44">
            <w:r>
              <w:rPr/>
              <w:t>十一、基金的投资</w:t>
              <w:tab/>
              <w:t>98</w:t>
            </w:r>
          </w:hyperlink>
        </w:p>
        <w:p>
          <w:pPr>
            <w:pStyle w:val="TOC2"/>
            <w:tabs>
              <w:tab w:pos="7317" w:val="left" w:leader="dot"/>
            </w:tabs>
            <w:spacing w:before="95"/>
          </w:pPr>
          <w:hyperlink w:history="true" w:anchor="_bookmark45">
            <w:r>
              <w:rPr/>
              <w:t>(一)投资目标</w:t>
              <w:tab/>
              <w:t>98</w:t>
            </w:r>
          </w:hyperlink>
        </w:p>
        <w:p>
          <w:pPr>
            <w:pStyle w:val="TOC2"/>
            <w:tabs>
              <w:tab w:pos="7317" w:val="left" w:leader="dot"/>
            </w:tabs>
          </w:pPr>
          <w:hyperlink w:history="true" w:anchor="_bookmark46">
            <w:r>
              <w:rPr/>
              <w:t>(二)投资理念</w:t>
              <w:tab/>
              <w:t>98</w:t>
            </w:r>
          </w:hyperlink>
        </w:p>
        <w:p>
          <w:pPr>
            <w:pStyle w:val="TOC2"/>
            <w:tabs>
              <w:tab w:pos="7317" w:val="left" w:leader="dot"/>
            </w:tabs>
          </w:pPr>
          <w:hyperlink w:history="true" w:anchor="_bookmark47">
            <w:r>
              <w:rPr/>
              <w:t>(三)投资范围</w:t>
              <w:tab/>
              <w:t>98</w:t>
            </w:r>
          </w:hyperlink>
        </w:p>
        <w:p>
          <w:pPr>
            <w:pStyle w:val="TOC2"/>
            <w:tabs>
              <w:tab w:pos="7317" w:val="left" w:leader="dot"/>
            </w:tabs>
          </w:pPr>
          <w:hyperlink w:history="true" w:anchor="_bookmark48">
            <w:r>
              <w:rPr/>
              <w:t>(四)投资策略</w:t>
              <w:tab/>
              <w:t>98</w:t>
            </w:r>
          </w:hyperlink>
        </w:p>
        <w:p>
          <w:pPr>
            <w:pStyle w:val="TOC2"/>
            <w:tabs>
              <w:tab w:pos="7212" w:val="left" w:leader="dot"/>
            </w:tabs>
          </w:pPr>
          <w:hyperlink w:history="true" w:anchor="_bookmark49">
            <w:r>
              <w:rPr/>
              <w:t>(五)业绩比较基准</w:t>
              <w:tab/>
              <w:t>102</w:t>
            </w:r>
          </w:hyperlink>
        </w:p>
        <w:p>
          <w:pPr>
            <w:pStyle w:val="TOC2"/>
            <w:tabs>
              <w:tab w:pos="7212" w:val="left" w:leader="dot"/>
            </w:tabs>
          </w:pPr>
          <w:hyperlink w:history="true" w:anchor="_bookmark50">
            <w:r>
              <w:rPr/>
              <w:t>(六)风险收益特征</w:t>
              <w:tab/>
              <w:t>102</w:t>
            </w:r>
          </w:hyperlink>
        </w:p>
        <w:p>
          <w:pPr>
            <w:pStyle w:val="TOC2"/>
            <w:tabs>
              <w:tab w:pos="7212" w:val="left" w:leader="dot"/>
            </w:tabs>
          </w:pPr>
          <w:hyperlink w:history="true" w:anchor="_bookmark51">
            <w:r>
              <w:rPr/>
              <w:t>(七)投资决策</w:t>
              <w:tab/>
              <w:t>102</w:t>
            </w:r>
          </w:hyperlink>
        </w:p>
        <w:p>
          <w:pPr>
            <w:pStyle w:val="TOC2"/>
            <w:tabs>
              <w:tab w:pos="7212" w:val="left" w:leader="dot"/>
            </w:tabs>
          </w:pPr>
          <w:hyperlink w:history="true" w:anchor="_bookmark52">
            <w:r>
              <w:rPr/>
              <w:t>(八)投资禁止行为与限制</w:t>
              <w:tab/>
              <w:t>103</w:t>
            </w:r>
          </w:hyperlink>
        </w:p>
        <w:p>
          <w:pPr>
            <w:pStyle w:val="TOC2"/>
            <w:tabs>
              <w:tab w:pos="7212" w:val="left" w:leader="dot"/>
            </w:tabs>
          </w:pPr>
          <w:hyperlink w:history="true" w:anchor="_bookmark53">
            <w:r>
              <w:rPr/>
              <w:t>(九)投资组合比例调整</w:t>
              <w:tab/>
              <w:t>104</w:t>
            </w:r>
          </w:hyperlink>
        </w:p>
        <w:p>
          <w:pPr>
            <w:pStyle w:val="TOC2"/>
            <w:tabs>
              <w:tab w:pos="7212" w:val="left" w:leader="dot"/>
            </w:tabs>
            <w:spacing w:before="177"/>
          </w:pPr>
          <w:hyperlink w:history="true" w:anchor="_bookmark54">
            <w:r>
              <w:rPr/>
              <w:t>(十)基金的融资、融券</w:t>
              <w:tab/>
              <w:t>105</w:t>
            </w:r>
          </w:hyperlink>
        </w:p>
        <w:p>
          <w:pPr>
            <w:pStyle w:val="TOC2"/>
            <w:tabs>
              <w:tab w:pos="7212" w:val="left" w:leader="dot"/>
            </w:tabs>
          </w:pPr>
          <w:hyperlink w:history="true" w:anchor="_bookmark55">
            <w:r>
              <w:rPr/>
              <w:t>(十一)基金管理人代表基金行使股东权利及债权人权利的处理原则及方法</w:t>
              <w:tab/>
              <w:t>105</w:t>
            </w:r>
          </w:hyperlink>
        </w:p>
        <w:p>
          <w:pPr>
            <w:pStyle w:val="TOC2"/>
            <w:tabs>
              <w:tab w:pos="7212" w:val="left" w:leader="dot"/>
            </w:tabs>
          </w:pPr>
          <w:hyperlink w:history="true" w:anchor="_bookmark56">
            <w:r>
              <w:rPr/>
              <w:t>(十二)基金投资组合报告（未经审计）</w:t>
              <w:tab/>
              <w:t>105</w:t>
            </w:r>
          </w:hyperlink>
        </w:p>
        <w:p>
          <w:pPr>
            <w:pStyle w:val="TOC1"/>
            <w:tabs>
              <w:tab w:pos="7935" w:val="left" w:leader="dot"/>
            </w:tabs>
            <w:spacing w:before="136"/>
          </w:pPr>
          <w:hyperlink w:history="true" w:anchor="_bookmark57">
            <w:r>
              <w:rPr/>
              <w:t>十二、基金的业绩</w:t>
              <w:tab/>
              <w:t>110</w:t>
            </w:r>
          </w:hyperlink>
        </w:p>
        <w:p>
          <w:pPr>
            <w:pStyle w:val="TOC1"/>
            <w:tabs>
              <w:tab w:pos="7935" w:val="left" w:leader="dot"/>
            </w:tabs>
            <w:spacing w:before="52"/>
          </w:pPr>
          <w:hyperlink w:history="true" w:anchor="_bookmark58">
            <w:r>
              <w:rPr/>
              <w:t>十三、基金的财产</w:t>
              <w:tab/>
              <w:t>113</w:t>
            </w:r>
          </w:hyperlink>
        </w:p>
        <w:p>
          <w:pPr>
            <w:pStyle w:val="TOC2"/>
            <w:tabs>
              <w:tab w:pos="7212" w:val="left" w:leader="dot"/>
            </w:tabs>
            <w:spacing w:before="95"/>
          </w:pPr>
          <w:hyperlink w:history="true" w:anchor="_bookmark59">
            <w:r>
              <w:rPr/>
              <w:t>(一)基金资产总值</w:t>
              <w:tab/>
              <w:t>113</w:t>
            </w:r>
          </w:hyperlink>
        </w:p>
        <w:p>
          <w:pPr>
            <w:pStyle w:val="TOC2"/>
            <w:tabs>
              <w:tab w:pos="7212" w:val="left" w:leader="dot"/>
            </w:tabs>
            <w:spacing w:after="20"/>
          </w:pPr>
          <w:hyperlink w:history="true" w:anchor="_bookmark60">
            <w:r>
              <w:rPr/>
              <w:t>(二)基金资产净值</w:t>
              <w:tab/>
              <w:t>113</w:t>
            </w:r>
          </w:hyperlink>
        </w:p>
        <w:p>
          <w:pPr>
            <w:pStyle w:val="TOC2"/>
            <w:tabs>
              <w:tab w:pos="7212" w:val="left" w:leader="dot"/>
            </w:tabs>
            <w:spacing w:before="193"/>
          </w:pPr>
          <w:hyperlink w:history="true" w:anchor="_bookmark61">
            <w:r>
              <w:rPr/>
              <w:t>(三)基金财产的账户</w:t>
              <w:tab/>
              <w:t>113</w:t>
            </w:r>
          </w:hyperlink>
        </w:p>
        <w:p>
          <w:pPr>
            <w:pStyle w:val="TOC2"/>
            <w:tabs>
              <w:tab w:pos="7212" w:val="left" w:leader="dot"/>
            </w:tabs>
          </w:pPr>
          <w:hyperlink w:history="true" w:anchor="_bookmark62">
            <w:r>
              <w:rPr/>
              <w:t>(四)基金财产的处分</w:t>
              <w:tab/>
              <w:t>113</w:t>
            </w:r>
          </w:hyperlink>
        </w:p>
        <w:p>
          <w:pPr>
            <w:pStyle w:val="TOC1"/>
            <w:tabs>
              <w:tab w:pos="7935" w:val="left" w:leader="dot"/>
            </w:tabs>
            <w:spacing w:before="136"/>
          </w:pPr>
          <w:hyperlink w:history="true" w:anchor="_bookmark63">
            <w:r>
              <w:rPr/>
              <w:t>十四、基金资产的估值</w:t>
              <w:tab/>
              <w:t>114</w:t>
            </w:r>
          </w:hyperlink>
        </w:p>
        <w:p>
          <w:pPr>
            <w:pStyle w:val="TOC2"/>
            <w:tabs>
              <w:tab w:pos="7212" w:val="left" w:leader="dot"/>
            </w:tabs>
            <w:spacing w:before="95"/>
          </w:pPr>
          <w:hyperlink w:history="true" w:anchor="_bookmark64">
            <w:r>
              <w:rPr/>
              <w:t>(一)估值目的</w:t>
              <w:tab/>
              <w:t>114</w:t>
            </w:r>
          </w:hyperlink>
        </w:p>
        <w:p>
          <w:pPr>
            <w:pStyle w:val="TOC2"/>
            <w:tabs>
              <w:tab w:pos="7212" w:val="left" w:leader="dot"/>
            </w:tabs>
          </w:pPr>
          <w:hyperlink w:history="true" w:anchor="_bookmark65">
            <w:r>
              <w:rPr/>
              <w:t>(二)估值日</w:t>
              <w:tab/>
              <w:t>114</w:t>
            </w:r>
          </w:hyperlink>
        </w:p>
        <w:p>
          <w:pPr>
            <w:pStyle w:val="TOC2"/>
            <w:tabs>
              <w:tab w:pos="7212" w:val="left" w:leader="dot"/>
            </w:tabs>
          </w:pPr>
          <w:hyperlink w:history="true" w:anchor="_bookmark66">
            <w:r>
              <w:rPr/>
              <w:t>(三)估值方法</w:t>
              <w:tab/>
              <w:t>114</w:t>
            </w:r>
          </w:hyperlink>
        </w:p>
        <w:p>
          <w:pPr>
            <w:pStyle w:val="TOC2"/>
            <w:tabs>
              <w:tab w:pos="7212" w:val="left" w:leader="dot"/>
            </w:tabs>
            <w:spacing w:before="177"/>
          </w:pPr>
          <w:hyperlink w:history="true" w:anchor="_bookmark67">
            <w:r>
              <w:rPr/>
              <w:t>(四)估值对象</w:t>
              <w:tab/>
              <w:t>115</w:t>
            </w:r>
          </w:hyperlink>
        </w:p>
        <w:p>
          <w:pPr>
            <w:pStyle w:val="TOC2"/>
            <w:tabs>
              <w:tab w:pos="7212" w:val="left" w:leader="dot"/>
            </w:tabs>
          </w:pPr>
          <w:hyperlink w:history="true" w:anchor="_bookmark68">
            <w:r>
              <w:rPr/>
              <w:t>(五)估值程序</w:t>
              <w:tab/>
              <w:t>115</w:t>
            </w:r>
          </w:hyperlink>
        </w:p>
        <w:p>
          <w:pPr>
            <w:pStyle w:val="TOC2"/>
            <w:tabs>
              <w:tab w:pos="7212" w:val="left" w:leader="dot"/>
            </w:tabs>
          </w:pPr>
          <w:hyperlink w:history="true" w:anchor="_bookmark69">
            <w:r>
              <w:rPr/>
              <w:t>(六)估值错误的处理</w:t>
              <w:tab/>
              <w:t>115</w:t>
            </w:r>
          </w:hyperlink>
        </w:p>
        <w:p>
          <w:pPr>
            <w:pStyle w:val="TOC2"/>
            <w:tabs>
              <w:tab w:pos="7212" w:val="left" w:leader="dot"/>
            </w:tabs>
          </w:pPr>
          <w:hyperlink w:history="true" w:anchor="_bookmark70">
            <w:r>
              <w:rPr/>
              <w:t>(七)暂停估值的情形</w:t>
              <w:tab/>
              <w:t>117</w:t>
            </w:r>
          </w:hyperlink>
        </w:p>
        <w:p>
          <w:pPr>
            <w:pStyle w:val="TOC2"/>
            <w:tabs>
              <w:tab w:pos="7212" w:val="left" w:leader="dot"/>
            </w:tabs>
          </w:pPr>
          <w:hyperlink w:history="true" w:anchor="_bookmark71">
            <w:r>
              <w:rPr/>
              <w:t>(八)基金净值的确认</w:t>
              <w:tab/>
              <w:t>117</w:t>
            </w:r>
          </w:hyperlink>
        </w:p>
        <w:p>
          <w:pPr>
            <w:pStyle w:val="TOC2"/>
            <w:tabs>
              <w:tab w:pos="7212" w:val="left" w:leader="dot"/>
            </w:tabs>
          </w:pPr>
          <w:hyperlink w:history="true" w:anchor="_bookmark72">
            <w:r>
              <w:rPr/>
              <w:t>(九)特殊情况的处理</w:t>
              <w:tab/>
              <w:t>117</w:t>
            </w:r>
          </w:hyperlink>
        </w:p>
        <w:p>
          <w:pPr>
            <w:pStyle w:val="TOC1"/>
            <w:tabs>
              <w:tab w:pos="7935" w:val="left" w:leader="dot"/>
            </w:tabs>
            <w:spacing w:before="136"/>
          </w:pPr>
          <w:hyperlink w:history="true" w:anchor="_bookmark73">
            <w:r>
              <w:rPr/>
              <w:t>十五、基金的收益分配</w:t>
              <w:tab/>
              <w:t>119</w:t>
            </w:r>
          </w:hyperlink>
        </w:p>
        <w:p>
          <w:pPr>
            <w:pStyle w:val="TOC2"/>
            <w:tabs>
              <w:tab w:pos="7212" w:val="left" w:leader="dot"/>
            </w:tabs>
            <w:spacing w:before="95"/>
          </w:pPr>
          <w:hyperlink w:history="true" w:anchor="_bookmark74">
            <w:r>
              <w:rPr/>
              <w:t>(一)基金利润的构成</w:t>
              <w:tab/>
              <w:t>119</w:t>
            </w:r>
          </w:hyperlink>
        </w:p>
        <w:p>
          <w:pPr>
            <w:pStyle w:val="TOC2"/>
            <w:tabs>
              <w:tab w:pos="7212" w:val="left" w:leader="dot"/>
            </w:tabs>
          </w:pPr>
          <w:hyperlink w:history="true" w:anchor="_bookmark75">
            <w:r>
              <w:rPr/>
              <w:t>(二)基金可供分配利润</w:t>
              <w:tab/>
              <w:t>119</w:t>
            </w:r>
          </w:hyperlink>
        </w:p>
        <w:p>
          <w:pPr>
            <w:pStyle w:val="TOC2"/>
            <w:tabs>
              <w:tab w:pos="7212" w:val="left" w:leader="dot"/>
            </w:tabs>
            <w:spacing w:before="177"/>
          </w:pPr>
          <w:hyperlink w:history="true" w:anchor="_bookmark76">
            <w:r>
              <w:rPr/>
              <w:t>(三)收益分配原则</w:t>
              <w:tab/>
              <w:t>119</w:t>
            </w:r>
          </w:hyperlink>
        </w:p>
        <w:p>
          <w:pPr>
            <w:pStyle w:val="TOC2"/>
            <w:tabs>
              <w:tab w:pos="7212" w:val="left" w:leader="dot"/>
            </w:tabs>
          </w:pPr>
          <w:hyperlink w:history="true" w:anchor="_bookmark77">
            <w:r>
              <w:rPr/>
              <w:t>(四)收益分配方案</w:t>
              <w:tab/>
              <w:t>119</w:t>
            </w:r>
          </w:hyperlink>
        </w:p>
        <w:p>
          <w:pPr>
            <w:pStyle w:val="TOC2"/>
            <w:tabs>
              <w:tab w:pos="7212" w:val="left" w:leader="dot"/>
            </w:tabs>
          </w:pPr>
          <w:hyperlink w:history="true" w:anchor="_bookmark78">
            <w:r>
              <w:rPr/>
              <w:t>(五)收益分配方案的确定、公告与实施</w:t>
              <w:tab/>
              <w:t>119</w:t>
            </w:r>
          </w:hyperlink>
        </w:p>
        <w:p>
          <w:pPr>
            <w:pStyle w:val="TOC2"/>
            <w:tabs>
              <w:tab w:pos="7212" w:val="left" w:leader="dot"/>
            </w:tabs>
          </w:pPr>
          <w:hyperlink w:history="true" w:anchor="_bookmark79">
            <w:r>
              <w:rPr/>
              <w:t>(六)收益分配中发生的费用</w:t>
              <w:tab/>
              <w:t>120</w:t>
            </w:r>
          </w:hyperlink>
        </w:p>
        <w:p>
          <w:pPr>
            <w:pStyle w:val="TOC1"/>
            <w:tabs>
              <w:tab w:pos="7935" w:val="left" w:leader="dot"/>
            </w:tabs>
            <w:spacing w:before="136"/>
          </w:pPr>
          <w:hyperlink w:history="true" w:anchor="_bookmark80">
            <w:r>
              <w:rPr/>
              <w:t>十六、基金的费用与税收</w:t>
              <w:tab/>
              <w:t>121</w:t>
            </w:r>
          </w:hyperlink>
        </w:p>
        <w:p>
          <w:pPr>
            <w:pStyle w:val="TOC2"/>
            <w:tabs>
              <w:tab w:pos="7212" w:val="left" w:leader="dot"/>
            </w:tabs>
            <w:spacing w:before="95"/>
          </w:pPr>
          <w:hyperlink w:history="true" w:anchor="_bookmark81">
            <w:r>
              <w:rPr/>
              <w:t>(一)与基金运作相关的费用</w:t>
              <w:tab/>
              <w:t>121</w:t>
            </w:r>
          </w:hyperlink>
        </w:p>
        <w:p>
          <w:pPr>
            <w:pStyle w:val="TOC2"/>
            <w:tabs>
              <w:tab w:pos="7212" w:val="left" w:leader="dot"/>
            </w:tabs>
          </w:pPr>
          <w:hyperlink w:history="true" w:anchor="_bookmark82">
            <w:r>
              <w:rPr/>
              <w:t>(二)与基金销售相关的费用</w:t>
              <w:tab/>
              <w:t>122</w:t>
            </w:r>
          </w:hyperlink>
        </w:p>
        <w:p>
          <w:pPr>
            <w:pStyle w:val="TOC2"/>
            <w:tabs>
              <w:tab w:pos="7212" w:val="left" w:leader="dot"/>
            </w:tabs>
          </w:pPr>
          <w:hyperlink w:history="true" w:anchor="_bookmark83">
            <w:r>
              <w:rPr/>
              <w:t>(三)税收</w:t>
              <w:tab/>
              <w:t>123</w:t>
            </w:r>
          </w:hyperlink>
        </w:p>
        <w:p>
          <w:pPr>
            <w:pStyle w:val="TOC1"/>
            <w:tabs>
              <w:tab w:pos="7935" w:val="left" w:leader="dot"/>
            </w:tabs>
          </w:pPr>
          <w:hyperlink w:history="true" w:anchor="_bookmark84">
            <w:r>
              <w:rPr/>
              <w:t>十七、基金的会计与审计</w:t>
              <w:tab/>
              <w:t>124</w:t>
            </w:r>
          </w:hyperlink>
        </w:p>
        <w:p>
          <w:pPr>
            <w:pStyle w:val="TOC2"/>
            <w:tabs>
              <w:tab w:pos="7212" w:val="left" w:leader="dot"/>
            </w:tabs>
            <w:spacing w:before="95"/>
          </w:pPr>
          <w:hyperlink w:history="true" w:anchor="_bookmark85">
            <w:r>
              <w:rPr/>
              <w:t>(一)基金会计政策</w:t>
              <w:tab/>
              <w:t>124</w:t>
            </w:r>
          </w:hyperlink>
        </w:p>
        <w:p>
          <w:pPr>
            <w:pStyle w:val="TOC2"/>
            <w:tabs>
              <w:tab w:pos="7212" w:val="left" w:leader="dot"/>
            </w:tabs>
          </w:pPr>
          <w:hyperlink w:history="true" w:anchor="_bookmark86">
            <w:r>
              <w:rPr/>
              <w:t>(二)基金审计</w:t>
              <w:tab/>
              <w:t>124</w:t>
            </w:r>
          </w:hyperlink>
        </w:p>
        <w:p>
          <w:pPr>
            <w:pStyle w:val="TOC1"/>
            <w:tabs>
              <w:tab w:pos="7935" w:val="left" w:leader="dot"/>
            </w:tabs>
          </w:pPr>
          <w:hyperlink w:history="true" w:anchor="_bookmark87">
            <w:r>
              <w:rPr/>
              <w:t>十八、基金的信息披露</w:t>
              <w:tab/>
              <w:t>125</w:t>
            </w:r>
          </w:hyperlink>
        </w:p>
        <w:p>
          <w:pPr>
            <w:pStyle w:val="TOC2"/>
            <w:tabs>
              <w:tab w:pos="7212" w:val="left" w:leader="dot"/>
            </w:tabs>
            <w:spacing w:before="95"/>
          </w:pPr>
          <w:hyperlink w:history="true" w:anchor="_bookmark88">
            <w:r>
              <w:rPr/>
              <w:t>(一)信息披露的形式</w:t>
              <w:tab/>
              <w:t>125</w:t>
            </w:r>
          </w:hyperlink>
        </w:p>
        <w:p>
          <w:pPr>
            <w:pStyle w:val="TOC2"/>
            <w:tabs>
              <w:tab w:pos="7212" w:val="left" w:leader="dot"/>
            </w:tabs>
          </w:pPr>
          <w:hyperlink w:history="true" w:anchor="_bookmark89">
            <w:r>
              <w:rPr/>
              <w:t>(二)信息披露的种类、披露时间和披露形式</w:t>
              <w:tab/>
              <w:t>125</w:t>
            </w:r>
          </w:hyperlink>
        </w:p>
        <w:p>
          <w:pPr>
            <w:pStyle w:val="TOC2"/>
            <w:tabs>
              <w:tab w:pos="7212" w:val="left" w:leader="dot"/>
            </w:tabs>
          </w:pPr>
          <w:hyperlink w:history="true" w:anchor="_bookmark90">
            <w:r>
              <w:rPr/>
              <w:t>(三)信息披露文件的存放与查阅</w:t>
              <w:tab/>
              <w:t>128</w:t>
            </w:r>
          </w:hyperlink>
        </w:p>
        <w:p>
          <w:pPr>
            <w:pStyle w:val="TOC2"/>
            <w:tabs>
              <w:tab w:pos="7212" w:val="left" w:leader="dot"/>
            </w:tabs>
            <w:spacing w:after="20"/>
          </w:pPr>
          <w:hyperlink w:history="true" w:anchor="_bookmark91">
            <w:r>
              <w:rPr/>
              <w:t>(四)信息披露事务管理</w:t>
              <w:tab/>
              <w:t>128</w:t>
            </w:r>
          </w:hyperlink>
        </w:p>
        <w:p>
          <w:pPr>
            <w:pStyle w:val="TOC1"/>
            <w:tabs>
              <w:tab w:pos="7935" w:val="left" w:leader="dot"/>
            </w:tabs>
            <w:spacing w:before="151"/>
          </w:pPr>
          <w:hyperlink w:history="true" w:anchor="_bookmark92">
            <w:r>
              <w:rPr/>
              <w:t>十九、风险揭示</w:t>
              <w:tab/>
              <w:t>129</w:t>
            </w:r>
          </w:hyperlink>
        </w:p>
        <w:p>
          <w:pPr>
            <w:pStyle w:val="TOC2"/>
            <w:tabs>
              <w:tab w:pos="7212" w:val="left" w:leader="dot"/>
            </w:tabs>
            <w:spacing w:before="95"/>
          </w:pPr>
          <w:hyperlink w:history="true" w:anchor="_bookmark93">
            <w:r>
              <w:rPr/>
              <w:t>(一)市场风险</w:t>
              <w:tab/>
              <w:t>129</w:t>
            </w:r>
          </w:hyperlink>
        </w:p>
        <w:p>
          <w:pPr>
            <w:pStyle w:val="TOC2"/>
            <w:tabs>
              <w:tab w:pos="7212" w:val="left" w:leader="dot"/>
            </w:tabs>
          </w:pPr>
          <w:hyperlink w:history="true" w:anchor="_bookmark94">
            <w:r>
              <w:rPr/>
              <w:t>(二)管理风险</w:t>
              <w:tab/>
              <w:t>130</w:t>
            </w:r>
          </w:hyperlink>
        </w:p>
        <w:p>
          <w:pPr>
            <w:pStyle w:val="TOC3"/>
            <w:tabs>
              <w:tab w:pos="8186" w:val="left" w:leader="dot"/>
            </w:tabs>
          </w:pPr>
          <w:hyperlink w:history="true" w:anchor="_bookmark95">
            <w:r>
              <w:rPr/>
              <w:t>(三)流动性风险</w:t>
              <w:tab/>
              <w:t>130</w:t>
            </w:r>
          </w:hyperlink>
        </w:p>
        <w:p>
          <w:pPr>
            <w:pStyle w:val="TOC3"/>
            <w:tabs>
              <w:tab w:pos="8186" w:val="left" w:leader="dot"/>
            </w:tabs>
            <w:spacing w:line="398" w:lineRule="auto"/>
            <w:ind w:left="553" w:right="1432" w:firstLine="420"/>
          </w:pPr>
          <w:hyperlink w:history="true" w:anchor="_bookmark96">
            <w:r>
              <w:rPr/>
              <w:t>（四</w:t>
            </w:r>
            <w:r>
              <w:rPr>
                <w:spacing w:val="-23"/>
              </w:rPr>
              <w:t>）</w:t>
            </w:r>
            <w:r>
              <w:rPr/>
              <w:t>本基金法律文件中涉及基金风险特征的表述与销售机构对基金的风险评级</w:t>
            </w:r>
            <w:r>
              <w:rPr>
                <w:spacing w:val="-16"/>
              </w:rPr>
              <w:t>可</w:t>
            </w:r>
          </w:hyperlink>
          <w:hyperlink w:history="true" w:anchor="_bookmark96">
            <w:r>
              <w:rPr/>
              <w:t>能不一致的风险</w:t>
              <w:tab/>
              <w:t>131</w:t>
            </w:r>
          </w:hyperlink>
        </w:p>
        <w:p>
          <w:pPr>
            <w:pStyle w:val="TOC3"/>
            <w:tabs>
              <w:tab w:pos="8186" w:val="left" w:leader="dot"/>
            </w:tabs>
            <w:spacing w:before="0"/>
          </w:pPr>
          <w:hyperlink w:history="true" w:anchor="_bookmark97">
            <w:r>
              <w:rPr/>
              <w:t>(五)特有风险</w:t>
              <w:tab/>
              <w:t>131</w:t>
            </w:r>
          </w:hyperlink>
        </w:p>
        <w:p>
          <w:pPr>
            <w:pStyle w:val="TOC2"/>
            <w:tabs>
              <w:tab w:pos="7212" w:val="left" w:leader="dot"/>
            </w:tabs>
          </w:pPr>
          <w:hyperlink w:history="true" w:anchor="_bookmark98">
            <w:r>
              <w:rPr/>
              <w:t>(六)其他风险</w:t>
              <w:tab/>
              <w:t>132</w:t>
            </w:r>
          </w:hyperlink>
        </w:p>
        <w:p>
          <w:pPr>
            <w:pStyle w:val="TOC1"/>
            <w:tabs>
              <w:tab w:pos="7935" w:val="left" w:leader="dot"/>
            </w:tabs>
            <w:spacing w:before="136"/>
          </w:pPr>
          <w:hyperlink w:history="true" w:anchor="_bookmark99">
            <w:r>
              <w:rPr/>
              <w:t>二十、基金合同的变更、终止与基金财产的清算</w:t>
              <w:tab/>
              <w:t>133</w:t>
            </w:r>
          </w:hyperlink>
        </w:p>
        <w:p>
          <w:pPr>
            <w:pStyle w:val="TOC2"/>
            <w:tabs>
              <w:tab w:pos="7212" w:val="left" w:leader="dot"/>
            </w:tabs>
            <w:spacing w:before="95"/>
          </w:pPr>
          <w:hyperlink w:history="true" w:anchor="_bookmark100">
            <w:r>
              <w:rPr/>
              <w:t>(一)基金合同的变更</w:t>
              <w:tab/>
              <w:t>133</w:t>
            </w:r>
          </w:hyperlink>
        </w:p>
        <w:p>
          <w:pPr>
            <w:pStyle w:val="TOC3"/>
            <w:tabs>
              <w:tab w:pos="8186" w:val="left" w:leader="dot"/>
            </w:tabs>
          </w:pPr>
          <w:hyperlink w:history="true" w:anchor="_bookmark101">
            <w:r>
              <w:rPr/>
              <w:t>(二)基金合同的终止</w:t>
              <w:tab/>
              <w:t>133</w:t>
            </w:r>
          </w:hyperlink>
        </w:p>
        <w:p>
          <w:pPr>
            <w:pStyle w:val="TOC2"/>
            <w:tabs>
              <w:tab w:pos="7212" w:val="left" w:leader="dot"/>
            </w:tabs>
          </w:pPr>
          <w:hyperlink w:history="true" w:anchor="_bookmark102">
            <w:r>
              <w:rPr/>
              <w:t>(三)基金财产的清算</w:t>
              <w:tab/>
              <w:t>134</w:t>
            </w:r>
          </w:hyperlink>
        </w:p>
        <w:p>
          <w:pPr>
            <w:pStyle w:val="TOC1"/>
            <w:tabs>
              <w:tab w:pos="7935" w:val="left" w:leader="dot"/>
            </w:tabs>
          </w:pPr>
          <w:hyperlink w:history="true" w:anchor="_bookmark103">
            <w:r>
              <w:rPr/>
              <w:t>二十一、基金合同的内容摘要</w:t>
              <w:tab/>
              <w:t>136</w:t>
            </w:r>
          </w:hyperlink>
        </w:p>
        <w:p>
          <w:pPr>
            <w:pStyle w:val="TOC2"/>
            <w:tabs>
              <w:tab w:pos="7212" w:val="left" w:leader="dot"/>
            </w:tabs>
            <w:spacing w:before="95"/>
          </w:pPr>
          <w:hyperlink w:history="true" w:anchor="_bookmark104">
            <w:r>
              <w:rPr/>
              <w:t>(一)基金管理人的权利和义务</w:t>
              <w:tab/>
              <w:t>136</w:t>
            </w:r>
          </w:hyperlink>
        </w:p>
        <w:p>
          <w:pPr>
            <w:pStyle w:val="TOC3"/>
            <w:tabs>
              <w:tab w:pos="8186" w:val="left" w:leader="dot"/>
            </w:tabs>
          </w:pPr>
          <w:hyperlink w:history="true" w:anchor="_bookmark105">
            <w:r>
              <w:rPr/>
              <w:t>(二)基金托管人的权利和义务</w:t>
              <w:tab/>
              <w:t>138</w:t>
            </w:r>
          </w:hyperlink>
        </w:p>
        <w:p>
          <w:pPr>
            <w:pStyle w:val="TOC3"/>
            <w:tabs>
              <w:tab w:pos="8186" w:val="left" w:leader="dot"/>
            </w:tabs>
          </w:pPr>
          <w:hyperlink w:history="true" w:anchor="_bookmark106">
            <w:r>
              <w:rPr/>
              <w:t>(三)基金份额持有人的权利和义务</w:t>
              <w:tab/>
              <w:t>139</w:t>
            </w:r>
          </w:hyperlink>
        </w:p>
        <w:p>
          <w:pPr>
            <w:pStyle w:val="TOC3"/>
            <w:tabs>
              <w:tab w:pos="8186" w:val="left" w:leader="dot"/>
            </w:tabs>
          </w:pPr>
          <w:hyperlink w:history="true" w:anchor="_bookmark107">
            <w:r>
              <w:rPr/>
              <w:t>(四)基金份额持有人大会</w:t>
              <w:tab/>
              <w:t>140</w:t>
            </w:r>
          </w:hyperlink>
        </w:p>
        <w:p>
          <w:pPr>
            <w:pStyle w:val="TOC3"/>
            <w:tabs>
              <w:tab w:pos="8186" w:val="left" w:leader="dot"/>
            </w:tabs>
          </w:pPr>
          <w:hyperlink w:history="true" w:anchor="_bookmark108">
            <w:r>
              <w:rPr/>
              <w:t>(五)基金合同的变更、终止与基金财产的清算</w:t>
              <w:tab/>
              <w:t>146</w:t>
            </w:r>
          </w:hyperlink>
        </w:p>
        <w:p>
          <w:pPr>
            <w:pStyle w:val="TOC3"/>
            <w:tabs>
              <w:tab w:pos="8186" w:val="left" w:leader="dot"/>
            </w:tabs>
          </w:pPr>
          <w:hyperlink w:history="true" w:anchor="_bookmark109">
            <w:r>
              <w:rPr/>
              <w:t>(六)争议的处理</w:t>
              <w:tab/>
              <w:t>148</w:t>
            </w:r>
          </w:hyperlink>
        </w:p>
        <w:p>
          <w:pPr>
            <w:pStyle w:val="TOC2"/>
            <w:tabs>
              <w:tab w:pos="7212" w:val="left" w:leader="dot"/>
            </w:tabs>
          </w:pPr>
          <w:hyperlink w:history="true" w:anchor="_bookmark110">
            <w:r>
              <w:rPr/>
              <w:t>(七)基金合同的效力</w:t>
              <w:tab/>
              <w:t>148</w:t>
            </w:r>
          </w:hyperlink>
        </w:p>
        <w:p>
          <w:pPr>
            <w:pStyle w:val="TOC1"/>
            <w:tabs>
              <w:tab w:pos="7935" w:val="left" w:leader="dot"/>
            </w:tabs>
          </w:pPr>
          <w:hyperlink w:history="true" w:anchor="_bookmark111">
            <w:r>
              <w:rPr/>
              <w:t>二十二、基金托管协议的内容摘要</w:t>
              <w:tab/>
              <w:t>149</w:t>
            </w:r>
          </w:hyperlink>
        </w:p>
        <w:p>
          <w:pPr>
            <w:pStyle w:val="TOC2"/>
            <w:tabs>
              <w:tab w:pos="7212" w:val="left" w:leader="dot"/>
            </w:tabs>
            <w:spacing w:before="95"/>
          </w:pPr>
          <w:hyperlink w:history="true" w:anchor="_bookmark112">
            <w:r>
              <w:rPr/>
              <w:t>(一)托管协议当事人</w:t>
              <w:tab/>
              <w:t>149</w:t>
            </w:r>
          </w:hyperlink>
        </w:p>
        <w:p>
          <w:pPr>
            <w:pStyle w:val="TOC3"/>
            <w:tabs>
              <w:tab w:pos="8186" w:val="left" w:leader="dot"/>
            </w:tabs>
          </w:pPr>
          <w:hyperlink w:history="true" w:anchor="_bookmark113">
            <w:r>
              <w:rPr/>
              <w:t>(二)基金托管人对基金管理人的业务监督、核查</w:t>
              <w:tab/>
              <w:t>149</w:t>
            </w:r>
          </w:hyperlink>
        </w:p>
        <w:p>
          <w:pPr>
            <w:pStyle w:val="TOC3"/>
            <w:tabs>
              <w:tab w:pos="8186" w:val="left" w:leader="dot"/>
            </w:tabs>
          </w:pPr>
          <w:hyperlink w:history="true" w:anchor="_bookmark114">
            <w:r>
              <w:rPr/>
              <w:t>(三)基金管理人对基金托管人的业务核查</w:t>
              <w:tab/>
              <w:t>154</w:t>
            </w:r>
          </w:hyperlink>
        </w:p>
        <w:p>
          <w:pPr>
            <w:pStyle w:val="TOC3"/>
            <w:tabs>
              <w:tab w:pos="8186" w:val="left" w:leader="dot"/>
            </w:tabs>
          </w:pPr>
          <w:hyperlink w:history="true" w:anchor="_bookmark115">
            <w:r>
              <w:rPr/>
              <w:t>(四)基金财产的保管</w:t>
              <w:tab/>
              <w:t>155</w:t>
            </w:r>
          </w:hyperlink>
        </w:p>
        <w:p>
          <w:pPr>
            <w:pStyle w:val="TOC3"/>
            <w:tabs>
              <w:tab w:pos="8186" w:val="left" w:leader="dot"/>
            </w:tabs>
          </w:pPr>
          <w:hyperlink w:history="true" w:anchor="_bookmark116">
            <w:r>
              <w:rPr/>
              <w:t>(五)基金资产净值计算与复核</w:t>
              <w:tab/>
              <w:t>157</w:t>
            </w:r>
          </w:hyperlink>
        </w:p>
        <w:p>
          <w:pPr>
            <w:pStyle w:val="TOC3"/>
            <w:tabs>
              <w:tab w:pos="8186" w:val="left" w:leader="dot"/>
            </w:tabs>
          </w:pPr>
          <w:hyperlink w:history="true" w:anchor="_bookmark117">
            <w:r>
              <w:rPr/>
              <w:t>(六)基金份额持有人名册的保管</w:t>
              <w:tab/>
              <w:t>160</w:t>
            </w:r>
          </w:hyperlink>
        </w:p>
        <w:p>
          <w:pPr>
            <w:pStyle w:val="TOC3"/>
            <w:tabs>
              <w:tab w:pos="8186" w:val="left" w:leader="dot"/>
            </w:tabs>
          </w:pPr>
          <w:hyperlink w:history="true" w:anchor="_bookmark118">
            <w:r>
              <w:rPr/>
              <w:t>(七)适用法律与争议解决方式</w:t>
              <w:tab/>
              <w:t>161</w:t>
            </w:r>
          </w:hyperlink>
        </w:p>
        <w:p>
          <w:pPr>
            <w:pStyle w:val="TOC2"/>
            <w:tabs>
              <w:tab w:pos="7212" w:val="left" w:leader="dot"/>
            </w:tabs>
          </w:pPr>
          <w:hyperlink w:history="true" w:anchor="_bookmark119">
            <w:r>
              <w:rPr/>
              <w:t>(八)托管协议的变更与终止</w:t>
              <w:tab/>
              <w:t>161</w:t>
            </w:r>
          </w:hyperlink>
        </w:p>
        <w:p>
          <w:pPr>
            <w:pStyle w:val="TOC1"/>
            <w:tabs>
              <w:tab w:pos="7935" w:val="left" w:leader="dot"/>
            </w:tabs>
          </w:pPr>
          <w:hyperlink w:history="true" w:anchor="_bookmark120">
            <w:r>
              <w:rPr/>
              <w:t>二十三、对基金份额持有人的服务</w:t>
              <w:tab/>
              <w:t>162</w:t>
            </w:r>
          </w:hyperlink>
        </w:p>
        <w:p>
          <w:pPr>
            <w:pStyle w:val="TOC2"/>
            <w:tabs>
              <w:tab w:pos="7212" w:val="left" w:leader="dot"/>
            </w:tabs>
            <w:spacing w:before="95" w:after="20"/>
          </w:pPr>
          <w:hyperlink w:history="true" w:anchor="_bookmark121">
            <w:r>
              <w:rPr/>
              <w:t>(一)基金份额持有人投资交易确认服务</w:t>
              <w:tab/>
              <w:t>162</w:t>
            </w:r>
          </w:hyperlink>
        </w:p>
        <w:p>
          <w:pPr>
            <w:pStyle w:val="TOC2"/>
            <w:tabs>
              <w:tab w:pos="7212" w:val="left" w:leader="dot"/>
            </w:tabs>
            <w:spacing w:before="193"/>
          </w:pPr>
          <w:hyperlink w:history="true" w:anchor="_bookmark122">
            <w:r>
              <w:rPr/>
              <w:t>(二)基金份额持有人交易记录查询服务</w:t>
              <w:tab/>
              <w:t>162</w:t>
            </w:r>
          </w:hyperlink>
        </w:p>
        <w:p>
          <w:pPr>
            <w:pStyle w:val="TOC2"/>
            <w:tabs>
              <w:tab w:pos="7212" w:val="left" w:leader="dot"/>
            </w:tabs>
          </w:pPr>
          <w:hyperlink w:history="true" w:anchor="_bookmark123">
            <w:r>
              <w:rPr/>
              <w:t>(三)基金管理人的对账单服务形式</w:t>
              <w:tab/>
              <w:t>162</w:t>
            </w:r>
          </w:hyperlink>
        </w:p>
        <w:p>
          <w:pPr>
            <w:pStyle w:val="TOC2"/>
            <w:tabs>
              <w:tab w:pos="7212" w:val="left" w:leader="dot"/>
            </w:tabs>
          </w:pPr>
          <w:hyperlink w:history="true" w:anchor="_bookmark124">
            <w:r>
              <w:rPr/>
              <w:t>(四)定期定额投资计划</w:t>
              <w:tab/>
              <w:t>162</w:t>
            </w:r>
          </w:hyperlink>
        </w:p>
        <w:p>
          <w:pPr>
            <w:pStyle w:val="TOC2"/>
            <w:tabs>
              <w:tab w:pos="7212" w:val="left" w:leader="dot"/>
            </w:tabs>
          </w:pPr>
          <w:hyperlink w:history="true" w:anchor="_bookmark125">
            <w:r>
              <w:rPr/>
              <w:t>(五)资讯服务</w:t>
              <w:tab/>
              <w:t>162</w:t>
            </w:r>
          </w:hyperlink>
        </w:p>
        <w:p>
          <w:pPr>
            <w:pStyle w:val="TOC1"/>
            <w:tabs>
              <w:tab w:pos="7935" w:val="left" w:leader="dot"/>
            </w:tabs>
          </w:pPr>
          <w:hyperlink w:history="true" w:anchor="_bookmark126">
            <w:r>
              <w:rPr/>
              <w:t>二十四、其他应披露事项</w:t>
              <w:tab/>
              <w:t>163</w:t>
            </w:r>
          </w:hyperlink>
        </w:p>
        <w:p>
          <w:pPr>
            <w:pStyle w:val="TOC1"/>
            <w:tabs>
              <w:tab w:pos="7935" w:val="left" w:leader="dot"/>
            </w:tabs>
            <w:spacing w:before="53"/>
          </w:pPr>
          <w:hyperlink w:history="true" w:anchor="_bookmark127">
            <w:r>
              <w:rPr/>
              <w:t>二十五、招募说明书的存放及查阅方式</w:t>
              <w:tab/>
              <w:t>165</w:t>
            </w:r>
          </w:hyperlink>
        </w:p>
        <w:p>
          <w:pPr>
            <w:pStyle w:val="TOC1"/>
            <w:tabs>
              <w:tab w:pos="7935" w:val="left" w:leader="dot"/>
            </w:tabs>
            <w:spacing w:before="52"/>
          </w:pPr>
          <w:hyperlink w:history="true" w:anchor="_bookmark128">
            <w:r>
              <w:rPr/>
              <w:t>二十六、备查文件</w:t>
              <w:tab/>
              <w:t>166</w:t>
            </w:r>
          </w:hyperlink>
        </w:p>
      </w:sdtContent>
    </w:sdt>
    <w:p>
      <w:pPr>
        <w:spacing w:after="0"/>
        <w:sectPr>
          <w:type w:val="continuous"/>
          <w:pgSz w:w="11910" w:h="16840"/>
          <w:pgMar w:top="1600" w:bottom="1782" w:left="1580" w:right="380"/>
        </w:sectPr>
      </w:pPr>
    </w:p>
    <w:p>
      <w:pPr>
        <w:spacing w:before="27"/>
        <w:ind w:left="835" w:right="1434" w:firstLine="0"/>
        <w:jc w:val="center"/>
        <w:rPr>
          <w:sz w:val="32"/>
        </w:rPr>
      </w:pPr>
      <w:bookmarkStart w:name="_bookmark0" w:id="1"/>
      <w:bookmarkEnd w:id="1"/>
      <w:r>
        <w:rPr/>
      </w:r>
      <w:r>
        <w:rPr>
          <w:sz w:val="30"/>
        </w:rPr>
        <w:t>一、</w:t>
      </w:r>
      <w:r>
        <w:rPr>
          <w:sz w:val="32"/>
        </w:rPr>
        <w:t>绪言</w:t>
      </w:r>
    </w:p>
    <w:p>
      <w:pPr>
        <w:pStyle w:val="BodyText"/>
        <w:spacing w:line="364" w:lineRule="auto" w:before="210"/>
        <w:ind w:left="220" w:right="1418" w:firstLine="420"/>
        <w:jc w:val="both"/>
      </w:pPr>
      <w:r>
        <w:rPr>
          <w:spacing w:val="-3"/>
        </w:rPr>
        <w:t>本招募说明书依据《中华人民共和国证券投资基金法》(以下简称《基金法》)、《证券</w:t>
      </w:r>
      <w:r>
        <w:rPr>
          <w:spacing w:val="-15"/>
        </w:rPr>
        <w:t>投资基金运作管理办法》(以下简称《运作办法》)、《证券投资基金销售管理办法》(以下简</w:t>
      </w:r>
      <w:r>
        <w:rPr>
          <w:spacing w:val="-5"/>
        </w:rPr>
        <w:t>称《销售办法》)、《公开募集证券投资基金信息披露管理办法》(以下简称《信息披露办</w:t>
      </w:r>
      <w:r>
        <w:rPr>
          <w:spacing w:val="-12"/>
        </w:rPr>
        <w:t>法》)、《证券投资基金信息披露内容与格式准则第</w:t>
      </w:r>
      <w:r>
        <w:rPr/>
        <w:t>5</w:t>
      </w:r>
      <w:r>
        <w:rPr>
          <w:spacing w:val="-14"/>
        </w:rPr>
        <w:t>号&lt;招募说明书的内容与格式&gt;》、《公开</w:t>
      </w:r>
      <w:r>
        <w:rPr>
          <w:spacing w:val="-19"/>
        </w:rPr>
        <w:t>募集开放式证券投资基金流动性风险管理规定》</w:t>
      </w:r>
      <w:r>
        <w:rPr/>
        <w:t>（</w:t>
      </w:r>
      <w:r>
        <w:rPr>
          <w:spacing w:val="-10"/>
        </w:rPr>
        <w:t>以下简称“《管理规定》</w:t>
      </w:r>
      <w:r>
        <w:rPr>
          <w:spacing w:val="-105"/>
        </w:rPr>
        <w:t>”）</w:t>
      </w:r>
      <w:r>
        <w:rPr>
          <w:spacing w:val="-17"/>
        </w:rPr>
        <w:t>、《易方达双债增强债券型证券投资基金基金合同》(以下简称基金合同)及其它有关规定等编写。</w:t>
      </w:r>
    </w:p>
    <w:p>
      <w:pPr>
        <w:pStyle w:val="BodyText"/>
        <w:spacing w:line="364" w:lineRule="auto"/>
        <w:ind w:left="220" w:right="1417" w:firstLine="482"/>
        <w:jc w:val="both"/>
      </w:pPr>
      <w:r>
        <w:rPr>
          <w:spacing w:val="-4"/>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220" w:right="1417" w:firstLine="482"/>
        <w:jc w:val="both"/>
      </w:pPr>
      <w:r>
        <w:rPr/>
        <w:t>本招募说明书根据本基金的基金合同编写，并经中国证监会核准。基金合同是约定基</w:t>
      </w:r>
      <w:r>
        <w:rPr>
          <w:spacing w:val="-8"/>
        </w:rPr>
        <w:t>金当事人之间权利、义务的法律文件。基金投资人自依基金合同取得基金份额，即成为基金</w:t>
      </w:r>
      <w:r>
        <w:rPr>
          <w:spacing w:val="-7"/>
        </w:rPr>
        <w:t>份额持有人和本基金合同的当事人，其持有基金份额的行为本身即表明其对基金合同的承认</w:t>
      </w:r>
      <w:r>
        <w:rPr>
          <w:spacing w:val="-9"/>
        </w:rPr>
        <w:t>和接受，并按照《基金法》、基金合同及其他有关规定享有权利、承担义务。基金投资人欲了解基金份额持有人的权利和义务，应详细查阅基金合同。</w:t>
      </w:r>
    </w:p>
    <w:p>
      <w:pPr>
        <w:spacing w:after="0" w:line="364" w:lineRule="auto"/>
        <w:jc w:val="both"/>
        <w:sectPr>
          <w:footerReference w:type="default" r:id="rId6"/>
          <w:pgSz w:w="11910" w:h="16840"/>
          <w:pgMar w:footer="664" w:header="0" w:top="1400" w:bottom="860" w:left="1580" w:right="380"/>
          <w:pgNumType w:start="1"/>
        </w:sectPr>
      </w:pPr>
    </w:p>
    <w:p>
      <w:pPr>
        <w:pStyle w:val="Heading2"/>
      </w:pPr>
      <w:bookmarkStart w:name="_bookmark1" w:id="2"/>
      <w:bookmarkEnd w:id="2"/>
      <w:r>
        <w:rPr/>
      </w:r>
      <w:r>
        <w:rPr/>
        <w:t>二、释义</w:t>
      </w:r>
    </w:p>
    <w:p>
      <w:pPr>
        <w:pStyle w:val="BodyText"/>
        <w:spacing w:before="198"/>
        <w:ind w:left="430"/>
      </w:pPr>
      <w:r>
        <w:rPr/>
        <w:t>本招募说明书中除非文意另有所指，下列词语有如下含义：</w:t>
      </w:r>
    </w:p>
    <w:p>
      <w:pPr>
        <w:pStyle w:val="BodyText"/>
        <w:tabs>
          <w:tab w:pos="3021" w:val="left" w:leader="none"/>
        </w:tabs>
        <w:spacing w:before="140"/>
        <w:ind w:left="470"/>
      </w:pPr>
      <w:r>
        <w:rPr/>
        <w:t>基金或本基金：</w:t>
        <w:tab/>
        <w:t>指易方达双债增强债券型证券投资基金；</w:t>
      </w:r>
    </w:p>
    <w:p>
      <w:pPr>
        <w:pStyle w:val="BodyText"/>
        <w:tabs>
          <w:tab w:pos="3021" w:val="left" w:leader="none"/>
        </w:tabs>
        <w:spacing w:line="364" w:lineRule="auto" w:before="139"/>
        <w:ind w:left="3021" w:right="1536" w:hanging="2552"/>
      </w:pPr>
      <w:r>
        <w:rPr/>
        <w:t>基金合同或本基金合同：</w:t>
        <w:tab/>
      </w:r>
      <w:r>
        <w:rPr>
          <w:spacing w:val="-38"/>
        </w:rPr>
        <w:t>指</w:t>
      </w:r>
      <w:r>
        <w:rPr/>
        <w:t>《易方达双债增强债券型证券投资基金基金合同</w:t>
      </w:r>
      <w:r>
        <w:rPr>
          <w:spacing w:val="-38"/>
        </w:rPr>
        <w:t>》</w:t>
      </w:r>
      <w:r>
        <w:rPr/>
        <w:t>及对</w:t>
      </w:r>
      <w:r>
        <w:rPr>
          <w:spacing w:val="-15"/>
        </w:rPr>
        <w:t>基</w:t>
      </w:r>
      <w:r>
        <w:rPr/>
        <w:t>金合同的任何有效修订和补充；</w:t>
      </w:r>
    </w:p>
    <w:p>
      <w:pPr>
        <w:spacing w:after="0" w:line="364" w:lineRule="auto"/>
        <w:sectPr>
          <w:pgSz w:w="11910" w:h="16840"/>
          <w:pgMar w:header="0" w:footer="664" w:top="1380" w:bottom="940" w:left="1580" w:right="380"/>
        </w:sectPr>
      </w:pPr>
    </w:p>
    <w:p>
      <w:pPr>
        <w:pStyle w:val="BodyText"/>
        <w:spacing w:line="268" w:lineRule="exact"/>
        <w:ind w:left="470"/>
      </w:pPr>
      <w:r>
        <w:rPr/>
        <w:t>招募说明书：</w:t>
      </w:r>
    </w:p>
    <w:p>
      <w:pPr>
        <w:pStyle w:val="BodyText"/>
        <w:ind w:left="0"/>
        <w:rPr>
          <w:sz w:val="20"/>
        </w:rPr>
      </w:pPr>
    </w:p>
    <w:p>
      <w:pPr>
        <w:pStyle w:val="BodyText"/>
        <w:spacing w:before="9"/>
        <w:ind w:left="0"/>
        <w:rPr>
          <w:sz w:val="22"/>
        </w:rPr>
      </w:pPr>
    </w:p>
    <w:p>
      <w:pPr>
        <w:pStyle w:val="BodyText"/>
        <w:spacing w:before="1"/>
        <w:ind w:left="470"/>
      </w:pPr>
      <w:r>
        <w:rPr/>
        <w:t>基金产品资料概要</w:t>
      </w:r>
    </w:p>
    <w:p>
      <w:pPr>
        <w:pStyle w:val="BodyText"/>
        <w:spacing w:line="364" w:lineRule="auto"/>
        <w:ind w:left="470" w:right="1536"/>
      </w:pPr>
      <w:r>
        <w:rPr/>
        <w:br w:type="column"/>
      </w:r>
      <w:r>
        <w:rPr>
          <w:spacing w:val="-9"/>
        </w:rPr>
        <w:t>指《易方达双债增强债券型证券投资基金招募说明书》及其</w:t>
      </w:r>
      <w:r>
        <w:rPr/>
        <w:t>更新；</w:t>
      </w:r>
    </w:p>
    <w:p>
      <w:pPr>
        <w:pStyle w:val="BodyText"/>
        <w:spacing w:line="364" w:lineRule="auto"/>
        <w:ind w:left="470" w:right="1358"/>
      </w:pPr>
      <w:r>
        <w:rPr>
          <w:spacing w:val="-12"/>
        </w:rPr>
        <w:t>指《易方达双债增强债券型证券投资基金基金产品资料概要》</w:t>
      </w:r>
      <w:r>
        <w:rPr/>
        <w:t>及其更新</w:t>
      </w:r>
    </w:p>
    <w:p>
      <w:pPr>
        <w:spacing w:after="0" w:line="364" w:lineRule="auto"/>
        <w:sectPr>
          <w:type w:val="continuous"/>
          <w:pgSz w:w="11910" w:h="16840"/>
          <w:pgMar w:top="1580" w:bottom="280" w:left="1580" w:right="380"/>
          <w:cols w:num="2" w:equalWidth="0">
            <w:col w:w="2191" w:space="361"/>
            <w:col w:w="7398"/>
          </w:cols>
        </w:sectPr>
      </w:pPr>
    </w:p>
    <w:p>
      <w:pPr>
        <w:pStyle w:val="BodyText"/>
        <w:tabs>
          <w:tab w:pos="3021" w:val="left" w:leader="none"/>
        </w:tabs>
        <w:spacing w:line="364" w:lineRule="auto"/>
        <w:ind w:left="470" w:right="1358"/>
      </w:pPr>
      <w:r>
        <w:rPr/>
        <w:t>发售公告：</w:t>
        <w:tab/>
      </w:r>
      <w:r>
        <w:rPr>
          <w:spacing w:val="-105"/>
        </w:rPr>
        <w:t>指</w:t>
      </w:r>
      <w:r>
        <w:rPr/>
        <w:t>《易方达双债增强债券型证券投资基金基金份额发售公告</w:t>
      </w:r>
      <w:r>
        <w:rPr>
          <w:spacing w:val="-18"/>
        </w:rPr>
        <w:t>》</w:t>
      </w:r>
      <w:r>
        <w:rPr/>
        <w:t>托管协议：</w:t>
        <w:tab/>
      </w:r>
      <w:r>
        <w:rPr>
          <w:spacing w:val="-38"/>
        </w:rPr>
        <w:t>指</w:t>
      </w:r>
      <w:r>
        <w:rPr/>
        <w:t>《易方达双债增强债券型证券投资基金托管协议</w:t>
      </w:r>
      <w:r>
        <w:rPr>
          <w:spacing w:val="-38"/>
        </w:rPr>
        <w:t>》</w:t>
      </w:r>
      <w:r>
        <w:rPr/>
        <w:t>及其任</w:t>
      </w:r>
    </w:p>
    <w:p>
      <w:pPr>
        <w:pStyle w:val="BodyText"/>
        <w:spacing w:line="268" w:lineRule="exact"/>
        <w:ind w:left="3021"/>
      </w:pPr>
      <w:r>
        <w:rPr/>
        <w:t>何有效修订和补充；</w:t>
      </w:r>
    </w:p>
    <w:p>
      <w:pPr>
        <w:pStyle w:val="BodyText"/>
        <w:tabs>
          <w:tab w:pos="3021" w:val="left" w:leader="none"/>
        </w:tabs>
        <w:spacing w:before="137"/>
        <w:ind w:left="470"/>
      </w:pPr>
      <w:r>
        <w:rPr/>
        <w:t>中国证监会：</w:t>
        <w:tab/>
        <w:t>指中国证券监督管理委员会；</w:t>
      </w:r>
    </w:p>
    <w:p>
      <w:pPr>
        <w:pStyle w:val="BodyText"/>
        <w:tabs>
          <w:tab w:pos="3021" w:val="left" w:leader="none"/>
        </w:tabs>
        <w:spacing w:before="139"/>
        <w:ind w:left="470"/>
      </w:pPr>
      <w:r>
        <w:rPr/>
        <w:t>银行业监督管理机构：</w:t>
        <w:tab/>
        <w:t>指中国人民银行和/或中国银行保险监督管理委员会；</w:t>
      </w:r>
    </w:p>
    <w:p>
      <w:pPr>
        <w:pStyle w:val="BodyText"/>
        <w:tabs>
          <w:tab w:pos="3021" w:val="left" w:leader="none"/>
        </w:tabs>
        <w:spacing w:before="140"/>
        <w:ind w:left="470"/>
      </w:pPr>
      <w:r>
        <w:rPr/>
        <w:t>《基金法》：</w:t>
        <w:tab/>
        <w:t>指</w:t>
      </w:r>
      <w:r>
        <w:rPr>
          <w:spacing w:val="-52"/>
        </w:rPr>
        <w:t> </w:t>
      </w:r>
      <w:r>
        <w:rPr/>
        <w:t>2003</w:t>
      </w:r>
      <w:r>
        <w:rPr>
          <w:spacing w:val="-52"/>
        </w:rPr>
        <w:t> </w:t>
      </w:r>
      <w:r>
        <w:rPr/>
        <w:t>年</w:t>
      </w:r>
      <w:r>
        <w:rPr>
          <w:spacing w:val="-51"/>
        </w:rPr>
        <w:t> </w:t>
      </w:r>
      <w:r>
        <w:rPr/>
        <w:t>10</w:t>
      </w:r>
      <w:r>
        <w:rPr>
          <w:spacing w:val="-52"/>
        </w:rPr>
        <w:t> </w:t>
      </w:r>
      <w:r>
        <w:rPr/>
        <w:t>月</w:t>
      </w:r>
      <w:r>
        <w:rPr>
          <w:spacing w:val="-51"/>
        </w:rPr>
        <w:t> </w:t>
      </w:r>
      <w:r>
        <w:rPr/>
        <w:t>28</w:t>
      </w:r>
      <w:r>
        <w:rPr>
          <w:spacing w:val="-52"/>
        </w:rPr>
        <w:t> </w:t>
      </w:r>
      <w:r>
        <w:rPr/>
        <w:t>日经第十届全国人民代表大会常务委员</w:t>
      </w:r>
    </w:p>
    <w:p>
      <w:pPr>
        <w:pStyle w:val="BodyText"/>
        <w:spacing w:line="364" w:lineRule="auto" w:before="139"/>
        <w:ind w:left="3021" w:right="1537"/>
      </w:pPr>
      <w:r>
        <w:rPr>
          <w:spacing w:val="-5"/>
        </w:rPr>
        <w:t>会第五次会议通过的自 </w:t>
      </w:r>
      <w:r>
        <w:rPr/>
        <w:t>2004</w:t>
      </w:r>
      <w:r>
        <w:rPr>
          <w:spacing w:val="-33"/>
        </w:rPr>
        <w:t> 年 </w:t>
      </w:r>
      <w:r>
        <w:rPr/>
        <w:t>6</w:t>
      </w:r>
      <w:r>
        <w:rPr>
          <w:spacing w:val="-33"/>
        </w:rPr>
        <w:t> 月 </w:t>
      </w:r>
      <w:r>
        <w:rPr/>
        <w:t>1</w:t>
      </w:r>
      <w:r>
        <w:rPr>
          <w:spacing w:val="-8"/>
        </w:rPr>
        <w:t> 日起实施的《中华人民共和国证券投资基金法》及不时做出的修订；</w:t>
      </w:r>
    </w:p>
    <w:p>
      <w:pPr>
        <w:pStyle w:val="BodyText"/>
        <w:tabs>
          <w:tab w:pos="3021" w:val="left" w:leader="none"/>
        </w:tabs>
        <w:spacing w:line="268" w:lineRule="exact"/>
        <w:ind w:left="470"/>
      </w:pPr>
      <w:r>
        <w:rPr/>
        <w:t>《销售办法》：</w:t>
        <w:tab/>
      </w:r>
      <w:r>
        <w:rPr>
          <w:spacing w:val="4"/>
        </w:rPr>
        <w:t>指中国证监</w:t>
      </w:r>
      <w:r>
        <w:rPr/>
        <w:t>会</w:t>
      </w:r>
      <w:r>
        <w:rPr>
          <w:spacing w:val="-49"/>
        </w:rPr>
        <w:t> </w:t>
      </w:r>
      <w:r>
        <w:rPr/>
        <w:t>2010</w:t>
      </w:r>
      <w:r>
        <w:rPr>
          <w:spacing w:val="-49"/>
        </w:rPr>
        <w:t> </w:t>
      </w:r>
      <w:r>
        <w:rPr/>
        <w:t>年</w:t>
      </w:r>
      <w:r>
        <w:rPr>
          <w:spacing w:val="-49"/>
        </w:rPr>
        <w:t> </w:t>
      </w:r>
      <w:r>
        <w:rPr/>
        <w:t>10</w:t>
      </w:r>
      <w:r>
        <w:rPr>
          <w:spacing w:val="-49"/>
        </w:rPr>
        <w:t> </w:t>
      </w:r>
      <w:r>
        <w:rPr/>
        <w:t>月</w:t>
      </w:r>
      <w:r>
        <w:rPr>
          <w:spacing w:val="-49"/>
        </w:rPr>
        <w:t> </w:t>
      </w:r>
      <w:r>
        <w:rPr/>
        <w:t>25</w:t>
      </w:r>
      <w:r>
        <w:rPr>
          <w:spacing w:val="-49"/>
        </w:rPr>
        <w:t> </w:t>
      </w:r>
      <w:r>
        <w:rPr>
          <w:spacing w:val="4"/>
        </w:rPr>
        <w:t>日修订</w:t>
      </w:r>
      <w:r>
        <w:rPr/>
        <w:t>，2011</w:t>
      </w:r>
      <w:r>
        <w:rPr>
          <w:spacing w:val="-49"/>
        </w:rPr>
        <w:t> </w:t>
      </w:r>
      <w:r>
        <w:rPr/>
        <w:t>年</w:t>
      </w:r>
      <w:r>
        <w:rPr>
          <w:spacing w:val="-49"/>
        </w:rPr>
        <w:t> </w:t>
      </w:r>
      <w:r>
        <w:rPr/>
        <w:t>10</w:t>
      </w:r>
      <w:r>
        <w:rPr>
          <w:spacing w:val="-49"/>
        </w:rPr>
        <w:t> </w:t>
      </w:r>
      <w:r>
        <w:rPr/>
        <w:t>月</w:t>
      </w:r>
      <w:r>
        <w:rPr>
          <w:spacing w:val="-48"/>
        </w:rPr>
        <w:t> </w:t>
      </w:r>
      <w:r>
        <w:rPr/>
        <w:t>1</w:t>
      </w:r>
      <w:r>
        <w:rPr>
          <w:spacing w:val="-49"/>
        </w:rPr>
        <w:t> </w:t>
      </w:r>
      <w:r>
        <w:rPr/>
        <w:t>日</w:t>
      </w:r>
    </w:p>
    <w:p>
      <w:pPr>
        <w:pStyle w:val="BodyText"/>
        <w:spacing w:before="139"/>
        <w:ind w:left="3021"/>
      </w:pPr>
      <w:r>
        <w:rPr/>
        <w:t>实施的《证券投资基金销售管理办法》及不时做出的修订；</w:t>
      </w:r>
    </w:p>
    <w:p>
      <w:pPr>
        <w:spacing w:after="0"/>
        <w:sectPr>
          <w:type w:val="continuous"/>
          <w:pgSz w:w="11910" w:h="16840"/>
          <w:pgMar w:top="1580" w:bottom="280" w:left="1580" w:right="380"/>
        </w:sectPr>
      </w:pPr>
    </w:p>
    <w:p>
      <w:pPr>
        <w:pStyle w:val="BodyText"/>
        <w:spacing w:before="140"/>
        <w:ind w:left="470"/>
      </w:pPr>
      <w:r>
        <w:rPr/>
        <w:t>《运作办法》：</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470"/>
      </w:pPr>
      <w:r>
        <w:rPr/>
        <w:t>《管理规定》：</w:t>
      </w:r>
    </w:p>
    <w:p>
      <w:pPr>
        <w:pStyle w:val="BodyText"/>
        <w:spacing w:line="364" w:lineRule="auto" w:before="140"/>
        <w:ind w:left="470" w:right="1536"/>
        <w:jc w:val="both"/>
      </w:pPr>
      <w:r>
        <w:rPr/>
        <w:br w:type="column"/>
      </w:r>
      <w:r>
        <w:rPr>
          <w:spacing w:val="-26"/>
        </w:rPr>
        <w:t>指 </w:t>
      </w:r>
      <w:r>
        <w:rPr/>
        <w:t>2004</w:t>
      </w:r>
      <w:r>
        <w:rPr>
          <w:spacing w:val="-35"/>
        </w:rPr>
        <w:t> 年 </w:t>
      </w:r>
      <w:r>
        <w:rPr/>
        <w:t>6</w:t>
      </w:r>
      <w:r>
        <w:rPr>
          <w:spacing w:val="-35"/>
        </w:rPr>
        <w:t> 月 </w:t>
      </w:r>
      <w:r>
        <w:rPr/>
        <w:t>29</w:t>
      </w:r>
      <w:r>
        <w:rPr>
          <w:spacing w:val="-12"/>
        </w:rPr>
        <w:t> 日由中国证监会公布并于 </w:t>
      </w:r>
      <w:r>
        <w:rPr/>
        <w:t>2004</w:t>
      </w:r>
      <w:r>
        <w:rPr>
          <w:spacing w:val="-35"/>
        </w:rPr>
        <w:t> 年 </w:t>
      </w:r>
      <w:r>
        <w:rPr/>
        <w:t>7</w:t>
      </w:r>
      <w:r>
        <w:rPr>
          <w:spacing w:val="-35"/>
        </w:rPr>
        <w:t> 月 </w:t>
      </w:r>
      <w:r>
        <w:rPr/>
        <w:t>1 </w:t>
      </w:r>
      <w:r>
        <w:rPr>
          <w:spacing w:val="-9"/>
        </w:rPr>
        <w:t>日起实施的《证券投资基金运作管理办法》及不时做出的修</w:t>
      </w:r>
      <w:r>
        <w:rPr/>
        <w:t>订；</w:t>
      </w:r>
    </w:p>
    <w:p>
      <w:pPr>
        <w:pStyle w:val="BodyText"/>
        <w:spacing w:line="364" w:lineRule="auto"/>
        <w:ind w:left="470" w:right="1536"/>
        <w:jc w:val="both"/>
      </w:pPr>
      <w:r>
        <w:rPr>
          <w:spacing w:val="-8"/>
        </w:rPr>
        <w:t>指中国证监会 </w:t>
      </w:r>
      <w:r>
        <w:rPr/>
        <w:t>2017</w:t>
      </w:r>
      <w:r>
        <w:rPr>
          <w:spacing w:val="-35"/>
        </w:rPr>
        <w:t> 年 </w:t>
      </w:r>
      <w:r>
        <w:rPr/>
        <w:t>8</w:t>
      </w:r>
      <w:r>
        <w:rPr>
          <w:spacing w:val="-35"/>
        </w:rPr>
        <w:t> 月 </w:t>
      </w:r>
      <w:r>
        <w:rPr/>
        <w:t>31</w:t>
      </w:r>
      <w:r>
        <w:rPr>
          <w:spacing w:val="-15"/>
        </w:rPr>
        <w:t> 日颁布、同年 </w:t>
      </w:r>
      <w:r>
        <w:rPr/>
        <w:t>10</w:t>
      </w:r>
      <w:r>
        <w:rPr>
          <w:spacing w:val="-35"/>
        </w:rPr>
        <w:t> 月 </w:t>
      </w:r>
      <w:r>
        <w:rPr/>
        <w:t>1</w:t>
      </w:r>
      <w:r>
        <w:rPr>
          <w:spacing w:val="-14"/>
        </w:rPr>
        <w:t> 日实施</w:t>
      </w:r>
      <w:r>
        <w:rPr>
          <w:spacing w:val="-9"/>
        </w:rPr>
        <w:t>的《公开募集开放式证券投资基金流动性风险管理规定》及</w:t>
      </w:r>
      <w:r>
        <w:rPr/>
        <w:t>颁布机关对其不时做出的修订</w:t>
      </w:r>
    </w:p>
    <w:p>
      <w:pPr>
        <w:spacing w:after="0" w:line="364" w:lineRule="auto"/>
        <w:jc w:val="both"/>
        <w:sectPr>
          <w:type w:val="continuous"/>
          <w:pgSz w:w="11910" w:h="16840"/>
          <w:pgMar w:top="1580" w:bottom="280" w:left="1580" w:right="380"/>
          <w:cols w:num="2" w:equalWidth="0">
            <w:col w:w="1981" w:space="571"/>
            <w:col w:w="7398"/>
          </w:cols>
        </w:sectPr>
      </w:pPr>
    </w:p>
    <w:p>
      <w:pPr>
        <w:pStyle w:val="BodyText"/>
        <w:tabs>
          <w:tab w:pos="3021" w:val="left" w:leader="none"/>
        </w:tabs>
        <w:spacing w:line="266" w:lineRule="exact"/>
        <w:ind w:left="470"/>
      </w:pPr>
      <w:r>
        <w:rPr/>
        <w:t>《信息披露办法》：</w:t>
        <w:tab/>
        <w:t>指中国证监会</w:t>
      </w:r>
      <w:r>
        <w:rPr>
          <w:spacing w:val="-53"/>
        </w:rPr>
        <w:t> </w:t>
      </w:r>
      <w:r>
        <w:rPr/>
        <w:t>2019</w:t>
      </w:r>
      <w:r>
        <w:rPr>
          <w:spacing w:val="-53"/>
        </w:rPr>
        <w:t> </w:t>
      </w:r>
      <w:r>
        <w:rPr/>
        <w:t>年</w:t>
      </w:r>
      <w:r>
        <w:rPr>
          <w:spacing w:val="-53"/>
        </w:rPr>
        <w:t> </w:t>
      </w:r>
      <w:r>
        <w:rPr/>
        <w:t>7</w:t>
      </w:r>
      <w:r>
        <w:rPr>
          <w:spacing w:val="-53"/>
        </w:rPr>
        <w:t> </w:t>
      </w:r>
      <w:r>
        <w:rPr/>
        <w:t>月</w:t>
      </w:r>
      <w:r>
        <w:rPr>
          <w:spacing w:val="-53"/>
        </w:rPr>
        <w:t> </w:t>
      </w:r>
      <w:r>
        <w:rPr/>
        <w:t>26</w:t>
      </w:r>
      <w:r>
        <w:rPr>
          <w:spacing w:val="-53"/>
        </w:rPr>
        <w:t> </w:t>
      </w:r>
      <w:r>
        <w:rPr/>
        <w:t>日颁布</w:t>
      </w:r>
      <w:r>
        <w:rPr>
          <w:spacing w:val="-75"/>
        </w:rPr>
        <w:t>、</w:t>
      </w:r>
      <w:r>
        <w:rPr/>
        <w:t>同年</w:t>
      </w:r>
      <w:r>
        <w:rPr>
          <w:spacing w:val="-53"/>
        </w:rPr>
        <w:t> </w:t>
      </w:r>
      <w:r>
        <w:rPr/>
        <w:t>9</w:t>
      </w:r>
      <w:r>
        <w:rPr>
          <w:spacing w:val="-53"/>
        </w:rPr>
        <w:t> </w:t>
      </w:r>
      <w:r>
        <w:rPr/>
        <w:t>月</w:t>
      </w:r>
      <w:r>
        <w:rPr>
          <w:spacing w:val="-53"/>
        </w:rPr>
        <w:t> </w:t>
      </w:r>
      <w:r>
        <w:rPr/>
        <w:t>1</w:t>
      </w:r>
      <w:r>
        <w:rPr>
          <w:spacing w:val="-53"/>
        </w:rPr>
        <w:t> </w:t>
      </w:r>
      <w:r>
        <w:rPr/>
        <w:t>日实施的</w:t>
      </w:r>
    </w:p>
    <w:p>
      <w:pPr>
        <w:pStyle w:val="BodyText"/>
        <w:spacing w:line="364" w:lineRule="auto" w:before="139"/>
        <w:ind w:left="3021" w:right="1462"/>
      </w:pPr>
      <w:r>
        <w:rPr/>
        <w:t>《公开募集证券投资基金信息披露管理办法》及颁布机关对其不时做出的修订；</w:t>
      </w:r>
    </w:p>
    <w:p>
      <w:pPr>
        <w:pStyle w:val="BodyText"/>
        <w:tabs>
          <w:tab w:pos="3021" w:val="left" w:leader="none"/>
        </w:tabs>
        <w:spacing w:line="268" w:lineRule="exact"/>
        <w:ind w:left="470"/>
      </w:pPr>
      <w:r>
        <w:rPr/>
        <w:t>《业务规则》：</w:t>
        <w:tab/>
        <w:t>《易方达基金管理有限公司开放式基金业务规则》</w:t>
      </w:r>
    </w:p>
    <w:p>
      <w:pPr>
        <w:pStyle w:val="BodyText"/>
        <w:spacing w:before="8"/>
        <w:ind w:left="0"/>
        <w:rPr>
          <w:sz w:val="24"/>
        </w:rPr>
      </w:pPr>
    </w:p>
    <w:p>
      <w:pPr>
        <w:pStyle w:val="BodyText"/>
        <w:tabs>
          <w:tab w:pos="3021" w:val="left" w:leader="none"/>
        </w:tabs>
        <w:spacing w:before="1"/>
        <w:ind w:left="470"/>
      </w:pPr>
      <w:r>
        <w:rPr/>
        <w:t>元：</w:t>
        <w:tab/>
        <w:t>指人民币元；</w:t>
      </w:r>
    </w:p>
    <w:p>
      <w:pPr>
        <w:pStyle w:val="BodyText"/>
        <w:tabs>
          <w:tab w:pos="3021" w:val="left" w:leader="none"/>
        </w:tabs>
        <w:spacing w:before="139"/>
        <w:ind w:left="470"/>
      </w:pPr>
      <w:r>
        <w:rPr/>
        <w:t>基金管理人：</w:t>
        <w:tab/>
        <w:t>指易方达基金管理有限公司；</w:t>
      </w:r>
    </w:p>
    <w:p>
      <w:pPr>
        <w:pStyle w:val="BodyText"/>
        <w:tabs>
          <w:tab w:pos="3021" w:val="left" w:leader="none"/>
        </w:tabs>
        <w:spacing w:before="139"/>
        <w:ind w:left="470"/>
      </w:pPr>
      <w:r>
        <w:rPr/>
        <w:t>基金托管人：</w:t>
        <w:tab/>
        <w:t>指中国建设银行股份有限公司；</w:t>
      </w:r>
    </w:p>
    <w:p>
      <w:pPr>
        <w:pStyle w:val="BodyText"/>
        <w:tabs>
          <w:tab w:pos="3021" w:val="left" w:leader="none"/>
        </w:tabs>
        <w:spacing w:before="140"/>
        <w:ind w:left="470"/>
      </w:pPr>
      <w:r>
        <w:rPr/>
        <w:t>注册登记业务：</w:t>
        <w:tab/>
        <w:t>指基金登记</w:t>
      </w:r>
      <w:r>
        <w:rPr>
          <w:spacing w:val="-19"/>
        </w:rPr>
        <w:t>、</w:t>
      </w:r>
      <w:r>
        <w:rPr/>
        <w:t>存管</w:t>
      </w:r>
      <w:r>
        <w:rPr>
          <w:spacing w:val="-19"/>
        </w:rPr>
        <w:t>、</w:t>
      </w:r>
      <w:r>
        <w:rPr/>
        <w:t>过户</w:t>
      </w:r>
      <w:r>
        <w:rPr>
          <w:spacing w:val="-19"/>
        </w:rPr>
        <w:t>、</w:t>
      </w:r>
      <w:r>
        <w:rPr/>
        <w:t>清算和结算业务</w:t>
      </w:r>
      <w:r>
        <w:rPr>
          <w:spacing w:val="-19"/>
        </w:rPr>
        <w:t>，</w:t>
      </w:r>
      <w:r>
        <w:rPr/>
        <w:t>具体内容包括</w:t>
      </w:r>
    </w:p>
    <w:p>
      <w:pPr>
        <w:spacing w:after="0"/>
        <w:sectPr>
          <w:type w:val="continuous"/>
          <w:pgSz w:w="11910" w:h="16840"/>
          <w:pgMar w:top="1580" w:bottom="280" w:left="1580" w:right="380"/>
        </w:sectPr>
      </w:pPr>
    </w:p>
    <w:p>
      <w:pPr>
        <w:pStyle w:val="BodyText"/>
        <w:spacing w:line="364" w:lineRule="auto" w:before="45"/>
        <w:ind w:left="3021" w:right="1536"/>
        <w:jc w:val="both"/>
      </w:pPr>
      <w:r>
        <w:rPr>
          <w:spacing w:val="-6"/>
        </w:rPr>
        <w:t>投资人基金账户的建立和管理、基金份额注册登记、基金销</w:t>
      </w:r>
      <w:r>
        <w:rPr>
          <w:spacing w:val="-8"/>
        </w:rPr>
        <w:t>售业务的确认、清算和结算、代理发放红利、建立并保管基</w:t>
      </w:r>
      <w:r>
        <w:rPr/>
        <w:t>金份额持有人名册、办理非交易过户业务等；</w:t>
      </w:r>
    </w:p>
    <w:p>
      <w:pPr>
        <w:pStyle w:val="BodyText"/>
        <w:tabs>
          <w:tab w:pos="3021" w:val="left" w:leader="none"/>
        </w:tabs>
        <w:spacing w:line="268" w:lineRule="exact"/>
        <w:ind w:left="470"/>
      </w:pPr>
      <w:r>
        <w:rPr/>
        <w:t>基金注册登记机构：</w:t>
        <w:tab/>
        <w:t>指办理注册登记业务的机构</w:t>
      </w:r>
      <w:r>
        <w:rPr>
          <w:spacing w:val="-75"/>
        </w:rPr>
        <w:t>。</w:t>
      </w:r>
      <w:r>
        <w:rPr/>
        <w:t>基金的注册登记机构为易方达</w:t>
      </w:r>
    </w:p>
    <w:p>
      <w:pPr>
        <w:pStyle w:val="BodyText"/>
        <w:spacing w:line="364" w:lineRule="auto" w:before="139"/>
        <w:ind w:left="3021" w:right="1537"/>
      </w:pPr>
      <w:r>
        <w:rPr/>
        <w:t>基金管理有限公司或接受易方达基金管理有限公司委托代为办理注册登记业务的机构；</w:t>
      </w:r>
    </w:p>
    <w:p>
      <w:pPr>
        <w:pStyle w:val="BodyText"/>
        <w:tabs>
          <w:tab w:pos="3021" w:val="left" w:leader="none"/>
        </w:tabs>
        <w:spacing w:line="364" w:lineRule="auto"/>
        <w:ind w:left="3021" w:right="1536" w:hanging="2552"/>
        <w:jc w:val="both"/>
      </w:pPr>
      <w:r>
        <w:rPr/>
        <w:t>投资者：</w:t>
        <w:tab/>
        <w:t>指个人投资者</w:t>
      </w:r>
      <w:r>
        <w:rPr>
          <w:spacing w:val="-38"/>
        </w:rPr>
        <w:t>、</w:t>
      </w:r>
      <w:r>
        <w:rPr/>
        <w:t>机构投资者</w:t>
      </w:r>
      <w:r>
        <w:rPr>
          <w:spacing w:val="-38"/>
        </w:rPr>
        <w:t>、</w:t>
      </w:r>
      <w:r>
        <w:rPr/>
        <w:t>合格境外机构投资者和法律</w:t>
      </w:r>
      <w:r>
        <w:rPr>
          <w:spacing w:val="-15"/>
        </w:rPr>
        <w:t>法</w:t>
      </w:r>
      <w:r>
        <w:rPr>
          <w:spacing w:val="5"/>
        </w:rPr>
        <w:t>规或中国证监会允许购买开放式证券投资基金的其他投</w:t>
      </w:r>
      <w:r>
        <w:rPr/>
        <w:t>资者的总称；</w:t>
      </w:r>
    </w:p>
    <w:p>
      <w:pPr>
        <w:pStyle w:val="BodyText"/>
        <w:tabs>
          <w:tab w:pos="3021" w:val="left" w:leader="none"/>
        </w:tabs>
        <w:spacing w:line="364" w:lineRule="auto"/>
        <w:ind w:left="470" w:right="1463"/>
        <w:jc w:val="both"/>
      </w:pPr>
      <w:r>
        <w:rPr/>
        <w:t>个人投资者：</w:t>
        <w:tab/>
        <w:t>指依据有关法律法规规定可投资于证券投资基金的自然人</w:t>
      </w:r>
      <w:r>
        <w:rPr>
          <w:spacing w:val="-18"/>
        </w:rPr>
        <w:t>； </w:t>
      </w:r>
      <w:r>
        <w:rPr/>
        <w:t>机构投资者：</w:t>
        <w:tab/>
        <w:t>指依法可以投资开放式证券投资基金的</w:t>
      </w:r>
      <w:r>
        <w:rPr>
          <w:spacing w:val="-75"/>
        </w:rPr>
        <w:t>、</w:t>
      </w:r>
      <w:r>
        <w:rPr/>
        <w:t>在中华人民共和国</w:t>
      </w:r>
    </w:p>
    <w:p>
      <w:pPr>
        <w:pStyle w:val="BodyText"/>
        <w:spacing w:line="364" w:lineRule="auto"/>
        <w:ind w:left="3021" w:right="1537"/>
      </w:pPr>
      <w:r>
        <w:rPr/>
        <w:t>境内合法注册登记并存续或经有关政府部门批准设立并存续的企业法人、事业法人、社会团体或其他组织；</w:t>
      </w:r>
    </w:p>
    <w:p>
      <w:pPr>
        <w:pStyle w:val="BodyText"/>
        <w:tabs>
          <w:tab w:pos="3021" w:val="left" w:leader="none"/>
        </w:tabs>
        <w:spacing w:line="268" w:lineRule="exact"/>
        <w:ind w:left="470"/>
      </w:pPr>
      <w:r>
        <w:rPr/>
        <w:t>合格境外机构投资者：</w:t>
        <w:tab/>
      </w:r>
      <w:r>
        <w:rPr>
          <w:spacing w:val="5"/>
        </w:rPr>
        <w:t>指符合现实有效的相关法律法规规定可以投资于中国境</w:t>
      </w:r>
      <w:r>
        <w:rPr/>
        <w:t>内</w:t>
      </w:r>
    </w:p>
    <w:p>
      <w:pPr>
        <w:pStyle w:val="BodyText"/>
        <w:spacing w:before="137"/>
        <w:ind w:left="3021"/>
      </w:pPr>
      <w:r>
        <w:rPr/>
        <w:t>证券市场的中国境外的机构投资者；</w:t>
      </w:r>
    </w:p>
    <w:p>
      <w:pPr>
        <w:pStyle w:val="BodyText"/>
        <w:tabs>
          <w:tab w:pos="3021" w:val="left" w:leader="none"/>
        </w:tabs>
        <w:spacing w:before="139"/>
        <w:ind w:left="470"/>
      </w:pPr>
      <w:r>
        <w:rPr/>
        <w:t>基金份额持有人大会：</w:t>
        <w:tab/>
        <w:t>指按照本基金合同第九部分之规定召集</w:t>
      </w:r>
      <w:r>
        <w:rPr>
          <w:spacing w:val="-75"/>
        </w:rPr>
        <w:t>、</w:t>
      </w:r>
      <w:r>
        <w:rPr/>
        <w:t>召开并由基金份额</w:t>
      </w:r>
    </w:p>
    <w:p>
      <w:pPr>
        <w:pStyle w:val="BodyText"/>
        <w:spacing w:before="139"/>
        <w:ind w:left="3021"/>
      </w:pPr>
      <w:r>
        <w:rPr/>
        <w:t>持有人或其合法的代理人进行表决的会议；</w:t>
      </w:r>
    </w:p>
    <w:p>
      <w:pPr>
        <w:pStyle w:val="BodyText"/>
        <w:tabs>
          <w:tab w:pos="3021" w:val="left" w:leader="none"/>
        </w:tabs>
        <w:spacing w:before="140"/>
        <w:ind w:left="470"/>
      </w:pPr>
      <w:r>
        <w:rPr/>
        <w:t>基金募集期：</w:t>
        <w:tab/>
        <w:t>指自基金份额发售之日起至发售结束之日止的期间</w:t>
      </w:r>
      <w:r>
        <w:rPr>
          <w:spacing w:val="-75"/>
        </w:rPr>
        <w:t>，</w:t>
      </w:r>
      <w:r>
        <w:rPr/>
        <w:t>最长不</w:t>
      </w:r>
    </w:p>
    <w:p>
      <w:pPr>
        <w:pStyle w:val="BodyText"/>
        <w:spacing w:before="139"/>
        <w:ind w:left="3021"/>
      </w:pPr>
      <w:r>
        <w:rPr/>
        <w:t>得超过 3 个月；</w:t>
      </w:r>
    </w:p>
    <w:p>
      <w:pPr>
        <w:pStyle w:val="BodyText"/>
        <w:tabs>
          <w:tab w:pos="3021" w:val="left" w:leader="none"/>
        </w:tabs>
        <w:spacing w:before="140"/>
        <w:ind w:left="470"/>
      </w:pPr>
      <w:r>
        <w:rPr/>
        <w:t>基金合同生效日：</w:t>
        <w:tab/>
        <w:t>指基金募集达到法律法规规定及基金合同规定的条件</w:t>
      </w:r>
      <w:r>
        <w:rPr>
          <w:spacing w:val="-75"/>
        </w:rPr>
        <w:t>，</w:t>
      </w:r>
      <w:r>
        <w:rPr/>
        <w:t>基金</w:t>
      </w:r>
    </w:p>
    <w:p>
      <w:pPr>
        <w:pStyle w:val="BodyText"/>
        <w:spacing w:line="364" w:lineRule="auto" w:before="139"/>
        <w:ind w:left="3021" w:right="1462"/>
      </w:pPr>
      <w:r>
        <w:rPr/>
        <w:t>管理人向中国证监会办理基金备案手续完毕，并获得中国证监会书面确认的日期；</w:t>
      </w:r>
    </w:p>
    <w:p>
      <w:pPr>
        <w:pStyle w:val="BodyText"/>
        <w:tabs>
          <w:tab w:pos="3021" w:val="left" w:leader="none"/>
        </w:tabs>
        <w:spacing w:line="268" w:lineRule="exact"/>
        <w:ind w:left="470"/>
      </w:pPr>
      <w:r>
        <w:rPr/>
        <w:t>存续期：</w:t>
        <w:tab/>
        <w:t>指基金合同生效至终止之间的不定期期限；</w:t>
      </w:r>
    </w:p>
    <w:p>
      <w:pPr>
        <w:pStyle w:val="BodyText"/>
        <w:tabs>
          <w:tab w:pos="3021" w:val="left" w:leader="none"/>
        </w:tabs>
        <w:spacing w:before="140"/>
        <w:ind w:left="470"/>
      </w:pPr>
      <w:r>
        <w:rPr/>
        <w:t>日/天：</w:t>
        <w:tab/>
        <w:t>指公历日</w:t>
      </w:r>
    </w:p>
    <w:p>
      <w:pPr>
        <w:pStyle w:val="BodyText"/>
        <w:tabs>
          <w:tab w:pos="3021" w:val="left" w:leader="none"/>
        </w:tabs>
        <w:spacing w:before="139"/>
        <w:ind w:left="470"/>
      </w:pPr>
      <w:r>
        <w:rPr/>
        <w:t>月：</w:t>
        <w:tab/>
        <w:t>指公历月</w:t>
      </w:r>
    </w:p>
    <w:p>
      <w:pPr>
        <w:pStyle w:val="BodyText"/>
        <w:tabs>
          <w:tab w:pos="3021" w:val="left" w:leader="none"/>
        </w:tabs>
        <w:spacing w:before="139"/>
        <w:ind w:left="470"/>
      </w:pPr>
      <w:r>
        <w:rPr/>
        <w:t>工作日、交易日：</w:t>
        <w:tab/>
        <w:t>指上海证券交易所、深圳证券交易所的正常交易日；</w:t>
      </w:r>
    </w:p>
    <w:p>
      <w:pPr>
        <w:pStyle w:val="BodyText"/>
        <w:tabs>
          <w:tab w:pos="3021" w:val="left" w:leader="none"/>
        </w:tabs>
        <w:spacing w:line="364" w:lineRule="auto" w:before="140"/>
        <w:ind w:left="3021" w:right="1536" w:hanging="2552"/>
      </w:pPr>
      <w:r>
        <w:rPr/>
        <w:t>认购：</w:t>
        <w:tab/>
        <w:t>指在基金募集期内</w:t>
      </w:r>
      <w:r>
        <w:rPr>
          <w:spacing w:val="-75"/>
        </w:rPr>
        <w:t>，</w:t>
      </w:r>
      <w:r>
        <w:rPr/>
        <w:t>投资人按基金合同和招募说明书的规</w:t>
      </w:r>
      <w:r>
        <w:rPr>
          <w:spacing w:val="-16"/>
        </w:rPr>
        <w:t>定</w:t>
      </w:r>
      <w:r>
        <w:rPr/>
        <w:t>申请购买基金份额的行为；</w:t>
      </w:r>
    </w:p>
    <w:p>
      <w:pPr>
        <w:pStyle w:val="BodyText"/>
        <w:tabs>
          <w:tab w:pos="3021" w:val="left" w:leader="none"/>
        </w:tabs>
        <w:spacing w:line="364" w:lineRule="auto"/>
        <w:ind w:left="3021" w:right="1536" w:hanging="2552"/>
      </w:pPr>
      <w:r>
        <w:rPr/>
        <w:t>发售：</w:t>
        <w:tab/>
        <w:t>指在本基金募集期内</w:t>
      </w:r>
      <w:r>
        <w:rPr>
          <w:spacing w:val="-75"/>
        </w:rPr>
        <w:t>，</w:t>
      </w:r>
      <w:r>
        <w:rPr/>
        <w:t>销售机构向投资者销售本基金份额</w:t>
      </w:r>
      <w:r>
        <w:rPr>
          <w:spacing w:val="-16"/>
        </w:rPr>
        <w:t>的</w:t>
      </w:r>
      <w:r>
        <w:rPr/>
        <w:t>行为；</w:t>
      </w:r>
    </w:p>
    <w:p>
      <w:pPr>
        <w:pStyle w:val="BodyText"/>
        <w:tabs>
          <w:tab w:pos="3021" w:val="left" w:leader="none"/>
        </w:tabs>
        <w:spacing w:line="364" w:lineRule="auto"/>
        <w:ind w:left="3021" w:right="1536" w:hanging="2552"/>
      </w:pPr>
      <w:r>
        <w:rPr/>
        <w:t>申购：</w:t>
        <w:tab/>
        <w:t>指基金合同生效后</w:t>
      </w:r>
      <w:r>
        <w:rPr>
          <w:spacing w:val="-75"/>
        </w:rPr>
        <w:t>，</w:t>
      </w:r>
      <w:r>
        <w:rPr/>
        <w:t>投资人根据基金合同和招募说明书的</w:t>
      </w:r>
      <w:r>
        <w:rPr>
          <w:spacing w:val="-16"/>
        </w:rPr>
        <w:t>规</w:t>
      </w:r>
      <w:r>
        <w:rPr/>
        <w:t>定申请购买基金份额的行为；</w:t>
      </w:r>
    </w:p>
    <w:p>
      <w:pPr>
        <w:pStyle w:val="BodyText"/>
        <w:tabs>
          <w:tab w:pos="3021" w:val="left" w:leader="none"/>
        </w:tabs>
        <w:spacing w:line="364" w:lineRule="auto"/>
        <w:ind w:left="3021" w:right="1536" w:hanging="2552"/>
      </w:pPr>
      <w:r>
        <w:rPr/>
        <w:t>赎回：</w:t>
        <w:tab/>
        <w:t>指基金合同生效后</w:t>
      </w:r>
      <w:r>
        <w:rPr>
          <w:spacing w:val="-75"/>
        </w:rPr>
        <w:t>，</w:t>
      </w:r>
      <w:r>
        <w:rPr/>
        <w:t>基金份额持有人按基金合同和招募说</w:t>
      </w:r>
      <w:r>
        <w:rPr>
          <w:spacing w:val="-16"/>
        </w:rPr>
        <w:t>明</w:t>
      </w:r>
      <w:r>
        <w:rPr/>
        <w:t>书规定的条件要求将基金份额兑换为现金的行为；</w:t>
      </w:r>
    </w:p>
    <w:p>
      <w:pPr>
        <w:spacing w:after="0" w:line="364" w:lineRule="auto"/>
        <w:sectPr>
          <w:pgSz w:w="11910" w:h="16840"/>
          <w:pgMar w:header="0" w:footer="664" w:top="1380" w:bottom="940" w:left="1580" w:right="380"/>
        </w:sectPr>
      </w:pPr>
    </w:p>
    <w:p>
      <w:pPr>
        <w:pStyle w:val="BodyText"/>
        <w:tabs>
          <w:tab w:pos="3021" w:val="left" w:leader="none"/>
        </w:tabs>
        <w:spacing w:before="45"/>
        <w:ind w:left="470"/>
        <w:jc w:val="both"/>
      </w:pPr>
      <w:r>
        <w:rPr/>
        <w:t>巨额赎回：</w:t>
        <w:tab/>
        <w:t>本基金单个开放日，基金净赎回申请(赎回申请份额总数加</w:t>
      </w:r>
    </w:p>
    <w:p>
      <w:pPr>
        <w:pStyle w:val="BodyText"/>
        <w:spacing w:line="364" w:lineRule="auto" w:before="139"/>
        <w:ind w:left="3021" w:right="1537"/>
        <w:jc w:val="both"/>
      </w:pPr>
      <w:r>
        <w:rPr/>
        <w:t>上基金转换中转出申请份额总数后扣除申购申请份额总数及基金转换中转入申请份额总数后的余额)超过上一开放日基金总份额的 10%；</w:t>
      </w:r>
    </w:p>
    <w:p>
      <w:pPr>
        <w:pStyle w:val="BodyText"/>
        <w:tabs>
          <w:tab w:pos="3021" w:val="left" w:leader="none"/>
        </w:tabs>
        <w:spacing w:line="268" w:lineRule="exact"/>
        <w:ind w:left="470"/>
        <w:jc w:val="both"/>
      </w:pPr>
      <w:r>
        <w:rPr/>
        <w:t>基金转换：</w:t>
        <w:tab/>
      </w:r>
      <w:r>
        <w:rPr>
          <w:spacing w:val="5"/>
        </w:rPr>
        <w:t>指基金份额持有人按照本基金合同和基金管理人届时有</w:t>
      </w:r>
      <w:r>
        <w:rPr/>
        <w:t>效</w:t>
      </w:r>
    </w:p>
    <w:p>
      <w:pPr>
        <w:pStyle w:val="BodyText"/>
        <w:spacing w:line="364" w:lineRule="auto" w:before="140"/>
        <w:ind w:left="3021" w:right="1536"/>
        <w:jc w:val="both"/>
      </w:pPr>
      <w:r>
        <w:rPr>
          <w:spacing w:val="-8"/>
        </w:rPr>
        <w:t>公告规定的条件，申请将其持有基金管理人管理的、某一基</w:t>
      </w:r>
      <w:r>
        <w:rPr>
          <w:spacing w:val="4"/>
        </w:rPr>
        <w:t>金的基金份额转换为基金管理人管理的其他基金基金份额的行为；</w:t>
      </w:r>
    </w:p>
    <w:p>
      <w:pPr>
        <w:pStyle w:val="BodyText"/>
        <w:tabs>
          <w:tab w:pos="3021" w:val="left" w:leader="none"/>
        </w:tabs>
        <w:spacing w:line="364" w:lineRule="auto"/>
        <w:ind w:left="3021" w:right="1536" w:hanging="2552"/>
        <w:jc w:val="both"/>
      </w:pPr>
      <w:r>
        <w:rPr/>
        <w:t>A</w:t>
      </w:r>
      <w:r>
        <w:rPr>
          <w:spacing w:val="-53"/>
        </w:rPr>
        <w:t> </w:t>
      </w:r>
      <w:r>
        <w:rPr/>
        <w:t>类份额</w:t>
        <w:tab/>
        <w:t>指在投资者认购/申购基金时收取认购/申购费用</w:t>
      </w:r>
      <w:r>
        <w:rPr>
          <w:spacing w:val="-75"/>
        </w:rPr>
        <w:t>，</w:t>
      </w:r>
      <w:r>
        <w:rPr/>
        <w:t>在赎回</w:t>
      </w:r>
      <w:r>
        <w:rPr>
          <w:spacing w:val="-16"/>
        </w:rPr>
        <w:t>时</w:t>
      </w:r>
      <w:r>
        <w:rPr/>
        <w:t>根据持有期限收取赎回费用</w:t>
      </w:r>
      <w:r>
        <w:rPr>
          <w:spacing w:val="-75"/>
        </w:rPr>
        <w:t>，</w:t>
      </w:r>
      <w:r>
        <w:rPr/>
        <w:t>并不再从本类别基金资产中</w:t>
      </w:r>
      <w:r>
        <w:rPr>
          <w:spacing w:val="-16"/>
        </w:rPr>
        <w:t>计</w:t>
      </w:r>
      <w:r>
        <w:rPr/>
        <w:t>提销售服务费的基金份额；</w:t>
      </w:r>
    </w:p>
    <w:p>
      <w:pPr>
        <w:pStyle w:val="BodyText"/>
        <w:tabs>
          <w:tab w:pos="3021" w:val="left" w:leader="none"/>
        </w:tabs>
        <w:spacing w:line="364" w:lineRule="auto"/>
        <w:ind w:left="3021" w:right="1536" w:hanging="2552"/>
        <w:jc w:val="both"/>
      </w:pPr>
      <w:r>
        <w:rPr/>
        <w:t>C</w:t>
      </w:r>
      <w:r>
        <w:rPr>
          <w:spacing w:val="-53"/>
        </w:rPr>
        <w:t> </w:t>
      </w:r>
      <w:r>
        <w:rPr/>
        <w:t>类份额</w:t>
        <w:tab/>
        <w:t>指从本类别基金资产中计提销售服务费、不收取认购/申</w:t>
      </w:r>
      <w:r>
        <w:rPr>
          <w:spacing w:val="-11"/>
        </w:rPr>
        <w:t>购</w:t>
      </w:r>
      <w:r>
        <w:rPr/>
        <w:t>费用，但对持有期限少于</w:t>
      </w:r>
      <w:r>
        <w:rPr>
          <w:spacing w:val="-43"/>
        </w:rPr>
        <w:t> </w:t>
      </w:r>
      <w:r>
        <w:rPr/>
        <w:t>30</w:t>
      </w:r>
      <w:r>
        <w:rPr>
          <w:spacing w:val="-42"/>
        </w:rPr>
        <w:t> </w:t>
      </w:r>
      <w:r>
        <w:rPr/>
        <w:t>日的本类别基金份额的赎回收取赎回费的基金份额；</w:t>
      </w:r>
    </w:p>
    <w:p>
      <w:pPr>
        <w:pStyle w:val="BodyText"/>
        <w:spacing w:line="268" w:lineRule="exact"/>
        <w:ind w:left="470"/>
        <w:jc w:val="both"/>
      </w:pPr>
      <w:r>
        <w:rPr/>
        <w:t>定期定额投资计划： 指投资人通过有关销售机构提出申请，约定每期申购日、申</w:t>
      </w:r>
    </w:p>
    <w:p>
      <w:pPr>
        <w:pStyle w:val="BodyText"/>
        <w:spacing w:line="364" w:lineRule="auto" w:before="136"/>
        <w:ind w:left="3021" w:right="1536"/>
        <w:jc w:val="both"/>
      </w:pPr>
      <w:r>
        <w:rPr>
          <w:spacing w:val="-10"/>
        </w:rPr>
        <w:t>购金额及扣款方式，由该销售机构于每期约定申购日在投资</w:t>
      </w:r>
      <w:r>
        <w:rPr>
          <w:spacing w:val="4"/>
        </w:rPr>
        <w:t>人指定银行账户内自动完成扣款及受理基金申购申请的一种投资方式；</w:t>
      </w:r>
    </w:p>
    <w:p>
      <w:pPr>
        <w:pStyle w:val="BodyText"/>
        <w:tabs>
          <w:tab w:pos="3021" w:val="left" w:leader="none"/>
        </w:tabs>
        <w:spacing w:line="364" w:lineRule="auto"/>
        <w:ind w:left="3021" w:right="1536" w:hanging="2552"/>
        <w:jc w:val="both"/>
      </w:pPr>
      <w:r>
        <w:rPr/>
        <w:t>指令：</w:t>
        <w:tab/>
        <w:t>指基金管理人在运用基金财产进行投资时</w:t>
      </w:r>
      <w:r>
        <w:rPr>
          <w:spacing w:val="-75"/>
        </w:rPr>
        <w:t>，</w:t>
      </w:r>
      <w:r>
        <w:rPr/>
        <w:t>向基金托管人</w:t>
      </w:r>
      <w:r>
        <w:rPr>
          <w:spacing w:val="-16"/>
        </w:rPr>
        <w:t>发</w:t>
      </w:r>
      <w:r>
        <w:rPr/>
        <w:t>出的资金划拨及实物券调拨等指令；</w:t>
      </w:r>
    </w:p>
    <w:p>
      <w:pPr>
        <w:pStyle w:val="BodyText"/>
        <w:spacing w:line="268" w:lineRule="exact"/>
        <w:ind w:left="470"/>
        <w:jc w:val="both"/>
      </w:pPr>
      <w:r>
        <w:rPr/>
        <w:t>基金非直销销售机构： 指符合《销售办法》和中国证监会规定的其他条件，取得基</w:t>
      </w:r>
    </w:p>
    <w:p>
      <w:pPr>
        <w:pStyle w:val="BodyText"/>
        <w:spacing w:line="364" w:lineRule="auto" w:before="138"/>
        <w:ind w:left="3021" w:right="1463"/>
      </w:pPr>
      <w:r>
        <w:rPr>
          <w:spacing w:val="-1"/>
        </w:rPr>
        <w:t>金销售业务资格并与基金管理人签订了基金销售服务协议， </w:t>
      </w:r>
      <w:r>
        <w:rPr/>
        <w:t>办理基金销售业务的机构；</w:t>
      </w:r>
    </w:p>
    <w:p>
      <w:pPr>
        <w:pStyle w:val="BodyText"/>
        <w:tabs>
          <w:tab w:pos="3021" w:val="left" w:leader="none"/>
        </w:tabs>
        <w:spacing w:line="268" w:lineRule="exact"/>
        <w:ind w:left="470"/>
      </w:pPr>
      <w:r>
        <w:rPr/>
        <w:t>直销机构</w:t>
        <w:tab/>
        <w:t>指易方达基金管理有限公司</w:t>
      </w:r>
    </w:p>
    <w:p>
      <w:pPr>
        <w:pStyle w:val="BodyText"/>
        <w:tabs>
          <w:tab w:pos="3021" w:val="left" w:leader="none"/>
        </w:tabs>
        <w:spacing w:before="140"/>
        <w:ind w:left="470"/>
        <w:jc w:val="both"/>
      </w:pPr>
      <w:r>
        <w:rPr/>
        <w:t>销售机构：</w:t>
        <w:tab/>
        <w:t>指直销机构和非直销销售机构；</w:t>
      </w:r>
    </w:p>
    <w:p>
      <w:pPr>
        <w:pStyle w:val="BodyText"/>
        <w:spacing w:before="139"/>
        <w:ind w:left="470"/>
        <w:jc w:val="both"/>
      </w:pPr>
      <w:r>
        <w:rPr/>
        <w:t>基金销售网点： 指直销机构的直销网点及非直销销售机构的销售网点；</w:t>
      </w:r>
    </w:p>
    <w:p>
      <w:pPr>
        <w:pStyle w:val="BodyText"/>
        <w:tabs>
          <w:tab w:pos="3021" w:val="left" w:leader="none"/>
        </w:tabs>
        <w:spacing w:before="140"/>
        <w:ind w:left="470"/>
      </w:pPr>
      <w:r>
        <w:rPr/>
        <w:t>指定媒介：</w:t>
        <w:tab/>
      </w:r>
      <w:r>
        <w:rPr>
          <w:spacing w:val="5"/>
        </w:rPr>
        <w:t>指中国证监会指定的用以进行信息披露的全国性报刊及</w:t>
      </w:r>
      <w:r>
        <w:rPr/>
        <w:t>指</w:t>
      </w:r>
    </w:p>
    <w:p>
      <w:pPr>
        <w:pStyle w:val="BodyText"/>
        <w:spacing w:line="364" w:lineRule="auto" w:before="139"/>
        <w:ind w:left="3021" w:right="1462"/>
      </w:pPr>
      <w:r>
        <w:rPr/>
        <w:t>定互联网网站（包括基金管理人网站、基金托管人网站、中国证监会基金电子披露网站）等媒介；</w:t>
      </w:r>
    </w:p>
    <w:p>
      <w:pPr>
        <w:pStyle w:val="BodyText"/>
        <w:tabs>
          <w:tab w:pos="3021" w:val="left" w:leader="none"/>
        </w:tabs>
        <w:spacing w:line="268" w:lineRule="exact"/>
        <w:ind w:left="470"/>
      </w:pPr>
      <w:r>
        <w:rPr/>
        <w:t>基金账户：</w:t>
        <w:tab/>
        <w:t>指注册登记机构为投资人开立的</w:t>
      </w:r>
      <w:r>
        <w:rPr>
          <w:spacing w:val="-38"/>
        </w:rPr>
        <w:t>、</w:t>
      </w:r>
      <w:r>
        <w:rPr/>
        <w:t>记录其持有的</w:t>
      </w:r>
      <w:r>
        <w:rPr>
          <w:spacing w:val="-38"/>
        </w:rPr>
        <w:t>、</w:t>
      </w:r>
      <w:r>
        <w:rPr/>
        <w:t>基金管理</w:t>
      </w:r>
    </w:p>
    <w:p>
      <w:pPr>
        <w:pStyle w:val="BodyText"/>
        <w:spacing w:before="140"/>
        <w:ind w:left="3021"/>
      </w:pPr>
      <w:r>
        <w:rPr/>
        <w:t>人所管理的基金份额余额及其变动情况的账户；</w:t>
      </w:r>
    </w:p>
    <w:p>
      <w:pPr>
        <w:pStyle w:val="BodyText"/>
        <w:tabs>
          <w:tab w:pos="3021" w:val="left" w:leader="none"/>
        </w:tabs>
        <w:spacing w:before="139"/>
        <w:ind w:left="470"/>
      </w:pPr>
      <w:r>
        <w:rPr/>
        <w:t>交易账户：</w:t>
        <w:tab/>
        <w:t>指销售机构为投资人开立的</w:t>
      </w:r>
      <w:r>
        <w:rPr>
          <w:spacing w:val="-75"/>
        </w:rPr>
        <w:t>、</w:t>
      </w:r>
      <w:r>
        <w:rPr/>
        <w:t>记录投资人通过该销售机构办</w:t>
      </w:r>
    </w:p>
    <w:p>
      <w:pPr>
        <w:pStyle w:val="BodyText"/>
        <w:spacing w:line="364" w:lineRule="auto" w:before="140"/>
        <w:ind w:left="3021" w:right="1536"/>
      </w:pPr>
      <w:r>
        <w:rPr>
          <w:spacing w:val="-11"/>
        </w:rPr>
        <w:t>理认购、申购、赎回、转换、转托管及定期定额投资等业务</w:t>
      </w:r>
      <w:r>
        <w:rPr/>
        <w:t>而引起的本基金的基金份额变动及结余情况的账户；</w:t>
      </w:r>
    </w:p>
    <w:p>
      <w:pPr>
        <w:spacing w:after="0" w:line="364" w:lineRule="auto"/>
        <w:sectPr>
          <w:pgSz w:w="11910" w:h="16840"/>
          <w:pgMar w:header="0" w:footer="664" w:top="1380" w:bottom="940" w:left="1580" w:right="380"/>
        </w:sectPr>
      </w:pPr>
    </w:p>
    <w:p>
      <w:pPr>
        <w:pStyle w:val="BodyText"/>
        <w:tabs>
          <w:tab w:pos="3021" w:val="left" w:leader="none"/>
        </w:tabs>
        <w:spacing w:line="364" w:lineRule="auto" w:before="45"/>
        <w:ind w:left="3021" w:right="1537" w:hanging="2552"/>
      </w:pPr>
      <w:r>
        <w:rPr/>
        <w:t>转托管：</w:t>
        <w:tab/>
      </w:r>
      <w:r>
        <w:rPr>
          <w:spacing w:val="5"/>
        </w:rPr>
        <w:t>指基金份额持有人在本基金的不同销售机构之间实施的</w:t>
      </w:r>
      <w:r>
        <w:rPr/>
        <w:t>变更所持基金份额销售机构的操作；</w:t>
      </w:r>
    </w:p>
    <w:p>
      <w:pPr>
        <w:pStyle w:val="BodyText"/>
        <w:tabs>
          <w:tab w:pos="3021" w:val="left" w:leader="none"/>
        </w:tabs>
        <w:spacing w:line="268" w:lineRule="exact"/>
        <w:ind w:left="470"/>
      </w:pPr>
      <w:r>
        <w:rPr/>
        <w:t>开放日：</w:t>
        <w:tab/>
        <w:t>指为投资人办理基金份额申购、赎回或其他业务的工作日；</w:t>
      </w:r>
    </w:p>
    <w:p>
      <w:pPr>
        <w:pStyle w:val="BodyText"/>
        <w:tabs>
          <w:tab w:pos="3021" w:val="left" w:leader="none"/>
        </w:tabs>
        <w:spacing w:line="364" w:lineRule="auto" w:before="139"/>
        <w:ind w:left="3021" w:right="1536" w:hanging="2552"/>
      </w:pPr>
      <w:r>
        <w:rPr/>
        <w:t>T</w:t>
      </w:r>
      <w:r>
        <w:rPr>
          <w:spacing w:val="-53"/>
        </w:rPr>
        <w:t> </w:t>
      </w:r>
      <w:r>
        <w:rPr/>
        <w:t>日：</w:t>
        <w:tab/>
        <w:t>指销售机构在规定时间受理投资人申购</w:t>
      </w:r>
      <w:r>
        <w:rPr>
          <w:spacing w:val="-75"/>
        </w:rPr>
        <w:t>、</w:t>
      </w:r>
      <w:r>
        <w:rPr/>
        <w:t>赎回或其他业务</w:t>
      </w:r>
      <w:r>
        <w:rPr>
          <w:spacing w:val="-16"/>
        </w:rPr>
        <w:t>申</w:t>
      </w:r>
      <w:r>
        <w:rPr/>
        <w:t>请的工作日；</w:t>
      </w:r>
    </w:p>
    <w:p>
      <w:pPr>
        <w:pStyle w:val="BodyText"/>
        <w:tabs>
          <w:tab w:pos="3021" w:val="left" w:leader="none"/>
        </w:tabs>
        <w:spacing w:line="268" w:lineRule="exact"/>
        <w:ind w:left="470"/>
      </w:pPr>
      <w:r>
        <w:rPr/>
        <w:t>T+n</w:t>
      </w:r>
      <w:r>
        <w:rPr>
          <w:spacing w:val="-53"/>
        </w:rPr>
        <w:t> </w:t>
      </w:r>
      <w:r>
        <w:rPr/>
        <w:t>日：</w:t>
        <w:tab/>
        <w:t>指自</w:t>
      </w:r>
      <w:r>
        <w:rPr>
          <w:spacing w:val="-53"/>
        </w:rPr>
        <w:t> </w:t>
      </w:r>
      <w:r>
        <w:rPr/>
        <w:t>T</w:t>
      </w:r>
      <w:r>
        <w:rPr>
          <w:spacing w:val="-53"/>
        </w:rPr>
        <w:t> </w:t>
      </w:r>
      <w:r>
        <w:rPr/>
        <w:t>日起第</w:t>
      </w:r>
      <w:r>
        <w:rPr>
          <w:spacing w:val="-53"/>
        </w:rPr>
        <w:t> </w:t>
      </w:r>
      <w:r>
        <w:rPr/>
        <w:t>n</w:t>
      </w:r>
      <w:r>
        <w:rPr>
          <w:spacing w:val="-53"/>
        </w:rPr>
        <w:t> </w:t>
      </w:r>
      <w:r>
        <w:rPr/>
        <w:t>个工作日(不包含</w:t>
      </w:r>
      <w:r>
        <w:rPr>
          <w:spacing w:val="-53"/>
        </w:rPr>
        <w:t> </w:t>
      </w:r>
      <w:r>
        <w:rPr/>
        <w:t>T</w:t>
      </w:r>
      <w:r>
        <w:rPr>
          <w:spacing w:val="-53"/>
        </w:rPr>
        <w:t> </w:t>
      </w:r>
      <w:r>
        <w:rPr/>
        <w:t>日)；</w:t>
      </w:r>
    </w:p>
    <w:p>
      <w:pPr>
        <w:pStyle w:val="BodyText"/>
        <w:tabs>
          <w:tab w:pos="3021" w:val="left" w:leader="none"/>
        </w:tabs>
        <w:spacing w:before="140"/>
        <w:ind w:left="470"/>
      </w:pPr>
      <w:r>
        <w:rPr/>
        <w:t>基金利润：</w:t>
        <w:tab/>
        <w:t>指基金利息收入</w:t>
      </w:r>
      <w:r>
        <w:rPr>
          <w:spacing w:val="-38"/>
        </w:rPr>
        <w:t>、</w:t>
      </w:r>
      <w:r>
        <w:rPr/>
        <w:t>投资收益</w:t>
      </w:r>
      <w:r>
        <w:rPr>
          <w:spacing w:val="-38"/>
        </w:rPr>
        <w:t>、</w:t>
      </w:r>
      <w:r>
        <w:rPr/>
        <w:t>公允价值变动收益和其他收入</w:t>
      </w:r>
    </w:p>
    <w:p>
      <w:pPr>
        <w:pStyle w:val="BodyText"/>
        <w:spacing w:before="139"/>
        <w:ind w:left="3021"/>
      </w:pPr>
      <w:r>
        <w:rPr/>
        <w:t>扣除相关费用后的余额；</w:t>
      </w:r>
    </w:p>
    <w:p>
      <w:pPr>
        <w:pStyle w:val="BodyText"/>
        <w:tabs>
          <w:tab w:pos="3021" w:val="left" w:leader="none"/>
        </w:tabs>
        <w:spacing w:before="140"/>
        <w:ind w:left="470"/>
      </w:pPr>
      <w:r>
        <w:rPr/>
        <w:t>基金份额净值：</w:t>
        <w:tab/>
        <w:t>指计算日基金资产净值除以计算日基金份额总数；</w:t>
      </w:r>
    </w:p>
    <w:p>
      <w:pPr>
        <w:pStyle w:val="BodyText"/>
        <w:tabs>
          <w:tab w:pos="3021" w:val="left" w:leader="none"/>
        </w:tabs>
        <w:spacing w:before="139"/>
        <w:ind w:left="470"/>
      </w:pPr>
      <w:r>
        <w:rPr/>
        <w:t>基金资产估值：</w:t>
        <w:tab/>
        <w:t>指计算评估基金资产和负债的价值</w:t>
      </w:r>
      <w:r>
        <w:rPr>
          <w:spacing w:val="-75"/>
        </w:rPr>
        <w:t>，</w:t>
      </w:r>
      <w:r>
        <w:rPr/>
        <w:t>以确定基金资产净值和</w:t>
      </w:r>
    </w:p>
    <w:p>
      <w:pPr>
        <w:pStyle w:val="BodyText"/>
        <w:spacing w:before="140"/>
        <w:ind w:left="3021"/>
      </w:pPr>
      <w:r>
        <w:rPr/>
        <w:t>基金份额净值的过程；</w:t>
      </w:r>
    </w:p>
    <w:p>
      <w:pPr>
        <w:pStyle w:val="BodyText"/>
        <w:tabs>
          <w:tab w:pos="3021" w:val="left" w:leader="none"/>
        </w:tabs>
        <w:spacing w:before="139"/>
        <w:ind w:left="470"/>
      </w:pPr>
      <w:r>
        <w:rPr/>
        <w:t>法律法规：</w:t>
        <w:tab/>
        <w:t>指中华人民共和国现行有效的法律、行政法规、司法解释、</w:t>
      </w:r>
    </w:p>
    <w:p>
      <w:pPr>
        <w:pStyle w:val="BodyText"/>
        <w:spacing w:line="364" w:lineRule="auto" w:before="139"/>
        <w:ind w:left="3021" w:right="1536"/>
      </w:pPr>
      <w:r>
        <w:rPr>
          <w:spacing w:val="-11"/>
        </w:rPr>
        <w:t>地方法规、地方规章、部门规章及其他规范性文件以及对于</w:t>
      </w:r>
      <w:r>
        <w:rPr/>
        <w:t>该等法律法规的不时修改和补充；</w:t>
      </w:r>
    </w:p>
    <w:p>
      <w:pPr>
        <w:spacing w:after="0" w:line="364" w:lineRule="auto"/>
        <w:sectPr>
          <w:pgSz w:w="11910" w:h="16840"/>
          <w:pgMar w:header="0" w:footer="664" w:top="1380" w:bottom="940" w:left="1580" w:right="380"/>
        </w:sectPr>
      </w:pPr>
    </w:p>
    <w:p>
      <w:pPr>
        <w:pStyle w:val="BodyText"/>
        <w:ind w:left="470"/>
      </w:pPr>
      <w:r>
        <w:rPr/>
        <w:t>不可抗力：</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26"/>
        </w:rPr>
      </w:pPr>
    </w:p>
    <w:p>
      <w:pPr>
        <w:pStyle w:val="BodyText"/>
        <w:ind w:left="470"/>
      </w:pPr>
      <w:r>
        <w:rPr/>
        <w:t>流动性受限资产：</w:t>
      </w:r>
    </w:p>
    <w:p>
      <w:pPr>
        <w:pStyle w:val="BodyText"/>
        <w:spacing w:line="364" w:lineRule="auto"/>
        <w:ind w:left="470" w:right="1536"/>
        <w:jc w:val="both"/>
      </w:pPr>
      <w:r>
        <w:rPr/>
        <w:br w:type="column"/>
      </w:r>
      <w:r>
        <w:rPr>
          <w:spacing w:val="-6"/>
        </w:rPr>
        <w:t>指本基金合同当事人无法预见、无法抗拒、无法避免且在本</w:t>
      </w:r>
      <w:r>
        <w:rPr>
          <w:spacing w:val="-7"/>
        </w:rPr>
        <w:t>基金合同由基金管理人、基金托管人签署之日后发生的，使</w:t>
      </w:r>
      <w:r>
        <w:rPr>
          <w:spacing w:val="4"/>
        </w:rPr>
        <w:t>本基金合同当事人无法全部或部分履行本基金合同的任何事件；</w:t>
      </w:r>
    </w:p>
    <w:p>
      <w:pPr>
        <w:pStyle w:val="BodyText"/>
        <w:spacing w:line="364" w:lineRule="auto"/>
        <w:ind w:left="470" w:right="1536"/>
        <w:jc w:val="both"/>
      </w:pPr>
      <w:r>
        <w:rPr>
          <w:spacing w:val="-9"/>
        </w:rPr>
        <w:t>指由于法律法规、监管、合同或操作障碍等原因无法以合理</w:t>
      </w:r>
      <w:r>
        <w:rPr>
          <w:spacing w:val="-3"/>
        </w:rPr>
        <w:t>价格予以变现的资产，包括但不限于到期日在 </w:t>
      </w:r>
      <w:r>
        <w:rPr/>
        <w:t>10</w:t>
      </w:r>
      <w:r>
        <w:rPr>
          <w:spacing w:val="-12"/>
        </w:rPr>
        <w:t> 个交易日</w:t>
      </w:r>
      <w:r>
        <w:rPr>
          <w:spacing w:val="-6"/>
        </w:rPr>
        <w:t>以上的逆回购与银行定期存款</w:t>
      </w:r>
      <w:r>
        <w:rPr/>
        <w:t>（</w:t>
      </w:r>
      <w:r>
        <w:rPr>
          <w:spacing w:val="-2"/>
        </w:rPr>
        <w:t>含协议约定有条件提前支取</w:t>
      </w:r>
      <w:r>
        <w:rPr/>
        <w:t>的银行存款</w:t>
      </w:r>
      <w:r>
        <w:rPr>
          <w:spacing w:val="-53"/>
        </w:rPr>
        <w:t>）</w:t>
      </w:r>
      <w:r>
        <w:rPr>
          <w:spacing w:val="-6"/>
        </w:rPr>
        <w:t>、停牌股票、流通受限的新股及非公开发行股</w:t>
      </w:r>
      <w:r>
        <w:rPr>
          <w:spacing w:val="-10"/>
        </w:rPr>
        <w:t>票、资产支持证券、因发行人债务违约无法进行转让或交易</w:t>
      </w:r>
      <w:r>
        <w:rPr/>
        <w:t>的债券等</w:t>
      </w:r>
    </w:p>
    <w:p>
      <w:pPr>
        <w:spacing w:after="0" w:line="364" w:lineRule="auto"/>
        <w:jc w:val="both"/>
        <w:sectPr>
          <w:type w:val="continuous"/>
          <w:pgSz w:w="11910" w:h="16840"/>
          <w:pgMar w:top="1580" w:bottom="280" w:left="1580" w:right="380"/>
          <w:cols w:num="2" w:equalWidth="0">
            <w:col w:w="2191" w:space="361"/>
            <w:col w:w="7398"/>
          </w:cols>
        </w:sectPr>
      </w:pPr>
    </w:p>
    <w:p>
      <w:pPr>
        <w:pStyle w:val="Heading1"/>
      </w:pPr>
      <w:bookmarkStart w:name="_bookmark2" w:id="3"/>
      <w:bookmarkEnd w:id="3"/>
      <w:r>
        <w:rPr/>
      </w:r>
      <w:r>
        <w:rPr/>
        <w:t>三、基金管理人</w:t>
      </w:r>
    </w:p>
    <w:p>
      <w:pPr>
        <w:pStyle w:val="BodyText"/>
        <w:spacing w:before="10"/>
        <w:ind w:left="0"/>
        <w:rPr>
          <w:sz w:val="11"/>
        </w:rPr>
      </w:pPr>
    </w:p>
    <w:p>
      <w:pPr>
        <w:pStyle w:val="Heading3"/>
        <w:spacing w:before="61"/>
      </w:pPr>
      <w:bookmarkStart w:name="_bookmark3" w:id="4"/>
      <w:bookmarkEnd w:id="4"/>
      <w:r>
        <w:rPr/>
      </w:r>
      <w:r>
        <w:rPr/>
        <w:t>(一)基金管理人基本情况</w:t>
      </w:r>
    </w:p>
    <w:p>
      <w:pPr>
        <w:pStyle w:val="BodyText"/>
        <w:spacing w:before="184"/>
      </w:pPr>
      <w:r>
        <w:rPr/>
        <w:t>1、基金管理人：易方达基金管理有限公司</w:t>
      </w:r>
    </w:p>
    <w:p>
      <w:pPr>
        <w:pStyle w:val="BodyText"/>
        <w:spacing w:line="364" w:lineRule="auto" w:before="140"/>
        <w:ind w:right="23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626"/>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right="7205"/>
      </w:pPr>
      <w:r>
        <w:rPr/>
        <w:t>联系电话：4008818088 联系人：李红枫</w:t>
      </w:r>
    </w:p>
    <w:p>
      <w:pPr>
        <w:pStyle w:val="BodyText"/>
        <w:spacing w:line="268" w:lineRule="exact"/>
      </w:pPr>
      <w:r>
        <w:rPr/>
        <w:t>注册资本：13,244.2 万元人民币</w:t>
      </w:r>
    </w:p>
    <w:p>
      <w:pPr>
        <w:pStyle w:val="BodyText"/>
        <w:spacing w:line="364" w:lineRule="auto" w:before="137"/>
        <w:ind w:right="2636"/>
      </w:pPr>
      <w:r>
        <w:rPr/>
        <w:t>批准设立机关及文号：中国证券监督管理委员会，证监基金字[2001]4</w:t>
      </w:r>
      <w:r>
        <w:rPr>
          <w:spacing w:val="-35"/>
        </w:rPr>
        <w:t> 号</w:t>
      </w:r>
      <w:r>
        <w:rPr/>
        <w:t>经营范围：公开募集证券投资基金管理、基金销售、特定客户资产管理 2、股权结构：</w:t>
      </w:r>
    </w:p>
    <w:tbl>
      <w:tblPr>
        <w:tblW w:w="0" w:type="auto"/>
        <w:jc w:val="left"/>
        <w:tblInd w:w="1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6"/>
        <w:gridCol w:w="1837"/>
      </w:tblGrid>
      <w:tr>
        <w:trPr>
          <w:trHeight w:val="408" w:hRule="atLeast"/>
        </w:trPr>
        <w:tc>
          <w:tcPr>
            <w:tcW w:w="4236" w:type="dxa"/>
          </w:tcPr>
          <w:p>
            <w:pPr>
              <w:pStyle w:val="TableParagraph"/>
              <w:spacing w:line="268" w:lineRule="exact"/>
              <w:ind w:left="1678" w:right="1668"/>
              <w:jc w:val="center"/>
              <w:rPr>
                <w:sz w:val="21"/>
              </w:rPr>
            </w:pPr>
            <w:r>
              <w:rPr>
                <w:sz w:val="21"/>
              </w:rPr>
              <w:t>股东名称</w:t>
            </w:r>
          </w:p>
        </w:tc>
        <w:tc>
          <w:tcPr>
            <w:tcW w:w="1837" w:type="dxa"/>
          </w:tcPr>
          <w:p>
            <w:pPr>
              <w:pStyle w:val="TableParagraph"/>
              <w:spacing w:line="268" w:lineRule="exact"/>
              <w:ind w:left="498"/>
              <w:rPr>
                <w:sz w:val="21"/>
              </w:rPr>
            </w:pPr>
            <w:r>
              <w:rPr>
                <w:sz w:val="21"/>
              </w:rPr>
              <w:t>出资比例</w:t>
            </w:r>
          </w:p>
        </w:tc>
      </w:tr>
      <w:tr>
        <w:trPr>
          <w:trHeight w:val="408" w:hRule="atLeast"/>
        </w:trPr>
        <w:tc>
          <w:tcPr>
            <w:tcW w:w="4236" w:type="dxa"/>
          </w:tcPr>
          <w:p>
            <w:pPr>
              <w:pStyle w:val="TableParagraph"/>
              <w:spacing w:line="268" w:lineRule="exact"/>
              <w:ind w:left="108"/>
              <w:rPr>
                <w:sz w:val="21"/>
              </w:rPr>
            </w:pPr>
            <w:r>
              <w:rPr>
                <w:sz w:val="21"/>
              </w:rPr>
              <w:t>广东粤财信托有限公司</w:t>
            </w:r>
          </w:p>
        </w:tc>
        <w:tc>
          <w:tcPr>
            <w:tcW w:w="1837" w:type="dxa"/>
          </w:tcPr>
          <w:p>
            <w:pPr>
              <w:pStyle w:val="TableParagraph"/>
              <w:spacing w:line="268" w:lineRule="exact"/>
              <w:ind w:right="97"/>
              <w:jc w:val="right"/>
              <w:rPr>
                <w:sz w:val="21"/>
              </w:rPr>
            </w:pPr>
            <w:r>
              <w:rPr>
                <w:sz w:val="21"/>
              </w:rPr>
              <w:t>22.6514％</w:t>
            </w:r>
          </w:p>
        </w:tc>
      </w:tr>
      <w:tr>
        <w:trPr>
          <w:trHeight w:val="408" w:hRule="atLeast"/>
        </w:trPr>
        <w:tc>
          <w:tcPr>
            <w:tcW w:w="4236" w:type="dxa"/>
          </w:tcPr>
          <w:p>
            <w:pPr>
              <w:pStyle w:val="TableParagraph"/>
              <w:spacing w:line="268" w:lineRule="exact"/>
              <w:ind w:left="108"/>
              <w:rPr>
                <w:sz w:val="21"/>
              </w:rPr>
            </w:pPr>
            <w:r>
              <w:rPr>
                <w:sz w:val="21"/>
              </w:rPr>
              <w:t>广发证券股份有限公司</w:t>
            </w:r>
          </w:p>
        </w:tc>
        <w:tc>
          <w:tcPr>
            <w:tcW w:w="1837" w:type="dxa"/>
          </w:tcPr>
          <w:p>
            <w:pPr>
              <w:pStyle w:val="TableParagraph"/>
              <w:spacing w:line="268" w:lineRule="exact"/>
              <w:ind w:right="97"/>
              <w:jc w:val="right"/>
              <w:rPr>
                <w:sz w:val="21"/>
              </w:rPr>
            </w:pPr>
            <w:r>
              <w:rPr>
                <w:sz w:val="21"/>
              </w:rPr>
              <w:t>22.6514％</w:t>
            </w:r>
          </w:p>
        </w:tc>
      </w:tr>
      <w:tr>
        <w:trPr>
          <w:trHeight w:val="408" w:hRule="atLeast"/>
        </w:trPr>
        <w:tc>
          <w:tcPr>
            <w:tcW w:w="4236" w:type="dxa"/>
          </w:tcPr>
          <w:p>
            <w:pPr>
              <w:pStyle w:val="TableParagraph"/>
              <w:spacing w:line="268" w:lineRule="exact"/>
              <w:ind w:left="108"/>
              <w:rPr>
                <w:sz w:val="21"/>
              </w:rPr>
            </w:pPr>
            <w:r>
              <w:rPr>
                <w:sz w:val="21"/>
              </w:rPr>
              <w:t>盈峰控股集团有限公司</w:t>
            </w:r>
          </w:p>
        </w:tc>
        <w:tc>
          <w:tcPr>
            <w:tcW w:w="1837" w:type="dxa"/>
          </w:tcPr>
          <w:p>
            <w:pPr>
              <w:pStyle w:val="TableParagraph"/>
              <w:spacing w:line="268" w:lineRule="exact"/>
              <w:ind w:right="97"/>
              <w:jc w:val="right"/>
              <w:rPr>
                <w:sz w:val="21"/>
              </w:rPr>
            </w:pPr>
            <w:r>
              <w:rPr>
                <w:sz w:val="21"/>
              </w:rPr>
              <w:t>22.6514％</w:t>
            </w:r>
          </w:p>
        </w:tc>
      </w:tr>
      <w:tr>
        <w:trPr>
          <w:trHeight w:val="408" w:hRule="atLeast"/>
        </w:trPr>
        <w:tc>
          <w:tcPr>
            <w:tcW w:w="4236" w:type="dxa"/>
          </w:tcPr>
          <w:p>
            <w:pPr>
              <w:pStyle w:val="TableParagraph"/>
              <w:spacing w:line="268" w:lineRule="exact"/>
              <w:ind w:left="108"/>
              <w:rPr>
                <w:sz w:val="21"/>
              </w:rPr>
            </w:pPr>
            <w:r>
              <w:rPr>
                <w:sz w:val="21"/>
              </w:rPr>
              <w:t>广东省广晟资产经营有限公司</w:t>
            </w:r>
          </w:p>
        </w:tc>
        <w:tc>
          <w:tcPr>
            <w:tcW w:w="1837" w:type="dxa"/>
          </w:tcPr>
          <w:p>
            <w:pPr>
              <w:pStyle w:val="TableParagraph"/>
              <w:spacing w:line="268" w:lineRule="exact"/>
              <w:ind w:right="97"/>
              <w:jc w:val="right"/>
              <w:rPr>
                <w:sz w:val="21"/>
              </w:rPr>
            </w:pPr>
            <w:r>
              <w:rPr>
                <w:sz w:val="21"/>
              </w:rPr>
              <w:t>15.1010％</w:t>
            </w:r>
          </w:p>
        </w:tc>
      </w:tr>
      <w:tr>
        <w:trPr>
          <w:trHeight w:val="408" w:hRule="atLeast"/>
        </w:trPr>
        <w:tc>
          <w:tcPr>
            <w:tcW w:w="4236" w:type="dxa"/>
          </w:tcPr>
          <w:p>
            <w:pPr>
              <w:pStyle w:val="TableParagraph"/>
              <w:spacing w:line="268" w:lineRule="exact"/>
              <w:ind w:left="108"/>
              <w:rPr>
                <w:sz w:val="21"/>
              </w:rPr>
            </w:pPr>
            <w:r>
              <w:rPr>
                <w:sz w:val="21"/>
              </w:rPr>
              <w:t>广州市广永国有资产经营有限公司</w:t>
            </w:r>
          </w:p>
        </w:tc>
        <w:tc>
          <w:tcPr>
            <w:tcW w:w="1837" w:type="dxa"/>
          </w:tcPr>
          <w:p>
            <w:pPr>
              <w:pStyle w:val="TableParagraph"/>
              <w:spacing w:line="268" w:lineRule="exact"/>
              <w:ind w:right="97"/>
              <w:jc w:val="right"/>
              <w:rPr>
                <w:sz w:val="21"/>
              </w:rPr>
            </w:pPr>
            <w:r>
              <w:rPr>
                <w:sz w:val="21"/>
              </w:rPr>
              <w:t>7.5505％</w:t>
            </w:r>
          </w:p>
        </w:tc>
      </w:tr>
      <w:tr>
        <w:trPr>
          <w:trHeight w:val="408" w:hRule="atLeast"/>
        </w:trPr>
        <w:tc>
          <w:tcPr>
            <w:tcW w:w="4236" w:type="dxa"/>
          </w:tcPr>
          <w:p>
            <w:pPr>
              <w:pStyle w:val="TableParagraph"/>
              <w:spacing w:line="268" w:lineRule="exact"/>
              <w:ind w:left="108"/>
              <w:rPr>
                <w:sz w:val="21"/>
              </w:rPr>
            </w:pPr>
            <w:r>
              <w:rPr>
                <w:sz w:val="21"/>
              </w:rPr>
              <w:t>珠海祺荣宝股权投资合伙企业（有限合伙）</w:t>
            </w:r>
          </w:p>
        </w:tc>
        <w:tc>
          <w:tcPr>
            <w:tcW w:w="1837" w:type="dxa"/>
          </w:tcPr>
          <w:p>
            <w:pPr>
              <w:pStyle w:val="TableParagraph"/>
              <w:spacing w:line="268" w:lineRule="exact"/>
              <w:ind w:right="97"/>
              <w:jc w:val="right"/>
              <w:rPr>
                <w:sz w:val="21"/>
              </w:rPr>
            </w:pPr>
            <w:r>
              <w:rPr>
                <w:sz w:val="21"/>
              </w:rPr>
              <w:t>1.5087％</w:t>
            </w:r>
          </w:p>
        </w:tc>
      </w:tr>
      <w:tr>
        <w:trPr>
          <w:trHeight w:val="408" w:hRule="atLeast"/>
        </w:trPr>
        <w:tc>
          <w:tcPr>
            <w:tcW w:w="4236" w:type="dxa"/>
          </w:tcPr>
          <w:p>
            <w:pPr>
              <w:pStyle w:val="TableParagraph"/>
              <w:spacing w:line="268" w:lineRule="exact"/>
              <w:ind w:left="108"/>
              <w:rPr>
                <w:sz w:val="21"/>
              </w:rPr>
            </w:pPr>
            <w:r>
              <w:rPr>
                <w:sz w:val="21"/>
              </w:rPr>
              <w:t>珠海祺泰宝股权投资合伙企业（有限合伙）</w:t>
            </w:r>
          </w:p>
        </w:tc>
        <w:tc>
          <w:tcPr>
            <w:tcW w:w="1837" w:type="dxa"/>
          </w:tcPr>
          <w:p>
            <w:pPr>
              <w:pStyle w:val="TableParagraph"/>
              <w:spacing w:line="268" w:lineRule="exact"/>
              <w:ind w:right="97"/>
              <w:jc w:val="right"/>
              <w:rPr>
                <w:sz w:val="21"/>
              </w:rPr>
            </w:pPr>
            <w:r>
              <w:rPr>
                <w:sz w:val="21"/>
              </w:rPr>
              <w:t>1.6205％</w:t>
            </w:r>
          </w:p>
        </w:tc>
      </w:tr>
      <w:tr>
        <w:trPr>
          <w:trHeight w:val="408" w:hRule="atLeast"/>
        </w:trPr>
        <w:tc>
          <w:tcPr>
            <w:tcW w:w="4236" w:type="dxa"/>
          </w:tcPr>
          <w:p>
            <w:pPr>
              <w:pStyle w:val="TableParagraph"/>
              <w:spacing w:line="268" w:lineRule="exact"/>
              <w:ind w:left="108"/>
              <w:rPr>
                <w:sz w:val="21"/>
              </w:rPr>
            </w:pPr>
            <w:r>
              <w:rPr>
                <w:sz w:val="21"/>
              </w:rPr>
              <w:t>珠海祺丰宝股权投资合伙企业（有限合伙）</w:t>
            </w:r>
          </w:p>
        </w:tc>
        <w:tc>
          <w:tcPr>
            <w:tcW w:w="1837" w:type="dxa"/>
          </w:tcPr>
          <w:p>
            <w:pPr>
              <w:pStyle w:val="TableParagraph"/>
              <w:spacing w:line="268" w:lineRule="exact"/>
              <w:ind w:right="97"/>
              <w:jc w:val="right"/>
              <w:rPr>
                <w:sz w:val="21"/>
              </w:rPr>
            </w:pPr>
            <w:r>
              <w:rPr>
                <w:sz w:val="21"/>
              </w:rPr>
              <w:t>1.5309％</w:t>
            </w:r>
          </w:p>
        </w:tc>
      </w:tr>
      <w:tr>
        <w:trPr>
          <w:trHeight w:val="408" w:hRule="atLeast"/>
        </w:trPr>
        <w:tc>
          <w:tcPr>
            <w:tcW w:w="4236" w:type="dxa"/>
          </w:tcPr>
          <w:p>
            <w:pPr>
              <w:pStyle w:val="TableParagraph"/>
              <w:spacing w:line="268" w:lineRule="exact"/>
              <w:ind w:left="108"/>
              <w:rPr>
                <w:sz w:val="21"/>
              </w:rPr>
            </w:pPr>
            <w:r>
              <w:rPr>
                <w:sz w:val="21"/>
              </w:rPr>
              <w:t>珠海聚莱康股权投资合伙企业（有限合伙）</w:t>
            </w:r>
          </w:p>
        </w:tc>
        <w:tc>
          <w:tcPr>
            <w:tcW w:w="1837" w:type="dxa"/>
          </w:tcPr>
          <w:p>
            <w:pPr>
              <w:pStyle w:val="TableParagraph"/>
              <w:spacing w:line="268" w:lineRule="exact"/>
              <w:ind w:right="97"/>
              <w:jc w:val="right"/>
              <w:rPr>
                <w:sz w:val="21"/>
              </w:rPr>
            </w:pPr>
            <w:r>
              <w:rPr>
                <w:sz w:val="21"/>
              </w:rPr>
              <w:t>1.7558％</w:t>
            </w:r>
          </w:p>
        </w:tc>
      </w:tr>
      <w:tr>
        <w:trPr>
          <w:trHeight w:val="408" w:hRule="atLeast"/>
        </w:trPr>
        <w:tc>
          <w:tcPr>
            <w:tcW w:w="4236" w:type="dxa"/>
          </w:tcPr>
          <w:p>
            <w:pPr>
              <w:pStyle w:val="TableParagraph"/>
              <w:spacing w:line="268" w:lineRule="exact"/>
              <w:ind w:left="108"/>
              <w:rPr>
                <w:sz w:val="21"/>
              </w:rPr>
            </w:pPr>
            <w:r>
              <w:rPr>
                <w:sz w:val="21"/>
              </w:rPr>
              <w:t>珠海聚宁康股权投资合伙企业（有限合伙）</w:t>
            </w:r>
          </w:p>
        </w:tc>
        <w:tc>
          <w:tcPr>
            <w:tcW w:w="1837" w:type="dxa"/>
          </w:tcPr>
          <w:p>
            <w:pPr>
              <w:pStyle w:val="TableParagraph"/>
              <w:spacing w:line="268" w:lineRule="exact"/>
              <w:ind w:right="97"/>
              <w:jc w:val="right"/>
              <w:rPr>
                <w:sz w:val="21"/>
              </w:rPr>
            </w:pPr>
            <w:r>
              <w:rPr>
                <w:sz w:val="21"/>
              </w:rPr>
              <w:t>1.4396％</w:t>
            </w:r>
          </w:p>
        </w:tc>
      </w:tr>
      <w:tr>
        <w:trPr>
          <w:trHeight w:val="408" w:hRule="atLeast"/>
        </w:trPr>
        <w:tc>
          <w:tcPr>
            <w:tcW w:w="4236" w:type="dxa"/>
          </w:tcPr>
          <w:p>
            <w:pPr>
              <w:pStyle w:val="TableParagraph"/>
              <w:spacing w:line="268" w:lineRule="exact"/>
              <w:ind w:left="108"/>
              <w:rPr>
                <w:sz w:val="21"/>
              </w:rPr>
            </w:pPr>
            <w:r>
              <w:rPr>
                <w:sz w:val="21"/>
              </w:rPr>
              <w:t>珠海聚弘康股权投资合伙企业（有限合伙）</w:t>
            </w:r>
          </w:p>
        </w:tc>
        <w:tc>
          <w:tcPr>
            <w:tcW w:w="1837" w:type="dxa"/>
          </w:tcPr>
          <w:p>
            <w:pPr>
              <w:pStyle w:val="TableParagraph"/>
              <w:spacing w:line="268" w:lineRule="exact"/>
              <w:ind w:right="97"/>
              <w:jc w:val="right"/>
              <w:rPr>
                <w:sz w:val="21"/>
              </w:rPr>
            </w:pPr>
            <w:r>
              <w:rPr>
                <w:sz w:val="21"/>
              </w:rPr>
              <w:t>1.5388％</w:t>
            </w:r>
          </w:p>
        </w:tc>
      </w:tr>
      <w:tr>
        <w:trPr>
          <w:trHeight w:val="408" w:hRule="atLeast"/>
        </w:trPr>
        <w:tc>
          <w:tcPr>
            <w:tcW w:w="4236" w:type="dxa"/>
          </w:tcPr>
          <w:p>
            <w:pPr>
              <w:pStyle w:val="TableParagraph"/>
              <w:spacing w:line="268" w:lineRule="exact"/>
              <w:ind w:left="108"/>
              <w:rPr>
                <w:sz w:val="21"/>
              </w:rPr>
            </w:pPr>
            <w:r>
              <w:rPr>
                <w:sz w:val="21"/>
              </w:rPr>
              <w:t>总计</w:t>
            </w:r>
          </w:p>
        </w:tc>
        <w:tc>
          <w:tcPr>
            <w:tcW w:w="1837" w:type="dxa"/>
          </w:tcPr>
          <w:p>
            <w:pPr>
              <w:pStyle w:val="TableParagraph"/>
              <w:spacing w:line="268" w:lineRule="exact"/>
              <w:ind w:right="97"/>
              <w:jc w:val="right"/>
              <w:rPr>
                <w:sz w:val="21"/>
              </w:rPr>
            </w:pPr>
            <w:r>
              <w:rPr>
                <w:sz w:val="21"/>
              </w:rPr>
              <w:t>100％</w:t>
            </w:r>
          </w:p>
        </w:tc>
      </w:tr>
    </w:tbl>
    <w:p>
      <w:pPr>
        <w:pStyle w:val="BodyText"/>
        <w:ind w:left="0"/>
        <w:rPr>
          <w:sz w:val="20"/>
        </w:rPr>
      </w:pPr>
    </w:p>
    <w:p>
      <w:pPr>
        <w:pStyle w:val="Heading3"/>
        <w:spacing w:before="152"/>
      </w:pPr>
      <w:bookmarkStart w:name="_bookmark4" w:id="5"/>
      <w:bookmarkEnd w:id="5"/>
      <w:r>
        <w:rPr/>
      </w:r>
      <w:r>
        <w:rPr/>
        <w:t>(二)主要人员情况</w:t>
      </w:r>
    </w:p>
    <w:p>
      <w:pPr>
        <w:pStyle w:val="BodyText"/>
        <w:spacing w:before="185"/>
      </w:pPr>
      <w:r>
        <w:rPr/>
        <w:t>1、董事、监事及高级管理人员</w:t>
      </w:r>
    </w:p>
    <w:p>
      <w:pPr>
        <w:pStyle w:val="BodyText"/>
        <w:spacing w:line="364" w:lineRule="auto" w:before="140"/>
        <w:ind w:left="220" w:right="1417" w:firstLine="420"/>
        <w:jc w:val="both"/>
      </w:pPr>
      <w:r>
        <w:rPr>
          <w:spacing w:val="-11"/>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、资产管理部副总经理、资产管理部总经理，中国平安保险股份有限公司投资管理部副</w:t>
      </w:r>
    </w:p>
    <w:p>
      <w:pPr>
        <w:spacing w:after="0" w:line="364" w:lineRule="auto"/>
        <w:jc w:val="both"/>
        <w:sectPr>
          <w:pgSz w:w="11910" w:h="16840"/>
          <w:pgMar w:header="0" w:footer="664" w:top="1400" w:bottom="940" w:left="1580" w:right="380"/>
        </w:sectPr>
      </w:pPr>
    </w:p>
    <w:p>
      <w:pPr>
        <w:pStyle w:val="BodyText"/>
        <w:spacing w:line="364" w:lineRule="auto" w:before="45"/>
        <w:ind w:left="220" w:right="1418"/>
        <w:jc w:val="both"/>
      </w:pPr>
      <w:r>
        <w:rPr/>
        <w:t>总经理（主持工作</w:t>
      </w:r>
      <w:r>
        <w:rPr>
          <w:spacing w:val="-105"/>
        </w:rPr>
        <w:t>）</w:t>
      </w:r>
      <w:r>
        <w:rPr/>
        <w:t>，全国社会保障基金理事会投资部资产配置处处长、投资部副主任、境</w:t>
      </w:r>
      <w:r>
        <w:rPr>
          <w:spacing w:val="-9"/>
        </w:rPr>
        <w:t>外投资部主任、投资部主任、证券投资部主任。现任易方达基金管理有限公司董事长，易方</w:t>
      </w:r>
      <w:r>
        <w:rPr/>
        <w:t>达国际控股有限公司董事长。</w:t>
      </w:r>
    </w:p>
    <w:p>
      <w:pPr>
        <w:pStyle w:val="BodyText"/>
        <w:spacing w:line="364" w:lineRule="auto"/>
        <w:ind w:left="220" w:right="1417" w:firstLine="420"/>
        <w:jc w:val="both"/>
      </w:pPr>
      <w:r>
        <w:rPr>
          <w:spacing w:val="-10"/>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19"/>
        </w:rPr>
        <w:t>）</w:t>
      </w:r>
      <w:r>
        <w:rPr>
          <w:spacing w:val="-6"/>
        </w:rPr>
        <w:t>有限公司董事长。现任易方达基金管理有限公司副董事长、总裁，易方</w:t>
      </w:r>
      <w:r>
        <w:rPr/>
        <w:t>达国际控股有限公司董事。</w:t>
      </w:r>
    </w:p>
    <w:p>
      <w:pPr>
        <w:pStyle w:val="BodyText"/>
        <w:spacing w:line="364" w:lineRule="auto"/>
        <w:ind w:left="220" w:right="1312"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19"/>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220" w:right="141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4"/>
        </w:rPr>
        <w:t>）</w:t>
      </w:r>
      <w:r>
        <w:rPr>
          <w:spacing w:val="-4"/>
        </w:rPr>
        <w:t>有限公司</w:t>
      </w:r>
      <w:r>
        <w:rPr>
          <w:spacing w:val="-10"/>
        </w:rPr>
        <w:t>董事长。现任易方达基金管理有限公司董事，广发证券股份有限公司执行董事、常务副总经</w:t>
      </w:r>
      <w:r>
        <w:rPr/>
        <w:t>理，广发控股（香港）有限公司董事长。</w:t>
      </w:r>
    </w:p>
    <w:p>
      <w:pPr>
        <w:pStyle w:val="BodyText"/>
        <w:spacing w:line="364" w:lineRule="auto"/>
        <w:ind w:left="220" w:right="1417" w:firstLine="420"/>
        <w:jc w:val="both"/>
      </w:pPr>
      <w:r>
        <w:rPr>
          <w:spacing w:val="-10"/>
        </w:rPr>
        <w:t>陈志辉先生，管理学硕士，董事。曾任安永会计师事务所广州分所高级审计员，美的集</w:t>
      </w:r>
      <w:r>
        <w:rPr>
          <w:spacing w:val="-9"/>
        </w:rPr>
        <w:t>团税务总监，宁波盈峰股权投资基金管理有限公司合伙人、联席总裁。现任易方达基金管理</w:t>
      </w:r>
      <w:r>
        <w:rPr>
          <w:spacing w:val="-10"/>
        </w:rPr>
        <w:t>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220" w:right="1313" w:firstLine="420"/>
      </w:pPr>
      <w:r>
        <w:rPr>
          <w:spacing w:val="-9"/>
        </w:rPr>
        <w:t>潘文皓先生，经济学硕士，董事。曾任劲牌有限公司资金管理部综合分析员，云南锡业</w:t>
      </w:r>
      <w:r>
        <w:rPr>
          <w:spacing w:val="-17"/>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19"/>
        </w:rPr>
        <w:t>）</w:t>
      </w:r>
      <w:r>
        <w:rPr/>
        <w:t>融资</w:t>
      </w:r>
      <w:r>
        <w:rPr>
          <w:spacing w:val="-7"/>
        </w:rPr>
        <w:t>租赁公司董事长，西藏巨龙铜业有限公司董事会秘书、董事，广晟有色金属股份有限公司董</w:t>
      </w:r>
      <w:r>
        <w:rPr>
          <w:spacing w:val="-11"/>
        </w:rPr>
        <w:t>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364" w:lineRule="auto"/>
        <w:ind w:left="220" w:right="1208" w:firstLine="420"/>
      </w:pPr>
      <w:r>
        <w:rPr>
          <w:spacing w:val="-9"/>
        </w:rPr>
        <w:t>忻榕女士，工商行政管理博士，独立董事。曾任中科院研究生院讲师，美国加州高温橡 </w:t>
      </w:r>
      <w:r>
        <w:rPr>
          <w:spacing w:val="-7"/>
        </w:rPr>
        <w:t>胶公司市场部经理，美国加州大学讲师，美国南加州大学助理教授，香港科技大学副教授， </w:t>
      </w:r>
      <w:r>
        <w:rPr>
          <w:spacing w:val="-6"/>
        </w:rPr>
        <w:t>中欧国际工商学院教授，瑞士洛桑管理学院教授。现任易方达基金管理有限公司独立董事， </w:t>
      </w:r>
      <w:r>
        <w:rPr>
          <w:spacing w:val="-9"/>
        </w:rPr>
        <w:t>中欧国际工商学院教授，复星旅游文化集团</w:t>
      </w:r>
      <w:r>
        <w:rPr/>
        <w:t>（开曼</w:t>
      </w:r>
      <w:r>
        <w:rPr>
          <w:spacing w:val="-24"/>
        </w:rPr>
        <w:t>）</w:t>
      </w:r>
      <w:r>
        <w:rPr>
          <w:spacing w:val="-3"/>
        </w:rPr>
        <w:t>有限公司独立董事，上海汇招信息技术 有限公司董事，上海卡恩文化传播股份有限公司独立董事。</w:t>
      </w:r>
    </w:p>
    <w:p>
      <w:pPr>
        <w:pStyle w:val="BodyText"/>
        <w:spacing w:line="267" w:lineRule="exact"/>
      </w:pPr>
      <w:r>
        <w:rPr/>
        <w:t>谭劲松先生，管理学博士（会计学</w:t>
      </w:r>
      <w:r>
        <w:rPr>
          <w:spacing w:val="-105"/>
        </w:rPr>
        <w:t>）</w:t>
      </w:r>
      <w:r>
        <w:rPr/>
        <w:t>，独立董事。曾任邵阳市财会学校教师，中山大学</w:t>
      </w:r>
    </w:p>
    <w:p>
      <w:pPr>
        <w:spacing w:after="0" w:line="267" w:lineRule="exact"/>
        <w:sectPr>
          <w:pgSz w:w="11910" w:h="16840"/>
          <w:pgMar w:header="0" w:footer="664" w:top="1380" w:bottom="940" w:left="1580" w:right="380"/>
        </w:sectPr>
      </w:pPr>
    </w:p>
    <w:p>
      <w:pPr>
        <w:pStyle w:val="BodyText"/>
        <w:spacing w:line="364" w:lineRule="auto" w:before="45"/>
        <w:ind w:left="220" w:right="1313"/>
      </w:pPr>
      <w:r>
        <w:rPr>
          <w:spacing w:val="-9"/>
        </w:rPr>
        <w:t>管理学院助教、讲师、副教授。现任易方达基金管理有限公司独立董事，中山大学管理学院</w:t>
      </w:r>
      <w:r>
        <w:rPr>
          <w:spacing w:val="-17"/>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r>
        <w:rPr>
          <w:spacing w:val="-9"/>
        </w:rPr>
        <w:t>航空股份有限公司独立董事，广州环保投资集团有限公司外部董事，玉山银行</w:t>
      </w:r>
      <w:r>
        <w:rPr/>
        <w:t>（中国</w:t>
      </w:r>
      <w:r>
        <w:rPr>
          <w:spacing w:val="-24"/>
        </w:rPr>
        <w:t>）</w:t>
      </w:r>
      <w:r>
        <w:rPr/>
        <w:t>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left="220" w:right="1417" w:firstLine="420"/>
        <w:jc w:val="both"/>
      </w:pPr>
      <w:r>
        <w:rPr>
          <w:spacing w:val="-10"/>
        </w:rPr>
        <w:t>庄伟燕女士，法学博士，独立董事。曾任广东省妇女联合会干部，广东鸿鼎律师事务所主任，广东广悦鸿鼎律师事务所管委会主任。现任易方达基金管理有限公司独立董事，广东</w:t>
      </w:r>
      <w:r>
        <w:rPr>
          <w:spacing w:val="-7"/>
        </w:rPr>
        <w:t>广信君达律师事务所高级合伙人，广东省建筑科学研究院集团股份有限公司独立董事，华农</w:t>
      </w:r>
      <w:r>
        <w:rPr/>
        <w:t>财产保险股份有限公司独立董事。</w:t>
      </w:r>
    </w:p>
    <w:p>
      <w:pPr>
        <w:pStyle w:val="BodyText"/>
        <w:spacing w:line="364" w:lineRule="auto"/>
        <w:ind w:left="220" w:right="1208" w:firstLine="420"/>
      </w:pPr>
      <w:r>
        <w:rPr/>
        <w:t>刘发宏先生，工商管理硕士，监事会主席。曾任天津商学院团总支书记兼政治辅导员、</w:t>
      </w:r>
      <w:r>
        <w:rPr>
          <w:spacing w:val="-6"/>
        </w:rPr>
        <w:t>人事处干部，海南省三亚国际奥林匹克射击娱乐中心会计主管，三英</w:t>
      </w:r>
      <w:r>
        <w:rPr/>
        <w:t>（珠海</w:t>
      </w:r>
      <w:r>
        <w:rPr>
          <w:spacing w:val="-24"/>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6"/>
        </w:rPr>
        <w:t>团</w:t>
      </w:r>
      <w:r>
        <w:rPr/>
        <w:t>（派驻下属企业</w:t>
      </w:r>
      <w:r>
        <w:rPr>
          <w:spacing w:val="-16"/>
        </w:rPr>
        <w:t>）</w:t>
      </w:r>
      <w:r>
        <w:rPr>
          <w:spacing w:val="-6"/>
        </w:rPr>
        <w:t>财务总监，珠海市国资委</w:t>
      </w:r>
      <w:r>
        <w:rPr/>
        <w:t>（派驻国有企业</w:t>
      </w:r>
      <w:r>
        <w:rPr>
          <w:spacing w:val="-16"/>
        </w:rPr>
        <w:t>）</w:t>
      </w:r>
      <w:r>
        <w:rPr>
          <w:spacing w:val="-4"/>
        </w:rPr>
        <w:t>财务总监，珠海港置业开发 </w:t>
      </w:r>
      <w:r>
        <w:rPr>
          <w:spacing w:val="-16"/>
        </w:rPr>
        <w:t>有限公司总经理，酒鬼酒股份有限公司副总经理，广东粤财投资控股有限公司审计部总经理， </w:t>
      </w:r>
      <w:r>
        <w:rPr>
          <w:spacing w:val="-18"/>
        </w:rPr>
        <w:t>广东粤财信托有限公司党委委员、副书记。现任易方达基金管理有限公司监事会主席，广东 粤财投资控股有限公司党委办主任、人力资源部总经理，广东粤财信托有限公司董事。</w:t>
      </w:r>
    </w:p>
    <w:p>
      <w:pPr>
        <w:pStyle w:val="BodyText"/>
        <w:spacing w:line="364" w:lineRule="auto"/>
        <w:ind w:left="220" w:right="1417" w:firstLine="420"/>
        <w:jc w:val="both"/>
      </w:pPr>
      <w:r>
        <w:rPr>
          <w:spacing w:val="-1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w:t>
      </w:r>
      <w:r>
        <w:rPr>
          <w:spacing w:val="-9"/>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220" w:right="1313" w:firstLine="420"/>
      </w:pPr>
      <w:r>
        <w:rPr>
          <w:spacing w:val="-9"/>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220" w:right="1417"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220" w:right="1418" w:firstLine="420"/>
        <w:jc w:val="both"/>
      </w:pPr>
      <w:r>
        <w:rPr>
          <w:spacing w:val="-10"/>
        </w:rPr>
        <w:t>邓志盛先生，经济学研究生，监事。曾任广东证监会信息部部长，中国证监会广州证管</w:t>
      </w:r>
      <w:r>
        <w:rPr>
          <w:spacing w:val="-9"/>
        </w:rPr>
        <w:t>办机构二处处长，金鹰基金管理有限公司副总经理，易方达基金管理有限公司综合管理部总</w:t>
      </w:r>
      <w:r>
        <w:rPr/>
        <w:t>经理、董事会秘书。现任易方达基金管理有限公司监事、行政总监、党群工作部总经理。</w:t>
      </w:r>
    </w:p>
    <w:p>
      <w:pPr>
        <w:spacing w:after="0" w:line="364" w:lineRule="auto"/>
        <w:jc w:val="both"/>
        <w:sectPr>
          <w:pgSz w:w="11910" w:h="16840"/>
          <w:pgMar w:header="0" w:footer="664" w:top="1380" w:bottom="940" w:left="1580" w:right="380"/>
        </w:sectPr>
      </w:pPr>
    </w:p>
    <w:p>
      <w:pPr>
        <w:pStyle w:val="BodyText"/>
        <w:spacing w:line="364" w:lineRule="auto" w:before="45"/>
        <w:ind w:left="220" w:right="1418" w:firstLine="420"/>
      </w:pPr>
      <w:r>
        <w:rPr/>
        <w:t>马骏先生，工商管理硕士（EMBA</w:t>
      </w:r>
      <w:r>
        <w:rPr>
          <w:spacing w:val="-105"/>
        </w:rPr>
        <w:t>）</w:t>
      </w:r>
      <w:r>
        <w:rPr/>
        <w:t>，常务副总裁。曾任君安证券有限公司营业部职员，</w:t>
      </w:r>
      <w:r>
        <w:rPr>
          <w:spacing w:val="-6"/>
        </w:rPr>
        <w:t>深圳众大投资有限公司投资部副总经理，广发证券有限责任公司研究员，易方达基金管理有</w:t>
      </w:r>
    </w:p>
    <w:p>
      <w:pPr>
        <w:pStyle w:val="BodyText"/>
        <w:spacing w:line="364" w:lineRule="auto"/>
        <w:ind w:left="220" w:right="1103"/>
      </w:pPr>
      <w:r>
        <w:rPr>
          <w:spacing w:val="-9"/>
        </w:rPr>
        <w:t>限公司基金经理、固定收益部总经理、现金管理部总经理、固定收益总部总经理、总裁助理、</w:t>
      </w:r>
      <w:r>
        <w:rPr>
          <w:spacing w:val="-13"/>
        </w:rPr>
        <w:t>固定收益投资总监、固定收益首席投资官，易方达资产管理有限公司董事。现任易方达基金  </w:t>
      </w:r>
      <w:r>
        <w:rPr>
          <w:spacing w:val="-15"/>
        </w:rPr>
        <w:t>管理有限公司常务副总裁、固定收益投资决策委员会委员，易方达资产管理</w:t>
      </w:r>
      <w:r>
        <w:rPr/>
        <w:t>（香港</w:t>
      </w:r>
      <w:r>
        <w:rPr>
          <w:spacing w:val="-24"/>
        </w:rPr>
        <w:t>）</w:t>
      </w:r>
      <w:r>
        <w:rPr/>
        <w:t>有限公司</w:t>
      </w:r>
      <w:r>
        <w:rPr>
          <w:spacing w:val="-5"/>
        </w:rPr>
        <w:t>董事长、人民币合格境外投资者</w:t>
      </w:r>
      <w:r>
        <w:rPr/>
        <w:t>（RQFII</w:t>
      </w:r>
      <w:r>
        <w:rPr>
          <w:spacing w:val="-16"/>
        </w:rPr>
        <w:t>）</w:t>
      </w:r>
      <w:r>
        <w:rPr>
          <w:spacing w:val="-4"/>
        </w:rPr>
        <w:t>业务负责人、证券交易负责人员</w:t>
      </w:r>
      <w:r>
        <w:rPr/>
        <w:t>（RO</w:t>
      </w:r>
      <w:r>
        <w:rPr>
          <w:spacing w:val="-105"/>
        </w:rPr>
        <w:t>）</w:t>
      </w:r>
      <w:r>
        <w:rPr>
          <w:spacing w:val="-4"/>
        </w:rPr>
        <w:t>、就证券  提</w:t>
      </w:r>
      <w:r>
        <w:rPr>
          <w:spacing w:val="-7"/>
        </w:rPr>
        <w:t>供意见负责人员</w:t>
      </w:r>
      <w:r>
        <w:rPr/>
        <w:t>（RO</w:t>
      </w:r>
      <w:r>
        <w:rPr>
          <w:spacing w:val="-105"/>
        </w:rPr>
        <w:t>）</w:t>
      </w:r>
      <w:r>
        <w:rPr>
          <w:spacing w:val="-7"/>
        </w:rPr>
        <w:t>、提供资产管理负责人员</w:t>
      </w:r>
      <w:r>
        <w:rPr/>
        <w:t>（RO</w:t>
      </w:r>
      <w:r>
        <w:rPr>
          <w:spacing w:val="-105"/>
        </w:rPr>
        <w:t>）</w:t>
      </w:r>
      <w:r>
        <w:rPr>
          <w:spacing w:val="-6"/>
        </w:rPr>
        <w:t>、固定收益投资决策委员会委员、产  品审批委员会委员。</w:t>
      </w:r>
    </w:p>
    <w:p>
      <w:pPr>
        <w:pStyle w:val="BodyText"/>
        <w:spacing w:line="364" w:lineRule="auto"/>
        <w:ind w:left="220" w:right="1313" w:firstLine="420"/>
      </w:pPr>
      <w:r>
        <w:rPr>
          <w:spacing w:val="-9"/>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8"/>
        </w:rPr>
        <w:t>际控股有限公司董事。现任易方达基金管理有限公司常务副总裁、权益投资决策委员会委员， </w:t>
      </w:r>
      <w:r>
        <w:rPr/>
        <w:t>易方达资产管理（香港）有限公司董事。</w:t>
      </w:r>
    </w:p>
    <w:p>
      <w:pPr>
        <w:pStyle w:val="BodyText"/>
        <w:spacing w:line="364" w:lineRule="auto"/>
        <w:ind w:left="220" w:right="1417" w:firstLine="420"/>
        <w:jc w:val="both"/>
      </w:pPr>
      <w:r>
        <w:rPr>
          <w:spacing w:val="-11"/>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220" w:right="1418"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220" w:right="1417" w:firstLine="420"/>
        <w:jc w:val="both"/>
      </w:pPr>
      <w:r>
        <w:rPr>
          <w:spacing w:val="-11"/>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6"/>
        </w:rPr>
        <w:t>）</w:t>
      </w:r>
      <w:r>
        <w:rPr>
          <w:spacing w:val="-15"/>
        </w:rPr>
        <w:t>有</w:t>
      </w:r>
      <w:r>
        <w:rPr/>
        <w:t>限公司董事。现任易方达基金管理有限公司副总经理级高级管理人员。</w:t>
      </w:r>
    </w:p>
    <w:p>
      <w:pPr>
        <w:pStyle w:val="BodyText"/>
        <w:spacing w:line="364" w:lineRule="auto"/>
        <w:ind w:left="220" w:right="1417" w:firstLine="420"/>
        <w:jc w:val="both"/>
      </w:pPr>
      <w:r>
        <w:rPr/>
        <w:t>高松凡先生，工商管理硕士（EMBA</w:t>
      </w:r>
      <w:r>
        <w:rPr>
          <w:spacing w:val="-105"/>
        </w:rPr>
        <w:t>）</w:t>
      </w:r>
      <w:r>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pPr>
      <w:r>
        <w:rPr/>
        <w:t>关秀霞女士，工商管理硕士、金融学硕士，副总经理级高级管理人员。曾任中国银行</w:t>
      </w:r>
    </w:p>
    <w:p>
      <w:pPr>
        <w:pStyle w:val="BodyText"/>
        <w:spacing w:line="364" w:lineRule="auto" w:before="128"/>
        <w:ind w:left="220" w:right="1417"/>
        <w:jc w:val="both"/>
      </w:pPr>
      <w:r>
        <w:rPr/>
        <w:t>（香港</w:t>
      </w:r>
      <w:r>
        <w:rPr>
          <w:spacing w:val="-14"/>
        </w:rPr>
        <w:t>）</w:t>
      </w:r>
      <w:r>
        <w:rPr/>
        <w:t>有限公司分析员，Daniel Dennis</w:t>
      </w:r>
      <w:r>
        <w:rPr>
          <w:spacing w:val="-10"/>
        </w:rPr>
        <w:t> 高级审计师，美国道富银行公司内部审计部高级</w:t>
      </w:r>
      <w:r>
        <w:rPr>
          <w:spacing w:val="-6"/>
        </w:rPr>
        <w:t>审计师、美国共同基金业务风险经理、亚洲区</w:t>
      </w:r>
      <w:r>
        <w:rPr/>
        <w:t>（除日本外</w:t>
      </w:r>
      <w:r>
        <w:rPr>
          <w:spacing w:val="-16"/>
        </w:rPr>
        <w:t>）</w:t>
      </w:r>
      <w:r>
        <w:rPr>
          <w:spacing w:val="-5"/>
        </w:rPr>
        <w:t>机构服务主管、亚洲区</w:t>
      </w:r>
      <w:r>
        <w:rPr/>
        <w:t>（</w:t>
      </w:r>
      <w:r>
        <w:rPr>
          <w:spacing w:val="-5"/>
        </w:rPr>
        <w:t>除日本</w:t>
      </w:r>
      <w:r>
        <w:rPr/>
        <w:t>外</w:t>
      </w:r>
      <w:r>
        <w:rPr>
          <w:spacing w:val="-19"/>
        </w:rPr>
        <w:t>）</w:t>
      </w:r>
      <w:r>
        <w:rPr>
          <w:spacing w:val="-8"/>
        </w:rPr>
        <w:t>副总裁、大中华地区董事总经理、大中华地区高级副总裁、中国区行长。现任易方达基</w:t>
      </w:r>
      <w:r>
        <w:rPr/>
        <w:t>金管理有限公司副总经理级高级管理人员。</w:t>
      </w:r>
    </w:p>
    <w:p>
      <w:pPr>
        <w:spacing w:after="0" w:line="364" w:lineRule="auto"/>
        <w:jc w:val="both"/>
        <w:sectPr>
          <w:pgSz w:w="11910" w:h="16840"/>
          <w:pgMar w:header="0" w:footer="664" w:top="1380" w:bottom="940" w:left="1580" w:right="380"/>
        </w:sectPr>
      </w:pPr>
    </w:p>
    <w:p>
      <w:pPr>
        <w:pStyle w:val="BodyText"/>
        <w:spacing w:line="364" w:lineRule="auto" w:before="45"/>
        <w:ind w:left="220" w:right="1103" w:firstLine="420"/>
      </w:pPr>
      <w:r>
        <w:rPr>
          <w:spacing w:val="-10"/>
        </w:rPr>
        <w:t>陈荣女士，经济学博士，副总经理级高级管理人员。曾任中国人民银行广州分行统计研  </w:t>
      </w:r>
      <w:r>
        <w:rPr>
          <w:spacing w:val="-9"/>
        </w:rPr>
        <w:t>究处科员，易方达基金管理有限公司运作支持部经理、核算部总经理助理、核算部副总经理、</w:t>
      </w:r>
      <w:r>
        <w:rPr>
          <w:spacing w:val="-13"/>
        </w:rPr>
        <w:t>核算部总经理、投资风险管理部总经理、总裁助理、董事会秘书、公司财务中心主任。现任  </w:t>
      </w:r>
      <w:r>
        <w:rPr>
          <w:spacing w:val="-18"/>
        </w:rPr>
        <w:t>易方达基金管理有限公司副总经理级高级管理人员，易方达资产管理</w:t>
      </w:r>
      <w:r>
        <w:rPr/>
        <w:t>（香港</w:t>
      </w:r>
      <w:r>
        <w:rPr>
          <w:spacing w:val="-67"/>
        </w:rPr>
        <w:t>）</w:t>
      </w:r>
      <w:r>
        <w:rPr/>
        <w:t>有限公司董事， 易方达资产管理有限公司监事，易方达海外投资（深圳）有限公司监事。</w:t>
      </w:r>
    </w:p>
    <w:p>
      <w:pPr>
        <w:pStyle w:val="BodyText"/>
        <w:spacing w:line="364" w:lineRule="auto"/>
        <w:ind w:left="220" w:right="1417" w:firstLine="420"/>
        <w:jc w:val="both"/>
      </w:pPr>
      <w:r>
        <w:rPr>
          <w:spacing w:val="-10"/>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6"/>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364" w:lineRule="auto"/>
        <w:ind w:left="220" w:right="1417"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364" w:lineRule="auto"/>
        <w:ind w:left="220" w:right="1418" w:firstLine="420"/>
        <w:jc w:val="both"/>
      </w:pPr>
      <w:r>
        <w:rPr>
          <w:spacing w:val="-10"/>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220" w:right="1313" w:firstLine="420"/>
      </w:pPr>
      <w:r>
        <w:rPr>
          <w:spacing w:val="-10"/>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220" w:right="1417" w:firstLine="420"/>
        <w:jc w:val="both"/>
      </w:pPr>
      <w:r>
        <w:rPr>
          <w:spacing w:val="-8"/>
        </w:rPr>
        <w:t>张清华先生，物理学硕士，副总经理级高级管理人员。曾任晨星资讯</w:t>
      </w:r>
      <w:r>
        <w:rPr/>
        <w:t>（深圳</w:t>
      </w:r>
      <w:r>
        <w:rPr>
          <w:spacing w:val="-19"/>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364" w:lineRule="auto"/>
        <w:ind w:left="220" w:right="1417" w:firstLine="420"/>
        <w:jc w:val="both"/>
      </w:pPr>
      <w:r>
        <w:rPr>
          <w:spacing w:val="-10"/>
        </w:rPr>
        <w:t>冯波先生，经济学硕士，副总经理级高级管理人员。曾任广东发展银行行员，易方达基</w:t>
      </w:r>
      <w:r>
        <w:rPr>
          <w:spacing w:val="-6"/>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364" w:lineRule="auto"/>
        <w:ind w:left="220" w:right="1208" w:firstLine="420"/>
      </w:pPr>
      <w:r>
        <w:rPr>
          <w:spacing w:val="-10"/>
        </w:rPr>
        <w:t>陈皓先生，管理学硕士，副总经理级高级管理人员。曾任易方达基金管理有限公司行业 </w:t>
      </w:r>
      <w:r>
        <w:rPr>
          <w:spacing w:val="-12"/>
        </w:rPr>
        <w:t>研究员、基金经理助理、投资一部总经理助理、投资一部副总经理、投资经理。现任易方达 </w:t>
      </w:r>
      <w:r>
        <w:rPr>
          <w:spacing w:val="-8"/>
        </w:rPr>
        <w:t>基金管理有限公司副总经理级高级管理人员、投资一部总经理、权益投资决策委员会委员、</w:t>
      </w:r>
    </w:p>
    <w:p>
      <w:pPr>
        <w:spacing w:after="0" w:line="364" w:lineRule="auto"/>
        <w:sectPr>
          <w:pgSz w:w="11910" w:h="16840"/>
          <w:pgMar w:header="0" w:footer="664" w:top="1380" w:bottom="940" w:left="1580" w:right="380"/>
        </w:sectPr>
      </w:pPr>
    </w:p>
    <w:p>
      <w:pPr>
        <w:pStyle w:val="BodyText"/>
        <w:spacing w:before="45"/>
        <w:ind w:left="220"/>
      </w:pPr>
      <w:r>
        <w:rPr/>
        <w:t>基金经理。</w:t>
      </w:r>
    </w:p>
    <w:p>
      <w:pPr>
        <w:pStyle w:val="BodyText"/>
        <w:spacing w:before="139"/>
      </w:pPr>
      <w:r>
        <w:rPr/>
        <w:t>2、基金经理</w:t>
      </w:r>
    </w:p>
    <w:p>
      <w:pPr>
        <w:pStyle w:val="BodyText"/>
        <w:spacing w:line="364" w:lineRule="auto" w:before="140"/>
        <w:ind w:left="220" w:right="1417" w:firstLine="420"/>
        <w:jc w:val="both"/>
      </w:pPr>
      <w:r>
        <w:rPr>
          <w:spacing w:val="-11"/>
        </w:rPr>
        <w:t>王晓晨女士，经济学硕士。曾任易方达基金管理有限公司集中交易室债券交易员、债券</w:t>
      </w:r>
      <w:r>
        <w:rPr>
          <w:spacing w:val="-10"/>
        </w:rPr>
        <w:t>交易主管、固定收益总部总经理助理、固定收益基金投资部副总经理、易方达货币市场基金</w:t>
      </w:r>
      <w:r>
        <w:rPr>
          <w:spacing w:val="-12"/>
        </w:rPr>
        <w:t>基金经理</w:t>
      </w:r>
      <w:r>
        <w:rPr/>
        <w:t>（</w:t>
      </w:r>
      <w:r>
        <w:rPr>
          <w:spacing w:val="-27"/>
        </w:rPr>
        <w:t>自 </w:t>
      </w:r>
      <w:r>
        <w:rPr/>
        <w:t>2013</w:t>
      </w:r>
      <w:r>
        <w:rPr>
          <w:spacing w:val="-36"/>
        </w:rPr>
        <w:t> 年 </w:t>
      </w:r>
      <w:r>
        <w:rPr/>
        <w:t>4</w:t>
      </w:r>
      <w:r>
        <w:rPr>
          <w:spacing w:val="-36"/>
        </w:rPr>
        <w:t> 月 </w:t>
      </w:r>
      <w:r>
        <w:rPr/>
        <w:t>22</w:t>
      </w:r>
      <w:r>
        <w:rPr>
          <w:spacing w:val="-27"/>
        </w:rPr>
        <w:t> 日至 </w:t>
      </w:r>
      <w:r>
        <w:rPr/>
        <w:t>2014</w:t>
      </w:r>
      <w:r>
        <w:rPr>
          <w:spacing w:val="-36"/>
        </w:rPr>
        <w:t> 年 </w:t>
      </w:r>
      <w:r>
        <w:rPr/>
        <w:t>11</w:t>
      </w:r>
      <w:r>
        <w:rPr>
          <w:spacing w:val="-36"/>
        </w:rPr>
        <w:t> 月 </w:t>
      </w:r>
      <w:r>
        <w:rPr/>
        <w:t>21</w:t>
      </w:r>
      <w:r>
        <w:rPr>
          <w:spacing w:val="-27"/>
        </w:rPr>
        <w:t> 日</w:t>
      </w:r>
      <w:r>
        <w:rPr>
          <w:spacing w:val="-105"/>
        </w:rPr>
        <w:t>）</w:t>
      </w:r>
      <w:r>
        <w:rPr>
          <w:spacing w:val="-7"/>
        </w:rPr>
        <w:t>、易方达保证金收益货币市场基金基</w:t>
      </w:r>
      <w:r>
        <w:rPr>
          <w:spacing w:val="-21"/>
        </w:rPr>
        <w:t>金经理</w:t>
      </w:r>
      <w:r>
        <w:rPr/>
        <w:t>（</w:t>
      </w:r>
      <w:r>
        <w:rPr>
          <w:spacing w:val="-27"/>
        </w:rPr>
        <w:t>自 </w:t>
      </w:r>
      <w:r>
        <w:rPr/>
        <w:t>2013</w:t>
      </w:r>
      <w:r>
        <w:rPr>
          <w:spacing w:val="-36"/>
        </w:rPr>
        <w:t> 年 </w:t>
      </w:r>
      <w:r>
        <w:rPr/>
        <w:t>4</w:t>
      </w:r>
      <w:r>
        <w:rPr>
          <w:spacing w:val="-36"/>
        </w:rPr>
        <w:t> 月 </w:t>
      </w:r>
      <w:r>
        <w:rPr/>
        <w:t>22</w:t>
      </w:r>
      <w:r>
        <w:rPr>
          <w:spacing w:val="-27"/>
        </w:rPr>
        <w:t> 日至 </w:t>
      </w:r>
      <w:r>
        <w:rPr/>
        <w:t>2014</w:t>
      </w:r>
      <w:r>
        <w:rPr>
          <w:spacing w:val="-36"/>
        </w:rPr>
        <w:t> 年 </w:t>
      </w:r>
      <w:r>
        <w:rPr/>
        <w:t>11</w:t>
      </w:r>
      <w:r>
        <w:rPr>
          <w:spacing w:val="-36"/>
        </w:rPr>
        <w:t> 月 </w:t>
      </w:r>
      <w:r>
        <w:rPr/>
        <w:t>21</w:t>
      </w:r>
      <w:r>
        <w:rPr>
          <w:spacing w:val="-27"/>
        </w:rPr>
        <w:t> 日</w:t>
      </w:r>
      <w:r>
        <w:rPr>
          <w:spacing w:val="-105"/>
        </w:rPr>
        <w:t>）</w:t>
      </w:r>
      <w:r>
        <w:rPr>
          <w:spacing w:val="-7"/>
        </w:rPr>
        <w:t>、易方达保本一号混合型证券投资基金基金经理（</w:t>
      </w:r>
      <w:r>
        <w:rPr>
          <w:spacing w:val="-30"/>
        </w:rPr>
        <w:t>自 </w:t>
      </w:r>
      <w:r>
        <w:rPr/>
        <w:t>2016</w:t>
      </w:r>
      <w:r>
        <w:rPr>
          <w:spacing w:val="-36"/>
        </w:rPr>
        <w:t> 年 </w:t>
      </w:r>
      <w:r>
        <w:rPr/>
        <w:t>1</w:t>
      </w:r>
      <w:r>
        <w:rPr>
          <w:spacing w:val="-36"/>
        </w:rPr>
        <w:t> 月 </w:t>
      </w:r>
      <w:r>
        <w:rPr/>
        <w:t>13</w:t>
      </w:r>
      <w:r>
        <w:rPr>
          <w:spacing w:val="-27"/>
        </w:rPr>
        <w:t> 日至 </w:t>
      </w:r>
      <w:r>
        <w:rPr/>
        <w:t>2019</w:t>
      </w:r>
      <w:r>
        <w:rPr>
          <w:spacing w:val="-36"/>
        </w:rPr>
        <w:t> 年 </w:t>
      </w:r>
      <w:r>
        <w:rPr/>
        <w:t>2</w:t>
      </w:r>
      <w:r>
        <w:rPr>
          <w:spacing w:val="-36"/>
        </w:rPr>
        <w:t> 月 </w:t>
      </w:r>
      <w:r>
        <w:rPr/>
        <w:t>18</w:t>
      </w:r>
      <w:r>
        <w:rPr>
          <w:spacing w:val="-27"/>
        </w:rPr>
        <w:t> 日</w:t>
      </w:r>
      <w:r>
        <w:rPr>
          <w:spacing w:val="-105"/>
        </w:rPr>
        <w:t>）</w:t>
      </w:r>
      <w:r>
        <w:rPr/>
        <w:t>、易方达新鑫灵活配置混合型证券投</w:t>
      </w:r>
      <w:r>
        <w:rPr>
          <w:spacing w:val="-7"/>
        </w:rPr>
        <w:t>资基金基金经理</w:t>
      </w:r>
      <w:r>
        <w:rPr/>
        <w:t>（</w:t>
      </w:r>
      <w:r>
        <w:rPr>
          <w:spacing w:val="-27"/>
        </w:rPr>
        <w:t>自 </w:t>
      </w:r>
      <w:r>
        <w:rPr/>
        <w:t>2018</w:t>
      </w:r>
      <w:r>
        <w:rPr>
          <w:spacing w:val="-36"/>
        </w:rPr>
        <w:t> 年 </w:t>
      </w:r>
      <w:r>
        <w:rPr/>
        <w:t>1</w:t>
      </w:r>
      <w:r>
        <w:rPr>
          <w:spacing w:val="-36"/>
        </w:rPr>
        <w:t> 月 </w:t>
      </w:r>
      <w:r>
        <w:rPr/>
        <w:t>31</w:t>
      </w:r>
      <w:r>
        <w:rPr>
          <w:spacing w:val="-27"/>
        </w:rPr>
        <w:t> 日至 </w:t>
      </w:r>
      <w:r>
        <w:rPr/>
        <w:t>2019</w:t>
      </w:r>
      <w:r>
        <w:rPr>
          <w:spacing w:val="-36"/>
        </w:rPr>
        <w:t> 年 </w:t>
      </w:r>
      <w:r>
        <w:rPr/>
        <w:t>7</w:t>
      </w:r>
      <w:r>
        <w:rPr>
          <w:spacing w:val="-36"/>
        </w:rPr>
        <w:t> 月 </w:t>
      </w:r>
      <w:r>
        <w:rPr/>
        <w:t>2</w:t>
      </w:r>
      <w:r>
        <w:rPr>
          <w:spacing w:val="-27"/>
        </w:rPr>
        <w:t> 日</w:t>
      </w:r>
      <w:r>
        <w:rPr>
          <w:spacing w:val="-105"/>
        </w:rPr>
        <w:t>）</w:t>
      </w:r>
      <w:r>
        <w:rPr>
          <w:spacing w:val="-7"/>
        </w:rPr>
        <w:t>、易方达纯债债券型证券投资基金基金经理（</w:t>
      </w:r>
      <w:r>
        <w:rPr>
          <w:spacing w:val="-30"/>
        </w:rPr>
        <w:t>自 </w:t>
      </w:r>
      <w:r>
        <w:rPr/>
        <w:t>2017</w:t>
      </w:r>
      <w:r>
        <w:rPr>
          <w:spacing w:val="-36"/>
        </w:rPr>
        <w:t> 年 </w:t>
      </w:r>
      <w:r>
        <w:rPr/>
        <w:t>2</w:t>
      </w:r>
      <w:r>
        <w:rPr>
          <w:spacing w:val="-36"/>
        </w:rPr>
        <w:t> 月 </w:t>
      </w:r>
      <w:r>
        <w:rPr/>
        <w:t>15</w:t>
      </w:r>
      <w:r>
        <w:rPr>
          <w:spacing w:val="-27"/>
        </w:rPr>
        <w:t> 日至 </w:t>
      </w:r>
      <w:r>
        <w:rPr/>
        <w:t>2019</w:t>
      </w:r>
      <w:r>
        <w:rPr>
          <w:spacing w:val="-36"/>
        </w:rPr>
        <w:t> 年 </w:t>
      </w:r>
      <w:r>
        <w:rPr/>
        <w:t>9</w:t>
      </w:r>
      <w:r>
        <w:rPr>
          <w:spacing w:val="-36"/>
        </w:rPr>
        <w:t> 月 </w:t>
      </w:r>
      <w:r>
        <w:rPr/>
        <w:t>10</w:t>
      </w:r>
      <w:r>
        <w:rPr>
          <w:spacing w:val="-27"/>
        </w:rPr>
        <w:t> 日</w:t>
      </w:r>
      <w:r>
        <w:rPr>
          <w:spacing w:val="-105"/>
        </w:rPr>
        <w:t>）</w:t>
      </w:r>
      <w:r>
        <w:rPr/>
        <w:t>、易方达恒益定期开放债券型发起</w:t>
      </w:r>
      <w:r>
        <w:rPr>
          <w:spacing w:val="-5"/>
        </w:rPr>
        <w:t>式证券投资基金基金经理</w:t>
      </w:r>
      <w:r>
        <w:rPr/>
        <w:t>（</w:t>
      </w:r>
      <w:r>
        <w:rPr>
          <w:spacing w:val="-27"/>
        </w:rPr>
        <w:t>自 </w:t>
      </w:r>
      <w:r>
        <w:rPr/>
        <w:t>2017</w:t>
      </w:r>
      <w:r>
        <w:rPr>
          <w:spacing w:val="-36"/>
        </w:rPr>
        <w:t> 年 </w:t>
      </w:r>
      <w:r>
        <w:rPr/>
        <w:t>10</w:t>
      </w:r>
      <w:r>
        <w:rPr>
          <w:spacing w:val="-36"/>
        </w:rPr>
        <w:t> 月 </w:t>
      </w:r>
      <w:r>
        <w:rPr/>
        <w:t>25</w:t>
      </w:r>
      <w:r>
        <w:rPr>
          <w:spacing w:val="-27"/>
        </w:rPr>
        <w:t> 日至 </w:t>
      </w:r>
      <w:r>
        <w:rPr/>
        <w:t>2019</w:t>
      </w:r>
      <w:r>
        <w:rPr>
          <w:spacing w:val="-36"/>
        </w:rPr>
        <w:t> 年 </w:t>
      </w:r>
      <w:r>
        <w:rPr/>
        <w:t>9</w:t>
      </w:r>
      <w:r>
        <w:rPr>
          <w:spacing w:val="-36"/>
        </w:rPr>
        <w:t> 月 </w:t>
      </w:r>
      <w:r>
        <w:rPr/>
        <w:t>10</w:t>
      </w:r>
      <w:r>
        <w:rPr>
          <w:spacing w:val="-27"/>
        </w:rPr>
        <w:t> 日</w:t>
      </w:r>
      <w:r>
        <w:rPr>
          <w:spacing w:val="-105"/>
        </w:rPr>
        <w:t>）</w:t>
      </w:r>
      <w:r>
        <w:rPr>
          <w:spacing w:val="-16"/>
        </w:rPr>
        <w:t>、易方达中债 </w:t>
      </w:r>
      <w:r>
        <w:rPr/>
        <w:t>3-5</w:t>
      </w:r>
      <w:r>
        <w:rPr>
          <w:spacing w:val="-27"/>
        </w:rPr>
        <w:t> 年期国债指数证券投资基金基金经理（</w:t>
      </w:r>
      <w:r>
        <w:rPr>
          <w:spacing w:val="-40"/>
        </w:rPr>
        <w:t>自 </w:t>
      </w:r>
      <w:r>
        <w:rPr/>
        <w:t>2017</w:t>
      </w:r>
      <w:r>
        <w:rPr>
          <w:spacing w:val="-36"/>
        </w:rPr>
        <w:t> 年 </w:t>
      </w:r>
      <w:r>
        <w:rPr/>
        <w:t>2</w:t>
      </w:r>
      <w:r>
        <w:rPr>
          <w:spacing w:val="-36"/>
        </w:rPr>
        <w:t> 月 </w:t>
      </w:r>
      <w:r>
        <w:rPr/>
        <w:t>15</w:t>
      </w:r>
      <w:r>
        <w:rPr>
          <w:spacing w:val="-27"/>
        </w:rPr>
        <w:t> 日至 </w:t>
      </w:r>
      <w:r>
        <w:rPr/>
        <w:t>2019</w:t>
      </w:r>
      <w:r>
        <w:rPr>
          <w:spacing w:val="-36"/>
        </w:rPr>
        <w:t> 年 </w:t>
      </w:r>
      <w:r>
        <w:rPr/>
        <w:t>9</w:t>
      </w:r>
      <w:r>
        <w:rPr>
          <w:spacing w:val="-36"/>
        </w:rPr>
        <w:t> 月 </w:t>
      </w:r>
      <w:r>
        <w:rPr/>
        <w:t>27</w:t>
      </w:r>
      <w:r>
        <w:rPr>
          <w:spacing w:val="-27"/>
        </w:rPr>
        <w:t> 日</w:t>
      </w:r>
      <w:r>
        <w:rPr>
          <w:spacing w:val="-105"/>
        </w:rPr>
        <w:t>）</w:t>
      </w:r>
      <w:r>
        <w:rPr/>
        <w:t>、易方达中</w:t>
      </w:r>
      <w:r>
        <w:rPr>
          <w:spacing w:val="-27"/>
        </w:rPr>
        <w:t>债 </w:t>
      </w:r>
      <w:r>
        <w:rPr/>
        <w:t>7-10</w:t>
      </w:r>
      <w:r>
        <w:rPr>
          <w:spacing w:val="-10"/>
        </w:rPr>
        <w:t> 年期国开行债券指数证券投资基金基金经理</w:t>
      </w:r>
      <w:r>
        <w:rPr/>
        <w:t>（</w:t>
      </w:r>
      <w:r>
        <w:rPr>
          <w:spacing w:val="-27"/>
        </w:rPr>
        <w:t>自 </w:t>
      </w:r>
      <w:r>
        <w:rPr/>
        <w:t>2017</w:t>
      </w:r>
      <w:r>
        <w:rPr>
          <w:spacing w:val="-36"/>
        </w:rPr>
        <w:t> 年 </w:t>
      </w:r>
      <w:r>
        <w:rPr/>
        <w:t>2</w:t>
      </w:r>
      <w:r>
        <w:rPr>
          <w:spacing w:val="-36"/>
        </w:rPr>
        <w:t> 月 </w:t>
      </w:r>
      <w:r>
        <w:rPr/>
        <w:t>15</w:t>
      </w:r>
      <w:r>
        <w:rPr>
          <w:spacing w:val="-27"/>
        </w:rPr>
        <w:t> 日至 </w:t>
      </w:r>
      <w:r>
        <w:rPr/>
        <w:t>2019</w:t>
      </w:r>
      <w:r>
        <w:rPr>
          <w:spacing w:val="-36"/>
        </w:rPr>
        <w:t> 年 </w:t>
      </w:r>
      <w:r>
        <w:rPr/>
        <w:t>10</w:t>
      </w:r>
      <w:r>
        <w:rPr>
          <w:spacing w:val="-27"/>
        </w:rPr>
        <w:t> 月28 日</w:t>
      </w:r>
      <w:r>
        <w:rPr>
          <w:spacing w:val="-105"/>
        </w:rPr>
        <w:t>）</w:t>
      </w:r>
      <w:r>
        <w:rPr>
          <w:spacing w:val="-7"/>
        </w:rPr>
        <w:t>。现任易方达基金管理有限公司固定收益投资部副总经理、固定收益投资决策委员会</w:t>
      </w:r>
      <w:r>
        <w:rPr/>
        <w:t>委员、易方达增强回报债券型证券投资基金基金经理（</w:t>
      </w:r>
      <w:r>
        <w:rPr>
          <w:spacing w:val="-27"/>
        </w:rPr>
        <w:t>自 </w:t>
      </w:r>
      <w:r>
        <w:rPr/>
        <w:t>2011</w:t>
      </w:r>
      <w:r>
        <w:rPr>
          <w:spacing w:val="-36"/>
        </w:rPr>
        <w:t> 年 </w:t>
      </w:r>
      <w:r>
        <w:rPr/>
        <w:t>8</w:t>
      </w:r>
      <w:r>
        <w:rPr>
          <w:spacing w:val="-36"/>
        </w:rPr>
        <w:t> 月 </w:t>
      </w:r>
      <w:r>
        <w:rPr/>
        <w:t>15</w:t>
      </w:r>
      <w:r>
        <w:rPr>
          <w:spacing w:val="-12"/>
        </w:rPr>
        <w:t> 日起任职</w:t>
      </w:r>
      <w:r>
        <w:rPr>
          <w:spacing w:val="-105"/>
        </w:rPr>
        <w:t>）</w:t>
      </w:r>
      <w:r>
        <w:rPr/>
        <w:t>、易方</w:t>
      </w:r>
    </w:p>
    <w:p>
      <w:pPr>
        <w:pStyle w:val="BodyText"/>
        <w:spacing w:line="263" w:lineRule="exact"/>
        <w:ind w:left="220"/>
        <w:jc w:val="both"/>
      </w:pPr>
      <w:r>
        <w:rPr/>
        <w:t>达投资级信用债债券型证券投资基金基金经理（</w:t>
      </w:r>
      <w:r>
        <w:rPr>
          <w:spacing w:val="-27"/>
        </w:rPr>
        <w:t>自 </w:t>
      </w:r>
      <w:r>
        <w:rPr/>
        <w:t>2013</w:t>
      </w:r>
      <w:r>
        <w:rPr>
          <w:spacing w:val="-36"/>
        </w:rPr>
        <w:t> 年 </w:t>
      </w:r>
      <w:r>
        <w:rPr/>
        <w:t>9</w:t>
      </w:r>
      <w:r>
        <w:rPr>
          <w:spacing w:val="-36"/>
        </w:rPr>
        <w:t> 月 </w:t>
      </w:r>
      <w:r>
        <w:rPr/>
        <w:t>10</w:t>
      </w:r>
      <w:r>
        <w:rPr>
          <w:spacing w:val="-12"/>
        </w:rPr>
        <w:t> 日起任职</w:t>
      </w:r>
      <w:r>
        <w:rPr>
          <w:spacing w:val="-105"/>
        </w:rPr>
        <w:t>）</w:t>
      </w:r>
      <w:r>
        <w:rPr/>
        <w:t>、易方达中债</w:t>
      </w:r>
    </w:p>
    <w:p>
      <w:pPr>
        <w:pStyle w:val="BodyText"/>
        <w:spacing w:before="139"/>
        <w:ind w:left="220"/>
      </w:pPr>
      <w:r>
        <w:rPr/>
        <w:t>新综合债券指数发起式证券投资基金（LOF）基金经理（</w:t>
      </w:r>
      <w:r>
        <w:rPr>
          <w:spacing w:val="-27"/>
        </w:rPr>
        <w:t>自 </w:t>
      </w:r>
      <w:r>
        <w:rPr/>
        <w:t>2014</w:t>
      </w:r>
      <w:r>
        <w:rPr>
          <w:spacing w:val="-36"/>
        </w:rPr>
        <w:t> 年 </w:t>
      </w:r>
      <w:r>
        <w:rPr/>
        <w:t>7</w:t>
      </w:r>
      <w:r>
        <w:rPr>
          <w:spacing w:val="-36"/>
        </w:rPr>
        <w:t> 月 </w:t>
      </w:r>
      <w:r>
        <w:rPr/>
        <w:t>5</w:t>
      </w:r>
      <w:r>
        <w:rPr>
          <w:spacing w:val="-12"/>
        </w:rPr>
        <w:t> 日起任职</w:t>
      </w:r>
      <w:r>
        <w:rPr>
          <w:spacing w:val="-105"/>
        </w:rPr>
        <w:t>）</w:t>
      </w:r>
      <w:r>
        <w:rPr/>
        <w:t>、易方</w:t>
      </w:r>
    </w:p>
    <w:p>
      <w:pPr>
        <w:pStyle w:val="BodyText"/>
        <w:spacing w:before="140"/>
        <w:ind w:left="220"/>
        <w:jc w:val="both"/>
      </w:pPr>
      <w:r>
        <w:rPr/>
        <w:t>达双债增强债券型证券投资基金基金经理（</w:t>
      </w:r>
      <w:r>
        <w:rPr>
          <w:spacing w:val="-27"/>
        </w:rPr>
        <w:t>自 </w:t>
      </w:r>
      <w:r>
        <w:rPr/>
        <w:t>2016</w:t>
      </w:r>
      <w:r>
        <w:rPr>
          <w:spacing w:val="-36"/>
        </w:rPr>
        <w:t> 年 </w:t>
      </w:r>
      <w:r>
        <w:rPr/>
        <w:t>12</w:t>
      </w:r>
      <w:r>
        <w:rPr>
          <w:spacing w:val="-36"/>
        </w:rPr>
        <w:t> 月 </w:t>
      </w:r>
      <w:r>
        <w:rPr/>
        <w:t>3</w:t>
      </w:r>
      <w:r>
        <w:rPr>
          <w:spacing w:val="-12"/>
        </w:rPr>
        <w:t> 日起任职</w:t>
      </w:r>
      <w:r>
        <w:rPr>
          <w:spacing w:val="-105"/>
        </w:rPr>
        <w:t>）</w:t>
      </w:r>
      <w:r>
        <w:rPr/>
        <w:t>、易方达恒安定期</w:t>
      </w:r>
    </w:p>
    <w:p>
      <w:pPr>
        <w:pStyle w:val="BodyText"/>
        <w:spacing w:line="364" w:lineRule="auto" w:before="139"/>
        <w:ind w:left="220" w:right="1418"/>
        <w:jc w:val="both"/>
      </w:pPr>
      <w:r>
        <w:rPr/>
        <w:t>开放债券型发起式证券投资基金基金经理（</w:t>
      </w:r>
      <w:r>
        <w:rPr>
          <w:spacing w:val="-27"/>
        </w:rPr>
        <w:t>自 </w:t>
      </w:r>
      <w:r>
        <w:rPr/>
        <w:t>2018</w:t>
      </w:r>
      <w:r>
        <w:rPr>
          <w:spacing w:val="-36"/>
        </w:rPr>
        <w:t> 年 </w:t>
      </w:r>
      <w:r>
        <w:rPr/>
        <w:t>5</w:t>
      </w:r>
      <w:r>
        <w:rPr>
          <w:spacing w:val="-36"/>
        </w:rPr>
        <w:t> 月 </w:t>
      </w:r>
      <w:r>
        <w:rPr/>
        <w:t>15</w:t>
      </w:r>
      <w:r>
        <w:rPr>
          <w:spacing w:val="-12"/>
        </w:rPr>
        <w:t> 日起任职</w:t>
      </w:r>
      <w:r>
        <w:rPr>
          <w:spacing w:val="-105"/>
        </w:rPr>
        <w:t>）</w:t>
      </w:r>
      <w:r>
        <w:rPr/>
        <w:t>、易方达富财纯债</w:t>
      </w:r>
      <w:r>
        <w:rPr>
          <w:spacing w:val="-4"/>
        </w:rPr>
        <w:t>债券型证券投资基金基金经理</w:t>
      </w:r>
      <w:r>
        <w:rPr/>
        <w:t>（</w:t>
      </w:r>
      <w:r>
        <w:rPr>
          <w:spacing w:val="-27"/>
        </w:rPr>
        <w:t>自 </w:t>
      </w:r>
      <w:r>
        <w:rPr/>
        <w:t>2018</w:t>
      </w:r>
      <w:r>
        <w:rPr>
          <w:spacing w:val="-36"/>
        </w:rPr>
        <w:t> 年 </w:t>
      </w:r>
      <w:r>
        <w:rPr/>
        <w:t>10</w:t>
      </w:r>
      <w:r>
        <w:rPr>
          <w:spacing w:val="-36"/>
        </w:rPr>
        <w:t> 月 </w:t>
      </w:r>
      <w:r>
        <w:rPr/>
        <w:t>26</w:t>
      </w:r>
      <w:r>
        <w:rPr>
          <w:spacing w:val="-12"/>
        </w:rPr>
        <w:t> 日起任职</w:t>
      </w:r>
      <w:r>
        <w:rPr>
          <w:spacing w:val="-105"/>
        </w:rPr>
        <w:t>）</w:t>
      </w:r>
      <w:r>
        <w:rPr>
          <w:spacing w:val="-8"/>
        </w:rPr>
        <w:t>、易方达安瑞短债债券型证券</w:t>
      </w:r>
      <w:r>
        <w:rPr>
          <w:spacing w:val="-6"/>
        </w:rPr>
        <w:t>投资基金基金经理</w:t>
      </w:r>
      <w:r>
        <w:rPr/>
        <w:t>（</w:t>
      </w:r>
      <w:r>
        <w:rPr>
          <w:spacing w:val="-27"/>
        </w:rPr>
        <w:t>自 </w:t>
      </w:r>
      <w:r>
        <w:rPr/>
        <w:t>2018</w:t>
      </w:r>
      <w:r>
        <w:rPr>
          <w:spacing w:val="-36"/>
        </w:rPr>
        <w:t> 年 </w:t>
      </w:r>
      <w:r>
        <w:rPr/>
        <w:t>11</w:t>
      </w:r>
      <w:r>
        <w:rPr>
          <w:spacing w:val="-36"/>
        </w:rPr>
        <w:t> 月 </w:t>
      </w:r>
      <w:r>
        <w:rPr/>
        <w:t>14</w:t>
      </w:r>
      <w:r>
        <w:rPr>
          <w:spacing w:val="-12"/>
        </w:rPr>
        <w:t> 日起任职</w:t>
      </w:r>
      <w:r>
        <w:rPr>
          <w:spacing w:val="-105"/>
        </w:rPr>
        <w:t>）</w:t>
      </w:r>
      <w:r>
        <w:rPr>
          <w:spacing w:val="-16"/>
        </w:rPr>
        <w:t>、易方达中债 </w:t>
      </w:r>
      <w:r>
        <w:rPr/>
        <w:t>1-3</w:t>
      </w:r>
      <w:r>
        <w:rPr>
          <w:spacing w:val="-9"/>
        </w:rPr>
        <w:t> 年国开行债券指数证券</w:t>
      </w:r>
      <w:r>
        <w:rPr/>
        <w:t>投资基金基金经理（</w:t>
      </w:r>
      <w:r>
        <w:rPr>
          <w:spacing w:val="-27"/>
        </w:rPr>
        <w:t>自 </w:t>
      </w:r>
      <w:r>
        <w:rPr/>
        <w:t>2019</w:t>
      </w:r>
      <w:r>
        <w:rPr>
          <w:spacing w:val="-36"/>
        </w:rPr>
        <w:t> 年 </w:t>
      </w:r>
      <w:r>
        <w:rPr/>
        <w:t>4</w:t>
      </w:r>
      <w:r>
        <w:rPr>
          <w:spacing w:val="-36"/>
        </w:rPr>
        <w:t> 月 </w:t>
      </w:r>
      <w:r>
        <w:rPr/>
        <w:t>29</w:t>
      </w:r>
      <w:r>
        <w:rPr>
          <w:spacing w:val="-12"/>
        </w:rPr>
        <w:t> 日起任职</w:t>
      </w:r>
      <w:r>
        <w:rPr>
          <w:spacing w:val="-105"/>
        </w:rPr>
        <w:t>）</w:t>
      </w:r>
      <w:r>
        <w:rPr>
          <w:spacing w:val="-8"/>
        </w:rPr>
        <w:t>、易方达中债 </w:t>
      </w:r>
      <w:r>
        <w:rPr/>
        <w:t>3-5</w:t>
      </w:r>
      <w:r>
        <w:rPr>
          <w:spacing w:val="-8"/>
        </w:rPr>
        <w:t> 年国开行债券指数证券</w:t>
      </w:r>
      <w:r>
        <w:rPr>
          <w:spacing w:val="-13"/>
        </w:rPr>
        <w:t>投资基金基金经理</w:t>
      </w:r>
      <w:r>
        <w:rPr/>
        <w:t>（</w:t>
      </w:r>
      <w:r>
        <w:rPr>
          <w:spacing w:val="-27"/>
        </w:rPr>
        <w:t>自 </w:t>
      </w:r>
      <w:r>
        <w:rPr/>
        <w:t>2019</w:t>
      </w:r>
      <w:r>
        <w:rPr>
          <w:spacing w:val="-36"/>
        </w:rPr>
        <w:t> 年 </w:t>
      </w:r>
      <w:r>
        <w:rPr/>
        <w:t>7</w:t>
      </w:r>
      <w:r>
        <w:rPr>
          <w:spacing w:val="-36"/>
        </w:rPr>
        <w:t> 月 </w:t>
      </w:r>
      <w:r>
        <w:rPr/>
        <w:t>8</w:t>
      </w:r>
      <w:r>
        <w:rPr>
          <w:spacing w:val="-12"/>
        </w:rPr>
        <w:t> 日起任职</w:t>
      </w:r>
      <w:r>
        <w:rPr>
          <w:spacing w:val="-105"/>
        </w:rPr>
        <w:t>）</w:t>
      </w:r>
      <w:r>
        <w:rPr>
          <w:spacing w:val="-16"/>
        </w:rPr>
        <w:t>、易方达恒兴 </w:t>
      </w:r>
      <w:r>
        <w:rPr/>
        <w:t>3</w:t>
      </w:r>
      <w:r>
        <w:rPr>
          <w:spacing w:val="-9"/>
        </w:rPr>
        <w:t> 个月定期开放债券型发起式</w:t>
      </w:r>
      <w:r>
        <w:rPr>
          <w:spacing w:val="-5"/>
        </w:rPr>
        <w:t>证券投资基金基金经理</w:t>
      </w:r>
      <w:r>
        <w:rPr/>
        <w:t>（</w:t>
      </w:r>
      <w:r>
        <w:rPr>
          <w:spacing w:val="-27"/>
        </w:rPr>
        <w:t>自 </w:t>
      </w:r>
      <w:r>
        <w:rPr/>
        <w:t>2019</w:t>
      </w:r>
      <w:r>
        <w:rPr>
          <w:spacing w:val="-36"/>
        </w:rPr>
        <w:t> 年 </w:t>
      </w:r>
      <w:r>
        <w:rPr/>
        <w:t>10</w:t>
      </w:r>
      <w:r>
        <w:rPr>
          <w:spacing w:val="-36"/>
        </w:rPr>
        <w:t> 月 </w:t>
      </w:r>
      <w:r>
        <w:rPr/>
        <w:t>15</w:t>
      </w:r>
      <w:r>
        <w:rPr>
          <w:spacing w:val="-12"/>
        </w:rPr>
        <w:t> 日起任职</w:t>
      </w:r>
      <w:r>
        <w:rPr>
          <w:spacing w:val="-105"/>
        </w:rPr>
        <w:t>）</w:t>
      </w:r>
      <w:r>
        <w:rPr>
          <w:spacing w:val="-16"/>
        </w:rPr>
        <w:t>、易方达中债 </w:t>
      </w:r>
      <w:r>
        <w:rPr/>
        <w:t>1-3</w:t>
      </w:r>
      <w:r>
        <w:rPr>
          <w:spacing w:val="-9"/>
        </w:rPr>
        <w:t> 年政策性金融债指</w:t>
      </w:r>
      <w:r>
        <w:rPr/>
        <w:t>数证券投资基金基金经理（</w:t>
      </w:r>
      <w:r>
        <w:rPr>
          <w:spacing w:val="-27"/>
        </w:rPr>
        <w:t>自 </w:t>
      </w:r>
      <w:r>
        <w:rPr/>
        <w:t>2019</w:t>
      </w:r>
      <w:r>
        <w:rPr>
          <w:spacing w:val="-36"/>
        </w:rPr>
        <w:t> 年 </w:t>
      </w:r>
      <w:r>
        <w:rPr/>
        <w:t>12</w:t>
      </w:r>
      <w:r>
        <w:rPr>
          <w:spacing w:val="-36"/>
        </w:rPr>
        <w:t> 月 </w:t>
      </w:r>
      <w:r>
        <w:rPr/>
        <w:t>3</w:t>
      </w:r>
      <w:r>
        <w:rPr>
          <w:spacing w:val="-12"/>
        </w:rPr>
        <w:t> 日起任职</w:t>
      </w:r>
      <w:r>
        <w:rPr>
          <w:spacing w:val="-105"/>
        </w:rPr>
        <w:t>）</w:t>
      </w:r>
      <w:r>
        <w:rPr>
          <w:spacing w:val="-8"/>
        </w:rPr>
        <w:t>、易方达中债 </w:t>
      </w:r>
      <w:r>
        <w:rPr/>
        <w:t>3-5</w:t>
      </w:r>
      <w:r>
        <w:rPr>
          <w:spacing w:val="-8"/>
        </w:rPr>
        <w:t> 年政策性金融债</w:t>
      </w:r>
    </w:p>
    <w:p>
      <w:pPr>
        <w:pStyle w:val="BodyText"/>
        <w:spacing w:line="364" w:lineRule="auto"/>
        <w:ind w:left="220" w:right="1418"/>
        <w:jc w:val="both"/>
      </w:pPr>
      <w:r>
        <w:rPr/>
        <w:t>指数证券投资基金基金经理（</w:t>
      </w:r>
      <w:r>
        <w:rPr>
          <w:spacing w:val="-27"/>
        </w:rPr>
        <w:t>自 </w:t>
      </w:r>
      <w:r>
        <w:rPr/>
        <w:t>2019</w:t>
      </w:r>
      <w:r>
        <w:rPr>
          <w:spacing w:val="-36"/>
        </w:rPr>
        <w:t> 年 </w:t>
      </w:r>
      <w:r>
        <w:rPr/>
        <w:t>12</w:t>
      </w:r>
      <w:r>
        <w:rPr>
          <w:spacing w:val="-36"/>
        </w:rPr>
        <w:t> 月 </w:t>
      </w:r>
      <w:r>
        <w:rPr/>
        <w:t>4</w:t>
      </w:r>
      <w:r>
        <w:rPr>
          <w:spacing w:val="-12"/>
        </w:rPr>
        <w:t> 日起任职</w:t>
      </w:r>
      <w:r>
        <w:rPr>
          <w:spacing w:val="-105"/>
        </w:rPr>
        <w:t>）</w:t>
      </w:r>
      <w:r>
        <w:rPr/>
        <w:t>，易方达资产管理（香港）有限</w:t>
      </w:r>
      <w:r>
        <w:rPr>
          <w:spacing w:val="-4"/>
        </w:rPr>
        <w:t>公司基金经理、就证券提供意见负责人员</w:t>
      </w:r>
      <w:r>
        <w:rPr/>
        <w:t>（RO</w:t>
      </w:r>
      <w:r>
        <w:rPr>
          <w:spacing w:val="-105"/>
        </w:rPr>
        <w:t>）</w:t>
      </w:r>
      <w:r>
        <w:rPr>
          <w:spacing w:val="-7"/>
        </w:rPr>
        <w:t>、提供资产管理负责人员</w:t>
      </w:r>
      <w:r>
        <w:rPr/>
        <w:t>（RO</w:t>
      </w:r>
      <w:r>
        <w:rPr>
          <w:spacing w:val="-105"/>
        </w:rPr>
        <w:t>）</w:t>
      </w:r>
      <w:r>
        <w:rPr>
          <w:spacing w:val="-7"/>
        </w:rPr>
        <w:t>、固定收益投</w:t>
      </w:r>
      <w:r>
        <w:rPr/>
        <w:t>资决策委员会委员。</w:t>
      </w:r>
    </w:p>
    <w:p>
      <w:pPr>
        <w:pStyle w:val="BodyText"/>
        <w:spacing w:line="364" w:lineRule="auto"/>
        <w:ind w:left="220" w:right="1417" w:firstLine="420"/>
        <w:jc w:val="both"/>
      </w:pPr>
      <w:r>
        <w:rPr>
          <w:spacing w:val="-10"/>
        </w:rPr>
        <w:t>胡文伯先生，金融数学硕士。曾任易方达基金管理有限公司固定收益研究员、易方达鑫</w:t>
      </w:r>
      <w:r>
        <w:rPr>
          <w:spacing w:val="-6"/>
        </w:rPr>
        <w:t>转增利混合型证券投资基金基金经理助理、易方达鑫转招利混合型证券投资基金基金经理助</w:t>
      </w:r>
      <w:r>
        <w:rPr>
          <w:spacing w:val="-10"/>
        </w:rPr>
        <w:t>理、易方达新利灵活配置混合型证券投资基金基金经理助理、易方达新享灵活配置混合型证</w:t>
      </w:r>
      <w:r>
        <w:rPr>
          <w:spacing w:val="-7"/>
        </w:rPr>
        <w:t>券投资基金基金经理助理、易方达瑞景灵活配置混合型证券投资基金基金经理助理、易方达</w:t>
      </w:r>
      <w:r>
        <w:rPr>
          <w:spacing w:val="-6"/>
        </w:rPr>
        <w:t>瑞智灵活配置混合型证券投资基金基金经理助理、易方达瑞兴灵活配置混合型证券投资基金</w:t>
      </w:r>
      <w:r>
        <w:rPr>
          <w:spacing w:val="-10"/>
        </w:rPr>
        <w:t>基金经理助理、易方达瑞祥灵活配置混合型证券投资基金基金经理助理、易方达瑞祺灵活配</w:t>
      </w:r>
      <w:r>
        <w:rPr>
          <w:spacing w:val="-7"/>
        </w:rPr>
        <w:t>置混合型证券投资基金基金经理助理、易方达聚盈分级债券型发起式证券投资基金基金经理</w:t>
      </w:r>
    </w:p>
    <w:p>
      <w:pPr>
        <w:spacing w:after="0" w:line="364" w:lineRule="auto"/>
        <w:jc w:val="both"/>
        <w:sectPr>
          <w:pgSz w:w="11910" w:h="16840"/>
          <w:pgMar w:header="0" w:footer="664" w:top="1380" w:bottom="940" w:left="1580" w:right="380"/>
        </w:sectPr>
      </w:pPr>
    </w:p>
    <w:p>
      <w:pPr>
        <w:pStyle w:val="BodyText"/>
        <w:spacing w:line="364" w:lineRule="auto" w:before="45"/>
        <w:ind w:left="220" w:right="1418"/>
      </w:pPr>
      <w:r>
        <w:rPr>
          <w:spacing w:val="-10"/>
        </w:rPr>
        <w:t>助理、易方达丰惠混合型证券投资基金基金经理助理、易方达双债增强债券型证券投资基金</w:t>
      </w:r>
      <w:r>
        <w:rPr>
          <w:spacing w:val="-11"/>
        </w:rPr>
        <w:t>基金经理助理。现任易方达基金管理有限公司易方达双债增强债券型证券投资基金基金经理</w:t>
      </w:r>
    </w:p>
    <w:p>
      <w:pPr>
        <w:pStyle w:val="BodyText"/>
        <w:spacing w:line="364" w:lineRule="auto"/>
        <w:ind w:left="220" w:right="1208"/>
      </w:pPr>
      <w:r>
        <w:rPr/>
        <w:t>（</w:t>
      </w:r>
      <w:r>
        <w:rPr>
          <w:spacing w:val="-26"/>
        </w:rPr>
        <w:t>自 </w:t>
      </w:r>
      <w:r>
        <w:rPr/>
        <w:t>2020</w:t>
      </w:r>
      <w:r>
        <w:rPr>
          <w:spacing w:val="-35"/>
        </w:rPr>
        <w:t> 年 </w:t>
      </w:r>
      <w:r>
        <w:rPr/>
        <w:t>10</w:t>
      </w:r>
      <w:r>
        <w:rPr>
          <w:spacing w:val="-35"/>
        </w:rPr>
        <w:t> 月 </w:t>
      </w:r>
      <w:r>
        <w:rPr/>
        <w:t>16</w:t>
      </w:r>
      <w:r>
        <w:rPr>
          <w:spacing w:val="-12"/>
        </w:rPr>
        <w:t> 日起任职</w:t>
      </w:r>
      <w:r>
        <w:rPr>
          <w:spacing w:val="-105"/>
        </w:rPr>
        <w:t>）</w:t>
      </w:r>
      <w:r>
        <w:rPr>
          <w:spacing w:val="-9"/>
        </w:rPr>
        <w:t>、易方达稳健收益债券型证券投资基金基金经理助理、易方达</w:t>
      </w:r>
      <w:r>
        <w:rPr>
          <w:spacing w:val="-13"/>
        </w:rPr>
        <w:t>裕惠回报定期开放式混合型发起式证券投资基金基金经理助理、易方达裕如灵活配置混合 型</w:t>
      </w:r>
      <w:r>
        <w:rPr>
          <w:spacing w:val="-15"/>
        </w:rPr>
        <w:t>证券投资基金基金经理助理、易方达瑞财灵活配置混合型证券投资基金基金经理助理、易 方</w:t>
      </w:r>
      <w:r>
        <w:rPr>
          <w:spacing w:val="-19"/>
        </w:rPr>
        <w:t>达瑞富灵活配置混合型证券投资基金基金经理助理、易方达鑫转添利混合型证券投资基金 基</w:t>
      </w:r>
      <w:r>
        <w:rPr>
          <w:spacing w:val="-15"/>
        </w:rPr>
        <w:t>金经理助理、易方达安盈回报混合型证券投资基金基金经理助理、易方达瑞和灵活配置混 合</w:t>
      </w:r>
      <w:r>
        <w:rPr>
          <w:spacing w:val="-8"/>
        </w:rPr>
        <w:t>型证券投资基金基金经理助理、易方达瑞信灵活配置混合型证券投资基金基金经理助理、易</w:t>
      </w:r>
      <w:r>
        <w:rPr>
          <w:spacing w:val="-12"/>
        </w:rPr>
        <w:t>方达永旭添利定期开放债券型证券投资基金基金经理助理、易方达中债新综合债券指数发 起式证券投资基金（LOF）基金经理助理、易方达信用债债券型证券投资基金基金经理助理、易</w:t>
      </w:r>
      <w:r>
        <w:rPr>
          <w:spacing w:val="-20"/>
        </w:rPr>
        <w:t>方达纯债 </w:t>
      </w:r>
      <w:r>
        <w:rPr/>
        <w:t>1</w:t>
      </w:r>
      <w:r>
        <w:rPr>
          <w:spacing w:val="-12"/>
        </w:rPr>
        <w:t> 年定期开放债券型证券投资基金基金经理助理、易方达高等级信用债债券型证券投</w:t>
      </w:r>
      <w:r>
        <w:rPr>
          <w:spacing w:val="-15"/>
        </w:rPr>
        <w:t>资基金基金经理助理、易方达富惠纯债债券型证券投资基金基金经理助理、易方达恒益 定期</w:t>
      </w:r>
      <w:r>
        <w:rPr>
          <w:spacing w:val="-19"/>
        </w:rPr>
        <w:t>开放债券型发起式证券投资基金基金经理助理、易方达恒信定期开放债券型发起式证券 投资</w:t>
      </w:r>
      <w:r>
        <w:rPr>
          <w:spacing w:val="-16"/>
        </w:rPr>
        <w:t>基金基金经理助理、易方达恒惠定期开放债券型发起式证券投资基金基金经理助理、易 方达</w:t>
      </w:r>
      <w:r>
        <w:rPr>
          <w:spacing w:val="-27"/>
        </w:rPr>
        <w:t>恒利 </w:t>
      </w:r>
      <w:r>
        <w:rPr/>
        <w:t>3</w:t>
      </w:r>
      <w:r>
        <w:rPr>
          <w:spacing w:val="-12"/>
        </w:rPr>
        <w:t> 个月定期开放债券型发起式证券投资基金基金经理助理、易方达安源中短债债券型证券</w:t>
      </w:r>
      <w:r>
        <w:rPr>
          <w:spacing w:val="-15"/>
        </w:rPr>
        <w:t>投资基金基金经理助理、易方达年年恒夏纯债一年定期开放债券型发起式证券投资基 金基金</w:t>
      </w:r>
      <w:r>
        <w:rPr>
          <w:spacing w:val="-14"/>
        </w:rPr>
        <w:t>经理助理、易方达裕景添利 </w:t>
      </w:r>
      <w:r>
        <w:rPr/>
        <w:t>6</w:t>
      </w:r>
      <w:r>
        <w:rPr>
          <w:spacing w:val="-9"/>
        </w:rPr>
        <w:t> 个月定期开放债券型证券投资基金基金经理助理、易方达裕祥回</w:t>
      </w:r>
      <w:r>
        <w:rPr>
          <w:spacing w:val="-15"/>
        </w:rPr>
        <w:t>报债券型证券投资基金基金经理助理、易方达年年恒秋纯债一年定期开放债券型发 起式证券投资基金基金经理助理、易方达增强回报债券型证券投资基金基金经理助理。</w:t>
      </w:r>
    </w:p>
    <w:p>
      <w:pPr>
        <w:pStyle w:val="BodyText"/>
        <w:spacing w:line="364" w:lineRule="auto"/>
        <w:ind w:left="220" w:right="1417" w:firstLine="420"/>
        <w:jc w:val="both"/>
      </w:pPr>
      <w:r>
        <w:rPr>
          <w:spacing w:val="-11"/>
        </w:rPr>
        <w:t>张凯頔先生，经济学硕士。曾任工银瑞信基金管理有限公司债券交易员，易方达基金管</w:t>
      </w:r>
      <w:r>
        <w:rPr>
          <w:spacing w:val="-8"/>
        </w:rPr>
        <w:t>理有限公司债券交易员、易方达保本一号混合型证券投资基金基金经理助理、易方达恒益定</w:t>
      </w:r>
      <w:r>
        <w:rPr>
          <w:spacing w:val="-6"/>
        </w:rPr>
        <w:t>期开放债券型发起式证券投资基金基金经理助理、易方达高等级信用债债券型证券投资基金</w:t>
      </w:r>
      <w:r>
        <w:rPr>
          <w:spacing w:val="-11"/>
        </w:rPr>
        <w:t>基金经理助理。现任易方达基金管理有限公司易方达双债增强债券型证券投资基金基金经理</w:t>
      </w:r>
      <w:r>
        <w:rPr>
          <w:spacing w:val="-10"/>
        </w:rPr>
        <w:t>助理、易方达岁丰添利债券型证券投资基金基金经理助理、易方达裕鑫债券型证券投资基金基金经理助理、易方达投资级信用债债券型证券投资基金基金经理助理、易方达增强回报债券型证券投资基金基金经理助理、易方达中债 </w:t>
      </w:r>
      <w:r>
        <w:rPr/>
        <w:t>1-3</w:t>
      </w:r>
      <w:r>
        <w:rPr>
          <w:spacing w:val="-9"/>
        </w:rPr>
        <w:t> 年国开行债券指数证券投资基金基金经理</w:t>
      </w:r>
      <w:r>
        <w:rPr>
          <w:spacing w:val="-13"/>
        </w:rPr>
        <w:t>助理、易方达中债 </w:t>
      </w:r>
      <w:r>
        <w:rPr/>
        <w:t>3-5</w:t>
      </w:r>
      <w:r>
        <w:rPr>
          <w:spacing w:val="-12"/>
        </w:rPr>
        <w:t> 年国开行债券指数证券投资基金基金经理助理、易方达中债 </w:t>
      </w:r>
      <w:r>
        <w:rPr/>
        <w:t>1-3</w:t>
      </w:r>
      <w:r>
        <w:rPr>
          <w:spacing w:val="-23"/>
        </w:rPr>
        <w:t> 年政</w:t>
      </w:r>
      <w:r>
        <w:rPr>
          <w:spacing w:val="-7"/>
        </w:rPr>
        <w:t>策性金融债指数证券投资基金基金经理助理、易方达中债 </w:t>
      </w:r>
      <w:r>
        <w:rPr/>
        <w:t>3-5</w:t>
      </w:r>
      <w:r>
        <w:rPr>
          <w:spacing w:val="-9"/>
        </w:rPr>
        <w:t> 年政策性金融债指数证券投资</w:t>
      </w:r>
      <w:r>
        <w:rPr/>
        <w:t>基金基金经理助理、易方达恒安定期开放债券型发起式证券投资基金基金经理助理。</w:t>
      </w:r>
    </w:p>
    <w:p>
      <w:pPr>
        <w:pStyle w:val="BodyText"/>
        <w:spacing w:line="364" w:lineRule="auto"/>
        <w:ind w:right="1430"/>
        <w:jc w:val="both"/>
      </w:pPr>
      <w:r>
        <w:rPr>
          <w:spacing w:val="-3"/>
        </w:rPr>
        <w:t>本基金历任基金经理情况：张磊，管理时间为 </w:t>
      </w:r>
      <w:r>
        <w:rPr/>
        <w:t>2011</w:t>
      </w:r>
      <w:r>
        <w:rPr>
          <w:spacing w:val="-36"/>
        </w:rPr>
        <w:t> 年 </w:t>
      </w:r>
      <w:r>
        <w:rPr/>
        <w:t>12</w:t>
      </w:r>
      <w:r>
        <w:rPr>
          <w:spacing w:val="-36"/>
        </w:rPr>
        <w:t> 月 </w:t>
      </w:r>
      <w:r>
        <w:rPr/>
        <w:t>1</w:t>
      </w:r>
      <w:r>
        <w:rPr>
          <w:spacing w:val="-27"/>
        </w:rPr>
        <w:t> 日至 </w:t>
      </w:r>
      <w:r>
        <w:rPr/>
        <w:t>2019</w:t>
      </w:r>
      <w:r>
        <w:rPr>
          <w:spacing w:val="-36"/>
        </w:rPr>
        <w:t> 年 </w:t>
      </w:r>
      <w:r>
        <w:rPr/>
        <w:t>1</w:t>
      </w:r>
      <w:r>
        <w:rPr>
          <w:spacing w:val="-36"/>
        </w:rPr>
        <w:t> 月 </w:t>
      </w:r>
      <w:r>
        <w:rPr/>
        <w:t>3</w:t>
      </w:r>
      <w:r>
        <w:rPr>
          <w:spacing w:val="-23"/>
        </w:rPr>
        <w:t> 日。</w:t>
      </w:r>
      <w:r>
        <w:rPr/>
        <w:t>3、固定收益投资决策委员会成员</w:t>
      </w:r>
    </w:p>
    <w:p>
      <w:pPr>
        <w:pStyle w:val="BodyText"/>
        <w:spacing w:line="364" w:lineRule="auto"/>
        <w:ind w:left="220" w:right="1418" w:firstLine="420"/>
      </w:pPr>
      <w:r>
        <w:rPr>
          <w:spacing w:val="-7"/>
        </w:rPr>
        <w:t>本公司固定收益投资决策委员会成员包括：马骏先生、胡剑先生、张清华先生、王晓晨</w:t>
      </w:r>
      <w:r>
        <w:rPr/>
        <w:t>女士、袁方女士、刘朝阳女士、祁广东先生。</w:t>
      </w:r>
    </w:p>
    <w:p>
      <w:pPr>
        <w:pStyle w:val="BodyText"/>
        <w:spacing w:line="268" w:lineRule="exact"/>
      </w:pPr>
      <w:r>
        <w:rPr/>
        <w:t>马骏先生，同上。</w:t>
      </w:r>
    </w:p>
    <w:p>
      <w:pPr>
        <w:spacing w:after="0" w:line="268" w:lineRule="exact"/>
        <w:sectPr>
          <w:pgSz w:w="11910" w:h="16840"/>
          <w:pgMar w:header="0" w:footer="664" w:top="1380" w:bottom="940" w:left="1580" w:right="380"/>
        </w:sectPr>
      </w:pPr>
    </w:p>
    <w:p>
      <w:pPr>
        <w:pStyle w:val="BodyText"/>
        <w:spacing w:line="364" w:lineRule="auto" w:before="45"/>
        <w:ind w:right="7415"/>
      </w:pPr>
      <w:r>
        <w:rPr/>
        <w:t>胡剑先生，同上。 </w:t>
      </w:r>
      <w:r>
        <w:rPr>
          <w:spacing w:val="-3"/>
        </w:rPr>
        <w:t>张清华先生，同上。王晓晨女士，同上。</w:t>
      </w:r>
    </w:p>
    <w:p>
      <w:pPr>
        <w:pStyle w:val="BodyText"/>
        <w:spacing w:line="364" w:lineRule="auto"/>
        <w:ind w:right="2795"/>
      </w:pPr>
      <w:r>
        <w:rPr/>
        <w:t>袁方女士，易方达基金管理有限公司年金投资部总经理、投资经理。 </w:t>
      </w:r>
      <w:r>
        <w:rPr>
          <w:spacing w:val="-1"/>
        </w:rPr>
        <w:t>刘朝阳女士，易方达基金管理有限公司现金管理部总经理、基金经理。</w:t>
      </w:r>
    </w:p>
    <w:p>
      <w:pPr>
        <w:pStyle w:val="BodyText"/>
        <w:spacing w:line="364" w:lineRule="auto"/>
        <w:ind w:left="220" w:right="1312" w:firstLine="420"/>
      </w:pPr>
      <w:r>
        <w:rPr>
          <w:spacing w:val="-15"/>
        </w:rPr>
        <w:t>祁广东先生，易方达基金管理有限公司基金经理、投资经理、境外投资决策委员会委员， </w:t>
      </w:r>
      <w:r>
        <w:rPr>
          <w:spacing w:val="-4"/>
        </w:rPr>
        <w:t>易方达资产管理</w:t>
      </w:r>
      <w:r>
        <w:rPr/>
        <w:t>（香港</w:t>
      </w:r>
      <w:r>
        <w:rPr>
          <w:spacing w:val="-24"/>
        </w:rPr>
        <w:t>）</w:t>
      </w:r>
      <w:r>
        <w:rPr>
          <w:spacing w:val="-3"/>
        </w:rPr>
        <w:t>有限公司国际固定收益部部门总经理、基金经理、就证券提供意见负责人员（RO</w:t>
      </w:r>
      <w:r>
        <w:rPr>
          <w:spacing w:val="-105"/>
        </w:rPr>
        <w:t>）</w:t>
      </w:r>
      <w:r>
        <w:rPr/>
        <w:t>、提供资产管理负责人员（RO</w:t>
      </w:r>
      <w:r>
        <w:rPr>
          <w:spacing w:val="-105"/>
        </w:rPr>
        <w:t>）</w:t>
      </w:r>
      <w:r>
        <w:rPr/>
        <w:t>、固定收益投资决策委员会委员。</w:t>
      </w:r>
    </w:p>
    <w:p>
      <w:pPr>
        <w:pStyle w:val="BodyText"/>
        <w:spacing w:line="268" w:lineRule="exact"/>
      </w:pPr>
      <w:r>
        <w:rPr/>
        <w:t>4、上述人员之间均不存在近亲属关系。</w:t>
      </w:r>
    </w:p>
    <w:p>
      <w:pPr>
        <w:pStyle w:val="Heading3"/>
        <w:spacing w:before="138"/>
      </w:pPr>
      <w:bookmarkStart w:name="_bookmark5" w:id="6"/>
      <w:bookmarkEnd w:id="6"/>
      <w:r>
        <w:rPr/>
      </w:r>
      <w:r>
        <w:rPr/>
        <w:t>(三)基金管理人的职责</w:t>
      </w:r>
    </w:p>
    <w:p>
      <w:pPr>
        <w:pStyle w:val="BodyText"/>
        <w:spacing w:before="185"/>
      </w:pPr>
      <w:r>
        <w:rPr/>
        <w:t>1、依法募集资金，办理基金份额的发售和登记事宜；</w:t>
      </w:r>
    </w:p>
    <w:p>
      <w:pPr>
        <w:pStyle w:val="BodyText"/>
        <w:spacing w:before="139"/>
      </w:pPr>
      <w:r>
        <w:rPr/>
        <w:t>2、办理基金备案手续；</w:t>
      </w:r>
    </w:p>
    <w:p>
      <w:pPr>
        <w:pStyle w:val="BodyText"/>
        <w:spacing w:before="140"/>
      </w:pPr>
      <w:r>
        <w:rPr/>
        <w:t>3、对所管理的不同基金财产分别管理、分别记账，进行证券投资；</w:t>
      </w:r>
    </w:p>
    <w:p>
      <w:pPr>
        <w:pStyle w:val="BodyText"/>
        <w:spacing w:before="139"/>
      </w:pPr>
      <w:r>
        <w:rPr/>
        <w:t>4、按照基金合同的约定确定基金收益分配方案，及时向基金份额持有人分配收益；</w:t>
      </w:r>
    </w:p>
    <w:p>
      <w:pPr>
        <w:pStyle w:val="BodyText"/>
        <w:spacing w:before="140"/>
      </w:pPr>
      <w:r>
        <w:rPr/>
        <w:t>5、进行基金会计核算并编制基金财务会计报告；</w:t>
      </w:r>
    </w:p>
    <w:p>
      <w:pPr>
        <w:pStyle w:val="BodyText"/>
        <w:spacing w:before="139"/>
      </w:pPr>
      <w:r>
        <w:rPr/>
        <w:t>6、编制季度报告、中期报告和年度报告；</w:t>
      </w:r>
    </w:p>
    <w:p>
      <w:pPr>
        <w:pStyle w:val="BodyText"/>
        <w:spacing w:before="140"/>
      </w:pPr>
      <w:r>
        <w:rPr/>
        <w:t>7、计算并公告基金净值信息，确定基金份额申购、赎回价格；</w:t>
      </w:r>
    </w:p>
    <w:p>
      <w:pPr>
        <w:pStyle w:val="BodyText"/>
        <w:spacing w:before="139"/>
      </w:pPr>
      <w:r>
        <w:rPr/>
        <w:t>8、办理与基金财产管理业务活动有关的信息披露事项；</w:t>
      </w:r>
    </w:p>
    <w:p>
      <w:pPr>
        <w:pStyle w:val="BodyText"/>
        <w:spacing w:before="139"/>
      </w:pPr>
      <w:r>
        <w:rPr/>
        <w:t>9、按照规定召集基金份额持有人大会；</w:t>
      </w:r>
    </w:p>
    <w:p>
      <w:pPr>
        <w:pStyle w:val="BodyText"/>
        <w:spacing w:before="140"/>
      </w:pPr>
      <w:r>
        <w:rPr/>
        <w:t>10、保存基金财产管理业务活动的记录、账册、报表和其他相关资料；</w:t>
      </w:r>
    </w:p>
    <w:p>
      <w:pPr>
        <w:pStyle w:val="BodyText"/>
        <w:spacing w:before="139"/>
      </w:pPr>
      <w:r>
        <w:rPr/>
        <w:t>11、以基金管理人名义，代表基金份额持有人利益行使诉讼权利或者实施其他法律行为；</w:t>
      </w:r>
    </w:p>
    <w:p>
      <w:pPr>
        <w:pStyle w:val="BodyText"/>
        <w:spacing w:before="140"/>
      </w:pPr>
      <w:r>
        <w:rPr/>
        <w:t>12、国务院证券监督管理机构规定的其他职责。</w:t>
      </w:r>
    </w:p>
    <w:p>
      <w:pPr>
        <w:pStyle w:val="Heading3"/>
        <w:spacing w:before="140"/>
      </w:pPr>
      <w:bookmarkStart w:name="_bookmark6" w:id="7"/>
      <w:bookmarkEnd w:id="7"/>
      <w:r>
        <w:rPr/>
      </w:r>
      <w:r>
        <w:rPr/>
        <w:t>(四)基金管理人的承诺</w:t>
      </w:r>
    </w:p>
    <w:p>
      <w:pPr>
        <w:pStyle w:val="BodyText"/>
        <w:spacing w:line="364" w:lineRule="auto" w:before="185"/>
        <w:ind w:left="220" w:right="120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220" w:right="1418" w:firstLine="420"/>
      </w:pPr>
      <w:r>
        <w:rPr/>
        <w:t>2、本基金管理人承诺严格遵守《证券法》、《基金法》及有关法律法规，建立健全内部控制制度，采取有效措施，防止下列行为发生：</w:t>
      </w:r>
    </w:p>
    <w:p>
      <w:pPr>
        <w:pStyle w:val="ListParagraph"/>
        <w:numPr>
          <w:ilvl w:val="0"/>
          <w:numId w:val="1"/>
        </w:numPr>
        <w:tabs>
          <w:tab w:pos="1166" w:val="left" w:leader="none"/>
        </w:tabs>
        <w:spacing w:line="268" w:lineRule="exact" w:before="0" w:after="0"/>
        <w:ind w:left="1166" w:right="0" w:hanging="526"/>
        <w:jc w:val="left"/>
        <w:rPr>
          <w:sz w:val="21"/>
        </w:rPr>
      </w:pPr>
      <w:r>
        <w:rPr>
          <w:sz w:val="21"/>
        </w:rPr>
        <w:t>将其固有财产或者他人财产混同于基金财产从事证券投资；</w:t>
      </w:r>
    </w:p>
    <w:p>
      <w:pPr>
        <w:pStyle w:val="ListParagraph"/>
        <w:numPr>
          <w:ilvl w:val="0"/>
          <w:numId w:val="1"/>
        </w:numPr>
        <w:tabs>
          <w:tab w:pos="1166" w:val="left" w:leader="none"/>
        </w:tabs>
        <w:spacing w:line="240" w:lineRule="auto" w:before="138" w:after="0"/>
        <w:ind w:left="1166" w:right="0" w:hanging="526"/>
        <w:jc w:val="left"/>
        <w:rPr>
          <w:sz w:val="21"/>
        </w:rPr>
      </w:pPr>
      <w:r>
        <w:rPr>
          <w:sz w:val="21"/>
        </w:rPr>
        <w:t>不公平地对待其管理的不同基金财产；</w:t>
      </w:r>
    </w:p>
    <w:p>
      <w:pPr>
        <w:pStyle w:val="ListParagraph"/>
        <w:numPr>
          <w:ilvl w:val="0"/>
          <w:numId w:val="1"/>
        </w:numPr>
        <w:tabs>
          <w:tab w:pos="1166" w:val="left" w:leader="none"/>
        </w:tabs>
        <w:spacing w:line="240" w:lineRule="auto" w:before="140" w:after="0"/>
        <w:ind w:left="1166" w:right="0" w:hanging="526"/>
        <w:jc w:val="left"/>
        <w:rPr>
          <w:sz w:val="21"/>
        </w:rPr>
      </w:pPr>
      <w:r>
        <w:rPr>
          <w:sz w:val="21"/>
        </w:rPr>
        <w:t>利用基金财产或者职务之便为基金份额持有人以外的第三人谋取利益；</w:t>
      </w:r>
    </w:p>
    <w:p>
      <w:pPr>
        <w:pStyle w:val="ListParagraph"/>
        <w:numPr>
          <w:ilvl w:val="0"/>
          <w:numId w:val="1"/>
        </w:numPr>
        <w:tabs>
          <w:tab w:pos="1166" w:val="left" w:leader="none"/>
        </w:tabs>
        <w:spacing w:line="240" w:lineRule="auto" w:before="139" w:after="0"/>
        <w:ind w:left="1166" w:right="0" w:hanging="526"/>
        <w:jc w:val="left"/>
        <w:rPr>
          <w:sz w:val="21"/>
        </w:rPr>
      </w:pPr>
      <w:r>
        <w:rPr>
          <w:sz w:val="21"/>
        </w:rPr>
        <w:t>向基金份额持有人违规承诺收益或者承担损失；</w:t>
      </w:r>
    </w:p>
    <w:p>
      <w:pPr>
        <w:pStyle w:val="ListParagraph"/>
        <w:numPr>
          <w:ilvl w:val="0"/>
          <w:numId w:val="1"/>
        </w:numPr>
        <w:tabs>
          <w:tab w:pos="1166" w:val="left" w:leader="none"/>
        </w:tabs>
        <w:spacing w:line="240" w:lineRule="auto" w:before="139" w:after="0"/>
        <w:ind w:left="1166" w:right="0" w:hanging="526"/>
        <w:jc w:val="left"/>
        <w:rPr>
          <w:sz w:val="21"/>
        </w:rPr>
      </w:pPr>
      <w:r>
        <w:rPr>
          <w:sz w:val="21"/>
        </w:rPr>
        <w:t>侵占、挪用基金财产；</w:t>
      </w:r>
    </w:p>
    <w:p>
      <w:pPr>
        <w:spacing w:after="0" w:line="240" w:lineRule="auto"/>
        <w:jc w:val="left"/>
        <w:rPr>
          <w:sz w:val="21"/>
        </w:rPr>
        <w:sectPr>
          <w:pgSz w:w="11910" w:h="16840"/>
          <w:pgMar w:header="0" w:footer="664" w:top="1380" w:bottom="940" w:left="1580" w:right="380"/>
        </w:sectPr>
      </w:pPr>
    </w:p>
    <w:p>
      <w:pPr>
        <w:pStyle w:val="ListParagraph"/>
        <w:numPr>
          <w:ilvl w:val="0"/>
          <w:numId w:val="1"/>
        </w:numPr>
        <w:tabs>
          <w:tab w:pos="1167" w:val="left" w:leader="none"/>
        </w:tabs>
        <w:spacing w:line="364" w:lineRule="auto" w:before="45" w:after="0"/>
        <w:ind w:left="220" w:right="1418" w:firstLine="420"/>
        <w:jc w:val="left"/>
        <w:rPr>
          <w:sz w:val="21"/>
        </w:rPr>
      </w:pPr>
      <w:r>
        <w:rPr>
          <w:sz w:val="21"/>
        </w:rPr>
        <w:t>泄露因职务便利获取的未公开信息、利用该信息从事或者明示、暗示他人从事相关的交易活动；</w:t>
      </w:r>
    </w:p>
    <w:p>
      <w:pPr>
        <w:pStyle w:val="ListParagraph"/>
        <w:numPr>
          <w:ilvl w:val="0"/>
          <w:numId w:val="1"/>
        </w:numPr>
        <w:tabs>
          <w:tab w:pos="1166" w:val="left" w:leader="none"/>
        </w:tabs>
        <w:spacing w:line="268" w:lineRule="exact" w:before="0" w:after="0"/>
        <w:ind w:left="1166" w:right="0" w:hanging="526"/>
        <w:jc w:val="left"/>
        <w:rPr>
          <w:sz w:val="21"/>
        </w:rPr>
      </w:pPr>
      <w:r>
        <w:rPr>
          <w:sz w:val="21"/>
        </w:rPr>
        <w:t>玩忽职守，不按照规定履行职责；</w:t>
      </w:r>
    </w:p>
    <w:p>
      <w:pPr>
        <w:pStyle w:val="ListParagraph"/>
        <w:numPr>
          <w:ilvl w:val="0"/>
          <w:numId w:val="1"/>
        </w:numPr>
        <w:tabs>
          <w:tab w:pos="1166" w:val="left" w:leader="none"/>
        </w:tabs>
        <w:spacing w:line="240" w:lineRule="auto" w:before="139" w:after="0"/>
        <w:ind w:left="1166" w:right="0" w:hanging="526"/>
        <w:jc w:val="left"/>
        <w:rPr>
          <w:sz w:val="21"/>
        </w:rPr>
      </w:pPr>
      <w:r>
        <w:rPr>
          <w:sz w:val="21"/>
        </w:rPr>
        <w:t>法律、行政法规和中国证监会规定禁止的其他行为。</w:t>
      </w:r>
    </w:p>
    <w:p>
      <w:pPr>
        <w:pStyle w:val="BodyText"/>
        <w:spacing w:line="364" w:lineRule="auto" w:before="140"/>
        <w:ind w:left="220" w:right="1418"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166" w:val="left" w:leader="none"/>
        </w:tabs>
        <w:spacing w:line="268" w:lineRule="exact" w:before="0" w:after="0"/>
        <w:ind w:left="1166" w:right="0" w:hanging="526"/>
        <w:jc w:val="left"/>
        <w:rPr>
          <w:sz w:val="21"/>
        </w:rPr>
      </w:pPr>
      <w:r>
        <w:rPr>
          <w:sz w:val="21"/>
        </w:rPr>
        <w:t>越权或违规经营；</w:t>
      </w:r>
    </w:p>
    <w:p>
      <w:pPr>
        <w:pStyle w:val="ListParagraph"/>
        <w:numPr>
          <w:ilvl w:val="0"/>
          <w:numId w:val="2"/>
        </w:numPr>
        <w:tabs>
          <w:tab w:pos="1166" w:val="left" w:leader="none"/>
        </w:tabs>
        <w:spacing w:line="240" w:lineRule="auto" w:before="139" w:after="0"/>
        <w:ind w:left="1166" w:right="0" w:hanging="526"/>
        <w:jc w:val="left"/>
        <w:rPr>
          <w:sz w:val="21"/>
        </w:rPr>
      </w:pPr>
      <w:r>
        <w:rPr>
          <w:sz w:val="21"/>
        </w:rPr>
        <w:t>违反基金合同或托管协议；</w:t>
      </w:r>
    </w:p>
    <w:p>
      <w:pPr>
        <w:pStyle w:val="ListParagraph"/>
        <w:numPr>
          <w:ilvl w:val="0"/>
          <w:numId w:val="2"/>
        </w:numPr>
        <w:tabs>
          <w:tab w:pos="1166" w:val="left" w:leader="none"/>
        </w:tabs>
        <w:spacing w:line="240" w:lineRule="auto" w:before="140" w:after="0"/>
        <w:ind w:left="1166" w:right="0" w:hanging="526"/>
        <w:jc w:val="left"/>
        <w:rPr>
          <w:sz w:val="21"/>
        </w:rPr>
      </w:pPr>
      <w:r>
        <w:rPr>
          <w:sz w:val="21"/>
        </w:rPr>
        <w:t>故意损害基金份额持有人或其他基金相关机构的合法利益；</w:t>
      </w:r>
    </w:p>
    <w:p>
      <w:pPr>
        <w:pStyle w:val="ListParagraph"/>
        <w:numPr>
          <w:ilvl w:val="0"/>
          <w:numId w:val="2"/>
        </w:numPr>
        <w:tabs>
          <w:tab w:pos="1166" w:val="left" w:leader="none"/>
        </w:tabs>
        <w:spacing w:line="240" w:lineRule="auto" w:before="139" w:after="0"/>
        <w:ind w:left="1166" w:right="0" w:hanging="526"/>
        <w:jc w:val="left"/>
        <w:rPr>
          <w:sz w:val="21"/>
        </w:rPr>
      </w:pPr>
      <w:r>
        <w:rPr>
          <w:sz w:val="21"/>
        </w:rPr>
        <w:t>在向中国证监会报送的资料中弄虚作假；</w:t>
      </w:r>
    </w:p>
    <w:p>
      <w:pPr>
        <w:pStyle w:val="ListParagraph"/>
        <w:numPr>
          <w:ilvl w:val="0"/>
          <w:numId w:val="2"/>
        </w:numPr>
        <w:tabs>
          <w:tab w:pos="1166" w:val="left" w:leader="none"/>
        </w:tabs>
        <w:spacing w:line="240" w:lineRule="auto" w:before="140" w:after="0"/>
        <w:ind w:left="1166" w:right="0" w:hanging="526"/>
        <w:jc w:val="left"/>
        <w:rPr>
          <w:sz w:val="21"/>
        </w:rPr>
      </w:pPr>
      <w:r>
        <w:rPr>
          <w:sz w:val="21"/>
        </w:rPr>
        <w:t>拒绝、干扰、阻挠或严重影响中国证监会依法监管；</w:t>
      </w:r>
    </w:p>
    <w:p>
      <w:pPr>
        <w:pStyle w:val="ListParagraph"/>
        <w:numPr>
          <w:ilvl w:val="0"/>
          <w:numId w:val="2"/>
        </w:numPr>
        <w:tabs>
          <w:tab w:pos="1166" w:val="left" w:leader="none"/>
        </w:tabs>
        <w:spacing w:line="240" w:lineRule="auto" w:before="139" w:after="0"/>
        <w:ind w:left="1166" w:right="0" w:hanging="526"/>
        <w:jc w:val="left"/>
        <w:rPr>
          <w:sz w:val="21"/>
        </w:rPr>
      </w:pPr>
      <w:r>
        <w:rPr>
          <w:sz w:val="21"/>
        </w:rPr>
        <w:t>玩忽职守、滥用职权；</w:t>
      </w:r>
    </w:p>
    <w:p>
      <w:pPr>
        <w:pStyle w:val="ListParagraph"/>
        <w:numPr>
          <w:ilvl w:val="0"/>
          <w:numId w:val="2"/>
        </w:numPr>
        <w:tabs>
          <w:tab w:pos="1167" w:val="left" w:leader="none"/>
        </w:tabs>
        <w:spacing w:line="364" w:lineRule="auto" w:before="139" w:after="0"/>
        <w:ind w:left="220" w:right="1417" w:firstLine="420"/>
        <w:jc w:val="both"/>
        <w:rPr>
          <w:sz w:val="21"/>
        </w:rPr>
      </w:pPr>
      <w:r>
        <w:rPr>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2"/>
        </w:numPr>
        <w:tabs>
          <w:tab w:pos="1167" w:val="left" w:leader="none"/>
        </w:tabs>
        <w:spacing w:line="364" w:lineRule="auto" w:before="0" w:after="0"/>
        <w:ind w:left="220" w:right="1418" w:firstLine="420"/>
        <w:jc w:val="left"/>
        <w:rPr>
          <w:sz w:val="21"/>
        </w:rPr>
      </w:pPr>
      <w:r>
        <w:rPr>
          <w:sz w:val="21"/>
        </w:rPr>
        <w:t>违反证券交易场所业务规则，利用对敲、倒仓等手段操纵市场价格，扰乱市场秩序；</w:t>
      </w:r>
    </w:p>
    <w:p>
      <w:pPr>
        <w:pStyle w:val="ListParagraph"/>
        <w:numPr>
          <w:ilvl w:val="0"/>
          <w:numId w:val="2"/>
        </w:numPr>
        <w:tabs>
          <w:tab w:pos="1166" w:val="left" w:leader="none"/>
        </w:tabs>
        <w:spacing w:line="268" w:lineRule="exact" w:before="0" w:after="0"/>
        <w:ind w:left="1166" w:right="0" w:hanging="526"/>
        <w:jc w:val="left"/>
        <w:rPr>
          <w:sz w:val="21"/>
        </w:rPr>
      </w:pPr>
      <w:r>
        <w:rPr>
          <w:sz w:val="21"/>
        </w:rPr>
        <w:t>贬损同行，以抬高自己；</w:t>
      </w:r>
    </w:p>
    <w:p>
      <w:pPr>
        <w:pStyle w:val="ListParagraph"/>
        <w:numPr>
          <w:ilvl w:val="0"/>
          <w:numId w:val="2"/>
        </w:numPr>
        <w:tabs>
          <w:tab w:pos="1271" w:val="left" w:leader="none"/>
        </w:tabs>
        <w:spacing w:line="240" w:lineRule="auto" w:before="138" w:after="0"/>
        <w:ind w:left="1271" w:right="0" w:hanging="631"/>
        <w:jc w:val="left"/>
        <w:rPr>
          <w:sz w:val="21"/>
        </w:rPr>
      </w:pPr>
      <w:r>
        <w:rPr>
          <w:sz w:val="21"/>
        </w:rPr>
        <w:t>以不正当手段谋求业务发展；</w:t>
      </w:r>
    </w:p>
    <w:p>
      <w:pPr>
        <w:pStyle w:val="ListParagraph"/>
        <w:numPr>
          <w:ilvl w:val="0"/>
          <w:numId w:val="2"/>
        </w:numPr>
        <w:tabs>
          <w:tab w:pos="1271" w:val="left" w:leader="none"/>
        </w:tabs>
        <w:spacing w:line="240" w:lineRule="auto" w:before="140" w:after="0"/>
        <w:ind w:left="1271" w:right="0" w:hanging="631"/>
        <w:jc w:val="left"/>
        <w:rPr>
          <w:sz w:val="21"/>
        </w:rPr>
      </w:pPr>
      <w:r>
        <w:rPr>
          <w:sz w:val="21"/>
        </w:rPr>
        <w:t>有悖社会公德，损害证券投资基金人员形象；</w:t>
      </w:r>
    </w:p>
    <w:p>
      <w:pPr>
        <w:pStyle w:val="ListParagraph"/>
        <w:numPr>
          <w:ilvl w:val="0"/>
          <w:numId w:val="2"/>
        </w:numPr>
        <w:tabs>
          <w:tab w:pos="1271" w:val="left" w:leader="none"/>
        </w:tabs>
        <w:spacing w:line="240" w:lineRule="auto" w:before="139" w:after="0"/>
        <w:ind w:left="1271" w:right="0" w:hanging="631"/>
        <w:jc w:val="left"/>
        <w:rPr>
          <w:sz w:val="21"/>
        </w:rPr>
      </w:pPr>
      <w:r>
        <w:rPr>
          <w:sz w:val="21"/>
        </w:rPr>
        <w:t>在公开信息披露和广告中故意含有虚假、误导、欺诈成分；</w:t>
      </w:r>
    </w:p>
    <w:p>
      <w:pPr>
        <w:pStyle w:val="ListParagraph"/>
        <w:numPr>
          <w:ilvl w:val="0"/>
          <w:numId w:val="2"/>
        </w:numPr>
        <w:tabs>
          <w:tab w:pos="1271" w:val="left" w:leader="none"/>
        </w:tabs>
        <w:spacing w:line="240" w:lineRule="auto" w:before="140" w:after="0"/>
        <w:ind w:left="1271" w:right="0" w:hanging="631"/>
        <w:jc w:val="left"/>
        <w:rPr>
          <w:sz w:val="21"/>
        </w:rPr>
      </w:pPr>
      <w:r>
        <w:rPr>
          <w:sz w:val="21"/>
        </w:rPr>
        <w:t>其他法律、行政法规以及中国证监会禁止的行为。</w:t>
      </w:r>
    </w:p>
    <w:p>
      <w:pPr>
        <w:pStyle w:val="BodyText"/>
        <w:spacing w:before="139"/>
      </w:pPr>
      <w:r>
        <w:rPr/>
        <w:t>4、基金经理承诺</w:t>
      </w:r>
    </w:p>
    <w:p>
      <w:pPr>
        <w:pStyle w:val="ListParagraph"/>
        <w:numPr>
          <w:ilvl w:val="0"/>
          <w:numId w:val="3"/>
        </w:numPr>
        <w:tabs>
          <w:tab w:pos="956" w:val="left" w:leader="none"/>
        </w:tabs>
        <w:spacing w:line="364" w:lineRule="auto" w:before="140" w:after="0"/>
        <w:ind w:left="220" w:right="1418" w:firstLine="420"/>
        <w:jc w:val="left"/>
        <w:rPr>
          <w:sz w:val="21"/>
        </w:rPr>
      </w:pPr>
      <w:r>
        <w:rPr>
          <w:sz w:val="21"/>
        </w:rPr>
        <w:t>依照有关法律、法规和基金合同的规定，本着谨慎的原则为基金份额持有人谋取最大利益；</w:t>
      </w:r>
    </w:p>
    <w:p>
      <w:pPr>
        <w:pStyle w:val="ListParagraph"/>
        <w:numPr>
          <w:ilvl w:val="0"/>
          <w:numId w:val="3"/>
        </w:numPr>
        <w:tabs>
          <w:tab w:pos="956" w:val="left" w:leader="none"/>
        </w:tabs>
        <w:spacing w:line="268" w:lineRule="exact" w:before="0" w:after="0"/>
        <w:ind w:left="956" w:right="0" w:hanging="316"/>
        <w:jc w:val="left"/>
        <w:rPr>
          <w:sz w:val="21"/>
        </w:rPr>
      </w:pPr>
      <w:r>
        <w:rPr>
          <w:sz w:val="21"/>
        </w:rPr>
        <w:t>不利用职务之便为自己及其代理人、受雇人或任何第三人谋取利益；</w:t>
      </w:r>
    </w:p>
    <w:p>
      <w:pPr>
        <w:pStyle w:val="ListParagraph"/>
        <w:numPr>
          <w:ilvl w:val="0"/>
          <w:numId w:val="3"/>
        </w:numPr>
        <w:tabs>
          <w:tab w:pos="956" w:val="left" w:leader="none"/>
        </w:tabs>
        <w:spacing w:line="364" w:lineRule="auto" w:before="139" w:after="0"/>
        <w:ind w:left="220" w:right="1417" w:firstLine="420"/>
        <w:jc w:val="both"/>
        <w:rPr>
          <w:sz w:val="21"/>
        </w:rPr>
      </w:pPr>
      <w:r>
        <w:rPr>
          <w:sz w:val="21"/>
        </w:rPr>
        <w:t>不违反现行有效的有关法律、法规、规章、基金合同和中国证监会的有关规定，泄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3"/>
        </w:numPr>
        <w:tabs>
          <w:tab w:pos="956" w:val="left" w:leader="none"/>
        </w:tabs>
        <w:spacing w:line="268" w:lineRule="exact" w:before="0" w:after="0"/>
        <w:ind w:left="956" w:right="0" w:hanging="316"/>
        <w:jc w:val="left"/>
        <w:rPr>
          <w:sz w:val="21"/>
        </w:rPr>
      </w:pPr>
      <w:r>
        <w:rPr>
          <w:sz w:val="21"/>
        </w:rPr>
        <w:t>不从事损害基金财产和基金份额持有人利益的证券交易及其他活动。</w:t>
      </w:r>
    </w:p>
    <w:p>
      <w:pPr>
        <w:pStyle w:val="Heading3"/>
        <w:spacing w:before="141"/>
      </w:pPr>
      <w:bookmarkStart w:name="_bookmark7" w:id="8"/>
      <w:bookmarkEnd w:id="8"/>
      <w:r>
        <w:rPr/>
      </w:r>
      <w:r>
        <w:rPr/>
        <w:t>(五)基金管理人的内部控制制度</w:t>
      </w:r>
    </w:p>
    <w:p>
      <w:pPr>
        <w:pStyle w:val="BodyText"/>
        <w:spacing w:line="364" w:lineRule="auto" w:before="184"/>
        <w:ind w:left="220" w:right="131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spacing w:after="0" w:line="364" w:lineRule="auto"/>
        <w:sectPr>
          <w:pgSz w:w="11910" w:h="16840"/>
          <w:pgMar w:header="0" w:footer="664" w:top="1380" w:bottom="940" w:left="1580" w:right="380"/>
        </w:sectPr>
      </w:pPr>
    </w:p>
    <w:p>
      <w:pPr>
        <w:pStyle w:val="BodyText"/>
        <w:spacing w:before="45"/>
      </w:pPr>
      <w:r>
        <w:rPr/>
        <w:t>1、公司内部控制的总体目标</w:t>
      </w:r>
    </w:p>
    <w:p>
      <w:pPr>
        <w:pStyle w:val="ListParagraph"/>
        <w:numPr>
          <w:ilvl w:val="0"/>
          <w:numId w:val="4"/>
        </w:numPr>
        <w:tabs>
          <w:tab w:pos="1071" w:val="left" w:leader="none"/>
        </w:tabs>
        <w:spacing w:line="240" w:lineRule="auto" w:before="139" w:after="0"/>
        <w:ind w:left="1071" w:right="0" w:hanging="568"/>
        <w:jc w:val="left"/>
        <w:rPr>
          <w:sz w:val="21"/>
        </w:rPr>
      </w:pPr>
      <w:r>
        <w:rPr>
          <w:sz w:val="21"/>
        </w:rPr>
        <w:t>保证公司经营管理活动的合法合规性；</w:t>
      </w:r>
    </w:p>
    <w:p>
      <w:pPr>
        <w:pStyle w:val="ListParagraph"/>
        <w:numPr>
          <w:ilvl w:val="0"/>
          <w:numId w:val="4"/>
        </w:numPr>
        <w:tabs>
          <w:tab w:pos="1071" w:val="left" w:leader="none"/>
        </w:tabs>
        <w:spacing w:line="240" w:lineRule="auto" w:before="140" w:after="0"/>
        <w:ind w:left="1071" w:right="0" w:hanging="568"/>
        <w:jc w:val="left"/>
        <w:rPr>
          <w:sz w:val="21"/>
        </w:rPr>
      </w:pPr>
      <w:r>
        <w:rPr>
          <w:sz w:val="21"/>
        </w:rPr>
        <w:t>保证基金份额持有人的合法权益不受侵犯；</w:t>
      </w:r>
    </w:p>
    <w:p>
      <w:pPr>
        <w:pStyle w:val="ListParagraph"/>
        <w:numPr>
          <w:ilvl w:val="0"/>
          <w:numId w:val="4"/>
        </w:numPr>
        <w:tabs>
          <w:tab w:pos="1071" w:val="left" w:leader="none"/>
        </w:tabs>
        <w:spacing w:line="240" w:lineRule="auto" w:before="139" w:after="0"/>
        <w:ind w:left="1071" w:right="0" w:hanging="568"/>
        <w:jc w:val="left"/>
        <w:rPr>
          <w:sz w:val="21"/>
        </w:rPr>
      </w:pPr>
      <w:r>
        <w:rPr>
          <w:sz w:val="21"/>
        </w:rPr>
        <w:t>实现公司稳健、持续发展，维护股东权益；</w:t>
      </w:r>
    </w:p>
    <w:p>
      <w:pPr>
        <w:pStyle w:val="ListParagraph"/>
        <w:numPr>
          <w:ilvl w:val="0"/>
          <w:numId w:val="4"/>
        </w:numPr>
        <w:tabs>
          <w:tab w:pos="1071" w:val="left" w:leader="none"/>
        </w:tabs>
        <w:spacing w:line="240" w:lineRule="auto" w:before="140" w:after="0"/>
        <w:ind w:left="1071" w:right="0" w:hanging="568"/>
        <w:jc w:val="left"/>
        <w:rPr>
          <w:sz w:val="21"/>
        </w:rPr>
      </w:pPr>
      <w:r>
        <w:rPr>
          <w:sz w:val="21"/>
        </w:rPr>
        <w:t>促进公司全体员工恪守职业操守，正直诚信，廉洁自律，勤勉尽责；</w:t>
      </w:r>
    </w:p>
    <w:p>
      <w:pPr>
        <w:pStyle w:val="ListParagraph"/>
        <w:numPr>
          <w:ilvl w:val="0"/>
          <w:numId w:val="4"/>
        </w:numPr>
        <w:tabs>
          <w:tab w:pos="1071" w:val="left" w:leader="none"/>
        </w:tabs>
        <w:spacing w:line="240" w:lineRule="auto" w:before="139" w:after="0"/>
        <w:ind w:left="1071" w:right="0" w:hanging="568"/>
        <w:jc w:val="left"/>
        <w:rPr>
          <w:sz w:val="21"/>
        </w:rPr>
      </w:pPr>
      <w:r>
        <w:rPr>
          <w:sz w:val="21"/>
        </w:rPr>
        <w:t>保护公司最重要的资本：公司声誉。</w:t>
      </w:r>
    </w:p>
    <w:p>
      <w:pPr>
        <w:pStyle w:val="BodyText"/>
        <w:spacing w:before="140"/>
      </w:pPr>
      <w:r>
        <w:rPr/>
        <w:t>2、公司内部控制遵循的原则</w:t>
      </w:r>
    </w:p>
    <w:p>
      <w:pPr>
        <w:pStyle w:val="ListParagraph"/>
        <w:numPr>
          <w:ilvl w:val="1"/>
          <w:numId w:val="4"/>
        </w:numPr>
        <w:tabs>
          <w:tab w:pos="1167" w:val="left" w:leader="none"/>
        </w:tabs>
        <w:spacing w:line="364" w:lineRule="auto" w:before="139" w:after="0"/>
        <w:ind w:left="220" w:right="1418" w:firstLine="420"/>
        <w:jc w:val="left"/>
        <w:rPr>
          <w:sz w:val="21"/>
        </w:rPr>
      </w:pPr>
      <w:r>
        <w:rPr>
          <w:sz w:val="21"/>
        </w:rPr>
        <w:t>全面性原则：内部控制必须覆盖公司的所有部门和岗位，渗透各项业务过程和业务环节，并普遍适用于公司每一位职员；</w:t>
      </w:r>
    </w:p>
    <w:p>
      <w:pPr>
        <w:pStyle w:val="ListParagraph"/>
        <w:numPr>
          <w:ilvl w:val="1"/>
          <w:numId w:val="4"/>
        </w:numPr>
        <w:tabs>
          <w:tab w:pos="1167" w:val="left" w:leader="none"/>
        </w:tabs>
        <w:spacing w:line="364" w:lineRule="auto" w:before="0" w:after="0"/>
        <w:ind w:left="220" w:right="1418"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1"/>
          <w:numId w:val="4"/>
        </w:numPr>
        <w:tabs>
          <w:tab w:pos="1166" w:val="left" w:leader="none"/>
        </w:tabs>
        <w:spacing w:line="268" w:lineRule="exact" w:before="0" w:after="0"/>
        <w:ind w:left="1166" w:right="0" w:hanging="526"/>
        <w:jc w:val="left"/>
        <w:rPr>
          <w:sz w:val="21"/>
        </w:rPr>
      </w:pPr>
      <w:r>
        <w:rPr>
          <w:sz w:val="21"/>
        </w:rPr>
        <w:t>相互制约原则：公司设置的各部门、各岗位权责分明、相互制衡。</w:t>
      </w:r>
    </w:p>
    <w:p>
      <w:pPr>
        <w:pStyle w:val="ListParagraph"/>
        <w:numPr>
          <w:ilvl w:val="1"/>
          <w:numId w:val="4"/>
        </w:numPr>
        <w:tabs>
          <w:tab w:pos="1167" w:val="left" w:leader="none"/>
        </w:tabs>
        <w:spacing w:line="364" w:lineRule="auto" w:before="139" w:after="0"/>
        <w:ind w:left="220" w:right="1418" w:firstLine="420"/>
        <w:jc w:val="left"/>
        <w:rPr>
          <w:sz w:val="21"/>
        </w:rPr>
      </w:pPr>
      <w:r>
        <w:rPr>
          <w:sz w:val="21"/>
        </w:rPr>
        <w:t>独立性原则：公司根据业务的需要设立相对独立的机构、部门和岗位；公司内部部门和岗位的设置必须权责分明；</w:t>
      </w:r>
    </w:p>
    <w:p>
      <w:pPr>
        <w:pStyle w:val="ListParagraph"/>
        <w:numPr>
          <w:ilvl w:val="1"/>
          <w:numId w:val="4"/>
        </w:numPr>
        <w:tabs>
          <w:tab w:pos="1167" w:val="left" w:leader="none"/>
        </w:tabs>
        <w:spacing w:line="364" w:lineRule="auto" w:before="0" w:after="0"/>
        <w:ind w:left="220" w:right="1325"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1"/>
          <w:numId w:val="4"/>
        </w:numPr>
        <w:tabs>
          <w:tab w:pos="1167" w:val="left" w:leader="none"/>
        </w:tabs>
        <w:spacing w:line="364" w:lineRule="auto" w:before="0" w:after="0"/>
        <w:ind w:left="220" w:right="1418" w:firstLine="420"/>
        <w:jc w:val="both"/>
        <w:rPr>
          <w:sz w:val="21"/>
        </w:rPr>
      </w:pPr>
      <w:r>
        <w:rPr>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1"/>
          <w:numId w:val="4"/>
        </w:numPr>
        <w:tabs>
          <w:tab w:pos="1167" w:val="left" w:leader="none"/>
        </w:tabs>
        <w:spacing w:line="364" w:lineRule="auto" w:before="0" w:after="0"/>
        <w:ind w:left="220" w:right="1418" w:firstLine="420"/>
        <w:jc w:val="left"/>
        <w:rPr>
          <w:sz w:val="21"/>
        </w:rPr>
      </w:pPr>
      <w:r>
        <w:rPr>
          <w:sz w:val="21"/>
        </w:rPr>
        <w:t>成本效益原则：公司运用科学化的经营管理方法降低运作成本，提高经济效益， 力争以合理的控制成本达到最佳的内部控制效果。</w:t>
      </w:r>
    </w:p>
    <w:p>
      <w:pPr>
        <w:pStyle w:val="BodyText"/>
        <w:spacing w:line="268" w:lineRule="exact"/>
      </w:pPr>
      <w:r>
        <w:rPr/>
        <w:t>3、内部控制的制度体系</w:t>
      </w:r>
    </w:p>
    <w:p>
      <w:pPr>
        <w:pStyle w:val="BodyText"/>
        <w:spacing w:line="364" w:lineRule="auto" w:before="136"/>
        <w:ind w:left="220" w:right="120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pStyle w:val="BodyText"/>
        <w:spacing w:line="266" w:lineRule="exact"/>
      </w:pPr>
      <w:r>
        <w:rPr/>
        <w:t>4、关于授权、研究、投资、交易等方面的控制点</w:t>
      </w:r>
    </w:p>
    <w:p>
      <w:pPr>
        <w:pStyle w:val="ListParagraph"/>
        <w:numPr>
          <w:ilvl w:val="0"/>
          <w:numId w:val="5"/>
        </w:numPr>
        <w:tabs>
          <w:tab w:pos="1030" w:val="left" w:leader="none"/>
        </w:tabs>
        <w:spacing w:line="240" w:lineRule="auto" w:before="139" w:after="0"/>
        <w:ind w:left="1030" w:right="0" w:hanging="527"/>
        <w:jc w:val="left"/>
        <w:rPr>
          <w:sz w:val="21"/>
        </w:rPr>
      </w:pPr>
      <w:r>
        <w:rPr>
          <w:sz w:val="21"/>
        </w:rPr>
        <w:t>授权制度</w:t>
      </w:r>
    </w:p>
    <w:p>
      <w:pPr>
        <w:pStyle w:val="BodyText"/>
        <w:spacing w:line="364" w:lineRule="auto" w:before="140"/>
        <w:ind w:left="220" w:right="14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p>
    <w:p>
      <w:pPr>
        <w:spacing w:after="0" w:line="364" w:lineRule="auto"/>
        <w:jc w:val="both"/>
        <w:sectPr>
          <w:pgSz w:w="11910" w:h="16840"/>
          <w:pgMar w:header="0" w:footer="664" w:top="1380" w:bottom="940" w:left="1580" w:right="380"/>
        </w:sectPr>
      </w:pPr>
    </w:p>
    <w:p>
      <w:pPr>
        <w:pStyle w:val="BodyText"/>
        <w:spacing w:line="364" w:lineRule="auto" w:before="45"/>
        <w:ind w:left="220" w:right="1417"/>
        <w:jc w:val="both"/>
      </w:pP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5"/>
        </w:numPr>
        <w:tabs>
          <w:tab w:pos="1030" w:val="left" w:leader="none"/>
        </w:tabs>
        <w:spacing w:line="268" w:lineRule="exact" w:before="0" w:after="0"/>
        <w:ind w:left="1030" w:right="0" w:hanging="527"/>
        <w:jc w:val="left"/>
        <w:rPr>
          <w:sz w:val="21"/>
        </w:rPr>
      </w:pPr>
      <w:r>
        <w:rPr>
          <w:sz w:val="21"/>
        </w:rPr>
        <w:t>公司研究业务</w:t>
      </w:r>
    </w:p>
    <w:p>
      <w:pPr>
        <w:pStyle w:val="BodyText"/>
        <w:spacing w:line="364" w:lineRule="auto" w:before="139"/>
        <w:ind w:left="220" w:right="141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5"/>
        </w:numPr>
        <w:tabs>
          <w:tab w:pos="1030" w:val="left" w:leader="none"/>
        </w:tabs>
        <w:spacing w:line="267" w:lineRule="exact" w:before="0" w:after="0"/>
        <w:ind w:left="1030" w:right="0" w:hanging="527"/>
        <w:jc w:val="left"/>
        <w:rPr>
          <w:sz w:val="21"/>
        </w:rPr>
      </w:pPr>
      <w:r>
        <w:rPr>
          <w:sz w:val="21"/>
        </w:rPr>
        <w:t>基金投资业务</w:t>
      </w:r>
    </w:p>
    <w:p>
      <w:pPr>
        <w:pStyle w:val="BodyText"/>
        <w:spacing w:line="364" w:lineRule="auto" w:before="140"/>
        <w:ind w:left="220" w:right="14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5"/>
        </w:numPr>
        <w:tabs>
          <w:tab w:pos="1030" w:val="left" w:leader="none"/>
        </w:tabs>
        <w:spacing w:line="267" w:lineRule="exact" w:before="0" w:after="0"/>
        <w:ind w:left="1030" w:right="0" w:hanging="527"/>
        <w:jc w:val="left"/>
        <w:rPr>
          <w:sz w:val="21"/>
        </w:rPr>
      </w:pPr>
      <w:r>
        <w:rPr>
          <w:sz w:val="21"/>
        </w:rPr>
        <w:t>交易业务</w:t>
      </w:r>
    </w:p>
    <w:p>
      <w:pPr>
        <w:pStyle w:val="BodyText"/>
        <w:spacing w:line="364" w:lineRule="auto" w:before="139"/>
        <w:ind w:left="220" w:right="13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5"/>
        </w:numPr>
        <w:tabs>
          <w:tab w:pos="1030" w:val="left" w:leader="none"/>
        </w:tabs>
        <w:spacing w:line="267" w:lineRule="exact" w:before="0" w:after="0"/>
        <w:ind w:left="1030" w:right="0" w:hanging="527"/>
        <w:jc w:val="left"/>
        <w:rPr>
          <w:sz w:val="21"/>
        </w:rPr>
      </w:pPr>
      <w:r>
        <w:rPr>
          <w:sz w:val="21"/>
        </w:rPr>
        <w:t>基金会计核算</w:t>
      </w:r>
    </w:p>
    <w:p>
      <w:pPr>
        <w:pStyle w:val="BodyText"/>
        <w:spacing w:line="364" w:lineRule="auto" w:before="140"/>
        <w:ind w:left="220" w:right="122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方法和估值程序等会计措施真实、完整、及时地记载每一笔业务并正确进行会计核算和业务核算。同时还建立会计档案保管制度，确保档案真实完整。</w:t>
      </w:r>
    </w:p>
    <w:p>
      <w:pPr>
        <w:pStyle w:val="ListParagraph"/>
        <w:numPr>
          <w:ilvl w:val="0"/>
          <w:numId w:val="5"/>
        </w:numPr>
        <w:tabs>
          <w:tab w:pos="1166" w:val="left" w:leader="none"/>
        </w:tabs>
        <w:spacing w:line="267" w:lineRule="exact" w:before="0" w:after="0"/>
        <w:ind w:left="1166" w:right="0" w:hanging="526"/>
        <w:jc w:val="left"/>
        <w:rPr>
          <w:sz w:val="21"/>
        </w:rPr>
      </w:pPr>
      <w:r>
        <w:rPr>
          <w:sz w:val="21"/>
        </w:rPr>
        <w:t>信息披露</w:t>
      </w:r>
    </w:p>
    <w:p>
      <w:pPr>
        <w:pStyle w:val="BodyText"/>
        <w:spacing w:line="364" w:lineRule="auto" w:before="139"/>
        <w:ind w:left="220" w:right="14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BodyText"/>
        <w:spacing w:line="267" w:lineRule="exact"/>
        <w:ind w:left="503"/>
      </w:pPr>
      <w:r>
        <w:rPr/>
        <w:t>（6） 监察与合规管理</w:t>
      </w:r>
    </w:p>
    <w:p>
      <w:pPr>
        <w:pStyle w:val="BodyText"/>
        <w:spacing w:line="364" w:lineRule="auto" w:before="140"/>
        <w:ind w:left="220" w:right="141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spacing w:after="0" w:line="364" w:lineRule="auto"/>
        <w:jc w:val="both"/>
        <w:sectPr>
          <w:pgSz w:w="11910" w:h="16840"/>
          <w:pgMar w:header="0" w:footer="664" w:top="1380" w:bottom="940" w:left="1580" w:right="380"/>
        </w:sectPr>
      </w:pPr>
    </w:p>
    <w:p>
      <w:pPr>
        <w:pStyle w:val="BodyText"/>
        <w:spacing w:line="364" w:lineRule="auto" w:before="45"/>
        <w:ind w:left="220" w:right="141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220" w:right="122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220" w:right="1418"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pPr>
      <w:r>
        <w:rPr/>
        <w:t>5、基金管理人关于内部控制制度声明书</w:t>
      </w:r>
    </w:p>
    <w:p>
      <w:pPr>
        <w:pStyle w:val="ListParagraph"/>
        <w:numPr>
          <w:ilvl w:val="0"/>
          <w:numId w:val="6"/>
        </w:numPr>
        <w:tabs>
          <w:tab w:pos="1030" w:val="left" w:leader="none"/>
        </w:tabs>
        <w:spacing w:line="240" w:lineRule="auto" w:before="137" w:after="0"/>
        <w:ind w:left="1030" w:right="0" w:hanging="527"/>
        <w:jc w:val="left"/>
        <w:rPr>
          <w:sz w:val="21"/>
        </w:rPr>
      </w:pPr>
      <w:r>
        <w:rPr>
          <w:sz w:val="21"/>
        </w:rPr>
        <w:t>本公司承诺以上关于内部控制制度的披露真实、准确；</w:t>
      </w:r>
    </w:p>
    <w:p>
      <w:pPr>
        <w:pStyle w:val="ListParagraph"/>
        <w:numPr>
          <w:ilvl w:val="0"/>
          <w:numId w:val="6"/>
        </w:numPr>
        <w:tabs>
          <w:tab w:pos="1030" w:val="left" w:leader="none"/>
        </w:tabs>
        <w:spacing w:line="240" w:lineRule="auto" w:before="139" w:after="0"/>
        <w:ind w:left="1030" w:right="0" w:hanging="527"/>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664" w:top="1380" w:bottom="940" w:left="1580" w:right="380"/>
        </w:sectPr>
      </w:pPr>
    </w:p>
    <w:p>
      <w:pPr>
        <w:pStyle w:val="Heading1"/>
      </w:pPr>
      <w:bookmarkStart w:name="_bookmark8" w:id="9"/>
      <w:bookmarkEnd w:id="9"/>
      <w:r>
        <w:rPr/>
      </w:r>
      <w:r>
        <w:rPr/>
        <w:t>四、基金托管人</w:t>
      </w:r>
    </w:p>
    <w:p>
      <w:pPr>
        <w:pStyle w:val="BodyText"/>
        <w:spacing w:before="7"/>
        <w:ind w:left="0"/>
        <w:rPr>
          <w:sz w:val="18"/>
        </w:rPr>
      </w:pPr>
    </w:p>
    <w:p>
      <w:pPr>
        <w:pStyle w:val="BodyText"/>
        <w:spacing w:before="71"/>
      </w:pPr>
      <w:r>
        <w:rPr/>
        <w:t>（一）基金托管人情况</w:t>
      </w:r>
    </w:p>
    <w:p>
      <w:pPr>
        <w:pStyle w:val="BodyText"/>
        <w:spacing w:before="6"/>
        <w:ind w:left="0"/>
        <w:rPr>
          <w:sz w:val="15"/>
        </w:rPr>
      </w:pPr>
    </w:p>
    <w:p>
      <w:pPr>
        <w:pStyle w:val="BodyText"/>
      </w:pPr>
      <w:r>
        <w:rPr/>
        <w:t>1、基本情况</w:t>
      </w:r>
    </w:p>
    <w:p>
      <w:pPr>
        <w:pStyle w:val="BodyText"/>
        <w:spacing w:before="7"/>
        <w:ind w:left="0"/>
        <w:rPr>
          <w:sz w:val="15"/>
        </w:rPr>
      </w:pPr>
    </w:p>
    <w:p>
      <w:pPr>
        <w:pStyle w:val="BodyText"/>
        <w:spacing w:line="417" w:lineRule="auto"/>
        <w:ind w:right="4055"/>
      </w:pPr>
      <w:r>
        <w:rPr/>
        <w:t>名称：中国建设银行股份有限公司(简称：中国建设银行) 住所：北京市西城区金融大街 25 号</w:t>
      </w:r>
    </w:p>
    <w:p>
      <w:pPr>
        <w:pStyle w:val="BodyText"/>
        <w:spacing w:line="417" w:lineRule="auto"/>
        <w:ind w:right="468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417" w:lineRule="auto"/>
        <w:ind w:right="6521"/>
      </w:pPr>
      <w:r>
        <w:rPr/>
        <w:t>成立时间：2004</w:t>
      </w:r>
      <w:r>
        <w:rPr>
          <w:spacing w:val="-36"/>
        </w:rPr>
        <w:t> 年 </w:t>
      </w:r>
      <w:r>
        <w:rPr/>
        <w:t>09</w:t>
      </w:r>
      <w:r>
        <w:rPr>
          <w:spacing w:val="-36"/>
        </w:rPr>
        <w:t> 月 </w:t>
      </w:r>
      <w:r>
        <w:rPr/>
        <w:t>17</w:t>
      </w:r>
      <w:r>
        <w:rPr>
          <w:spacing w:val="-34"/>
        </w:rPr>
        <w:t> 日</w:t>
      </w:r>
      <w:r>
        <w:rPr/>
        <w:t>组织形式：股份有限公司</w:t>
      </w:r>
    </w:p>
    <w:p>
      <w:pPr>
        <w:pStyle w:val="BodyText"/>
        <w:spacing w:line="417" w:lineRule="auto"/>
        <w:ind w:right="3845"/>
      </w:pPr>
      <w:r>
        <w:rPr/>
        <w:t>注册资本：贰仟伍佰亿壹仟零玖拾柒万柒仟肆佰捌拾陆元整存续期间：持续经营</w:t>
      </w:r>
    </w:p>
    <w:p>
      <w:pPr>
        <w:pStyle w:val="BodyText"/>
        <w:tabs>
          <w:tab w:pos="1899" w:val="left" w:leader="none"/>
        </w:tabs>
        <w:spacing w:line="417" w:lineRule="auto"/>
        <w:ind w:right="3791"/>
      </w:pPr>
      <w:r>
        <w:rPr/>
        <w:t>基金托管资格批文及文号：中国证监会证监基字[1998]12</w:t>
      </w:r>
      <w:r>
        <w:rPr>
          <w:spacing w:val="-53"/>
        </w:rPr>
        <w:t> </w:t>
      </w:r>
      <w:r>
        <w:rPr>
          <w:spacing w:val="-17"/>
        </w:rPr>
        <w:t>号</w:t>
      </w:r>
      <w:r>
        <w:rPr/>
        <w:t>联系人：田</w:t>
        <w:tab/>
        <w:t>青</w:t>
      </w:r>
    </w:p>
    <w:p>
      <w:pPr>
        <w:pStyle w:val="BodyText"/>
        <w:spacing w:line="269" w:lineRule="exact"/>
      </w:pPr>
      <w:r>
        <w:rPr/>
        <w:t>联系电话：(010)6759 5096</w:t>
      </w:r>
    </w:p>
    <w:p>
      <w:pPr>
        <w:pStyle w:val="BodyText"/>
        <w:spacing w:before="5"/>
        <w:ind w:left="0"/>
        <w:rPr>
          <w:sz w:val="15"/>
        </w:rPr>
      </w:pPr>
    </w:p>
    <w:p>
      <w:pPr>
        <w:pStyle w:val="BodyText"/>
        <w:spacing w:line="417" w:lineRule="auto" w:before="1"/>
        <w:ind w:left="220" w:right="1313" w:firstLine="420"/>
      </w:pPr>
      <w:r>
        <w:rPr>
          <w:spacing w:val="-6"/>
        </w:rPr>
        <w:t>中国建设银行成立于 </w:t>
      </w:r>
      <w:r>
        <w:rPr/>
        <w:t>1954</w:t>
      </w:r>
      <w:r>
        <w:rPr>
          <w:spacing w:val="-36"/>
        </w:rPr>
        <w:t> 年 </w:t>
      </w:r>
      <w:r>
        <w:rPr/>
        <w:t>10</w:t>
      </w:r>
      <w:r>
        <w:rPr>
          <w:spacing w:val="-18"/>
        </w:rPr>
        <w:t> 月，是一家国内领先、国际知名的大型股份制商业银行， </w:t>
      </w:r>
      <w:r>
        <w:rPr>
          <w:spacing w:val="-5"/>
        </w:rPr>
        <w:t>总部设在北京。本行于 </w:t>
      </w:r>
      <w:r>
        <w:rPr/>
        <w:t>2005</w:t>
      </w:r>
      <w:r>
        <w:rPr>
          <w:spacing w:val="-32"/>
        </w:rPr>
        <w:t> 年 </w:t>
      </w:r>
      <w:r>
        <w:rPr/>
        <w:t>10</w:t>
      </w:r>
      <w:r>
        <w:rPr>
          <w:spacing w:val="-10"/>
        </w:rPr>
        <w:t> 月在香港联合交易所挂牌上市(股票代码 </w:t>
      </w:r>
      <w:r>
        <w:rPr/>
        <w:t>939</w:t>
      </w:r>
      <w:r>
        <w:rPr>
          <w:spacing w:val="-12"/>
        </w:rPr>
        <w:t>)，于 </w:t>
      </w:r>
      <w:r>
        <w:rPr/>
        <w:t>2007 </w:t>
      </w:r>
      <w:r>
        <w:rPr>
          <w:spacing w:val="-27"/>
        </w:rPr>
        <w:t>年 </w:t>
      </w:r>
      <w:r>
        <w:rPr/>
        <w:t>9</w:t>
      </w:r>
      <w:r>
        <w:rPr>
          <w:spacing w:val="-11"/>
        </w:rPr>
        <w:t> 月在上海证券交易所挂牌上市(股票代码 </w:t>
      </w:r>
      <w:r>
        <w:rPr/>
        <w:t>601939)。</w:t>
      </w:r>
    </w:p>
    <w:p>
      <w:pPr>
        <w:pStyle w:val="BodyText"/>
        <w:spacing w:line="417" w:lineRule="auto"/>
        <w:ind w:left="220" w:right="1376" w:firstLine="420"/>
        <w:jc w:val="both"/>
      </w:pPr>
      <w:r>
        <w:rPr/>
        <w:t>2018</w:t>
      </w:r>
      <w:r>
        <w:rPr>
          <w:spacing w:val="-11"/>
        </w:rPr>
        <w:t> 年末，集团资产规模 </w:t>
      </w:r>
      <w:r>
        <w:rPr/>
        <w:t>23.22</w:t>
      </w:r>
      <w:r>
        <w:rPr>
          <w:spacing w:val="-11"/>
        </w:rPr>
        <w:t> 万亿元，较上年增长 </w:t>
      </w:r>
      <w:r>
        <w:rPr/>
        <w:t>4.96%。2018</w:t>
      </w:r>
      <w:r>
        <w:rPr>
          <w:spacing w:val="-7"/>
        </w:rPr>
        <w:t> 年度，集团实现净</w:t>
      </w:r>
      <w:r>
        <w:rPr>
          <w:spacing w:val="-23"/>
        </w:rPr>
        <w:t>利润 </w:t>
      </w:r>
      <w:r>
        <w:rPr/>
        <w:t>2,556.26</w:t>
      </w:r>
      <w:r>
        <w:rPr>
          <w:spacing w:val="-13"/>
        </w:rPr>
        <w:t> 亿元，较上年增长 </w:t>
      </w:r>
      <w:r>
        <w:rPr/>
        <w:t>4.93%；平均资产回报率和加权平均净资产收益率分别为1.13%</w:t>
      </w:r>
      <w:r>
        <w:rPr>
          <w:spacing w:val="-27"/>
        </w:rPr>
        <w:t>和 </w:t>
      </w:r>
      <w:r>
        <w:rPr/>
        <w:t>14.04%；</w:t>
      </w:r>
      <w:r>
        <w:rPr>
          <w:spacing w:val="-9"/>
        </w:rPr>
        <w:t>不良贷款率 </w:t>
      </w:r>
      <w:r>
        <w:rPr/>
        <w:t>1.46%，</w:t>
      </w:r>
      <w:r>
        <w:rPr>
          <w:spacing w:val="-5"/>
        </w:rPr>
        <w:t>保持稳中有降；资本充足率 </w:t>
      </w:r>
      <w:r>
        <w:rPr/>
        <w:t>17.19%，</w:t>
      </w:r>
      <w:r>
        <w:rPr>
          <w:spacing w:val="-3"/>
        </w:rPr>
        <w:t>保持领先同业。</w:t>
      </w:r>
    </w:p>
    <w:p>
      <w:pPr>
        <w:pStyle w:val="BodyText"/>
        <w:spacing w:line="269" w:lineRule="exact"/>
        <w:jc w:val="both"/>
      </w:pPr>
      <w:r>
        <w:rPr/>
        <w:t>2018</w:t>
      </w:r>
      <w:r>
        <w:rPr>
          <w:spacing w:val="-10"/>
        </w:rPr>
        <w:t> 年，本集团先后荣获新加坡《亚洲银行家》“</w:t>
      </w:r>
      <w:r>
        <w:rPr/>
        <w:t>2018</w:t>
      </w:r>
      <w:r>
        <w:rPr>
          <w:spacing w:val="-12"/>
        </w:rPr>
        <w:t> 年中国最佳大型零售银行奖”、</w:t>
      </w:r>
    </w:p>
    <w:p>
      <w:pPr>
        <w:pStyle w:val="BodyText"/>
        <w:spacing w:before="6"/>
        <w:ind w:left="0"/>
        <w:rPr>
          <w:sz w:val="15"/>
        </w:rPr>
      </w:pPr>
    </w:p>
    <w:p>
      <w:pPr>
        <w:pStyle w:val="BodyText"/>
        <w:ind w:left="220"/>
        <w:jc w:val="both"/>
      </w:pPr>
      <w:r>
        <w:rPr>
          <w:spacing w:val="1"/>
        </w:rPr>
        <w:t>“</w:t>
      </w:r>
      <w:r>
        <w:rPr/>
        <w:t>2018</w:t>
      </w:r>
      <w:r>
        <w:rPr>
          <w:spacing w:val="-20"/>
        </w:rPr>
        <w:t> 年中国全面风险管理成就奖”；美国《环球金融》“全球贸易金融最具创新力银行”、</w:t>
      </w:r>
    </w:p>
    <w:p>
      <w:pPr>
        <w:pStyle w:val="BodyText"/>
        <w:spacing w:before="6"/>
        <w:ind w:left="0"/>
        <w:rPr>
          <w:sz w:val="15"/>
        </w:rPr>
      </w:pPr>
    </w:p>
    <w:p>
      <w:pPr>
        <w:pStyle w:val="BodyText"/>
        <w:spacing w:line="417" w:lineRule="auto" w:before="1"/>
        <w:ind w:left="220" w:right="1417"/>
        <w:jc w:val="both"/>
      </w:pPr>
      <w:r>
        <w:rPr>
          <w:spacing w:val="-21"/>
        </w:rPr>
        <w:t>《银行家》</w:t>
      </w:r>
      <w:r>
        <w:rPr/>
        <w:t>“2018</w:t>
      </w:r>
      <w:r>
        <w:rPr>
          <w:spacing w:val="-27"/>
        </w:rPr>
        <w:t> 最佳金融创新奖”、《金融时报》</w:t>
      </w:r>
      <w:r>
        <w:rPr/>
        <w:t>“2018</w:t>
      </w:r>
      <w:r>
        <w:rPr>
          <w:spacing w:val="-8"/>
        </w:rPr>
        <w:t> 年金龙奖—年度最佳普惠金融服务</w:t>
      </w:r>
      <w:r>
        <w:rPr>
          <w:spacing w:val="-11"/>
        </w:rPr>
        <w:t>银行”等多项重要奖项。本集团同时获得英国《银行家》、香港《亚洲货币》杂志</w:t>
      </w:r>
      <w:r>
        <w:rPr/>
        <w:t>“2018</w:t>
      </w:r>
      <w:r>
        <w:rPr>
          <w:spacing w:val="-34"/>
        </w:rPr>
        <w:t> 年</w:t>
      </w:r>
      <w:r>
        <w:rPr>
          <w:spacing w:val="-3"/>
        </w:rPr>
        <w:t>中国最佳银行”称号，并在中国银行业协会 </w:t>
      </w:r>
      <w:r>
        <w:rPr/>
        <w:t>2018</w:t>
      </w:r>
      <w:r>
        <w:rPr>
          <w:spacing w:val="-8"/>
        </w:rPr>
        <w:t> 年“陀螺”评价中排名全国性商业银行第一。</w:t>
      </w:r>
    </w:p>
    <w:p>
      <w:pPr>
        <w:pStyle w:val="BodyText"/>
        <w:spacing w:line="417" w:lineRule="auto"/>
        <w:ind w:left="220" w:right="1313" w:firstLine="420"/>
      </w:pPr>
      <w:r>
        <w:rPr>
          <w:spacing w:val="-5"/>
        </w:rPr>
        <w:t>中国建设银行总行设资产托管业务部，下设综合与合规管理处、基金市场处、证券保险</w:t>
      </w:r>
      <w:r>
        <w:rPr>
          <w:spacing w:val="-15"/>
        </w:rPr>
        <w:t>资产市场处、理财信托股权市场处、养老金托管处、全球托管处、新兴业务处、运营管理处、</w:t>
      </w:r>
      <w:r>
        <w:rPr>
          <w:spacing w:val="-3"/>
        </w:rPr>
        <w:t>托管应用系统支持处、跨境托管运营处、合规监督处等 </w:t>
      </w:r>
      <w:r>
        <w:rPr/>
        <w:t>11</w:t>
      </w:r>
      <w:r>
        <w:rPr>
          <w:spacing w:val="-8"/>
        </w:rPr>
        <w:t> 个职能处室，在安徽合肥设有托</w:t>
      </w:r>
    </w:p>
    <w:p>
      <w:pPr>
        <w:spacing w:after="0" w:line="417" w:lineRule="auto"/>
        <w:sectPr>
          <w:pgSz w:w="11910" w:h="16840"/>
          <w:pgMar w:header="0" w:footer="664" w:top="1400" w:bottom="940" w:left="1580" w:right="380"/>
        </w:sectPr>
      </w:pPr>
    </w:p>
    <w:p>
      <w:pPr>
        <w:pStyle w:val="BodyText"/>
        <w:spacing w:line="417" w:lineRule="auto" w:before="43"/>
        <w:ind w:left="220" w:right="1418"/>
        <w:jc w:val="both"/>
      </w:pPr>
      <w:r>
        <w:rPr>
          <w:spacing w:val="-2"/>
        </w:rPr>
        <w:t>管运营中心，在上海设有托管运营中心上海分中心，共有员工 </w:t>
      </w:r>
      <w:r>
        <w:rPr/>
        <w:t>300</w:t>
      </w:r>
      <w:r>
        <w:rPr>
          <w:spacing w:val="-19"/>
        </w:rPr>
        <w:t> 余人。自 </w:t>
      </w:r>
      <w:r>
        <w:rPr/>
        <w:t>2007</w:t>
      </w:r>
      <w:r>
        <w:rPr>
          <w:spacing w:val="-12"/>
        </w:rPr>
        <w:t> 年起，托</w:t>
      </w:r>
      <w:r>
        <w:rPr>
          <w:spacing w:val="-16"/>
        </w:rPr>
        <w:t>管部连续聘请外部会计师事务所对托管业务进行内部控制审计，并已经成为常规化的内控工</w:t>
      </w:r>
      <w:r>
        <w:rPr/>
        <w:t>作手段。</w:t>
      </w:r>
    </w:p>
    <w:p>
      <w:pPr>
        <w:pStyle w:val="BodyText"/>
        <w:spacing w:line="269" w:lineRule="exact"/>
      </w:pPr>
      <w:r>
        <w:rPr/>
        <w:t>2、主要人员情况</w:t>
      </w:r>
    </w:p>
    <w:p>
      <w:pPr>
        <w:pStyle w:val="BodyText"/>
        <w:spacing w:before="6"/>
        <w:ind w:left="0"/>
        <w:rPr>
          <w:sz w:val="15"/>
        </w:rPr>
      </w:pPr>
    </w:p>
    <w:p>
      <w:pPr>
        <w:pStyle w:val="BodyText"/>
        <w:spacing w:line="417" w:lineRule="auto" w:before="1"/>
        <w:ind w:left="220" w:right="1312" w:firstLine="420"/>
      </w:pPr>
      <w:r>
        <w:rPr>
          <w:spacing w:val="-15"/>
        </w:rPr>
        <w:t>蔡亚蓉，资产托管业务部总经理，曾先后在中国建设银行总行资金计划部、信贷经营部、</w:t>
      </w:r>
      <w:r>
        <w:rPr>
          <w:spacing w:val="-5"/>
        </w:rPr>
        <w:t>公司业务部以及中国建设银行重组改制办公室任职，并在总行公司业务部担任领导职务。长期从事公司业务，具有丰富的客户服务和业务管理经验。</w:t>
      </w:r>
    </w:p>
    <w:p>
      <w:pPr>
        <w:pStyle w:val="BodyText"/>
        <w:spacing w:line="417" w:lineRule="auto"/>
        <w:ind w:left="220" w:right="1417" w:firstLine="420"/>
        <w:jc w:val="both"/>
      </w:pPr>
      <w:r>
        <w:rPr/>
        <w:t>龚毅，资产托管业务部资深经理（专业技术一级</w:t>
      </w:r>
      <w:r>
        <w:rPr>
          <w:spacing w:val="-105"/>
        </w:rPr>
        <w:t>）</w:t>
      </w:r>
      <w:r>
        <w:rPr/>
        <w:t>，曾就职于中国建设银行北京市分行</w:t>
      </w:r>
      <w:r>
        <w:rPr>
          <w:spacing w:val="-10"/>
        </w:rPr>
        <w:t>国际部、营业部并担任副行长，长期从事信贷业务和集团客户业务等工作，具有丰富的客户</w:t>
      </w:r>
      <w:r>
        <w:rPr/>
        <w:t>服务和业务管理经验。</w:t>
      </w:r>
    </w:p>
    <w:p>
      <w:pPr>
        <w:pStyle w:val="BodyText"/>
        <w:spacing w:line="417" w:lineRule="auto"/>
        <w:ind w:left="220" w:right="1418" w:firstLine="420"/>
      </w:pPr>
      <w:r>
        <w:rPr/>
        <w:t>黄秀莲，资产托管业务部资深经理（专业技术一级</w:t>
      </w:r>
      <w:r>
        <w:rPr>
          <w:spacing w:val="-105"/>
        </w:rPr>
        <w:t>）</w:t>
      </w:r>
      <w:r>
        <w:rPr/>
        <w:t>，曾就职于中国建设银行总行会计部，长期从事托管业务管理等工作，具有丰富的客户服务和业务管理经验。</w:t>
      </w:r>
    </w:p>
    <w:p>
      <w:pPr>
        <w:pStyle w:val="BodyText"/>
        <w:spacing w:line="417" w:lineRule="auto"/>
        <w:ind w:left="220" w:right="1208" w:firstLine="420"/>
      </w:pPr>
      <w:r>
        <w:rPr/>
        <w:t>郑绍平，资产托管业务部副总经理，曾就职于中国建设银行总行投资部、委托代理部、</w:t>
      </w:r>
      <w:r>
        <w:rPr>
          <w:spacing w:val="-9"/>
        </w:rPr>
        <w:t>战略客户部，长期从事客户服务、信贷业务管理等工作，具有丰富的客户服务和业务管理经 验。</w:t>
      </w:r>
    </w:p>
    <w:p>
      <w:pPr>
        <w:pStyle w:val="BodyText"/>
        <w:spacing w:line="417" w:lineRule="auto"/>
        <w:ind w:left="220" w:right="1417" w:firstLine="420"/>
        <w:jc w:val="both"/>
      </w:pPr>
      <w:r>
        <w:rPr>
          <w:spacing w:val="-10"/>
        </w:rPr>
        <w:t>原玎，资产托管业务部副总经理，曾就职于中国建设银行总行国际业务部，长期从事海</w:t>
      </w:r>
      <w:r>
        <w:rPr>
          <w:spacing w:val="-7"/>
        </w:rPr>
        <w:t>外机构及海外业务管理、境内外汇业务管理、国外金融机构客户营销拓展等工作，具有丰富</w:t>
      </w:r>
      <w:r>
        <w:rPr/>
        <w:t>的客户服务和业务管理经验。</w:t>
      </w:r>
    </w:p>
    <w:p>
      <w:pPr>
        <w:pStyle w:val="BodyText"/>
        <w:spacing w:line="269" w:lineRule="exact"/>
      </w:pPr>
      <w:r>
        <w:rPr/>
        <w:t>3、基金托管业务经营情况</w:t>
      </w:r>
    </w:p>
    <w:p>
      <w:pPr>
        <w:pStyle w:val="BodyText"/>
        <w:spacing w:before="4"/>
        <w:ind w:left="0"/>
        <w:rPr>
          <w:sz w:val="15"/>
        </w:rPr>
      </w:pPr>
    </w:p>
    <w:p>
      <w:pPr>
        <w:pStyle w:val="BodyText"/>
        <w:spacing w:line="417" w:lineRule="auto"/>
        <w:ind w:left="220" w:right="1208" w:firstLine="420"/>
      </w:pPr>
      <w:r>
        <w:rPr>
          <w:spacing w:val="-4"/>
        </w:rPr>
        <w:t>作为国内首批开办证券投资基金托管业务的商业银行，中国建设银行一直秉持“以客户 </w:t>
      </w:r>
      <w:r>
        <w:rPr>
          <w:spacing w:val="-10"/>
        </w:rPr>
        <w:t>为中心”的经营理念，不断加强风险管理和内部控制，严格履行托管人的各项职责，切实维 </w:t>
      </w:r>
      <w:r>
        <w:rPr>
          <w:spacing w:val="-14"/>
        </w:rPr>
        <w:t>护资产持有人的合法权益，为资产委托人提供高质量的托管服务。经过多年稳步发展，中国 </w:t>
      </w:r>
      <w:r>
        <w:rPr>
          <w:spacing w:val="-17"/>
        </w:rPr>
        <w:t>建设银行托管资产规模不断扩大，托管业务品种不断增加，已形成包括证券投资基金、社保 </w:t>
      </w:r>
      <w:r>
        <w:rPr>
          <w:spacing w:val="-10"/>
        </w:rPr>
        <w:t>基金、保险资金、基本养老个人账户、</w:t>
      </w:r>
      <w:r>
        <w:rPr/>
        <w:t>(R)QFII</w:t>
      </w:r>
      <w:r>
        <w:rPr>
          <w:spacing w:val="-16"/>
        </w:rPr>
        <w:t>、</w:t>
      </w:r>
      <w:r>
        <w:rPr/>
        <w:t>(R)QDII</w:t>
      </w:r>
      <w:r>
        <w:rPr>
          <w:spacing w:val="-6"/>
        </w:rPr>
        <w:t>、企业年金、存托业务等产品在内 </w:t>
      </w:r>
      <w:r>
        <w:rPr>
          <w:spacing w:val="-8"/>
        </w:rPr>
        <w:t>的托管业务体系，是目前国内托管业务品种最齐全的商业银行之一。截至 </w:t>
      </w:r>
      <w:r>
        <w:rPr/>
        <w:t>2019</w:t>
      </w:r>
      <w:r>
        <w:rPr>
          <w:spacing w:val="-9"/>
        </w:rPr>
        <w:t> 年二季度末， </w:t>
      </w:r>
      <w:r>
        <w:rPr>
          <w:spacing w:val="-13"/>
        </w:rPr>
        <w:t>中国建设银行已托管 </w:t>
      </w:r>
      <w:r>
        <w:rPr/>
        <w:t>924</w:t>
      </w:r>
      <w:r>
        <w:rPr>
          <w:spacing w:val="-13"/>
        </w:rPr>
        <w:t> 只证券投资基金。中国建设银行专业高效的托管服务能力和业务水平</w:t>
      </w:r>
      <w:r>
        <w:rPr>
          <w:spacing w:val="-15"/>
        </w:rPr>
        <w:t>，赢得了业内的高度认同。中国建设银行先后 </w:t>
      </w:r>
      <w:r>
        <w:rPr/>
        <w:t>9</w:t>
      </w:r>
      <w:r>
        <w:rPr>
          <w:spacing w:val="-18"/>
        </w:rPr>
        <w:t> 次获得《全球托管人》“中国最佳托管银行”</w:t>
      </w:r>
      <w:r>
        <w:rPr/>
        <w:t>、4</w:t>
      </w:r>
      <w:r>
        <w:rPr>
          <w:spacing w:val="-20"/>
        </w:rPr>
        <w:t> 次获得《财资》“中国最佳次托管银行”、连续 </w:t>
      </w:r>
      <w:r>
        <w:rPr/>
        <w:t>5</w:t>
      </w:r>
      <w:r>
        <w:rPr>
          <w:spacing w:val="-7"/>
        </w:rPr>
        <w:t> 年获得中债登“优秀资产托管机构” 等</w:t>
      </w:r>
      <w:r>
        <w:rPr>
          <w:spacing w:val="-15"/>
        </w:rPr>
        <w:t>奖项，并在 </w:t>
      </w:r>
      <w:r>
        <w:rPr/>
        <w:t>2016</w:t>
      </w:r>
      <w:r>
        <w:rPr>
          <w:spacing w:val="-13"/>
        </w:rPr>
        <w:t> 年被《环球金融》评为中国市场唯一一家“最佳托管银行”、在 </w:t>
      </w:r>
      <w:r>
        <w:rPr/>
        <w:t>2017</w:t>
      </w:r>
      <w:r>
        <w:rPr>
          <w:spacing w:val="-12"/>
        </w:rPr>
        <w:t> 年荣获</w:t>
      </w:r>
      <w:r>
        <w:rPr>
          <w:spacing w:val="-19"/>
        </w:rPr>
        <w:t>《亚洲银行家》“最佳托管系统实施奖”。</w:t>
      </w:r>
    </w:p>
    <w:p>
      <w:pPr>
        <w:spacing w:after="0" w:line="417" w:lineRule="auto"/>
        <w:sectPr>
          <w:pgSz w:w="11910" w:h="16840"/>
          <w:pgMar w:header="0" w:footer="664" w:top="1480" w:bottom="940" w:left="1580" w:right="380"/>
        </w:sectPr>
      </w:pPr>
    </w:p>
    <w:p>
      <w:pPr>
        <w:pStyle w:val="BodyText"/>
        <w:spacing w:before="43"/>
      </w:pPr>
      <w:r>
        <w:rPr/>
        <w:t>（二）基金托管人的内部控制制度</w:t>
      </w:r>
    </w:p>
    <w:p>
      <w:pPr>
        <w:pStyle w:val="BodyText"/>
        <w:spacing w:before="6"/>
        <w:ind w:left="0"/>
        <w:rPr>
          <w:sz w:val="15"/>
        </w:rPr>
      </w:pPr>
    </w:p>
    <w:p>
      <w:pPr>
        <w:pStyle w:val="BodyText"/>
        <w:spacing w:before="1"/>
      </w:pPr>
      <w:r>
        <w:rPr/>
        <w:t>1、内部控制目标</w:t>
      </w:r>
    </w:p>
    <w:p>
      <w:pPr>
        <w:pStyle w:val="BodyText"/>
        <w:spacing w:before="6"/>
        <w:ind w:left="0"/>
        <w:rPr>
          <w:sz w:val="15"/>
        </w:rPr>
      </w:pPr>
    </w:p>
    <w:p>
      <w:pPr>
        <w:pStyle w:val="BodyText"/>
        <w:spacing w:line="417" w:lineRule="auto"/>
        <w:ind w:left="220" w:right="1418" w:firstLine="420"/>
        <w:jc w:val="both"/>
      </w:pPr>
      <w:r>
        <w:rPr>
          <w:spacing w:val="-9"/>
        </w:rPr>
        <w:t>作为基金托管人，中国建设银行严格遵守国家有关托管业务的法律法规、行业监管规章</w:t>
      </w:r>
      <w:r>
        <w:rPr>
          <w:spacing w:val="-8"/>
        </w:rPr>
        <w:t>和本行内有关管理规定，守法经营、规范运作、严格监察，确保业务的稳健运行，保证基金财产的安全完整，确保有关信息的真实、准确、完整、及时，保护基金份额持有人的合法权</w:t>
      </w:r>
      <w:r>
        <w:rPr/>
        <w:t>益。</w:t>
      </w:r>
    </w:p>
    <w:p>
      <w:pPr>
        <w:pStyle w:val="BodyText"/>
        <w:spacing w:line="268" w:lineRule="exact"/>
      </w:pPr>
      <w:r>
        <w:rPr/>
        <w:t>2、内部控制组织结构</w:t>
      </w:r>
    </w:p>
    <w:p>
      <w:pPr>
        <w:pStyle w:val="BodyText"/>
        <w:spacing w:before="7"/>
        <w:ind w:left="0"/>
        <w:rPr>
          <w:sz w:val="15"/>
        </w:rPr>
      </w:pPr>
    </w:p>
    <w:p>
      <w:pPr>
        <w:pStyle w:val="BodyText"/>
        <w:spacing w:line="417" w:lineRule="auto"/>
        <w:ind w:left="220" w:right="1418" w:firstLine="420"/>
        <w:jc w:val="both"/>
      </w:pPr>
      <w:r>
        <w:rPr>
          <w:spacing w:val="-6"/>
        </w:rPr>
        <w:t>中国建设银行设有风险与内控管理委员会，负责全行风险管理与内部控制工作，对托管</w:t>
      </w:r>
      <w:r>
        <w:rPr>
          <w:spacing w:val="-8"/>
        </w:rPr>
        <w:t>业务风险控制工作进行检查指导。资产托管业务部配备了专职内控合规人员负责托管业务的</w:t>
      </w:r>
      <w:r>
        <w:rPr/>
        <w:t>内控合规工作，具有独立行使内控合规工作职权和能力。</w:t>
      </w:r>
    </w:p>
    <w:p>
      <w:pPr>
        <w:pStyle w:val="BodyText"/>
        <w:spacing w:line="269" w:lineRule="exact"/>
      </w:pPr>
      <w:r>
        <w:rPr/>
        <w:t>3、内部控制制度及措施</w:t>
      </w:r>
    </w:p>
    <w:p>
      <w:pPr>
        <w:pStyle w:val="BodyText"/>
        <w:spacing w:before="7"/>
        <w:ind w:left="0"/>
        <w:rPr>
          <w:sz w:val="15"/>
        </w:rPr>
      </w:pPr>
    </w:p>
    <w:p>
      <w:pPr>
        <w:pStyle w:val="BodyText"/>
        <w:spacing w:line="417" w:lineRule="auto"/>
        <w:ind w:left="220" w:right="1418" w:firstLine="420"/>
        <w:jc w:val="both"/>
      </w:pPr>
      <w:r>
        <w:rPr>
          <w:spacing w:val="-6"/>
        </w:rPr>
        <w:t>资产托管业务部具备系统、完善的制度控制体系，建立了管理制度、控制制度、岗位职</w:t>
      </w:r>
      <w:r>
        <w:rPr>
          <w:spacing w:val="-5"/>
        </w:rPr>
        <w:t>责、业务操作流程，可以保证托管业务的规范操作和顺利进行；业务人员具备从业资格；业</w:t>
      </w:r>
      <w:r>
        <w:rPr>
          <w:spacing w:val="-8"/>
        </w:rPr>
        <w:t>务管理严格实行复核、审核、检查制度，授权工作实行集中控制，业务印章按规程保管、存</w:t>
      </w:r>
      <w:r>
        <w:rPr>
          <w:spacing w:val="-6"/>
        </w:rPr>
        <w:t>放、使用，账户资料严格保管，制约机制严格有效；业务操作区专门设置，封闭管理，实施</w:t>
      </w:r>
      <w:r>
        <w:rPr>
          <w:spacing w:val="-10"/>
        </w:rPr>
        <w:t>音像监控；业务信息由专职信息披露人负责，防止泄密；业务实现自动化操作，防止人为事</w:t>
      </w:r>
      <w:r>
        <w:rPr/>
        <w:t>故的发生，技术系统完整、独立。</w:t>
      </w:r>
    </w:p>
    <w:p>
      <w:pPr>
        <w:pStyle w:val="BodyText"/>
        <w:spacing w:line="268" w:lineRule="exact"/>
      </w:pPr>
      <w:r>
        <w:rPr/>
        <w:t>（三）基金托管人对基金管理人运作基金进行监督的方法和程序</w:t>
      </w:r>
    </w:p>
    <w:p>
      <w:pPr>
        <w:pStyle w:val="BodyText"/>
        <w:spacing w:before="6"/>
        <w:ind w:left="0"/>
        <w:rPr>
          <w:sz w:val="15"/>
        </w:rPr>
      </w:pPr>
    </w:p>
    <w:p>
      <w:pPr>
        <w:pStyle w:val="BodyText"/>
        <w:spacing w:before="1"/>
      </w:pPr>
      <w:r>
        <w:rPr/>
        <w:t>1、监督方法</w:t>
      </w:r>
    </w:p>
    <w:p>
      <w:pPr>
        <w:pStyle w:val="BodyText"/>
        <w:spacing w:before="6"/>
        <w:ind w:left="0"/>
        <w:rPr>
          <w:sz w:val="15"/>
        </w:rPr>
      </w:pPr>
    </w:p>
    <w:p>
      <w:pPr>
        <w:pStyle w:val="BodyText"/>
        <w:spacing w:line="417" w:lineRule="auto"/>
        <w:ind w:left="220" w:right="1417" w:firstLine="420"/>
        <w:jc w:val="both"/>
      </w:pPr>
      <w:r>
        <w:rPr>
          <w:spacing w:val="-10"/>
        </w:rPr>
        <w:t>依照《基金法》及其配套法规和基金合同的约定，监督所托管基金的投资运作。利用自</w:t>
      </w:r>
      <w:r>
        <w:rPr>
          <w:spacing w:val="-6"/>
        </w:rPr>
        <w:t>行开发的“新一代托管应用监督子系统”，严格按照现行法律法规以及基金合同规定，对基</w:t>
      </w:r>
      <w:r>
        <w:rPr>
          <w:spacing w:val="-12"/>
        </w:rPr>
        <w:t>金管理人运作基金的投资比例、投资范围、投资组合等情况进行监督。在日常为基金投资运</w:t>
      </w:r>
      <w:r>
        <w:rPr>
          <w:spacing w:val="-6"/>
        </w:rPr>
        <w:t>作所提供的基金清算和核算服务环节中，对基金管理人发送的投资指令、基金管理人对各基</w:t>
      </w:r>
      <w:r>
        <w:rPr/>
        <w:t>金费用的提取与开支情况进行检查监督。</w:t>
      </w:r>
    </w:p>
    <w:p>
      <w:pPr>
        <w:pStyle w:val="BodyText"/>
        <w:spacing w:line="268" w:lineRule="exact"/>
      </w:pPr>
      <w:r>
        <w:rPr/>
        <w:t>2、监督流程</w:t>
      </w:r>
    </w:p>
    <w:p>
      <w:pPr>
        <w:pStyle w:val="BodyText"/>
        <w:spacing w:before="7"/>
        <w:ind w:left="0"/>
        <w:rPr>
          <w:sz w:val="15"/>
        </w:rPr>
      </w:pPr>
    </w:p>
    <w:p>
      <w:pPr>
        <w:pStyle w:val="ListParagraph"/>
        <w:numPr>
          <w:ilvl w:val="1"/>
          <w:numId w:val="6"/>
        </w:numPr>
        <w:tabs>
          <w:tab w:pos="1167" w:val="left" w:leader="none"/>
        </w:tabs>
        <w:spacing w:line="417" w:lineRule="auto" w:before="0" w:after="0"/>
        <w:ind w:left="220" w:right="1417" w:firstLine="420"/>
        <w:jc w:val="both"/>
        <w:rPr>
          <w:sz w:val="21"/>
        </w:rPr>
      </w:pPr>
      <w:r>
        <w:rPr>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z w:val="21"/>
        </w:rPr>
        <w:t>实，督促其纠正，如有重大异常事项及时报告中国证监会。</w:t>
      </w:r>
    </w:p>
    <w:p>
      <w:pPr>
        <w:pStyle w:val="ListParagraph"/>
        <w:numPr>
          <w:ilvl w:val="1"/>
          <w:numId w:val="6"/>
        </w:numPr>
        <w:tabs>
          <w:tab w:pos="1166" w:val="left" w:leader="none"/>
        </w:tabs>
        <w:spacing w:line="269" w:lineRule="exact" w:before="0" w:after="0"/>
        <w:ind w:left="1166" w:right="0" w:hanging="526"/>
        <w:jc w:val="left"/>
        <w:rPr>
          <w:sz w:val="21"/>
        </w:rPr>
      </w:pPr>
      <w:r>
        <w:rPr>
          <w:sz w:val="21"/>
        </w:rPr>
        <w:t>收到基金管理人的划款指令后，对指令要素等内容进行核查。</w:t>
      </w:r>
    </w:p>
    <w:p>
      <w:pPr>
        <w:pStyle w:val="BodyText"/>
        <w:spacing w:before="7"/>
        <w:ind w:left="0"/>
        <w:rPr>
          <w:sz w:val="15"/>
        </w:rPr>
      </w:pPr>
    </w:p>
    <w:p>
      <w:pPr>
        <w:pStyle w:val="ListParagraph"/>
        <w:numPr>
          <w:ilvl w:val="1"/>
          <w:numId w:val="6"/>
        </w:numPr>
        <w:tabs>
          <w:tab w:pos="1167" w:val="left" w:leader="none"/>
        </w:tabs>
        <w:spacing w:line="240" w:lineRule="auto" w:before="0" w:after="0"/>
        <w:ind w:left="1166" w:right="0" w:hanging="527"/>
        <w:jc w:val="left"/>
        <w:rPr>
          <w:sz w:val="21"/>
        </w:rPr>
      </w:pPr>
      <w:r>
        <w:rPr>
          <w:sz w:val="21"/>
        </w:rPr>
        <w:t>通过技术或非技术手段发现基金涉嫌违规交易，电话或书面要求基金管理人进行</w:t>
      </w:r>
    </w:p>
    <w:p>
      <w:pPr>
        <w:spacing w:after="0" w:line="240" w:lineRule="auto"/>
        <w:jc w:val="left"/>
        <w:rPr>
          <w:sz w:val="21"/>
        </w:rPr>
        <w:sectPr>
          <w:pgSz w:w="11910" w:h="16840"/>
          <w:pgMar w:header="0" w:footer="664" w:top="1480" w:bottom="940" w:left="1580" w:right="380"/>
        </w:sectPr>
      </w:pPr>
    </w:p>
    <w:p>
      <w:pPr>
        <w:pStyle w:val="BodyText"/>
        <w:spacing w:before="43"/>
        <w:ind w:left="220"/>
      </w:pPr>
      <w:r>
        <w:rPr/>
        <w:t>解释或举证，如有必要将及时报告中国证监会。</w:t>
      </w:r>
    </w:p>
    <w:p>
      <w:pPr>
        <w:spacing w:after="0"/>
        <w:sectPr>
          <w:pgSz w:w="11910" w:h="16840"/>
          <w:pgMar w:header="0" w:footer="664" w:top="1480" w:bottom="940" w:left="1580" w:right="380"/>
        </w:sectPr>
      </w:pPr>
    </w:p>
    <w:p>
      <w:pPr>
        <w:pStyle w:val="Heading1"/>
      </w:pPr>
      <w:bookmarkStart w:name="_bookmark9" w:id="10"/>
      <w:bookmarkEnd w:id="10"/>
      <w:r>
        <w:rPr/>
      </w:r>
      <w:r>
        <w:rPr/>
        <w:t>五、相关服务机构</w:t>
      </w:r>
    </w:p>
    <w:p>
      <w:pPr>
        <w:pStyle w:val="BodyText"/>
        <w:spacing w:before="10"/>
        <w:ind w:left="0"/>
        <w:rPr>
          <w:sz w:val="11"/>
        </w:rPr>
      </w:pPr>
    </w:p>
    <w:p>
      <w:pPr>
        <w:pStyle w:val="Heading3"/>
        <w:spacing w:before="61"/>
      </w:pPr>
      <w:bookmarkStart w:name="_bookmark10" w:id="11"/>
      <w:bookmarkEnd w:id="11"/>
      <w:r>
        <w:rPr/>
      </w:r>
      <w:r>
        <w:rPr/>
        <w:t>(一)基金份额销售机构</w:t>
      </w:r>
    </w:p>
    <w:p>
      <w:pPr>
        <w:pStyle w:val="BodyText"/>
        <w:spacing w:before="184"/>
      </w:pPr>
      <w:r>
        <w:rPr/>
        <w:t>1、直销机构：易方达基金管理有限公司</w:t>
      </w:r>
    </w:p>
    <w:p>
      <w:pPr>
        <w:pStyle w:val="BodyText"/>
        <w:spacing w:line="364" w:lineRule="auto" w:before="140"/>
        <w:ind w:right="23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7415"/>
        <w:jc w:val="both"/>
      </w:pPr>
      <w:r>
        <w:rPr/>
        <w:t>法定代表人：刘晓艳电话：020-85102506 传真：4008818099</w:t>
      </w:r>
    </w:p>
    <w:p>
      <w:pPr>
        <w:pStyle w:val="BodyText"/>
        <w:spacing w:line="268" w:lineRule="exact"/>
      </w:pPr>
      <w:r>
        <w:rPr/>
        <w:t>联系人：王峰</w:t>
      </w:r>
    </w:p>
    <w:p>
      <w:pPr>
        <w:pStyle w:val="BodyText"/>
        <w:spacing w:line="364" w:lineRule="auto" w:before="138"/>
        <w:ind w:right="6890"/>
      </w:pPr>
      <w:hyperlink r:id="rId7">
        <w:r>
          <w:rPr/>
          <w:t>网址：www.efunds.com.cn </w:t>
        </w:r>
      </w:hyperlink>
      <w:r>
        <w:rPr/>
        <w:t>直销机构网点信息：</w:t>
      </w:r>
    </w:p>
    <w:p>
      <w:pPr>
        <w:pStyle w:val="ListParagraph"/>
        <w:numPr>
          <w:ilvl w:val="0"/>
          <w:numId w:val="7"/>
        </w:numPr>
        <w:tabs>
          <w:tab w:pos="1166" w:val="left" w:leader="none"/>
        </w:tabs>
        <w:spacing w:line="268" w:lineRule="exact" w:before="0" w:after="0"/>
        <w:ind w:left="1166" w:right="0" w:hanging="526"/>
        <w:jc w:val="left"/>
        <w:rPr>
          <w:sz w:val="21"/>
        </w:rPr>
      </w:pPr>
      <w:r>
        <w:rPr>
          <w:sz w:val="21"/>
        </w:rPr>
        <w:t>易方达基金管理有限公司广州直销中心</w:t>
      </w:r>
    </w:p>
    <w:p>
      <w:pPr>
        <w:pStyle w:val="BodyText"/>
        <w:spacing w:line="364" w:lineRule="auto" w:before="140"/>
        <w:ind w:right="3005"/>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39"/>
      </w:pPr>
      <w:r>
        <w:rPr/>
        <w:t>联系人：王峰</w:t>
      </w:r>
    </w:p>
    <w:p>
      <w:pPr>
        <w:pStyle w:val="ListParagraph"/>
        <w:numPr>
          <w:ilvl w:val="0"/>
          <w:numId w:val="7"/>
        </w:numPr>
        <w:tabs>
          <w:tab w:pos="1166" w:val="left" w:leader="none"/>
        </w:tabs>
        <w:spacing w:line="240" w:lineRule="auto" w:before="140" w:after="0"/>
        <w:ind w:left="1166" w:right="0" w:hanging="526"/>
        <w:jc w:val="left"/>
        <w:rPr>
          <w:sz w:val="21"/>
        </w:rPr>
      </w:pPr>
      <w:r>
        <w:rPr>
          <w:sz w:val="21"/>
        </w:rPr>
        <w:t>易方达基金管理有限公司北京直销中心</w:t>
      </w:r>
    </w:p>
    <w:p>
      <w:pPr>
        <w:pStyle w:val="BodyText"/>
        <w:spacing w:line="364" w:lineRule="auto" w:before="139"/>
        <w:ind w:right="395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40"/>
      </w:pPr>
      <w:r>
        <w:rPr/>
        <w:t>联系人：刘蕾</w:t>
      </w:r>
    </w:p>
    <w:p>
      <w:pPr>
        <w:pStyle w:val="ListParagraph"/>
        <w:numPr>
          <w:ilvl w:val="0"/>
          <w:numId w:val="7"/>
        </w:numPr>
        <w:tabs>
          <w:tab w:pos="1166" w:val="left" w:leader="none"/>
        </w:tabs>
        <w:spacing w:line="240" w:lineRule="auto" w:before="139" w:after="0"/>
        <w:ind w:left="1166" w:right="0" w:hanging="526"/>
        <w:jc w:val="left"/>
        <w:rPr>
          <w:sz w:val="21"/>
        </w:rPr>
      </w:pPr>
      <w:r>
        <w:rPr>
          <w:sz w:val="21"/>
        </w:rPr>
        <w:t>易方达基金管理有限公司上海直销中心</w:t>
      </w:r>
    </w:p>
    <w:p>
      <w:pPr>
        <w:pStyle w:val="BodyText"/>
        <w:spacing w:line="364" w:lineRule="auto" w:before="139"/>
        <w:ind w:right="405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40"/>
      </w:pPr>
      <w:r>
        <w:rPr/>
        <w:t>联系人：于楠</w:t>
      </w:r>
    </w:p>
    <w:p>
      <w:pPr>
        <w:pStyle w:val="ListParagraph"/>
        <w:numPr>
          <w:ilvl w:val="0"/>
          <w:numId w:val="7"/>
        </w:numPr>
        <w:tabs>
          <w:tab w:pos="1166" w:val="left" w:leader="none"/>
        </w:tabs>
        <w:spacing w:line="364" w:lineRule="auto" w:before="139" w:after="0"/>
        <w:ind w:left="640" w:right="5210" w:firstLine="0"/>
        <w:jc w:val="left"/>
        <w:rPr>
          <w:sz w:val="21"/>
        </w:rPr>
      </w:pPr>
      <w:r>
        <w:rPr>
          <w:spacing w:val="-2"/>
          <w:sz w:val="21"/>
        </w:rPr>
        <w:t>易方达基金管理有限公司网上交易系统</w:t>
      </w:r>
      <w:hyperlink r:id="rId7">
        <w:r>
          <w:rPr>
            <w:sz w:val="21"/>
          </w:rPr>
          <w:t>网址：www.efunds.com.cn</w:t>
        </w:r>
      </w:hyperlink>
    </w:p>
    <w:p>
      <w:pPr>
        <w:pStyle w:val="BodyText"/>
        <w:spacing w:line="268" w:lineRule="exact"/>
      </w:pPr>
      <w:r>
        <w:rPr/>
        <w:t>2、非直销销售机构（以下排序不分先后）</w:t>
      </w:r>
    </w:p>
    <w:p>
      <w:pPr>
        <w:pStyle w:val="ListParagraph"/>
        <w:numPr>
          <w:ilvl w:val="0"/>
          <w:numId w:val="8"/>
        </w:numPr>
        <w:tabs>
          <w:tab w:pos="1060" w:val="left" w:leader="none"/>
        </w:tabs>
        <w:spacing w:line="240" w:lineRule="auto" w:before="140" w:after="0"/>
        <w:ind w:left="1060" w:right="0" w:hanging="420"/>
        <w:jc w:val="left"/>
        <w:rPr>
          <w:sz w:val="21"/>
        </w:rPr>
      </w:pPr>
      <w:r>
        <w:rPr>
          <w:sz w:val="21"/>
        </w:rPr>
        <w:t>中国建设银行</w:t>
      </w:r>
    </w:p>
    <w:p>
      <w:pPr>
        <w:pStyle w:val="BodyText"/>
        <w:spacing w:before="139"/>
      </w:pPr>
      <w:r>
        <w:rPr/>
        <w:t>注册地址：北京市西城区金融大街 25 号</w:t>
      </w:r>
    </w:p>
    <w:p>
      <w:pPr>
        <w:pStyle w:val="BodyText"/>
        <w:spacing w:line="364" w:lineRule="auto" w:before="140"/>
        <w:ind w:right="4685"/>
      </w:pPr>
      <w:r>
        <w:rPr>
          <w:spacing w:val="-4"/>
        </w:rPr>
        <w:t>办公地址：北京市西城区闹市口大街 </w:t>
      </w:r>
      <w:r>
        <w:rPr/>
        <w:t>1</w:t>
      </w:r>
      <w:r>
        <w:rPr>
          <w:spacing w:val="-27"/>
        </w:rPr>
        <w:t> 号院 </w:t>
      </w:r>
      <w:r>
        <w:rPr/>
        <w:t>1</w:t>
      </w:r>
      <w:r>
        <w:rPr>
          <w:spacing w:val="-24"/>
        </w:rPr>
        <w:t> 号楼</w:t>
      </w:r>
      <w:r>
        <w:rPr/>
        <w:t>法定代表人：田国立</w:t>
      </w:r>
    </w:p>
    <w:p>
      <w:pPr>
        <w:spacing w:after="0" w:line="364" w:lineRule="auto"/>
        <w:sectPr>
          <w:pgSz w:w="11910" w:h="16840"/>
          <w:pgMar w:header="0" w:footer="664" w:top="1400" w:bottom="940" w:left="1580" w:right="380"/>
        </w:sectPr>
      </w:pPr>
    </w:p>
    <w:p>
      <w:pPr>
        <w:pStyle w:val="BodyText"/>
        <w:spacing w:before="45"/>
      </w:pPr>
      <w:r>
        <w:rPr/>
        <w:t>联系人：王未雨</w:t>
      </w:r>
    </w:p>
    <w:p>
      <w:pPr>
        <w:pStyle w:val="BodyText"/>
        <w:spacing w:line="364" w:lineRule="auto" w:before="139"/>
        <w:ind w:right="7310"/>
      </w:pPr>
      <w:r>
        <w:rPr/>
        <w:t>客户服务电话：95533 </w:t>
      </w:r>
      <w:hyperlink r:id="rId8">
        <w:r>
          <w:rPr/>
          <w:t>网址：www.ccb.com</w:t>
        </w:r>
      </w:hyperlink>
    </w:p>
    <w:p>
      <w:pPr>
        <w:pStyle w:val="ListParagraph"/>
        <w:numPr>
          <w:ilvl w:val="0"/>
          <w:numId w:val="8"/>
        </w:numPr>
        <w:tabs>
          <w:tab w:pos="1060" w:val="left" w:leader="none"/>
        </w:tabs>
        <w:spacing w:line="268" w:lineRule="exact" w:before="0" w:after="0"/>
        <w:ind w:left="1060" w:right="0" w:hanging="420"/>
        <w:jc w:val="left"/>
        <w:rPr>
          <w:sz w:val="21"/>
        </w:rPr>
      </w:pPr>
      <w:r>
        <w:rPr>
          <w:sz w:val="21"/>
        </w:rPr>
        <w:t>渤海银行</w:t>
      </w:r>
    </w:p>
    <w:p>
      <w:pPr>
        <w:pStyle w:val="BodyText"/>
        <w:spacing w:before="140"/>
      </w:pPr>
      <w:r>
        <w:rPr/>
        <w:t>注册地址：天津市河东区海河东路 218 号</w:t>
      </w:r>
    </w:p>
    <w:p>
      <w:pPr>
        <w:pStyle w:val="BodyText"/>
        <w:spacing w:line="364" w:lineRule="auto" w:before="139"/>
        <w:ind w:right="4265"/>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7310"/>
      </w:pPr>
      <w:r>
        <w:rPr/>
        <w:t>客户服务电话：95541 传真：022-58316569</w:t>
      </w:r>
    </w:p>
    <w:p>
      <w:pPr>
        <w:pStyle w:val="BodyText"/>
        <w:spacing w:line="268" w:lineRule="exact"/>
      </w:pPr>
      <w:hyperlink r:id="rId9">
        <w:r>
          <w:rPr/>
          <w:t>网址：www.cbhb.com.cn</w:t>
        </w:r>
      </w:hyperlink>
    </w:p>
    <w:p>
      <w:pPr>
        <w:pStyle w:val="ListParagraph"/>
        <w:numPr>
          <w:ilvl w:val="0"/>
          <w:numId w:val="8"/>
        </w:numPr>
        <w:tabs>
          <w:tab w:pos="1060" w:val="left" w:leader="none"/>
        </w:tabs>
        <w:spacing w:line="240" w:lineRule="auto" w:before="140" w:after="0"/>
        <w:ind w:left="1060" w:right="0" w:hanging="420"/>
        <w:jc w:val="both"/>
        <w:rPr>
          <w:sz w:val="21"/>
        </w:rPr>
      </w:pPr>
      <w:r>
        <w:rPr>
          <w:sz w:val="21"/>
        </w:rPr>
        <w:t>广发银行</w:t>
      </w:r>
    </w:p>
    <w:p>
      <w:pPr>
        <w:pStyle w:val="BodyText"/>
        <w:spacing w:line="364" w:lineRule="auto" w:before="139"/>
        <w:ind w:right="489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法定代表人：王滨</w:t>
      </w:r>
    </w:p>
    <w:p>
      <w:pPr>
        <w:pStyle w:val="BodyText"/>
        <w:spacing w:line="364" w:lineRule="auto"/>
        <w:ind w:right="6575"/>
      </w:pPr>
      <w:r>
        <w:rPr/>
        <w:t>客户服务电话：400-830-8003 </w:t>
      </w:r>
      <w:hyperlink r:id="rId10">
        <w:r>
          <w:rPr/>
          <w:t>网址：www.cgbchina.com.cn</w:t>
        </w:r>
      </w:hyperlink>
    </w:p>
    <w:p>
      <w:pPr>
        <w:pStyle w:val="ListParagraph"/>
        <w:numPr>
          <w:ilvl w:val="0"/>
          <w:numId w:val="8"/>
        </w:numPr>
        <w:tabs>
          <w:tab w:pos="1060" w:val="left" w:leader="none"/>
        </w:tabs>
        <w:spacing w:line="268" w:lineRule="exact" w:before="0" w:after="0"/>
        <w:ind w:left="1060" w:right="0" w:hanging="420"/>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39"/>
        <w:ind w:right="3950"/>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联系人：王者凡</w:t>
      </w:r>
    </w:p>
    <w:p>
      <w:pPr>
        <w:pStyle w:val="BodyText"/>
        <w:spacing w:line="364" w:lineRule="auto" w:before="140"/>
        <w:ind w:right="7310"/>
      </w:pPr>
      <w:r>
        <w:rPr/>
        <w:t>客户服务电话：95577 传真：010-85238680</w:t>
      </w:r>
    </w:p>
    <w:p>
      <w:pPr>
        <w:pStyle w:val="BodyText"/>
        <w:spacing w:line="268" w:lineRule="exact"/>
      </w:pPr>
      <w:hyperlink r:id="rId11">
        <w:r>
          <w:rPr/>
          <w:t>网址：www.hxb.com.cn</w:t>
        </w:r>
      </w:hyperlink>
    </w:p>
    <w:p>
      <w:pPr>
        <w:pStyle w:val="ListParagraph"/>
        <w:numPr>
          <w:ilvl w:val="0"/>
          <w:numId w:val="8"/>
        </w:numPr>
        <w:tabs>
          <w:tab w:pos="1060" w:val="left" w:leader="none"/>
        </w:tabs>
        <w:spacing w:line="240" w:lineRule="auto" w:before="139" w:after="0"/>
        <w:ind w:left="1060" w:right="0" w:hanging="420"/>
        <w:jc w:val="both"/>
        <w:rPr>
          <w:sz w:val="21"/>
        </w:rPr>
      </w:pPr>
      <w:r>
        <w:rPr>
          <w:sz w:val="21"/>
        </w:rPr>
        <w:t>交通银行</w:t>
      </w:r>
    </w:p>
    <w:p>
      <w:pPr>
        <w:pStyle w:val="BodyText"/>
        <w:spacing w:line="364" w:lineRule="auto" w:before="140"/>
        <w:ind w:right="4055"/>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联系人：王菁</w:t>
      </w:r>
    </w:p>
    <w:p>
      <w:pPr>
        <w:pStyle w:val="BodyText"/>
        <w:spacing w:before="139"/>
      </w:pPr>
      <w:r>
        <w:rPr/>
        <w:t>联系电话：021-58781234</w:t>
      </w:r>
    </w:p>
    <w:p>
      <w:pPr>
        <w:pStyle w:val="BodyText"/>
        <w:spacing w:before="140"/>
      </w:pPr>
      <w:r>
        <w:rPr/>
        <w:t>客户服务电话：95559</w:t>
      </w:r>
    </w:p>
    <w:p>
      <w:pPr>
        <w:pStyle w:val="BodyText"/>
        <w:spacing w:before="139"/>
      </w:pPr>
      <w:hyperlink r:id="rId12">
        <w:r>
          <w:rPr/>
          <w:t>网址：www.bankcomm.com</w:t>
        </w:r>
      </w:hyperlink>
    </w:p>
    <w:p>
      <w:pPr>
        <w:spacing w:after="0"/>
        <w:sectPr>
          <w:pgSz w:w="11910" w:h="16840"/>
          <w:pgMar w:header="0" w:footer="664" w:top="1380" w:bottom="940" w:left="1580" w:right="380"/>
        </w:sectPr>
      </w:pPr>
    </w:p>
    <w:p>
      <w:pPr>
        <w:pStyle w:val="ListParagraph"/>
        <w:numPr>
          <w:ilvl w:val="0"/>
          <w:numId w:val="8"/>
        </w:numPr>
        <w:tabs>
          <w:tab w:pos="1060" w:val="left" w:leader="none"/>
        </w:tabs>
        <w:spacing w:line="240" w:lineRule="auto" w:before="45" w:after="0"/>
        <w:ind w:left="1060" w:right="0" w:hanging="420"/>
        <w:jc w:val="both"/>
        <w:rPr>
          <w:sz w:val="21"/>
        </w:rPr>
      </w:pPr>
      <w:r>
        <w:rPr>
          <w:sz w:val="21"/>
        </w:rPr>
        <w:t>平安银行</w:t>
      </w:r>
    </w:p>
    <w:p>
      <w:pPr>
        <w:pStyle w:val="BodyText"/>
        <w:spacing w:line="364" w:lineRule="auto" w:before="139"/>
        <w:ind w:right="4790"/>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7100"/>
      </w:pPr>
      <w:r>
        <w:rPr/>
        <w:t>客户服务电话：95511-3 传真：021-50979507</w:t>
      </w:r>
    </w:p>
    <w:p>
      <w:pPr>
        <w:pStyle w:val="BodyText"/>
        <w:spacing w:line="268" w:lineRule="exact"/>
      </w:pPr>
      <w:r>
        <w:rPr/>
        <w:t>网址：bank.pingan.com</w:t>
      </w:r>
    </w:p>
    <w:p>
      <w:pPr>
        <w:pStyle w:val="ListParagraph"/>
        <w:numPr>
          <w:ilvl w:val="0"/>
          <w:numId w:val="8"/>
        </w:numPr>
        <w:tabs>
          <w:tab w:pos="1060" w:val="left" w:leader="none"/>
        </w:tabs>
        <w:spacing w:line="240" w:lineRule="auto" w:before="140" w:after="0"/>
        <w:ind w:left="1060" w:right="0" w:hanging="420"/>
        <w:jc w:val="both"/>
        <w:rPr>
          <w:sz w:val="21"/>
        </w:rPr>
      </w:pPr>
      <w:r>
        <w:rPr>
          <w:sz w:val="21"/>
        </w:rPr>
        <w:t>浦发银行</w:t>
      </w:r>
    </w:p>
    <w:p>
      <w:pPr>
        <w:pStyle w:val="BodyText"/>
        <w:spacing w:line="364" w:lineRule="auto" w:before="139"/>
        <w:ind w:right="6050"/>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8" w:lineRule="exact"/>
      </w:pPr>
      <w:r>
        <w:rPr/>
        <w:t>联系人：赵守良</w:t>
      </w:r>
    </w:p>
    <w:p>
      <w:pPr>
        <w:pStyle w:val="BodyText"/>
        <w:spacing w:before="140"/>
      </w:pPr>
      <w:r>
        <w:rPr/>
        <w:t>联系电话：021-61618888</w:t>
      </w:r>
    </w:p>
    <w:p>
      <w:pPr>
        <w:pStyle w:val="BodyText"/>
        <w:spacing w:line="364" w:lineRule="auto" w:before="139"/>
        <w:ind w:right="7310"/>
      </w:pPr>
      <w:r>
        <w:rPr/>
        <w:t>客户服务电话：95528 传真：021-63604196</w:t>
      </w:r>
    </w:p>
    <w:p>
      <w:pPr>
        <w:pStyle w:val="BodyText"/>
        <w:spacing w:line="268" w:lineRule="exact"/>
      </w:pPr>
      <w:hyperlink r:id="rId13">
        <w:r>
          <w:rPr/>
          <w:t>网址：www.spdb.com.cn</w:t>
        </w:r>
      </w:hyperlink>
    </w:p>
    <w:p>
      <w:pPr>
        <w:pStyle w:val="ListParagraph"/>
        <w:numPr>
          <w:ilvl w:val="0"/>
          <w:numId w:val="8"/>
        </w:numPr>
        <w:tabs>
          <w:tab w:pos="1060" w:val="left" w:leader="none"/>
        </w:tabs>
        <w:spacing w:line="240" w:lineRule="auto" w:before="139" w:after="0"/>
        <w:ind w:left="1060" w:right="0" w:hanging="420"/>
        <w:jc w:val="both"/>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line="364" w:lineRule="auto" w:before="140"/>
        <w:ind w:right="4685"/>
      </w:pPr>
      <w:r>
        <w:rPr/>
        <w:t>法定代表人：陶以平（代为履行法定代表人职权） 联系人：孙琪虹</w:t>
      </w:r>
    </w:p>
    <w:p>
      <w:pPr>
        <w:pStyle w:val="BodyText"/>
        <w:spacing w:line="364" w:lineRule="auto"/>
        <w:ind w:right="7205"/>
      </w:pPr>
      <w:r>
        <w:rPr/>
        <w:t>客户服务电话：95561 </w:t>
      </w:r>
      <w:hyperlink r:id="rId14">
        <w:r>
          <w:rPr/>
          <w:t>网址：www.cib.com.cn</w:t>
        </w:r>
      </w:hyperlink>
    </w:p>
    <w:p>
      <w:pPr>
        <w:pStyle w:val="ListParagraph"/>
        <w:numPr>
          <w:ilvl w:val="0"/>
          <w:numId w:val="8"/>
        </w:numPr>
        <w:tabs>
          <w:tab w:pos="1060" w:val="left" w:leader="none"/>
        </w:tabs>
        <w:spacing w:line="268" w:lineRule="exact" w:before="0" w:after="0"/>
        <w:ind w:left="1060" w:right="0" w:hanging="420"/>
        <w:jc w:val="left"/>
        <w:rPr>
          <w:sz w:val="21"/>
        </w:rPr>
      </w:pPr>
      <w:r>
        <w:rPr>
          <w:sz w:val="21"/>
        </w:rPr>
        <w:t>招商银行</w:t>
      </w:r>
    </w:p>
    <w:p>
      <w:pPr>
        <w:pStyle w:val="BodyText"/>
        <w:spacing w:line="364" w:lineRule="auto" w:before="138"/>
        <w:ind w:right="416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40"/>
      </w:pPr>
      <w:r>
        <w:rPr/>
        <w:t>客户服务电话：95555</w:t>
      </w:r>
    </w:p>
    <w:p>
      <w:pPr>
        <w:pStyle w:val="BodyText"/>
        <w:spacing w:before="139"/>
      </w:pPr>
      <w:hyperlink r:id="rId15">
        <w:r>
          <w:rPr/>
          <w:t>网址：www.cmbchina.com</w:t>
        </w:r>
      </w:hyperlink>
    </w:p>
    <w:p>
      <w:pPr>
        <w:pStyle w:val="ListParagraph"/>
        <w:numPr>
          <w:ilvl w:val="0"/>
          <w:numId w:val="8"/>
        </w:numPr>
        <w:tabs>
          <w:tab w:pos="1165" w:val="left" w:leader="none"/>
        </w:tabs>
        <w:spacing w:line="240" w:lineRule="auto" w:before="140" w:after="0"/>
        <w:ind w:left="1165" w:right="0" w:hanging="525"/>
        <w:jc w:val="left"/>
        <w:rPr>
          <w:sz w:val="21"/>
        </w:rPr>
      </w:pPr>
      <w:r>
        <w:rPr>
          <w:sz w:val="21"/>
        </w:rPr>
        <w:t>中国工商银行</w:t>
      </w:r>
    </w:p>
    <w:p>
      <w:pPr>
        <w:pStyle w:val="BodyText"/>
        <w:spacing w:before="139"/>
      </w:pPr>
      <w:r>
        <w:rPr/>
        <w:t>注册地址：北京西城区复兴门内大街 55 号</w:t>
      </w:r>
    </w:p>
    <w:p>
      <w:pPr>
        <w:spacing w:after="0"/>
        <w:sectPr>
          <w:pgSz w:w="11910" w:h="16840"/>
          <w:pgMar w:header="0" w:footer="664" w:top="1380" w:bottom="940" w:left="1580" w:right="380"/>
        </w:sectPr>
      </w:pPr>
    </w:p>
    <w:p>
      <w:pPr>
        <w:pStyle w:val="BodyText"/>
        <w:spacing w:line="364" w:lineRule="auto" w:before="45"/>
        <w:ind w:right="5420"/>
      </w:pPr>
      <w:r>
        <w:rPr>
          <w:spacing w:val="-4"/>
        </w:rPr>
        <w:t>办公地址：北京西城区复兴门内大街 </w:t>
      </w:r>
      <w:r>
        <w:rPr/>
        <w:t>55</w:t>
      </w:r>
      <w:r>
        <w:rPr>
          <w:spacing w:val="-36"/>
        </w:rPr>
        <w:t> 号</w:t>
      </w:r>
      <w:r>
        <w:rPr/>
        <w:t>法定代表人：陈四清</w:t>
      </w:r>
    </w:p>
    <w:p>
      <w:pPr>
        <w:pStyle w:val="BodyText"/>
        <w:spacing w:line="268" w:lineRule="exact"/>
      </w:pPr>
      <w:r>
        <w:rPr/>
        <w:t>联系人：杨菲</w:t>
      </w:r>
    </w:p>
    <w:p>
      <w:pPr>
        <w:pStyle w:val="BodyText"/>
        <w:spacing w:line="364" w:lineRule="auto" w:before="139"/>
        <w:ind w:right="7100"/>
      </w:pPr>
      <w:r>
        <w:rPr/>
        <w:t>客户服务电话：95588 </w:t>
      </w:r>
      <w:hyperlink r:id="rId16">
        <w:r>
          <w:rPr>
            <w:spacing w:val="-1"/>
          </w:rPr>
          <w:t>网址：www.icbc.com.cn</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中国民生银行</w:t>
      </w:r>
    </w:p>
    <w:p>
      <w:pPr>
        <w:pStyle w:val="BodyText"/>
        <w:spacing w:line="364" w:lineRule="auto" w:before="140"/>
        <w:ind w:right="5315"/>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法定代表人：洪崎</w:t>
      </w:r>
    </w:p>
    <w:p>
      <w:pPr>
        <w:pStyle w:val="BodyText"/>
        <w:spacing w:line="268" w:lineRule="exact"/>
      </w:pPr>
      <w:r>
        <w:rPr/>
        <w:t>联系人：夏华</w:t>
      </w:r>
    </w:p>
    <w:p>
      <w:pPr>
        <w:pStyle w:val="BodyText"/>
        <w:spacing w:line="364" w:lineRule="auto" w:before="139"/>
        <w:ind w:right="7100"/>
      </w:pPr>
      <w:r>
        <w:rPr/>
        <w:t>客户服务电话：95568 </w:t>
      </w:r>
      <w:hyperlink r:id="rId17">
        <w:r>
          <w:rPr>
            <w:spacing w:val="-1"/>
          </w:rPr>
          <w:t>网址：www.cmbc.com.cn</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中国农业银行</w:t>
      </w:r>
    </w:p>
    <w:p>
      <w:pPr>
        <w:pStyle w:val="BodyText"/>
        <w:spacing w:line="364" w:lineRule="auto" w:before="140"/>
        <w:ind w:right="5210"/>
        <w:jc w:val="both"/>
      </w:pPr>
      <w:r>
        <w:rPr>
          <w:spacing w:val="-3"/>
        </w:rPr>
        <w:t>注册地址：北京市东城区建国门内大街 </w:t>
      </w:r>
      <w:r>
        <w:rPr/>
        <w:t>69</w:t>
      </w:r>
      <w:r>
        <w:rPr>
          <w:spacing w:val="-36"/>
        </w:rPr>
        <w:t> 号</w:t>
      </w:r>
      <w:r>
        <w:rPr>
          <w:spacing w:val="-3"/>
        </w:rPr>
        <w:t>办公地址：北京市东城区建国门内大街 </w:t>
      </w:r>
      <w:r>
        <w:rPr/>
        <w:t>69</w:t>
      </w:r>
      <w:r>
        <w:rPr>
          <w:spacing w:val="-36"/>
        </w:rPr>
        <w:t> 号</w:t>
      </w:r>
      <w:r>
        <w:rPr/>
        <w:t>法定代表人：周慕冰</w:t>
      </w:r>
    </w:p>
    <w:p>
      <w:pPr>
        <w:pStyle w:val="BodyText"/>
        <w:spacing w:line="268" w:lineRule="exact"/>
      </w:pPr>
      <w:r>
        <w:rPr/>
        <w:t>联系人：李紫钰</w:t>
      </w:r>
    </w:p>
    <w:p>
      <w:pPr>
        <w:pStyle w:val="BodyText"/>
        <w:spacing w:line="364" w:lineRule="auto" w:before="139"/>
        <w:ind w:right="7310"/>
      </w:pPr>
      <w:r>
        <w:rPr/>
        <w:t>客户服务电话：95599 传真：010-85109219</w:t>
      </w:r>
    </w:p>
    <w:p>
      <w:pPr>
        <w:pStyle w:val="BodyText"/>
        <w:spacing w:line="268" w:lineRule="exact"/>
      </w:pPr>
      <w:hyperlink r:id="rId18">
        <w:r>
          <w:rPr/>
          <w:t>网址：www.abchina.com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中国银行</w:t>
      </w:r>
    </w:p>
    <w:p>
      <w:pPr>
        <w:pStyle w:val="BodyText"/>
        <w:spacing w:line="364" w:lineRule="auto" w:before="139"/>
        <w:ind w:right="5315"/>
        <w:jc w:val="both"/>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r>
        <w:rPr/>
        <w:t>法定代表人：刘连舸</w:t>
      </w:r>
    </w:p>
    <w:p>
      <w:pPr>
        <w:pStyle w:val="BodyText"/>
        <w:spacing w:line="364" w:lineRule="auto"/>
        <w:ind w:right="7310"/>
      </w:pPr>
      <w:r>
        <w:rPr/>
        <w:t>客户服务电话：95566 </w:t>
      </w:r>
      <w:hyperlink r:id="rId19">
        <w:r>
          <w:rPr/>
          <w:t>网址：www.boc.cn</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中国邮政储蓄银行</w:t>
      </w:r>
    </w:p>
    <w:p>
      <w:pPr>
        <w:pStyle w:val="BodyText"/>
        <w:spacing w:line="364" w:lineRule="auto" w:before="138"/>
        <w:ind w:right="5735"/>
        <w:jc w:val="both"/>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r>
        <w:rPr/>
        <w:t>法定代表人：张金良</w:t>
      </w:r>
    </w:p>
    <w:p>
      <w:pPr>
        <w:pStyle w:val="BodyText"/>
        <w:spacing w:line="268" w:lineRule="exact"/>
      </w:pPr>
      <w:r>
        <w:rPr/>
        <w:t>联系人：王硕</w:t>
      </w:r>
    </w:p>
    <w:p>
      <w:pPr>
        <w:pStyle w:val="BodyText"/>
        <w:spacing w:line="364" w:lineRule="auto" w:before="139"/>
        <w:ind w:right="7310"/>
      </w:pPr>
      <w:r>
        <w:rPr/>
        <w:t>客户服务电话</w:t>
      </w:r>
      <w:r>
        <w:rPr>
          <w:spacing w:val="-4"/>
        </w:rPr>
        <w:t>：95580 </w:t>
      </w:r>
      <w:r>
        <w:rPr/>
        <w:t>传真：010-68858057</w:t>
      </w:r>
    </w:p>
    <w:p>
      <w:pPr>
        <w:pStyle w:val="BodyText"/>
        <w:spacing w:line="268" w:lineRule="exact"/>
      </w:pPr>
      <w:hyperlink r:id="rId20">
        <w:r>
          <w:rPr/>
          <w:t>网址：www.psbc.com</w:t>
        </w:r>
      </w:hyperlink>
    </w:p>
    <w:p>
      <w:pPr>
        <w:spacing w:after="0" w:line="268" w:lineRule="exact"/>
        <w:sectPr>
          <w:pgSz w:w="11910" w:h="16840"/>
          <w:pgMar w:header="0" w:footer="664" w:top="1380" w:bottom="940" w:left="1580" w:right="380"/>
        </w:sectPr>
      </w:pPr>
    </w:p>
    <w:p>
      <w:pPr>
        <w:pStyle w:val="ListParagraph"/>
        <w:numPr>
          <w:ilvl w:val="0"/>
          <w:numId w:val="8"/>
        </w:numPr>
        <w:tabs>
          <w:tab w:pos="1165" w:val="left" w:leader="none"/>
        </w:tabs>
        <w:spacing w:line="240" w:lineRule="auto" w:before="45" w:after="0"/>
        <w:ind w:left="1165" w:right="0" w:hanging="525"/>
        <w:jc w:val="both"/>
        <w:rPr>
          <w:sz w:val="21"/>
        </w:rPr>
      </w:pPr>
      <w:r>
        <w:rPr>
          <w:sz w:val="21"/>
        </w:rPr>
        <w:t>中信银行</w:t>
      </w:r>
    </w:p>
    <w:p>
      <w:pPr>
        <w:pStyle w:val="BodyText"/>
        <w:spacing w:line="364" w:lineRule="auto" w:before="139"/>
        <w:ind w:right="5315"/>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8" w:lineRule="exact"/>
      </w:pPr>
      <w:r>
        <w:rPr/>
        <w:t>联系人：王晓琳</w:t>
      </w:r>
    </w:p>
    <w:p>
      <w:pPr>
        <w:pStyle w:val="BodyText"/>
        <w:spacing w:line="364" w:lineRule="auto" w:before="140"/>
        <w:ind w:right="7310"/>
      </w:pPr>
      <w:r>
        <w:rPr/>
        <w:t>客户服务电话：95558 传真：010-85230049</w:t>
      </w:r>
    </w:p>
    <w:p>
      <w:pPr>
        <w:pStyle w:val="BodyText"/>
        <w:spacing w:line="268" w:lineRule="exact"/>
      </w:pPr>
      <w:r>
        <w:rPr/>
        <w:t>网址：bank.ecitic.com</w:t>
      </w:r>
    </w:p>
    <w:p>
      <w:pPr>
        <w:pStyle w:val="ListParagraph"/>
        <w:numPr>
          <w:ilvl w:val="0"/>
          <w:numId w:val="8"/>
        </w:numPr>
        <w:tabs>
          <w:tab w:pos="1165" w:val="left" w:leader="none"/>
        </w:tabs>
        <w:spacing w:line="240" w:lineRule="auto" w:before="139" w:after="0"/>
        <w:ind w:left="1165" w:right="0" w:hanging="525"/>
        <w:jc w:val="both"/>
        <w:rPr>
          <w:sz w:val="21"/>
        </w:rPr>
      </w:pPr>
      <w:r>
        <w:rPr>
          <w:sz w:val="21"/>
        </w:rPr>
        <w:t>包商银行</w:t>
      </w:r>
    </w:p>
    <w:p>
      <w:pPr>
        <w:pStyle w:val="BodyText"/>
        <w:spacing w:line="364" w:lineRule="auto" w:before="140"/>
        <w:ind w:right="4475"/>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法定代表人：周学东</w:t>
      </w:r>
    </w:p>
    <w:p>
      <w:pPr>
        <w:pStyle w:val="BodyText"/>
        <w:spacing w:line="268" w:lineRule="exact"/>
      </w:pPr>
      <w:r>
        <w:rPr/>
        <w:t>联系人：张晶</w:t>
      </w:r>
    </w:p>
    <w:p>
      <w:pPr>
        <w:pStyle w:val="BodyText"/>
        <w:spacing w:before="139"/>
      </w:pPr>
      <w:r>
        <w:rPr/>
        <w:t>联系电话：0472-5189165</w:t>
      </w:r>
    </w:p>
    <w:p>
      <w:pPr>
        <w:pStyle w:val="BodyText"/>
        <w:spacing w:line="364" w:lineRule="auto" w:before="140"/>
        <w:ind w:right="7310"/>
      </w:pPr>
      <w:r>
        <w:rPr/>
        <w:t>客户服务电话：95352 传真：010-84596546</w:t>
      </w:r>
    </w:p>
    <w:p>
      <w:pPr>
        <w:pStyle w:val="BodyText"/>
        <w:spacing w:line="268" w:lineRule="exact"/>
      </w:pPr>
      <w:hyperlink r:id="rId21">
        <w:r>
          <w:rPr/>
          <w:t>网址：www.bsb.com.cn</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北京银行</w:t>
      </w:r>
    </w:p>
    <w:p>
      <w:pPr>
        <w:pStyle w:val="BodyText"/>
        <w:spacing w:line="364" w:lineRule="auto" w:before="139"/>
        <w:ind w:right="5000"/>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7415"/>
      </w:pPr>
      <w:r>
        <w:rPr/>
        <w:t>法定代表人：张东宁联系人：周黎</w:t>
      </w:r>
    </w:p>
    <w:p>
      <w:pPr>
        <w:pStyle w:val="BodyText"/>
        <w:spacing w:line="268" w:lineRule="exact"/>
      </w:pPr>
      <w:r>
        <w:rPr/>
        <w:t>客户服务电话：95526</w:t>
      </w:r>
    </w:p>
    <w:p>
      <w:pPr>
        <w:pStyle w:val="BodyText"/>
        <w:spacing w:before="139"/>
      </w:pPr>
      <w:hyperlink r:id="rId22">
        <w:r>
          <w:rPr/>
          <w:t>网址：www.bankofbeijing.com.cn</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长安银行</w:t>
      </w:r>
    </w:p>
    <w:p>
      <w:pPr>
        <w:pStyle w:val="BodyText"/>
        <w:spacing w:line="364" w:lineRule="auto" w:before="140"/>
        <w:ind w:right="2480"/>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7415"/>
      </w:pPr>
      <w:r>
        <w:rPr/>
        <w:t>法定代表人：赵永军联系人：闫石</w:t>
      </w:r>
    </w:p>
    <w:p>
      <w:pPr>
        <w:pStyle w:val="BodyText"/>
        <w:spacing w:line="364" w:lineRule="auto"/>
        <w:ind w:right="5105"/>
      </w:pPr>
      <w:r>
        <w:rPr/>
        <w:t>客户服务电话：400-05-96669；（029）96669 传真：029-88609566</w:t>
      </w:r>
    </w:p>
    <w:p>
      <w:pPr>
        <w:pStyle w:val="BodyText"/>
        <w:spacing w:line="268" w:lineRule="exact"/>
      </w:pPr>
      <w:hyperlink r:id="rId23">
        <w:r>
          <w:rPr/>
          <w:t>网址：http://www.ccabchina.com/</w:t>
        </w:r>
      </w:hyperlink>
    </w:p>
    <w:p>
      <w:pPr>
        <w:pStyle w:val="ListParagraph"/>
        <w:numPr>
          <w:ilvl w:val="0"/>
          <w:numId w:val="8"/>
        </w:numPr>
        <w:tabs>
          <w:tab w:pos="1165" w:val="left" w:leader="none"/>
        </w:tabs>
        <w:spacing w:line="240" w:lineRule="auto" w:before="137" w:after="0"/>
        <w:ind w:left="1165" w:right="0" w:hanging="525"/>
        <w:jc w:val="left"/>
        <w:rPr>
          <w:sz w:val="21"/>
        </w:rPr>
      </w:pPr>
      <w:r>
        <w:rPr>
          <w:sz w:val="21"/>
        </w:rPr>
        <w:t>成都农商银行</w:t>
      </w:r>
    </w:p>
    <w:p>
      <w:pPr>
        <w:pStyle w:val="BodyText"/>
        <w:spacing w:before="140"/>
      </w:pPr>
      <w:r>
        <w:rPr/>
        <w:t>注册地址：成都市武侯区科华中路 88 号</w:t>
      </w:r>
    </w:p>
    <w:p>
      <w:pPr>
        <w:spacing w:after="0"/>
        <w:sectPr>
          <w:pgSz w:w="11910" w:h="16840"/>
          <w:pgMar w:header="0" w:footer="664" w:top="1380" w:bottom="940" w:left="1580" w:right="380"/>
        </w:sectPr>
      </w:pPr>
    </w:p>
    <w:p>
      <w:pPr>
        <w:pStyle w:val="BodyText"/>
        <w:spacing w:line="364" w:lineRule="auto" w:before="45"/>
        <w:ind w:right="5630"/>
      </w:pPr>
      <w:r>
        <w:rPr>
          <w:spacing w:val="-4"/>
        </w:rPr>
        <w:t>办公地址：成都市武侯区科华中路 </w:t>
      </w:r>
      <w:r>
        <w:rPr/>
        <w:t>88</w:t>
      </w:r>
      <w:r>
        <w:rPr>
          <w:spacing w:val="-36"/>
        </w:rPr>
        <w:t> 号</w:t>
      </w:r>
      <w:r>
        <w:rPr/>
        <w:t>法定代表人：陈萍</w:t>
      </w:r>
    </w:p>
    <w:p>
      <w:pPr>
        <w:pStyle w:val="BodyText"/>
        <w:spacing w:line="268" w:lineRule="exact"/>
      </w:pPr>
      <w:r>
        <w:rPr/>
        <w:t>联系人：杨琪</w:t>
      </w:r>
    </w:p>
    <w:p>
      <w:pPr>
        <w:pStyle w:val="BodyText"/>
        <w:spacing w:before="139"/>
      </w:pPr>
      <w:r>
        <w:rPr/>
        <w:t>联系电话：028-85315412</w:t>
      </w:r>
    </w:p>
    <w:p>
      <w:pPr>
        <w:pStyle w:val="BodyText"/>
        <w:tabs>
          <w:tab w:pos="2949" w:val="left" w:leader="none"/>
        </w:tabs>
        <w:spacing w:before="140"/>
      </w:pPr>
      <w:r>
        <w:rPr/>
        <w:t>客户服务电话：95392</w:t>
        <w:tab/>
        <w:t>4006-028-666</w:t>
      </w:r>
    </w:p>
    <w:p>
      <w:pPr>
        <w:pStyle w:val="BodyText"/>
        <w:spacing w:before="139"/>
      </w:pPr>
      <w:r>
        <w:rPr/>
        <w:t>传真：028-85390961</w:t>
      </w:r>
    </w:p>
    <w:p>
      <w:pPr>
        <w:pStyle w:val="BodyText"/>
        <w:spacing w:before="140"/>
      </w:pPr>
      <w:hyperlink r:id="rId24">
        <w:r>
          <w:rPr/>
          <w:t>网址：http://www.cdrcb.com</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大连银行</w:t>
      </w:r>
    </w:p>
    <w:p>
      <w:pPr>
        <w:pStyle w:val="BodyText"/>
        <w:spacing w:line="364" w:lineRule="auto" w:before="140"/>
        <w:ind w:right="5210"/>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7625"/>
      </w:pPr>
      <w:r>
        <w:rPr/>
        <w:t>法定代表人：崔磊联系人：朱珠</w:t>
      </w:r>
    </w:p>
    <w:p>
      <w:pPr>
        <w:pStyle w:val="BodyText"/>
        <w:spacing w:line="268" w:lineRule="exact"/>
      </w:pPr>
      <w:r>
        <w:rPr/>
        <w:t>联系电话：0411-82356695</w:t>
      </w:r>
    </w:p>
    <w:p>
      <w:pPr>
        <w:pStyle w:val="BodyText"/>
        <w:spacing w:line="364" w:lineRule="auto" w:before="138"/>
        <w:ind w:right="6575"/>
      </w:pPr>
      <w:r>
        <w:rPr/>
        <w:t>客户服务电话</w:t>
      </w:r>
      <w:r>
        <w:rPr>
          <w:spacing w:val="-2"/>
        </w:rPr>
        <w:t>：400-664-0099 </w:t>
      </w:r>
      <w:hyperlink r:id="rId25">
        <w:r>
          <w:rPr/>
          <w:t>网址：www.bankofdl.com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德州银行</w:t>
      </w:r>
    </w:p>
    <w:p>
      <w:pPr>
        <w:pStyle w:val="BodyText"/>
        <w:spacing w:line="364" w:lineRule="auto" w:before="140"/>
        <w:ind w:right="5420"/>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39"/>
      </w:pPr>
      <w:r>
        <w:rPr/>
        <w:t>电话：0534-2297326</w:t>
      </w:r>
    </w:p>
    <w:p>
      <w:pPr>
        <w:pStyle w:val="BodyText"/>
        <w:spacing w:line="364" w:lineRule="auto" w:before="139"/>
        <w:ind w:right="6575"/>
      </w:pPr>
      <w:r>
        <w:rPr/>
        <w:t>客户服务电话：400-01-96588 </w:t>
      </w:r>
      <w:hyperlink r:id="rId26">
        <w:r>
          <w:rPr/>
          <w:t>网址：www.dzbchina.com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东莞农村商业银行</w:t>
      </w:r>
    </w:p>
    <w:p>
      <w:pPr>
        <w:pStyle w:val="BodyText"/>
        <w:spacing w:before="140"/>
      </w:pPr>
      <w:r>
        <w:rPr/>
        <w:t>注册地址：广东省东莞市东城区鸿福东路 2 号</w:t>
      </w:r>
    </w:p>
    <w:p>
      <w:pPr>
        <w:pStyle w:val="BodyText"/>
        <w:spacing w:line="364" w:lineRule="auto" w:before="139"/>
        <w:ind w:right="3425"/>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联系人：洪晓琳</w:t>
      </w:r>
    </w:p>
    <w:p>
      <w:pPr>
        <w:pStyle w:val="BodyText"/>
        <w:spacing w:line="364" w:lineRule="auto" w:before="140"/>
        <w:ind w:right="6680"/>
      </w:pPr>
      <w:r>
        <w:rPr/>
        <w:t>客户服务电话：0769-961122 </w:t>
      </w:r>
      <w:hyperlink r:id="rId27">
        <w:r>
          <w:rPr/>
          <w:t>网址：www.drcbank.com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东莞银行</w:t>
      </w:r>
    </w:p>
    <w:p>
      <w:pPr>
        <w:pStyle w:val="BodyText"/>
        <w:spacing w:before="139"/>
      </w:pPr>
      <w:r>
        <w:rPr/>
        <w:t>注册地址：东莞市莞城区体育路 21 号</w:t>
      </w:r>
    </w:p>
    <w:p>
      <w:pPr>
        <w:pStyle w:val="BodyText"/>
        <w:spacing w:line="364" w:lineRule="auto" w:before="140"/>
        <w:ind w:right="4580"/>
      </w:pPr>
      <w:r>
        <w:rPr>
          <w:spacing w:val="-4"/>
        </w:rPr>
        <w:t>办公地址：东莞市莞城区体育路 </w:t>
      </w:r>
      <w:r>
        <w:rPr/>
        <w:t>21</w:t>
      </w:r>
      <w:r>
        <w:rPr>
          <w:spacing w:val="-11"/>
        </w:rPr>
        <w:t> 号东莞银行大厦</w:t>
      </w:r>
      <w:r>
        <w:rPr/>
        <w:t>法定代表人：卢国锋</w:t>
      </w:r>
    </w:p>
    <w:p>
      <w:pPr>
        <w:spacing w:after="0" w:line="364" w:lineRule="auto"/>
        <w:sectPr>
          <w:pgSz w:w="11910" w:h="16840"/>
          <w:pgMar w:header="0" w:footer="664" w:top="1380" w:bottom="940" w:left="1580" w:right="380"/>
        </w:sectPr>
      </w:pPr>
    </w:p>
    <w:p>
      <w:pPr>
        <w:pStyle w:val="BodyText"/>
        <w:spacing w:before="45"/>
      </w:pPr>
      <w:r>
        <w:rPr/>
        <w:t>联系人：朱杰霞</w:t>
      </w:r>
    </w:p>
    <w:p>
      <w:pPr>
        <w:pStyle w:val="BodyText"/>
        <w:spacing w:before="139"/>
      </w:pPr>
      <w:r>
        <w:rPr/>
        <w:t>联系电话：0769-22111802</w:t>
      </w:r>
    </w:p>
    <w:p>
      <w:pPr>
        <w:pStyle w:val="BodyText"/>
        <w:spacing w:before="140"/>
      </w:pPr>
      <w:r>
        <w:rPr/>
        <w:t>客户服务电话：956033</w:t>
      </w:r>
    </w:p>
    <w:p>
      <w:pPr>
        <w:pStyle w:val="BodyText"/>
        <w:spacing w:before="139"/>
      </w:pPr>
      <w:hyperlink r:id="rId28">
        <w:r>
          <w:rPr/>
          <w:t>网址：www.dongguanbank.cn</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佛山农商银行</w:t>
      </w:r>
    </w:p>
    <w:p>
      <w:pPr>
        <w:pStyle w:val="BodyText"/>
        <w:spacing w:line="364" w:lineRule="auto" w:before="139"/>
        <w:ind w:right="5735"/>
        <w:jc w:val="both"/>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r>
        <w:rPr/>
        <w:t>法定代表人：李川</w:t>
      </w:r>
    </w:p>
    <w:p>
      <w:pPr>
        <w:pStyle w:val="BodyText"/>
        <w:spacing w:line="268" w:lineRule="exact"/>
      </w:pPr>
      <w:r>
        <w:rPr/>
        <w:t>联系人：陈棠熙</w:t>
      </w:r>
    </w:p>
    <w:p>
      <w:pPr>
        <w:pStyle w:val="BodyText"/>
        <w:spacing w:before="140"/>
      </w:pPr>
      <w:r>
        <w:rPr/>
        <w:t>客户服务电话：96138</w:t>
      </w:r>
    </w:p>
    <w:p>
      <w:pPr>
        <w:pStyle w:val="BodyText"/>
        <w:spacing w:before="139"/>
      </w:pPr>
      <w:hyperlink r:id="rId29">
        <w:r>
          <w:rPr/>
          <w:t>网址：www.foshanbank.cn</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富阳农商银行</w:t>
      </w:r>
    </w:p>
    <w:p>
      <w:pPr>
        <w:pStyle w:val="BodyText"/>
        <w:spacing w:line="364" w:lineRule="auto" w:before="140"/>
        <w:ind w:right="4265"/>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7415"/>
      </w:pPr>
      <w:r>
        <w:rPr/>
        <w:t>法定代表人：丁松茂联系人：陈硕</w:t>
      </w:r>
    </w:p>
    <w:p>
      <w:pPr>
        <w:pStyle w:val="BodyText"/>
        <w:spacing w:line="268" w:lineRule="exact"/>
      </w:pPr>
      <w:r>
        <w:rPr/>
        <w:t>联系电话：0571-63280253</w:t>
      </w:r>
    </w:p>
    <w:p>
      <w:pPr>
        <w:pStyle w:val="BodyText"/>
        <w:spacing w:line="364" w:lineRule="auto" w:before="138"/>
        <w:ind w:right="6050"/>
      </w:pPr>
      <w:r>
        <w:rPr/>
        <w:t>客户服务电话：96596、4008896596 </w:t>
      </w:r>
      <w:hyperlink r:id="rId30">
        <w:r>
          <w:rPr/>
          <w:t>网址：www.fyrcbk.com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广东华兴银行</w:t>
      </w:r>
    </w:p>
    <w:p>
      <w:pPr>
        <w:pStyle w:val="BodyText"/>
        <w:spacing w:line="364" w:lineRule="auto" w:before="140"/>
        <w:ind w:right="4790"/>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7415"/>
      </w:pPr>
      <w:r>
        <w:rPr/>
        <w:t>法定代表人：周泽荣联系人：许悦</w:t>
      </w:r>
    </w:p>
    <w:p>
      <w:pPr>
        <w:pStyle w:val="BodyText"/>
        <w:spacing w:line="268" w:lineRule="exact"/>
      </w:pPr>
      <w:r>
        <w:rPr/>
        <w:t>联系电话：020-38173552</w:t>
      </w:r>
    </w:p>
    <w:p>
      <w:pPr>
        <w:pStyle w:val="BodyText"/>
        <w:spacing w:line="364" w:lineRule="auto" w:before="138"/>
        <w:ind w:right="6785"/>
      </w:pPr>
      <w:r>
        <w:rPr/>
        <w:t>客户服务电话：4008308001 传真：020-38173857</w:t>
      </w:r>
    </w:p>
    <w:p>
      <w:pPr>
        <w:pStyle w:val="BodyText"/>
        <w:spacing w:line="268" w:lineRule="exact"/>
      </w:pPr>
      <w:hyperlink r:id="rId31">
        <w:r>
          <w:rPr/>
          <w:t>网址：www.ghbank.com.cn</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广东南粤银行</w:t>
      </w:r>
    </w:p>
    <w:p>
      <w:pPr>
        <w:pStyle w:val="BodyText"/>
        <w:spacing w:line="364" w:lineRule="auto" w:before="139"/>
        <w:ind w:right="4160"/>
        <w:jc w:val="both"/>
      </w:pPr>
      <w:r>
        <w:rPr>
          <w:spacing w:val="-3"/>
        </w:rPr>
        <w:t>注册地址：广东省湛江市经济技术开发区乐山大道 </w:t>
      </w:r>
      <w:r>
        <w:rPr/>
        <w:t>60</w:t>
      </w:r>
      <w:r>
        <w:rPr>
          <w:spacing w:val="-36"/>
        </w:rPr>
        <w:t> 号</w:t>
      </w: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pStyle w:val="BodyText"/>
        <w:spacing w:before="140"/>
      </w:pPr>
      <w:r>
        <w:rPr/>
        <w:t>联系电话：020-28308757</w:t>
      </w:r>
    </w:p>
    <w:p>
      <w:pPr>
        <w:spacing w:after="0"/>
        <w:sectPr>
          <w:pgSz w:w="11910" w:h="16840"/>
          <w:pgMar w:header="0" w:footer="664" w:top="1380" w:bottom="940" w:left="1580" w:right="380"/>
        </w:sectPr>
      </w:pPr>
    </w:p>
    <w:p>
      <w:pPr>
        <w:pStyle w:val="BodyText"/>
        <w:spacing w:line="364" w:lineRule="auto" w:before="45"/>
        <w:ind w:right="6680"/>
      </w:pPr>
      <w:r>
        <w:rPr/>
        <w:t>客户服务电话：4000-961818 </w:t>
      </w:r>
      <w:hyperlink r:id="rId32">
        <w:r>
          <w:rPr/>
          <w:t>网址：www.gdnybank.com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广州农商银行</w:t>
      </w:r>
    </w:p>
    <w:p>
      <w:pPr>
        <w:pStyle w:val="BodyText"/>
        <w:spacing w:before="139"/>
      </w:pPr>
      <w:r>
        <w:rPr/>
        <w:t>注册地址：广州市黄埔区映日路 9 号</w:t>
      </w:r>
    </w:p>
    <w:p>
      <w:pPr>
        <w:pStyle w:val="BodyText"/>
        <w:spacing w:line="364" w:lineRule="auto" w:before="140"/>
        <w:ind w:right="5105"/>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39"/>
      </w:pPr>
      <w:r>
        <w:rPr/>
        <w:t>联系电话：020-22389067</w:t>
      </w:r>
    </w:p>
    <w:p>
      <w:pPr>
        <w:pStyle w:val="BodyText"/>
        <w:spacing w:line="364" w:lineRule="auto" w:before="140"/>
        <w:ind w:right="7310"/>
      </w:pPr>
      <w:r>
        <w:rPr/>
        <w:t>客户服务电话：95313 传真：020-22389031</w:t>
      </w:r>
    </w:p>
    <w:p>
      <w:pPr>
        <w:pStyle w:val="BodyText"/>
        <w:spacing w:line="268" w:lineRule="exact"/>
      </w:pPr>
      <w:hyperlink r:id="rId33">
        <w:r>
          <w:rPr/>
          <w:t>网址：www.grcbank.com</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广州银行</w:t>
      </w:r>
    </w:p>
    <w:p>
      <w:pPr>
        <w:pStyle w:val="BodyText"/>
        <w:spacing w:before="140"/>
      </w:pPr>
      <w:r>
        <w:rPr/>
        <w:t>注册地址：广州市天河区珠江东路 30 号</w:t>
      </w:r>
    </w:p>
    <w:p>
      <w:pPr>
        <w:pStyle w:val="BodyText"/>
        <w:spacing w:line="364" w:lineRule="auto" w:before="139"/>
        <w:ind w:right="4370"/>
      </w:pPr>
      <w:r>
        <w:rPr>
          <w:spacing w:val="-4"/>
        </w:rPr>
        <w:t>办公地址：广州市天河区珠江东路 </w:t>
      </w:r>
      <w:r>
        <w:rPr/>
        <w:t>30</w:t>
      </w:r>
      <w:r>
        <w:rPr>
          <w:spacing w:val="-11"/>
        </w:rPr>
        <w:t> 号广州银行大厦</w:t>
      </w:r>
      <w:r>
        <w:rPr/>
        <w:t>法定代表人：黄子励</w:t>
      </w:r>
    </w:p>
    <w:p>
      <w:pPr>
        <w:pStyle w:val="BodyText"/>
        <w:spacing w:line="268" w:lineRule="exact"/>
      </w:pPr>
      <w:r>
        <w:rPr/>
        <w:t>联系人：唐荟</w:t>
      </w:r>
    </w:p>
    <w:p>
      <w:pPr>
        <w:pStyle w:val="BodyText"/>
        <w:spacing w:line="364" w:lineRule="auto" w:before="139"/>
        <w:ind w:right="4370"/>
      </w:pPr>
      <w:r>
        <w:rPr/>
        <w:t>客户服务电话：96699（广东）400-83-96699（全国） </w:t>
      </w:r>
      <w:hyperlink r:id="rId34">
        <w:r>
          <w:rPr/>
          <w:t>网址：www.gzcb.com.cn</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哈尔滨银行</w:t>
      </w:r>
    </w:p>
    <w:p>
      <w:pPr>
        <w:pStyle w:val="BodyText"/>
        <w:spacing w:line="364" w:lineRule="auto" w:before="140"/>
        <w:ind w:right="5315"/>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40"/>
        <w:ind w:right="7310"/>
      </w:pPr>
      <w:r>
        <w:rPr/>
        <w:t>客户服务电话</w:t>
      </w:r>
      <w:r>
        <w:rPr>
          <w:spacing w:val="-4"/>
        </w:rPr>
        <w:t>：95537 </w:t>
      </w:r>
      <w:r>
        <w:rPr>
          <w:spacing w:val="-2"/>
        </w:rPr>
        <w:t>传真：0451-87792682</w:t>
      </w:r>
    </w:p>
    <w:p>
      <w:pPr>
        <w:pStyle w:val="BodyText"/>
        <w:spacing w:line="268" w:lineRule="exact"/>
      </w:pPr>
      <w:hyperlink r:id="rId35">
        <w:r>
          <w:rPr/>
          <w:t>网址：www.hrbb.com.cn</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杭州联合银行</w:t>
      </w:r>
    </w:p>
    <w:p>
      <w:pPr>
        <w:pStyle w:val="BodyText"/>
        <w:spacing w:line="364" w:lineRule="auto" w:before="140"/>
        <w:ind w:right="5000"/>
      </w:pPr>
      <w:r>
        <w:rPr>
          <w:spacing w:val="-3"/>
        </w:rPr>
        <w:t>注册地址：浙江省杭州市上城区建国中路 </w:t>
      </w:r>
      <w:r>
        <w:rPr/>
        <w:t>99</w:t>
      </w:r>
      <w:r>
        <w:rPr>
          <w:spacing w:val="-36"/>
        </w:rPr>
        <w:t> 号</w:t>
      </w:r>
      <w:r>
        <w:rPr>
          <w:spacing w:val="-5"/>
        </w:rPr>
        <w:t>办公地址：杭州市建国中路 </w:t>
      </w:r>
      <w:r>
        <w:rPr/>
        <w:t>99</w:t>
      </w:r>
      <w:r>
        <w:rPr>
          <w:spacing w:val="-27"/>
        </w:rPr>
        <w:t> 号</w:t>
      </w:r>
    </w:p>
    <w:p>
      <w:pPr>
        <w:pStyle w:val="BodyText"/>
        <w:spacing w:line="364" w:lineRule="auto"/>
        <w:ind w:right="7415"/>
      </w:pPr>
      <w:r>
        <w:rPr/>
        <w:t>法定代表人：张海林联系人：吴徐立</w:t>
      </w:r>
    </w:p>
    <w:p>
      <w:pPr>
        <w:pStyle w:val="BodyText"/>
        <w:spacing w:line="268" w:lineRule="exact"/>
      </w:pPr>
      <w:r>
        <w:rPr/>
        <w:t>联系电话：0571-87923324</w:t>
      </w:r>
    </w:p>
    <w:p>
      <w:pPr>
        <w:pStyle w:val="BodyText"/>
        <w:spacing w:before="138"/>
      </w:pPr>
      <w:r>
        <w:rPr/>
        <w:t>客户服务电话：96596</w:t>
      </w:r>
    </w:p>
    <w:p>
      <w:pPr>
        <w:spacing w:after="0"/>
        <w:sectPr>
          <w:pgSz w:w="11910" w:h="16840"/>
          <w:pgMar w:header="0" w:footer="664" w:top="1380" w:bottom="940" w:left="1580" w:right="380"/>
        </w:sectPr>
      </w:pPr>
    </w:p>
    <w:p>
      <w:pPr>
        <w:pStyle w:val="BodyText"/>
        <w:spacing w:before="45"/>
      </w:pPr>
      <w:r>
        <w:rPr/>
        <w:t>传真：0571-87923214</w:t>
      </w:r>
    </w:p>
    <w:p>
      <w:pPr>
        <w:pStyle w:val="BodyText"/>
        <w:spacing w:before="139"/>
      </w:pPr>
      <w:hyperlink r:id="rId36">
        <w:r>
          <w:rPr/>
          <w:t>网址：www.urcb.com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杭州银行</w:t>
      </w:r>
    </w:p>
    <w:p>
      <w:pPr>
        <w:pStyle w:val="BodyText"/>
        <w:spacing w:before="139"/>
      </w:pPr>
      <w:r>
        <w:rPr/>
        <w:t>注册地址：浙江省杭州市下城区庆春路 46 号</w:t>
      </w:r>
    </w:p>
    <w:p>
      <w:pPr>
        <w:pStyle w:val="BodyText"/>
        <w:spacing w:line="364" w:lineRule="auto" w:before="140"/>
        <w:ind w:right="4580"/>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联系人：董猛</w:t>
      </w:r>
    </w:p>
    <w:p>
      <w:pPr>
        <w:pStyle w:val="BodyText"/>
        <w:spacing w:before="139"/>
      </w:pPr>
      <w:r>
        <w:rPr/>
        <w:t>联系电话：0571-85872972</w:t>
      </w:r>
    </w:p>
    <w:p>
      <w:pPr>
        <w:pStyle w:val="BodyText"/>
        <w:spacing w:line="364" w:lineRule="auto" w:before="140"/>
        <w:ind w:right="7310"/>
      </w:pPr>
      <w:r>
        <w:rPr/>
        <w:t>客户服务电话：95398 传真：0571-85106576</w:t>
      </w:r>
    </w:p>
    <w:p>
      <w:pPr>
        <w:pStyle w:val="BodyText"/>
        <w:spacing w:line="268" w:lineRule="exact"/>
      </w:pPr>
      <w:hyperlink r:id="rId37">
        <w:r>
          <w:rPr/>
          <w:t>网址：www.hzbank.com.cn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河北银行</w:t>
      </w:r>
    </w:p>
    <w:p>
      <w:pPr>
        <w:pStyle w:val="BodyText"/>
        <w:spacing w:line="364" w:lineRule="auto" w:before="139"/>
        <w:ind w:right="5840"/>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40"/>
      </w:pPr>
      <w:r>
        <w:rPr/>
        <w:t>联系电话：0311-88627587</w:t>
      </w:r>
    </w:p>
    <w:p>
      <w:pPr>
        <w:pStyle w:val="BodyText"/>
        <w:spacing w:line="364" w:lineRule="auto" w:before="139"/>
        <w:ind w:right="6575"/>
      </w:pPr>
      <w:r>
        <w:rPr/>
        <w:t>客户服务电话：400-612-9999 传真：0311-67806407</w:t>
      </w:r>
    </w:p>
    <w:p>
      <w:pPr>
        <w:pStyle w:val="BodyText"/>
        <w:spacing w:line="268" w:lineRule="exact"/>
      </w:pPr>
      <w:hyperlink r:id="rId38">
        <w:r>
          <w:rPr/>
          <w:t>网址：www.hebbank.com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吉林银行</w:t>
      </w:r>
    </w:p>
    <w:p>
      <w:pPr>
        <w:pStyle w:val="BodyText"/>
        <w:spacing w:line="364" w:lineRule="auto" w:before="139"/>
        <w:ind w:right="3740"/>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联系人：孙琦</w:t>
      </w:r>
    </w:p>
    <w:p>
      <w:pPr>
        <w:pStyle w:val="BodyText"/>
        <w:spacing w:before="140"/>
      </w:pPr>
      <w:r>
        <w:rPr/>
        <w:t>联系电话：0431-84999627</w:t>
      </w:r>
    </w:p>
    <w:p>
      <w:pPr>
        <w:pStyle w:val="BodyText"/>
        <w:spacing w:line="364" w:lineRule="auto" w:before="139"/>
        <w:ind w:right="6575"/>
      </w:pPr>
      <w:r>
        <w:rPr/>
        <w:t>客户服务电话：400-88-96666 传真：0431-84992649</w:t>
      </w:r>
    </w:p>
    <w:p>
      <w:pPr>
        <w:pStyle w:val="BodyText"/>
        <w:spacing w:line="268" w:lineRule="exact"/>
      </w:pPr>
      <w:hyperlink r:id="rId39">
        <w:r>
          <w:rPr/>
          <w:t>网址：www.jlbank.com.cn</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嘉兴银行</w:t>
      </w:r>
    </w:p>
    <w:p>
      <w:pPr>
        <w:pStyle w:val="BodyText"/>
        <w:spacing w:line="364" w:lineRule="auto" w:before="139"/>
        <w:ind w:right="5420"/>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spacing w:after="0" w:line="268" w:lineRule="exact"/>
        <w:sectPr>
          <w:pgSz w:w="11910" w:h="16840"/>
          <w:pgMar w:header="0" w:footer="664" w:top="1380" w:bottom="940" w:left="1580" w:right="380"/>
        </w:sectPr>
      </w:pPr>
    </w:p>
    <w:p>
      <w:pPr>
        <w:pStyle w:val="BodyText"/>
        <w:spacing w:before="45"/>
      </w:pPr>
      <w:r>
        <w:rPr/>
        <w:t>联系电话：0573-82080201</w:t>
      </w:r>
    </w:p>
    <w:p>
      <w:pPr>
        <w:pStyle w:val="BodyText"/>
        <w:spacing w:line="364" w:lineRule="auto" w:before="139"/>
        <w:ind w:right="6680"/>
      </w:pPr>
      <w:r>
        <w:rPr/>
        <w:t>客户服务电话：0573-96528 </w:t>
      </w:r>
      <w:hyperlink r:id="rId40">
        <w:r>
          <w:rPr/>
          <w:t>网址：http://www.bojx.com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江南农村商业银行</w:t>
      </w:r>
    </w:p>
    <w:p>
      <w:pPr>
        <w:pStyle w:val="BodyText"/>
        <w:spacing w:line="364" w:lineRule="auto" w:before="140"/>
        <w:ind w:right="6155"/>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39"/>
      </w:pPr>
      <w:r>
        <w:rPr/>
        <w:t>电话：0519-80585939</w:t>
      </w:r>
    </w:p>
    <w:p>
      <w:pPr>
        <w:pStyle w:val="BodyText"/>
        <w:spacing w:line="364" w:lineRule="auto" w:before="140"/>
        <w:ind w:right="6785"/>
      </w:pPr>
      <w:r>
        <w:rPr>
          <w:spacing w:val="-1"/>
        </w:rPr>
        <w:t>客户服务电话</w:t>
      </w:r>
      <w:r>
        <w:rPr/>
        <w:t>：0519-96005 传真：0519-89995170</w:t>
      </w:r>
    </w:p>
    <w:p>
      <w:pPr>
        <w:pStyle w:val="BodyText"/>
        <w:spacing w:line="268" w:lineRule="exact"/>
      </w:pPr>
      <w:hyperlink r:id="rId41">
        <w:r>
          <w:rPr/>
          <w:t>网址：http://www.jnbank.com.cn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江西银行</w:t>
      </w:r>
    </w:p>
    <w:p>
      <w:pPr>
        <w:pStyle w:val="BodyText"/>
        <w:spacing w:line="364" w:lineRule="auto" w:before="140"/>
        <w:ind w:right="4475"/>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39"/>
      </w:pPr>
      <w:r>
        <w:rPr/>
        <w:t>联系电话：0791-86796029</w:t>
      </w:r>
    </w:p>
    <w:p>
      <w:pPr>
        <w:pStyle w:val="BodyText"/>
        <w:spacing w:line="364" w:lineRule="auto" w:before="139"/>
        <w:ind w:right="7205"/>
      </w:pPr>
      <w:r>
        <w:rPr/>
        <w:t>客户服务电话：956055 传真：0791-86790795</w:t>
      </w:r>
    </w:p>
    <w:p>
      <w:pPr>
        <w:pStyle w:val="BodyText"/>
        <w:spacing w:line="268" w:lineRule="exact"/>
      </w:pPr>
      <w:hyperlink r:id="rId42">
        <w:r>
          <w:rPr/>
          <w:t>网址：www.jx-bank.com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金华银行</w:t>
      </w:r>
    </w:p>
    <w:p>
      <w:pPr>
        <w:pStyle w:val="BodyText"/>
        <w:spacing w:before="139"/>
      </w:pPr>
      <w:r>
        <w:rPr/>
        <w:t>注册地址：浙江省金华市丹溪路 1388 号</w:t>
      </w:r>
    </w:p>
    <w:p>
      <w:pPr>
        <w:pStyle w:val="BodyText"/>
        <w:spacing w:line="364" w:lineRule="auto" w:before="140"/>
        <w:ind w:right="5105"/>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39"/>
      </w:pPr>
      <w:r>
        <w:rPr/>
        <w:t>联系电话：0579-82178270</w:t>
      </w:r>
    </w:p>
    <w:p>
      <w:pPr>
        <w:pStyle w:val="BodyText"/>
        <w:spacing w:line="364" w:lineRule="auto" w:before="140"/>
        <w:ind w:right="6575"/>
      </w:pPr>
      <w:r>
        <w:rPr/>
        <w:t>客户服务电话：400-711-6668 传真：0579-82178321</w:t>
      </w:r>
    </w:p>
    <w:p>
      <w:pPr>
        <w:pStyle w:val="BodyText"/>
        <w:spacing w:line="268" w:lineRule="exact"/>
      </w:pPr>
      <w:hyperlink r:id="rId43">
        <w:r>
          <w:rPr/>
          <w:t>网址：www.jhccb.com.cn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锦州银行</w:t>
      </w:r>
    </w:p>
    <w:p>
      <w:pPr>
        <w:pStyle w:val="BodyText"/>
        <w:spacing w:line="364" w:lineRule="auto" w:before="140"/>
        <w:ind w:right="5840"/>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spacing w:after="0" w:line="364" w:lineRule="auto"/>
        <w:jc w:val="both"/>
        <w:sectPr>
          <w:pgSz w:w="11910" w:h="16840"/>
          <w:pgMar w:header="0" w:footer="664" w:top="1380" w:bottom="940" w:left="1580" w:right="380"/>
        </w:sectPr>
      </w:pPr>
    </w:p>
    <w:p>
      <w:pPr>
        <w:pStyle w:val="BodyText"/>
        <w:spacing w:before="45"/>
      </w:pPr>
      <w:r>
        <w:rPr/>
        <w:t>联系人：庞璐璐</w:t>
      </w:r>
    </w:p>
    <w:p>
      <w:pPr>
        <w:pStyle w:val="BodyText"/>
        <w:spacing w:line="364" w:lineRule="auto" w:before="139"/>
        <w:ind w:right="6575"/>
      </w:pPr>
      <w:r>
        <w:rPr/>
        <w:t>客户服务电话</w:t>
      </w:r>
      <w:r>
        <w:rPr>
          <w:spacing w:val="-2"/>
        </w:rPr>
        <w:t>：400-66-96178 </w:t>
      </w:r>
      <w:hyperlink r:id="rId44">
        <w:r>
          <w:rPr/>
          <w:t>网址：www.jinzhoubank.com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晋商银行</w:t>
      </w:r>
    </w:p>
    <w:p>
      <w:pPr>
        <w:pStyle w:val="BodyText"/>
        <w:spacing w:line="364" w:lineRule="auto" w:before="140"/>
        <w:ind w:right="5210"/>
        <w:jc w:val="both"/>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r>
        <w:rPr/>
        <w:t>法定代表人：阎俊生</w:t>
      </w:r>
    </w:p>
    <w:p>
      <w:pPr>
        <w:pStyle w:val="BodyText"/>
        <w:spacing w:line="268" w:lineRule="exact"/>
      </w:pPr>
      <w:r>
        <w:rPr/>
        <w:t>联系人：董嘉文</w:t>
      </w:r>
    </w:p>
    <w:p>
      <w:pPr>
        <w:pStyle w:val="BodyText"/>
        <w:spacing w:before="139"/>
      </w:pPr>
      <w:r>
        <w:rPr/>
        <w:t>联系电话：0351-6819579</w:t>
      </w:r>
    </w:p>
    <w:p>
      <w:pPr>
        <w:pStyle w:val="BodyText"/>
        <w:spacing w:line="364" w:lineRule="auto" w:before="140"/>
        <w:ind w:right="6890"/>
      </w:pPr>
      <w:r>
        <w:rPr/>
        <w:t>客户服务电话：9510-5588 传真：0351-6819926</w:t>
      </w:r>
    </w:p>
    <w:p>
      <w:pPr>
        <w:pStyle w:val="BodyText"/>
        <w:spacing w:line="268" w:lineRule="exact"/>
      </w:pPr>
      <w:hyperlink r:id="rId45">
        <w:r>
          <w:rPr/>
          <w:t>网址：www.jshbank.com</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九江银行</w:t>
      </w:r>
    </w:p>
    <w:p>
      <w:pPr>
        <w:pStyle w:val="BodyText"/>
        <w:spacing w:line="364" w:lineRule="auto" w:before="140"/>
        <w:ind w:right="4895"/>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39"/>
      </w:pPr>
      <w:r>
        <w:rPr/>
        <w:t>联系电话：0792-2171968</w:t>
      </w:r>
    </w:p>
    <w:p>
      <w:pPr>
        <w:pStyle w:val="BodyText"/>
        <w:spacing w:line="364" w:lineRule="auto" w:before="139"/>
        <w:ind w:right="7310"/>
      </w:pPr>
      <w:r>
        <w:rPr/>
        <w:t>客户服务电话：95316 </w:t>
      </w:r>
      <w:hyperlink r:id="rId46">
        <w:r>
          <w:rPr/>
          <w:t>网址：www.jjccb.com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昆山农村商业银行</w:t>
      </w:r>
    </w:p>
    <w:p>
      <w:pPr>
        <w:pStyle w:val="BodyText"/>
        <w:spacing w:line="364" w:lineRule="auto" w:before="140"/>
        <w:ind w:right="5525"/>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pStyle w:val="BodyText"/>
        <w:spacing w:line="268" w:lineRule="exact"/>
      </w:pPr>
      <w:r>
        <w:rPr/>
        <w:t>联系人：黄怡</w:t>
      </w:r>
    </w:p>
    <w:p>
      <w:pPr>
        <w:pStyle w:val="BodyText"/>
        <w:spacing w:line="364" w:lineRule="auto" w:before="139"/>
        <w:ind w:right="6785"/>
      </w:pPr>
      <w:r>
        <w:rPr/>
        <w:t>客户服务电话：0512-96079 </w:t>
      </w:r>
      <w:hyperlink r:id="rId47">
        <w:r>
          <w:rPr/>
          <w:t>网址：www.ksrcb.com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乐清农商银行</w:t>
      </w:r>
    </w:p>
    <w:p>
      <w:pPr>
        <w:pStyle w:val="BodyText"/>
        <w:spacing w:line="364" w:lineRule="auto" w:before="140"/>
        <w:ind w:right="4790"/>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before="140"/>
      </w:pPr>
      <w:r>
        <w:rPr/>
        <w:t>客户服务电话：4008896596</w:t>
      </w:r>
    </w:p>
    <w:p>
      <w:pPr>
        <w:spacing w:after="0"/>
        <w:sectPr>
          <w:pgSz w:w="11910" w:h="16840"/>
          <w:pgMar w:header="0" w:footer="664" w:top="1380" w:bottom="940" w:left="1580" w:right="380"/>
        </w:sectPr>
      </w:pPr>
    </w:p>
    <w:p>
      <w:pPr>
        <w:pStyle w:val="BodyText"/>
        <w:spacing w:before="45"/>
      </w:pPr>
      <w:r>
        <w:rPr/>
        <w:t>传真：0577-61566063</w:t>
      </w:r>
    </w:p>
    <w:p>
      <w:pPr>
        <w:pStyle w:val="BodyText"/>
        <w:spacing w:before="139"/>
      </w:pPr>
      <w:hyperlink r:id="rId48">
        <w:r>
          <w:rPr/>
          <w:t>网址：www.yqbank.com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龙江银行</w:t>
      </w:r>
    </w:p>
    <w:p>
      <w:pPr>
        <w:pStyle w:val="BodyText"/>
        <w:spacing w:line="364" w:lineRule="auto" w:before="139"/>
        <w:ind w:right="4685"/>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40"/>
      </w:pPr>
      <w:r>
        <w:rPr/>
        <w:t>联系电话：0451-85706107</w:t>
      </w:r>
    </w:p>
    <w:p>
      <w:pPr>
        <w:pStyle w:val="BodyText"/>
        <w:spacing w:line="364" w:lineRule="auto" w:before="139"/>
        <w:ind w:right="6575"/>
      </w:pPr>
      <w:r>
        <w:rPr/>
        <w:t>客户服务电话：400-645-8888 传真：0451-85706036</w:t>
      </w:r>
    </w:p>
    <w:p>
      <w:pPr>
        <w:pStyle w:val="BodyText"/>
        <w:spacing w:line="268" w:lineRule="exact"/>
      </w:pPr>
      <w:hyperlink r:id="rId49">
        <w:r>
          <w:rPr/>
          <w:t>网址：http://www.lj-bank.com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龙湾农商银行</w:t>
      </w:r>
    </w:p>
    <w:p>
      <w:pPr>
        <w:pStyle w:val="BodyText"/>
        <w:spacing w:line="364" w:lineRule="auto" w:before="139"/>
        <w:ind w:right="4055"/>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pStyle w:val="BodyText"/>
        <w:spacing w:line="268" w:lineRule="exact"/>
      </w:pPr>
      <w:r>
        <w:rPr/>
        <w:t>联系人：胡俊杰</w:t>
      </w:r>
    </w:p>
    <w:p>
      <w:pPr>
        <w:pStyle w:val="BodyText"/>
        <w:spacing w:before="139"/>
      </w:pPr>
      <w:r>
        <w:rPr/>
        <w:t>联系电话：0577-86923223</w:t>
      </w:r>
    </w:p>
    <w:p>
      <w:pPr>
        <w:pStyle w:val="BodyText"/>
        <w:spacing w:line="364" w:lineRule="auto" w:before="140"/>
        <w:ind w:right="6785"/>
      </w:pPr>
      <w:r>
        <w:rPr>
          <w:spacing w:val="-1"/>
        </w:rPr>
        <w:t>客户服务电话</w:t>
      </w:r>
      <w:r>
        <w:rPr/>
        <w:t>：4008296596 传真：0577-86921250</w:t>
      </w:r>
    </w:p>
    <w:p>
      <w:pPr>
        <w:pStyle w:val="BodyText"/>
        <w:spacing w:line="268" w:lineRule="exact"/>
      </w:pPr>
      <w:hyperlink r:id="rId50">
        <w:r>
          <w:rPr/>
          <w:t>网址：www.lwrcb.com</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鹿城农商银行</w:t>
      </w:r>
    </w:p>
    <w:p>
      <w:pPr>
        <w:pStyle w:val="BodyText"/>
        <w:spacing w:line="364" w:lineRule="auto" w:before="140"/>
        <w:ind w:right="4160"/>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7415"/>
      </w:pPr>
      <w:r>
        <w:rPr/>
        <w:t>法定代表人：陈宏强联系人：董雷</w:t>
      </w:r>
    </w:p>
    <w:p>
      <w:pPr>
        <w:pStyle w:val="BodyText"/>
        <w:spacing w:line="268" w:lineRule="exact"/>
      </w:pPr>
      <w:r>
        <w:rPr/>
        <w:t>联系电话：0577-88077675</w:t>
      </w:r>
    </w:p>
    <w:p>
      <w:pPr>
        <w:pStyle w:val="BodyText"/>
        <w:spacing w:before="138"/>
      </w:pPr>
      <w:r>
        <w:rPr/>
        <w:t>客户服务电话：96526</w:t>
      </w:r>
    </w:p>
    <w:p>
      <w:pPr>
        <w:pStyle w:val="BodyText"/>
        <w:spacing w:before="140"/>
      </w:pPr>
      <w:hyperlink r:id="rId51">
        <w:r>
          <w:rPr/>
          <w:t>网址：http://www.lcrcbank.com/</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洛阳银行</w:t>
      </w:r>
    </w:p>
    <w:p>
      <w:pPr>
        <w:pStyle w:val="BodyText"/>
        <w:spacing w:line="364" w:lineRule="auto" w:before="140"/>
        <w:ind w:right="4475"/>
      </w:pPr>
      <w:r>
        <w:rPr/>
        <w:t>注册地址：洛阳市洛阳新区开元大道与通济街交叉口办公地址：河南省洛阳市开元大道 256 号</w:t>
      </w:r>
    </w:p>
    <w:p>
      <w:pPr>
        <w:pStyle w:val="BodyText"/>
        <w:spacing w:line="364" w:lineRule="auto"/>
        <w:ind w:right="7415"/>
      </w:pPr>
      <w:r>
        <w:rPr/>
        <w:t>法定代表人：王建甫联系人：郭文博</w:t>
      </w:r>
    </w:p>
    <w:p>
      <w:pPr>
        <w:pStyle w:val="BodyText"/>
        <w:spacing w:line="268" w:lineRule="exact"/>
      </w:pPr>
      <w:r>
        <w:rPr/>
        <w:t>联系电话：0379-65921977</w:t>
      </w:r>
    </w:p>
    <w:p>
      <w:pPr>
        <w:spacing w:after="0" w:line="268" w:lineRule="exact"/>
        <w:sectPr>
          <w:pgSz w:w="11910" w:h="16840"/>
          <w:pgMar w:header="0" w:footer="664" w:top="1380" w:bottom="940" w:left="1580" w:right="380"/>
        </w:sectPr>
      </w:pPr>
    </w:p>
    <w:p>
      <w:pPr>
        <w:pStyle w:val="BodyText"/>
        <w:spacing w:line="364" w:lineRule="auto" w:before="45"/>
        <w:ind w:right="6785"/>
      </w:pPr>
      <w:r>
        <w:rPr/>
        <w:t>客户服务电话：0379-96699 传真：0379-65938595</w:t>
      </w:r>
    </w:p>
    <w:p>
      <w:pPr>
        <w:pStyle w:val="BodyText"/>
        <w:spacing w:line="268" w:lineRule="exact"/>
      </w:pPr>
      <w:hyperlink r:id="rId52">
        <w:r>
          <w:rPr/>
          <w:t>网址：www.bankofluoyang.com.cn/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宁波银行</w:t>
      </w:r>
    </w:p>
    <w:p>
      <w:pPr>
        <w:pStyle w:val="BodyText"/>
        <w:spacing w:line="364" w:lineRule="auto" w:before="140"/>
        <w:ind w:right="5105"/>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联系人：施豪迪</w:t>
      </w:r>
    </w:p>
    <w:p>
      <w:pPr>
        <w:pStyle w:val="BodyText"/>
        <w:spacing w:line="364" w:lineRule="auto" w:before="139"/>
        <w:ind w:right="7100"/>
      </w:pPr>
      <w:r>
        <w:rPr/>
        <w:t>客户服务电话：95574 </w:t>
      </w:r>
      <w:hyperlink r:id="rId53">
        <w:r>
          <w:rPr>
            <w:spacing w:val="-1"/>
          </w:rPr>
          <w:t>网址：www.nbcb.com.cn</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齐商银行</w:t>
      </w:r>
    </w:p>
    <w:p>
      <w:pPr>
        <w:pStyle w:val="BodyText"/>
        <w:spacing w:before="140"/>
      </w:pPr>
      <w:r>
        <w:rPr/>
        <w:t>注册地址：淄博市张店区中心路 105 号</w:t>
      </w:r>
    </w:p>
    <w:p>
      <w:pPr>
        <w:pStyle w:val="BodyText"/>
        <w:spacing w:line="364" w:lineRule="auto" w:before="139"/>
        <w:ind w:right="4895"/>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40"/>
      </w:pPr>
      <w:r>
        <w:rPr/>
        <w:t>联系电话：0533-2178888-9907</w:t>
      </w:r>
    </w:p>
    <w:p>
      <w:pPr>
        <w:pStyle w:val="BodyText"/>
        <w:spacing w:line="364" w:lineRule="auto" w:before="139"/>
        <w:ind w:right="6575"/>
      </w:pPr>
      <w:r>
        <w:rPr/>
        <w:t>客户服务电话</w:t>
      </w:r>
      <w:r>
        <w:rPr>
          <w:spacing w:val="-2"/>
        </w:rPr>
        <w:t>：400-86-96588 </w:t>
      </w:r>
      <w:r>
        <w:rPr/>
        <w:t>传真：0533-2180303</w:t>
      </w:r>
    </w:p>
    <w:p>
      <w:pPr>
        <w:pStyle w:val="BodyText"/>
        <w:spacing w:line="268" w:lineRule="exact"/>
      </w:pPr>
      <w:hyperlink r:id="rId54">
        <w:r>
          <w:rPr/>
          <w:t>网址：www.qsbank.cc</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青岛农商银行</w:t>
      </w:r>
    </w:p>
    <w:p>
      <w:pPr>
        <w:pStyle w:val="BodyText"/>
        <w:spacing w:line="364" w:lineRule="auto" w:before="140"/>
        <w:ind w:right="4685"/>
      </w:pPr>
      <w:r>
        <w:rPr>
          <w:spacing w:val="-3"/>
        </w:rPr>
        <w:t>注册地址：山东省青岛市崂山区秦岭路 </w:t>
      </w:r>
      <w:r>
        <w:rPr/>
        <w:t>6</w:t>
      </w:r>
      <w:r>
        <w:rPr>
          <w:spacing w:val="-36"/>
        </w:rPr>
        <w:t> 号 </w:t>
      </w:r>
      <w:r>
        <w:rPr/>
        <w:t>1</w:t>
      </w:r>
      <w:r>
        <w:rPr>
          <w:spacing w:val="-24"/>
        </w:rPr>
        <w:t> 号楼</w:t>
      </w:r>
      <w:r>
        <w:rPr>
          <w:spacing w:val="-3"/>
        </w:rPr>
        <w:t>办公地址：山东省青岛市崂山区秦岭路 </w:t>
      </w:r>
      <w:r>
        <w:rPr/>
        <w:t>6</w:t>
      </w:r>
      <w:r>
        <w:rPr>
          <w:spacing w:val="-27"/>
        </w:rPr>
        <w:t> 号</w:t>
      </w:r>
    </w:p>
    <w:p>
      <w:pPr>
        <w:pStyle w:val="BodyText"/>
        <w:spacing w:line="364" w:lineRule="auto"/>
        <w:ind w:right="7415"/>
      </w:pPr>
      <w:r>
        <w:rPr/>
        <w:t>法定代表人：刘仲生联系人：严菲</w:t>
      </w:r>
    </w:p>
    <w:p>
      <w:pPr>
        <w:pStyle w:val="BodyText"/>
        <w:spacing w:line="268" w:lineRule="exact"/>
      </w:pPr>
      <w:r>
        <w:rPr/>
        <w:t>联系电话：0532-66957360</w:t>
      </w:r>
    </w:p>
    <w:p>
      <w:pPr>
        <w:pStyle w:val="BodyText"/>
        <w:spacing w:line="364" w:lineRule="auto" w:before="138"/>
        <w:ind w:right="6785"/>
      </w:pPr>
      <w:r>
        <w:rPr/>
        <w:t>客户服务电话：0532-96668 传真：0532-66957229</w:t>
      </w:r>
    </w:p>
    <w:p>
      <w:pPr>
        <w:pStyle w:val="BodyText"/>
        <w:spacing w:line="268" w:lineRule="exact"/>
      </w:pPr>
      <w:hyperlink r:id="rId55">
        <w:r>
          <w:rPr/>
          <w:t>网址：www.qrcb.com.cn</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青岛银行</w:t>
      </w:r>
    </w:p>
    <w:p>
      <w:pPr>
        <w:pStyle w:val="BodyText"/>
        <w:spacing w:line="364" w:lineRule="auto" w:before="139"/>
        <w:ind w:right="4685"/>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40"/>
      </w:pPr>
      <w:r>
        <w:rPr/>
        <w:t>联系电话：0532-68629925</w:t>
      </w:r>
    </w:p>
    <w:p>
      <w:pPr>
        <w:spacing w:after="0"/>
        <w:sectPr>
          <w:pgSz w:w="11910" w:h="16840"/>
          <w:pgMar w:header="0" w:footer="664" w:top="1380" w:bottom="940" w:left="1580" w:right="380"/>
        </w:sectPr>
      </w:pPr>
    </w:p>
    <w:p>
      <w:pPr>
        <w:pStyle w:val="BodyText"/>
        <w:spacing w:line="364" w:lineRule="auto" w:before="45"/>
        <w:ind w:right="4370"/>
      </w:pPr>
      <w:r>
        <w:rPr/>
        <w:t>客户服务电话：96588（青岛）400-66-96588（全国） </w:t>
      </w:r>
      <w:hyperlink r:id="rId56">
        <w:r>
          <w:rPr/>
          <w:t>网址：http://www.qdccb.com/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泉州银行</w:t>
      </w:r>
    </w:p>
    <w:p>
      <w:pPr>
        <w:pStyle w:val="BodyText"/>
        <w:spacing w:line="364" w:lineRule="auto" w:before="139"/>
        <w:ind w:right="5945"/>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6575"/>
      </w:pPr>
      <w:r>
        <w:rPr/>
        <w:t>客户服务电话：400-88-96312 传真：0595-22578871</w:t>
      </w:r>
    </w:p>
    <w:p>
      <w:pPr>
        <w:pStyle w:val="BodyText"/>
        <w:spacing w:line="268" w:lineRule="exact"/>
      </w:pPr>
      <w:hyperlink r:id="rId57">
        <w:r>
          <w:rPr/>
          <w:t>网址：http://www.qzccbank.com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日照银行</w:t>
      </w:r>
    </w:p>
    <w:p>
      <w:pPr>
        <w:pStyle w:val="BodyText"/>
        <w:spacing w:line="364" w:lineRule="auto" w:before="139"/>
        <w:ind w:right="5735"/>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40"/>
      </w:pPr>
      <w:r>
        <w:rPr/>
        <w:t>联系电话：0633-8081590</w:t>
      </w:r>
    </w:p>
    <w:p>
      <w:pPr>
        <w:pStyle w:val="BodyText"/>
        <w:spacing w:line="364" w:lineRule="auto" w:before="139"/>
        <w:ind w:right="3740"/>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58">
        <w:r>
          <w:rPr/>
          <w:t>网址：http://www.bankofrizhao.com.cn/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瑞安农商银行</w:t>
      </w:r>
    </w:p>
    <w:p>
      <w:pPr>
        <w:pStyle w:val="BodyText"/>
        <w:spacing w:line="364" w:lineRule="auto" w:before="140"/>
        <w:ind w:right="5315"/>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联系人：吴清萍</w:t>
      </w:r>
    </w:p>
    <w:p>
      <w:pPr>
        <w:pStyle w:val="BodyText"/>
        <w:spacing w:before="139"/>
      </w:pPr>
      <w:r>
        <w:rPr/>
        <w:t>联系电话：0577-66816501</w:t>
      </w:r>
    </w:p>
    <w:p>
      <w:pPr>
        <w:pStyle w:val="BodyText"/>
        <w:spacing w:before="140"/>
      </w:pPr>
      <w:r>
        <w:rPr/>
        <w:t>客户服务电话：4008057702</w:t>
      </w:r>
    </w:p>
    <w:p>
      <w:pPr>
        <w:pStyle w:val="BodyText"/>
        <w:spacing w:before="139"/>
      </w:pPr>
      <w:hyperlink r:id="rId59">
        <w:r>
          <w:rPr/>
          <w:t>网址：https://www.rarcbank.com/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瑞丰银行</w:t>
      </w:r>
    </w:p>
    <w:p>
      <w:pPr>
        <w:pStyle w:val="BodyText"/>
        <w:spacing w:line="364" w:lineRule="auto" w:before="139"/>
        <w:ind w:right="5000"/>
        <w:jc w:val="both"/>
      </w:pPr>
      <w:r>
        <w:rPr>
          <w:spacing w:val="-3"/>
        </w:rPr>
        <w:t>注册地址：浙江省绍兴市柯桥区笛扬路 </w:t>
      </w:r>
      <w:r>
        <w:rPr/>
        <w:t>1363</w:t>
      </w:r>
      <w:r>
        <w:rPr>
          <w:spacing w:val="-36"/>
        </w:rPr>
        <w:t> 号</w:t>
      </w:r>
      <w:r>
        <w:rPr>
          <w:spacing w:val="-3"/>
        </w:rPr>
        <w:t>办公地址：浙江省绍兴市柯桥区笛扬路 </w:t>
      </w:r>
      <w:r>
        <w:rPr/>
        <w:t>1363</w:t>
      </w:r>
      <w:r>
        <w:rPr>
          <w:spacing w:val="-36"/>
        </w:rPr>
        <w:t> 号</w:t>
      </w:r>
      <w:r>
        <w:rPr/>
        <w:t>法定代表人：章伟东</w:t>
      </w:r>
    </w:p>
    <w:p>
      <w:pPr>
        <w:pStyle w:val="BodyText"/>
        <w:spacing w:line="268" w:lineRule="exact"/>
      </w:pPr>
      <w:r>
        <w:rPr/>
        <w:t>联系人：孟建潮</w:t>
      </w:r>
    </w:p>
    <w:p>
      <w:pPr>
        <w:pStyle w:val="BodyText"/>
        <w:spacing w:before="140"/>
      </w:pPr>
      <w:r>
        <w:rPr/>
        <w:t>联系电话：0575-81105323</w:t>
      </w:r>
    </w:p>
    <w:p>
      <w:pPr>
        <w:spacing w:after="0"/>
        <w:sectPr>
          <w:pgSz w:w="11910" w:h="16840"/>
          <w:pgMar w:header="0" w:footer="664" w:top="1380" w:bottom="940" w:left="1580" w:right="380"/>
        </w:sectPr>
      </w:pPr>
    </w:p>
    <w:p>
      <w:pPr>
        <w:pStyle w:val="BodyText"/>
        <w:spacing w:line="364" w:lineRule="auto" w:before="45"/>
        <w:ind w:right="6575"/>
      </w:pPr>
      <w:r>
        <w:rPr/>
        <w:t>客户服务电话：400-88-96596 传真：0575-84788134</w:t>
      </w:r>
    </w:p>
    <w:p>
      <w:pPr>
        <w:pStyle w:val="BodyText"/>
        <w:spacing w:line="268" w:lineRule="exact"/>
      </w:pPr>
      <w:hyperlink r:id="rId60">
        <w:r>
          <w:rPr/>
          <w:t>网址：www.borf.cn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上海农村商业银行</w:t>
      </w:r>
    </w:p>
    <w:p>
      <w:pPr>
        <w:pStyle w:val="BodyText"/>
        <w:spacing w:before="140"/>
      </w:pPr>
      <w:r>
        <w:rPr/>
        <w:t>注册地址：上海市黄浦区中山东二路 70 号</w:t>
      </w:r>
    </w:p>
    <w:p>
      <w:pPr>
        <w:pStyle w:val="BodyText"/>
        <w:spacing w:line="364" w:lineRule="auto" w:before="139"/>
        <w:ind w:right="3740"/>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40"/>
      </w:pPr>
      <w:r>
        <w:rPr/>
        <w:t>联系电话：021-61899999</w:t>
      </w:r>
    </w:p>
    <w:p>
      <w:pPr>
        <w:pStyle w:val="BodyText"/>
        <w:spacing w:before="139"/>
      </w:pPr>
      <w:r>
        <w:rPr/>
        <w:t>客户服务电话：021-962999、4006962999</w:t>
      </w:r>
    </w:p>
    <w:p>
      <w:pPr>
        <w:pStyle w:val="BodyText"/>
        <w:spacing w:line="364" w:lineRule="auto" w:before="140"/>
        <w:ind w:right="5945"/>
      </w:pPr>
      <w:r>
        <w:rPr/>
        <w:t>开放式基金业务传真：021-50105124 </w:t>
      </w:r>
      <w:hyperlink r:id="rId61">
        <w:r>
          <w:rPr/>
          <w:t>网址：www.srcb.com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上海银行</w:t>
      </w:r>
    </w:p>
    <w:p>
      <w:pPr>
        <w:pStyle w:val="BodyText"/>
        <w:spacing w:line="364" w:lineRule="auto" w:before="139"/>
        <w:ind w:right="4055"/>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7625"/>
      </w:pPr>
      <w:r>
        <w:rPr/>
        <w:t>法定代表人：金煜联系人：王笑</w:t>
      </w:r>
    </w:p>
    <w:p>
      <w:pPr>
        <w:pStyle w:val="BodyText"/>
        <w:spacing w:line="268" w:lineRule="exact"/>
      </w:pPr>
      <w:r>
        <w:rPr/>
        <w:t>联系电话：021-68475732</w:t>
      </w:r>
    </w:p>
    <w:p>
      <w:pPr>
        <w:pStyle w:val="BodyText"/>
        <w:spacing w:before="139"/>
      </w:pPr>
      <w:r>
        <w:rPr/>
        <w:t>客户服务电话：95594</w:t>
      </w:r>
    </w:p>
    <w:p>
      <w:pPr>
        <w:pStyle w:val="BodyText"/>
        <w:spacing w:before="139"/>
      </w:pPr>
      <w:hyperlink r:id="rId62">
        <w:r>
          <w:rPr/>
          <w:t>网址：http://www.bosc.cn/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顺德农村商业银行</w:t>
      </w:r>
    </w:p>
    <w:p>
      <w:pPr>
        <w:pStyle w:val="BodyText"/>
        <w:spacing w:line="364" w:lineRule="auto" w:before="140"/>
        <w:ind w:right="4475"/>
        <w:jc w:val="both"/>
      </w:pPr>
      <w:r>
        <w:rPr>
          <w:spacing w:val="-3"/>
        </w:rPr>
        <w:t>注册地址：佛山市顺德区大良德和居委会拥翠路 </w:t>
      </w:r>
      <w:r>
        <w:rPr/>
        <w:t>2</w:t>
      </w:r>
      <w:r>
        <w:rPr>
          <w:spacing w:val="-36"/>
        </w:rPr>
        <w:t> 号</w:t>
      </w:r>
      <w:r>
        <w:rPr>
          <w:spacing w:val="-3"/>
        </w:rPr>
        <w:t>办公地址：佛山市顺德区大良德和居委会拥翠路 </w:t>
      </w:r>
      <w:r>
        <w:rPr/>
        <w:t>2</w:t>
      </w:r>
      <w:r>
        <w:rPr>
          <w:spacing w:val="-36"/>
        </w:rPr>
        <w:t> 号</w:t>
      </w:r>
      <w:r>
        <w:rPr/>
        <w:t>法定代表人：姚真勇</w:t>
      </w:r>
    </w:p>
    <w:p>
      <w:pPr>
        <w:pStyle w:val="BodyText"/>
        <w:spacing w:line="364" w:lineRule="auto"/>
        <w:ind w:right="6890"/>
      </w:pPr>
      <w:r>
        <w:rPr/>
        <w:t>联系人：杨素苗、区敏欣联系电话：0757-22382524</w:t>
      </w:r>
    </w:p>
    <w:p>
      <w:pPr>
        <w:pStyle w:val="BodyText"/>
        <w:spacing w:line="364" w:lineRule="auto"/>
        <w:ind w:right="6470"/>
      </w:pPr>
      <w:r>
        <w:rPr/>
        <w:t>客户服务电话：0757-22223388 传真：0757-22388235</w:t>
      </w:r>
    </w:p>
    <w:p>
      <w:pPr>
        <w:pStyle w:val="BodyText"/>
        <w:spacing w:line="268" w:lineRule="exact"/>
      </w:pPr>
      <w:hyperlink r:id="rId63">
        <w:r>
          <w:rPr/>
          <w:t>网址：www.sdebank.com</w:t>
        </w:r>
      </w:hyperlink>
    </w:p>
    <w:p>
      <w:pPr>
        <w:pStyle w:val="ListParagraph"/>
        <w:numPr>
          <w:ilvl w:val="0"/>
          <w:numId w:val="8"/>
        </w:numPr>
        <w:tabs>
          <w:tab w:pos="1165" w:val="left" w:leader="none"/>
        </w:tabs>
        <w:spacing w:line="240" w:lineRule="auto" w:before="137" w:after="0"/>
        <w:ind w:left="1165" w:right="0" w:hanging="525"/>
        <w:jc w:val="both"/>
        <w:rPr>
          <w:sz w:val="21"/>
        </w:rPr>
      </w:pPr>
      <w:r>
        <w:rPr>
          <w:sz w:val="21"/>
        </w:rPr>
        <w:t>四川天府银行</w:t>
      </w:r>
    </w:p>
    <w:p>
      <w:pPr>
        <w:pStyle w:val="BodyText"/>
        <w:spacing w:before="139"/>
      </w:pPr>
      <w:r>
        <w:rPr/>
        <w:t>注册地址：四川省南充市涪江路 1 号</w:t>
      </w:r>
    </w:p>
    <w:p>
      <w:pPr>
        <w:pStyle w:val="BodyText"/>
        <w:spacing w:line="364" w:lineRule="auto" w:before="140"/>
        <w:ind w:right="4265"/>
      </w:pPr>
      <w:r>
        <w:rPr>
          <w:spacing w:val="-3"/>
        </w:rPr>
        <w:t>办公地址：四川省成都市锦江区东大街下东大街 </w:t>
      </w:r>
      <w:r>
        <w:rPr/>
        <w:t>258</w:t>
      </w:r>
      <w:r>
        <w:rPr>
          <w:spacing w:val="-36"/>
        </w:rPr>
        <w:t> 号</w:t>
      </w:r>
      <w:r>
        <w:rPr/>
        <w:t>法定代表人：邢敏</w:t>
      </w:r>
    </w:p>
    <w:p>
      <w:pPr>
        <w:pStyle w:val="BodyText"/>
        <w:spacing w:line="268" w:lineRule="exact"/>
      </w:pPr>
      <w:r>
        <w:rPr/>
        <w:t>联系人：周乃雍</w:t>
      </w:r>
    </w:p>
    <w:p>
      <w:pPr>
        <w:spacing w:after="0" w:line="268" w:lineRule="exact"/>
        <w:sectPr>
          <w:pgSz w:w="11910" w:h="16840"/>
          <w:pgMar w:header="0" w:footer="664" w:top="1380" w:bottom="940" w:left="1580" w:right="380"/>
        </w:sectPr>
      </w:pPr>
    </w:p>
    <w:p>
      <w:pPr>
        <w:pStyle w:val="BodyText"/>
        <w:spacing w:before="45"/>
      </w:pPr>
      <w:r>
        <w:rPr/>
        <w:t>联系电话：028-67676038</w:t>
      </w:r>
    </w:p>
    <w:p>
      <w:pPr>
        <w:pStyle w:val="BodyText"/>
        <w:spacing w:line="364" w:lineRule="auto" w:before="139"/>
        <w:ind w:right="6575"/>
      </w:pPr>
      <w:r>
        <w:rPr/>
        <w:t>客户服务电话：400-16-96869 </w:t>
      </w:r>
      <w:hyperlink r:id="rId64">
        <w:r>
          <w:rPr/>
          <w:t>网址：www.tf.cn</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苏州农村商业银行</w:t>
      </w:r>
    </w:p>
    <w:p>
      <w:pPr>
        <w:pStyle w:val="BodyText"/>
        <w:spacing w:line="364" w:lineRule="auto" w:before="140"/>
        <w:ind w:right="4790"/>
        <w:jc w:val="both"/>
      </w:pPr>
      <w:r>
        <w:rPr>
          <w:spacing w:val="-3"/>
        </w:rPr>
        <w:t>注册地址：江苏省苏州市吴江区中山南路 </w:t>
      </w:r>
      <w:r>
        <w:rPr/>
        <w:t>1777</w:t>
      </w:r>
      <w:r>
        <w:rPr>
          <w:spacing w:val="-36"/>
        </w:rPr>
        <w:t> 号</w:t>
      </w:r>
      <w:r>
        <w:rPr>
          <w:spacing w:val="-3"/>
        </w:rPr>
        <w:t>办公地址：江苏省苏州市吴江区中山南路 </w:t>
      </w:r>
      <w:r>
        <w:rPr/>
        <w:t>1777</w:t>
      </w:r>
      <w:r>
        <w:rPr>
          <w:spacing w:val="-36"/>
        </w:rPr>
        <w:t> 号</w:t>
      </w:r>
      <w:r>
        <w:rPr/>
        <w:t>法定代表人：魏礼亚</w:t>
      </w:r>
    </w:p>
    <w:p>
      <w:pPr>
        <w:pStyle w:val="BodyText"/>
        <w:spacing w:line="268" w:lineRule="exact"/>
      </w:pPr>
      <w:r>
        <w:rPr/>
        <w:t>联系人：杨晨</w:t>
      </w:r>
    </w:p>
    <w:p>
      <w:pPr>
        <w:pStyle w:val="BodyText"/>
        <w:spacing w:before="139"/>
      </w:pPr>
      <w:r>
        <w:rPr/>
        <w:t>联系电话：0512-63969209</w:t>
      </w:r>
    </w:p>
    <w:p>
      <w:pPr>
        <w:pStyle w:val="BodyText"/>
        <w:spacing w:line="364" w:lineRule="auto" w:before="140"/>
        <w:ind w:right="3425"/>
      </w:pPr>
      <w:r>
        <w:rPr/>
        <w:t>客户服务电话：96068（江苏省内</w:t>
      </w:r>
      <w:r>
        <w:rPr>
          <w:spacing w:val="-105"/>
        </w:rPr>
        <w:t>）</w:t>
      </w:r>
      <w:r>
        <w:rPr/>
        <w:t>、400-86-96068（江苏省外</w:t>
      </w:r>
      <w:r>
        <w:rPr>
          <w:spacing w:val="-19"/>
        </w:rPr>
        <w:t>） </w:t>
      </w:r>
      <w:r>
        <w:rPr/>
        <w:t>传真：0512-63969071</w:t>
      </w:r>
    </w:p>
    <w:p>
      <w:pPr>
        <w:pStyle w:val="BodyText"/>
        <w:spacing w:line="268" w:lineRule="exact"/>
      </w:pPr>
      <w:hyperlink r:id="rId65">
        <w:r>
          <w:rPr/>
          <w:t>网址：www.wjrcb.com</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苏州银行</w:t>
      </w:r>
    </w:p>
    <w:p>
      <w:pPr>
        <w:pStyle w:val="BodyText"/>
        <w:spacing w:line="364" w:lineRule="auto" w:before="140"/>
        <w:ind w:right="4895"/>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line="364" w:lineRule="auto" w:before="139"/>
        <w:ind w:right="7310"/>
      </w:pPr>
      <w:r>
        <w:rPr/>
        <w:t>客户服务电话：96067 传真：0512-69868373</w:t>
      </w:r>
    </w:p>
    <w:p>
      <w:pPr>
        <w:pStyle w:val="BodyText"/>
        <w:spacing w:line="268" w:lineRule="exact"/>
      </w:pPr>
      <w:hyperlink r:id="rId66">
        <w:r>
          <w:rPr/>
          <w:t>网址：www.suzhoubank.com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天津农商银行</w:t>
      </w:r>
    </w:p>
    <w:p>
      <w:pPr>
        <w:pStyle w:val="BodyText"/>
        <w:spacing w:line="364" w:lineRule="auto" w:before="139"/>
        <w:ind w:right="3110"/>
        <w:jc w:val="both"/>
      </w:pPr>
      <w:r>
        <w:rPr>
          <w:spacing w:val="-4"/>
        </w:rPr>
        <w:t>注册地址：天津市河西区马场道 </w:t>
      </w:r>
      <w:r>
        <w:rPr/>
        <w:t>59</w:t>
      </w:r>
      <w:r>
        <w:rPr>
          <w:spacing w:val="-13"/>
        </w:rPr>
        <w:t> 号国际经济贸易中心 </w:t>
      </w:r>
      <w:r>
        <w:rPr/>
        <w:t>A</w:t>
      </w:r>
      <w:r>
        <w:rPr>
          <w:spacing w:val="-36"/>
        </w:rPr>
        <w:t> 座 </w:t>
      </w:r>
      <w:r>
        <w:rPr/>
        <w:t>1-6</w:t>
      </w:r>
      <w:r>
        <w:rPr>
          <w:spacing w:val="-35"/>
        </w:rPr>
        <w:t> 层</w:t>
      </w:r>
      <w:r>
        <w:rPr>
          <w:spacing w:val="-4"/>
        </w:rPr>
        <w:t>办公地址：天津市河西区马场道 </w:t>
      </w:r>
      <w:r>
        <w:rPr/>
        <w:t>59</w:t>
      </w:r>
      <w:r>
        <w:rPr>
          <w:spacing w:val="-13"/>
        </w:rPr>
        <w:t> 号国际经济贸易中心 </w:t>
      </w:r>
      <w:r>
        <w:rPr/>
        <w:t>A</w:t>
      </w:r>
      <w:r>
        <w:rPr>
          <w:spacing w:val="-36"/>
        </w:rPr>
        <w:t> 座 </w:t>
      </w:r>
      <w:r>
        <w:rPr/>
        <w:t>1-6</w:t>
      </w:r>
      <w:r>
        <w:rPr>
          <w:spacing w:val="-35"/>
        </w:rPr>
        <w:t> 层</w:t>
      </w:r>
      <w:r>
        <w:rPr/>
        <w:t>法定代表人：徐庆宏</w:t>
      </w:r>
    </w:p>
    <w:p>
      <w:pPr>
        <w:pStyle w:val="BodyText"/>
        <w:spacing w:line="268" w:lineRule="exact"/>
      </w:pPr>
      <w:r>
        <w:rPr/>
        <w:t>联系人：满与谦、梁冯雷</w:t>
      </w:r>
    </w:p>
    <w:p>
      <w:pPr>
        <w:pStyle w:val="BodyText"/>
        <w:spacing w:line="364" w:lineRule="auto" w:before="140"/>
        <w:ind w:right="5420"/>
      </w:pPr>
      <w:r>
        <w:rPr/>
        <w:t>联系电话：022-83872155，022-83872800 客户服务电话：022-96155，400-80-96155 传真：022-83872156</w:t>
      </w:r>
    </w:p>
    <w:p>
      <w:pPr>
        <w:pStyle w:val="BodyText"/>
        <w:spacing w:line="268" w:lineRule="exact"/>
      </w:pPr>
      <w:hyperlink r:id="rId67">
        <w:r>
          <w:rPr/>
          <w:t>网址：www.trcbank.com.cn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天津银行</w:t>
      </w:r>
    </w:p>
    <w:p>
      <w:pPr>
        <w:pStyle w:val="BodyText"/>
        <w:spacing w:line="364" w:lineRule="auto" w:before="140"/>
        <w:ind w:right="5840"/>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spacing w:after="0" w:line="364" w:lineRule="auto"/>
        <w:jc w:val="both"/>
        <w:sectPr>
          <w:pgSz w:w="11910" w:h="16840"/>
          <w:pgMar w:header="0" w:footer="664" w:top="1380" w:bottom="940" w:left="1580" w:right="380"/>
        </w:sectPr>
      </w:pPr>
    </w:p>
    <w:p>
      <w:pPr>
        <w:pStyle w:val="BodyText"/>
        <w:spacing w:before="45"/>
      </w:pPr>
      <w:r>
        <w:rPr/>
        <w:t>联系人：李岩</w:t>
      </w:r>
    </w:p>
    <w:p>
      <w:pPr>
        <w:pStyle w:val="BodyText"/>
        <w:spacing w:before="139"/>
      </w:pPr>
      <w:r>
        <w:rPr/>
        <w:t>联系电话：022-28405684</w:t>
      </w:r>
    </w:p>
    <w:p>
      <w:pPr>
        <w:pStyle w:val="BodyText"/>
        <w:spacing w:line="364" w:lineRule="auto" w:before="140"/>
        <w:ind w:right="7205"/>
      </w:pPr>
      <w:r>
        <w:rPr/>
        <w:t>客户服务电话：956056 传真：022-28405631</w:t>
      </w:r>
    </w:p>
    <w:p>
      <w:pPr>
        <w:pStyle w:val="BodyText"/>
        <w:spacing w:line="268" w:lineRule="exact"/>
      </w:pPr>
      <w:hyperlink r:id="rId68">
        <w:r>
          <w:rPr/>
          <w:t>网址：www.bank-of-tianjin.com.cn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威海市商业银行</w:t>
      </w:r>
    </w:p>
    <w:p>
      <w:pPr>
        <w:pStyle w:val="BodyText"/>
        <w:spacing w:before="140"/>
      </w:pPr>
      <w:r>
        <w:rPr/>
        <w:t>注册地址：威海市宝泉路 9 号</w:t>
      </w:r>
    </w:p>
    <w:p>
      <w:pPr>
        <w:pStyle w:val="BodyText"/>
        <w:spacing w:line="364" w:lineRule="auto" w:before="139"/>
        <w:ind w:right="5735"/>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40"/>
      </w:pPr>
      <w:r>
        <w:rPr/>
        <w:t>联系电话：0531-68978175</w:t>
      </w:r>
    </w:p>
    <w:p>
      <w:pPr>
        <w:pStyle w:val="BodyText"/>
        <w:spacing w:before="139"/>
      </w:pPr>
      <w:r>
        <w:rPr/>
        <w:t>客户服务电话：山东省内 96636、中国境内 40000-96636</w:t>
      </w:r>
    </w:p>
    <w:p>
      <w:pPr>
        <w:pStyle w:val="BodyText"/>
        <w:spacing w:before="139"/>
      </w:pPr>
      <w:r>
        <w:rPr/>
        <w:t>传真：0531-68978176</w:t>
      </w:r>
    </w:p>
    <w:p>
      <w:pPr>
        <w:pStyle w:val="BodyText"/>
        <w:spacing w:before="140"/>
      </w:pPr>
      <w:hyperlink r:id="rId69">
        <w:r>
          <w:rPr/>
          <w:t>网址：www.whccb.com</w:t>
        </w:r>
      </w:hyperlink>
      <w:r>
        <w:rPr/>
        <w:t>，</w:t>
      </w:r>
      <w:hyperlink r:id="rId70">
        <w:r>
          <w:rPr/>
          <w:t>www.whccb.com.cn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潍坊银行</w:t>
      </w:r>
    </w:p>
    <w:p>
      <w:pPr>
        <w:pStyle w:val="BodyText"/>
        <w:spacing w:line="364" w:lineRule="auto" w:before="140"/>
        <w:ind w:right="4790"/>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39"/>
      </w:pPr>
      <w:r>
        <w:rPr/>
        <w:t>联系电话：0536-8051904</w:t>
      </w:r>
    </w:p>
    <w:p>
      <w:pPr>
        <w:pStyle w:val="BodyText"/>
        <w:spacing w:line="364" w:lineRule="auto" w:before="140"/>
        <w:ind w:right="6575"/>
      </w:pPr>
      <w:r>
        <w:rPr/>
        <w:t>客户服务电话</w:t>
      </w:r>
      <w:r>
        <w:rPr>
          <w:spacing w:val="-2"/>
        </w:rPr>
        <w:t>：400-61-96588 </w:t>
      </w:r>
      <w:r>
        <w:rPr/>
        <w:t>传真：0536-8056061</w:t>
      </w:r>
    </w:p>
    <w:p>
      <w:pPr>
        <w:pStyle w:val="BodyText"/>
        <w:spacing w:line="268" w:lineRule="exact"/>
      </w:pPr>
      <w:hyperlink r:id="rId71">
        <w:r>
          <w:rPr/>
          <w:t>网址：www.wfccb.com</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萧山农商银行</w:t>
      </w:r>
    </w:p>
    <w:p>
      <w:pPr>
        <w:pStyle w:val="BodyText"/>
        <w:spacing w:before="140"/>
      </w:pPr>
      <w:r>
        <w:rPr>
          <w:spacing w:val="-5"/>
        </w:rPr>
        <w:t>注册地址：萧山区人民路 </w:t>
      </w:r>
      <w:r>
        <w:rPr/>
        <w:t>258</w:t>
      </w:r>
      <w:r>
        <w:rPr>
          <w:spacing w:val="-27"/>
        </w:rPr>
        <w:t> 号</w:t>
      </w:r>
    </w:p>
    <w:p>
      <w:pPr>
        <w:pStyle w:val="BodyText"/>
        <w:spacing w:line="364" w:lineRule="auto" w:before="139"/>
        <w:ind w:right="5105"/>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39"/>
      </w:pPr>
      <w:r>
        <w:rPr/>
        <w:t>联系电话：0571-82739513</w:t>
      </w:r>
    </w:p>
    <w:p>
      <w:pPr>
        <w:pStyle w:val="BodyText"/>
        <w:spacing w:before="140"/>
      </w:pPr>
      <w:r>
        <w:rPr/>
        <w:t>客户服务电话：96596</w:t>
      </w:r>
    </w:p>
    <w:p>
      <w:pPr>
        <w:pStyle w:val="BodyText"/>
        <w:spacing w:before="139"/>
      </w:pPr>
      <w:hyperlink r:id="rId72">
        <w:r>
          <w:rPr/>
          <w:t>网址：http://www.zjxsbank.com/</w:t>
        </w:r>
      </w:hyperlink>
    </w:p>
    <w:p>
      <w:pPr>
        <w:pStyle w:val="ListParagraph"/>
        <w:numPr>
          <w:ilvl w:val="0"/>
          <w:numId w:val="8"/>
        </w:numPr>
        <w:tabs>
          <w:tab w:pos="1165" w:val="left" w:leader="none"/>
        </w:tabs>
        <w:spacing w:line="240" w:lineRule="auto" w:before="140" w:after="0"/>
        <w:ind w:left="1165" w:right="0" w:hanging="525"/>
        <w:jc w:val="left"/>
        <w:rPr>
          <w:sz w:val="21"/>
        </w:rPr>
      </w:pPr>
      <w:r>
        <w:rPr>
          <w:sz w:val="21"/>
        </w:rPr>
        <w:t>余杭农村商业银行</w:t>
      </w:r>
    </w:p>
    <w:p>
      <w:pPr>
        <w:pStyle w:val="BodyText"/>
        <w:spacing w:line="364" w:lineRule="auto" w:before="139"/>
        <w:ind w:right="5000"/>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p>
    <w:p>
      <w:pPr>
        <w:spacing w:after="0" w:line="364" w:lineRule="auto"/>
        <w:sectPr>
          <w:pgSz w:w="11910" w:h="16840"/>
          <w:pgMar w:header="0" w:footer="664" w:top="1380" w:bottom="940" w:left="1580" w:right="380"/>
        </w:sectPr>
      </w:pPr>
    </w:p>
    <w:p>
      <w:pPr>
        <w:pStyle w:val="BodyText"/>
        <w:spacing w:line="364" w:lineRule="auto" w:before="45"/>
        <w:ind w:right="7415"/>
      </w:pPr>
      <w:r>
        <w:rPr/>
        <w:t>法定代表人：来煜标联系人：蔡亮</w:t>
      </w:r>
    </w:p>
    <w:p>
      <w:pPr>
        <w:pStyle w:val="BodyText"/>
        <w:spacing w:line="268" w:lineRule="exact"/>
      </w:pPr>
      <w:r>
        <w:rPr/>
        <w:t>联系电话：0571-86209980</w:t>
      </w:r>
    </w:p>
    <w:p>
      <w:pPr>
        <w:pStyle w:val="BodyText"/>
        <w:spacing w:line="364" w:lineRule="auto" w:before="139"/>
        <w:ind w:right="6050"/>
      </w:pPr>
      <w:r>
        <w:rPr/>
        <w:t>客户服务电话：96596，4008896596 </w:t>
      </w:r>
      <w:hyperlink r:id="rId73">
        <w:r>
          <w:rPr/>
          <w:t>网址：www.yhrcb.com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云南红塔银行</w:t>
      </w:r>
    </w:p>
    <w:p>
      <w:pPr>
        <w:pStyle w:val="BodyText"/>
        <w:spacing w:before="140"/>
      </w:pPr>
      <w:r>
        <w:rPr/>
        <w:t>注册地址：云南省玉溪市东风南路 2 号</w:t>
      </w:r>
    </w:p>
    <w:p>
      <w:pPr>
        <w:pStyle w:val="BodyText"/>
        <w:spacing w:line="364" w:lineRule="auto" w:before="139"/>
        <w:ind w:right="4475"/>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40"/>
      </w:pPr>
      <w:r>
        <w:rPr/>
        <w:t>联系电话：0871-65236624</w:t>
      </w:r>
    </w:p>
    <w:p>
      <w:pPr>
        <w:pStyle w:val="BodyText"/>
        <w:spacing w:line="364" w:lineRule="auto" w:before="139"/>
        <w:ind w:right="6785"/>
      </w:pPr>
      <w:r>
        <w:rPr>
          <w:spacing w:val="-1"/>
        </w:rPr>
        <w:t>客户服务电话</w:t>
      </w:r>
      <w:r>
        <w:rPr/>
        <w:t>：0877-96522 </w:t>
      </w:r>
      <w:hyperlink r:id="rId74">
        <w:r>
          <w:rPr/>
          <w:t>网址：www.ynhtbank.com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浙江稠州商业银行</w:t>
      </w:r>
    </w:p>
    <w:p>
      <w:pPr>
        <w:pStyle w:val="BodyText"/>
        <w:spacing w:line="364" w:lineRule="auto" w:before="140"/>
        <w:ind w:right="4895"/>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39"/>
      </w:pPr>
      <w:r>
        <w:rPr/>
        <w:t>联系电话：0571-87117661/13777805250</w:t>
      </w:r>
    </w:p>
    <w:p>
      <w:pPr>
        <w:pStyle w:val="BodyText"/>
        <w:spacing w:line="364" w:lineRule="auto" w:before="139"/>
        <w:ind w:right="6785"/>
      </w:pPr>
      <w:r>
        <w:rPr/>
        <w:t>客户服务电话：0571-96527 传真：0571-87117607</w:t>
      </w:r>
    </w:p>
    <w:p>
      <w:pPr>
        <w:pStyle w:val="BodyText"/>
        <w:spacing w:line="268" w:lineRule="exact"/>
      </w:pPr>
      <w:hyperlink r:id="rId75">
        <w:r>
          <w:rPr/>
          <w:t>网址：http://www.czcb.com.cn/</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浙江泰隆商业银行</w:t>
      </w:r>
    </w:p>
    <w:p>
      <w:pPr>
        <w:pStyle w:val="BodyText"/>
        <w:spacing w:line="364" w:lineRule="auto" w:before="139"/>
        <w:ind w:right="4895"/>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40"/>
      </w:pPr>
      <w:r>
        <w:rPr/>
        <w:t>联系电话：0571-87219677</w:t>
      </w:r>
    </w:p>
    <w:p>
      <w:pPr>
        <w:pStyle w:val="BodyText"/>
        <w:spacing w:line="364" w:lineRule="auto" w:before="139"/>
        <w:ind w:right="7205"/>
      </w:pPr>
      <w:r>
        <w:rPr/>
        <w:t>客户服务电话：95347 </w:t>
      </w:r>
      <w:hyperlink r:id="rId76">
        <w:r>
          <w:rPr/>
          <w:t>网址：www.zjtlcb.com</w:t>
        </w:r>
      </w:hyperlink>
    </w:p>
    <w:p>
      <w:pPr>
        <w:pStyle w:val="ListParagraph"/>
        <w:numPr>
          <w:ilvl w:val="0"/>
          <w:numId w:val="8"/>
        </w:numPr>
        <w:tabs>
          <w:tab w:pos="1165" w:val="left" w:leader="none"/>
        </w:tabs>
        <w:spacing w:line="268" w:lineRule="exact" w:before="0" w:after="0"/>
        <w:ind w:left="1165" w:right="0" w:hanging="525"/>
        <w:jc w:val="left"/>
        <w:rPr>
          <w:sz w:val="21"/>
        </w:rPr>
      </w:pPr>
      <w:r>
        <w:rPr>
          <w:sz w:val="21"/>
        </w:rPr>
        <w:t>中原银行</w:t>
      </w:r>
    </w:p>
    <w:p>
      <w:pPr>
        <w:pStyle w:val="BodyText"/>
        <w:spacing w:line="364" w:lineRule="auto" w:before="140"/>
        <w:ind w:right="2900"/>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spacing w:after="0" w:line="364" w:lineRule="auto"/>
        <w:jc w:val="both"/>
        <w:sectPr>
          <w:pgSz w:w="11910" w:h="16840"/>
          <w:pgMar w:header="0" w:footer="664" w:top="1380" w:bottom="940" w:left="1580" w:right="380"/>
        </w:sectPr>
      </w:pPr>
    </w:p>
    <w:p>
      <w:pPr>
        <w:pStyle w:val="BodyText"/>
        <w:tabs>
          <w:tab w:pos="2319" w:val="left" w:leader="none"/>
        </w:tabs>
        <w:spacing w:line="364" w:lineRule="auto" w:before="45"/>
        <w:ind w:right="5210"/>
      </w:pPr>
      <w:r>
        <w:rPr/>
        <w:t>联系人：张星强</w:t>
        <w:tab/>
      </w:r>
      <w:r>
        <w:rPr>
          <w:spacing w:val="-1"/>
        </w:rPr>
        <w:t>联系</w:t>
      </w:r>
      <w:r>
        <w:rPr/>
        <w:t>电话：0371-85517713 客户服务电话：95186</w:t>
      </w:r>
    </w:p>
    <w:p>
      <w:pPr>
        <w:pStyle w:val="BodyText"/>
        <w:spacing w:line="268" w:lineRule="exact"/>
      </w:pPr>
      <w:hyperlink r:id="rId77">
        <w:r>
          <w:rPr/>
          <w:t>网址：www.zybank.com.cn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重庆农村商业银行</w:t>
      </w:r>
    </w:p>
    <w:p>
      <w:pPr>
        <w:pStyle w:val="BodyText"/>
        <w:spacing w:line="364" w:lineRule="auto" w:before="140"/>
        <w:ind w:right="5630"/>
        <w:jc w:val="both"/>
      </w:pPr>
      <w:r>
        <w:rPr>
          <w:spacing w:val="-4"/>
        </w:rPr>
        <w:t>注册地址：重庆市江北区金沙门路 </w:t>
      </w:r>
      <w:r>
        <w:rPr/>
        <w:t>36</w:t>
      </w:r>
      <w:r>
        <w:rPr>
          <w:spacing w:val="-36"/>
        </w:rPr>
        <w:t> 号</w:t>
      </w:r>
      <w:r>
        <w:rPr>
          <w:spacing w:val="-4"/>
        </w:rPr>
        <w:t>办公地址：重庆市江北区金沙门路 </w:t>
      </w:r>
      <w:r>
        <w:rPr/>
        <w:t>36</w:t>
      </w:r>
      <w:r>
        <w:rPr>
          <w:spacing w:val="-36"/>
        </w:rPr>
        <w:t> 号</w:t>
      </w:r>
      <w:r>
        <w:rPr/>
        <w:t>法定代表人：刘建忠</w:t>
      </w:r>
    </w:p>
    <w:p>
      <w:pPr>
        <w:pStyle w:val="BodyText"/>
        <w:spacing w:line="268" w:lineRule="exact"/>
      </w:pPr>
      <w:r>
        <w:rPr/>
        <w:t>联系人：范亮</w:t>
      </w:r>
    </w:p>
    <w:p>
      <w:pPr>
        <w:pStyle w:val="BodyText"/>
        <w:spacing w:before="139"/>
      </w:pPr>
      <w:r>
        <w:rPr/>
        <w:t>联系电话：023-61110146</w:t>
      </w:r>
    </w:p>
    <w:p>
      <w:pPr>
        <w:pStyle w:val="BodyText"/>
        <w:spacing w:line="364" w:lineRule="auto" w:before="140"/>
        <w:ind w:right="7310"/>
      </w:pPr>
      <w:r>
        <w:rPr/>
        <w:t>客户服务电话</w:t>
      </w:r>
      <w:r>
        <w:rPr>
          <w:spacing w:val="-4"/>
        </w:rPr>
        <w:t>：95389 </w:t>
      </w:r>
      <w:r>
        <w:rPr/>
        <w:t>传真：023-61110146</w:t>
      </w:r>
    </w:p>
    <w:p>
      <w:pPr>
        <w:pStyle w:val="BodyText"/>
        <w:spacing w:line="268" w:lineRule="exact"/>
      </w:pPr>
      <w:hyperlink r:id="rId78">
        <w:r>
          <w:rPr/>
          <w:t>网址：www.cqrcb.com</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珠海华润银行</w:t>
      </w:r>
    </w:p>
    <w:p>
      <w:pPr>
        <w:pStyle w:val="BodyText"/>
        <w:spacing w:before="140"/>
      </w:pPr>
      <w:r>
        <w:rPr/>
        <w:t>注册地址：广东省珠海市吉大九洲大道东 1346 号</w:t>
      </w:r>
    </w:p>
    <w:p>
      <w:pPr>
        <w:pStyle w:val="BodyText"/>
        <w:spacing w:line="364" w:lineRule="auto" w:before="139"/>
        <w:ind w:right="3110"/>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40"/>
      </w:pPr>
      <w:r>
        <w:rPr/>
        <w:t>客户服务电话：96588（</w:t>
      </w:r>
      <w:r>
        <w:rPr>
          <w:spacing w:val="-7"/>
        </w:rPr>
        <w:t>广东省外请加拨 </w:t>
      </w:r>
      <w:r>
        <w:rPr/>
        <w:t>0756</w:t>
      </w:r>
      <w:r>
        <w:rPr>
          <w:spacing w:val="-105"/>
        </w:rPr>
        <w:t>）</w:t>
      </w:r>
      <w:r>
        <w:rPr/>
        <w:t>，400-8800-338</w:t>
      </w:r>
    </w:p>
    <w:p>
      <w:pPr>
        <w:pStyle w:val="BodyText"/>
        <w:spacing w:before="139"/>
      </w:pPr>
      <w:hyperlink r:id="rId79">
        <w:r>
          <w:rPr/>
          <w:t>网址：www.crbank.com.cn</w:t>
        </w:r>
      </w:hyperlink>
    </w:p>
    <w:p>
      <w:pPr>
        <w:pStyle w:val="ListParagraph"/>
        <w:numPr>
          <w:ilvl w:val="0"/>
          <w:numId w:val="8"/>
        </w:numPr>
        <w:tabs>
          <w:tab w:pos="1165" w:val="left" w:leader="none"/>
        </w:tabs>
        <w:spacing w:line="240" w:lineRule="auto" w:before="140" w:after="0"/>
        <w:ind w:left="1165" w:right="0" w:hanging="525"/>
        <w:jc w:val="left"/>
        <w:rPr>
          <w:sz w:val="21"/>
        </w:rPr>
      </w:pPr>
      <w:r>
        <w:rPr>
          <w:sz w:val="21"/>
        </w:rPr>
        <w:t>安信证券</w:t>
      </w:r>
    </w:p>
    <w:p>
      <w:pPr>
        <w:pStyle w:val="BodyText"/>
        <w:spacing w:line="364" w:lineRule="auto" w:before="139"/>
        <w:ind w:right="274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332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法定代表人：王连志</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7310"/>
      </w:pPr>
      <w:r>
        <w:rPr/>
        <w:t>客户服务电话：95517 传真：0755-82558355</w:t>
      </w:r>
    </w:p>
    <w:p>
      <w:pPr>
        <w:pStyle w:val="BodyText"/>
        <w:spacing w:line="268" w:lineRule="exact"/>
      </w:pPr>
      <w:hyperlink r:id="rId80">
        <w:r>
          <w:rPr/>
          <w:t>网址：www.essence.com.cn</w:t>
        </w:r>
      </w:hyperlink>
    </w:p>
    <w:p>
      <w:pPr>
        <w:pStyle w:val="ListParagraph"/>
        <w:numPr>
          <w:ilvl w:val="0"/>
          <w:numId w:val="8"/>
        </w:numPr>
        <w:tabs>
          <w:tab w:pos="1165" w:val="left" w:leader="none"/>
        </w:tabs>
        <w:spacing w:line="240" w:lineRule="auto" w:before="140" w:after="0"/>
        <w:ind w:left="1165" w:right="0" w:hanging="525"/>
        <w:jc w:val="left"/>
        <w:rPr>
          <w:sz w:val="21"/>
        </w:rPr>
      </w:pPr>
      <w:r>
        <w:rPr>
          <w:sz w:val="21"/>
        </w:rPr>
        <w:t>渤海证券</w:t>
      </w:r>
    </w:p>
    <w:p>
      <w:pPr>
        <w:pStyle w:val="BodyText"/>
        <w:spacing w:line="364" w:lineRule="auto" w:before="139"/>
        <w:ind w:right="353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268" w:lineRule="exact"/>
      </w:pPr>
      <w:r>
        <w:rPr/>
        <w:t>法定代表人：安志勇</w:t>
      </w:r>
    </w:p>
    <w:p>
      <w:pPr>
        <w:spacing w:after="0" w:line="268" w:lineRule="exact"/>
        <w:sectPr>
          <w:pgSz w:w="11910" w:h="16840"/>
          <w:pgMar w:header="0" w:footer="664" w:top="1380" w:bottom="940" w:left="1580" w:right="380"/>
        </w:sectPr>
      </w:pPr>
    </w:p>
    <w:p>
      <w:pPr>
        <w:pStyle w:val="BodyText"/>
        <w:spacing w:before="45"/>
      </w:pPr>
      <w:r>
        <w:rPr/>
        <w:t>联系人：王星</w:t>
      </w:r>
    </w:p>
    <w:p>
      <w:pPr>
        <w:pStyle w:val="BodyText"/>
        <w:spacing w:before="139"/>
      </w:pPr>
      <w:r>
        <w:rPr/>
        <w:t>联系电话：022-28451922</w:t>
      </w:r>
    </w:p>
    <w:p>
      <w:pPr>
        <w:pStyle w:val="BodyText"/>
        <w:spacing w:line="364" w:lineRule="auto" w:before="140"/>
        <w:ind w:right="6575"/>
      </w:pPr>
      <w:r>
        <w:rPr/>
        <w:t>客户服务电话：400-651-5988 传真：022-28451892</w:t>
      </w:r>
    </w:p>
    <w:p>
      <w:pPr>
        <w:pStyle w:val="BodyText"/>
        <w:spacing w:line="268" w:lineRule="exact"/>
      </w:pPr>
      <w:hyperlink r:id="rId81">
        <w:r>
          <w:rPr/>
          <w:t>网址：www.ewww.com.cn</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财达证券</w:t>
      </w:r>
    </w:p>
    <w:p>
      <w:pPr>
        <w:pStyle w:val="BodyText"/>
        <w:spacing w:before="140"/>
      </w:pPr>
      <w:r>
        <w:rPr/>
        <w:t>注册地址：河北省石家庄市桥西区自强路 35 号</w:t>
      </w:r>
    </w:p>
    <w:p>
      <w:pPr>
        <w:pStyle w:val="BodyText"/>
        <w:spacing w:line="364" w:lineRule="auto" w:before="139"/>
        <w:ind w:right="2900"/>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40"/>
      </w:pPr>
      <w:r>
        <w:rPr/>
        <w:t>联系电话：0311-66008561</w:t>
      </w:r>
    </w:p>
    <w:p>
      <w:pPr>
        <w:pStyle w:val="BodyText"/>
        <w:spacing w:line="364" w:lineRule="auto" w:before="139"/>
        <w:ind w:right="3635"/>
      </w:pPr>
      <w:r>
        <w:rPr/>
        <w:t>客户服务电话：95363（河北省内</w:t>
      </w:r>
      <w:r>
        <w:rPr>
          <w:spacing w:val="-105"/>
        </w:rPr>
        <w:t>）</w:t>
      </w:r>
      <w:r>
        <w:rPr/>
        <w:t>；0311-95363（河北省外</w:t>
      </w:r>
      <w:r>
        <w:rPr>
          <w:spacing w:val="-19"/>
        </w:rPr>
        <w:t>）</w:t>
      </w:r>
      <w:r>
        <w:rPr/>
        <w:t>传真：0311-66006414</w:t>
      </w:r>
    </w:p>
    <w:p>
      <w:pPr>
        <w:pStyle w:val="BodyText"/>
        <w:spacing w:line="268" w:lineRule="exact"/>
      </w:pPr>
      <w:hyperlink r:id="rId82">
        <w:r>
          <w:rPr/>
          <w:t>网址：www.s10000.com</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财富证券</w:t>
      </w:r>
    </w:p>
    <w:p>
      <w:pPr>
        <w:pStyle w:val="BodyText"/>
        <w:spacing w:before="140"/>
      </w:pPr>
      <w:r>
        <w:rPr/>
        <w:t>注册地址：长沙市芙蓉中路二段 80 号顺天国际财富中心 26 层</w:t>
      </w:r>
    </w:p>
    <w:p>
      <w:pPr>
        <w:pStyle w:val="BodyText"/>
        <w:spacing w:line="364" w:lineRule="auto" w:before="139"/>
        <w:ind w:right="3320"/>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40"/>
      </w:pPr>
      <w:r>
        <w:rPr/>
        <w:t>联系电话：0731-84403347</w:t>
      </w:r>
    </w:p>
    <w:p>
      <w:pPr>
        <w:pStyle w:val="BodyText"/>
        <w:spacing w:line="364" w:lineRule="auto" w:before="139"/>
        <w:ind w:right="7310"/>
      </w:pPr>
      <w:r>
        <w:rPr/>
        <w:t>客户服务电话</w:t>
      </w:r>
      <w:r>
        <w:rPr>
          <w:spacing w:val="-4"/>
        </w:rPr>
        <w:t>：95317 </w:t>
      </w:r>
      <w:r>
        <w:rPr>
          <w:spacing w:val="-2"/>
        </w:rPr>
        <w:t>传真：0731-84403439</w:t>
      </w:r>
    </w:p>
    <w:p>
      <w:pPr>
        <w:pStyle w:val="BodyText"/>
        <w:spacing w:line="268" w:lineRule="exact"/>
      </w:pPr>
      <w:hyperlink r:id="rId83">
        <w:r>
          <w:rPr/>
          <w:t>网址：www.cfzq.com</w:t>
        </w:r>
      </w:hyperlink>
    </w:p>
    <w:p>
      <w:pPr>
        <w:pStyle w:val="ListParagraph"/>
        <w:numPr>
          <w:ilvl w:val="0"/>
          <w:numId w:val="8"/>
        </w:numPr>
        <w:tabs>
          <w:tab w:pos="1165" w:val="left" w:leader="none"/>
        </w:tabs>
        <w:spacing w:line="240" w:lineRule="auto" w:before="140" w:after="0"/>
        <w:ind w:left="1165" w:right="0" w:hanging="525"/>
        <w:jc w:val="left"/>
        <w:rPr>
          <w:sz w:val="21"/>
        </w:rPr>
      </w:pPr>
      <w:r>
        <w:rPr>
          <w:sz w:val="21"/>
        </w:rPr>
        <w:t>财通证券</w:t>
      </w:r>
    </w:p>
    <w:p>
      <w:pPr>
        <w:pStyle w:val="BodyText"/>
        <w:spacing w:line="364" w:lineRule="auto" w:before="139"/>
        <w:ind w:left="220" w:right="1418" w:firstLine="420"/>
      </w:pPr>
      <w:r>
        <w:rPr/>
        <w:t>注册地址：浙江省杭州市杭大路 15 号嘉华国际商务中心 201，501，502，1103， 1601-1615，1701-1716 室</w:t>
      </w:r>
    </w:p>
    <w:p>
      <w:pPr>
        <w:pStyle w:val="BodyText"/>
        <w:spacing w:line="364" w:lineRule="auto"/>
        <w:ind w:right="4160"/>
      </w:pPr>
      <w:r>
        <w:rPr>
          <w:spacing w:val="-4"/>
        </w:rPr>
        <w:t>办公地址：浙江省杭州市杭大路 </w:t>
      </w:r>
      <w:r>
        <w:rPr/>
        <w:t>15</w:t>
      </w:r>
      <w:r>
        <w:rPr>
          <w:spacing w:val="-9"/>
        </w:rPr>
        <w:t> 号嘉华国际商务中心</w:t>
      </w:r>
      <w:r>
        <w:rPr/>
        <w:t>法定代表人：陆建强</w:t>
      </w:r>
    </w:p>
    <w:p>
      <w:pPr>
        <w:pStyle w:val="BodyText"/>
        <w:spacing w:line="268" w:lineRule="exact"/>
      </w:pPr>
      <w:r>
        <w:rPr/>
        <w:t>联系人：陶志华</w:t>
      </w:r>
    </w:p>
    <w:p>
      <w:pPr>
        <w:pStyle w:val="BodyText"/>
        <w:spacing w:line="364" w:lineRule="auto" w:before="139"/>
        <w:ind w:right="6785"/>
      </w:pPr>
      <w:r>
        <w:rPr>
          <w:spacing w:val="-1"/>
        </w:rPr>
        <w:t>联系电话</w:t>
      </w:r>
      <w:r>
        <w:rPr/>
        <w:t>：0571－87789160 客户服务电话：95336</w:t>
      </w:r>
    </w:p>
    <w:p>
      <w:pPr>
        <w:pStyle w:val="BodyText"/>
        <w:spacing w:line="268" w:lineRule="exact"/>
      </w:pPr>
      <w:hyperlink r:id="rId84">
        <w:r>
          <w:rPr/>
          <w:t>网址：www.ctsec.com</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长城国瑞证券</w:t>
      </w:r>
    </w:p>
    <w:p>
      <w:pPr>
        <w:pStyle w:val="BodyText"/>
        <w:spacing w:before="139"/>
      </w:pPr>
      <w:r>
        <w:rPr/>
        <w:t>注册地址：厦门市思明区莲前西路 2 号莲富大厦 17 楼</w:t>
      </w:r>
    </w:p>
    <w:p>
      <w:pPr>
        <w:spacing w:after="0"/>
        <w:sectPr>
          <w:pgSz w:w="11910" w:h="16840"/>
          <w:pgMar w:header="0" w:footer="664" w:top="1380" w:bottom="940" w:left="1580" w:right="380"/>
        </w:sectPr>
      </w:pPr>
    </w:p>
    <w:p>
      <w:pPr>
        <w:pStyle w:val="BodyText"/>
        <w:spacing w:line="364" w:lineRule="auto" w:before="45"/>
        <w:ind w:right="4055"/>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39"/>
      </w:pPr>
      <w:r>
        <w:rPr/>
        <w:t>联系电话：0592-2079259</w:t>
      </w:r>
    </w:p>
    <w:p>
      <w:pPr>
        <w:pStyle w:val="BodyText"/>
        <w:spacing w:line="364" w:lineRule="auto" w:before="140"/>
        <w:ind w:right="6575"/>
      </w:pPr>
      <w:r>
        <w:rPr/>
        <w:t>客户服务电话</w:t>
      </w:r>
      <w:r>
        <w:rPr>
          <w:spacing w:val="-2"/>
        </w:rPr>
        <w:t>：400-0099-886 </w:t>
      </w:r>
      <w:r>
        <w:rPr/>
        <w:t>传真：0592-2079602</w:t>
      </w:r>
    </w:p>
    <w:p>
      <w:pPr>
        <w:pStyle w:val="BodyText"/>
        <w:spacing w:line="268" w:lineRule="exact"/>
      </w:pPr>
      <w:hyperlink r:id="rId85">
        <w:r>
          <w:rPr/>
          <w:t>网址：www.gwgsc.com</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长城证券</w:t>
      </w:r>
    </w:p>
    <w:p>
      <w:pPr>
        <w:pStyle w:val="BodyText"/>
        <w:spacing w:before="140"/>
      </w:pPr>
      <w:r>
        <w:rPr/>
        <w:t>注册地址：深圳市福田区福田街道金田路 2026 号能源大厦南塔楼 10-19 层</w:t>
      </w:r>
    </w:p>
    <w:p>
      <w:pPr>
        <w:pStyle w:val="BodyText"/>
        <w:spacing w:line="364" w:lineRule="auto" w:before="139"/>
        <w:ind w:right="1640"/>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line="364" w:lineRule="auto" w:before="139"/>
        <w:ind w:right="6575"/>
      </w:pPr>
      <w:r>
        <w:rPr/>
        <w:t>客户服务电话</w:t>
      </w:r>
      <w:r>
        <w:rPr>
          <w:spacing w:val="-2"/>
        </w:rPr>
        <w:t>：400-6666-888 </w:t>
      </w:r>
      <w:r>
        <w:rPr/>
        <w:t>传真：0755-83516199</w:t>
      </w:r>
    </w:p>
    <w:p>
      <w:pPr>
        <w:pStyle w:val="BodyText"/>
        <w:spacing w:line="268" w:lineRule="exact"/>
      </w:pPr>
      <w:hyperlink r:id="rId86">
        <w:r>
          <w:rPr/>
          <w:t>网址：www.cgws.com</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长江证券</w:t>
      </w:r>
    </w:p>
    <w:p>
      <w:pPr>
        <w:pStyle w:val="BodyText"/>
        <w:spacing w:line="364" w:lineRule="auto" w:before="140"/>
        <w:ind w:right="573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40"/>
      </w:pPr>
      <w:r>
        <w:rPr/>
        <w:t>客户服务电话：95579 或 4008-888-999</w:t>
      </w:r>
    </w:p>
    <w:p>
      <w:pPr>
        <w:pStyle w:val="BodyText"/>
        <w:spacing w:before="139"/>
      </w:pPr>
      <w:r>
        <w:rPr/>
        <w:t>传真：027-85481900</w:t>
      </w:r>
    </w:p>
    <w:p>
      <w:pPr>
        <w:pStyle w:val="BodyText"/>
        <w:spacing w:before="140"/>
      </w:pPr>
      <w:hyperlink r:id="rId87">
        <w:r>
          <w:rPr/>
          <w:t>网址：www.95579.com</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川财证券</w:t>
      </w:r>
    </w:p>
    <w:p>
      <w:pPr>
        <w:pStyle w:val="BodyText"/>
        <w:spacing w:before="140"/>
      </w:pPr>
      <w:r>
        <w:rPr/>
        <w:t>注册地址：中国（四川）自由贸易试验区成都高新区交子大道 177 号中海国际中心 B</w:t>
      </w:r>
    </w:p>
    <w:p>
      <w:pPr>
        <w:pStyle w:val="BodyText"/>
        <w:spacing w:before="139"/>
        <w:ind w:left="220"/>
      </w:pPr>
      <w:r>
        <w:rPr/>
        <w:t>座 17 楼</w:t>
      </w:r>
    </w:p>
    <w:p>
      <w:pPr>
        <w:pStyle w:val="BodyText"/>
        <w:spacing w:line="364" w:lineRule="auto" w:before="139"/>
        <w:ind w:right="2900"/>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pStyle w:val="BodyText"/>
        <w:spacing w:line="268" w:lineRule="exact"/>
      </w:pPr>
      <w:r>
        <w:rPr/>
        <w:t>联系人：匡婷</w:t>
      </w:r>
    </w:p>
    <w:p>
      <w:pPr>
        <w:pStyle w:val="BodyText"/>
        <w:spacing w:before="140"/>
      </w:pPr>
      <w:r>
        <w:rPr/>
        <w:t>联系电话：028-86583053</w:t>
      </w:r>
    </w:p>
    <w:p>
      <w:pPr>
        <w:pStyle w:val="BodyText"/>
        <w:spacing w:line="364" w:lineRule="auto" w:before="139"/>
        <w:ind w:right="6785"/>
      </w:pPr>
      <w:r>
        <w:rPr/>
        <w:t>客户服务电话：028-962708 </w:t>
      </w:r>
      <w:hyperlink r:id="rId88">
        <w:r>
          <w:rPr/>
          <w:t>网址：www.cczq.com</w:t>
        </w:r>
      </w:hyperlink>
    </w:p>
    <w:p>
      <w:pPr>
        <w:spacing w:after="0" w:line="364" w:lineRule="auto"/>
        <w:sectPr>
          <w:pgSz w:w="11910" w:h="16840"/>
          <w:pgMar w:header="0" w:footer="664" w:top="1380" w:bottom="940" w:left="1580" w:right="380"/>
        </w:sectPr>
      </w:pPr>
    </w:p>
    <w:p>
      <w:pPr>
        <w:pStyle w:val="ListParagraph"/>
        <w:numPr>
          <w:ilvl w:val="0"/>
          <w:numId w:val="8"/>
        </w:numPr>
        <w:tabs>
          <w:tab w:pos="1165" w:val="left" w:leader="none"/>
        </w:tabs>
        <w:spacing w:line="240" w:lineRule="auto" w:before="45" w:after="0"/>
        <w:ind w:left="1165" w:right="0" w:hanging="525"/>
        <w:jc w:val="left"/>
        <w:rPr>
          <w:sz w:val="21"/>
        </w:rPr>
      </w:pPr>
      <w:r>
        <w:rPr>
          <w:sz w:val="21"/>
        </w:rPr>
        <w:t>大通证券</w:t>
      </w:r>
    </w:p>
    <w:p>
      <w:pPr>
        <w:pStyle w:val="BodyText"/>
        <w:spacing w:before="139"/>
      </w:pPr>
      <w:r>
        <w:rPr/>
        <w:t>注册地址：辽宁省大连市沙河口区会展路129 号大连国际金融中心A 座-大连期货大厦38、</w:t>
      </w:r>
    </w:p>
    <w:p>
      <w:pPr>
        <w:pStyle w:val="BodyText"/>
        <w:spacing w:before="140"/>
        <w:ind w:left="220"/>
      </w:pPr>
      <w:r>
        <w:rPr/>
        <w:t>39 层</w:t>
      </w:r>
    </w:p>
    <w:p>
      <w:pPr>
        <w:pStyle w:val="BodyText"/>
        <w:spacing w:before="139"/>
      </w:pPr>
      <w:r>
        <w:rPr/>
        <w:t>办公地址：辽宁省大连市沙河口区会展路129 号大连国际金融中心A 座-大连期货大厦38、</w:t>
      </w:r>
    </w:p>
    <w:p>
      <w:pPr>
        <w:pStyle w:val="BodyText"/>
        <w:spacing w:before="140"/>
        <w:ind w:left="220"/>
      </w:pPr>
      <w:r>
        <w:rPr/>
        <w:t>39 层</w:t>
      </w:r>
    </w:p>
    <w:p>
      <w:pPr>
        <w:pStyle w:val="BodyText"/>
        <w:spacing w:line="364" w:lineRule="auto" w:before="139"/>
        <w:ind w:right="7625"/>
      </w:pPr>
      <w:r>
        <w:rPr/>
        <w:t>法定代表人：赵玺联系人：谢立军</w:t>
      </w:r>
    </w:p>
    <w:p>
      <w:pPr>
        <w:pStyle w:val="BodyText"/>
        <w:spacing w:line="268" w:lineRule="exact"/>
      </w:pPr>
      <w:r>
        <w:rPr/>
        <w:t>联系电话：0411-39991807</w:t>
      </w:r>
    </w:p>
    <w:p>
      <w:pPr>
        <w:pStyle w:val="BodyText"/>
        <w:spacing w:line="364" w:lineRule="auto" w:before="140"/>
        <w:ind w:right="6575"/>
      </w:pPr>
      <w:r>
        <w:rPr/>
        <w:t>客户服务电话：4008-169-169 传真：0411-39673214</w:t>
      </w:r>
    </w:p>
    <w:p>
      <w:pPr>
        <w:pStyle w:val="BodyText"/>
        <w:spacing w:line="268" w:lineRule="exact"/>
      </w:pPr>
      <w:hyperlink r:id="rId89">
        <w:r>
          <w:rPr/>
          <w:t>网址：www.daton.com.cn</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大同证券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7625"/>
      </w:pPr>
      <w:r>
        <w:rPr/>
        <w:t>法定代表人：董祥联系人：薛津</w:t>
      </w:r>
    </w:p>
    <w:p>
      <w:pPr>
        <w:pStyle w:val="BodyText"/>
        <w:spacing w:line="268" w:lineRule="exact"/>
      </w:pPr>
      <w:r>
        <w:rPr/>
        <w:t>联系电话：0351-4130322</w:t>
      </w:r>
    </w:p>
    <w:p>
      <w:pPr>
        <w:pStyle w:val="BodyText"/>
        <w:spacing w:line="364" w:lineRule="auto" w:before="140"/>
        <w:ind w:right="6785"/>
      </w:pPr>
      <w:r>
        <w:rPr/>
        <w:t>客户服务电话：4007121212 传真：0351-7219891</w:t>
      </w:r>
    </w:p>
    <w:p>
      <w:pPr>
        <w:pStyle w:val="BodyText"/>
        <w:spacing w:line="268" w:lineRule="exact"/>
      </w:pPr>
      <w:hyperlink r:id="rId90">
        <w:r>
          <w:rPr/>
          <w:t>网址：www.dtsbc.com.cn</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德邦证券</w:t>
      </w:r>
    </w:p>
    <w:p>
      <w:pPr>
        <w:pStyle w:val="BodyText"/>
        <w:spacing w:line="364" w:lineRule="auto" w:before="140"/>
        <w:ind w:right="458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line="364" w:lineRule="auto" w:before="140"/>
        <w:ind w:right="6575"/>
      </w:pPr>
      <w:r>
        <w:rPr/>
        <w:t>客户服务电话：400-8888-128 传真：021-68767880</w:t>
      </w:r>
    </w:p>
    <w:p>
      <w:pPr>
        <w:pStyle w:val="BodyText"/>
        <w:spacing w:line="268" w:lineRule="exact"/>
      </w:pPr>
      <w:hyperlink r:id="rId91">
        <w:r>
          <w:rPr/>
          <w:t>网址：http://www.tebon.com.cn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第一创业证券</w:t>
      </w:r>
    </w:p>
    <w:p>
      <w:pPr>
        <w:pStyle w:val="BodyText"/>
        <w:spacing w:line="364" w:lineRule="auto" w:before="139"/>
        <w:ind w:right="416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联系人：毛诗莉</w:t>
      </w:r>
    </w:p>
    <w:p>
      <w:pPr>
        <w:spacing w:after="0" w:line="268" w:lineRule="exact"/>
        <w:sectPr>
          <w:pgSz w:w="11910" w:h="16840"/>
          <w:pgMar w:header="0" w:footer="664" w:top="1380" w:bottom="940" w:left="1580" w:right="380"/>
        </w:sectPr>
      </w:pPr>
    </w:p>
    <w:p>
      <w:pPr>
        <w:pStyle w:val="BodyText"/>
        <w:spacing w:before="45"/>
      </w:pPr>
      <w:r>
        <w:rPr/>
        <w:t>联系电话：0755-23838750</w:t>
      </w:r>
    </w:p>
    <w:p>
      <w:pPr>
        <w:pStyle w:val="BodyText"/>
        <w:spacing w:before="139"/>
      </w:pPr>
      <w:r>
        <w:rPr/>
        <w:t>客户服务电话：95358</w:t>
      </w:r>
    </w:p>
    <w:p>
      <w:pPr>
        <w:pStyle w:val="BodyText"/>
        <w:spacing w:before="140"/>
      </w:pPr>
      <w:hyperlink r:id="rId92">
        <w:r>
          <w:rPr/>
          <w:t>网址：www.firstcapital.com.cn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东北证券</w:t>
      </w:r>
    </w:p>
    <w:p>
      <w:pPr>
        <w:pStyle w:val="BodyText"/>
        <w:spacing w:line="364" w:lineRule="auto" w:before="140"/>
        <w:ind w:right="605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40"/>
        <w:ind w:right="7310"/>
      </w:pPr>
      <w:r>
        <w:rPr/>
        <w:t>客户服务电话：95360 传真：0431-85096795</w:t>
      </w:r>
    </w:p>
    <w:p>
      <w:pPr>
        <w:pStyle w:val="BodyText"/>
        <w:spacing w:line="268" w:lineRule="exact"/>
      </w:pPr>
      <w:hyperlink r:id="rId93">
        <w:r>
          <w:rPr/>
          <w:t>网址：www.nesc.cn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东方证券</w:t>
      </w:r>
    </w:p>
    <w:p>
      <w:pPr>
        <w:pStyle w:val="BodyText"/>
        <w:spacing w:before="139"/>
      </w:pPr>
      <w:r>
        <w:rPr/>
        <w:t>注册地址：上海市中山南路 318 号 2 号楼 22 层、23 层、25 层-29 层</w:t>
      </w:r>
    </w:p>
    <w:p>
      <w:pPr>
        <w:pStyle w:val="BodyText"/>
        <w:spacing w:before="140"/>
      </w:pPr>
      <w:r>
        <w:rPr/>
        <w:t>办公地址：上海市中山南路 318 号 2 号楼 13 层、21 层-23 层、25-29 层、32 层、36 层、</w:t>
      </w:r>
    </w:p>
    <w:p>
      <w:pPr>
        <w:pStyle w:val="BodyText"/>
        <w:spacing w:before="139"/>
        <w:ind w:left="220"/>
      </w:pPr>
      <w:r>
        <w:rPr/>
        <w:t>39 层、40 层</w:t>
      </w:r>
    </w:p>
    <w:p>
      <w:pPr>
        <w:pStyle w:val="BodyText"/>
        <w:spacing w:line="364" w:lineRule="auto" w:before="140"/>
        <w:ind w:right="7415"/>
      </w:pPr>
      <w:r>
        <w:rPr/>
        <w:t>法定代表人：潘鑫军联系人：朱琼玉</w:t>
      </w:r>
    </w:p>
    <w:p>
      <w:pPr>
        <w:pStyle w:val="BodyText"/>
        <w:spacing w:line="268" w:lineRule="exact"/>
      </w:pPr>
      <w:r>
        <w:rPr/>
        <w:t>联系电话：021-63325888</w:t>
      </w:r>
    </w:p>
    <w:p>
      <w:pPr>
        <w:pStyle w:val="BodyText"/>
        <w:spacing w:line="364" w:lineRule="auto" w:before="139"/>
        <w:ind w:right="7310"/>
      </w:pPr>
      <w:r>
        <w:rPr/>
        <w:t>客户服务电话：95503 传真：021-63326729</w:t>
      </w:r>
    </w:p>
    <w:p>
      <w:pPr>
        <w:pStyle w:val="BodyText"/>
        <w:spacing w:line="268" w:lineRule="exact"/>
      </w:pPr>
      <w:hyperlink r:id="rId94">
        <w:r>
          <w:rPr/>
          <w:t>网址：http://www.dfzq.com.cn</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东莞证券</w:t>
      </w:r>
    </w:p>
    <w:p>
      <w:pPr>
        <w:pStyle w:val="BodyText"/>
        <w:spacing w:before="139"/>
      </w:pPr>
      <w:r>
        <w:rPr/>
        <w:t>注册地址：东莞市莞城区可园南路一号</w:t>
      </w:r>
    </w:p>
    <w:p>
      <w:pPr>
        <w:pStyle w:val="BodyText"/>
        <w:spacing w:line="364" w:lineRule="auto" w:before="140"/>
        <w:ind w:right="4370"/>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39"/>
      </w:pPr>
      <w:r>
        <w:rPr/>
        <w:t>联系电话：0769-22115712</w:t>
      </w:r>
    </w:p>
    <w:p>
      <w:pPr>
        <w:pStyle w:val="BodyText"/>
        <w:spacing w:line="364" w:lineRule="auto" w:before="139"/>
        <w:ind w:right="7310"/>
      </w:pPr>
      <w:r>
        <w:rPr/>
        <w:t>客户服务电话：95328 传真：0769-22115712</w:t>
      </w:r>
    </w:p>
    <w:p>
      <w:pPr>
        <w:pStyle w:val="BodyText"/>
        <w:spacing w:line="268" w:lineRule="exact"/>
      </w:pPr>
      <w:hyperlink r:id="rId95">
        <w:r>
          <w:rPr/>
          <w:t>网址：www.dgzq.com.cn</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东海证券</w:t>
      </w:r>
    </w:p>
    <w:p>
      <w:pPr>
        <w:pStyle w:val="BodyText"/>
        <w:spacing w:line="364" w:lineRule="auto" w:before="139"/>
        <w:ind w:right="416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p>
    <w:p>
      <w:pPr>
        <w:spacing w:after="0" w:line="364" w:lineRule="auto"/>
        <w:sectPr>
          <w:pgSz w:w="11910" w:h="16840"/>
          <w:pgMar w:header="0" w:footer="664" w:top="1380" w:bottom="940" w:left="1580" w:right="380"/>
        </w:sectPr>
      </w:pPr>
    </w:p>
    <w:p>
      <w:pPr>
        <w:pStyle w:val="BodyText"/>
        <w:spacing w:line="364" w:lineRule="auto" w:before="45"/>
        <w:ind w:right="7415"/>
      </w:pPr>
      <w:r>
        <w:rPr/>
        <w:t>法定代表人：钱俊文联系人：王一彦</w:t>
      </w:r>
    </w:p>
    <w:p>
      <w:pPr>
        <w:pStyle w:val="BodyText"/>
        <w:spacing w:line="268" w:lineRule="exact"/>
      </w:pPr>
      <w:r>
        <w:rPr/>
        <w:t>联系电话：021-20333333</w:t>
      </w:r>
    </w:p>
    <w:p>
      <w:pPr>
        <w:pStyle w:val="BodyText"/>
        <w:spacing w:line="364" w:lineRule="auto" w:before="139"/>
        <w:ind w:right="5840"/>
      </w:pPr>
      <w:r>
        <w:rPr/>
        <w:t>客户服务电话：95531、400-8888-588 传真：021-50498825</w:t>
      </w:r>
    </w:p>
    <w:p>
      <w:pPr>
        <w:pStyle w:val="BodyText"/>
        <w:spacing w:line="268" w:lineRule="exact"/>
      </w:pPr>
      <w:hyperlink r:id="rId96">
        <w:r>
          <w:rPr/>
          <w:t>网址：www.longone.com.cn</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东吴证券</w:t>
      </w:r>
    </w:p>
    <w:p>
      <w:pPr>
        <w:pStyle w:val="BodyText"/>
        <w:spacing w:line="364" w:lineRule="auto" w:before="139"/>
        <w:ind w:right="594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40"/>
      </w:pPr>
      <w:r>
        <w:rPr/>
        <w:t>联系电话：0512-62938521</w:t>
      </w:r>
    </w:p>
    <w:p>
      <w:pPr>
        <w:pStyle w:val="BodyText"/>
        <w:spacing w:line="364" w:lineRule="auto" w:before="139"/>
        <w:ind w:right="7310"/>
      </w:pPr>
      <w:r>
        <w:rPr/>
        <w:t>客户服务电话：95330 传真：0512-65588021</w:t>
      </w:r>
    </w:p>
    <w:p>
      <w:pPr>
        <w:pStyle w:val="BodyText"/>
        <w:spacing w:line="268" w:lineRule="exact"/>
      </w:pPr>
      <w:hyperlink r:id="rId97">
        <w:r>
          <w:rPr/>
          <w:t>网址：www.dwzq.com.cn</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方正证券</w:t>
      </w:r>
    </w:p>
    <w:p>
      <w:pPr>
        <w:pStyle w:val="BodyText"/>
        <w:spacing w:before="139"/>
      </w:pPr>
      <w:r>
        <w:rPr/>
        <w:t>注册地址：长沙市天心区湘江中路二段 36 号华远华中心 4、5 号楼 3701-3717</w:t>
      </w:r>
    </w:p>
    <w:p>
      <w:pPr>
        <w:pStyle w:val="BodyText"/>
        <w:spacing w:before="139"/>
      </w:pPr>
      <w:r>
        <w:rPr/>
        <w:t>办公地址：北京市朝阳区北四环中路 27 号盘古大观 A 座 40F</w:t>
      </w:r>
    </w:p>
    <w:p>
      <w:pPr>
        <w:pStyle w:val="BodyText"/>
        <w:spacing w:line="364" w:lineRule="auto" w:before="140"/>
        <w:ind w:right="7625"/>
      </w:pPr>
      <w:r>
        <w:rPr/>
        <w:t>法定代表人：施华联系人：程博怡</w:t>
      </w:r>
    </w:p>
    <w:p>
      <w:pPr>
        <w:pStyle w:val="BodyText"/>
        <w:spacing w:line="268" w:lineRule="exact"/>
      </w:pPr>
      <w:r>
        <w:rPr/>
        <w:t>联系电话：010-56437060</w:t>
      </w:r>
    </w:p>
    <w:p>
      <w:pPr>
        <w:pStyle w:val="BodyText"/>
        <w:spacing w:line="364" w:lineRule="auto" w:before="139"/>
        <w:ind w:right="7310"/>
      </w:pPr>
      <w:r>
        <w:rPr/>
        <w:t>客户服务电话：95571 传真：010-56437013</w:t>
      </w:r>
    </w:p>
    <w:p>
      <w:pPr>
        <w:pStyle w:val="BodyText"/>
        <w:spacing w:line="268" w:lineRule="exact"/>
      </w:pPr>
      <w:hyperlink r:id="rId98">
        <w:r>
          <w:rPr/>
          <w:t>网址：www.foundersc.com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光大证券</w:t>
      </w:r>
    </w:p>
    <w:p>
      <w:pPr>
        <w:pStyle w:val="BodyText"/>
        <w:spacing w:line="364" w:lineRule="auto" w:before="139"/>
        <w:ind w:right="563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法定代表人：周健男</w:t>
      </w:r>
    </w:p>
    <w:p>
      <w:pPr>
        <w:pStyle w:val="BodyText"/>
        <w:spacing w:line="268" w:lineRule="exact"/>
      </w:pPr>
      <w:r>
        <w:rPr/>
        <w:t>联系人：龚俊涛</w:t>
      </w:r>
    </w:p>
    <w:p>
      <w:pPr>
        <w:pStyle w:val="BodyText"/>
        <w:spacing w:before="140"/>
      </w:pPr>
      <w:r>
        <w:rPr/>
        <w:t>联系电话：021-22169999</w:t>
      </w:r>
    </w:p>
    <w:p>
      <w:pPr>
        <w:pStyle w:val="BodyText"/>
        <w:spacing w:line="364" w:lineRule="auto" w:before="139"/>
        <w:ind w:right="7310"/>
      </w:pPr>
      <w:r>
        <w:rPr/>
        <w:t>客户服务电话</w:t>
      </w:r>
      <w:r>
        <w:rPr>
          <w:spacing w:val="-4"/>
        </w:rPr>
        <w:t>：95525 </w:t>
      </w:r>
      <w:r>
        <w:rPr/>
        <w:t>传真：021-22169134</w:t>
      </w:r>
    </w:p>
    <w:p>
      <w:pPr>
        <w:pStyle w:val="BodyText"/>
        <w:spacing w:line="268" w:lineRule="exact"/>
      </w:pPr>
      <w:hyperlink r:id="rId99">
        <w:r>
          <w:rPr/>
          <w:t>网址：www.ebscn.com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广发证券</w:t>
      </w:r>
    </w:p>
    <w:p>
      <w:pPr>
        <w:spacing w:after="0" w:line="240" w:lineRule="auto"/>
        <w:jc w:val="both"/>
        <w:rPr>
          <w:sz w:val="21"/>
        </w:rPr>
        <w:sectPr>
          <w:pgSz w:w="11910" w:h="16840"/>
          <w:pgMar w:header="0" w:footer="664" w:top="1380" w:bottom="940" w:left="1580" w:right="380"/>
        </w:sectPr>
      </w:pPr>
    </w:p>
    <w:p>
      <w:pPr>
        <w:pStyle w:val="BodyText"/>
        <w:spacing w:line="364" w:lineRule="auto" w:before="45"/>
        <w:ind w:right="3005"/>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7415"/>
      </w:pPr>
      <w:r>
        <w:rPr/>
        <w:t>法定代表人：孙树明联系人：黄岚</w:t>
      </w:r>
    </w:p>
    <w:p>
      <w:pPr>
        <w:pStyle w:val="BodyText"/>
        <w:spacing w:line="268" w:lineRule="exact"/>
      </w:pPr>
      <w:r>
        <w:rPr/>
        <w:t>客户服务电话：95575 或 02095575</w:t>
      </w:r>
    </w:p>
    <w:p>
      <w:pPr>
        <w:pStyle w:val="BodyText"/>
        <w:spacing w:before="138"/>
      </w:pPr>
      <w:hyperlink r:id="rId100">
        <w:r>
          <w:rPr/>
          <w:t>网址：www.gf.com.cn</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国都证券</w:t>
      </w:r>
    </w:p>
    <w:p>
      <w:pPr>
        <w:pStyle w:val="BodyText"/>
        <w:spacing w:line="364" w:lineRule="auto" w:before="139"/>
        <w:ind w:right="311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法定代表人：王少华</w:t>
      </w:r>
    </w:p>
    <w:p>
      <w:pPr>
        <w:pStyle w:val="BodyText"/>
        <w:spacing w:line="268" w:lineRule="exact"/>
      </w:pPr>
      <w:r>
        <w:rPr/>
        <w:t>联系人：黄静</w:t>
      </w:r>
    </w:p>
    <w:p>
      <w:pPr>
        <w:pStyle w:val="BodyText"/>
        <w:spacing w:before="140"/>
      </w:pPr>
      <w:r>
        <w:rPr/>
        <w:t>联系电话：010-84183389</w:t>
      </w:r>
    </w:p>
    <w:p>
      <w:pPr>
        <w:pStyle w:val="BodyText"/>
        <w:spacing w:line="364" w:lineRule="auto" w:before="139"/>
        <w:ind w:right="6575"/>
      </w:pPr>
      <w:r>
        <w:rPr/>
        <w:t>客户服务电话</w:t>
      </w:r>
      <w:r>
        <w:rPr>
          <w:spacing w:val="-2"/>
        </w:rPr>
        <w:t>：400-818-8118 </w:t>
      </w:r>
      <w:r>
        <w:rPr/>
        <w:t>传真：010-84183311-3122</w:t>
      </w:r>
    </w:p>
    <w:p>
      <w:pPr>
        <w:pStyle w:val="BodyText"/>
        <w:spacing w:line="268" w:lineRule="exact"/>
      </w:pPr>
      <w:hyperlink r:id="rId101">
        <w:r>
          <w:rPr/>
          <w:t>网址：www.guodu.com</w:t>
        </w:r>
      </w:hyperlink>
    </w:p>
    <w:p>
      <w:pPr>
        <w:pStyle w:val="ListParagraph"/>
        <w:numPr>
          <w:ilvl w:val="0"/>
          <w:numId w:val="8"/>
        </w:numPr>
        <w:tabs>
          <w:tab w:pos="1165" w:val="left" w:leader="none"/>
        </w:tabs>
        <w:spacing w:line="240" w:lineRule="auto" w:before="140" w:after="0"/>
        <w:ind w:left="1165" w:right="0" w:hanging="525"/>
        <w:jc w:val="both"/>
        <w:rPr>
          <w:sz w:val="21"/>
        </w:rPr>
      </w:pPr>
      <w:r>
        <w:rPr>
          <w:sz w:val="21"/>
        </w:rPr>
        <w:t>国海证券</w:t>
      </w:r>
    </w:p>
    <w:p>
      <w:pPr>
        <w:pStyle w:val="BodyText"/>
        <w:spacing w:before="139"/>
      </w:pPr>
      <w:r>
        <w:rPr/>
        <w:t>注册地址：广西桂林市辅星路 13 号</w:t>
      </w:r>
    </w:p>
    <w:p>
      <w:pPr>
        <w:pStyle w:val="BodyText"/>
        <w:spacing w:line="364" w:lineRule="auto" w:before="140"/>
        <w:ind w:right="4265"/>
      </w:pPr>
      <w:r>
        <w:rPr>
          <w:spacing w:val="-3"/>
        </w:rPr>
        <w:t>办公地址：深圳市福田区竹子林四路光大银行大厦 </w:t>
      </w:r>
      <w:r>
        <w:rPr/>
        <w:t>3</w:t>
      </w:r>
      <w:r>
        <w:rPr>
          <w:spacing w:val="-36"/>
        </w:rPr>
        <w:t> 楼</w:t>
      </w:r>
      <w:r>
        <w:rPr/>
        <w:t>法定代表人：何春梅</w:t>
      </w:r>
    </w:p>
    <w:p>
      <w:pPr>
        <w:pStyle w:val="BodyText"/>
        <w:spacing w:line="268" w:lineRule="exact"/>
      </w:pPr>
      <w:r>
        <w:rPr/>
        <w:t>联系人：田密</w:t>
      </w:r>
    </w:p>
    <w:p>
      <w:pPr>
        <w:pStyle w:val="BodyText"/>
        <w:spacing w:before="139"/>
      </w:pPr>
      <w:r>
        <w:rPr/>
        <w:t>联系电话：0755-83716916</w:t>
      </w:r>
    </w:p>
    <w:p>
      <w:pPr>
        <w:pStyle w:val="BodyText"/>
        <w:spacing w:before="139"/>
      </w:pPr>
      <w:r>
        <w:rPr/>
        <w:t>客户服务电话：95563 或 0771-95563</w:t>
      </w:r>
    </w:p>
    <w:p>
      <w:pPr>
        <w:pStyle w:val="BodyText"/>
        <w:spacing w:before="140"/>
      </w:pPr>
      <w:hyperlink r:id="rId102">
        <w:r>
          <w:rPr/>
          <w:t>网址：www.ghzq.com.cn</w:t>
        </w:r>
      </w:hyperlink>
    </w:p>
    <w:p>
      <w:pPr>
        <w:pStyle w:val="ListParagraph"/>
        <w:numPr>
          <w:ilvl w:val="0"/>
          <w:numId w:val="8"/>
        </w:numPr>
        <w:tabs>
          <w:tab w:pos="1165" w:val="left" w:leader="none"/>
        </w:tabs>
        <w:spacing w:line="240" w:lineRule="auto" w:before="139" w:after="0"/>
        <w:ind w:left="1165" w:right="0" w:hanging="525"/>
        <w:jc w:val="both"/>
        <w:rPr>
          <w:sz w:val="21"/>
        </w:rPr>
      </w:pPr>
      <w:r>
        <w:rPr>
          <w:sz w:val="21"/>
        </w:rPr>
        <w:t>国金证券</w:t>
      </w:r>
    </w:p>
    <w:p>
      <w:pPr>
        <w:pStyle w:val="BodyText"/>
        <w:spacing w:before="140"/>
      </w:pPr>
      <w:r>
        <w:rPr/>
        <w:t>注册地址：成都市青羊区东城根上街 95 号</w:t>
      </w:r>
    </w:p>
    <w:p>
      <w:pPr>
        <w:pStyle w:val="BodyText"/>
        <w:spacing w:line="364" w:lineRule="auto" w:before="139"/>
        <w:ind w:right="4580"/>
      </w:pPr>
      <w:r>
        <w:rPr>
          <w:spacing w:val="-4"/>
        </w:rPr>
        <w:t>办公地址：成都市青羊区东城根上街 </w:t>
      </w:r>
      <w:r>
        <w:rPr/>
        <w:t>95</w:t>
      </w:r>
      <w:r>
        <w:rPr>
          <w:spacing w:val="-13"/>
        </w:rPr>
        <w:t> 号成证大厦</w:t>
      </w:r>
      <w:r>
        <w:rPr/>
        <w:t>法定代表人：冉云</w:t>
      </w:r>
    </w:p>
    <w:p>
      <w:pPr>
        <w:pStyle w:val="BodyText"/>
        <w:spacing w:line="364" w:lineRule="auto"/>
        <w:ind w:right="6995"/>
      </w:pPr>
      <w:r>
        <w:rPr/>
        <w:t>联系人：杜晶、黎建平 联系电话</w:t>
      </w:r>
      <w:r>
        <w:rPr>
          <w:spacing w:val="-2"/>
        </w:rPr>
        <w:t>：028-86690057</w:t>
      </w:r>
    </w:p>
    <w:p>
      <w:pPr>
        <w:pStyle w:val="BodyText"/>
        <w:spacing w:line="364" w:lineRule="auto"/>
        <w:ind w:right="7310"/>
      </w:pPr>
      <w:r>
        <w:rPr/>
        <w:t>客户服务电话：95310 传真：028-86690126</w:t>
      </w:r>
    </w:p>
    <w:p>
      <w:pPr>
        <w:pStyle w:val="BodyText"/>
        <w:spacing w:line="268" w:lineRule="exact"/>
      </w:pPr>
      <w:hyperlink r:id="rId103">
        <w:r>
          <w:rPr/>
          <w:t>网址：www.gjzq.com.cn</w:t>
        </w:r>
      </w:hyperlink>
    </w:p>
    <w:p>
      <w:pPr>
        <w:pStyle w:val="ListParagraph"/>
        <w:numPr>
          <w:ilvl w:val="0"/>
          <w:numId w:val="8"/>
        </w:numPr>
        <w:tabs>
          <w:tab w:pos="1165" w:val="left" w:leader="none"/>
        </w:tabs>
        <w:spacing w:line="240" w:lineRule="auto" w:before="138" w:after="0"/>
        <w:ind w:left="1165" w:right="0" w:hanging="525"/>
        <w:jc w:val="both"/>
        <w:rPr>
          <w:sz w:val="21"/>
        </w:rPr>
      </w:pPr>
      <w:r>
        <w:rPr>
          <w:sz w:val="21"/>
        </w:rPr>
        <w:t>国联证券</w:t>
      </w:r>
    </w:p>
    <w:p>
      <w:pPr>
        <w:pStyle w:val="BodyText"/>
        <w:spacing w:before="139"/>
      </w:pPr>
      <w:r>
        <w:rPr/>
        <w:t>注册地址：江苏省无锡市太湖新城金融一街 8 号</w:t>
      </w:r>
    </w:p>
    <w:p>
      <w:pPr>
        <w:spacing w:after="0"/>
        <w:sectPr>
          <w:pgSz w:w="11910" w:h="16840"/>
          <w:pgMar w:header="0" w:footer="664" w:top="1380" w:bottom="940" w:left="1580" w:right="380"/>
        </w:sectPr>
      </w:pPr>
    </w:p>
    <w:p>
      <w:pPr>
        <w:pStyle w:val="BodyText"/>
        <w:spacing w:line="364" w:lineRule="auto" w:before="45"/>
        <w:ind w:right="3635"/>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7310"/>
      </w:pPr>
      <w:r>
        <w:rPr/>
        <w:t>客户服务电话：95570 传真：0510-82830162</w:t>
      </w:r>
    </w:p>
    <w:p>
      <w:pPr>
        <w:pStyle w:val="BodyText"/>
        <w:spacing w:line="268" w:lineRule="exact"/>
      </w:pPr>
      <w:hyperlink r:id="rId104">
        <w:r>
          <w:rPr/>
          <w:t>网址：www.glsc.com.cn</w:t>
        </w:r>
      </w:hyperlink>
    </w:p>
    <w:p>
      <w:pPr>
        <w:pStyle w:val="ListParagraph"/>
        <w:numPr>
          <w:ilvl w:val="0"/>
          <w:numId w:val="8"/>
        </w:numPr>
        <w:tabs>
          <w:tab w:pos="1165" w:val="left" w:leader="none"/>
        </w:tabs>
        <w:spacing w:line="240" w:lineRule="auto" w:before="139" w:after="0"/>
        <w:ind w:left="1165" w:right="0" w:hanging="525"/>
        <w:jc w:val="left"/>
        <w:rPr>
          <w:sz w:val="21"/>
        </w:rPr>
      </w:pPr>
      <w:r>
        <w:rPr>
          <w:sz w:val="21"/>
        </w:rPr>
        <w:t>国融证券</w:t>
      </w:r>
    </w:p>
    <w:p>
      <w:pPr>
        <w:pStyle w:val="BodyText"/>
        <w:spacing w:line="364" w:lineRule="auto" w:before="140"/>
        <w:ind w:right="3530"/>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40"/>
        <w:ind w:right="7310"/>
      </w:pPr>
      <w:r>
        <w:rPr/>
        <w:t>客户服务电话</w:t>
      </w:r>
      <w:r>
        <w:rPr>
          <w:spacing w:val="-4"/>
        </w:rPr>
        <w:t>：95385 </w:t>
      </w:r>
      <w:r>
        <w:rPr/>
        <w:t>传真：010-66412537</w:t>
      </w:r>
    </w:p>
    <w:p>
      <w:pPr>
        <w:pStyle w:val="BodyText"/>
        <w:spacing w:line="268" w:lineRule="exact"/>
      </w:pPr>
      <w:hyperlink r:id="rId105">
        <w:r>
          <w:rPr/>
          <w:t>网址：www.grzq.com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2900"/>
      </w:pPr>
      <w:r>
        <w:rPr>
          <w:spacing w:val="-3"/>
        </w:rPr>
        <w:t>办公地址：江西省南昌市红谷滩新区凤凰中大道 </w:t>
      </w:r>
      <w:r>
        <w:rPr/>
        <w:t>1115</w:t>
      </w:r>
      <w:r>
        <w:rPr>
          <w:spacing w:val="-11"/>
        </w:rPr>
        <w:t> 号北京银行大厦</w:t>
      </w:r>
      <w:r>
        <w:rPr/>
        <w:t>法定代表人：徐丽峰</w:t>
      </w:r>
    </w:p>
    <w:p>
      <w:pPr>
        <w:pStyle w:val="BodyText"/>
        <w:spacing w:line="268" w:lineRule="exact"/>
      </w:pPr>
      <w:r>
        <w:rPr/>
        <w:t>联系人：占文驰</w:t>
      </w:r>
    </w:p>
    <w:p>
      <w:pPr>
        <w:pStyle w:val="BodyText"/>
        <w:spacing w:before="139"/>
      </w:pPr>
      <w:r>
        <w:rPr/>
        <w:t>联系电话：0791-86283372</w:t>
      </w:r>
    </w:p>
    <w:p>
      <w:pPr>
        <w:pStyle w:val="BodyText"/>
        <w:spacing w:line="364" w:lineRule="auto" w:before="140"/>
        <w:ind w:right="7205"/>
      </w:pPr>
      <w:r>
        <w:rPr/>
        <w:t>客户服务电话</w:t>
      </w:r>
      <w:r>
        <w:rPr>
          <w:spacing w:val="-3"/>
        </w:rPr>
        <w:t>：956080 </w:t>
      </w:r>
      <w:r>
        <w:rPr/>
        <w:t>传真：0791-86281305</w:t>
      </w:r>
    </w:p>
    <w:p>
      <w:pPr>
        <w:pStyle w:val="BodyText"/>
        <w:spacing w:line="268" w:lineRule="exact"/>
      </w:pPr>
      <w:hyperlink r:id="rId106">
        <w:r>
          <w:rPr/>
          <w:t>网址：www.gszq.com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国泰君安证券</w:t>
      </w:r>
    </w:p>
    <w:p>
      <w:pPr>
        <w:pStyle w:val="BodyText"/>
        <w:spacing w:line="364" w:lineRule="auto" w:before="140"/>
        <w:ind w:right="426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39"/>
        <w:ind w:right="7310"/>
      </w:pPr>
      <w:r>
        <w:rPr/>
        <w:t>客户服务电话</w:t>
      </w:r>
      <w:r>
        <w:rPr>
          <w:spacing w:val="-4"/>
        </w:rPr>
        <w:t>：95521 </w:t>
      </w:r>
      <w:r>
        <w:rPr/>
        <w:t>传真：021-38670666</w:t>
      </w:r>
    </w:p>
    <w:p>
      <w:pPr>
        <w:pStyle w:val="BodyText"/>
        <w:spacing w:line="268" w:lineRule="exact"/>
      </w:pPr>
      <w:hyperlink r:id="rId107">
        <w:r>
          <w:rPr/>
          <w:t>网址：www.gtja.com</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国信证券</w:t>
      </w:r>
    </w:p>
    <w:p>
      <w:pPr>
        <w:spacing w:after="0" w:line="240" w:lineRule="auto"/>
        <w:jc w:val="both"/>
        <w:rPr>
          <w:sz w:val="21"/>
        </w:rPr>
        <w:sectPr>
          <w:pgSz w:w="11910" w:h="16840"/>
          <w:pgMar w:header="0" w:footer="664" w:top="1380" w:bottom="940" w:left="1580" w:right="380"/>
        </w:sectPr>
      </w:pPr>
    </w:p>
    <w:p>
      <w:pPr>
        <w:pStyle w:val="BodyText"/>
        <w:spacing w:line="364" w:lineRule="auto" w:before="45"/>
        <w:ind w:right="248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7310"/>
      </w:pPr>
      <w:r>
        <w:rPr/>
        <w:t>客户服务电话：95536 传真：0755-82133952</w:t>
      </w:r>
    </w:p>
    <w:p>
      <w:pPr>
        <w:pStyle w:val="BodyText"/>
        <w:spacing w:line="268" w:lineRule="exact"/>
      </w:pPr>
      <w:hyperlink r:id="rId108">
        <w:r>
          <w:rPr/>
          <w:t>网址：www.guosen.com.cn</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国元证券</w:t>
      </w:r>
    </w:p>
    <w:p>
      <w:pPr>
        <w:pStyle w:val="BodyText"/>
        <w:spacing w:before="140"/>
      </w:pPr>
      <w:r>
        <w:rPr/>
        <w:t>注册地址：安徽省合肥市梅山路 18 号</w:t>
      </w:r>
    </w:p>
    <w:p>
      <w:pPr>
        <w:pStyle w:val="BodyText"/>
        <w:spacing w:line="364" w:lineRule="auto" w:before="139"/>
        <w:ind w:right="2900"/>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40"/>
        <w:ind w:right="7310"/>
      </w:pPr>
      <w:r>
        <w:rPr/>
        <w:t>客户服务电话：95578 传真：0551-2272100</w:t>
      </w:r>
    </w:p>
    <w:p>
      <w:pPr>
        <w:pStyle w:val="BodyText"/>
        <w:spacing w:line="268" w:lineRule="exact"/>
      </w:pPr>
      <w:hyperlink r:id="rId109">
        <w:r>
          <w:rPr/>
          <w:t>网址：www.gyzq.com.cn</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海通证券</w:t>
      </w:r>
    </w:p>
    <w:p>
      <w:pPr>
        <w:pStyle w:val="BodyText"/>
        <w:spacing w:line="364" w:lineRule="auto" w:before="139"/>
        <w:ind w:right="6365"/>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364" w:lineRule="auto"/>
        <w:ind w:right="6995"/>
      </w:pPr>
      <w:r>
        <w:rPr/>
        <w:t>联系人：金芸、李笑鸣 联系电话</w:t>
      </w:r>
      <w:r>
        <w:rPr>
          <w:spacing w:val="-2"/>
        </w:rPr>
        <w:t>：021-23219000</w:t>
      </w:r>
    </w:p>
    <w:p>
      <w:pPr>
        <w:pStyle w:val="BodyText"/>
        <w:spacing w:line="364" w:lineRule="auto"/>
        <w:ind w:right="7310"/>
      </w:pPr>
      <w:r>
        <w:rPr/>
        <w:t>客户服务电话</w:t>
      </w:r>
      <w:r>
        <w:rPr>
          <w:spacing w:val="-4"/>
        </w:rPr>
        <w:t>：95553 </w:t>
      </w:r>
      <w:r>
        <w:rPr/>
        <w:t>传真：021-23219100</w:t>
      </w:r>
    </w:p>
    <w:p>
      <w:pPr>
        <w:pStyle w:val="BodyText"/>
        <w:spacing w:line="268" w:lineRule="exact"/>
      </w:pPr>
      <w:hyperlink r:id="rId110">
        <w:r>
          <w:rPr/>
          <w:t>网址：www.htsec.com</w:t>
        </w:r>
      </w:hyperlink>
    </w:p>
    <w:p>
      <w:pPr>
        <w:pStyle w:val="ListParagraph"/>
        <w:numPr>
          <w:ilvl w:val="0"/>
          <w:numId w:val="8"/>
        </w:numPr>
        <w:tabs>
          <w:tab w:pos="1270" w:val="left" w:leader="none"/>
        </w:tabs>
        <w:spacing w:line="240" w:lineRule="auto" w:before="138" w:after="0"/>
        <w:ind w:left="1270" w:right="0" w:hanging="630"/>
        <w:jc w:val="both"/>
        <w:rPr>
          <w:sz w:val="21"/>
        </w:rPr>
      </w:pPr>
      <w:r>
        <w:rPr>
          <w:sz w:val="21"/>
        </w:rPr>
        <w:t>华安证券</w:t>
      </w:r>
    </w:p>
    <w:p>
      <w:pPr>
        <w:pStyle w:val="BodyText"/>
        <w:spacing w:line="364" w:lineRule="auto" w:before="139"/>
        <w:ind w:right="426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7310"/>
      </w:pPr>
      <w:r>
        <w:rPr/>
        <w:t>客户服务电话</w:t>
      </w:r>
      <w:r>
        <w:rPr>
          <w:spacing w:val="-4"/>
        </w:rPr>
        <w:t>：95318 </w:t>
      </w:r>
      <w:r>
        <w:rPr>
          <w:spacing w:val="-2"/>
        </w:rPr>
        <w:t>传真：0551-65161825</w:t>
      </w:r>
    </w:p>
    <w:p>
      <w:pPr>
        <w:pStyle w:val="BodyText"/>
        <w:spacing w:line="268" w:lineRule="exact"/>
      </w:pPr>
      <w:hyperlink r:id="rId111">
        <w:r>
          <w:rPr/>
          <w:t>网址：www.hazq.com</w:t>
        </w:r>
      </w:hyperlink>
    </w:p>
    <w:p>
      <w:pPr>
        <w:spacing w:after="0" w:line="268" w:lineRule="exact"/>
        <w:sectPr>
          <w:pgSz w:w="11910" w:h="16840"/>
          <w:pgMar w:header="0" w:footer="664" w:top="1380" w:bottom="940" w:left="1580" w:right="380"/>
        </w:sectPr>
      </w:pPr>
    </w:p>
    <w:p>
      <w:pPr>
        <w:pStyle w:val="ListParagraph"/>
        <w:numPr>
          <w:ilvl w:val="0"/>
          <w:numId w:val="8"/>
        </w:numPr>
        <w:tabs>
          <w:tab w:pos="1270" w:val="left" w:leader="none"/>
        </w:tabs>
        <w:spacing w:line="240" w:lineRule="auto" w:before="45" w:after="0"/>
        <w:ind w:left="1270" w:right="0" w:hanging="630"/>
        <w:jc w:val="both"/>
        <w:rPr>
          <w:sz w:val="21"/>
        </w:rPr>
      </w:pPr>
      <w:r>
        <w:rPr>
          <w:sz w:val="21"/>
        </w:rPr>
        <w:t>华宝证券</w:t>
      </w:r>
    </w:p>
    <w:p>
      <w:pPr>
        <w:pStyle w:val="BodyText"/>
        <w:spacing w:line="364" w:lineRule="auto" w:before="139"/>
        <w:ind w:right="3530"/>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40"/>
      </w:pPr>
      <w:r>
        <w:rPr/>
        <w:t>联系电话：021-20657517</w:t>
      </w:r>
    </w:p>
    <w:p>
      <w:pPr>
        <w:pStyle w:val="BodyText"/>
        <w:spacing w:line="364" w:lineRule="auto" w:before="139"/>
        <w:ind w:right="6575"/>
      </w:pPr>
      <w:r>
        <w:rPr/>
        <w:t>客户服务电话：400-820-9898 传真：021-20515593</w:t>
      </w:r>
    </w:p>
    <w:p>
      <w:pPr>
        <w:pStyle w:val="BodyText"/>
        <w:spacing w:line="268" w:lineRule="exact"/>
      </w:pPr>
      <w:hyperlink r:id="rId112">
        <w:r>
          <w:rPr/>
          <w:t>网址：www.cnhbstock.com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华福证券</w:t>
      </w:r>
    </w:p>
    <w:p>
      <w:pPr>
        <w:pStyle w:val="BodyText"/>
        <w:spacing w:line="364" w:lineRule="auto" w:before="139"/>
        <w:ind w:right="2900"/>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40"/>
      </w:pPr>
      <w:r>
        <w:rPr/>
        <w:t>联系电话：021-20655183</w:t>
      </w:r>
    </w:p>
    <w:p>
      <w:pPr>
        <w:pStyle w:val="BodyText"/>
        <w:spacing w:line="364" w:lineRule="auto" w:before="139"/>
        <w:ind w:right="7310"/>
      </w:pPr>
      <w:r>
        <w:rPr/>
        <w:t>客户服务电话：95547 传真：021-20655196</w:t>
      </w:r>
    </w:p>
    <w:p>
      <w:pPr>
        <w:pStyle w:val="BodyText"/>
        <w:spacing w:line="268" w:lineRule="exact"/>
      </w:pPr>
      <w:hyperlink r:id="rId113">
        <w:r>
          <w:rPr/>
          <w:t>网址：www.hfzq.com.cn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华龙证券</w:t>
      </w:r>
    </w:p>
    <w:p>
      <w:pPr>
        <w:pStyle w:val="BodyText"/>
        <w:spacing w:line="364" w:lineRule="auto" w:before="140"/>
        <w:ind w:right="374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7415"/>
      </w:pPr>
      <w:r>
        <w:rPr/>
        <w:t>法定代表人：陈牧原联系人：范坤</w:t>
      </w:r>
    </w:p>
    <w:p>
      <w:pPr>
        <w:pStyle w:val="BodyText"/>
        <w:spacing w:line="268" w:lineRule="exact"/>
      </w:pPr>
      <w:r>
        <w:rPr/>
        <w:t>联系电话：0931-4890208</w:t>
      </w:r>
    </w:p>
    <w:p>
      <w:pPr>
        <w:pStyle w:val="BodyText"/>
        <w:spacing w:line="364" w:lineRule="auto" w:before="138"/>
        <w:ind w:right="5840"/>
      </w:pPr>
      <w:r>
        <w:rPr/>
        <w:t>客户服务电话：95368、</w:t>
      </w:r>
      <w:r>
        <w:rPr>
          <w:spacing w:val="-2"/>
        </w:rPr>
        <w:t>400-689-8888 </w:t>
      </w:r>
      <w:r>
        <w:rPr/>
        <w:t>传真：0931-4890628</w:t>
      </w:r>
    </w:p>
    <w:p>
      <w:pPr>
        <w:pStyle w:val="BodyText"/>
        <w:spacing w:line="268" w:lineRule="exact"/>
      </w:pPr>
      <w:hyperlink r:id="rId114">
        <w:r>
          <w:rPr/>
          <w:t>网址：www.hlzq.com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华融证券</w:t>
      </w:r>
    </w:p>
    <w:p>
      <w:pPr>
        <w:pStyle w:val="BodyText"/>
        <w:spacing w:before="139"/>
      </w:pPr>
      <w:r>
        <w:rPr/>
        <w:t>注册地址：北京市西城区金融大街 8 号</w:t>
      </w:r>
    </w:p>
    <w:p>
      <w:pPr>
        <w:pStyle w:val="BodyText"/>
        <w:spacing w:line="364" w:lineRule="auto" w:before="140"/>
        <w:ind w:right="2480"/>
      </w:pPr>
      <w:r>
        <w:rPr>
          <w:spacing w:val="-3"/>
        </w:rPr>
        <w:t>办公地址：北京市朝阳区朝阳门北大街 </w:t>
      </w:r>
      <w:r>
        <w:rPr/>
        <w:t>18</w:t>
      </w:r>
      <w:r>
        <w:rPr>
          <w:spacing w:val="-13"/>
        </w:rPr>
        <w:t> 号中国人保寿险大厦 </w:t>
      </w:r>
      <w:r>
        <w:rPr/>
        <w:t>11</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39"/>
      </w:pPr>
      <w:r>
        <w:rPr/>
        <w:t>联系电话：010-85556048</w:t>
      </w:r>
    </w:p>
    <w:p>
      <w:pPr>
        <w:pStyle w:val="BodyText"/>
        <w:spacing w:before="140"/>
      </w:pPr>
      <w:r>
        <w:rPr/>
        <w:t>客户服务电话：95390</w:t>
      </w:r>
    </w:p>
    <w:p>
      <w:pPr>
        <w:spacing w:after="0"/>
        <w:sectPr>
          <w:pgSz w:w="11910" w:h="16840"/>
          <w:pgMar w:header="0" w:footer="664" w:top="1380" w:bottom="940" w:left="1580" w:right="380"/>
        </w:sectPr>
      </w:pPr>
    </w:p>
    <w:p>
      <w:pPr>
        <w:pStyle w:val="BodyText"/>
        <w:spacing w:before="45"/>
      </w:pPr>
      <w:r>
        <w:rPr/>
        <w:t>传真：010-85556088</w:t>
      </w:r>
    </w:p>
    <w:p>
      <w:pPr>
        <w:pStyle w:val="BodyText"/>
        <w:spacing w:before="139"/>
      </w:pPr>
      <w:hyperlink r:id="rId115">
        <w:r>
          <w:rPr/>
          <w:t>网址：www.hrsec.com.cn</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4265"/>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7310"/>
      </w:pPr>
      <w:r>
        <w:rPr/>
        <w:t>客户服务电话：95597 传真：025-83387523</w:t>
      </w:r>
    </w:p>
    <w:p>
      <w:pPr>
        <w:pStyle w:val="BodyText"/>
        <w:spacing w:line="268" w:lineRule="exact"/>
      </w:pPr>
      <w:hyperlink r:id="rId116">
        <w:r>
          <w:rPr/>
          <w:t>网址：www.htsc.com.cn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3635"/>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7310"/>
      </w:pPr>
      <w:r>
        <w:rPr/>
        <w:t>客户服务电话：95584 传真：028-86150040</w:t>
      </w:r>
    </w:p>
    <w:p>
      <w:pPr>
        <w:pStyle w:val="BodyText"/>
        <w:spacing w:line="268" w:lineRule="exact"/>
      </w:pPr>
      <w:hyperlink r:id="rId117">
        <w:r>
          <w:rPr/>
          <w:t>网址：www.hx168.com.cn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line="364" w:lineRule="auto" w:before="139"/>
        <w:ind w:right="5735"/>
      </w:pPr>
      <w:r>
        <w:rPr>
          <w:spacing w:val="-4"/>
        </w:rPr>
        <w:t>办公地址：上海市徐汇区宛平南路 </w:t>
      </w:r>
      <w:r>
        <w:rPr/>
        <w:t>8</w:t>
      </w:r>
      <w:r>
        <w:rPr>
          <w:spacing w:val="-36"/>
        </w:rPr>
        <w:t> 号</w:t>
      </w:r>
      <w:r>
        <w:rPr/>
        <w:t>法定代表人：俞洋</w:t>
      </w:r>
    </w:p>
    <w:p>
      <w:pPr>
        <w:pStyle w:val="BodyText"/>
        <w:spacing w:line="268" w:lineRule="exact"/>
      </w:pPr>
      <w:r>
        <w:rPr/>
        <w:t>联系人：杨莉娟</w:t>
      </w:r>
    </w:p>
    <w:p>
      <w:pPr>
        <w:pStyle w:val="BodyText"/>
        <w:spacing w:before="140"/>
      </w:pPr>
      <w:r>
        <w:rPr/>
        <w:t>联系电话：021-54967552</w:t>
      </w:r>
    </w:p>
    <w:p>
      <w:pPr>
        <w:pStyle w:val="BodyText"/>
        <w:spacing w:line="364" w:lineRule="auto" w:before="139"/>
        <w:ind w:right="2060"/>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pPr>
      <w:hyperlink r:id="rId118">
        <w:r>
          <w:rPr/>
          <w:t>网址：www.cfsc.com.cn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华信证券</w:t>
      </w:r>
    </w:p>
    <w:p>
      <w:pPr>
        <w:pStyle w:val="BodyText"/>
        <w:spacing w:line="364" w:lineRule="auto" w:before="140"/>
        <w:ind w:right="3845"/>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7415"/>
      </w:pPr>
      <w:r>
        <w:rPr/>
        <w:t>法定代表人：陈灿辉联系人：徐璐</w:t>
      </w:r>
    </w:p>
    <w:p>
      <w:pPr>
        <w:spacing w:after="0" w:line="364" w:lineRule="auto"/>
        <w:sectPr>
          <w:pgSz w:w="11910" w:h="16840"/>
          <w:pgMar w:header="0" w:footer="664" w:top="1380" w:bottom="940" w:left="1580" w:right="380"/>
        </w:sectPr>
      </w:pPr>
    </w:p>
    <w:p>
      <w:pPr>
        <w:pStyle w:val="BodyText"/>
        <w:spacing w:before="45"/>
      </w:pPr>
      <w:r>
        <w:rPr/>
        <w:t>联系电话：021-63898952</w:t>
      </w:r>
    </w:p>
    <w:p>
      <w:pPr>
        <w:pStyle w:val="BodyText"/>
        <w:spacing w:line="364" w:lineRule="auto" w:before="139"/>
        <w:ind w:right="6575"/>
      </w:pPr>
      <w:r>
        <w:rPr/>
        <w:t>客户服务电话：400-820-5999 传真：021-68776977 转 8952</w:t>
      </w:r>
    </w:p>
    <w:p>
      <w:pPr>
        <w:pStyle w:val="BodyText"/>
        <w:spacing w:line="268" w:lineRule="exact"/>
      </w:pPr>
      <w:hyperlink r:id="rId119">
        <w:r>
          <w:rPr/>
          <w:t>网址：www.shhxzq.com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江海证券</w:t>
      </w:r>
    </w:p>
    <w:p>
      <w:pPr>
        <w:pStyle w:val="BodyText"/>
        <w:spacing w:before="139"/>
      </w:pPr>
      <w:r>
        <w:rPr/>
        <w:t>注册地址：黑龙江省哈尔滨市香坊区赣水路 56 号</w:t>
      </w:r>
    </w:p>
    <w:p>
      <w:pPr>
        <w:pStyle w:val="BodyText"/>
        <w:spacing w:line="364" w:lineRule="auto" w:before="140"/>
        <w:ind w:right="4475"/>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7205"/>
      </w:pPr>
      <w:r>
        <w:rPr/>
        <w:t>客户服务电话：956007 传真：0451-82337279</w:t>
      </w:r>
    </w:p>
    <w:p>
      <w:pPr>
        <w:pStyle w:val="BodyText"/>
        <w:spacing w:line="268" w:lineRule="exact"/>
      </w:pPr>
      <w:hyperlink r:id="rId120">
        <w:r>
          <w:rPr/>
          <w:t>网址：www.jhzq.com.cn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40"/>
        <w:ind w:right="384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7310"/>
      </w:pPr>
      <w:r>
        <w:rPr/>
        <w:t>客户服务电话：95372 传真：0755-83025625</w:t>
      </w:r>
    </w:p>
    <w:p>
      <w:pPr>
        <w:pStyle w:val="BodyText"/>
        <w:spacing w:line="268" w:lineRule="exact"/>
      </w:pPr>
      <w:hyperlink r:id="rId121">
        <w:r>
          <w:rPr/>
          <w:t>网址：www.jyzq.cn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九州证券</w:t>
      </w:r>
    </w:p>
    <w:p>
      <w:pPr>
        <w:pStyle w:val="BodyText"/>
        <w:spacing w:before="140"/>
      </w:pPr>
      <w:r>
        <w:rPr/>
        <w:t>注册地址：青海省西宁市南川工业园区创业路 108 号</w:t>
      </w:r>
    </w:p>
    <w:p>
      <w:pPr>
        <w:pStyle w:val="BodyText"/>
        <w:spacing w:line="364" w:lineRule="auto" w:before="139"/>
        <w:ind w:right="3740"/>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40"/>
      </w:pPr>
      <w:r>
        <w:rPr/>
        <w:t>联系电话：010-57672272</w:t>
      </w:r>
    </w:p>
    <w:p>
      <w:pPr>
        <w:pStyle w:val="BodyText"/>
        <w:spacing w:line="364" w:lineRule="auto" w:before="139"/>
        <w:ind w:right="7310"/>
      </w:pPr>
      <w:r>
        <w:rPr/>
        <w:t>客户服务电话</w:t>
      </w:r>
      <w:r>
        <w:rPr>
          <w:spacing w:val="-4"/>
        </w:rPr>
        <w:t>：95305 </w:t>
      </w:r>
      <w:r>
        <w:rPr/>
        <w:t>传真：010-57672296</w:t>
      </w:r>
    </w:p>
    <w:p>
      <w:pPr>
        <w:pStyle w:val="BodyText"/>
        <w:spacing w:line="268" w:lineRule="exact"/>
      </w:pPr>
      <w:hyperlink r:id="rId122">
        <w:r>
          <w:rPr/>
          <w:t>网址：www.jzsec.com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开源证券</w:t>
      </w:r>
    </w:p>
    <w:p>
      <w:pPr>
        <w:pStyle w:val="BodyText"/>
        <w:spacing w:line="364" w:lineRule="auto" w:before="140"/>
        <w:ind w:right="3635"/>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p>
    <w:p>
      <w:pPr>
        <w:spacing w:after="0" w:line="364" w:lineRule="auto"/>
        <w:sectPr>
          <w:pgSz w:w="11910" w:h="16840"/>
          <w:pgMar w:header="0" w:footer="664" w:top="1380" w:bottom="940" w:left="1580" w:right="380"/>
        </w:sectPr>
      </w:pPr>
    </w:p>
    <w:p>
      <w:pPr>
        <w:pStyle w:val="BodyText"/>
        <w:spacing w:line="364" w:lineRule="auto" w:before="45"/>
        <w:ind w:right="7625"/>
      </w:pPr>
      <w:r>
        <w:rPr/>
        <w:t>法定代表人：李刚联系人：张蕊</w:t>
      </w:r>
    </w:p>
    <w:p>
      <w:pPr>
        <w:pStyle w:val="BodyText"/>
        <w:spacing w:line="268" w:lineRule="exact"/>
      </w:pPr>
      <w:r>
        <w:rPr/>
        <w:t>联系电话：029-88365809</w:t>
      </w:r>
    </w:p>
    <w:p>
      <w:pPr>
        <w:pStyle w:val="BodyText"/>
        <w:spacing w:line="364" w:lineRule="auto" w:before="139"/>
        <w:ind w:right="7310"/>
      </w:pPr>
      <w:r>
        <w:rPr/>
        <w:t>客户服务电话：95325 </w:t>
      </w:r>
      <w:hyperlink r:id="rId123">
        <w:r>
          <w:rPr/>
          <w:t>网址：www.kysec.cn</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联储证券</w:t>
      </w:r>
    </w:p>
    <w:p>
      <w:pPr>
        <w:pStyle w:val="BodyText"/>
        <w:spacing w:line="364" w:lineRule="auto" w:before="140"/>
        <w:ind w:right="174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7415"/>
      </w:pPr>
      <w:r>
        <w:rPr/>
        <w:t>法定代表人：吕春卫联系人：张婉婷</w:t>
      </w:r>
    </w:p>
    <w:p>
      <w:pPr>
        <w:pStyle w:val="BodyText"/>
        <w:spacing w:line="268" w:lineRule="exact"/>
      </w:pPr>
      <w:r>
        <w:rPr/>
        <w:t>联系电话：010-86499765</w:t>
      </w:r>
    </w:p>
    <w:p>
      <w:pPr>
        <w:pStyle w:val="BodyText"/>
        <w:spacing w:line="364" w:lineRule="auto" w:before="138"/>
        <w:ind w:right="6575"/>
      </w:pPr>
      <w:r>
        <w:rPr/>
        <w:t>客户服务电话：400-620-6868 </w:t>
      </w:r>
      <w:hyperlink r:id="rId124">
        <w:r>
          <w:rPr/>
          <w:t>网址：www.lczq.com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南京证券</w:t>
      </w:r>
    </w:p>
    <w:p>
      <w:pPr>
        <w:pStyle w:val="BodyText"/>
        <w:spacing w:line="364" w:lineRule="auto" w:before="140"/>
        <w:ind w:right="6155"/>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法定代表人：步国旬</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7310"/>
      </w:pPr>
      <w:r>
        <w:rPr/>
        <w:t>客户服务电话：95386 传真：025-83369725</w:t>
      </w:r>
    </w:p>
    <w:p>
      <w:pPr>
        <w:pStyle w:val="BodyText"/>
        <w:spacing w:line="268" w:lineRule="exact"/>
      </w:pPr>
      <w:hyperlink r:id="rId125">
        <w:r>
          <w:rPr/>
          <w:t>网址：www.njzq.com.cn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平安证券</w:t>
      </w:r>
    </w:p>
    <w:p>
      <w:pPr>
        <w:pStyle w:val="BodyText"/>
        <w:spacing w:line="364" w:lineRule="auto" w:before="140"/>
        <w:ind w:right="2060"/>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7415"/>
      </w:pPr>
      <w:r>
        <w:rPr/>
        <w:t>法定代表人：何之江联系人：周驰</w:t>
      </w:r>
    </w:p>
    <w:p>
      <w:pPr>
        <w:pStyle w:val="BodyText"/>
        <w:spacing w:line="268" w:lineRule="exact"/>
      </w:pPr>
      <w:r>
        <w:rPr/>
        <w:t>联系电话：021-38643230</w:t>
      </w:r>
    </w:p>
    <w:p>
      <w:pPr>
        <w:pStyle w:val="BodyText"/>
        <w:spacing w:line="364" w:lineRule="auto" w:before="138"/>
        <w:ind w:right="7100"/>
      </w:pPr>
      <w:r>
        <w:rPr/>
        <w:t>客户服务电话：95511-8 传真：021-58991896</w:t>
      </w:r>
    </w:p>
    <w:p>
      <w:pPr>
        <w:pStyle w:val="BodyText"/>
        <w:spacing w:line="268" w:lineRule="exact"/>
      </w:pPr>
      <w:r>
        <w:rPr/>
        <w:t>网址：stock.pingan.com</w:t>
      </w:r>
    </w:p>
    <w:p>
      <w:pPr>
        <w:pStyle w:val="ListParagraph"/>
        <w:numPr>
          <w:ilvl w:val="0"/>
          <w:numId w:val="8"/>
        </w:numPr>
        <w:tabs>
          <w:tab w:pos="1270" w:val="left" w:leader="none"/>
        </w:tabs>
        <w:spacing w:line="240" w:lineRule="auto" w:before="139" w:after="0"/>
        <w:ind w:left="1270" w:right="0" w:hanging="630"/>
        <w:jc w:val="left"/>
        <w:rPr>
          <w:sz w:val="21"/>
        </w:rPr>
      </w:pPr>
      <w:r>
        <w:rPr>
          <w:sz w:val="21"/>
        </w:rPr>
        <w:t>瑞银证券</w:t>
      </w:r>
    </w:p>
    <w:p>
      <w:pPr>
        <w:pStyle w:val="BodyText"/>
        <w:spacing w:line="364" w:lineRule="auto" w:before="140"/>
        <w:ind w:right="2846"/>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p>
    <w:p>
      <w:pPr>
        <w:spacing w:after="0" w:line="364" w:lineRule="auto"/>
        <w:sectPr>
          <w:pgSz w:w="11910" w:h="16840"/>
          <w:pgMar w:header="0" w:footer="664" w:top="1380" w:bottom="940" w:left="1580" w:right="380"/>
        </w:sectPr>
      </w:pPr>
    </w:p>
    <w:p>
      <w:pPr>
        <w:pStyle w:val="BodyText"/>
        <w:spacing w:line="364" w:lineRule="auto" w:before="45"/>
        <w:ind w:right="7415"/>
      </w:pPr>
      <w:r>
        <w:rPr/>
        <w:t>法定代表人：钱于军联系人：谢丹</w:t>
      </w:r>
    </w:p>
    <w:p>
      <w:pPr>
        <w:pStyle w:val="BodyText"/>
        <w:spacing w:line="268" w:lineRule="exact"/>
      </w:pPr>
      <w:r>
        <w:rPr/>
        <w:t>联系电话：0755-22158878</w:t>
      </w:r>
    </w:p>
    <w:p>
      <w:pPr>
        <w:pStyle w:val="BodyText"/>
        <w:spacing w:line="364" w:lineRule="auto" w:before="139"/>
        <w:ind w:right="6575"/>
      </w:pPr>
      <w:r>
        <w:rPr/>
        <w:t>客户服务电话：400-887-8827 传真：010-58328170</w:t>
      </w:r>
    </w:p>
    <w:p>
      <w:pPr>
        <w:pStyle w:val="BodyText"/>
        <w:spacing w:line="268" w:lineRule="exact"/>
      </w:pPr>
      <w:hyperlink r:id="rId126">
        <w:r>
          <w:rPr/>
          <w:t>网址：https://www.ubs.com/ubssecurities</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山西证券</w:t>
      </w:r>
    </w:p>
    <w:p>
      <w:pPr>
        <w:pStyle w:val="BodyText"/>
        <w:spacing w:line="364" w:lineRule="auto" w:before="139"/>
        <w:ind w:right="4160"/>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40"/>
      </w:pPr>
      <w:r>
        <w:rPr/>
        <w:t>联系电话：0351-8686721</w:t>
      </w:r>
    </w:p>
    <w:p>
      <w:pPr>
        <w:pStyle w:val="BodyText"/>
        <w:spacing w:before="139"/>
      </w:pPr>
      <w:r>
        <w:rPr/>
        <w:t>客户服务电话：95573 或 400-666-1618</w:t>
      </w:r>
    </w:p>
    <w:p>
      <w:pPr>
        <w:pStyle w:val="BodyText"/>
        <w:spacing w:before="140"/>
      </w:pPr>
      <w:r>
        <w:rPr/>
        <w:t>传真：0351-8686619</w:t>
      </w:r>
    </w:p>
    <w:p>
      <w:pPr>
        <w:pStyle w:val="BodyText"/>
        <w:spacing w:before="139"/>
      </w:pPr>
      <w:hyperlink r:id="rId127">
        <w:r>
          <w:rPr/>
          <w:t>网址：www.i618.com.cn</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上海证券</w:t>
      </w:r>
    </w:p>
    <w:p>
      <w:pPr>
        <w:pStyle w:val="BodyText"/>
        <w:spacing w:before="140"/>
      </w:pPr>
      <w:r>
        <w:rPr/>
        <w:t>注册地址：上海市黄浦区四川中路 213 号 7 楼</w:t>
      </w:r>
    </w:p>
    <w:p>
      <w:pPr>
        <w:pStyle w:val="BodyText"/>
        <w:spacing w:line="364" w:lineRule="auto" w:before="139"/>
        <w:ind w:right="4475"/>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40"/>
      </w:pPr>
      <w:r>
        <w:rPr/>
        <w:t>联系电话：021-53686888</w:t>
      </w:r>
    </w:p>
    <w:p>
      <w:pPr>
        <w:pStyle w:val="BodyText"/>
        <w:spacing w:before="139"/>
      </w:pPr>
      <w:r>
        <w:rPr/>
        <w:t>客户服务电话：4008-918-918</w:t>
      </w:r>
    </w:p>
    <w:p>
      <w:pPr>
        <w:pStyle w:val="BodyText"/>
        <w:spacing w:before="140"/>
      </w:pPr>
      <w:r>
        <w:rPr/>
        <w:t>传真：021-53686100、021-53686200</w:t>
      </w:r>
    </w:p>
    <w:p>
      <w:pPr>
        <w:pStyle w:val="BodyText"/>
        <w:spacing w:before="139"/>
      </w:pPr>
      <w:hyperlink r:id="rId128">
        <w:r>
          <w:rPr/>
          <w:t>网址：https://www.shzq.com/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申万宏源西部证券</w:t>
      </w:r>
    </w:p>
    <w:p>
      <w:pPr>
        <w:pStyle w:val="BodyText"/>
        <w:spacing w:before="139"/>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220"/>
      </w:pPr>
      <w:r>
        <w:rPr/>
        <w:t>室</w:t>
      </w:r>
    </w:p>
    <w:p>
      <w:pPr>
        <w:pStyle w:val="BodyText"/>
        <w:spacing w:before="140"/>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220"/>
      </w:pPr>
      <w:r>
        <w:rPr/>
        <w:t>室</w:t>
      </w:r>
    </w:p>
    <w:p>
      <w:pPr>
        <w:pStyle w:val="BodyText"/>
        <w:spacing w:line="364" w:lineRule="auto" w:before="140"/>
        <w:ind w:right="7625"/>
      </w:pPr>
      <w:r>
        <w:rPr/>
        <w:t>法定代表人：李琦联系人：王怀春</w:t>
      </w:r>
    </w:p>
    <w:p>
      <w:pPr>
        <w:pStyle w:val="BodyText"/>
        <w:spacing w:line="268" w:lineRule="exact"/>
      </w:pPr>
      <w:r>
        <w:rPr/>
        <w:t>联系电话：0991-2307105</w:t>
      </w:r>
    </w:p>
    <w:p>
      <w:pPr>
        <w:pStyle w:val="BodyText"/>
        <w:spacing w:line="364" w:lineRule="auto" w:before="139"/>
        <w:ind w:right="6575"/>
      </w:pPr>
      <w:r>
        <w:rPr/>
        <w:t>客户服务电话：4008-000-562 传真：010-88085195</w:t>
      </w:r>
    </w:p>
    <w:p>
      <w:pPr>
        <w:spacing w:after="0" w:line="364" w:lineRule="auto"/>
        <w:sectPr>
          <w:pgSz w:w="11910" w:h="16840"/>
          <w:pgMar w:header="0" w:footer="664" w:top="1380" w:bottom="940" w:left="1580" w:right="380"/>
        </w:sectPr>
      </w:pPr>
    </w:p>
    <w:p>
      <w:pPr>
        <w:pStyle w:val="BodyText"/>
        <w:spacing w:before="45"/>
      </w:pPr>
      <w:hyperlink r:id="rId129">
        <w:r>
          <w:rPr/>
          <w:t>网址：www.hysec.com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申万宏源证券</w:t>
      </w:r>
    </w:p>
    <w:p>
      <w:pPr>
        <w:pStyle w:val="BodyText"/>
        <w:spacing w:before="140"/>
      </w:pPr>
      <w:r>
        <w:rPr/>
        <w:t>注册地址：上海市徐汇区长乐路 989 号 45 层</w:t>
      </w:r>
    </w:p>
    <w:p>
      <w:pPr>
        <w:pStyle w:val="BodyText"/>
        <w:spacing w:line="364" w:lineRule="auto" w:before="139"/>
        <w:ind w:right="3950"/>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联系人：余敏</w:t>
      </w:r>
    </w:p>
    <w:p>
      <w:pPr>
        <w:pStyle w:val="BodyText"/>
        <w:spacing w:before="140"/>
      </w:pPr>
      <w:r>
        <w:rPr/>
        <w:t>联系电话：021-33388252</w:t>
      </w:r>
    </w:p>
    <w:p>
      <w:pPr>
        <w:pStyle w:val="BodyText"/>
        <w:spacing w:line="364" w:lineRule="auto" w:before="139"/>
        <w:ind w:right="6050"/>
      </w:pPr>
      <w:r>
        <w:rPr/>
        <w:t>客户服务电话：95523、4008895523 传真：021-33388224</w:t>
      </w:r>
    </w:p>
    <w:p>
      <w:pPr>
        <w:pStyle w:val="BodyText"/>
        <w:spacing w:line="268" w:lineRule="exact"/>
      </w:pPr>
      <w:hyperlink r:id="rId130">
        <w:r>
          <w:rPr/>
          <w:t>网址：www.swhysc.com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世纪证券</w:t>
      </w:r>
    </w:p>
    <w:p>
      <w:pPr>
        <w:pStyle w:val="BodyText"/>
        <w:spacing w:line="364" w:lineRule="auto" w:before="139"/>
        <w:ind w:left="220" w:right="1418" w:firstLine="420"/>
      </w:pPr>
      <w:r>
        <w:rPr>
          <w:spacing w:val="-13"/>
        </w:rPr>
        <w:t>注册地址：深圳市前海深港合作区南山街道桂湾五路 </w:t>
      </w:r>
      <w:r>
        <w:rPr/>
        <w:t>128</w:t>
      </w:r>
      <w:r>
        <w:rPr>
          <w:spacing w:val="-9"/>
        </w:rPr>
        <w:t> 号前海深港基金小镇对冲基金</w:t>
      </w:r>
      <w:r>
        <w:rPr>
          <w:spacing w:val="-18"/>
        </w:rPr>
        <w:t>中心 </w:t>
      </w:r>
      <w:r>
        <w:rPr/>
        <w:t>406</w:t>
      </w:r>
    </w:p>
    <w:p>
      <w:pPr>
        <w:pStyle w:val="BodyText"/>
        <w:spacing w:line="364" w:lineRule="auto"/>
        <w:ind w:right="4055"/>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联系人：王雯</w:t>
      </w:r>
    </w:p>
    <w:p>
      <w:pPr>
        <w:pStyle w:val="BodyText"/>
        <w:spacing w:before="139"/>
      </w:pPr>
      <w:r>
        <w:rPr/>
        <w:t>联系电话：0755-83199511</w:t>
      </w:r>
    </w:p>
    <w:p>
      <w:pPr>
        <w:pStyle w:val="BodyText"/>
        <w:spacing w:line="364" w:lineRule="auto" w:before="139"/>
        <w:ind w:right="6785"/>
      </w:pPr>
      <w:r>
        <w:rPr/>
        <w:t>客户服务电话：4008323000 </w:t>
      </w:r>
      <w:hyperlink r:id="rId131">
        <w:r>
          <w:rPr/>
          <w:t>网址：www.csco.com.cn</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首创证券</w:t>
      </w:r>
    </w:p>
    <w:p>
      <w:pPr>
        <w:pStyle w:val="BodyText"/>
        <w:spacing w:line="364" w:lineRule="auto" w:before="139"/>
        <w:ind w:right="3845"/>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40"/>
      </w:pPr>
      <w:r>
        <w:rPr/>
        <w:t>联系电话：010-59366070</w:t>
      </w:r>
    </w:p>
    <w:p>
      <w:pPr>
        <w:pStyle w:val="BodyText"/>
        <w:spacing w:line="364" w:lineRule="auto" w:before="139"/>
        <w:ind w:right="6575"/>
      </w:pPr>
      <w:r>
        <w:rPr/>
        <w:t>客户服务电话：400-620-0620 传真：010-59366055</w:t>
      </w:r>
    </w:p>
    <w:p>
      <w:pPr>
        <w:pStyle w:val="BodyText"/>
        <w:spacing w:line="268" w:lineRule="exact"/>
      </w:pPr>
      <w:hyperlink r:id="rId132">
        <w:r>
          <w:rPr/>
          <w:t>网址：http://www.sczq.com.cn/</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天风证券</w:t>
      </w:r>
    </w:p>
    <w:p>
      <w:pPr>
        <w:pStyle w:val="BodyText"/>
        <w:spacing w:line="364" w:lineRule="auto" w:before="139"/>
        <w:ind w:right="2795"/>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625"/>
      </w:pPr>
      <w:r>
        <w:rPr/>
        <w:t>法定代表人：余磊联系人：程晓英</w:t>
      </w:r>
    </w:p>
    <w:p>
      <w:pPr>
        <w:pStyle w:val="BodyText"/>
        <w:spacing w:line="268" w:lineRule="exact"/>
      </w:pPr>
      <w:r>
        <w:rPr/>
        <w:t>联系电话：027-87617017</w:t>
      </w:r>
    </w:p>
    <w:p>
      <w:pPr>
        <w:spacing w:after="0" w:line="268" w:lineRule="exact"/>
        <w:sectPr>
          <w:pgSz w:w="11910" w:h="16840"/>
          <w:pgMar w:header="0" w:footer="664" w:top="1380" w:bottom="940" w:left="1580" w:right="380"/>
        </w:sectPr>
      </w:pPr>
    </w:p>
    <w:p>
      <w:pPr>
        <w:pStyle w:val="BodyText"/>
        <w:spacing w:line="364" w:lineRule="auto" w:before="45"/>
        <w:ind w:right="6050"/>
      </w:pPr>
      <w:r>
        <w:rPr/>
        <w:t>客户服务电话：4008005000、95391 传真：027-87618863</w:t>
      </w:r>
    </w:p>
    <w:p>
      <w:pPr>
        <w:pStyle w:val="BodyText"/>
        <w:spacing w:line="268" w:lineRule="exact"/>
      </w:pPr>
      <w:hyperlink r:id="rId133">
        <w:r>
          <w:rPr/>
          <w:t>网址：http://www.tfzq.com/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万联证券</w:t>
      </w:r>
    </w:p>
    <w:p>
      <w:pPr>
        <w:pStyle w:val="BodyText"/>
        <w:spacing w:before="140"/>
      </w:pPr>
      <w:r>
        <w:rPr/>
        <w:t>注册地址：广州市天河区珠江东路 11 号 18、19 楼全层</w:t>
      </w:r>
    </w:p>
    <w:p>
      <w:pPr>
        <w:pStyle w:val="BodyText"/>
        <w:spacing w:line="364" w:lineRule="auto" w:before="139"/>
        <w:ind w:right="3425"/>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40"/>
      </w:pPr>
      <w:r>
        <w:rPr/>
        <w:t>联系电话：020-38286026</w:t>
      </w:r>
    </w:p>
    <w:p>
      <w:pPr>
        <w:pStyle w:val="BodyText"/>
        <w:spacing w:line="364" w:lineRule="auto" w:before="139"/>
        <w:ind w:right="7310"/>
      </w:pPr>
      <w:r>
        <w:rPr/>
        <w:t>客户服务电话</w:t>
      </w:r>
      <w:r>
        <w:rPr>
          <w:spacing w:val="-4"/>
        </w:rPr>
        <w:t>：95322 </w:t>
      </w:r>
      <w:r>
        <w:rPr/>
        <w:t>传真：020-38286588</w:t>
      </w:r>
    </w:p>
    <w:p>
      <w:pPr>
        <w:pStyle w:val="BodyText"/>
        <w:spacing w:line="268" w:lineRule="exact"/>
      </w:pPr>
      <w:hyperlink r:id="rId134">
        <w:r>
          <w:rPr/>
          <w:t>网址：www.wlzq.cn</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五矿证券</w:t>
      </w:r>
    </w:p>
    <w:p>
      <w:pPr>
        <w:pStyle w:val="BodyText"/>
        <w:spacing w:line="364" w:lineRule="auto" w:before="139"/>
        <w:ind w:right="2480"/>
      </w:pPr>
      <w:r>
        <w:rPr>
          <w:spacing w:val="-4"/>
        </w:rPr>
        <w:t>注册地址：深圳市福田区金田路 </w:t>
      </w:r>
      <w:r>
        <w:rPr/>
        <w:t>4028</w:t>
      </w:r>
      <w:r>
        <w:rPr>
          <w:spacing w:val="-12"/>
        </w:rPr>
        <w:t> 号荣超经贸中心办公楼 </w:t>
      </w:r>
      <w:r>
        <w:rPr/>
        <w:t>47</w:t>
      </w:r>
      <w:r>
        <w:rPr>
          <w:spacing w:val="-36"/>
        </w:rPr>
        <w:t> 层 </w:t>
      </w:r>
      <w:r>
        <w:rPr/>
        <w:t>01</w:t>
      </w:r>
      <w:r>
        <w:rPr>
          <w:spacing w:val="-24"/>
        </w:rPr>
        <w:t> 单元</w:t>
      </w:r>
      <w:r>
        <w:rPr>
          <w:spacing w:val="-4"/>
        </w:rPr>
        <w:t>办公地址：深圳市福田区金田路 </w:t>
      </w:r>
      <w:r>
        <w:rPr/>
        <w:t>4028</w:t>
      </w:r>
      <w:r>
        <w:rPr>
          <w:spacing w:val="-12"/>
        </w:rPr>
        <w:t> 号荣超经贸中心办公楼 </w:t>
      </w:r>
      <w:r>
        <w:rPr/>
        <w:t>47</w:t>
      </w:r>
      <w:r>
        <w:rPr>
          <w:spacing w:val="-27"/>
        </w:rPr>
        <w:t> 层</w:t>
      </w:r>
    </w:p>
    <w:p>
      <w:pPr>
        <w:pStyle w:val="BodyText"/>
        <w:spacing w:line="364" w:lineRule="auto"/>
        <w:ind w:right="7415"/>
      </w:pPr>
      <w:r>
        <w:rPr/>
        <w:t>法定代表人：黄海洲联系人：濮耘瑶</w:t>
      </w:r>
    </w:p>
    <w:p>
      <w:pPr>
        <w:pStyle w:val="BodyText"/>
        <w:spacing w:line="268" w:lineRule="exact"/>
      </w:pPr>
      <w:r>
        <w:rPr/>
        <w:t>联系电话：0755-82545596</w:t>
      </w:r>
    </w:p>
    <w:p>
      <w:pPr>
        <w:pStyle w:val="BodyText"/>
        <w:spacing w:line="364" w:lineRule="auto" w:before="139"/>
        <w:ind w:right="6680"/>
      </w:pPr>
      <w:r>
        <w:rPr/>
        <w:t>客户服务电话：40018-40028 传真：0755-82545500</w:t>
      </w:r>
    </w:p>
    <w:p>
      <w:pPr>
        <w:pStyle w:val="BodyText"/>
        <w:spacing w:line="268" w:lineRule="exact"/>
      </w:pPr>
      <w:hyperlink r:id="rId135">
        <w:r>
          <w:rPr/>
          <w:t>网址：www.wkzq.com.cn</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西部证券</w:t>
      </w:r>
    </w:p>
    <w:p>
      <w:pPr>
        <w:pStyle w:val="BodyText"/>
        <w:spacing w:line="364" w:lineRule="auto" w:before="139"/>
        <w:ind w:right="3845"/>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40"/>
      </w:pPr>
      <w:r>
        <w:rPr/>
        <w:t>联系电话：029-87211526</w:t>
      </w:r>
    </w:p>
    <w:p>
      <w:pPr>
        <w:pStyle w:val="BodyText"/>
        <w:spacing w:line="364" w:lineRule="auto" w:before="139"/>
        <w:ind w:right="7310"/>
      </w:pPr>
      <w:r>
        <w:rPr/>
        <w:t>客户服务电话：95582 传真：029-87211478</w:t>
      </w:r>
    </w:p>
    <w:p>
      <w:pPr>
        <w:pStyle w:val="BodyText"/>
        <w:spacing w:line="268" w:lineRule="exact"/>
      </w:pPr>
      <w:hyperlink r:id="rId136">
        <w:r>
          <w:rPr/>
          <w:t>网址：www.westsecu.com</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西南证券</w:t>
      </w:r>
    </w:p>
    <w:p>
      <w:pPr>
        <w:pStyle w:val="BodyText"/>
        <w:spacing w:before="139"/>
      </w:pPr>
      <w:r>
        <w:rPr/>
        <w:t>注册地址：重庆市江北区桥北苑 8 号</w:t>
      </w:r>
    </w:p>
    <w:p>
      <w:pPr>
        <w:pStyle w:val="BodyText"/>
        <w:spacing w:line="364" w:lineRule="auto" w:before="140"/>
        <w:ind w:right="4685"/>
      </w:pPr>
      <w:r>
        <w:rPr>
          <w:spacing w:val="-4"/>
        </w:rPr>
        <w:t>办公地址：重庆市江北区桥北苑 </w:t>
      </w:r>
      <w:r>
        <w:rPr/>
        <w:t>8</w:t>
      </w:r>
      <w:r>
        <w:rPr>
          <w:spacing w:val="-11"/>
        </w:rPr>
        <w:t> 号西南证券大厦</w:t>
      </w:r>
      <w:r>
        <w:rPr/>
        <w:t>法定代表人：廖庆轩</w:t>
      </w:r>
    </w:p>
    <w:p>
      <w:pPr>
        <w:spacing w:after="0" w:line="364" w:lineRule="auto"/>
        <w:sectPr>
          <w:pgSz w:w="11910" w:h="16840"/>
          <w:pgMar w:header="0" w:footer="664" w:top="1380" w:bottom="940" w:left="1580" w:right="380"/>
        </w:sectPr>
      </w:pPr>
    </w:p>
    <w:p>
      <w:pPr>
        <w:pStyle w:val="BodyText"/>
        <w:spacing w:before="45"/>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40"/>
      </w:pPr>
      <w:hyperlink r:id="rId137">
        <w:r>
          <w:rPr/>
          <w:t>网址：www.swsc.com.cn</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湘财证券</w:t>
      </w:r>
    </w:p>
    <w:p>
      <w:pPr>
        <w:pStyle w:val="BodyText"/>
        <w:spacing w:line="364" w:lineRule="auto" w:before="140"/>
        <w:ind w:right="2480"/>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法定代表人：孙永祥</w:t>
      </w:r>
    </w:p>
    <w:p>
      <w:pPr>
        <w:pStyle w:val="BodyText"/>
        <w:spacing w:line="268" w:lineRule="exact"/>
      </w:pPr>
      <w:r>
        <w:rPr/>
        <w:t>联系人：李欣</w:t>
      </w:r>
    </w:p>
    <w:p>
      <w:pPr>
        <w:pStyle w:val="BodyText"/>
        <w:spacing w:before="139"/>
      </w:pPr>
      <w:r>
        <w:rPr/>
        <w:t>联系电话：021-38784580-8918</w:t>
      </w:r>
    </w:p>
    <w:p>
      <w:pPr>
        <w:pStyle w:val="BodyText"/>
        <w:spacing w:line="364" w:lineRule="auto" w:before="139"/>
        <w:ind w:right="7310"/>
      </w:pPr>
      <w:r>
        <w:rPr/>
        <w:t>客户服务电话</w:t>
      </w:r>
      <w:r>
        <w:rPr>
          <w:spacing w:val="-4"/>
        </w:rPr>
        <w:t>：95351 </w:t>
      </w:r>
      <w:r>
        <w:rPr/>
        <w:t>传真：021-68865680</w:t>
      </w:r>
    </w:p>
    <w:p>
      <w:pPr>
        <w:pStyle w:val="BodyText"/>
        <w:spacing w:line="268" w:lineRule="exact"/>
      </w:pPr>
      <w:hyperlink r:id="rId138">
        <w:r>
          <w:rPr/>
          <w:t>网址：www.xcsc.com</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新时代证券</w:t>
      </w:r>
    </w:p>
    <w:p>
      <w:pPr>
        <w:pStyle w:val="BodyText"/>
        <w:spacing w:line="364" w:lineRule="auto" w:before="139"/>
        <w:ind w:right="3581"/>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联系人：田芳芳</w:t>
      </w:r>
    </w:p>
    <w:p>
      <w:pPr>
        <w:pStyle w:val="BodyText"/>
        <w:spacing w:before="140"/>
      </w:pPr>
      <w:r>
        <w:rPr/>
        <w:t>联系电话：010-83561146</w:t>
      </w:r>
    </w:p>
    <w:p>
      <w:pPr>
        <w:pStyle w:val="BodyText"/>
        <w:spacing w:line="364" w:lineRule="auto" w:before="139"/>
        <w:ind w:right="7310"/>
      </w:pPr>
      <w:r>
        <w:rPr/>
        <w:t>客户服务电话：95399 </w:t>
      </w:r>
      <w:hyperlink r:id="rId139">
        <w:r>
          <w:rPr/>
          <w:t>网址：www.xsdzq.cn</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信达证券</w:t>
      </w:r>
    </w:p>
    <w:p>
      <w:pPr>
        <w:pStyle w:val="BodyText"/>
        <w:spacing w:line="364" w:lineRule="auto" w:before="140"/>
        <w:ind w:right="4685"/>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40"/>
        <w:ind w:right="7310"/>
      </w:pPr>
      <w:r>
        <w:rPr/>
        <w:t>客户服务电话：95321 传真：010-63080978</w:t>
      </w:r>
    </w:p>
    <w:p>
      <w:pPr>
        <w:pStyle w:val="BodyText"/>
        <w:spacing w:line="268" w:lineRule="exact"/>
      </w:pPr>
      <w:hyperlink r:id="rId140">
        <w:r>
          <w:rPr/>
          <w:t>网址：www.cindasc.com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兴业证券</w:t>
      </w:r>
    </w:p>
    <w:p>
      <w:pPr>
        <w:pStyle w:val="BodyText"/>
        <w:spacing w:before="139"/>
      </w:pPr>
      <w:r>
        <w:rPr/>
        <w:t>注册地址：福州市湖东路 268 号</w:t>
      </w:r>
    </w:p>
    <w:p>
      <w:pPr>
        <w:pStyle w:val="BodyText"/>
        <w:spacing w:before="140"/>
      </w:pPr>
      <w:r>
        <w:rPr/>
        <w:t>办公地址：上海浦东新区长柳路 36 号兴业证券大厦 20 楼</w:t>
      </w:r>
    </w:p>
    <w:p>
      <w:pPr>
        <w:spacing w:after="0"/>
        <w:sectPr>
          <w:pgSz w:w="11910" w:h="16840"/>
          <w:pgMar w:header="0" w:footer="664" w:top="1380" w:bottom="940" w:left="1580" w:right="380"/>
        </w:sectPr>
      </w:pPr>
    </w:p>
    <w:p>
      <w:pPr>
        <w:pStyle w:val="BodyText"/>
        <w:spacing w:line="364" w:lineRule="auto" w:before="45"/>
        <w:ind w:right="7415"/>
      </w:pPr>
      <w:r>
        <w:rPr/>
        <w:t>法定代表人：杨华辉联系人：乔琳雪</w:t>
      </w:r>
    </w:p>
    <w:p>
      <w:pPr>
        <w:pStyle w:val="BodyText"/>
        <w:spacing w:line="268" w:lineRule="exact"/>
      </w:pPr>
      <w:r>
        <w:rPr/>
        <w:t>联系电话：021-38565547</w:t>
      </w:r>
    </w:p>
    <w:p>
      <w:pPr>
        <w:pStyle w:val="BodyText"/>
        <w:spacing w:line="364" w:lineRule="auto" w:before="139"/>
        <w:ind w:right="7100"/>
      </w:pPr>
      <w:r>
        <w:rPr/>
        <w:t>客户服务电话：95562 </w:t>
      </w:r>
      <w:hyperlink r:id="rId141">
        <w:r>
          <w:rPr>
            <w:spacing w:val="-1"/>
          </w:rPr>
          <w:t>网址：www.xyzq.com.cn</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银河证券</w:t>
      </w:r>
    </w:p>
    <w:p>
      <w:pPr>
        <w:pStyle w:val="BodyText"/>
        <w:spacing w:before="140"/>
      </w:pPr>
      <w:r>
        <w:rPr/>
        <w:t>注册地址：北京市西城区金融大街 35 号 2-6 层</w:t>
      </w:r>
    </w:p>
    <w:p>
      <w:pPr>
        <w:pStyle w:val="BodyText"/>
        <w:spacing w:line="364" w:lineRule="auto" w:before="139"/>
        <w:ind w:right="3950"/>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40"/>
      </w:pPr>
      <w:r>
        <w:rPr/>
        <w:t>联系电话：010-83574507</w:t>
      </w:r>
    </w:p>
    <w:p>
      <w:pPr>
        <w:pStyle w:val="BodyText"/>
        <w:spacing w:before="139"/>
      </w:pPr>
      <w:r>
        <w:rPr/>
        <w:t>客户服务电话：4008-888-888 或 95551</w:t>
      </w:r>
    </w:p>
    <w:p>
      <w:pPr>
        <w:pStyle w:val="BodyText"/>
        <w:spacing w:before="140"/>
      </w:pPr>
      <w:hyperlink r:id="rId142">
        <w:r>
          <w:rPr/>
          <w:t>网址：www.chinastock.com.cn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粤开证券</w:t>
      </w:r>
    </w:p>
    <w:p>
      <w:pPr>
        <w:pStyle w:val="BodyText"/>
        <w:spacing w:line="364" w:lineRule="auto" w:before="139"/>
        <w:ind w:right="1850"/>
      </w:pPr>
      <w:r>
        <w:rPr>
          <w:spacing w:val="-4"/>
        </w:rPr>
        <w:t>注册地址：惠州市江北东江三路 </w:t>
      </w:r>
      <w:r>
        <w:rPr/>
        <w:t>55</w:t>
      </w:r>
      <w:r>
        <w:rPr>
          <w:spacing w:val="-9"/>
        </w:rPr>
        <w:t> 号广播电视新闻中心西面一层大堂和三、四层</w:t>
      </w:r>
      <w:r>
        <w:rPr>
          <w:spacing w:val="-4"/>
        </w:rPr>
        <w:t>办公地址：深圳市福田区深南中路 </w:t>
      </w:r>
      <w:r>
        <w:rPr/>
        <w:t>2002</w:t>
      </w:r>
      <w:r>
        <w:rPr>
          <w:spacing w:val="-13"/>
        </w:rPr>
        <w:t> 号中广核大厦北楼 </w:t>
      </w:r>
      <w:r>
        <w:rPr/>
        <w:t>10</w:t>
      </w:r>
      <w:r>
        <w:rPr>
          <w:spacing w:val="-27"/>
        </w:rPr>
        <w:t> 层</w:t>
      </w:r>
    </w:p>
    <w:p>
      <w:pPr>
        <w:pStyle w:val="BodyText"/>
        <w:spacing w:line="364" w:lineRule="auto"/>
        <w:ind w:right="7415"/>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143">
        <w:r>
          <w:rPr/>
          <w:t>公司网址：http://www.ykzq.com</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招商证券</w:t>
      </w:r>
    </w:p>
    <w:p>
      <w:pPr>
        <w:pStyle w:val="BodyText"/>
        <w:spacing w:line="364" w:lineRule="auto" w:before="139"/>
        <w:ind w:right="4685"/>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40"/>
      </w:pPr>
      <w:r>
        <w:rPr/>
        <w:t>联系电话：0755-82943666</w:t>
      </w:r>
    </w:p>
    <w:p>
      <w:pPr>
        <w:pStyle w:val="BodyText"/>
        <w:spacing w:line="364" w:lineRule="auto" w:before="139"/>
        <w:ind w:right="5840"/>
      </w:pPr>
      <w:r>
        <w:rPr/>
        <w:t>客户服务电话：95565、400-8888-111 传真：0755-82943636</w:t>
      </w:r>
    </w:p>
    <w:p>
      <w:pPr>
        <w:pStyle w:val="BodyText"/>
        <w:spacing w:line="268" w:lineRule="exact"/>
      </w:pPr>
      <w:hyperlink r:id="rId144">
        <w:r>
          <w:rPr/>
          <w:t>网址：www.newone.com.cn</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浙商证券</w:t>
      </w:r>
    </w:p>
    <w:p>
      <w:pPr>
        <w:pStyle w:val="BodyText"/>
        <w:spacing w:before="139"/>
      </w:pPr>
      <w:r>
        <w:rPr/>
        <w:t>注册地址：浙江省杭州市江干区五星路 201 号</w:t>
      </w:r>
    </w:p>
    <w:p>
      <w:pPr>
        <w:pStyle w:val="BodyText"/>
        <w:spacing w:line="364" w:lineRule="auto" w:before="139"/>
        <w:ind w:right="342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spacing w:after="0" w:line="364" w:lineRule="auto"/>
        <w:sectPr>
          <w:pgSz w:w="11910" w:h="16840"/>
          <w:pgMar w:header="0" w:footer="664" w:top="1380" w:bottom="940" w:left="1580" w:right="380"/>
        </w:sectPr>
      </w:pPr>
    </w:p>
    <w:p>
      <w:pPr>
        <w:pStyle w:val="BodyText"/>
        <w:spacing w:before="45"/>
      </w:pPr>
      <w:r>
        <w:rPr/>
        <w:t>联系人：高扬</w:t>
      </w:r>
    </w:p>
    <w:p>
      <w:pPr>
        <w:pStyle w:val="BodyText"/>
        <w:spacing w:before="139"/>
      </w:pPr>
      <w:r>
        <w:rPr/>
        <w:t>联系电话：0571-87902974</w:t>
      </w:r>
    </w:p>
    <w:p>
      <w:pPr>
        <w:pStyle w:val="BodyText"/>
        <w:spacing w:line="364" w:lineRule="auto" w:before="140"/>
        <w:ind w:right="7310"/>
      </w:pPr>
      <w:r>
        <w:rPr/>
        <w:t>客户服务电话：95345 传真：0571-87901913</w:t>
      </w:r>
    </w:p>
    <w:p>
      <w:pPr>
        <w:pStyle w:val="BodyText"/>
        <w:spacing w:line="268" w:lineRule="exact"/>
      </w:pPr>
      <w:hyperlink r:id="rId145">
        <w:r>
          <w:rPr/>
          <w:t>网址：www.stocke.com.cn</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中航证券</w:t>
      </w:r>
    </w:p>
    <w:p>
      <w:pPr>
        <w:pStyle w:val="BodyText"/>
        <w:spacing w:line="364" w:lineRule="auto" w:before="140"/>
        <w:ind w:right="1535"/>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39"/>
      </w:pPr>
      <w:r>
        <w:rPr/>
        <w:t>联系电话：15611538682</w:t>
      </w:r>
    </w:p>
    <w:p>
      <w:pPr>
        <w:pStyle w:val="BodyText"/>
        <w:spacing w:before="140"/>
      </w:pPr>
      <w:r>
        <w:rPr/>
        <w:t>客户服务电话：95335 或 400-88-95335</w:t>
      </w:r>
    </w:p>
    <w:p>
      <w:pPr>
        <w:pStyle w:val="BodyText"/>
        <w:spacing w:before="139"/>
      </w:pPr>
      <w:r>
        <w:rPr/>
        <w:t>传真：010-59562637</w:t>
      </w:r>
    </w:p>
    <w:p>
      <w:pPr>
        <w:pStyle w:val="BodyText"/>
        <w:spacing w:before="139"/>
      </w:pPr>
      <w:hyperlink r:id="rId146">
        <w:r>
          <w:rPr/>
          <w:t>网址：www.avicsec.com</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中金财富</w:t>
      </w:r>
    </w:p>
    <w:p>
      <w:pPr>
        <w:pStyle w:val="BodyText"/>
        <w:spacing w:before="139"/>
      </w:pPr>
      <w:r>
        <w:rPr/>
        <w:t>注册地址：深圳市福田区益田路与福中路交界处荣超商务中心 A 栋第 18-21 层及第 04</w:t>
      </w:r>
    </w:p>
    <w:p>
      <w:pPr>
        <w:pStyle w:val="BodyText"/>
        <w:spacing w:before="140"/>
        <w:ind w:left="220"/>
      </w:pPr>
      <w:r>
        <w:rPr/>
        <w:t>层 01.02.03.05.11.12.13.15.16.18.19.20.21.22.23 单元</w:t>
      </w:r>
    </w:p>
    <w:p>
      <w:pPr>
        <w:pStyle w:val="BodyText"/>
        <w:spacing w:line="364" w:lineRule="auto" w:before="139"/>
        <w:ind w:right="2741"/>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40"/>
      </w:pPr>
      <w:r>
        <w:rPr/>
        <w:t>联系电话：0755-82026907</w:t>
      </w:r>
    </w:p>
    <w:p>
      <w:pPr>
        <w:pStyle w:val="BodyText"/>
        <w:spacing w:before="139"/>
      </w:pPr>
      <w:r>
        <w:rPr/>
        <w:t>客户服务电话：95532</w:t>
      </w:r>
    </w:p>
    <w:p>
      <w:pPr>
        <w:pStyle w:val="BodyText"/>
        <w:spacing w:before="140"/>
      </w:pPr>
      <w:hyperlink r:id="rId147">
        <w:r>
          <w:rPr/>
          <w:t>网址：https://www.ciccwm.com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中金公司</w:t>
      </w:r>
    </w:p>
    <w:p>
      <w:pPr>
        <w:pStyle w:val="BodyText"/>
        <w:spacing w:line="364" w:lineRule="auto" w:before="139"/>
        <w:ind w:right="2795"/>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7415"/>
      </w:pPr>
      <w:r>
        <w:rPr/>
        <w:t>法定代表人：沈如军联系人：杨涵宇</w:t>
      </w:r>
    </w:p>
    <w:p>
      <w:pPr>
        <w:pStyle w:val="BodyText"/>
        <w:spacing w:line="268" w:lineRule="exact"/>
      </w:pPr>
      <w:r>
        <w:rPr/>
        <w:t>联系电话：010-65051166</w:t>
      </w:r>
    </w:p>
    <w:p>
      <w:pPr>
        <w:pStyle w:val="BodyText"/>
        <w:spacing w:line="364" w:lineRule="auto" w:before="139"/>
        <w:ind w:right="6785"/>
      </w:pPr>
      <w:r>
        <w:rPr>
          <w:spacing w:val="-1"/>
        </w:rPr>
        <w:t>客户服务电话</w:t>
      </w:r>
      <w:r>
        <w:rPr/>
        <w:t>：4009101166 </w:t>
      </w:r>
      <w:hyperlink r:id="rId148">
        <w:r>
          <w:rPr/>
          <w:t>网址：www.cicc.com.cn</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中山证券</w:t>
      </w:r>
    </w:p>
    <w:p>
      <w:pPr>
        <w:pStyle w:val="BodyText"/>
        <w:spacing w:line="364" w:lineRule="auto" w:before="139"/>
        <w:ind w:right="1418"/>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spacing w:after="0" w:line="364" w:lineRule="auto"/>
        <w:sectPr>
          <w:pgSz w:w="11910" w:h="16840"/>
          <w:pgMar w:header="0" w:footer="664" w:top="1380" w:bottom="940" w:left="1580" w:right="380"/>
        </w:sectPr>
      </w:pPr>
    </w:p>
    <w:p>
      <w:pPr>
        <w:pStyle w:val="BodyText"/>
        <w:spacing w:line="364" w:lineRule="auto" w:before="45"/>
        <w:ind w:right="7415"/>
      </w:pPr>
      <w:r>
        <w:rPr/>
        <w:t>法定代表人：林炳城联系人：罗艺琳</w:t>
      </w:r>
    </w:p>
    <w:p>
      <w:pPr>
        <w:pStyle w:val="BodyText"/>
        <w:spacing w:line="364" w:lineRule="auto"/>
        <w:ind w:right="7310"/>
      </w:pPr>
      <w:r>
        <w:rPr>
          <w:spacing w:val="-1"/>
        </w:rPr>
        <w:t>电话：0755-82943755 </w:t>
      </w:r>
      <w:r>
        <w:rPr>
          <w:spacing w:val="-2"/>
        </w:rPr>
        <w:t>传真：0755-82960582</w:t>
      </w:r>
    </w:p>
    <w:p>
      <w:pPr>
        <w:pStyle w:val="BodyText"/>
        <w:spacing w:line="364" w:lineRule="auto"/>
        <w:ind w:right="7310"/>
      </w:pPr>
      <w:r>
        <w:rPr/>
        <w:t>客户服务电话</w:t>
      </w:r>
      <w:r>
        <w:rPr>
          <w:spacing w:val="-4"/>
        </w:rPr>
        <w:t>：95329 </w:t>
      </w:r>
      <w:hyperlink r:id="rId149">
        <w:r>
          <w:rPr/>
          <w:t>网址：www.zszq.com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中泰证券</w:t>
      </w:r>
    </w:p>
    <w:p>
      <w:pPr>
        <w:pStyle w:val="BodyText"/>
        <w:spacing w:line="364" w:lineRule="auto" w:before="138"/>
        <w:ind w:right="584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39"/>
        <w:ind w:right="7310"/>
      </w:pPr>
      <w:r>
        <w:rPr/>
        <w:t>客户服务电话：95538 传真：0531-68889095</w:t>
      </w:r>
    </w:p>
    <w:p>
      <w:pPr>
        <w:pStyle w:val="BodyText"/>
        <w:spacing w:line="268" w:lineRule="exact"/>
      </w:pPr>
      <w:hyperlink r:id="rId150">
        <w:r>
          <w:rPr/>
          <w:t>网址：www.zts.com.cn</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中天证券</w:t>
      </w:r>
    </w:p>
    <w:p>
      <w:pPr>
        <w:pStyle w:val="BodyText"/>
        <w:spacing w:line="364" w:lineRule="auto" w:before="139"/>
        <w:ind w:right="5210"/>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line="364" w:lineRule="auto" w:before="139"/>
        <w:ind w:right="6890"/>
      </w:pPr>
      <w:r>
        <w:rPr>
          <w:spacing w:val="-1"/>
        </w:rPr>
        <w:t>客户服务电话</w:t>
      </w:r>
      <w:r>
        <w:rPr/>
        <w:t>：024-95346 传真：024-23255606</w:t>
      </w:r>
    </w:p>
    <w:p>
      <w:pPr>
        <w:pStyle w:val="BodyText"/>
        <w:spacing w:line="268" w:lineRule="exact"/>
      </w:pPr>
      <w:hyperlink r:id="rId151">
        <w:r>
          <w:rPr/>
          <w:t>网址：www.iztzq.com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中信建投证券</w:t>
      </w:r>
    </w:p>
    <w:p>
      <w:pPr>
        <w:pStyle w:val="BodyText"/>
        <w:spacing w:line="364" w:lineRule="auto" w:before="139"/>
        <w:ind w:right="521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7415"/>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52">
        <w:r>
          <w:rPr/>
          <w:t>网址：http://www.csc108.com/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中信证券</w:t>
      </w:r>
    </w:p>
    <w:p>
      <w:pPr>
        <w:pStyle w:val="BodyText"/>
        <w:spacing w:before="140"/>
      </w:pPr>
      <w:r>
        <w:rPr/>
        <w:t>注册地址：广东省深圳市福田区中心三路 8 号卓越时代广场（二期）北座</w:t>
      </w:r>
    </w:p>
    <w:p>
      <w:pPr>
        <w:spacing w:after="0"/>
        <w:sectPr>
          <w:pgSz w:w="11910" w:h="16840"/>
          <w:pgMar w:header="0" w:footer="664" w:top="1380" w:bottom="940" w:left="1580" w:right="380"/>
        </w:sectPr>
      </w:pPr>
    </w:p>
    <w:p>
      <w:pPr>
        <w:pStyle w:val="BodyText"/>
        <w:spacing w:line="364" w:lineRule="auto" w:before="45"/>
        <w:ind w:right="4370"/>
      </w:pPr>
      <w:r>
        <w:rPr>
          <w:spacing w:val="-4"/>
        </w:rPr>
        <w:t>办公地址：北京市朝阳区亮马桥路 </w:t>
      </w:r>
      <w:r>
        <w:rPr/>
        <w:t>48</w:t>
      </w:r>
      <w:r>
        <w:rPr>
          <w:spacing w:val="-11"/>
        </w:rPr>
        <w:t> 号中信证券大厦</w:t>
      </w:r>
      <w:r>
        <w:rPr/>
        <w:t>法定代表人：张佑君</w:t>
      </w:r>
    </w:p>
    <w:p>
      <w:pPr>
        <w:pStyle w:val="BodyText"/>
        <w:spacing w:line="268" w:lineRule="exact"/>
      </w:pPr>
      <w:r>
        <w:rPr/>
        <w:t>联系人：王一通</w:t>
      </w:r>
    </w:p>
    <w:p>
      <w:pPr>
        <w:pStyle w:val="BodyText"/>
        <w:spacing w:before="139"/>
      </w:pPr>
      <w:r>
        <w:rPr/>
        <w:t>联系电话：010-60838888</w:t>
      </w:r>
    </w:p>
    <w:p>
      <w:pPr>
        <w:pStyle w:val="BodyText"/>
        <w:spacing w:line="364" w:lineRule="auto" w:before="140"/>
        <w:ind w:right="7310"/>
      </w:pPr>
      <w:r>
        <w:rPr/>
        <w:t>客户服务电话：95548 传真：010-60836029</w:t>
      </w:r>
    </w:p>
    <w:p>
      <w:pPr>
        <w:pStyle w:val="BodyText"/>
        <w:spacing w:line="268" w:lineRule="exact"/>
      </w:pPr>
      <w:hyperlink r:id="rId153">
        <w:r>
          <w:rPr/>
          <w:t>网址：www.cs.ecitic.com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中信证券（华南）</w:t>
      </w:r>
    </w:p>
    <w:p>
      <w:pPr>
        <w:pStyle w:val="BodyText"/>
        <w:spacing w:line="364" w:lineRule="auto" w:before="140"/>
        <w:ind w:right="2426"/>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40"/>
        <w:ind w:right="7310"/>
      </w:pPr>
      <w:r>
        <w:rPr/>
        <w:t>客户服务电话：95396 传真：020-88836984</w:t>
      </w:r>
    </w:p>
    <w:p>
      <w:pPr>
        <w:pStyle w:val="BodyText"/>
        <w:spacing w:line="268" w:lineRule="exact"/>
      </w:pPr>
      <w:hyperlink r:id="rId154">
        <w:r>
          <w:rPr/>
          <w:t>网址：www.gzs.com.cn</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395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7310"/>
      </w:pPr>
      <w:r>
        <w:rPr/>
        <w:t>客户服务电话：95548 传真：0532-85022605</w:t>
      </w:r>
    </w:p>
    <w:p>
      <w:pPr>
        <w:pStyle w:val="BodyText"/>
        <w:spacing w:line="268" w:lineRule="exact"/>
      </w:pPr>
      <w:hyperlink r:id="rId155">
        <w:r>
          <w:rPr/>
          <w:t>网址：http://sd.citics.com/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中银证券</w:t>
      </w:r>
    </w:p>
    <w:p>
      <w:pPr>
        <w:pStyle w:val="BodyText"/>
        <w:spacing w:before="140"/>
      </w:pPr>
      <w:r>
        <w:rPr/>
        <w:t>注册地址：上海市浦东新区银城中路 200 号中银大厦 39 层</w:t>
      </w:r>
    </w:p>
    <w:p>
      <w:pPr>
        <w:pStyle w:val="BodyText"/>
        <w:spacing w:line="364" w:lineRule="auto" w:before="139"/>
        <w:ind w:right="3635"/>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40"/>
        <w:ind w:right="6575"/>
      </w:pPr>
      <w:r>
        <w:rPr/>
        <w:t>客户服务电话：400-620-8888 传真：021-50372474</w:t>
      </w:r>
    </w:p>
    <w:p>
      <w:pPr>
        <w:pStyle w:val="BodyText"/>
        <w:spacing w:line="268" w:lineRule="exact"/>
      </w:pPr>
      <w:hyperlink r:id="rId156">
        <w:r>
          <w:rPr/>
          <w:t>网址：www.bocichina.com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中邮证券</w:t>
      </w:r>
    </w:p>
    <w:p>
      <w:pPr>
        <w:spacing w:after="0" w:line="240" w:lineRule="auto"/>
        <w:jc w:val="both"/>
        <w:rPr>
          <w:sz w:val="21"/>
        </w:rPr>
        <w:sectPr>
          <w:pgSz w:w="11910" w:h="16840"/>
          <w:pgMar w:header="0" w:footer="664" w:top="1380" w:bottom="940" w:left="1580" w:right="380"/>
        </w:sectPr>
      </w:pPr>
    </w:p>
    <w:p>
      <w:pPr>
        <w:pStyle w:val="BodyText"/>
        <w:spacing w:line="364" w:lineRule="auto" w:before="45"/>
        <w:ind w:right="3110"/>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7415"/>
      </w:pPr>
      <w:r>
        <w:rPr/>
        <w:t>法定代表人：丁奇文联系人：岳帅</w:t>
      </w:r>
    </w:p>
    <w:p>
      <w:pPr>
        <w:pStyle w:val="BodyText"/>
        <w:spacing w:line="268" w:lineRule="exact"/>
      </w:pPr>
      <w:r>
        <w:rPr/>
        <w:t>联系电话: 010-67017788-6068</w:t>
      </w:r>
    </w:p>
    <w:p>
      <w:pPr>
        <w:pStyle w:val="BodyText"/>
        <w:spacing w:line="364" w:lineRule="auto" w:before="138"/>
        <w:ind w:right="6575"/>
      </w:pPr>
      <w:r>
        <w:rPr/>
        <w:t>客户服务电话：4008-888-005 传真：010-67017788-9696</w:t>
      </w:r>
    </w:p>
    <w:p>
      <w:pPr>
        <w:pStyle w:val="BodyText"/>
        <w:spacing w:line="268" w:lineRule="exact"/>
      </w:pPr>
      <w:hyperlink r:id="rId157">
        <w:r>
          <w:rPr/>
          <w:t>网址：www.cnpsec.com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2375"/>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319" w:val="left" w:leader="none"/>
        </w:tabs>
        <w:spacing w:line="364" w:lineRule="auto"/>
        <w:ind w:right="6470"/>
      </w:pPr>
      <w:r>
        <w:rPr/>
        <w:t>联系人：程月艳</w:t>
        <w:tab/>
        <w:t>李盼盼 党</w:t>
      </w:r>
      <w:r>
        <w:rPr>
          <w:spacing w:val="-18"/>
        </w:rPr>
        <w:t>静</w:t>
      </w:r>
      <w:r>
        <w:rPr/>
        <w:t>联系电话：0371-69099882</w:t>
      </w:r>
    </w:p>
    <w:p>
      <w:pPr>
        <w:pStyle w:val="BodyText"/>
        <w:spacing w:line="364" w:lineRule="auto"/>
        <w:ind w:right="7310"/>
      </w:pPr>
      <w:r>
        <w:rPr/>
        <w:t>客户服务电话</w:t>
      </w:r>
      <w:r>
        <w:rPr>
          <w:spacing w:val="-4"/>
        </w:rPr>
        <w:t>：95377 </w:t>
      </w:r>
      <w:r>
        <w:rPr>
          <w:spacing w:val="-2"/>
        </w:rPr>
        <w:t>传真：0371-65585899</w:t>
      </w:r>
    </w:p>
    <w:p>
      <w:pPr>
        <w:pStyle w:val="BodyText"/>
        <w:spacing w:line="268" w:lineRule="exact"/>
      </w:pPr>
      <w:hyperlink r:id="rId158">
        <w:r>
          <w:rPr/>
          <w:t>网址：www.ccnew.com</w:t>
        </w:r>
      </w:hyperlink>
    </w:p>
    <w:p>
      <w:pPr>
        <w:pStyle w:val="ListParagraph"/>
        <w:numPr>
          <w:ilvl w:val="0"/>
          <w:numId w:val="8"/>
        </w:numPr>
        <w:tabs>
          <w:tab w:pos="1270" w:val="left" w:leader="none"/>
        </w:tabs>
        <w:spacing w:line="240" w:lineRule="auto" w:before="137" w:after="0"/>
        <w:ind w:left="1270" w:right="0" w:hanging="630"/>
        <w:jc w:val="left"/>
        <w:rPr>
          <w:sz w:val="21"/>
        </w:rPr>
      </w:pPr>
      <w:r>
        <w:rPr>
          <w:sz w:val="21"/>
        </w:rPr>
        <w:t>百度百盈</w:t>
      </w:r>
    </w:p>
    <w:p>
      <w:pPr>
        <w:pStyle w:val="BodyText"/>
        <w:spacing w:line="364" w:lineRule="auto" w:before="140"/>
        <w:ind w:right="311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625"/>
      </w:pPr>
      <w:r>
        <w:rPr/>
        <w:t>法定代表人：葛新联系人：孙博超</w:t>
      </w:r>
    </w:p>
    <w:p>
      <w:pPr>
        <w:pStyle w:val="BodyText"/>
        <w:spacing w:line="268" w:lineRule="exact"/>
      </w:pPr>
      <w:r>
        <w:rPr/>
        <w:t>联系电话：010-59403028</w:t>
      </w:r>
    </w:p>
    <w:p>
      <w:pPr>
        <w:pStyle w:val="BodyText"/>
        <w:spacing w:before="138"/>
      </w:pPr>
      <w:r>
        <w:rPr/>
        <w:t>客户服务电话：95055-4</w:t>
      </w:r>
    </w:p>
    <w:p>
      <w:pPr>
        <w:pStyle w:val="BodyText"/>
        <w:spacing w:before="140"/>
      </w:pPr>
      <w:hyperlink r:id="rId159">
        <w:r>
          <w:rPr/>
          <w:t>网址：www.baiyingfund.com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258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line="364" w:lineRule="auto" w:before="140"/>
        <w:ind w:right="6575"/>
      </w:pPr>
      <w:r>
        <w:rPr/>
        <w:t>客户服务电话：400-820-2899 传真：021-20691861</w:t>
      </w:r>
    </w:p>
    <w:p>
      <w:pPr>
        <w:pStyle w:val="BodyText"/>
        <w:spacing w:line="268" w:lineRule="exact"/>
      </w:pPr>
      <w:hyperlink r:id="rId160">
        <w:r>
          <w:rPr/>
          <w:t>网址：www.erichfund.com</w:t>
        </w:r>
      </w:hyperlink>
    </w:p>
    <w:p>
      <w:pPr>
        <w:spacing w:after="0" w:line="268" w:lineRule="exact"/>
        <w:sectPr>
          <w:pgSz w:w="11910" w:h="16840"/>
          <w:pgMar w:header="0" w:footer="664" w:top="1380" w:bottom="940" w:left="1580" w:right="380"/>
        </w:sectPr>
      </w:pPr>
    </w:p>
    <w:p>
      <w:pPr>
        <w:pStyle w:val="ListParagraph"/>
        <w:numPr>
          <w:ilvl w:val="0"/>
          <w:numId w:val="8"/>
        </w:numPr>
        <w:tabs>
          <w:tab w:pos="1270" w:val="left" w:leader="none"/>
        </w:tabs>
        <w:spacing w:line="240" w:lineRule="auto" w:before="45" w:after="0"/>
        <w:ind w:left="1270" w:right="0" w:hanging="630"/>
        <w:jc w:val="left"/>
        <w:rPr>
          <w:sz w:val="21"/>
        </w:rPr>
      </w:pPr>
      <w:r>
        <w:rPr>
          <w:sz w:val="21"/>
        </w:rPr>
        <w:t>朝阳永续</w:t>
      </w:r>
    </w:p>
    <w:p>
      <w:pPr>
        <w:pStyle w:val="BodyText"/>
        <w:spacing w:line="364" w:lineRule="auto" w:before="139"/>
        <w:ind w:right="4475"/>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w:t>
      </w:r>
      <w:r>
        <w:rPr>
          <w:spacing w:val="-28"/>
        </w:rPr>
        <w:t>办公地址：上海市浦东新区碧波路 </w:t>
      </w:r>
      <w:r>
        <w:rPr/>
        <w:t>690</w:t>
      </w:r>
      <w:r>
        <w:rPr>
          <w:spacing w:val="-36"/>
        </w:rPr>
        <w:t> 号 </w:t>
      </w:r>
      <w:r>
        <w:rPr/>
        <w:t>4</w:t>
      </w:r>
      <w:r>
        <w:rPr>
          <w:spacing w:val="-27"/>
        </w:rPr>
        <w:t> 号楼 </w:t>
      </w:r>
      <w:r>
        <w:rPr/>
        <w:t>2</w:t>
      </w:r>
      <w:r>
        <w:rPr>
          <w:spacing w:val="-35"/>
        </w:rPr>
        <w:t> 楼</w:t>
      </w:r>
      <w:r>
        <w:rPr/>
        <w:t>法人代表：廖冰</w:t>
      </w:r>
    </w:p>
    <w:p>
      <w:pPr>
        <w:pStyle w:val="BodyText"/>
        <w:spacing w:line="268" w:lineRule="exact"/>
      </w:pPr>
      <w:r>
        <w:rPr/>
        <w:t>联系人：陆纪青</w:t>
      </w:r>
    </w:p>
    <w:p>
      <w:pPr>
        <w:pStyle w:val="BodyText"/>
        <w:spacing w:before="140"/>
      </w:pPr>
      <w:r>
        <w:rPr/>
        <w:t>联系电话：021-80234888-6813</w:t>
      </w:r>
    </w:p>
    <w:p>
      <w:pPr>
        <w:pStyle w:val="BodyText"/>
        <w:spacing w:line="364" w:lineRule="auto" w:before="139"/>
        <w:ind w:right="6575"/>
      </w:pPr>
      <w:r>
        <w:rPr/>
        <w:t>客户服务电话：400-699-1888 </w:t>
      </w:r>
      <w:hyperlink r:id="rId161">
        <w:r>
          <w:rPr/>
          <w:t>网址：www.998fund.com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创金启富</w:t>
      </w:r>
    </w:p>
    <w:p>
      <w:pPr>
        <w:pStyle w:val="BodyText"/>
        <w:spacing w:line="364" w:lineRule="auto" w:before="140"/>
        <w:ind w:right="4055"/>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39"/>
      </w:pPr>
      <w:r>
        <w:rPr/>
        <w:t>联系电话：010-66154828-8047</w:t>
      </w:r>
    </w:p>
    <w:p>
      <w:pPr>
        <w:pStyle w:val="BodyText"/>
        <w:spacing w:line="364" w:lineRule="auto" w:before="140"/>
        <w:ind w:right="6575"/>
      </w:pPr>
      <w:r>
        <w:rPr/>
        <w:t>客户服务电话：400-6262-818 传真：010-63583991</w:t>
      </w:r>
    </w:p>
    <w:p>
      <w:pPr>
        <w:pStyle w:val="BodyText"/>
        <w:spacing w:line="268" w:lineRule="exact"/>
      </w:pPr>
      <w:hyperlink r:id="rId162">
        <w:r>
          <w:rPr/>
          <w:t>网址：www.5irich.com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大泰金石</w:t>
      </w:r>
    </w:p>
    <w:p>
      <w:pPr>
        <w:pStyle w:val="BodyText"/>
        <w:spacing w:before="139"/>
      </w:pPr>
      <w:r>
        <w:rPr/>
        <w:t>注册地址：南京市建邺区江东中路 102 号 708 室</w:t>
      </w:r>
    </w:p>
    <w:p>
      <w:pPr>
        <w:pStyle w:val="BodyText"/>
        <w:spacing w:line="364" w:lineRule="auto" w:before="140"/>
        <w:ind w:right="3740"/>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39"/>
      </w:pPr>
      <w:r>
        <w:rPr/>
        <w:t>联系电话：021-20324176</w:t>
      </w:r>
    </w:p>
    <w:p>
      <w:pPr>
        <w:pStyle w:val="BodyText"/>
        <w:spacing w:line="364" w:lineRule="auto" w:before="140"/>
        <w:ind w:right="6575"/>
      </w:pPr>
      <w:r>
        <w:rPr/>
        <w:t>客户服务电话：400-995-9220 传真：021-20324199</w:t>
      </w:r>
    </w:p>
    <w:p>
      <w:pPr>
        <w:pStyle w:val="BodyText"/>
        <w:spacing w:line="268" w:lineRule="exact"/>
      </w:pPr>
      <w:hyperlink r:id="rId163">
        <w:r>
          <w:rPr/>
          <w:t>网址：www.dtfunds.com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大智慧基金</w:t>
      </w:r>
    </w:p>
    <w:p>
      <w:pPr>
        <w:pStyle w:val="BodyText"/>
        <w:spacing w:line="364" w:lineRule="auto" w:before="140"/>
        <w:ind w:right="248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39"/>
      </w:pPr>
      <w:r>
        <w:rPr/>
        <w:t>联系电话：021-20219988-35374</w:t>
      </w:r>
    </w:p>
    <w:p>
      <w:pPr>
        <w:pStyle w:val="BodyText"/>
        <w:spacing w:line="364" w:lineRule="auto" w:before="140"/>
        <w:ind w:right="6575"/>
      </w:pPr>
      <w:r>
        <w:rPr/>
        <w:t>客户服务电话：021-20292031 传真：021-20219923</w:t>
      </w:r>
    </w:p>
    <w:p>
      <w:pPr>
        <w:spacing w:after="0" w:line="364" w:lineRule="auto"/>
        <w:sectPr>
          <w:pgSz w:w="11910" w:h="16840"/>
          <w:pgMar w:header="0" w:footer="664" w:top="1380" w:bottom="940" w:left="1580" w:right="380"/>
        </w:sectPr>
      </w:pPr>
    </w:p>
    <w:p>
      <w:pPr>
        <w:pStyle w:val="BodyText"/>
        <w:spacing w:before="45"/>
      </w:pPr>
      <w:hyperlink r:id="rId164">
        <w:r>
          <w:rPr/>
          <w:t>网址：https://www.wg.com.cn/</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蛋卷基金</w:t>
      </w:r>
    </w:p>
    <w:p>
      <w:pPr>
        <w:pStyle w:val="BodyText"/>
        <w:spacing w:before="140"/>
      </w:pPr>
      <w:r>
        <w:rPr/>
        <w:t>注册地址：北京市朝阳区创远路 34 号院 6 号楼 15 层 1501 室</w:t>
      </w:r>
    </w:p>
    <w:p>
      <w:pPr>
        <w:pStyle w:val="BodyText"/>
        <w:spacing w:line="364" w:lineRule="auto" w:before="139"/>
        <w:ind w:right="3110"/>
      </w:pPr>
      <w:r>
        <w:rPr/>
        <w:t>办公地址：北京市朝阳区创远路 34 号院融新科技中心 C 座 17 层法定代表人：钟斐斐</w:t>
      </w:r>
    </w:p>
    <w:p>
      <w:pPr>
        <w:pStyle w:val="BodyText"/>
        <w:spacing w:line="268" w:lineRule="exact"/>
      </w:pPr>
      <w:r>
        <w:rPr/>
        <w:t>联系人：侯芳芳</w:t>
      </w:r>
    </w:p>
    <w:p>
      <w:pPr>
        <w:pStyle w:val="BodyText"/>
        <w:spacing w:before="140"/>
      </w:pPr>
      <w:r>
        <w:rPr/>
        <w:t>联系电话：010-61840688</w:t>
      </w:r>
    </w:p>
    <w:p>
      <w:pPr>
        <w:pStyle w:val="BodyText"/>
        <w:spacing w:before="139"/>
      </w:pPr>
      <w:r>
        <w:rPr/>
        <w:t>客户服务电话：4001599288</w:t>
      </w:r>
    </w:p>
    <w:p>
      <w:pPr>
        <w:pStyle w:val="BodyText"/>
        <w:spacing w:before="140"/>
      </w:pPr>
      <w:r>
        <w:rPr/>
        <w:t>网址：https://danjuanapp.com</w:t>
      </w:r>
    </w:p>
    <w:p>
      <w:pPr>
        <w:pStyle w:val="ListParagraph"/>
        <w:numPr>
          <w:ilvl w:val="0"/>
          <w:numId w:val="8"/>
        </w:numPr>
        <w:tabs>
          <w:tab w:pos="1270" w:val="left" w:leader="none"/>
        </w:tabs>
        <w:spacing w:line="240" w:lineRule="auto" w:before="139" w:after="0"/>
        <w:ind w:left="1270" w:right="0" w:hanging="630"/>
        <w:jc w:val="both"/>
        <w:rPr>
          <w:sz w:val="21"/>
        </w:rPr>
      </w:pPr>
      <w:r>
        <w:rPr>
          <w:sz w:val="21"/>
        </w:rPr>
        <w:t>鼎信汇金</w:t>
      </w:r>
    </w:p>
    <w:p>
      <w:pPr>
        <w:pStyle w:val="BodyText"/>
        <w:spacing w:line="364" w:lineRule="auto" w:before="139"/>
        <w:ind w:right="4685"/>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8" w:lineRule="exact"/>
      </w:pPr>
      <w:r>
        <w:rPr/>
        <w:t>联系人：阮志凌</w:t>
      </w:r>
    </w:p>
    <w:p>
      <w:pPr>
        <w:pStyle w:val="BodyText"/>
        <w:spacing w:before="140"/>
      </w:pPr>
      <w:r>
        <w:rPr/>
        <w:t>联系电话：010-82050520</w:t>
      </w:r>
    </w:p>
    <w:p>
      <w:pPr>
        <w:pStyle w:val="BodyText"/>
        <w:spacing w:line="364" w:lineRule="auto" w:before="139"/>
        <w:ind w:right="6575"/>
      </w:pPr>
      <w:r>
        <w:rPr/>
        <w:t>客户服务电话：400-886-3311 传真：010-82086110</w:t>
      </w:r>
    </w:p>
    <w:p>
      <w:pPr>
        <w:pStyle w:val="BodyText"/>
        <w:spacing w:line="268" w:lineRule="exact"/>
      </w:pPr>
      <w:hyperlink r:id="rId165">
        <w:r>
          <w:rPr/>
          <w:t>网址：www.9ifund.com</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东海期货</w:t>
      </w:r>
    </w:p>
    <w:p>
      <w:pPr>
        <w:pStyle w:val="BodyText"/>
        <w:spacing w:before="139"/>
      </w:pPr>
      <w:r>
        <w:rPr/>
        <w:t>注册地址：江苏省常州市延陵西路 23、25、27、29 号</w:t>
      </w:r>
    </w:p>
    <w:p>
      <w:pPr>
        <w:pStyle w:val="BodyText"/>
        <w:spacing w:line="364" w:lineRule="auto" w:before="140"/>
        <w:ind w:right="3740"/>
      </w:pPr>
      <w:r>
        <w:rPr>
          <w:spacing w:val="-4"/>
        </w:rPr>
        <w:t>办公地址：上海市浦东新区东方路 </w:t>
      </w:r>
      <w:r>
        <w:rPr/>
        <w:t>1928</w:t>
      </w:r>
      <w:r>
        <w:rPr>
          <w:spacing w:val="-13"/>
        </w:rPr>
        <w:t> 号东海证券大厦 </w:t>
      </w:r>
      <w:r>
        <w:rPr/>
        <w:t>8</w:t>
      </w:r>
      <w:r>
        <w:rPr>
          <w:spacing w:val="-35"/>
        </w:rPr>
        <w:t> 楼</w:t>
      </w:r>
      <w:r>
        <w:rPr/>
        <w:t>法定代表人：陈太康</w:t>
      </w:r>
    </w:p>
    <w:p>
      <w:pPr>
        <w:pStyle w:val="BodyText"/>
        <w:spacing w:line="268" w:lineRule="exact"/>
      </w:pPr>
      <w:r>
        <w:rPr/>
        <w:t>联系人：陶云</w:t>
      </w:r>
    </w:p>
    <w:p>
      <w:pPr>
        <w:pStyle w:val="BodyText"/>
        <w:spacing w:before="139"/>
      </w:pPr>
      <w:r>
        <w:rPr/>
        <w:t>联系电话：021-68751603</w:t>
      </w:r>
    </w:p>
    <w:p>
      <w:pPr>
        <w:pStyle w:val="BodyText"/>
        <w:spacing w:line="364" w:lineRule="auto" w:before="140"/>
        <w:ind w:right="6050"/>
      </w:pPr>
      <w:r>
        <w:rPr/>
        <w:t>客户服务电话：95531/400-8888588 传真：021-68756991</w:t>
      </w:r>
    </w:p>
    <w:p>
      <w:pPr>
        <w:pStyle w:val="BodyText"/>
        <w:spacing w:line="268" w:lineRule="exact"/>
      </w:pPr>
      <w:hyperlink r:id="rId166">
        <w:r>
          <w:rPr/>
          <w:t>网址：www.qh168.com.cn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东证期货</w:t>
      </w:r>
    </w:p>
    <w:p>
      <w:pPr>
        <w:pStyle w:val="BodyText"/>
        <w:spacing w:line="364" w:lineRule="auto" w:before="139"/>
        <w:ind w:right="2480"/>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7415"/>
      </w:pPr>
      <w:r>
        <w:rPr/>
        <w:t>法定代表人：卢大印联系人：张敏圆</w:t>
      </w:r>
    </w:p>
    <w:p>
      <w:pPr>
        <w:pStyle w:val="BodyText"/>
        <w:spacing w:line="268" w:lineRule="exact"/>
      </w:pPr>
      <w:r>
        <w:rPr/>
        <w:t>联系电话：021-63325888-4259</w:t>
      </w:r>
    </w:p>
    <w:p>
      <w:pPr>
        <w:pStyle w:val="BodyText"/>
        <w:spacing w:before="139"/>
      </w:pPr>
      <w:r>
        <w:rPr/>
        <w:t>客户服务电话：4008859999</w:t>
      </w:r>
    </w:p>
    <w:p>
      <w:pPr>
        <w:spacing w:after="0"/>
        <w:sectPr>
          <w:pgSz w:w="11910" w:h="16840"/>
          <w:pgMar w:header="0" w:footer="664" w:top="1380" w:bottom="940" w:left="1580" w:right="380"/>
        </w:sectPr>
      </w:pPr>
    </w:p>
    <w:p>
      <w:pPr>
        <w:pStyle w:val="BodyText"/>
        <w:spacing w:before="45"/>
      </w:pPr>
      <w:r>
        <w:rPr/>
        <w:t>传真：021-63326752</w:t>
      </w:r>
    </w:p>
    <w:p>
      <w:pPr>
        <w:pStyle w:val="BodyText"/>
        <w:spacing w:before="139"/>
      </w:pPr>
      <w:hyperlink r:id="rId167">
        <w:r>
          <w:rPr/>
          <w:t>网址：www.dzqh.com.cn</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1640"/>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39"/>
      </w:pPr>
      <w:r>
        <w:rPr/>
        <w:t>联系电话：15114053620</w:t>
      </w:r>
    </w:p>
    <w:p>
      <w:pPr>
        <w:pStyle w:val="BodyText"/>
        <w:spacing w:line="364" w:lineRule="auto" w:before="140"/>
        <w:ind w:right="6575"/>
      </w:pPr>
      <w:r>
        <w:rPr/>
        <w:t>客户服务电话</w:t>
      </w:r>
      <w:r>
        <w:rPr>
          <w:spacing w:val="-2"/>
        </w:rPr>
        <w:t>：400-080-3388 </w:t>
      </w:r>
      <w:hyperlink r:id="rId168">
        <w:r>
          <w:rPr/>
          <w:t>网址：www.puyifund.com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富济基金</w:t>
      </w:r>
    </w:p>
    <w:p>
      <w:pPr>
        <w:pStyle w:val="BodyText"/>
        <w:spacing w:line="364" w:lineRule="auto" w:before="139"/>
        <w:ind w:right="2060"/>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39"/>
      </w:pPr>
      <w:r>
        <w:rPr/>
        <w:t>联系电话：0755-83999907</w:t>
      </w:r>
    </w:p>
    <w:p>
      <w:pPr>
        <w:pStyle w:val="BodyText"/>
        <w:spacing w:line="364" w:lineRule="auto" w:before="140"/>
        <w:ind w:right="6470"/>
      </w:pPr>
      <w:r>
        <w:rPr/>
        <w:t>客户服务电话：0755-83999907 传真：0755-83999926</w:t>
      </w:r>
    </w:p>
    <w:p>
      <w:pPr>
        <w:pStyle w:val="BodyText"/>
        <w:spacing w:line="268" w:lineRule="exact"/>
      </w:pPr>
      <w:hyperlink r:id="rId169">
        <w:r>
          <w:rPr/>
          <w:t>网址：www.fujifund.cn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海银基金</w:t>
      </w:r>
    </w:p>
    <w:p>
      <w:pPr>
        <w:pStyle w:val="BodyText"/>
        <w:spacing w:line="364" w:lineRule="auto" w:before="140"/>
        <w:ind w:right="363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39"/>
      </w:pPr>
      <w:r>
        <w:rPr/>
        <w:t>联系电话：021-80133597</w:t>
      </w:r>
    </w:p>
    <w:p>
      <w:pPr>
        <w:pStyle w:val="BodyText"/>
        <w:spacing w:line="364" w:lineRule="auto" w:before="140"/>
        <w:ind w:right="6575"/>
      </w:pPr>
      <w:r>
        <w:rPr/>
        <w:t>客户服务电话：400-808-1016 传真：021-80133413</w:t>
      </w:r>
    </w:p>
    <w:p>
      <w:pPr>
        <w:pStyle w:val="BodyText"/>
        <w:spacing w:line="268" w:lineRule="exact"/>
      </w:pPr>
      <w:hyperlink r:id="rId170">
        <w:r>
          <w:rPr/>
          <w:t>网址：www.fundhaiyin.com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好买基金</w:t>
      </w:r>
    </w:p>
    <w:p>
      <w:pPr>
        <w:pStyle w:val="BodyText"/>
        <w:spacing w:before="140"/>
      </w:pPr>
      <w:r>
        <w:rPr/>
        <w:t>注册地址：上海市虹口区欧阳路 196 号 26 号楼 2 楼 41 号</w:t>
      </w:r>
    </w:p>
    <w:p>
      <w:pPr>
        <w:pStyle w:val="BodyText"/>
        <w:spacing w:line="364" w:lineRule="auto" w:before="139"/>
        <w:ind w:right="3215"/>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39"/>
      </w:pPr>
      <w:r>
        <w:rPr/>
        <w:t>联系电话：021-36696312</w:t>
      </w:r>
    </w:p>
    <w:p>
      <w:pPr>
        <w:spacing w:after="0"/>
        <w:sectPr>
          <w:pgSz w:w="11910" w:h="16840"/>
          <w:pgMar w:header="0" w:footer="664" w:top="1380" w:bottom="940" w:left="1580" w:right="380"/>
        </w:sectPr>
      </w:pPr>
    </w:p>
    <w:p>
      <w:pPr>
        <w:pStyle w:val="BodyText"/>
        <w:spacing w:line="364" w:lineRule="auto" w:before="45"/>
        <w:ind w:right="6575"/>
      </w:pPr>
      <w:r>
        <w:rPr/>
        <w:t>客户服务电话：400-700-9665 传真：021-68596919</w:t>
      </w:r>
    </w:p>
    <w:p>
      <w:pPr>
        <w:pStyle w:val="BodyText"/>
        <w:spacing w:line="268" w:lineRule="exact"/>
      </w:pPr>
      <w:hyperlink r:id="rId171">
        <w:r>
          <w:rPr/>
          <w:t>网址：www.ehowbuy.com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和讯信息</w:t>
      </w:r>
    </w:p>
    <w:p>
      <w:pPr>
        <w:pStyle w:val="BodyText"/>
        <w:spacing w:before="140"/>
      </w:pPr>
      <w:r>
        <w:rPr/>
        <w:t>注册地址：北京市朝阳区朝外大街 22 号 1002 室</w:t>
      </w:r>
    </w:p>
    <w:p>
      <w:pPr>
        <w:pStyle w:val="BodyText"/>
        <w:spacing w:line="364" w:lineRule="auto" w:before="139"/>
        <w:ind w:right="4265"/>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40"/>
      </w:pPr>
      <w:r>
        <w:rPr/>
        <w:t>联系电话：010-85657353</w:t>
      </w:r>
    </w:p>
    <w:p>
      <w:pPr>
        <w:pStyle w:val="BodyText"/>
        <w:spacing w:line="364" w:lineRule="auto" w:before="139"/>
        <w:ind w:right="6575"/>
      </w:pPr>
      <w:r>
        <w:rPr/>
        <w:t>客户服务电话：400-920-0022 传真：010-65884788</w:t>
      </w:r>
    </w:p>
    <w:p>
      <w:pPr>
        <w:pStyle w:val="BodyText"/>
        <w:spacing w:line="268" w:lineRule="exact"/>
      </w:pPr>
      <w:hyperlink r:id="rId172">
        <w:r>
          <w:rPr/>
          <w:t>网址：http://licaike.hexun.com/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恒天明泽</w:t>
      </w:r>
    </w:p>
    <w:p>
      <w:pPr>
        <w:pStyle w:val="BodyText"/>
        <w:spacing w:before="139"/>
      </w:pPr>
      <w:r>
        <w:rPr/>
        <w:t>注册地址：北京市经济技术开发区宏达北路 10 号五层 5122 室</w:t>
      </w:r>
    </w:p>
    <w:p>
      <w:pPr>
        <w:pStyle w:val="BodyText"/>
        <w:spacing w:line="364" w:lineRule="auto" w:before="139"/>
        <w:ind w:right="2585"/>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6785"/>
      </w:pPr>
      <w:r>
        <w:rPr>
          <w:spacing w:val="-1"/>
        </w:rPr>
        <w:t>客户服务电话</w:t>
      </w:r>
      <w:r>
        <w:rPr/>
        <w:t>：4008980618 传真：010-59313586</w:t>
      </w:r>
    </w:p>
    <w:p>
      <w:pPr>
        <w:pStyle w:val="BodyText"/>
        <w:spacing w:line="268" w:lineRule="exact"/>
      </w:pPr>
      <w:hyperlink r:id="rId173">
        <w:r>
          <w:rPr/>
          <w:t>网址：www.chtwm.com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40"/>
        <w:ind w:right="3950"/>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40"/>
        <w:ind w:right="6575"/>
      </w:pPr>
      <w:r>
        <w:rPr/>
        <w:t>客户服务电话</w:t>
      </w:r>
      <w:r>
        <w:rPr>
          <w:spacing w:val="-2"/>
        </w:rPr>
        <w:t>：400-828-1288 </w:t>
      </w:r>
      <w:hyperlink r:id="rId174">
        <w:r>
          <w:rPr/>
          <w:t>网址：www.ftol.com.cn</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虹点基金</w:t>
      </w:r>
    </w:p>
    <w:p>
      <w:pPr>
        <w:pStyle w:val="BodyText"/>
        <w:spacing w:before="139"/>
      </w:pPr>
      <w:r>
        <w:rPr/>
        <w:t>注册地址：北京市朝阳区东三环北路 17 号 10 层 1015 室</w:t>
      </w:r>
    </w:p>
    <w:p>
      <w:pPr>
        <w:pStyle w:val="BodyText"/>
        <w:spacing w:before="139"/>
      </w:pPr>
      <w:r>
        <w:rPr/>
        <w:t>办公地址：北京市朝阳区工体北路甲 2 号盈科中心东门 2 层 216</w:t>
      </w:r>
    </w:p>
    <w:p>
      <w:pPr>
        <w:pStyle w:val="BodyText"/>
        <w:spacing w:line="364" w:lineRule="auto" w:before="140"/>
        <w:ind w:right="7625"/>
      </w:pPr>
      <w:r>
        <w:rPr/>
        <w:t>法定代表人：何静联系人：牛亚楠</w:t>
      </w:r>
    </w:p>
    <w:p>
      <w:pPr>
        <w:spacing w:after="0" w:line="364" w:lineRule="auto"/>
        <w:sectPr>
          <w:pgSz w:w="11910" w:h="16840"/>
          <w:pgMar w:header="0" w:footer="664" w:top="1380" w:bottom="940" w:left="1580" w:right="380"/>
        </w:sectPr>
      </w:pPr>
    </w:p>
    <w:p>
      <w:pPr>
        <w:pStyle w:val="BodyText"/>
        <w:spacing w:before="45"/>
      </w:pPr>
      <w:r>
        <w:rPr/>
        <w:t>联系电话：010-65951887</w:t>
      </w:r>
    </w:p>
    <w:p>
      <w:pPr>
        <w:pStyle w:val="BodyText"/>
        <w:spacing w:line="364" w:lineRule="auto" w:before="139"/>
        <w:ind w:right="6575"/>
      </w:pPr>
      <w:r>
        <w:rPr/>
        <w:t>客户服务电话</w:t>
      </w:r>
      <w:r>
        <w:rPr>
          <w:spacing w:val="-2"/>
        </w:rPr>
        <w:t>：400-618-0707 </w:t>
      </w:r>
      <w:hyperlink r:id="rId175">
        <w:r>
          <w:rPr>
            <w:spacing w:val="-1"/>
          </w:rPr>
          <w:t>网址：www.hongdianfund.com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华夏财富</w:t>
      </w:r>
    </w:p>
    <w:p>
      <w:pPr>
        <w:pStyle w:val="BodyText"/>
        <w:spacing w:line="364" w:lineRule="auto" w:before="140"/>
        <w:ind w:right="395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pStyle w:val="BodyText"/>
        <w:spacing w:before="139"/>
      </w:pPr>
      <w:r>
        <w:rPr/>
        <w:t>联系电话：010-88066632</w:t>
      </w:r>
    </w:p>
    <w:p>
      <w:pPr>
        <w:pStyle w:val="BodyText"/>
        <w:spacing w:line="364" w:lineRule="auto" w:before="140"/>
        <w:ind w:right="6575"/>
      </w:pPr>
      <w:r>
        <w:rPr/>
        <w:t>客户服务电话：400-817-5666 传真：010-63136184</w:t>
      </w:r>
    </w:p>
    <w:p>
      <w:pPr>
        <w:pStyle w:val="BodyText"/>
        <w:spacing w:line="268" w:lineRule="exact"/>
      </w:pPr>
      <w:hyperlink r:id="rId176">
        <w:r>
          <w:rPr/>
          <w:t>网址：www.amcfortune.com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徽商期货</w:t>
      </w:r>
    </w:p>
    <w:p>
      <w:pPr>
        <w:pStyle w:val="BodyText"/>
        <w:spacing w:line="364" w:lineRule="auto" w:before="140"/>
        <w:ind w:right="3056"/>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625"/>
      </w:pPr>
      <w:r>
        <w:rPr/>
        <w:t>法人代表：吴国华联系人：申倩倩</w:t>
      </w:r>
    </w:p>
    <w:p>
      <w:pPr>
        <w:pStyle w:val="BodyText"/>
        <w:spacing w:line="268" w:lineRule="exact"/>
      </w:pPr>
      <w:r>
        <w:rPr/>
        <w:t>联系电话：0551-62865215</w:t>
      </w:r>
    </w:p>
    <w:p>
      <w:pPr>
        <w:pStyle w:val="BodyText"/>
        <w:spacing w:line="364" w:lineRule="auto" w:before="138"/>
        <w:ind w:right="6575"/>
      </w:pPr>
      <w:r>
        <w:rPr/>
        <w:t>客户服务电话：400-887-8707 </w:t>
      </w:r>
      <w:hyperlink r:id="rId177">
        <w:r>
          <w:rPr/>
          <w:t>网址：www.hsqh.net</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39"/>
        <w:ind w:right="7415"/>
      </w:pPr>
      <w:r>
        <w:rPr/>
        <w:t>法定代表人：王伟刚联系人：王骁骁</w:t>
      </w:r>
    </w:p>
    <w:p>
      <w:pPr>
        <w:pStyle w:val="BodyText"/>
        <w:spacing w:line="268" w:lineRule="exact"/>
      </w:pPr>
      <w:r>
        <w:rPr/>
        <w:t>联系电话：010-56251471</w:t>
      </w:r>
    </w:p>
    <w:p>
      <w:pPr>
        <w:pStyle w:val="BodyText"/>
        <w:spacing w:line="364" w:lineRule="auto" w:before="140"/>
        <w:ind w:right="6575"/>
      </w:pPr>
      <w:r>
        <w:rPr/>
        <w:t>客户服务电话</w:t>
      </w:r>
      <w:r>
        <w:rPr>
          <w:spacing w:val="-2"/>
        </w:rPr>
        <w:t>：400-619-9059 </w:t>
      </w:r>
      <w:hyperlink r:id="rId178">
        <w:r>
          <w:rPr/>
          <w:t>网址：www.hcjijin.com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汇付基金</w:t>
      </w:r>
    </w:p>
    <w:p>
      <w:pPr>
        <w:pStyle w:val="BodyText"/>
        <w:spacing w:before="139"/>
      </w:pPr>
      <w:r>
        <w:rPr/>
        <w:t>注册地址：上海市黄浦区黄河路 333 号 201 室 A 区 056 单元</w:t>
      </w:r>
    </w:p>
    <w:p>
      <w:pPr>
        <w:pStyle w:val="BodyText"/>
        <w:spacing w:line="364" w:lineRule="auto" w:before="140"/>
        <w:ind w:right="153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spacing w:after="0"/>
        <w:sectPr>
          <w:pgSz w:w="11910" w:h="16840"/>
          <w:pgMar w:header="0" w:footer="664" w:top="1380" w:bottom="940" w:left="1580" w:right="380"/>
        </w:sectPr>
      </w:pPr>
    </w:p>
    <w:p>
      <w:pPr>
        <w:pStyle w:val="BodyText"/>
        <w:spacing w:line="364" w:lineRule="auto" w:before="45"/>
        <w:ind w:right="6575"/>
      </w:pPr>
      <w:r>
        <w:rPr/>
        <w:t>客户服务电话：021-34013999 传真：021-33323837</w:t>
      </w:r>
    </w:p>
    <w:p>
      <w:pPr>
        <w:pStyle w:val="BodyText"/>
        <w:spacing w:line="268" w:lineRule="exact"/>
      </w:pPr>
      <w:hyperlink r:id="rId179">
        <w:r>
          <w:rPr/>
          <w:t>网址：www.hotjijin.com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济安财富</w:t>
      </w:r>
    </w:p>
    <w:p>
      <w:pPr>
        <w:pStyle w:val="BodyText"/>
        <w:spacing w:before="140"/>
      </w:pPr>
      <w:r>
        <w:rPr/>
        <w:t>注册地址：北京市朝阳区太阳宫中路 16 号院 1 号楼 3 层 307</w:t>
      </w:r>
    </w:p>
    <w:p>
      <w:pPr>
        <w:pStyle w:val="BodyText"/>
        <w:spacing w:line="364" w:lineRule="auto" w:before="139"/>
        <w:ind w:right="248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40"/>
      </w:pPr>
      <w:r>
        <w:rPr/>
        <w:t>联系电话：010-65309516</w:t>
      </w:r>
    </w:p>
    <w:p>
      <w:pPr>
        <w:pStyle w:val="BodyText"/>
        <w:tabs>
          <w:tab w:pos="5259" w:val="left" w:leader="none"/>
        </w:tabs>
        <w:spacing w:line="364" w:lineRule="auto" w:before="139"/>
        <w:ind w:right="2165"/>
      </w:pPr>
      <w:r>
        <w:rPr/>
        <w:t>客户服务电话：400-673-7010（济安财富官网）</w:t>
        <w:tab/>
        <w:t>400-071-6766（腾讯财经</w:t>
      </w:r>
      <w:r>
        <w:rPr>
          <w:spacing w:val="-18"/>
        </w:rPr>
        <w:t>） </w:t>
      </w:r>
      <w:r>
        <w:rPr/>
        <w:t>传真：010-65330699</w:t>
      </w:r>
    </w:p>
    <w:p>
      <w:pPr>
        <w:pStyle w:val="BodyText"/>
        <w:spacing w:line="268" w:lineRule="exact"/>
      </w:pPr>
      <w:hyperlink r:id="rId180">
        <w:r>
          <w:rPr/>
          <w:t>网址：www.jianfortune.com</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加和基金</w:t>
      </w:r>
    </w:p>
    <w:p>
      <w:pPr>
        <w:pStyle w:val="BodyText"/>
        <w:spacing w:line="364" w:lineRule="auto" w:before="139"/>
        <w:ind w:right="3320"/>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39"/>
      </w:pPr>
      <w:r>
        <w:rPr/>
        <w:t>联系电话：010-80456756</w:t>
      </w:r>
    </w:p>
    <w:p>
      <w:pPr>
        <w:pStyle w:val="BodyText"/>
        <w:spacing w:line="364" w:lineRule="auto" w:before="140"/>
        <w:ind w:right="6575"/>
      </w:pPr>
      <w:r>
        <w:rPr/>
        <w:t>客户服务电话：400-803-1188 传真：010-80456278</w:t>
      </w:r>
    </w:p>
    <w:p>
      <w:pPr>
        <w:pStyle w:val="BodyText"/>
        <w:spacing w:line="268" w:lineRule="exact"/>
      </w:pPr>
      <w:hyperlink r:id="rId181">
        <w:r>
          <w:rPr/>
          <w:t>网址：www.bzfunds.com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嘉实财富</w:t>
      </w:r>
    </w:p>
    <w:p>
      <w:pPr>
        <w:pStyle w:val="BodyText"/>
        <w:spacing w:line="364" w:lineRule="auto" w:before="140"/>
        <w:ind w:left="220" w:right="1470" w:firstLine="420"/>
      </w:pPr>
      <w:r>
        <w:rPr>
          <w:spacing w:val="-7"/>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364" w:lineRule="auto"/>
        <w:ind w:right="4160"/>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pPr>
      <w:r>
        <w:rPr/>
        <w:t>联系人：李雯</w:t>
      </w:r>
    </w:p>
    <w:p>
      <w:pPr>
        <w:pStyle w:val="BodyText"/>
        <w:spacing w:before="138"/>
      </w:pPr>
      <w:r>
        <w:rPr/>
        <w:t>联系电话：010-60842306</w:t>
      </w:r>
    </w:p>
    <w:p>
      <w:pPr>
        <w:pStyle w:val="BodyText"/>
        <w:spacing w:line="364" w:lineRule="auto" w:before="140"/>
        <w:ind w:right="6575"/>
      </w:pPr>
      <w:r>
        <w:rPr/>
        <w:t>客户服务电话：400-021-8850 传真：010-85712195</w:t>
      </w:r>
    </w:p>
    <w:p>
      <w:pPr>
        <w:pStyle w:val="BodyText"/>
        <w:spacing w:line="268" w:lineRule="exact"/>
      </w:pPr>
      <w:hyperlink r:id="rId182">
        <w:r>
          <w:rPr/>
          <w:t>网址：www.harvestwm.cn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金百临</w:t>
      </w:r>
    </w:p>
    <w:p>
      <w:pPr>
        <w:pStyle w:val="BodyText"/>
        <w:spacing w:before="140"/>
      </w:pPr>
      <w:r>
        <w:rPr/>
        <w:t>注册地址：无锡市滨湖区锦溪路 99 号</w:t>
      </w:r>
    </w:p>
    <w:p>
      <w:pPr>
        <w:pStyle w:val="BodyText"/>
        <w:spacing w:before="139"/>
      </w:pPr>
      <w:r>
        <w:rPr/>
        <w:t>办公地址：江苏省无锡市太湖新城锦溪道楝泽路 9 号楼</w:t>
      </w:r>
    </w:p>
    <w:p>
      <w:pPr>
        <w:spacing w:after="0"/>
        <w:sectPr>
          <w:pgSz w:w="11910" w:h="16840"/>
          <w:pgMar w:header="0" w:footer="664" w:top="1380" w:bottom="940" w:left="1580" w:right="380"/>
        </w:sectPr>
      </w:pPr>
    </w:p>
    <w:p>
      <w:pPr>
        <w:pStyle w:val="BodyText"/>
        <w:spacing w:line="364" w:lineRule="auto" w:before="45"/>
        <w:ind w:right="7625"/>
      </w:pPr>
      <w:r>
        <w:rPr/>
        <w:t>法人代表：费晓燕联系人：邹云</w:t>
      </w:r>
    </w:p>
    <w:p>
      <w:pPr>
        <w:pStyle w:val="BodyText"/>
        <w:spacing w:line="268" w:lineRule="exact"/>
      </w:pPr>
      <w:r>
        <w:rPr/>
        <w:t>联系电话：0510-81188088</w:t>
      </w:r>
    </w:p>
    <w:p>
      <w:pPr>
        <w:pStyle w:val="BodyText"/>
        <w:spacing w:line="364" w:lineRule="auto" w:before="139"/>
        <w:ind w:right="6575"/>
      </w:pPr>
      <w:r>
        <w:rPr/>
        <w:t>客户服务电话：0510-9688988 </w:t>
      </w:r>
      <w:hyperlink r:id="rId183">
        <w:r>
          <w:rPr/>
          <w:t>网址：www.jsjbl.com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金观诚</w:t>
      </w:r>
    </w:p>
    <w:p>
      <w:pPr>
        <w:pStyle w:val="BodyText"/>
        <w:spacing w:line="364" w:lineRule="auto" w:before="140"/>
        <w:ind w:right="2321"/>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7415"/>
      </w:pPr>
      <w:r>
        <w:rPr/>
        <w:t>法定代表人：蒋雪琦联系人：来舒岚</w:t>
      </w:r>
    </w:p>
    <w:p>
      <w:pPr>
        <w:pStyle w:val="BodyText"/>
        <w:spacing w:line="268" w:lineRule="exact"/>
      </w:pPr>
      <w:r>
        <w:rPr/>
        <w:t>联系电话：0571-88337888</w:t>
      </w:r>
    </w:p>
    <w:p>
      <w:pPr>
        <w:pStyle w:val="BodyText"/>
        <w:spacing w:line="364" w:lineRule="auto" w:before="138"/>
        <w:ind w:right="6785"/>
      </w:pPr>
      <w:r>
        <w:rPr/>
        <w:t>客户服务电话：4000680058 传真：0571-88337666</w:t>
      </w:r>
    </w:p>
    <w:p>
      <w:pPr>
        <w:pStyle w:val="BodyText"/>
        <w:spacing w:line="268" w:lineRule="exact"/>
      </w:pPr>
      <w:hyperlink r:id="rId184">
        <w:r>
          <w:rPr/>
          <w:t>网址：http://www.jincheng-fund.com/</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久富财富</w:t>
      </w:r>
    </w:p>
    <w:p>
      <w:pPr>
        <w:pStyle w:val="BodyText"/>
        <w:spacing w:before="139"/>
      </w:pPr>
      <w:r>
        <w:rPr/>
        <w:t>注册地址：上海市浦东新区莱阳路 2819 号 1 幢 109 室</w:t>
      </w:r>
    </w:p>
    <w:p>
      <w:pPr>
        <w:pStyle w:val="BodyText"/>
        <w:spacing w:line="364" w:lineRule="auto" w:before="140"/>
        <w:ind w:right="3425"/>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39"/>
      </w:pPr>
      <w:r>
        <w:rPr/>
        <w:t>联系电话：021-68682279</w:t>
      </w:r>
    </w:p>
    <w:p>
      <w:pPr>
        <w:pStyle w:val="BodyText"/>
        <w:spacing w:line="364" w:lineRule="auto" w:before="140"/>
        <w:ind w:right="6575"/>
      </w:pPr>
      <w:r>
        <w:rPr/>
        <w:t>客户服务电话</w:t>
      </w:r>
      <w:r>
        <w:rPr>
          <w:spacing w:val="-2"/>
        </w:rPr>
        <w:t>：400-102-1813 </w:t>
      </w:r>
      <w:r>
        <w:rPr/>
        <w:t>传真：021-68682297</w:t>
      </w:r>
    </w:p>
    <w:p>
      <w:pPr>
        <w:pStyle w:val="BodyText"/>
        <w:spacing w:line="268" w:lineRule="exact"/>
      </w:pPr>
      <w:hyperlink r:id="rId185">
        <w:r>
          <w:rPr/>
          <w:t>网址：www.jfcta.com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凯石财富</w:t>
      </w:r>
    </w:p>
    <w:p>
      <w:pPr>
        <w:pStyle w:val="BodyText"/>
        <w:spacing w:line="364" w:lineRule="auto" w:before="139"/>
        <w:ind w:right="4475"/>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40"/>
      </w:pPr>
      <w:r>
        <w:rPr/>
        <w:t>联系电话：021-63333389</w:t>
      </w:r>
    </w:p>
    <w:p>
      <w:pPr>
        <w:pStyle w:val="BodyText"/>
        <w:spacing w:line="364" w:lineRule="auto" w:before="139"/>
        <w:ind w:right="6575"/>
      </w:pPr>
      <w:r>
        <w:rPr/>
        <w:t>客户服务电话：4006-433-389 传真：021-63333390</w:t>
      </w:r>
    </w:p>
    <w:p>
      <w:pPr>
        <w:pStyle w:val="BodyText"/>
        <w:spacing w:line="268" w:lineRule="exact"/>
      </w:pPr>
      <w:hyperlink r:id="rId186">
        <w:r>
          <w:rPr/>
          <w:t>网址：www.vstonewealth.com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肯特瑞基金</w:t>
      </w:r>
    </w:p>
    <w:p>
      <w:pPr>
        <w:pStyle w:val="BodyText"/>
        <w:spacing w:before="139"/>
      </w:pPr>
      <w:r>
        <w:rPr/>
        <w:t>注册地址：北京市海淀区西三旗建材城中路 12 号 17 号平房 157</w:t>
      </w:r>
    </w:p>
    <w:p>
      <w:pPr>
        <w:spacing w:after="0"/>
        <w:sectPr>
          <w:pgSz w:w="11910" w:h="16840"/>
          <w:pgMar w:header="0" w:footer="664" w:top="1380" w:bottom="940" w:left="1580" w:right="380"/>
        </w:sectPr>
      </w:pPr>
    </w:p>
    <w:p>
      <w:pPr>
        <w:pStyle w:val="BodyText"/>
        <w:spacing w:line="364" w:lineRule="auto" w:before="45"/>
        <w:ind w:right="1955"/>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39"/>
      </w:pPr>
      <w:r>
        <w:rPr/>
        <w:t>联系电话：010-89189291</w:t>
      </w:r>
    </w:p>
    <w:p>
      <w:pPr>
        <w:pStyle w:val="BodyText"/>
        <w:spacing w:before="140"/>
      </w:pPr>
      <w:r>
        <w:rPr/>
        <w:t>客户服务电话：95118</w:t>
      </w:r>
    </w:p>
    <w:p>
      <w:pPr>
        <w:pStyle w:val="BodyText"/>
        <w:spacing w:before="139"/>
      </w:pPr>
      <w:hyperlink r:id="rId187">
        <w:r>
          <w:rPr/>
          <w:t>网址：http://fund.jd.com/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利得基金</w:t>
      </w:r>
    </w:p>
    <w:p>
      <w:pPr>
        <w:pStyle w:val="BodyText"/>
        <w:spacing w:before="139"/>
      </w:pPr>
      <w:r>
        <w:rPr/>
        <w:t>注册地址：上海市宝山区蕴川路 5475 号 1033 室</w:t>
      </w:r>
    </w:p>
    <w:p>
      <w:pPr>
        <w:pStyle w:val="BodyText"/>
        <w:spacing w:line="364" w:lineRule="auto" w:before="140"/>
        <w:ind w:right="321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39"/>
        <w:ind w:right="7205"/>
      </w:pPr>
      <w:r>
        <w:rPr/>
        <w:t>客户服务电话：95733 传真：86-21-61101630</w:t>
      </w:r>
    </w:p>
    <w:p>
      <w:pPr>
        <w:pStyle w:val="BodyText"/>
        <w:spacing w:line="268" w:lineRule="exact"/>
      </w:pPr>
      <w:hyperlink r:id="rId188">
        <w:r>
          <w:rPr/>
          <w:t>网址：www.leadfund.com.cn</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联泰基金</w:t>
      </w:r>
    </w:p>
    <w:p>
      <w:pPr>
        <w:pStyle w:val="BodyText"/>
        <w:spacing w:line="364" w:lineRule="auto" w:before="139"/>
        <w:ind w:right="300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7415"/>
      </w:pPr>
      <w:r>
        <w:rPr/>
        <w:t>法定代表人：尹彬彬联系人：陈东</w:t>
      </w:r>
    </w:p>
    <w:p>
      <w:pPr>
        <w:pStyle w:val="BodyText"/>
        <w:spacing w:line="268" w:lineRule="exact"/>
      </w:pPr>
      <w:r>
        <w:rPr/>
        <w:t>联系电话：021-52822063</w:t>
      </w:r>
    </w:p>
    <w:p>
      <w:pPr>
        <w:pStyle w:val="BodyText"/>
        <w:spacing w:line="364" w:lineRule="auto" w:before="139"/>
        <w:ind w:right="6575"/>
      </w:pPr>
      <w:r>
        <w:rPr/>
        <w:t>客户服务电话：400-118-1188 传真：021-52975270</w:t>
      </w:r>
    </w:p>
    <w:p>
      <w:pPr>
        <w:pStyle w:val="BodyText"/>
        <w:spacing w:line="268" w:lineRule="exact"/>
      </w:pPr>
      <w:hyperlink r:id="rId189">
        <w:r>
          <w:rPr/>
          <w:t>网址：www.66zichan.com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陆基金</w:t>
      </w:r>
    </w:p>
    <w:p>
      <w:pPr>
        <w:pStyle w:val="BodyText"/>
        <w:spacing w:line="364" w:lineRule="auto" w:before="140"/>
        <w:ind w:right="2480"/>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40"/>
        <w:ind w:right="6785"/>
      </w:pPr>
      <w:r>
        <w:rPr/>
        <w:t>客户服务电话：4008219031 传真：021-22066653</w:t>
      </w:r>
    </w:p>
    <w:p>
      <w:pPr>
        <w:pStyle w:val="BodyText"/>
        <w:spacing w:line="268" w:lineRule="exact"/>
      </w:pPr>
      <w:hyperlink r:id="rId190">
        <w:r>
          <w:rPr/>
          <w:t>网址：www.lufunds.com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蚂蚁基金</w:t>
      </w:r>
    </w:p>
    <w:p>
      <w:pPr>
        <w:spacing w:after="0" w:line="240" w:lineRule="auto"/>
        <w:jc w:val="both"/>
        <w:rPr>
          <w:sz w:val="21"/>
        </w:rPr>
        <w:sectPr>
          <w:pgSz w:w="11910" w:h="16840"/>
          <w:pgMar w:header="0" w:footer="664" w:top="1380" w:bottom="940" w:left="1580" w:right="380"/>
        </w:sectPr>
      </w:pPr>
    </w:p>
    <w:p>
      <w:pPr>
        <w:pStyle w:val="BodyText"/>
        <w:spacing w:line="364" w:lineRule="auto" w:before="45"/>
        <w:ind w:right="258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7415"/>
      </w:pPr>
      <w:r>
        <w:rPr/>
        <w:t>法定代表人：祖国明联系人：韩爱彬</w:t>
      </w:r>
    </w:p>
    <w:p>
      <w:pPr>
        <w:pStyle w:val="BodyText"/>
        <w:spacing w:line="268" w:lineRule="exact"/>
      </w:pPr>
      <w:r>
        <w:rPr/>
        <w:t>联系电话：0571-26888888</w:t>
      </w:r>
    </w:p>
    <w:p>
      <w:pPr>
        <w:pStyle w:val="BodyText"/>
        <w:spacing w:line="364" w:lineRule="auto" w:before="138"/>
        <w:ind w:right="6365"/>
      </w:pPr>
      <w:r>
        <w:rPr/>
        <w:t>客户服务电话：4000-766-123 </w:t>
      </w:r>
      <w:hyperlink r:id="rId191">
        <w:r>
          <w:rPr>
            <w:spacing w:val="-1"/>
          </w:rPr>
          <w:t>网址：http://www.fund123.cn/</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民商基金</w:t>
      </w:r>
    </w:p>
    <w:p>
      <w:pPr>
        <w:pStyle w:val="BodyText"/>
        <w:spacing w:line="364" w:lineRule="auto" w:before="140"/>
        <w:ind w:right="3476"/>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联系人：杨一新</w:t>
      </w:r>
    </w:p>
    <w:p>
      <w:pPr>
        <w:pStyle w:val="BodyText"/>
        <w:spacing w:before="139"/>
      </w:pPr>
      <w:r>
        <w:rPr/>
        <w:t>联系电话：021-50206003</w:t>
      </w:r>
    </w:p>
    <w:p>
      <w:pPr>
        <w:pStyle w:val="BodyText"/>
        <w:spacing w:line="364" w:lineRule="auto" w:before="140"/>
        <w:ind w:right="6575"/>
      </w:pPr>
      <w:r>
        <w:rPr/>
        <w:t>客户服务电话：021-50206003 传真：021-50206001</w:t>
      </w:r>
    </w:p>
    <w:p>
      <w:pPr>
        <w:pStyle w:val="BodyText"/>
        <w:spacing w:line="268" w:lineRule="exact"/>
      </w:pPr>
      <w:hyperlink r:id="rId192">
        <w:r>
          <w:rPr/>
          <w:t>网址：http://www.msftec.com/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诺亚正行</w:t>
      </w:r>
    </w:p>
    <w:p>
      <w:pPr>
        <w:pStyle w:val="BodyText"/>
        <w:spacing w:line="364" w:lineRule="auto" w:before="140"/>
        <w:ind w:right="4370"/>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40"/>
        <w:ind w:right="6575"/>
      </w:pPr>
      <w:r>
        <w:rPr/>
        <w:t>客户服务电话：400-821-5399 传真：021-38509777</w:t>
      </w:r>
    </w:p>
    <w:p>
      <w:pPr>
        <w:pStyle w:val="BodyText"/>
        <w:spacing w:line="268" w:lineRule="exact"/>
      </w:pPr>
      <w:hyperlink r:id="rId193">
        <w:r>
          <w:rPr/>
          <w:t>网址：www.noah-fund.com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浦领基金</w:t>
      </w:r>
    </w:p>
    <w:p>
      <w:pPr>
        <w:pStyle w:val="BodyText"/>
        <w:spacing w:line="364" w:lineRule="auto" w:before="139"/>
        <w:ind w:right="3530"/>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7415"/>
      </w:pPr>
      <w:r>
        <w:rPr/>
        <w:t>法定代表人：聂婉君联系人：李艳</w:t>
      </w:r>
    </w:p>
    <w:p>
      <w:pPr>
        <w:pStyle w:val="BodyText"/>
        <w:spacing w:line="268" w:lineRule="exact"/>
      </w:pPr>
      <w:r>
        <w:rPr/>
        <w:t>联系电话：010-59497361</w:t>
      </w:r>
    </w:p>
    <w:p>
      <w:pPr>
        <w:pStyle w:val="BodyText"/>
        <w:spacing w:line="364" w:lineRule="auto" w:before="139"/>
        <w:ind w:right="6575"/>
      </w:pPr>
      <w:r>
        <w:rPr/>
        <w:t>客户服务电话：400-012-5899 传真：010-64788016</w:t>
      </w:r>
    </w:p>
    <w:p>
      <w:pPr>
        <w:pStyle w:val="BodyText"/>
        <w:spacing w:line="268" w:lineRule="exact"/>
      </w:pPr>
      <w:hyperlink r:id="rId194">
        <w:r>
          <w:rPr/>
          <w:t>网址：www.zscffund.com</w:t>
        </w:r>
      </w:hyperlink>
    </w:p>
    <w:p>
      <w:pPr>
        <w:spacing w:after="0" w:line="268" w:lineRule="exact"/>
        <w:sectPr>
          <w:pgSz w:w="11910" w:h="16840"/>
          <w:pgMar w:header="0" w:footer="664" w:top="1380" w:bottom="940" w:left="1580" w:right="380"/>
        </w:sectPr>
      </w:pPr>
    </w:p>
    <w:p>
      <w:pPr>
        <w:pStyle w:val="ListParagraph"/>
        <w:numPr>
          <w:ilvl w:val="0"/>
          <w:numId w:val="8"/>
        </w:numPr>
        <w:tabs>
          <w:tab w:pos="1270" w:val="left" w:leader="none"/>
        </w:tabs>
        <w:spacing w:line="240" w:lineRule="auto" w:before="45" w:after="0"/>
        <w:ind w:left="1270" w:right="0" w:hanging="630"/>
        <w:jc w:val="left"/>
        <w:rPr>
          <w:sz w:val="21"/>
        </w:rPr>
      </w:pPr>
      <w:r>
        <w:rPr>
          <w:sz w:val="21"/>
        </w:rPr>
        <w:t>钱景基金</w:t>
      </w:r>
    </w:p>
    <w:p>
      <w:pPr>
        <w:pStyle w:val="BodyText"/>
        <w:spacing w:line="364" w:lineRule="auto" w:before="139"/>
        <w:ind w:right="3476"/>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40"/>
      </w:pPr>
      <w:r>
        <w:rPr/>
        <w:t>联系电话：010-62565181</w:t>
      </w:r>
    </w:p>
    <w:p>
      <w:pPr>
        <w:pStyle w:val="BodyText"/>
        <w:spacing w:line="364" w:lineRule="auto" w:before="139"/>
        <w:ind w:right="6575"/>
      </w:pPr>
      <w:r>
        <w:rPr/>
        <w:t>客户服务电话：400-893-6885 传真：010-57569671</w:t>
      </w:r>
    </w:p>
    <w:p>
      <w:pPr>
        <w:pStyle w:val="BodyText"/>
        <w:spacing w:line="268" w:lineRule="exact"/>
      </w:pPr>
      <w:hyperlink r:id="rId195">
        <w:r>
          <w:rPr/>
          <w:t>网址：www.qianjing.com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深圳金海九州</w:t>
      </w:r>
    </w:p>
    <w:p>
      <w:pPr>
        <w:pStyle w:val="BodyText"/>
        <w:spacing w:line="364" w:lineRule="auto" w:before="139"/>
        <w:ind w:left="220" w:right="1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790"/>
      </w:pPr>
      <w:r>
        <w:rPr>
          <w:spacing w:val="-3"/>
        </w:rPr>
        <w:t>办公地址：深圳市南山区航天科技广场 </w:t>
      </w:r>
      <w:r>
        <w:rPr/>
        <w:t>A</w:t>
      </w:r>
      <w:r>
        <w:rPr>
          <w:spacing w:val="-36"/>
        </w:rPr>
        <w:t> 座 </w:t>
      </w:r>
      <w:r>
        <w:rPr/>
        <w:t>32</w:t>
      </w:r>
      <w:r>
        <w:rPr>
          <w:spacing w:val="-35"/>
        </w:rPr>
        <w:t> 层</w:t>
      </w:r>
      <w:r>
        <w:rPr/>
        <w:t>法定代表人：彭维熙</w:t>
      </w:r>
    </w:p>
    <w:p>
      <w:pPr>
        <w:pStyle w:val="BodyText"/>
        <w:spacing w:line="268" w:lineRule="exact"/>
      </w:pPr>
      <w:r>
        <w:rPr/>
        <w:t>联系人：麦国康</w:t>
      </w:r>
    </w:p>
    <w:p>
      <w:pPr>
        <w:pStyle w:val="BodyText"/>
        <w:spacing w:line="364" w:lineRule="auto" w:before="139"/>
        <w:ind w:right="3845"/>
      </w:pPr>
      <w:r>
        <w:rPr/>
        <w:t>联系电话：0755-81994000（深圳</w:t>
      </w:r>
      <w:r>
        <w:rPr>
          <w:spacing w:val="-105"/>
        </w:rPr>
        <w:t>）</w:t>
      </w:r>
      <w:r>
        <w:rPr/>
        <w:t>、020-38657255（广州</w:t>
      </w:r>
      <w:r>
        <w:rPr>
          <w:spacing w:val="-19"/>
        </w:rPr>
        <w:t>） </w:t>
      </w:r>
      <w:r>
        <w:rPr/>
        <w:t>客户服务电话：021-51987798-722（上海客服中心）</w:t>
      </w:r>
    </w:p>
    <w:p>
      <w:pPr>
        <w:pStyle w:val="BodyText"/>
        <w:spacing w:line="364" w:lineRule="auto"/>
        <w:ind w:right="6260"/>
      </w:pPr>
      <w:r>
        <w:rPr/>
        <w:t>传真：0755-81994000（深圳） </w:t>
      </w:r>
      <w:hyperlink r:id="rId196">
        <w:r>
          <w:rPr>
            <w:spacing w:val="-1"/>
          </w:rPr>
          <w:t>网址：http://www.123jijin.cn/</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深圳新兰德</w:t>
      </w:r>
    </w:p>
    <w:p>
      <w:pPr>
        <w:pStyle w:val="BodyText"/>
        <w:spacing w:before="138"/>
      </w:pPr>
      <w:r>
        <w:rPr/>
        <w:t>注册地址：深圳市福田区福田街道民田路 178 号华融大厦 27 层 2704</w:t>
      </w:r>
    </w:p>
    <w:p>
      <w:pPr>
        <w:pStyle w:val="BodyText"/>
        <w:spacing w:line="364" w:lineRule="auto" w:before="140"/>
        <w:ind w:right="353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39"/>
        <w:ind w:right="6575"/>
      </w:pPr>
      <w:r>
        <w:rPr/>
        <w:t>客户服务电话：400-166-1188 传真：010-83363010</w:t>
      </w:r>
    </w:p>
    <w:p>
      <w:pPr>
        <w:pStyle w:val="BodyText"/>
        <w:spacing w:line="268" w:lineRule="exact"/>
      </w:pPr>
      <w:hyperlink r:id="rId197">
        <w:r>
          <w:rPr/>
          <w:t>网址：http://8.jrj.com.cn</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晟视天下</w:t>
      </w:r>
    </w:p>
    <w:p>
      <w:pPr>
        <w:pStyle w:val="BodyText"/>
        <w:spacing w:before="139"/>
      </w:pPr>
      <w:r>
        <w:rPr/>
        <w:t>注册地址：北京市怀柔区九渡河镇黄坎村 735 号 03 室</w:t>
      </w:r>
    </w:p>
    <w:p>
      <w:pPr>
        <w:pStyle w:val="BodyText"/>
        <w:spacing w:line="364" w:lineRule="auto" w:before="140"/>
        <w:ind w:right="3740"/>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spacing w:after="0"/>
        <w:sectPr>
          <w:pgSz w:w="11910" w:h="16840"/>
          <w:pgMar w:header="0" w:footer="664" w:top="1380" w:bottom="940" w:left="1580" w:right="380"/>
        </w:sectPr>
      </w:pPr>
    </w:p>
    <w:p>
      <w:pPr>
        <w:pStyle w:val="BodyText"/>
        <w:spacing w:line="364" w:lineRule="auto" w:before="45"/>
        <w:ind w:right="6575"/>
      </w:pPr>
      <w:r>
        <w:rPr/>
        <w:t>客户服务电话：010-58170761 传真：010-58170800</w:t>
      </w:r>
    </w:p>
    <w:p>
      <w:pPr>
        <w:pStyle w:val="BodyText"/>
        <w:spacing w:line="268" w:lineRule="exact"/>
      </w:pPr>
      <w:hyperlink r:id="rId198">
        <w:r>
          <w:rPr/>
          <w:t>网址：www.shengshiview.com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苏宁基金</w:t>
      </w:r>
    </w:p>
    <w:p>
      <w:pPr>
        <w:pStyle w:val="BodyText"/>
        <w:spacing w:line="364" w:lineRule="auto" w:before="140"/>
        <w:ind w:right="552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联系人：张云飞</w:t>
      </w:r>
    </w:p>
    <w:p>
      <w:pPr>
        <w:pStyle w:val="BodyText"/>
        <w:spacing w:before="139"/>
      </w:pPr>
      <w:r>
        <w:rPr/>
        <w:t>联系电话：025-66996699-882796</w:t>
      </w:r>
    </w:p>
    <w:p>
      <w:pPr>
        <w:pStyle w:val="BodyText"/>
        <w:spacing w:line="364" w:lineRule="auto" w:before="140"/>
        <w:ind w:right="7100"/>
      </w:pPr>
      <w:r>
        <w:rPr/>
        <w:t>客户服务电话：95177 </w:t>
      </w:r>
      <w:hyperlink r:id="rId199">
        <w:r>
          <w:rPr>
            <w:spacing w:val="-1"/>
          </w:rPr>
          <w:t>网址：www.snjijin.com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4370"/>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39"/>
        <w:ind w:right="7310"/>
      </w:pPr>
      <w:r>
        <w:rPr/>
        <w:t>客户服务电话：95021 传真：021-64385308</w:t>
      </w:r>
    </w:p>
    <w:p>
      <w:pPr>
        <w:pStyle w:val="BodyText"/>
        <w:spacing w:line="268" w:lineRule="exact"/>
      </w:pPr>
      <w:hyperlink r:id="rId200">
        <w:r>
          <w:rPr/>
          <w:t>网址：www.1234567.com.cn</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通华财富</w:t>
      </w:r>
    </w:p>
    <w:p>
      <w:pPr>
        <w:pStyle w:val="BodyText"/>
        <w:spacing w:before="139"/>
      </w:pPr>
      <w:r>
        <w:rPr/>
        <w:t>注册地址：上海市虹口区同丰路 667 弄 107 号 201 室</w:t>
      </w:r>
    </w:p>
    <w:p>
      <w:pPr>
        <w:pStyle w:val="BodyText"/>
        <w:spacing w:line="364" w:lineRule="auto" w:before="140"/>
        <w:ind w:right="395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995"/>
      </w:pPr>
      <w:r>
        <w:rPr/>
        <w:t>联系人：杨涛、庄洁茹 联系电话</w:t>
      </w:r>
      <w:r>
        <w:rPr>
          <w:spacing w:val="-2"/>
        </w:rPr>
        <w:t>：021-60810586</w:t>
      </w:r>
    </w:p>
    <w:p>
      <w:pPr>
        <w:pStyle w:val="BodyText"/>
        <w:spacing w:line="364" w:lineRule="auto"/>
        <w:ind w:right="6575"/>
      </w:pPr>
      <w:r>
        <w:rPr/>
        <w:t>客户服务电话：400-101-9301 传真：021-60810695</w:t>
      </w:r>
    </w:p>
    <w:p>
      <w:pPr>
        <w:pStyle w:val="BodyText"/>
        <w:spacing w:line="268" w:lineRule="exact"/>
      </w:pPr>
      <w:hyperlink r:id="rId201">
        <w:r>
          <w:rPr/>
          <w:t>网址：www.tonghuafund.com</w:t>
        </w:r>
      </w:hyperlink>
    </w:p>
    <w:p>
      <w:pPr>
        <w:pStyle w:val="ListParagraph"/>
        <w:numPr>
          <w:ilvl w:val="0"/>
          <w:numId w:val="8"/>
        </w:numPr>
        <w:tabs>
          <w:tab w:pos="1270" w:val="left" w:leader="none"/>
        </w:tabs>
        <w:spacing w:line="240" w:lineRule="auto" w:before="137" w:after="0"/>
        <w:ind w:left="1270" w:right="0" w:hanging="630"/>
        <w:jc w:val="both"/>
        <w:rPr>
          <w:sz w:val="21"/>
        </w:rPr>
      </w:pPr>
      <w:r>
        <w:rPr>
          <w:sz w:val="21"/>
        </w:rPr>
        <w:t>同花顺</w:t>
      </w:r>
    </w:p>
    <w:p>
      <w:pPr>
        <w:pStyle w:val="BodyText"/>
        <w:spacing w:before="140"/>
      </w:pPr>
      <w:r>
        <w:rPr/>
        <w:t>注册地址：浙江省杭州市文二西路 1 号 903 室</w:t>
      </w:r>
    </w:p>
    <w:p>
      <w:pPr>
        <w:pStyle w:val="BodyText"/>
        <w:spacing w:line="364" w:lineRule="auto" w:before="139"/>
        <w:ind w:right="3530"/>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spacing w:after="0" w:line="268" w:lineRule="exact"/>
        <w:sectPr>
          <w:pgSz w:w="11910" w:h="16840"/>
          <w:pgMar w:header="0" w:footer="664" w:top="1380" w:bottom="940" w:left="1580" w:right="380"/>
        </w:sectPr>
      </w:pPr>
    </w:p>
    <w:p>
      <w:pPr>
        <w:pStyle w:val="BodyText"/>
        <w:spacing w:before="45"/>
      </w:pPr>
      <w:r>
        <w:rPr/>
        <w:t>联系电话：0571-88911818</w:t>
      </w:r>
    </w:p>
    <w:p>
      <w:pPr>
        <w:pStyle w:val="BodyText"/>
        <w:spacing w:line="364" w:lineRule="auto" w:before="139"/>
        <w:ind w:right="7205"/>
      </w:pPr>
      <w:r>
        <w:rPr/>
        <w:t>客户服务电话</w:t>
      </w:r>
      <w:r>
        <w:rPr>
          <w:spacing w:val="-3"/>
        </w:rPr>
        <w:t>：952555 </w:t>
      </w:r>
      <w:r>
        <w:rPr/>
        <w:t>传真：0571-86800423</w:t>
      </w:r>
    </w:p>
    <w:p>
      <w:pPr>
        <w:pStyle w:val="BodyText"/>
        <w:spacing w:line="268" w:lineRule="exact"/>
      </w:pPr>
      <w:hyperlink r:id="rId202">
        <w:r>
          <w:rPr/>
          <w:t>网址：www.5ifund.com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途牛基金</w:t>
      </w:r>
    </w:p>
    <w:p>
      <w:pPr>
        <w:pStyle w:val="BodyText"/>
        <w:spacing w:line="364" w:lineRule="auto" w:before="139"/>
        <w:ind w:right="4580"/>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40"/>
      </w:pPr>
      <w:r>
        <w:rPr/>
        <w:t>联系电话：025-86853960-66727</w:t>
      </w:r>
    </w:p>
    <w:p>
      <w:pPr>
        <w:pStyle w:val="BodyText"/>
        <w:spacing w:before="139"/>
      </w:pPr>
      <w:r>
        <w:rPr/>
        <w:t>客户服务电话：4007-999-999 转 3</w:t>
      </w:r>
    </w:p>
    <w:p>
      <w:pPr>
        <w:pStyle w:val="BodyText"/>
        <w:spacing w:before="140"/>
      </w:pPr>
      <w:hyperlink r:id="rId203">
        <w:r>
          <w:rPr/>
          <w:t>网址：http://jr.tuniu.com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挖财基金</w:t>
      </w:r>
    </w:p>
    <w:p>
      <w:pPr>
        <w:pStyle w:val="BodyText"/>
        <w:spacing w:before="139"/>
      </w:pPr>
      <w:r>
        <w:rPr/>
        <w:t>注册地址：中国（上海）自由贸易试验区杨高南路 799 号 5 楼 04 室</w:t>
      </w:r>
    </w:p>
    <w:p>
      <w:pPr>
        <w:pStyle w:val="BodyText"/>
        <w:spacing w:line="364" w:lineRule="auto" w:before="140"/>
        <w:ind w:right="1850"/>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39"/>
      </w:pPr>
      <w:r>
        <w:rPr/>
        <w:t>联系电话：021-50810687</w:t>
      </w:r>
    </w:p>
    <w:p>
      <w:pPr>
        <w:pStyle w:val="BodyText"/>
        <w:spacing w:line="364" w:lineRule="auto" w:before="140"/>
        <w:ind w:right="6575"/>
      </w:pPr>
      <w:r>
        <w:rPr/>
        <w:t>客户服务电话：021-50810673 </w:t>
      </w:r>
      <w:hyperlink r:id="rId204">
        <w:r>
          <w:rPr/>
          <w:t>网址：www.wacaijijin.com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万得基金</w:t>
      </w:r>
    </w:p>
    <w:p>
      <w:pPr>
        <w:pStyle w:val="BodyText"/>
        <w:spacing w:line="364" w:lineRule="auto" w:before="139"/>
        <w:ind w:right="3425"/>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625"/>
      </w:pPr>
      <w:r>
        <w:rPr/>
        <w:t>法定代表人：黄祎联系人：徐亚丹</w:t>
      </w:r>
    </w:p>
    <w:p>
      <w:pPr>
        <w:pStyle w:val="BodyText"/>
        <w:spacing w:line="268" w:lineRule="exact"/>
      </w:pPr>
      <w:r>
        <w:rPr/>
        <w:t>联系电话：021-50712782</w:t>
      </w:r>
    </w:p>
    <w:p>
      <w:pPr>
        <w:pStyle w:val="BodyText"/>
        <w:spacing w:line="364" w:lineRule="auto" w:before="139"/>
        <w:ind w:right="6575"/>
      </w:pPr>
      <w:r>
        <w:rPr/>
        <w:t>客户服务电话：400-799-1888 </w:t>
      </w:r>
      <w:hyperlink r:id="rId205">
        <w:r>
          <w:rPr/>
          <w:t>网址：www.520fund.com.cn</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万家财富</w:t>
      </w:r>
    </w:p>
    <w:p>
      <w:pPr>
        <w:pStyle w:val="BodyText"/>
        <w:spacing w:line="364" w:lineRule="auto" w:before="139"/>
        <w:ind w:right="153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625"/>
      </w:pPr>
      <w:r>
        <w:rPr/>
        <w:t>法定代表人：张军联系人：王芳芳</w:t>
      </w:r>
    </w:p>
    <w:p>
      <w:pPr>
        <w:pStyle w:val="BodyText"/>
        <w:spacing w:line="268" w:lineRule="exact"/>
      </w:pPr>
      <w:r>
        <w:rPr/>
        <w:t>联系电话：010-59013828</w:t>
      </w:r>
    </w:p>
    <w:p>
      <w:pPr>
        <w:spacing w:after="0" w:line="268" w:lineRule="exact"/>
        <w:sectPr>
          <w:pgSz w:w="11910" w:h="16840"/>
          <w:pgMar w:header="0" w:footer="664" w:top="1380" w:bottom="940" w:left="1580" w:right="380"/>
        </w:sectPr>
      </w:pPr>
    </w:p>
    <w:p>
      <w:pPr>
        <w:pStyle w:val="BodyText"/>
        <w:spacing w:before="45"/>
      </w:pPr>
      <w:r>
        <w:rPr/>
        <w:t>客户服务电话：010-59013895</w:t>
      </w:r>
    </w:p>
    <w:p>
      <w:pPr>
        <w:pStyle w:val="BodyText"/>
        <w:spacing w:before="139"/>
      </w:pPr>
      <w:hyperlink r:id="rId206">
        <w:r>
          <w:rPr/>
          <w:t>网址：http://www.wanjiawealth.com/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新浪仓石</w:t>
      </w:r>
    </w:p>
    <w:p>
      <w:pPr>
        <w:pStyle w:val="BodyText"/>
        <w:spacing w:line="364" w:lineRule="auto" w:before="139"/>
        <w:ind w:left="220" w:right="1418" w:firstLine="420"/>
      </w:pPr>
      <w:r>
        <w:rPr/>
        <w:t>注册地址：北京市海淀区东北旺西路中关村软件园二期（西扩）N-1、N-2 地块新浪总部科研楼 5 层 518 室</w:t>
      </w:r>
    </w:p>
    <w:p>
      <w:pPr>
        <w:pStyle w:val="BodyText"/>
        <w:spacing w:line="364" w:lineRule="auto"/>
        <w:ind w:right="2900"/>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9"/>
      </w:pPr>
      <w:r>
        <w:rPr/>
        <w:t>联系电话：010-62625768</w:t>
      </w:r>
    </w:p>
    <w:p>
      <w:pPr>
        <w:pStyle w:val="BodyText"/>
        <w:spacing w:line="364" w:lineRule="auto" w:before="139"/>
        <w:ind w:right="6575"/>
      </w:pPr>
      <w:r>
        <w:rPr/>
        <w:t>客户服务电话：010-62675369 传真：010-62676582</w:t>
      </w:r>
    </w:p>
    <w:p>
      <w:pPr>
        <w:pStyle w:val="BodyText"/>
        <w:spacing w:line="268" w:lineRule="exact"/>
      </w:pPr>
      <w:hyperlink r:id="rId207">
        <w:r>
          <w:rPr/>
          <w:t>网址：www.xincai.com</w:t>
        </w:r>
      </w:hyperlink>
    </w:p>
    <w:p>
      <w:pPr>
        <w:pStyle w:val="ListParagraph"/>
        <w:numPr>
          <w:ilvl w:val="0"/>
          <w:numId w:val="8"/>
        </w:numPr>
        <w:tabs>
          <w:tab w:pos="1270" w:val="left" w:leader="none"/>
        </w:tabs>
        <w:spacing w:line="240" w:lineRule="auto" w:before="140" w:after="0"/>
        <w:ind w:left="1270" w:right="0" w:hanging="630"/>
        <w:jc w:val="both"/>
        <w:rPr>
          <w:sz w:val="21"/>
        </w:rPr>
      </w:pPr>
      <w:r>
        <w:rPr>
          <w:sz w:val="21"/>
        </w:rPr>
        <w:t>鑫鼎盛</w:t>
      </w:r>
    </w:p>
    <w:p>
      <w:pPr>
        <w:pStyle w:val="BodyText"/>
        <w:spacing w:line="364" w:lineRule="auto" w:before="139"/>
        <w:ind w:right="300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40"/>
      </w:pPr>
      <w:r>
        <w:rPr/>
        <w:t>联系电话：0592-3122757</w:t>
      </w:r>
    </w:p>
    <w:p>
      <w:pPr>
        <w:pStyle w:val="BodyText"/>
        <w:spacing w:line="364" w:lineRule="auto" w:before="139"/>
        <w:ind w:right="6575"/>
      </w:pPr>
      <w:r>
        <w:rPr/>
        <w:t>客户服务电话：400-6533-789 </w:t>
      </w:r>
      <w:hyperlink r:id="rId208">
        <w:r>
          <w:rPr/>
          <w:t>网址：www.xds.com.cn</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阳光人寿保险</w:t>
      </w:r>
    </w:p>
    <w:p>
      <w:pPr>
        <w:pStyle w:val="BodyText"/>
        <w:spacing w:line="364" w:lineRule="auto" w:before="139"/>
        <w:ind w:right="3320"/>
      </w:pPr>
      <w:r>
        <w:rPr>
          <w:spacing w:val="-4"/>
        </w:rPr>
        <w:t>注册地址：海南省三亚市迎宾路 </w:t>
      </w:r>
      <w:r>
        <w:rPr/>
        <w:t>360-1</w:t>
      </w:r>
      <w:r>
        <w:rPr>
          <w:spacing w:val="-13"/>
        </w:rPr>
        <w:t> 号三亚阳光金融广场 </w:t>
      </w:r>
      <w:r>
        <w:rPr/>
        <w:t>16</w:t>
      </w:r>
      <w:r>
        <w:rPr>
          <w:spacing w:val="-35"/>
        </w:rPr>
        <w:t> 层</w:t>
      </w:r>
      <w:r>
        <w:rPr>
          <w:spacing w:val="-4"/>
        </w:rPr>
        <w:t>办公地址：北京市朝阳区朝外大街 </w:t>
      </w:r>
      <w:r>
        <w:rPr/>
        <w:t>20</w:t>
      </w:r>
      <w:r>
        <w:rPr>
          <w:spacing w:val="-17"/>
        </w:rPr>
        <w:t> 号联合大厦 </w:t>
      </w:r>
      <w:r>
        <w:rPr/>
        <w:t>701A</w:t>
      </w:r>
      <w:r>
        <w:rPr>
          <w:spacing w:val="-27"/>
        </w:rPr>
        <w:t> 室</w:t>
      </w:r>
    </w:p>
    <w:p>
      <w:pPr>
        <w:pStyle w:val="BodyText"/>
        <w:spacing w:line="364" w:lineRule="auto"/>
        <w:ind w:right="7625"/>
      </w:pPr>
      <w:r>
        <w:rPr/>
        <w:t>法定代表人：李科联系人：王磊</w:t>
      </w:r>
    </w:p>
    <w:p>
      <w:pPr>
        <w:pStyle w:val="BodyText"/>
        <w:spacing w:line="268" w:lineRule="exact"/>
      </w:pPr>
      <w:r>
        <w:rPr/>
        <w:t>联系电话：010-85632772</w:t>
      </w:r>
    </w:p>
    <w:p>
      <w:pPr>
        <w:pStyle w:val="BodyText"/>
        <w:spacing w:line="364" w:lineRule="auto" w:before="139"/>
        <w:ind w:right="7310"/>
      </w:pPr>
      <w:r>
        <w:rPr/>
        <w:t>客户服务电话：95510 传真：010-85632773</w:t>
      </w:r>
    </w:p>
    <w:p>
      <w:pPr>
        <w:pStyle w:val="BodyText"/>
        <w:spacing w:line="268" w:lineRule="exact"/>
      </w:pPr>
      <w:hyperlink r:id="rId209">
        <w:r>
          <w:rPr/>
          <w:t>网址：http://fund.sinosig.com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一路财富</w:t>
      </w:r>
    </w:p>
    <w:p>
      <w:pPr>
        <w:pStyle w:val="BodyText"/>
        <w:spacing w:before="140"/>
      </w:pPr>
      <w:r>
        <w:rPr/>
        <w:t>注册地址：北京市海淀区宝盛南路 1 号院 20 号楼 9 层 101-14</w:t>
      </w:r>
    </w:p>
    <w:p>
      <w:pPr>
        <w:pStyle w:val="BodyText"/>
        <w:spacing w:line="364" w:lineRule="auto" w:before="139"/>
        <w:ind w:right="311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联系人：刘栋栋</w:t>
      </w:r>
    </w:p>
    <w:p>
      <w:pPr>
        <w:spacing w:after="0" w:line="268" w:lineRule="exact"/>
        <w:sectPr>
          <w:pgSz w:w="11910" w:h="16840"/>
          <w:pgMar w:header="0" w:footer="664" w:top="1380" w:bottom="940" w:left="1580" w:right="380"/>
        </w:sectPr>
      </w:pPr>
    </w:p>
    <w:p>
      <w:pPr>
        <w:pStyle w:val="BodyText"/>
        <w:spacing w:before="45"/>
      </w:pPr>
      <w:r>
        <w:rPr/>
        <w:t>联系电话：010-88312877</w:t>
      </w:r>
    </w:p>
    <w:p>
      <w:pPr>
        <w:pStyle w:val="BodyText"/>
        <w:spacing w:line="364" w:lineRule="auto" w:before="139"/>
        <w:ind w:right="6575"/>
      </w:pPr>
      <w:r>
        <w:rPr/>
        <w:t>客户服务电话：400-001-1566 传真：010-88312099</w:t>
      </w:r>
    </w:p>
    <w:p>
      <w:pPr>
        <w:pStyle w:val="BodyText"/>
        <w:spacing w:line="268" w:lineRule="exact"/>
      </w:pPr>
      <w:hyperlink r:id="rId210">
        <w:r>
          <w:rPr/>
          <w:t>网址：www.yilucaifu.com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宜投基金销售</w:t>
      </w:r>
    </w:p>
    <w:p>
      <w:pPr>
        <w:pStyle w:val="BodyText"/>
        <w:spacing w:line="364" w:lineRule="auto" w:before="139"/>
        <w:ind w:left="220" w:right="1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790"/>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9"/>
      </w:pPr>
      <w:r>
        <w:rPr/>
        <w:t>联系电话：0755-88603874</w:t>
      </w:r>
    </w:p>
    <w:p>
      <w:pPr>
        <w:pStyle w:val="BodyText"/>
        <w:spacing w:line="364" w:lineRule="auto" w:before="139"/>
        <w:ind w:right="6575"/>
      </w:pPr>
      <w:r>
        <w:rPr/>
        <w:t>客户服务电话：4008-955-811 </w:t>
      </w:r>
      <w:hyperlink r:id="rId211">
        <w:r>
          <w:rPr/>
          <w:t>网址：www.yitfund.com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宜信普泽</w:t>
      </w:r>
    </w:p>
    <w:p>
      <w:pPr>
        <w:pStyle w:val="BodyText"/>
        <w:spacing w:before="140"/>
      </w:pPr>
      <w:r>
        <w:rPr/>
        <w:t>注册地址：北京市朝阳区西大望路 1 号 9 层公寓 1008</w:t>
      </w:r>
    </w:p>
    <w:p>
      <w:pPr>
        <w:pStyle w:val="BodyText"/>
        <w:spacing w:before="139"/>
      </w:pPr>
      <w:r>
        <w:rPr/>
        <w:t>办公地址：北京市朝阳区建国路 88 号楼 SOHO 现代城 C 座 18 层 1809</w:t>
      </w:r>
    </w:p>
    <w:p>
      <w:pPr>
        <w:pStyle w:val="BodyText"/>
        <w:spacing w:line="364" w:lineRule="auto" w:before="140"/>
        <w:ind w:right="7625"/>
      </w:pPr>
      <w:r>
        <w:rPr/>
        <w:t>法定代表人：戎兵联系人：魏晨</w:t>
      </w:r>
    </w:p>
    <w:p>
      <w:pPr>
        <w:pStyle w:val="BodyText"/>
        <w:spacing w:line="268" w:lineRule="exact"/>
      </w:pPr>
      <w:r>
        <w:rPr/>
        <w:t>联系电话：010-52413385</w:t>
      </w:r>
    </w:p>
    <w:p>
      <w:pPr>
        <w:pStyle w:val="BodyText"/>
        <w:spacing w:line="364" w:lineRule="auto" w:before="139"/>
        <w:ind w:right="6575"/>
      </w:pPr>
      <w:r>
        <w:rPr/>
        <w:t>客户服务电话：400-6099-200 传真：010-85800047</w:t>
      </w:r>
    </w:p>
    <w:p>
      <w:pPr>
        <w:pStyle w:val="BodyText"/>
        <w:spacing w:line="268" w:lineRule="exact"/>
      </w:pPr>
      <w:hyperlink r:id="rId212">
        <w:r>
          <w:rPr/>
          <w:t>网址：www.yixinfund.com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奕丰金融</w:t>
      </w:r>
    </w:p>
    <w:p>
      <w:pPr>
        <w:pStyle w:val="BodyText"/>
        <w:spacing w:line="364" w:lineRule="auto" w:before="140"/>
        <w:ind w:left="220" w:right="1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21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8"/>
      </w:pPr>
      <w:r>
        <w:rPr/>
        <w:t>联系电话：0755-89460507</w:t>
      </w:r>
    </w:p>
    <w:p>
      <w:pPr>
        <w:pStyle w:val="BodyText"/>
        <w:spacing w:line="364" w:lineRule="auto" w:before="140"/>
        <w:ind w:right="6575"/>
      </w:pPr>
      <w:r>
        <w:rPr/>
        <w:t>客户服务电话：400-684-0500 传真：0755-21674453</w:t>
      </w:r>
    </w:p>
    <w:p>
      <w:pPr>
        <w:pStyle w:val="BodyText"/>
        <w:spacing w:line="268" w:lineRule="exact"/>
      </w:pPr>
      <w:hyperlink r:id="rId213">
        <w:r>
          <w:rPr/>
          <w:t>网址：www.ifastps.com.cn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盈米基金</w:t>
      </w:r>
    </w:p>
    <w:p>
      <w:pPr>
        <w:pStyle w:val="BodyText"/>
        <w:spacing w:before="140"/>
      </w:pPr>
      <w:r>
        <w:rPr/>
        <w:t>注册地址：珠海市横琴新区宝华路 6 号 105 室-3491</w:t>
      </w:r>
    </w:p>
    <w:p>
      <w:pPr>
        <w:spacing w:after="0"/>
        <w:sectPr>
          <w:pgSz w:w="11910" w:h="16840"/>
          <w:pgMar w:header="0" w:footer="664" w:top="1380" w:bottom="940" w:left="1580" w:right="380"/>
        </w:sectPr>
      </w:pPr>
    </w:p>
    <w:p>
      <w:pPr>
        <w:pStyle w:val="BodyText"/>
        <w:spacing w:line="364" w:lineRule="auto" w:before="45"/>
        <w:ind w:right="237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6575"/>
      </w:pPr>
      <w:r>
        <w:rPr/>
        <w:t>客户服务电话</w:t>
      </w:r>
      <w:r>
        <w:rPr>
          <w:spacing w:val="-2"/>
        </w:rPr>
        <w:t>：020-89629066 </w:t>
      </w:r>
      <w:r>
        <w:rPr/>
        <w:t>传真：020-89629011</w:t>
      </w:r>
    </w:p>
    <w:p>
      <w:pPr>
        <w:pStyle w:val="BodyText"/>
        <w:spacing w:line="268" w:lineRule="exact"/>
      </w:pPr>
      <w:hyperlink r:id="rId214">
        <w:r>
          <w:rPr/>
          <w:t>网址：www.yingmi.cn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云湾基金</w:t>
      </w:r>
    </w:p>
    <w:p>
      <w:pPr>
        <w:pStyle w:val="BodyText"/>
        <w:spacing w:before="140"/>
      </w:pPr>
      <w:r>
        <w:rPr/>
        <w:t>注册地址：中国（上海）自由贸易试验区新金桥路 27 号、明月路 1257 号 1 幢 1 层</w:t>
      </w:r>
    </w:p>
    <w:p>
      <w:pPr>
        <w:pStyle w:val="BodyText"/>
        <w:spacing w:before="139"/>
        <w:ind w:left="220"/>
      </w:pPr>
      <w:r>
        <w:rPr/>
        <w:t>103-1、103-2 办公区</w:t>
      </w:r>
    </w:p>
    <w:p>
      <w:pPr>
        <w:pStyle w:val="BodyText"/>
        <w:spacing w:line="364" w:lineRule="auto" w:before="140"/>
        <w:ind w:right="4790"/>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39"/>
        <w:ind w:right="6575"/>
      </w:pPr>
      <w:r>
        <w:rPr/>
        <w:t>客户服务电话：400-820-1515 传真：021-20539999</w:t>
      </w:r>
    </w:p>
    <w:p>
      <w:pPr>
        <w:pStyle w:val="BodyText"/>
        <w:spacing w:line="268" w:lineRule="exact"/>
      </w:pPr>
      <w:hyperlink r:id="rId215">
        <w:r>
          <w:rPr/>
          <w:t>网址：http://www.zhengtongfunds.com/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增财基金</w:t>
      </w:r>
    </w:p>
    <w:p>
      <w:pPr>
        <w:pStyle w:val="BodyText"/>
        <w:spacing w:before="139"/>
      </w:pPr>
      <w:r>
        <w:rPr/>
        <w:t>注册地址：北京市西城区南礼士路 66 号建威大厦 1208 室</w:t>
      </w:r>
    </w:p>
    <w:p>
      <w:pPr>
        <w:pStyle w:val="BodyText"/>
        <w:spacing w:line="364" w:lineRule="auto" w:before="140"/>
        <w:ind w:right="3530"/>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39"/>
      </w:pPr>
      <w:r>
        <w:rPr/>
        <w:t>联系电话：010-67000988</w:t>
      </w:r>
    </w:p>
    <w:p>
      <w:pPr>
        <w:pStyle w:val="BodyText"/>
        <w:spacing w:line="364" w:lineRule="auto" w:before="140"/>
        <w:ind w:right="6575"/>
      </w:pPr>
      <w:r>
        <w:rPr/>
        <w:t>客户服务电话</w:t>
      </w:r>
      <w:r>
        <w:rPr>
          <w:spacing w:val="-2"/>
        </w:rPr>
        <w:t>：400-001-8811 </w:t>
      </w:r>
      <w:r>
        <w:rPr/>
        <w:t>传真：010-67000988-6000</w:t>
      </w:r>
    </w:p>
    <w:p>
      <w:pPr>
        <w:pStyle w:val="BodyText"/>
        <w:spacing w:line="268" w:lineRule="exact"/>
      </w:pPr>
      <w:hyperlink r:id="rId216">
        <w:r>
          <w:rPr/>
          <w:t>网址：www.zcvc.com.cn</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展恒基金</w:t>
      </w:r>
    </w:p>
    <w:p>
      <w:pPr>
        <w:pStyle w:val="BodyText"/>
        <w:spacing w:line="364" w:lineRule="auto" w:before="140"/>
        <w:ind w:right="3950"/>
      </w:pPr>
      <w:r>
        <w:rPr>
          <w:spacing w:val="-4"/>
        </w:rPr>
        <w:t>注册地址：北京市朝阳区安苑路 </w:t>
      </w:r>
      <w:r>
        <w:rPr/>
        <w:t>11</w:t>
      </w:r>
      <w:r>
        <w:rPr>
          <w:spacing w:val="-22"/>
        </w:rPr>
        <w:t> 号西楼 </w:t>
      </w:r>
      <w:r>
        <w:rPr/>
        <w:t>6</w:t>
      </w:r>
      <w:r>
        <w:rPr>
          <w:spacing w:val="-36"/>
        </w:rPr>
        <w:t> 层 </w:t>
      </w:r>
      <w:r>
        <w:rPr/>
        <w:t>604、607 </w:t>
      </w:r>
      <w:r>
        <w:rPr>
          <w:spacing w:val="-4"/>
        </w:rPr>
        <w:t>办公地址：北京市朝阳区安苑路 </w:t>
      </w:r>
      <w:r>
        <w:rPr/>
        <w:t>15-1</w:t>
      </w:r>
      <w:r>
        <w:rPr>
          <w:spacing w:val="-13"/>
        </w:rPr>
        <w:t> 号邮电新闻大厦 </w:t>
      </w:r>
      <w:r>
        <w:rPr/>
        <w:t>6</w:t>
      </w:r>
      <w:r>
        <w:rPr>
          <w:spacing w:val="-35"/>
        </w:rPr>
        <w:t> 层</w:t>
      </w:r>
      <w:r>
        <w:rPr/>
        <w:t>法定代表人：闫振杰</w:t>
      </w:r>
    </w:p>
    <w:p>
      <w:pPr>
        <w:pStyle w:val="BodyText"/>
        <w:spacing w:line="268" w:lineRule="exact"/>
      </w:pPr>
      <w:r>
        <w:rPr/>
        <w:t>联系人：李晓芳</w:t>
      </w:r>
    </w:p>
    <w:p>
      <w:pPr>
        <w:pStyle w:val="BodyText"/>
        <w:spacing w:before="139"/>
      </w:pPr>
      <w:r>
        <w:rPr/>
        <w:t>联系电话：010-59601366-7167</w:t>
      </w:r>
    </w:p>
    <w:p>
      <w:pPr>
        <w:pStyle w:val="BodyText"/>
        <w:spacing w:line="364" w:lineRule="auto" w:before="139"/>
        <w:ind w:right="6575"/>
      </w:pPr>
      <w:r>
        <w:rPr/>
        <w:t>客户服务电话：400-818-8000 传真：0351-4110714</w:t>
      </w:r>
    </w:p>
    <w:p>
      <w:pPr>
        <w:spacing w:after="0" w:line="364" w:lineRule="auto"/>
        <w:sectPr>
          <w:pgSz w:w="11910" w:h="16840"/>
          <w:pgMar w:header="0" w:footer="664" w:top="1380" w:bottom="940" w:left="1580" w:right="380"/>
        </w:sectPr>
      </w:pPr>
    </w:p>
    <w:p>
      <w:pPr>
        <w:pStyle w:val="BodyText"/>
        <w:spacing w:before="45"/>
      </w:pPr>
      <w:hyperlink r:id="rId217">
        <w:r>
          <w:rPr/>
          <w:t>网址：www.myfund.com</w:t>
        </w:r>
      </w:hyperlink>
    </w:p>
    <w:p>
      <w:pPr>
        <w:pStyle w:val="ListParagraph"/>
        <w:numPr>
          <w:ilvl w:val="0"/>
          <w:numId w:val="8"/>
        </w:numPr>
        <w:tabs>
          <w:tab w:pos="1270" w:val="left" w:leader="none"/>
        </w:tabs>
        <w:spacing w:line="240" w:lineRule="auto" w:before="139" w:after="0"/>
        <w:ind w:left="1270" w:right="0" w:hanging="630"/>
        <w:jc w:val="left"/>
        <w:rPr>
          <w:sz w:val="21"/>
        </w:rPr>
      </w:pPr>
      <w:r>
        <w:rPr>
          <w:sz w:val="21"/>
        </w:rPr>
        <w:t>中国国际期货</w:t>
      </w:r>
    </w:p>
    <w:p>
      <w:pPr>
        <w:pStyle w:val="BodyText"/>
        <w:spacing w:before="140"/>
      </w:pPr>
      <w:r>
        <w:rPr/>
        <w:t>注册地址：北京市朝阳区建国门外光华路 14 号 1 幢 6 层 609 号、610 号</w:t>
      </w:r>
    </w:p>
    <w:p>
      <w:pPr>
        <w:pStyle w:val="BodyText"/>
        <w:spacing w:line="364" w:lineRule="auto" w:before="139"/>
        <w:ind w:right="1640"/>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40"/>
      </w:pPr>
      <w:r>
        <w:rPr/>
        <w:t>联系电话：010-65807827</w:t>
      </w:r>
    </w:p>
    <w:p>
      <w:pPr>
        <w:pStyle w:val="BodyText"/>
        <w:spacing w:line="364" w:lineRule="auto" w:before="139"/>
        <w:ind w:right="7310"/>
      </w:pPr>
      <w:r>
        <w:rPr/>
        <w:t>客户服务电话：95162 传真：010-59539806</w:t>
      </w:r>
    </w:p>
    <w:p>
      <w:pPr>
        <w:pStyle w:val="BodyText"/>
        <w:spacing w:line="268" w:lineRule="exact"/>
      </w:pPr>
      <w:hyperlink r:id="rId218">
        <w:r>
          <w:rPr/>
          <w:t>网址：http://www.cifco.net/</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中欧钱滚滚</w:t>
      </w:r>
    </w:p>
    <w:p>
      <w:pPr>
        <w:pStyle w:val="BodyText"/>
        <w:spacing w:line="364" w:lineRule="auto" w:before="139"/>
        <w:ind w:right="3215"/>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7625"/>
      </w:pPr>
      <w:r>
        <w:rPr/>
        <w:t>法定代表人：许欣联系人：黎静</w:t>
      </w:r>
    </w:p>
    <w:p>
      <w:pPr>
        <w:pStyle w:val="BodyText"/>
        <w:spacing w:line="268" w:lineRule="exact"/>
      </w:pPr>
      <w:r>
        <w:rPr/>
        <w:t>联系电话：021-68609600-5952</w:t>
      </w:r>
    </w:p>
    <w:p>
      <w:pPr>
        <w:pStyle w:val="BodyText"/>
        <w:spacing w:line="364" w:lineRule="auto" w:before="139"/>
        <w:ind w:right="4895"/>
      </w:pPr>
      <w:r>
        <w:rPr/>
        <w:t>客户服务电话：400-700-9700—中欧钱滚滚专线</w:t>
      </w:r>
      <w:hyperlink r:id="rId219">
        <w:r>
          <w:rPr/>
          <w:t>网址：www.qiangungun.com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中期时代基金</w:t>
      </w:r>
    </w:p>
    <w:p>
      <w:pPr>
        <w:pStyle w:val="BodyText"/>
        <w:spacing w:line="364" w:lineRule="auto" w:before="139"/>
        <w:ind w:right="3320"/>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7415"/>
      </w:pPr>
      <w:r>
        <w:rPr/>
        <w:t>法定代表人：田宏莉联系人：尹庆</w:t>
      </w:r>
    </w:p>
    <w:p>
      <w:pPr>
        <w:pStyle w:val="BodyText"/>
        <w:spacing w:line="268" w:lineRule="exact"/>
      </w:pPr>
      <w:r>
        <w:rPr/>
        <w:t>联系电话：010-65807865</w:t>
      </w:r>
    </w:p>
    <w:p>
      <w:pPr>
        <w:pStyle w:val="BodyText"/>
        <w:spacing w:line="364" w:lineRule="auto" w:before="138"/>
        <w:ind w:right="7310"/>
      </w:pPr>
      <w:r>
        <w:rPr/>
        <w:t>客户服务电话</w:t>
      </w:r>
      <w:r>
        <w:rPr>
          <w:spacing w:val="-4"/>
        </w:rPr>
        <w:t>：95162 </w:t>
      </w:r>
      <w:r>
        <w:rPr/>
        <w:t>传真：010-65807864</w:t>
      </w:r>
    </w:p>
    <w:p>
      <w:pPr>
        <w:pStyle w:val="BodyText"/>
        <w:spacing w:line="268" w:lineRule="exact"/>
      </w:pPr>
      <w:hyperlink r:id="rId220">
        <w:r>
          <w:rPr/>
          <w:t>网址：www.jrtoo.com</w:t>
        </w:r>
      </w:hyperlink>
    </w:p>
    <w:p>
      <w:pPr>
        <w:pStyle w:val="ListParagraph"/>
        <w:numPr>
          <w:ilvl w:val="0"/>
          <w:numId w:val="8"/>
        </w:numPr>
        <w:tabs>
          <w:tab w:pos="1270" w:val="left" w:leader="none"/>
        </w:tabs>
        <w:spacing w:line="240" w:lineRule="auto" w:before="140" w:after="0"/>
        <w:ind w:left="1270" w:right="0" w:hanging="630"/>
        <w:jc w:val="left"/>
        <w:rPr>
          <w:sz w:val="21"/>
        </w:rPr>
      </w:pPr>
      <w:r>
        <w:rPr>
          <w:sz w:val="21"/>
        </w:rPr>
        <w:t>中信建投期货</w:t>
      </w:r>
    </w:p>
    <w:p>
      <w:pPr>
        <w:pStyle w:val="BodyText"/>
        <w:spacing w:line="364" w:lineRule="auto" w:before="139"/>
        <w:ind w:left="220" w:right="1418" w:firstLine="420"/>
      </w:pPr>
      <w:r>
        <w:rPr/>
        <w:t>注册地址：重庆市渝中区中山三路 107 号上站大楼平街 11-B，名义层 11-A，8-B4， 9-B、C</w:t>
      </w:r>
    </w:p>
    <w:p>
      <w:pPr>
        <w:pStyle w:val="BodyText"/>
        <w:spacing w:line="364" w:lineRule="auto"/>
        <w:ind w:right="4160"/>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spacing w:after="0"/>
        <w:sectPr>
          <w:pgSz w:w="11910" w:h="16840"/>
          <w:pgMar w:header="0" w:footer="664" w:top="1380" w:bottom="940" w:left="1580" w:right="380"/>
        </w:sectPr>
      </w:pPr>
    </w:p>
    <w:p>
      <w:pPr>
        <w:pStyle w:val="BodyText"/>
        <w:spacing w:line="364" w:lineRule="auto" w:before="45"/>
        <w:ind w:right="6575"/>
      </w:pPr>
      <w:r>
        <w:rPr/>
        <w:t>客户服务电话：400-8877-780 传真：023-86769629</w:t>
      </w:r>
    </w:p>
    <w:p>
      <w:pPr>
        <w:pStyle w:val="BodyText"/>
        <w:spacing w:line="268" w:lineRule="exact"/>
      </w:pPr>
      <w:hyperlink r:id="rId221">
        <w:r>
          <w:rPr/>
          <w:t>网址：www.cfc108.com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中信期货</w:t>
      </w:r>
    </w:p>
    <w:p>
      <w:pPr>
        <w:pStyle w:val="BodyText"/>
        <w:spacing w:before="140"/>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1"/>
        </w:rPr>
        <w:t> 层 </w:t>
      </w:r>
      <w:r>
        <w:rPr/>
        <w:t>1301-1305</w:t>
      </w:r>
    </w:p>
    <w:p>
      <w:pPr>
        <w:pStyle w:val="BodyText"/>
        <w:spacing w:before="139"/>
        <w:ind w:left="220"/>
      </w:pPr>
      <w:r>
        <w:rPr/>
        <w:t>室、14 层</w:t>
      </w:r>
    </w:p>
    <w:p>
      <w:pPr>
        <w:pStyle w:val="BodyText"/>
        <w:spacing w:before="140"/>
      </w:pPr>
      <w:r>
        <w:rPr/>
        <w:t>办公地址：深圳市福田区中心三路 8 号卓越时代广场（二期）北座 13 层 1301-1305 室、</w:t>
      </w:r>
    </w:p>
    <w:p>
      <w:pPr>
        <w:pStyle w:val="BodyText"/>
        <w:spacing w:before="139"/>
        <w:ind w:left="220"/>
      </w:pPr>
      <w:r>
        <w:rPr/>
        <w:t>14 层</w:t>
      </w:r>
    </w:p>
    <w:p>
      <w:pPr>
        <w:pStyle w:val="BodyText"/>
        <w:spacing w:line="364" w:lineRule="auto" w:before="140"/>
        <w:ind w:right="7625"/>
      </w:pPr>
      <w:r>
        <w:rPr/>
        <w:t>法定代表人：张皓联系人：刘宏莹</w:t>
      </w:r>
    </w:p>
    <w:p>
      <w:pPr>
        <w:pStyle w:val="BodyText"/>
        <w:spacing w:line="268" w:lineRule="exact"/>
      </w:pPr>
      <w:r>
        <w:rPr/>
        <w:t>联系电话：010-6083 3754</w:t>
      </w:r>
    </w:p>
    <w:p>
      <w:pPr>
        <w:pStyle w:val="BodyText"/>
        <w:spacing w:line="364" w:lineRule="auto" w:before="139"/>
        <w:ind w:right="6575"/>
      </w:pPr>
      <w:r>
        <w:rPr/>
        <w:t>客户服务电话：400-990-8826 传真：021-60819988</w:t>
      </w:r>
    </w:p>
    <w:p>
      <w:pPr>
        <w:pStyle w:val="BodyText"/>
        <w:spacing w:line="268" w:lineRule="exact"/>
      </w:pPr>
      <w:hyperlink r:id="rId222">
        <w:r>
          <w:rPr/>
          <w:t>网址：www.citicsf.com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中正达广</w:t>
      </w:r>
    </w:p>
    <w:p>
      <w:pPr>
        <w:pStyle w:val="BodyText"/>
        <w:spacing w:line="364" w:lineRule="auto" w:before="140"/>
        <w:ind w:right="4790"/>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39"/>
      </w:pPr>
      <w:r>
        <w:rPr/>
        <w:t>联系电话：021-33768132</w:t>
      </w:r>
    </w:p>
    <w:p>
      <w:pPr>
        <w:pStyle w:val="BodyText"/>
        <w:spacing w:line="364" w:lineRule="auto" w:before="140"/>
        <w:ind w:right="6575"/>
      </w:pPr>
      <w:r>
        <w:rPr/>
        <w:t>客户服务电话</w:t>
      </w:r>
      <w:r>
        <w:rPr>
          <w:spacing w:val="-2"/>
        </w:rPr>
        <w:t>：400-6767-523 </w:t>
      </w:r>
      <w:r>
        <w:rPr/>
        <w:t>传真：021-33768132-802</w:t>
      </w:r>
    </w:p>
    <w:p>
      <w:pPr>
        <w:pStyle w:val="BodyText"/>
        <w:spacing w:line="268" w:lineRule="exact"/>
      </w:pPr>
      <w:hyperlink r:id="rId223">
        <w:r>
          <w:rPr/>
          <w:t>网址：www.zhongzhengfund.com</w:t>
        </w:r>
      </w:hyperlink>
    </w:p>
    <w:p>
      <w:pPr>
        <w:pStyle w:val="ListParagraph"/>
        <w:numPr>
          <w:ilvl w:val="0"/>
          <w:numId w:val="8"/>
        </w:numPr>
        <w:tabs>
          <w:tab w:pos="1270" w:val="left" w:leader="none"/>
        </w:tabs>
        <w:spacing w:line="240" w:lineRule="auto" w:before="139" w:after="0"/>
        <w:ind w:left="1270" w:right="0" w:hanging="630"/>
        <w:jc w:val="both"/>
        <w:rPr>
          <w:sz w:val="21"/>
        </w:rPr>
      </w:pPr>
      <w:r>
        <w:rPr>
          <w:sz w:val="21"/>
        </w:rPr>
        <w:t>中证金牛</w:t>
      </w:r>
    </w:p>
    <w:p>
      <w:pPr>
        <w:pStyle w:val="BodyText"/>
        <w:spacing w:before="140"/>
      </w:pPr>
      <w:r>
        <w:rPr/>
        <w:t>注册地址：北京市丰台区东管头 1 号 2 号楼 2-45 室</w:t>
      </w:r>
    </w:p>
    <w:p>
      <w:pPr>
        <w:pStyle w:val="BodyText"/>
        <w:spacing w:line="364" w:lineRule="auto" w:before="139"/>
        <w:ind w:right="3005"/>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40"/>
      </w:pPr>
      <w:r>
        <w:rPr/>
        <w:t>联系电话：010-59336544</w:t>
      </w:r>
    </w:p>
    <w:p>
      <w:pPr>
        <w:pStyle w:val="BodyText"/>
        <w:spacing w:line="364" w:lineRule="auto" w:before="139"/>
        <w:ind w:right="6575"/>
      </w:pPr>
      <w:r>
        <w:rPr/>
        <w:t>客户服务电话：4008-909-998 </w:t>
      </w:r>
      <w:hyperlink r:id="rId224">
        <w:r>
          <w:rPr/>
          <w:t>网址：www.jnlc.com</w:t>
        </w:r>
      </w:hyperlink>
    </w:p>
    <w:p>
      <w:pPr>
        <w:pStyle w:val="ListParagraph"/>
        <w:numPr>
          <w:ilvl w:val="0"/>
          <w:numId w:val="8"/>
        </w:numPr>
        <w:tabs>
          <w:tab w:pos="1270" w:val="left" w:leader="none"/>
        </w:tabs>
        <w:spacing w:line="268" w:lineRule="exact" w:before="0" w:after="0"/>
        <w:ind w:left="1270" w:right="0" w:hanging="630"/>
        <w:jc w:val="left"/>
        <w:rPr>
          <w:sz w:val="21"/>
        </w:rPr>
      </w:pPr>
      <w:r>
        <w:rPr>
          <w:sz w:val="21"/>
        </w:rPr>
        <w:t>众禄基金</w:t>
      </w:r>
    </w:p>
    <w:p>
      <w:pPr>
        <w:pStyle w:val="BodyText"/>
        <w:spacing w:line="364" w:lineRule="auto" w:before="139"/>
        <w:ind w:right="1640"/>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spacing w:after="0" w:line="364" w:lineRule="auto"/>
        <w:sectPr>
          <w:pgSz w:w="11910" w:h="16840"/>
          <w:pgMar w:header="0" w:footer="664" w:top="1380" w:bottom="940" w:left="1580" w:right="380"/>
        </w:sectPr>
      </w:pPr>
    </w:p>
    <w:p>
      <w:pPr>
        <w:pStyle w:val="BodyText"/>
        <w:spacing w:line="364" w:lineRule="auto" w:before="45"/>
        <w:ind w:right="7625"/>
      </w:pPr>
      <w:r>
        <w:rPr/>
        <w:t>法定代表人：薛峰联系人：龚江江</w:t>
      </w:r>
    </w:p>
    <w:p>
      <w:pPr>
        <w:pStyle w:val="BodyText"/>
        <w:spacing w:line="268" w:lineRule="exact"/>
      </w:pPr>
      <w:r>
        <w:rPr/>
        <w:t>联系电话：0755-33227950</w:t>
      </w:r>
    </w:p>
    <w:p>
      <w:pPr>
        <w:pStyle w:val="BodyText"/>
        <w:spacing w:line="364" w:lineRule="auto" w:before="139"/>
        <w:ind w:right="6575"/>
      </w:pPr>
      <w:r>
        <w:rPr/>
        <w:t>客户服务电话：4006-788-887 传真：0755-33227951</w:t>
      </w:r>
    </w:p>
    <w:p>
      <w:pPr>
        <w:pStyle w:val="BodyText"/>
        <w:tabs>
          <w:tab w:pos="3054" w:val="left" w:leader="none"/>
        </w:tabs>
        <w:spacing w:line="268" w:lineRule="exact"/>
      </w:pPr>
      <w:hyperlink r:id="rId225">
        <w:r>
          <w:rPr/>
          <w:t>网址：www.zlfund.cn</w:t>
        </w:r>
      </w:hyperlink>
      <w:r>
        <w:rPr/>
        <w:tab/>
      </w:r>
      <w:hyperlink r:id="rId226">
        <w:r>
          <w:rPr/>
          <w:t>www.jjmmw.com</w:t>
        </w:r>
      </w:hyperlink>
    </w:p>
    <w:p>
      <w:pPr>
        <w:pStyle w:val="Heading3"/>
        <w:spacing w:before="141"/>
      </w:pPr>
      <w:bookmarkStart w:name="_bookmark11" w:id="12"/>
      <w:bookmarkEnd w:id="12"/>
      <w:r>
        <w:rPr/>
      </w:r>
      <w:r>
        <w:rPr/>
        <w:t>(二)基金注册登记机构</w:t>
      </w:r>
    </w:p>
    <w:p>
      <w:pPr>
        <w:pStyle w:val="BodyText"/>
        <w:spacing w:before="185"/>
      </w:pPr>
      <w:r>
        <w:rPr/>
        <w:t>名称：易方达基金管理有限公司</w:t>
      </w:r>
    </w:p>
    <w:p>
      <w:pPr>
        <w:pStyle w:val="BodyText"/>
        <w:spacing w:line="364" w:lineRule="auto" w:before="139"/>
        <w:ind w:right="23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7415"/>
      </w:pPr>
      <w:r>
        <w:rPr/>
        <w:t>法定代表人：刘晓艳电 话 ：4008818088 传真：020-38799249</w:t>
      </w:r>
    </w:p>
    <w:p>
      <w:pPr>
        <w:pStyle w:val="BodyText"/>
        <w:spacing w:line="268" w:lineRule="exact"/>
      </w:pPr>
      <w:r>
        <w:rPr/>
        <w:t>联系人：余贤高</w:t>
      </w:r>
    </w:p>
    <w:p>
      <w:pPr>
        <w:pStyle w:val="Heading3"/>
        <w:spacing w:before="140"/>
      </w:pPr>
      <w:bookmarkStart w:name="_bookmark12" w:id="13"/>
      <w:bookmarkEnd w:id="13"/>
      <w:r>
        <w:rPr/>
      </w:r>
      <w:r>
        <w:rPr/>
        <w:t>(三)律师事务所和经办律师</w:t>
      </w:r>
    </w:p>
    <w:p>
      <w:pPr>
        <w:pStyle w:val="BodyText"/>
        <w:spacing w:before="185"/>
      </w:pPr>
      <w:r>
        <w:rPr/>
        <w:t>律师事务所：上海市通力律师事务所</w:t>
      </w:r>
    </w:p>
    <w:p>
      <w:pPr>
        <w:pStyle w:val="BodyText"/>
        <w:spacing w:line="364" w:lineRule="auto" w:before="139"/>
        <w:ind w:right="4055"/>
      </w:pPr>
      <w:r>
        <w:rPr>
          <w:spacing w:val="-4"/>
        </w:rPr>
        <w:t>地址：上海市浦东新区银城中路 </w:t>
      </w:r>
      <w:r>
        <w:rPr/>
        <w:t>68</w:t>
      </w:r>
      <w:r>
        <w:rPr>
          <w:spacing w:val="-13"/>
        </w:rPr>
        <w:t> 号时代金融中心 </w:t>
      </w:r>
      <w:r>
        <w:rPr/>
        <w:t>19</w:t>
      </w:r>
      <w:r>
        <w:rPr>
          <w:spacing w:val="-35"/>
        </w:rPr>
        <w:t> 楼</w:t>
      </w:r>
      <w:r>
        <w:rPr/>
        <w:t>负责人：韩炯</w:t>
      </w:r>
    </w:p>
    <w:p>
      <w:pPr>
        <w:pStyle w:val="BodyText"/>
        <w:spacing w:line="364" w:lineRule="auto"/>
        <w:ind w:right="7310"/>
      </w:pPr>
      <w:r>
        <w:rPr/>
        <w:t>电话：(021)31358666 传真：(021)31358600</w:t>
      </w:r>
    </w:p>
    <w:p>
      <w:pPr>
        <w:pStyle w:val="BodyText"/>
        <w:spacing w:line="364" w:lineRule="auto"/>
        <w:ind w:right="7205"/>
      </w:pPr>
      <w:r>
        <w:rPr/>
        <w:t>经办律师：吕红、安冬联系人：安冬</w:t>
      </w:r>
    </w:p>
    <w:p>
      <w:pPr>
        <w:pStyle w:val="Heading3"/>
      </w:pPr>
      <w:bookmarkStart w:name="_bookmark13" w:id="14"/>
      <w:bookmarkEnd w:id="14"/>
      <w:r>
        <w:rPr/>
      </w:r>
      <w:r>
        <w:rPr/>
        <w:t>(四)会计师事务所和经办注册会计师</w:t>
      </w:r>
    </w:p>
    <w:p>
      <w:pPr>
        <w:pStyle w:val="BodyText"/>
        <w:spacing w:line="364" w:lineRule="auto" w:before="183"/>
        <w:ind w:right="3635"/>
      </w:pPr>
      <w:r>
        <w:rPr/>
        <w:t>会计师事务所：普华永道中天会计师事务所（特殊普通合伙） 住所：上海市湖滨路 202 号普华永道中心 11 楼</w:t>
      </w:r>
    </w:p>
    <w:p>
      <w:pPr>
        <w:pStyle w:val="BodyText"/>
        <w:spacing w:line="364" w:lineRule="auto"/>
        <w:ind w:right="4580"/>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right="7100"/>
      </w:pPr>
      <w:r>
        <w:rPr/>
        <w:t>电话：（021）23238888 传真：（021）23238800</w:t>
      </w:r>
    </w:p>
    <w:p>
      <w:pPr>
        <w:pStyle w:val="BodyText"/>
        <w:spacing w:line="364" w:lineRule="auto"/>
        <w:ind w:right="6575"/>
      </w:pPr>
      <w:r>
        <w:rPr/>
        <w:t>经办注册会计师：陈熹、周祎联系人：周祎</w:t>
      </w:r>
    </w:p>
    <w:p>
      <w:pPr>
        <w:spacing w:after="0" w:line="364" w:lineRule="auto"/>
        <w:sectPr>
          <w:pgSz w:w="11910" w:h="16840"/>
          <w:pgMar w:header="0" w:footer="664" w:top="1380" w:bottom="940" w:left="1580" w:right="380"/>
        </w:sectPr>
      </w:pPr>
    </w:p>
    <w:p>
      <w:pPr>
        <w:pStyle w:val="Heading1"/>
      </w:pPr>
      <w:bookmarkStart w:name="_bookmark14" w:id="15"/>
      <w:bookmarkEnd w:id="15"/>
      <w:r>
        <w:rPr/>
      </w:r>
      <w:r>
        <w:rPr/>
        <w:t>六、基金的募集</w:t>
      </w:r>
    </w:p>
    <w:p>
      <w:pPr>
        <w:pStyle w:val="BodyText"/>
        <w:spacing w:line="364" w:lineRule="auto" w:before="210"/>
        <w:ind w:left="220" w:right="1208" w:firstLine="420"/>
      </w:pPr>
      <w:r>
        <w:rPr>
          <w:spacing w:val="-24"/>
        </w:rPr>
        <w:t>本基金由基金管理人依照《基金法》、《运作办法》、《销售办法》、基金合同的相关规定、</w:t>
      </w:r>
      <w:r>
        <w:rPr>
          <w:spacing w:val="-26"/>
        </w:rPr>
        <w:t>并经中国证券监督管理委员会 </w:t>
      </w:r>
      <w:r>
        <w:rPr/>
        <w:t>2011</w:t>
      </w:r>
      <w:r>
        <w:rPr>
          <w:spacing w:val="-35"/>
        </w:rPr>
        <w:t> 年 </w:t>
      </w:r>
      <w:r>
        <w:rPr/>
        <w:t>9</w:t>
      </w:r>
      <w:r>
        <w:rPr>
          <w:spacing w:val="-35"/>
        </w:rPr>
        <w:t> 月 </w:t>
      </w:r>
      <w:r>
        <w:rPr/>
        <w:t>23</w:t>
      </w:r>
      <w:r>
        <w:rPr>
          <w:spacing w:val="-13"/>
        </w:rPr>
        <w:t> 日《关于核准易方达双债增强债券型证券投资基</w:t>
      </w:r>
      <w:r>
        <w:rPr>
          <w:spacing w:val="-27"/>
        </w:rPr>
        <w:t>金募集的批复》</w:t>
      </w:r>
      <w:r>
        <w:rPr/>
        <w:t>（证监许可[2011]1539</w:t>
      </w:r>
      <w:r>
        <w:rPr>
          <w:spacing w:val="-27"/>
        </w:rPr>
        <w:t> 号</w:t>
      </w:r>
      <w:r>
        <w:rPr/>
        <w:t>）核准募集。</w:t>
      </w:r>
    </w:p>
    <w:p>
      <w:pPr>
        <w:pStyle w:val="BodyText"/>
        <w:spacing w:line="364" w:lineRule="auto"/>
        <w:ind w:right="3635"/>
      </w:pPr>
      <w:r>
        <w:rPr/>
        <w:t>本基金为契约型开放式债券基金。基金的存续期间为不定期。本基金募集期间每份基金份额的初始面值为人民币 1.00 元。</w:t>
      </w:r>
    </w:p>
    <w:p>
      <w:pPr>
        <w:pStyle w:val="BodyText"/>
        <w:spacing w:line="364" w:lineRule="auto"/>
        <w:ind w:left="220" w:right="1418" w:firstLine="420"/>
        <w:jc w:val="both"/>
      </w:pPr>
      <w:r>
        <w:rPr>
          <w:spacing w:val="-7"/>
        </w:rPr>
        <w:t>本基金募集期自 </w:t>
      </w:r>
      <w:r>
        <w:rPr/>
        <w:t>2011</w:t>
      </w:r>
      <w:r>
        <w:rPr>
          <w:spacing w:val="-36"/>
        </w:rPr>
        <w:t> 年 </w:t>
      </w:r>
      <w:r>
        <w:rPr/>
        <w:t>11</w:t>
      </w:r>
      <w:r>
        <w:rPr>
          <w:spacing w:val="-36"/>
        </w:rPr>
        <w:t> 月 </w:t>
      </w:r>
      <w:r>
        <w:rPr/>
        <w:t>7</w:t>
      </w:r>
      <w:r>
        <w:rPr>
          <w:spacing w:val="-27"/>
        </w:rPr>
        <w:t> 日至 </w:t>
      </w:r>
      <w:r>
        <w:rPr/>
        <w:t>2011</w:t>
      </w:r>
      <w:r>
        <w:rPr>
          <w:spacing w:val="-36"/>
        </w:rPr>
        <w:t> 年 </w:t>
      </w:r>
      <w:r>
        <w:rPr/>
        <w:t>11</w:t>
      </w:r>
      <w:r>
        <w:rPr>
          <w:spacing w:val="-36"/>
        </w:rPr>
        <w:t> 月 </w:t>
      </w:r>
      <w:r>
        <w:rPr/>
        <w:t>29</w:t>
      </w:r>
      <w:r>
        <w:rPr>
          <w:spacing w:val="-8"/>
        </w:rPr>
        <w:t> 日。募集对象为符合法律法规规</w:t>
      </w:r>
      <w:r>
        <w:rPr>
          <w:spacing w:val="-14"/>
        </w:rPr>
        <w:t>定的个人投资者、机构投资者、合格境外机构投资者和法律法规或中国证监会允许购买证券</w:t>
      </w:r>
      <w:r>
        <w:rPr/>
        <w:t>投资基金的其他投资者。</w:t>
      </w:r>
    </w:p>
    <w:p>
      <w:pPr>
        <w:spacing w:after="0" w:line="364" w:lineRule="auto"/>
        <w:jc w:val="both"/>
        <w:sectPr>
          <w:pgSz w:w="11910" w:h="16840"/>
          <w:pgMar w:header="0" w:footer="664" w:top="1400" w:bottom="940" w:left="1580" w:right="380"/>
        </w:sectPr>
      </w:pPr>
    </w:p>
    <w:p>
      <w:pPr>
        <w:pStyle w:val="Heading1"/>
      </w:pPr>
      <w:bookmarkStart w:name="_bookmark15" w:id="16"/>
      <w:bookmarkEnd w:id="16"/>
      <w:r>
        <w:rPr/>
      </w:r>
      <w:r>
        <w:rPr/>
        <w:t>七、基金合同的生效</w:t>
      </w:r>
    </w:p>
    <w:p>
      <w:pPr>
        <w:pStyle w:val="BodyText"/>
        <w:spacing w:before="10"/>
        <w:ind w:left="0"/>
        <w:rPr>
          <w:sz w:val="11"/>
        </w:rPr>
      </w:pPr>
    </w:p>
    <w:p>
      <w:pPr>
        <w:pStyle w:val="Heading3"/>
        <w:spacing w:before="61"/>
      </w:pPr>
      <w:bookmarkStart w:name="_bookmark16" w:id="17"/>
      <w:bookmarkEnd w:id="17"/>
      <w:r>
        <w:rPr/>
      </w:r>
      <w:r>
        <w:rPr/>
        <w:t>（一）基金合同的生效</w:t>
      </w:r>
    </w:p>
    <w:p>
      <w:pPr>
        <w:pStyle w:val="BodyText"/>
        <w:spacing w:line="364" w:lineRule="auto" w:before="184"/>
        <w:ind w:left="220" w:right="1418" w:firstLine="420"/>
        <w:jc w:val="both"/>
      </w:pPr>
      <w:r>
        <w:rPr>
          <w:spacing w:val="-6"/>
        </w:rPr>
        <w:t>本基金基金合同于 </w:t>
      </w:r>
      <w:r>
        <w:rPr/>
        <w:t>2011</w:t>
      </w:r>
      <w:r>
        <w:rPr>
          <w:spacing w:val="-36"/>
        </w:rPr>
        <w:t> 年 </w:t>
      </w:r>
      <w:r>
        <w:rPr/>
        <w:t>12</w:t>
      </w:r>
      <w:r>
        <w:rPr>
          <w:spacing w:val="-36"/>
        </w:rPr>
        <w:t> 月 </w:t>
      </w:r>
      <w:r>
        <w:rPr/>
        <w:t>1</w:t>
      </w:r>
      <w:r>
        <w:rPr>
          <w:spacing w:val="-14"/>
        </w:rPr>
        <w:t> 日正式生效。自基金合同生效日起，本基金管理人正</w:t>
      </w:r>
      <w:r>
        <w:rPr/>
        <w:t>式开始管理本基金。</w:t>
      </w:r>
    </w:p>
    <w:p>
      <w:pPr>
        <w:pStyle w:val="Heading3"/>
        <w:spacing w:before="1"/>
      </w:pPr>
      <w:bookmarkStart w:name="_bookmark17" w:id="18"/>
      <w:bookmarkEnd w:id="18"/>
      <w:r>
        <w:rPr/>
      </w:r>
      <w:r>
        <w:rPr/>
        <w:t>（二）基金存续期内的基金份额持有人数量和资金额</w:t>
      </w:r>
    </w:p>
    <w:p>
      <w:pPr>
        <w:pStyle w:val="BodyText"/>
        <w:spacing w:line="364" w:lineRule="auto" w:before="184"/>
        <w:ind w:left="220" w:right="1418" w:firstLine="420"/>
        <w:jc w:val="both"/>
      </w:pPr>
      <w:r>
        <w:rPr>
          <w:spacing w:val="-2"/>
        </w:rPr>
        <w:t>基金合同生效后的存续期内，基金份额持有人数量不满 </w:t>
      </w:r>
      <w:r>
        <w:rPr/>
        <w:t>200</w:t>
      </w:r>
      <w:r>
        <w:rPr>
          <w:spacing w:val="-7"/>
        </w:rPr>
        <w:t> 人或者基金资产净值低于5000</w:t>
      </w:r>
      <w:r>
        <w:rPr>
          <w:spacing w:val="-12"/>
        </w:rPr>
        <w:t> 万元，基金管理人应当及时报告中国证监会；基金份额持有人数量连续 </w:t>
      </w:r>
      <w:r>
        <w:rPr/>
        <w:t>20</w:t>
      </w:r>
      <w:r>
        <w:rPr>
          <w:spacing w:val="-13"/>
        </w:rPr>
        <w:t> 个工作日达</w:t>
      </w:r>
      <w:r>
        <w:rPr>
          <w:spacing w:val="-18"/>
        </w:rPr>
        <w:t>不到 </w:t>
      </w:r>
      <w:r>
        <w:rPr/>
        <w:t>200</w:t>
      </w:r>
      <w:r>
        <w:rPr>
          <w:spacing w:val="-23"/>
        </w:rPr>
        <w:t> 人，或连续 </w:t>
      </w:r>
      <w:r>
        <w:rPr/>
        <w:t>20</w:t>
      </w:r>
      <w:r>
        <w:rPr>
          <w:spacing w:val="-12"/>
        </w:rPr>
        <w:t> 个工作日基金资产净值低于 </w:t>
      </w:r>
      <w:r>
        <w:rPr/>
        <w:t>5000</w:t>
      </w:r>
      <w:r>
        <w:rPr>
          <w:spacing w:val="-12"/>
        </w:rPr>
        <w:t> 万元，基金管理人应当向中国证监</w:t>
      </w:r>
      <w:r>
        <w:rPr/>
        <w:t>会说明出现上述情况的原因并提出解决方案。</w:t>
      </w:r>
    </w:p>
    <w:p>
      <w:pPr>
        <w:pStyle w:val="BodyText"/>
        <w:spacing w:line="267" w:lineRule="exact"/>
      </w:pPr>
      <w:r>
        <w:rPr/>
        <w:t>法律法规另有规定时，从其规定。</w:t>
      </w:r>
    </w:p>
    <w:p>
      <w:pPr>
        <w:spacing w:after="0" w:line="267" w:lineRule="exact"/>
        <w:sectPr>
          <w:pgSz w:w="11910" w:h="16840"/>
          <w:pgMar w:header="0" w:footer="664" w:top="1400" w:bottom="940" w:left="1580" w:right="380"/>
        </w:sectPr>
      </w:pPr>
    </w:p>
    <w:p>
      <w:pPr>
        <w:pStyle w:val="Heading1"/>
      </w:pPr>
      <w:bookmarkStart w:name="_bookmark18" w:id="19"/>
      <w:bookmarkEnd w:id="19"/>
      <w:r>
        <w:rPr/>
      </w:r>
      <w:r>
        <w:rPr/>
        <w:t>八、基金份额的申购、赎回</w:t>
      </w:r>
    </w:p>
    <w:p>
      <w:pPr>
        <w:pStyle w:val="BodyText"/>
        <w:spacing w:before="10"/>
        <w:ind w:left="0"/>
        <w:rPr>
          <w:sz w:val="11"/>
        </w:rPr>
      </w:pPr>
    </w:p>
    <w:p>
      <w:pPr>
        <w:pStyle w:val="Heading3"/>
        <w:spacing w:before="61"/>
      </w:pPr>
      <w:bookmarkStart w:name="_bookmark19" w:id="20"/>
      <w:bookmarkEnd w:id="20"/>
      <w:r>
        <w:rPr/>
      </w:r>
      <w:r>
        <w:rPr/>
        <w:t>(一)基金投资者范围</w:t>
      </w:r>
    </w:p>
    <w:p>
      <w:pPr>
        <w:pStyle w:val="BodyText"/>
        <w:spacing w:line="364" w:lineRule="auto" w:before="184"/>
        <w:ind w:left="220" w:right="1418" w:firstLine="424"/>
      </w:pPr>
      <w:r>
        <w:rPr>
          <w:spacing w:val="-7"/>
        </w:rPr>
        <w:t>符合法律法规规定的个人投资者、机构投资者及合格境外机构投资者，以及法律法规或</w:t>
      </w:r>
      <w:r>
        <w:rPr/>
        <w:t>中国证监会允许购买证券投资基金的其他投资者。</w:t>
      </w:r>
    </w:p>
    <w:p>
      <w:pPr>
        <w:pStyle w:val="Heading3"/>
        <w:spacing w:before="1"/>
      </w:pPr>
      <w:bookmarkStart w:name="_bookmark20" w:id="21"/>
      <w:bookmarkEnd w:id="21"/>
      <w:r>
        <w:rPr/>
      </w:r>
      <w:r>
        <w:rPr/>
        <w:t>(二)申购与赎回的场所</w:t>
      </w:r>
    </w:p>
    <w:p>
      <w:pPr>
        <w:pStyle w:val="BodyText"/>
        <w:spacing w:before="184"/>
        <w:ind w:left="644"/>
      </w:pPr>
      <w:r>
        <w:rPr/>
        <w:t>1、基金管理人的直销中心及网上交易系统；</w:t>
      </w:r>
    </w:p>
    <w:p>
      <w:pPr>
        <w:pStyle w:val="BodyText"/>
        <w:spacing w:before="140"/>
        <w:ind w:left="644"/>
      </w:pPr>
      <w:r>
        <w:rPr/>
        <w:t>2、各非直销销售机构开办开放式基金业务的营业网点。</w:t>
      </w:r>
    </w:p>
    <w:p>
      <w:pPr>
        <w:pStyle w:val="BodyText"/>
        <w:spacing w:before="139"/>
        <w:ind w:left="644"/>
      </w:pPr>
      <w:r>
        <w:rPr/>
        <w:t>基金管理人可根据情况变更基金的销售机构，并在基金管理人网站公示。</w:t>
      </w:r>
    </w:p>
    <w:p>
      <w:pPr>
        <w:pStyle w:val="BodyText"/>
        <w:spacing w:line="364" w:lineRule="auto" w:before="140"/>
        <w:ind w:left="220" w:right="1418" w:firstLine="424"/>
      </w:pPr>
      <w:r>
        <w:rPr/>
        <w:t>投资者还可通过基金管理人或者指定的基金销售机构以电话或互联网等其他电子交易方式进行申购、赎回，具体以各销售机构的规定为准。</w:t>
      </w:r>
    </w:p>
    <w:p>
      <w:pPr>
        <w:pStyle w:val="Heading3"/>
      </w:pPr>
      <w:bookmarkStart w:name="_bookmark21" w:id="22"/>
      <w:bookmarkEnd w:id="22"/>
      <w:r>
        <w:rPr/>
      </w:r>
      <w:r>
        <w:rPr/>
        <w:t>(三)申购与赎回办理的开放日及时间</w:t>
      </w:r>
    </w:p>
    <w:p>
      <w:pPr>
        <w:pStyle w:val="BodyText"/>
        <w:spacing w:before="185"/>
        <w:jc w:val="both"/>
      </w:pPr>
      <w:r>
        <w:rPr/>
        <w:t>本基金已于 2012 年 1 月 13 日开始办理日常申购、赎回业务。</w:t>
      </w:r>
    </w:p>
    <w:p>
      <w:pPr>
        <w:pStyle w:val="BodyText"/>
        <w:spacing w:line="364" w:lineRule="auto" w:before="139"/>
        <w:ind w:left="220" w:right="1325" w:firstLine="420"/>
        <w:jc w:val="both"/>
      </w:pPr>
      <w:r>
        <w:rPr>
          <w:spacing w:val="-5"/>
        </w:rPr>
        <w:t>投资人在开放日办理基金份额的申购和赎回，具体业务办理时间为上海证券交易所、深</w:t>
      </w:r>
      <w:r>
        <w:rPr>
          <w:spacing w:val="-10"/>
        </w:rPr>
        <w:t>圳证券交易所的正常交易日的交易时间，但基金管理人根据法律法规、中国证监会的要求或</w:t>
      </w:r>
      <w:r>
        <w:rPr>
          <w:spacing w:val="-11"/>
        </w:rPr>
        <w:t>本基金合同的规定公告暂停申购、赎回时除外。投资者应当在开放日办理申购和赎回申请。</w:t>
      </w:r>
    </w:p>
    <w:p>
      <w:pPr>
        <w:pStyle w:val="BodyText"/>
        <w:spacing w:line="364" w:lineRule="auto"/>
        <w:ind w:left="220" w:right="1417" w:firstLine="420"/>
        <w:jc w:val="both"/>
      </w:pPr>
      <w:r>
        <w:rPr>
          <w:spacing w:val="-7"/>
        </w:rPr>
        <w:t>若出现新的证券交易市场、证券交易所交易时间变更或其他特殊情况，基金管理人可视</w:t>
      </w:r>
      <w:r>
        <w:rPr>
          <w:spacing w:val="-5"/>
        </w:rPr>
        <w:t>情况对前述开放日及开放时间进行相应的调整，但应在实施日前依照《信息披露办法》的有</w:t>
      </w:r>
      <w:r>
        <w:rPr/>
        <w:t>关规定在指定媒介上公告。</w:t>
      </w:r>
    </w:p>
    <w:p>
      <w:pPr>
        <w:pStyle w:val="BodyText"/>
        <w:spacing w:line="364" w:lineRule="auto"/>
        <w:ind w:left="220" w:right="1418" w:firstLine="420"/>
        <w:jc w:val="both"/>
      </w:pPr>
      <w:r>
        <w:rPr>
          <w:spacing w:val="-5"/>
        </w:rPr>
        <w:t>基金管理人不得在基金合同约定之外的日期或者时间办理基金份额的申购、赎回。投资</w:t>
      </w:r>
      <w:r>
        <w:rPr>
          <w:spacing w:val="-6"/>
        </w:rPr>
        <w:t>人在基金合同约定之外的日期和时间提出申购、赎回申请且基金管理人或注册登记机构确认</w:t>
      </w:r>
      <w:r>
        <w:rPr/>
        <w:t>接收的，其基金份额申购、赎回价格为下一开放日基金份额申购、赎回的价格。</w:t>
      </w:r>
    </w:p>
    <w:p>
      <w:pPr>
        <w:pStyle w:val="Heading3"/>
        <w:spacing w:line="358" w:lineRule="exact"/>
      </w:pPr>
      <w:bookmarkStart w:name="_bookmark22" w:id="23"/>
      <w:bookmarkEnd w:id="23"/>
      <w:r>
        <w:rPr/>
      </w:r>
      <w:r>
        <w:rPr/>
        <w:t>(四)申购与赎回的原则</w:t>
      </w:r>
    </w:p>
    <w:p>
      <w:pPr>
        <w:pStyle w:val="BodyText"/>
        <w:spacing w:line="364" w:lineRule="auto" w:before="182"/>
        <w:ind w:left="220" w:right="1417" w:firstLine="420"/>
      </w:pPr>
      <w:r>
        <w:rPr/>
        <w:t>1</w:t>
      </w:r>
      <w:r>
        <w:rPr>
          <w:spacing w:val="-16"/>
        </w:rPr>
        <w:t>、“未知价”原则，即申购、赎回价格以申请当日收市后计算的基金份额净值为基准进</w:t>
      </w:r>
      <w:r>
        <w:rPr/>
        <w:t>行计算；</w:t>
      </w:r>
    </w:p>
    <w:p>
      <w:pPr>
        <w:pStyle w:val="BodyText"/>
        <w:spacing w:line="268" w:lineRule="exact"/>
      </w:pPr>
      <w:r>
        <w:rPr/>
        <w:t>2、“金额申购、份额赎回”原则，即申购以金额申请，赎回以份额申请；</w:t>
      </w:r>
    </w:p>
    <w:p>
      <w:pPr>
        <w:pStyle w:val="BodyText"/>
        <w:spacing w:line="364" w:lineRule="auto" w:before="140"/>
        <w:ind w:left="220" w:right="1418" w:firstLine="420"/>
        <w:jc w:val="both"/>
      </w:pPr>
      <w:r>
        <w:rPr/>
        <w:t>3、基金份额持有人赎回时，除指定赎回外，基金管理人按先进先出的原则，对该持有</w:t>
      </w:r>
      <w:r>
        <w:rPr>
          <w:spacing w:val="-6"/>
        </w:rPr>
        <w:t>人账户在该销售机构托管的基金份额进行处理，即先确认的份额先赎回，后确认的份额后赎</w:t>
      </w:r>
      <w:r>
        <w:rPr/>
        <w:t>回，以确定所适用的赎回费率；</w:t>
      </w:r>
    </w:p>
    <w:p>
      <w:pPr>
        <w:pStyle w:val="BodyText"/>
        <w:spacing w:line="268" w:lineRule="exact"/>
      </w:pPr>
      <w:r>
        <w:rPr/>
        <w:t>4、当日的申购与赎回申请可以在基金管理人规定的时间以内撤销。</w:t>
      </w:r>
    </w:p>
    <w:p>
      <w:pPr>
        <w:pStyle w:val="BodyText"/>
        <w:spacing w:line="364" w:lineRule="auto" w:before="139"/>
        <w:ind w:left="220" w:right="1418" w:firstLine="420"/>
      </w:pPr>
      <w:r>
        <w:rPr>
          <w:spacing w:val="-5"/>
        </w:rPr>
        <w:t>基金管理人可根据基金运作的实际情况依法对上述原则进行调整。基金管理人必须在新</w:t>
      </w:r>
      <w:r>
        <w:rPr/>
        <w:t>原则开始实施前依照《信息披露办法》的有关规定在指定媒介上公告。</w:t>
      </w:r>
    </w:p>
    <w:p>
      <w:pPr>
        <w:spacing w:after="0" w:line="364" w:lineRule="auto"/>
        <w:sectPr>
          <w:pgSz w:w="11910" w:h="16840"/>
          <w:pgMar w:header="0" w:footer="664" w:top="1400" w:bottom="940" w:left="1580" w:right="380"/>
        </w:sectPr>
      </w:pPr>
    </w:p>
    <w:p>
      <w:pPr>
        <w:pStyle w:val="Heading3"/>
        <w:spacing w:before="46"/>
      </w:pPr>
      <w:bookmarkStart w:name="_bookmark23" w:id="24"/>
      <w:bookmarkEnd w:id="24"/>
      <w:r>
        <w:rPr/>
      </w:r>
      <w:r>
        <w:rPr/>
        <w:t>(五)申购与赎回的程序</w:t>
      </w:r>
    </w:p>
    <w:p>
      <w:pPr>
        <w:pStyle w:val="BodyText"/>
        <w:spacing w:before="185"/>
      </w:pPr>
      <w:r>
        <w:rPr/>
        <w:t>1、申购和赎回的申请方式</w:t>
      </w:r>
    </w:p>
    <w:p>
      <w:pPr>
        <w:pStyle w:val="BodyText"/>
        <w:spacing w:line="364" w:lineRule="auto" w:before="139"/>
        <w:ind w:left="220" w:right="1418" w:firstLine="420"/>
      </w:pPr>
      <w:r>
        <w:rPr>
          <w:spacing w:val="-7"/>
        </w:rPr>
        <w:t>投资人必须根据销售机构规定的程序，在开放日的具体业务办理时间内提出申购或赎回</w:t>
      </w:r>
      <w:r>
        <w:rPr/>
        <w:t>的申请。</w:t>
      </w:r>
    </w:p>
    <w:p>
      <w:pPr>
        <w:pStyle w:val="BodyText"/>
        <w:spacing w:line="364" w:lineRule="auto"/>
        <w:ind w:left="220" w:right="1418" w:firstLine="420"/>
      </w:pPr>
      <w:r>
        <w:rPr>
          <w:spacing w:val="-5"/>
        </w:rPr>
        <w:t>投资人在提交申购申请时须按销售机构规定的方式备足申购资金，基金份额持有人在提</w:t>
      </w:r>
      <w:r>
        <w:rPr/>
        <w:t>交赎回申请时须持有足够的基金份额余额，否则所提交的申购、赎回申请无效。</w:t>
      </w:r>
    </w:p>
    <w:p>
      <w:pPr>
        <w:pStyle w:val="BodyText"/>
        <w:spacing w:line="268" w:lineRule="exact"/>
      </w:pPr>
      <w:r>
        <w:rPr/>
        <w:t>2、申购和赎回申请的确认</w:t>
      </w:r>
    </w:p>
    <w:p>
      <w:pPr>
        <w:pStyle w:val="BodyText"/>
        <w:spacing w:line="364" w:lineRule="auto" w:before="139"/>
        <w:ind w:left="220" w:right="1418" w:firstLine="420"/>
        <w:jc w:val="both"/>
      </w:pPr>
      <w:r>
        <w:rPr/>
        <w:t>基金管理人应以交易时间结束前受理申购和赎回申请的当天作为申购或赎回申请日(T </w:t>
      </w:r>
      <w:r>
        <w:rPr>
          <w:spacing w:val="-3"/>
        </w:rPr>
        <w:t>日)，在正常情况下，本基金注册登记机构在 </w:t>
      </w:r>
      <w:r>
        <w:rPr/>
        <w:t>T+1</w:t>
      </w:r>
      <w:r>
        <w:rPr>
          <w:spacing w:val="-8"/>
        </w:rPr>
        <w:t> 日内(包括该日)对该交易的有效性进行确</w:t>
      </w:r>
      <w:r>
        <w:rPr>
          <w:spacing w:val="-15"/>
        </w:rPr>
        <w:t>认。</w:t>
      </w:r>
      <w:r>
        <w:rPr/>
        <w:t>T</w:t>
      </w:r>
      <w:r>
        <w:rPr>
          <w:spacing w:val="-13"/>
        </w:rPr>
        <w:t> 日提交的有效申请，投资人可在 </w:t>
      </w:r>
      <w:r>
        <w:rPr/>
        <w:t>T+2</w:t>
      </w:r>
      <w:r>
        <w:rPr>
          <w:spacing w:val="-9"/>
        </w:rPr>
        <w:t> 日后(包括该日)到销售网点柜台或以销售机构规</w:t>
      </w:r>
      <w:r>
        <w:rPr>
          <w:spacing w:val="-6"/>
        </w:rPr>
        <w:t>定的其他方式及时查询申请的确认情况。基金销售机构对申购、赎回申请的受理并不代表申</w:t>
      </w:r>
      <w:r>
        <w:rPr>
          <w:spacing w:val="-8"/>
        </w:rPr>
        <w:t>请一定成功，而仅代表销售机构确实接收到申购、赎回申请。申购、赎回申请的确认以注册</w:t>
      </w:r>
      <w:r>
        <w:rPr/>
        <w:t>登记机构或基金管理人的确认结果为准。</w:t>
      </w:r>
    </w:p>
    <w:p>
      <w:pPr>
        <w:pStyle w:val="BodyText"/>
        <w:spacing w:line="364" w:lineRule="auto"/>
        <w:ind w:left="220" w:right="1418" w:firstLine="420"/>
      </w:pPr>
      <w:r>
        <w:rPr>
          <w:spacing w:val="-4"/>
        </w:rPr>
        <w:t>在法律法规允许的范围内，注册登记机构可根据《业务规则》，对上述业务办理时间进行调整，本基金管理人将于开始实施前按照有关规定予以公告。</w:t>
      </w:r>
    </w:p>
    <w:p>
      <w:pPr>
        <w:pStyle w:val="BodyText"/>
        <w:spacing w:line="268" w:lineRule="exact"/>
      </w:pPr>
      <w:r>
        <w:rPr/>
        <w:t>3、申购和赎回的款项支付</w:t>
      </w:r>
    </w:p>
    <w:p>
      <w:pPr>
        <w:pStyle w:val="BodyText"/>
        <w:spacing w:line="364" w:lineRule="auto" w:before="136"/>
        <w:ind w:left="220" w:right="1418" w:firstLine="420"/>
      </w:pPr>
      <w:r>
        <w:rPr>
          <w:spacing w:val="-8"/>
        </w:rPr>
        <w:t>申购采用全额缴款方式，若申购资金在规定时间内未全额到账则申购不成功。若申购不</w:t>
      </w:r>
      <w:r>
        <w:rPr/>
        <w:t>成功或无效，销售机构将投资人已缴付的申购款项本金退还给投资人。</w:t>
      </w:r>
    </w:p>
    <w:p>
      <w:pPr>
        <w:pStyle w:val="BodyText"/>
        <w:spacing w:line="364" w:lineRule="auto"/>
        <w:ind w:left="220" w:right="1418" w:firstLine="420"/>
      </w:pPr>
      <w:r>
        <w:rPr>
          <w:spacing w:val="-3"/>
        </w:rPr>
        <w:t>投资人赎回申请成功后，基金管理人将在 </w:t>
      </w:r>
      <w:r>
        <w:rPr/>
        <w:t>T＋7</w:t>
      </w:r>
      <w:r>
        <w:rPr>
          <w:spacing w:val="-8"/>
        </w:rPr>
        <w:t> 日(包括该日)内支付赎回款项。在发生巨额赎回时，款项的支付办法参照本基金合同有关条款处理。</w:t>
      </w:r>
    </w:p>
    <w:p>
      <w:pPr>
        <w:pStyle w:val="Heading3"/>
      </w:pPr>
      <w:bookmarkStart w:name="_bookmark24" w:id="25"/>
      <w:bookmarkEnd w:id="25"/>
      <w:r>
        <w:rPr/>
      </w:r>
      <w:r>
        <w:rPr/>
        <w:t>(六)申购与赎回的数额限制</w:t>
      </w:r>
    </w:p>
    <w:p>
      <w:pPr>
        <w:pStyle w:val="BodyText"/>
        <w:spacing w:before="184"/>
      </w:pPr>
      <w:r>
        <w:rPr/>
        <w:t>1、申购金额的限制</w:t>
      </w:r>
    </w:p>
    <w:p>
      <w:pPr>
        <w:pStyle w:val="BodyText"/>
        <w:spacing w:line="364" w:lineRule="auto" w:before="140"/>
        <w:ind w:left="220" w:right="1208" w:firstLine="420"/>
      </w:pPr>
      <w:r>
        <w:rPr>
          <w:spacing w:val="-2"/>
        </w:rPr>
        <w:t>投资者通过本公司直销中心首次申购的单笔最低金额为 </w:t>
      </w:r>
      <w:r>
        <w:rPr/>
        <w:t>50,000</w:t>
      </w:r>
      <w:r>
        <w:rPr>
          <w:spacing w:val="-7"/>
        </w:rPr>
        <w:t> 元人民币，追加申购单笔</w:t>
      </w:r>
      <w:r>
        <w:rPr>
          <w:spacing w:val="-15"/>
        </w:rPr>
        <w:t>最低限额为 </w:t>
      </w:r>
      <w:r>
        <w:rPr/>
        <w:t>1,000</w:t>
      </w:r>
      <w:r>
        <w:rPr>
          <w:spacing w:val="-13"/>
        </w:rPr>
        <w:t> 元人民币；通过非直销销售机构或本公司网上交易系统首次申购的单笔最低</w:t>
      </w:r>
      <w:r>
        <w:rPr>
          <w:spacing w:val="-23"/>
        </w:rPr>
        <w:t>金额为 </w:t>
      </w:r>
      <w:r>
        <w:rPr/>
        <w:t>1</w:t>
      </w:r>
      <w:r>
        <w:rPr>
          <w:spacing w:val="-14"/>
        </w:rPr>
        <w:t> 元人民币，追加申购单笔最低金额为 </w:t>
      </w:r>
      <w:r>
        <w:rPr/>
        <w:t>1</w:t>
      </w:r>
      <w:r>
        <w:rPr>
          <w:spacing w:val="-11"/>
        </w:rPr>
        <w:t> 元人民币。在符合法律法规规定的前提下，各</w:t>
      </w:r>
      <w:r>
        <w:rPr>
          <w:spacing w:val="-5"/>
        </w:rPr>
        <w:t>销售机构对申购金额及交易级差有其他规定的，需同时遵循该销售机构的相关规定。 (以上金额均含申购费)</w:t>
      </w:r>
    </w:p>
    <w:p>
      <w:pPr>
        <w:pStyle w:val="BodyText"/>
        <w:spacing w:line="364" w:lineRule="auto"/>
        <w:ind w:left="220" w:right="1418" w:firstLine="420"/>
      </w:pPr>
      <w:r>
        <w:rPr>
          <w:spacing w:val="-4"/>
        </w:rPr>
        <w:t>投资者将当期分配的基金收益转购基金份额或采用定期定额投资计划时，不受最低申购</w:t>
      </w:r>
      <w:r>
        <w:rPr/>
        <w:t>金额的限制。</w:t>
      </w:r>
    </w:p>
    <w:p>
      <w:pPr>
        <w:pStyle w:val="BodyText"/>
        <w:spacing w:line="364" w:lineRule="auto"/>
        <w:ind w:left="220" w:right="1418" w:firstLine="420"/>
        <w:jc w:val="both"/>
      </w:pPr>
      <w:r>
        <w:rPr>
          <w:spacing w:val="-9"/>
        </w:rPr>
        <w:t>投资者可多次申购，对单个投资者累计持有份额不设上限限制。但对于可能导致单一投</w:t>
      </w:r>
      <w:r>
        <w:rPr>
          <w:spacing w:val="-3"/>
        </w:rPr>
        <w:t>资者持有基金份额的比例达到或者超过 </w:t>
      </w:r>
      <w:r>
        <w:rPr/>
        <w:t>50%，</w:t>
      </w:r>
      <w:r>
        <w:rPr>
          <w:spacing w:val="-8"/>
        </w:rPr>
        <w:t>或者变相规避 </w:t>
      </w:r>
      <w:r>
        <w:rPr/>
        <w:t>50%集中度的情形，基金管理人有权按照相关法律法规采取控制措施。法律法规、中国证监会另有规定的除外。</w:t>
      </w:r>
    </w:p>
    <w:p>
      <w:pPr>
        <w:pStyle w:val="BodyText"/>
        <w:spacing w:line="268" w:lineRule="exact"/>
      </w:pPr>
      <w:r>
        <w:rPr/>
        <w:t>2、赎回份额的限制</w:t>
      </w:r>
    </w:p>
    <w:p>
      <w:pPr>
        <w:spacing w:after="0" w:line="268" w:lineRule="exact"/>
        <w:sectPr>
          <w:pgSz w:w="11910" w:h="16840"/>
          <w:pgMar w:header="0" w:footer="664" w:top="1380" w:bottom="940" w:left="1580" w:right="380"/>
        </w:sectPr>
      </w:pPr>
    </w:p>
    <w:p>
      <w:pPr>
        <w:pStyle w:val="BodyText"/>
        <w:spacing w:before="45"/>
        <w:jc w:val="both"/>
      </w:pPr>
      <w:r>
        <w:rPr>
          <w:spacing w:val="-2"/>
        </w:rPr>
        <w:t>投资者可将其全部或部分基金份额赎回。每类基金份额单笔赎回或转换不得少于 </w:t>
      </w:r>
      <w:r>
        <w:rPr/>
        <w:t>1</w:t>
      </w:r>
      <w:r>
        <w:rPr>
          <w:spacing w:val="-21"/>
        </w:rPr>
        <w:t> 份</w:t>
      </w:r>
    </w:p>
    <w:p>
      <w:pPr>
        <w:pStyle w:val="BodyText"/>
        <w:spacing w:before="139"/>
        <w:ind w:left="220"/>
        <w:jc w:val="both"/>
      </w:pPr>
      <w:r>
        <w:rPr>
          <w:spacing w:val="-3"/>
        </w:rPr>
        <w:t>(如该账户在该销售机构托管的该类基金余额不足 </w:t>
      </w:r>
      <w:r>
        <w:rPr/>
        <w:t>1</w:t>
      </w:r>
      <w:r>
        <w:rPr>
          <w:spacing w:val="-8"/>
        </w:rPr>
        <w:t> 份，则必须一次性赎回或转出该类基金</w:t>
      </w:r>
    </w:p>
    <w:p>
      <w:pPr>
        <w:pStyle w:val="BodyText"/>
        <w:spacing w:line="364" w:lineRule="auto" w:before="140"/>
        <w:ind w:left="220" w:right="1418"/>
        <w:jc w:val="both"/>
      </w:pPr>
      <w:r>
        <w:rPr>
          <w:spacing w:val="-2"/>
        </w:rPr>
        <w:t>全部份额)；若某笔赎回将导致投资者在该销售机构托管的该类基金余额不足 </w:t>
      </w:r>
      <w:r>
        <w:rPr/>
        <w:t>1</w:t>
      </w:r>
      <w:r>
        <w:rPr>
          <w:spacing w:val="-10"/>
        </w:rPr>
        <w:t> 份时，基金</w:t>
      </w:r>
      <w:r>
        <w:rPr>
          <w:spacing w:val="-14"/>
        </w:rPr>
        <w:t>管理人有权将投资者在该销售机构托管的该类基金剩余份额一次性全部赎回。在符合法律法</w:t>
      </w:r>
      <w:r>
        <w:rPr>
          <w:spacing w:val="-9"/>
        </w:rPr>
        <w:t>规规定的前提下，各销售机构对赎回份额限制有其他规定的，需同时遵循该销售机构的相关</w:t>
      </w:r>
      <w:r>
        <w:rPr/>
        <w:t>规定。</w:t>
      </w:r>
    </w:p>
    <w:p>
      <w:pPr>
        <w:pStyle w:val="BodyText"/>
        <w:spacing w:line="364" w:lineRule="auto"/>
        <w:ind w:left="220" w:right="1418" w:firstLine="420"/>
        <w:jc w:val="both"/>
      </w:pPr>
      <w:r>
        <w:rPr/>
        <w:t>3、当接受申购申请对存量基金份额持有人利益构成潜在重大不利影响时，基金管理人</w:t>
      </w:r>
      <w:r>
        <w:rPr>
          <w:spacing w:val="-5"/>
        </w:rPr>
        <w:t>应当采取设定单一投资者申购金额上限或基金单日净申购比例上限、拒绝大额申购、暂停基</w:t>
      </w:r>
      <w:r>
        <w:rPr/>
        <w:t>金申购等措施，切实保护存量基金份额持有人的合法权益。具体请参见相关公告。</w:t>
      </w:r>
    </w:p>
    <w:p>
      <w:pPr>
        <w:pStyle w:val="BodyText"/>
        <w:spacing w:line="364" w:lineRule="auto"/>
        <w:ind w:left="220" w:right="1417" w:firstLine="420"/>
        <w:jc w:val="both"/>
      </w:pPr>
      <w:r>
        <w:rPr/>
        <w:t>4、基金管理人可以根据市场情况，在法律法规允许的情况下，调整上述规定申购金额</w:t>
      </w:r>
      <w:r>
        <w:rPr>
          <w:spacing w:val="-7"/>
        </w:rPr>
        <w:t>和赎回份额的数量限制，或者新增基金规模控制措施。基金管理人必须在调整前依照《信息</w:t>
      </w:r>
      <w:r>
        <w:rPr/>
        <w:t>披露办法》的有关规定在指定媒介上公告。</w:t>
      </w:r>
    </w:p>
    <w:p>
      <w:pPr>
        <w:pStyle w:val="Heading3"/>
        <w:spacing w:line="358" w:lineRule="exact"/>
      </w:pPr>
      <w:bookmarkStart w:name="_bookmark25" w:id="26"/>
      <w:bookmarkEnd w:id="26"/>
      <w:r>
        <w:rPr/>
      </w:r>
      <w:r>
        <w:rPr/>
        <w:t>(七)基金的申购费和赎回费</w:t>
      </w:r>
    </w:p>
    <w:p>
      <w:pPr>
        <w:pStyle w:val="BodyText"/>
        <w:spacing w:before="181"/>
        <w:jc w:val="both"/>
      </w:pPr>
      <w:r>
        <w:rPr/>
        <w:t>1、本基金将基金份额分为 A 类基金份额和 C 类基金份额两类。其中：</w:t>
      </w:r>
    </w:p>
    <w:p>
      <w:pPr>
        <w:pStyle w:val="BodyText"/>
        <w:spacing w:line="364" w:lineRule="auto" w:before="140"/>
        <w:ind w:left="220" w:right="1418" w:firstLine="420"/>
        <w:jc w:val="both"/>
      </w:pPr>
      <w:r>
        <w:rPr/>
        <w:t>A</w:t>
      </w:r>
      <w:r>
        <w:rPr>
          <w:spacing w:val="-8"/>
        </w:rPr>
        <w:t> 类基金份额收取认购</w:t>
      </w:r>
      <w:r>
        <w:rPr/>
        <w:t>/</w:t>
      </w:r>
      <w:r>
        <w:rPr>
          <w:spacing w:val="-11"/>
        </w:rPr>
        <w:t>申购、赎回费；</w:t>
      </w:r>
      <w:r>
        <w:rPr>
          <w:spacing w:val="-24"/>
        </w:rPr>
        <w:t>C</w:t>
      </w:r>
      <w:r>
        <w:rPr>
          <w:spacing w:val="-9"/>
        </w:rPr>
        <w:t> 类基金份额从本类别基金资产中计提销售服务</w:t>
      </w:r>
      <w:r>
        <w:rPr>
          <w:spacing w:val="-5"/>
        </w:rPr>
        <w:t>费、不收取认购</w:t>
      </w:r>
      <w:r>
        <w:rPr/>
        <w:t>/</w:t>
      </w:r>
      <w:r>
        <w:rPr>
          <w:spacing w:val="-3"/>
        </w:rPr>
        <w:t>申购费用，</w:t>
      </w:r>
      <w:r>
        <w:rPr>
          <w:spacing w:val="-11"/>
        </w:rPr>
        <w:t>C</w:t>
      </w:r>
      <w:r>
        <w:rPr>
          <w:spacing w:val="-12"/>
        </w:rPr>
        <w:t> 类基金份额对持有期限少于 </w:t>
      </w:r>
      <w:r>
        <w:rPr/>
        <w:t>30</w:t>
      </w:r>
      <w:r>
        <w:rPr>
          <w:spacing w:val="-9"/>
        </w:rPr>
        <w:t> 日的本类别基金份额的赎回收</w:t>
      </w:r>
      <w:r>
        <w:rPr>
          <w:spacing w:val="-4"/>
        </w:rPr>
        <w:t>取赎回费，对于持有期限不少于 </w:t>
      </w:r>
      <w:r>
        <w:rPr/>
        <w:t>30</w:t>
      </w:r>
      <w:r>
        <w:rPr>
          <w:spacing w:val="-8"/>
        </w:rPr>
        <w:t> 日的本类别基金份额不收取赎回费；</w:t>
      </w:r>
    </w:p>
    <w:p>
      <w:pPr>
        <w:pStyle w:val="BodyText"/>
        <w:spacing w:line="364" w:lineRule="auto"/>
        <w:ind w:left="220" w:right="1418" w:firstLine="420"/>
        <w:jc w:val="both"/>
      </w:pPr>
      <w:r>
        <w:rPr/>
        <w:t>2</w:t>
      </w:r>
      <w:r>
        <w:rPr>
          <w:spacing w:val="-4"/>
        </w:rPr>
        <w:t>、本基金的申购费用由申购本基金 </w:t>
      </w:r>
      <w:r>
        <w:rPr/>
        <w:t>A</w:t>
      </w:r>
      <w:r>
        <w:rPr>
          <w:spacing w:val="-8"/>
        </w:rPr>
        <w:t> 类份额的投资人承担，不列入基金财产，主要用于本基金的市场推广、销售、注册登记等各项费用。赎回费用由基金赎回人承担。</w:t>
      </w:r>
    </w:p>
    <w:p>
      <w:pPr>
        <w:pStyle w:val="BodyText"/>
        <w:spacing w:line="268" w:lineRule="exact"/>
      </w:pPr>
      <w:r>
        <w:rPr/>
        <w:t>3、申购费率：</w:t>
      </w:r>
    </w:p>
    <w:p>
      <w:pPr>
        <w:pStyle w:val="BodyText"/>
        <w:spacing w:line="364" w:lineRule="auto" w:before="138"/>
        <w:ind w:left="220" w:right="1418" w:firstLine="420"/>
        <w:jc w:val="both"/>
      </w:pPr>
      <w:r>
        <w:rPr>
          <w:spacing w:val="-12"/>
        </w:rPr>
        <w:t>本基金 </w:t>
      </w:r>
      <w:r>
        <w:rPr/>
        <w:t>A</w:t>
      </w:r>
      <w:r>
        <w:rPr>
          <w:spacing w:val="-5"/>
        </w:rPr>
        <w:t> 类基金份额对通过直销中心申购的特定投资群体与除此之外的其他投资者实施差别的申购费率。</w:t>
      </w:r>
    </w:p>
    <w:p>
      <w:pPr>
        <w:pStyle w:val="BodyText"/>
        <w:spacing w:line="364" w:lineRule="auto"/>
        <w:ind w:left="220" w:right="1417" w:firstLine="420"/>
        <w:jc w:val="both"/>
      </w:pPr>
      <w:r>
        <w:rPr>
          <w:spacing w:val="-6"/>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267" w:lineRule="exact"/>
        <w:jc w:val="both"/>
      </w:pPr>
      <w:r>
        <w:rPr/>
        <w:t>通过基金管理人的直销中心申购本基金 A 类份额的特定投资群体申购费率见下表：</w:t>
      </w:r>
    </w:p>
    <w:p>
      <w:pPr>
        <w:pStyle w:val="BodyText"/>
        <w:spacing w:before="7"/>
        <w:ind w:left="0"/>
        <w:rPr>
          <w:sz w:val="10"/>
        </w:r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line="320" w:lineRule="exact"/>
              <w:ind w:left="642" w:right="623"/>
              <w:jc w:val="center"/>
              <w:rPr>
                <w:rFonts w:ascii="Microsoft JhengHei" w:eastAsia="Microsoft JhengHei" w:hint="eastAsia"/>
                <w:b/>
                <w:sz w:val="21"/>
              </w:rPr>
            </w:pPr>
            <w:r>
              <w:rPr>
                <w:rFonts w:ascii="Microsoft JhengHei" w:eastAsia="Microsoft JhengHei" w:hint="eastAsia"/>
                <w:b/>
                <w:sz w:val="21"/>
              </w:rPr>
              <w:t>申购金额 </w:t>
            </w:r>
            <w:r>
              <w:rPr>
                <w:rFonts w:ascii="Microsoft JhengHei" w:eastAsia="Microsoft JhengHei" w:hint="eastAsia"/>
                <w:b/>
                <w:w w:val="50"/>
                <w:sz w:val="21"/>
              </w:rPr>
              <w:t>M</w:t>
            </w:r>
            <w:r>
              <w:rPr>
                <w:rFonts w:ascii="Microsoft JhengHei" w:eastAsia="Microsoft JhengHei" w:hint="eastAsia"/>
                <w:b/>
                <w:w w:val="142"/>
                <w:sz w:val="21"/>
              </w:rPr>
              <w:t>(</w:t>
            </w:r>
            <w:r>
              <w:rPr>
                <w:rFonts w:ascii="Microsoft JhengHei" w:eastAsia="Microsoft JhengHei" w:hint="eastAsia"/>
                <w:b/>
                <w:sz w:val="21"/>
              </w:rPr>
              <w:t>元</w:t>
            </w:r>
            <w:r>
              <w:rPr>
                <w:rFonts w:ascii="Microsoft JhengHei" w:eastAsia="Microsoft JhengHei" w:hint="eastAsia"/>
                <w:b/>
                <w:w w:val="142"/>
                <w:sz w:val="21"/>
              </w:rPr>
              <w:t>)(</w:t>
            </w:r>
            <w:r>
              <w:rPr>
                <w:rFonts w:ascii="Microsoft JhengHei" w:eastAsia="Microsoft JhengHei" w:hint="eastAsia"/>
                <w:b/>
                <w:sz w:val="21"/>
              </w:rPr>
              <w:t>含申购费</w:t>
            </w:r>
            <w:r>
              <w:rPr>
                <w:rFonts w:ascii="Microsoft JhengHei" w:eastAsia="Microsoft JhengHei" w:hint="eastAsia"/>
                <w:b/>
                <w:w w:val="142"/>
                <w:sz w:val="21"/>
              </w:rPr>
              <w:t>)</w:t>
            </w:r>
          </w:p>
        </w:tc>
        <w:tc>
          <w:tcPr>
            <w:tcW w:w="3780" w:type="dxa"/>
          </w:tcPr>
          <w:p>
            <w:pPr>
              <w:pStyle w:val="TableParagraph"/>
              <w:spacing w:line="320" w:lineRule="exact"/>
              <w:ind w:left="862"/>
              <w:rPr>
                <w:rFonts w:ascii="Microsoft JhengHei" w:eastAsia="Microsoft JhengHei" w:hint="eastAsia"/>
                <w:b/>
                <w:sz w:val="21"/>
              </w:rPr>
            </w:pPr>
            <w:r>
              <w:rPr>
                <w:rFonts w:ascii="Microsoft JhengHei" w:eastAsia="Microsoft JhengHei" w:hint="eastAsia"/>
                <w:b/>
                <w:sz w:val="21"/>
              </w:rPr>
              <w:t>A 类基金份额申购费率</w:t>
            </w:r>
          </w:p>
        </w:tc>
      </w:tr>
      <w:tr>
        <w:trPr>
          <w:trHeight w:val="408" w:hRule="atLeast"/>
        </w:trPr>
        <w:tc>
          <w:tcPr>
            <w:tcW w:w="3794" w:type="dxa"/>
          </w:tcPr>
          <w:p>
            <w:pPr>
              <w:pStyle w:val="TableParagraph"/>
              <w:spacing w:before="3"/>
              <w:ind w:left="642" w:right="623"/>
              <w:jc w:val="center"/>
              <w:rPr>
                <w:sz w:val="21"/>
              </w:rPr>
            </w:pPr>
            <w:r>
              <w:rPr>
                <w:sz w:val="21"/>
              </w:rPr>
              <w:t>M＜100 万</w:t>
            </w:r>
          </w:p>
        </w:tc>
        <w:tc>
          <w:tcPr>
            <w:tcW w:w="3780" w:type="dxa"/>
          </w:tcPr>
          <w:p>
            <w:pPr>
              <w:pStyle w:val="TableParagraph"/>
              <w:spacing w:before="3"/>
              <w:ind w:left="822" w:right="803"/>
              <w:jc w:val="center"/>
              <w:rPr>
                <w:sz w:val="21"/>
              </w:rPr>
            </w:pPr>
            <w:r>
              <w:rPr>
                <w:sz w:val="21"/>
              </w:rPr>
              <w:t>0.08%</w:t>
            </w:r>
          </w:p>
        </w:tc>
      </w:tr>
      <w:tr>
        <w:trPr>
          <w:trHeight w:val="408" w:hRule="atLeast"/>
        </w:trPr>
        <w:tc>
          <w:tcPr>
            <w:tcW w:w="3794" w:type="dxa"/>
          </w:tcPr>
          <w:p>
            <w:pPr>
              <w:pStyle w:val="TableParagraph"/>
              <w:spacing w:before="3"/>
              <w:ind w:left="642" w:right="622"/>
              <w:jc w:val="center"/>
              <w:rPr>
                <w:sz w:val="21"/>
              </w:rPr>
            </w:pPr>
            <w:r>
              <w:rPr>
                <w:sz w:val="21"/>
              </w:rPr>
              <w:t>100 万≤M＜500 万</w:t>
            </w:r>
          </w:p>
        </w:tc>
        <w:tc>
          <w:tcPr>
            <w:tcW w:w="3780" w:type="dxa"/>
          </w:tcPr>
          <w:p>
            <w:pPr>
              <w:pStyle w:val="TableParagraph"/>
              <w:spacing w:before="3"/>
              <w:ind w:left="822" w:right="803"/>
              <w:jc w:val="center"/>
              <w:rPr>
                <w:sz w:val="21"/>
              </w:rPr>
            </w:pPr>
            <w:r>
              <w:rPr>
                <w:sz w:val="21"/>
              </w:rPr>
              <w:t>0.04%</w:t>
            </w:r>
          </w:p>
        </w:tc>
      </w:tr>
      <w:tr>
        <w:trPr>
          <w:trHeight w:val="408" w:hRule="atLeast"/>
        </w:trPr>
        <w:tc>
          <w:tcPr>
            <w:tcW w:w="3794" w:type="dxa"/>
          </w:tcPr>
          <w:p>
            <w:pPr>
              <w:pStyle w:val="TableParagraph"/>
              <w:spacing w:before="3"/>
              <w:ind w:left="642" w:right="622"/>
              <w:jc w:val="center"/>
              <w:rPr>
                <w:sz w:val="21"/>
              </w:rPr>
            </w:pPr>
            <w:r>
              <w:rPr>
                <w:sz w:val="21"/>
              </w:rPr>
              <w:t>500 万≤M＜1000 万</w:t>
            </w:r>
          </w:p>
        </w:tc>
        <w:tc>
          <w:tcPr>
            <w:tcW w:w="3780" w:type="dxa"/>
          </w:tcPr>
          <w:p>
            <w:pPr>
              <w:pStyle w:val="TableParagraph"/>
              <w:spacing w:before="3"/>
              <w:ind w:left="822" w:right="645"/>
              <w:jc w:val="center"/>
              <w:rPr>
                <w:sz w:val="21"/>
              </w:rPr>
            </w:pPr>
            <w:r>
              <w:rPr>
                <w:sz w:val="21"/>
              </w:rPr>
              <w:t>0.002%</w:t>
            </w:r>
          </w:p>
        </w:tc>
      </w:tr>
      <w:tr>
        <w:trPr>
          <w:trHeight w:val="408" w:hRule="atLeast"/>
        </w:trPr>
        <w:tc>
          <w:tcPr>
            <w:tcW w:w="3794" w:type="dxa"/>
          </w:tcPr>
          <w:p>
            <w:pPr>
              <w:pStyle w:val="TableParagraph"/>
              <w:spacing w:before="3"/>
              <w:ind w:left="642" w:right="623"/>
              <w:jc w:val="center"/>
              <w:rPr>
                <w:sz w:val="21"/>
              </w:rPr>
            </w:pPr>
            <w:r>
              <w:rPr>
                <w:sz w:val="21"/>
              </w:rPr>
              <w:t>M≥1000 万</w:t>
            </w:r>
          </w:p>
        </w:tc>
        <w:tc>
          <w:tcPr>
            <w:tcW w:w="3780" w:type="dxa"/>
          </w:tcPr>
          <w:p>
            <w:pPr>
              <w:pStyle w:val="TableParagraph"/>
              <w:spacing w:before="3"/>
              <w:ind w:left="822" w:right="803"/>
              <w:jc w:val="center"/>
              <w:rPr>
                <w:sz w:val="21"/>
              </w:rPr>
            </w:pPr>
            <w:r>
              <w:rPr>
                <w:sz w:val="21"/>
              </w:rPr>
              <w:t>1000 元/笔</w:t>
            </w:r>
          </w:p>
        </w:tc>
      </w:tr>
    </w:tbl>
    <w:p>
      <w:pPr>
        <w:spacing w:after="0"/>
        <w:jc w:val="center"/>
        <w:rPr>
          <w:sz w:val="21"/>
        </w:rPr>
        <w:sectPr>
          <w:pgSz w:w="11910" w:h="16840"/>
          <w:pgMar w:header="0" w:footer="664" w:top="1380" w:bottom="940" w:left="1580" w:right="380"/>
        </w:sectPr>
      </w:pPr>
    </w:p>
    <w:p>
      <w:pPr>
        <w:pStyle w:val="BodyText"/>
        <w:spacing w:before="45"/>
      </w:pPr>
      <w:r>
        <w:rPr/>
        <w:t>其他投资者申购本基金 A 类基金份额的申购费率见下表：</w:t>
      </w:r>
    </w:p>
    <w:p>
      <w:pPr>
        <w:pStyle w:val="BodyText"/>
        <w:spacing w:before="8"/>
        <w:ind w:left="0"/>
        <w:rPr>
          <w:sz w:val="10"/>
        </w:r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line="320" w:lineRule="exact"/>
              <w:ind w:left="642" w:right="623"/>
              <w:jc w:val="center"/>
              <w:rPr>
                <w:rFonts w:ascii="Microsoft JhengHei" w:eastAsia="Microsoft JhengHei" w:hint="eastAsia"/>
                <w:b/>
                <w:sz w:val="21"/>
              </w:rPr>
            </w:pPr>
            <w:r>
              <w:rPr>
                <w:rFonts w:ascii="Microsoft JhengHei" w:eastAsia="Microsoft JhengHei" w:hint="eastAsia"/>
                <w:b/>
                <w:sz w:val="21"/>
              </w:rPr>
              <w:t>申购金额 </w:t>
            </w:r>
            <w:r>
              <w:rPr>
                <w:rFonts w:ascii="Microsoft JhengHei" w:eastAsia="Microsoft JhengHei" w:hint="eastAsia"/>
                <w:b/>
                <w:w w:val="50"/>
                <w:sz w:val="21"/>
              </w:rPr>
              <w:t>M</w:t>
            </w:r>
            <w:r>
              <w:rPr>
                <w:rFonts w:ascii="Microsoft JhengHei" w:eastAsia="Microsoft JhengHei" w:hint="eastAsia"/>
                <w:b/>
                <w:w w:val="142"/>
                <w:sz w:val="21"/>
              </w:rPr>
              <w:t>(</w:t>
            </w:r>
            <w:r>
              <w:rPr>
                <w:rFonts w:ascii="Microsoft JhengHei" w:eastAsia="Microsoft JhengHei" w:hint="eastAsia"/>
                <w:b/>
                <w:sz w:val="21"/>
              </w:rPr>
              <w:t>元</w:t>
            </w:r>
            <w:r>
              <w:rPr>
                <w:rFonts w:ascii="Microsoft JhengHei" w:eastAsia="Microsoft JhengHei" w:hint="eastAsia"/>
                <w:b/>
                <w:w w:val="142"/>
                <w:sz w:val="21"/>
              </w:rPr>
              <w:t>)(</w:t>
            </w:r>
            <w:r>
              <w:rPr>
                <w:rFonts w:ascii="Microsoft JhengHei" w:eastAsia="Microsoft JhengHei" w:hint="eastAsia"/>
                <w:b/>
                <w:sz w:val="21"/>
              </w:rPr>
              <w:t>含申购费</w:t>
            </w:r>
            <w:r>
              <w:rPr>
                <w:rFonts w:ascii="Microsoft JhengHei" w:eastAsia="Microsoft JhengHei" w:hint="eastAsia"/>
                <w:b/>
                <w:w w:val="142"/>
                <w:sz w:val="21"/>
              </w:rPr>
              <w:t>)</w:t>
            </w:r>
          </w:p>
        </w:tc>
        <w:tc>
          <w:tcPr>
            <w:tcW w:w="3780" w:type="dxa"/>
          </w:tcPr>
          <w:p>
            <w:pPr>
              <w:pStyle w:val="TableParagraph"/>
              <w:spacing w:line="320" w:lineRule="exact"/>
              <w:ind w:left="822" w:right="803"/>
              <w:jc w:val="center"/>
              <w:rPr>
                <w:rFonts w:ascii="Microsoft JhengHei" w:eastAsia="Microsoft JhengHei" w:hint="eastAsia"/>
                <w:b/>
                <w:sz w:val="21"/>
              </w:rPr>
            </w:pPr>
            <w:r>
              <w:rPr>
                <w:rFonts w:ascii="Microsoft JhengHei" w:eastAsia="Microsoft JhengHei" w:hint="eastAsia"/>
                <w:b/>
                <w:sz w:val="21"/>
              </w:rPr>
              <w:t>A 类基金份额申购费率</w:t>
            </w:r>
          </w:p>
        </w:tc>
      </w:tr>
      <w:tr>
        <w:trPr>
          <w:trHeight w:val="408" w:hRule="atLeast"/>
        </w:trPr>
        <w:tc>
          <w:tcPr>
            <w:tcW w:w="3794" w:type="dxa"/>
          </w:tcPr>
          <w:p>
            <w:pPr>
              <w:pStyle w:val="TableParagraph"/>
              <w:spacing w:before="3"/>
              <w:ind w:left="642" w:right="623"/>
              <w:jc w:val="center"/>
              <w:rPr>
                <w:sz w:val="21"/>
              </w:rPr>
            </w:pPr>
            <w:r>
              <w:rPr>
                <w:sz w:val="21"/>
              </w:rPr>
              <w:t>M＜100 万</w:t>
            </w:r>
          </w:p>
        </w:tc>
        <w:tc>
          <w:tcPr>
            <w:tcW w:w="3780" w:type="dxa"/>
          </w:tcPr>
          <w:p>
            <w:pPr>
              <w:pStyle w:val="TableParagraph"/>
              <w:spacing w:before="3"/>
              <w:ind w:left="822" w:right="803"/>
              <w:jc w:val="center"/>
              <w:rPr>
                <w:sz w:val="21"/>
              </w:rPr>
            </w:pPr>
            <w:r>
              <w:rPr>
                <w:sz w:val="21"/>
              </w:rPr>
              <w:t>0.8%</w:t>
            </w:r>
          </w:p>
        </w:tc>
      </w:tr>
      <w:tr>
        <w:trPr>
          <w:trHeight w:val="408" w:hRule="atLeast"/>
        </w:trPr>
        <w:tc>
          <w:tcPr>
            <w:tcW w:w="3794" w:type="dxa"/>
          </w:tcPr>
          <w:p>
            <w:pPr>
              <w:pStyle w:val="TableParagraph"/>
              <w:spacing w:before="3"/>
              <w:ind w:left="642" w:right="622"/>
              <w:jc w:val="center"/>
              <w:rPr>
                <w:sz w:val="21"/>
              </w:rPr>
            </w:pPr>
            <w:r>
              <w:rPr>
                <w:sz w:val="21"/>
              </w:rPr>
              <w:t>100 万≤M＜500 万</w:t>
            </w:r>
          </w:p>
        </w:tc>
        <w:tc>
          <w:tcPr>
            <w:tcW w:w="3780" w:type="dxa"/>
          </w:tcPr>
          <w:p>
            <w:pPr>
              <w:pStyle w:val="TableParagraph"/>
              <w:spacing w:before="3"/>
              <w:ind w:left="822" w:right="803"/>
              <w:jc w:val="center"/>
              <w:rPr>
                <w:sz w:val="21"/>
              </w:rPr>
            </w:pPr>
            <w:r>
              <w:rPr>
                <w:sz w:val="21"/>
              </w:rPr>
              <w:t>0.4%</w:t>
            </w:r>
          </w:p>
        </w:tc>
      </w:tr>
      <w:tr>
        <w:trPr>
          <w:trHeight w:val="408" w:hRule="atLeast"/>
        </w:trPr>
        <w:tc>
          <w:tcPr>
            <w:tcW w:w="3794" w:type="dxa"/>
          </w:tcPr>
          <w:p>
            <w:pPr>
              <w:pStyle w:val="TableParagraph"/>
              <w:spacing w:before="3"/>
              <w:ind w:left="642" w:right="622"/>
              <w:jc w:val="center"/>
              <w:rPr>
                <w:sz w:val="21"/>
              </w:rPr>
            </w:pPr>
            <w:r>
              <w:rPr>
                <w:sz w:val="21"/>
              </w:rPr>
              <w:t>500 万≤M＜1000 万</w:t>
            </w:r>
          </w:p>
        </w:tc>
        <w:tc>
          <w:tcPr>
            <w:tcW w:w="3780" w:type="dxa"/>
          </w:tcPr>
          <w:p>
            <w:pPr>
              <w:pStyle w:val="TableParagraph"/>
              <w:spacing w:before="3"/>
              <w:ind w:left="822" w:right="803"/>
              <w:jc w:val="center"/>
              <w:rPr>
                <w:sz w:val="21"/>
              </w:rPr>
            </w:pPr>
            <w:r>
              <w:rPr>
                <w:sz w:val="21"/>
              </w:rPr>
              <w:t>0.02%</w:t>
            </w:r>
          </w:p>
        </w:tc>
      </w:tr>
      <w:tr>
        <w:trPr>
          <w:trHeight w:val="408" w:hRule="atLeast"/>
        </w:trPr>
        <w:tc>
          <w:tcPr>
            <w:tcW w:w="3794" w:type="dxa"/>
          </w:tcPr>
          <w:p>
            <w:pPr>
              <w:pStyle w:val="TableParagraph"/>
              <w:spacing w:before="3"/>
              <w:ind w:left="642" w:right="623"/>
              <w:jc w:val="center"/>
              <w:rPr>
                <w:sz w:val="21"/>
              </w:rPr>
            </w:pPr>
            <w:r>
              <w:rPr>
                <w:sz w:val="21"/>
              </w:rPr>
              <w:t>M≥1000 万</w:t>
            </w:r>
          </w:p>
        </w:tc>
        <w:tc>
          <w:tcPr>
            <w:tcW w:w="3780" w:type="dxa"/>
          </w:tcPr>
          <w:p>
            <w:pPr>
              <w:pStyle w:val="TableParagraph"/>
              <w:spacing w:before="3"/>
              <w:ind w:left="822" w:right="803"/>
              <w:jc w:val="center"/>
              <w:rPr>
                <w:sz w:val="21"/>
              </w:rPr>
            </w:pPr>
            <w:r>
              <w:rPr>
                <w:sz w:val="21"/>
              </w:rPr>
              <w:t>1000 元/笔</w:t>
            </w:r>
          </w:p>
        </w:tc>
      </w:tr>
    </w:tbl>
    <w:p>
      <w:pPr>
        <w:pStyle w:val="BodyText"/>
        <w:spacing w:line="364" w:lineRule="auto" w:before="3"/>
        <w:ind w:left="220" w:right="1418" w:firstLine="420"/>
      </w:pPr>
      <w:r>
        <w:rPr>
          <w:spacing w:val="-7"/>
        </w:rPr>
        <w:t>在申购费按金额分档的情况下，如果投资者多次申购，申购费适用单笔申购金额所对应</w:t>
      </w:r>
      <w:r>
        <w:rPr/>
        <w:t>的费率。</w:t>
      </w:r>
    </w:p>
    <w:p>
      <w:pPr>
        <w:pStyle w:val="BodyText"/>
        <w:spacing w:line="364" w:lineRule="auto"/>
        <w:ind w:right="5735"/>
      </w:pPr>
      <w:r>
        <w:rPr>
          <w:spacing w:val="-14"/>
        </w:rPr>
        <w:t>本基金 </w:t>
      </w:r>
      <w:r>
        <w:rPr/>
        <w:t>C</w:t>
      </w:r>
      <w:r>
        <w:rPr>
          <w:spacing w:val="-9"/>
        </w:rPr>
        <w:t> 类基金份额不收取申购费用。</w:t>
      </w:r>
      <w:r>
        <w:rPr/>
        <w:t>4、赎回费率</w:t>
      </w:r>
    </w:p>
    <w:p>
      <w:pPr>
        <w:pStyle w:val="BodyText"/>
        <w:spacing w:line="268" w:lineRule="exact"/>
      </w:pPr>
      <w:r>
        <w:rPr>
          <w:spacing w:val="-14"/>
        </w:rPr>
        <w:t>本基金 </w:t>
      </w:r>
      <w:r>
        <w:rPr/>
        <w:t>A</w:t>
      </w:r>
      <w:r>
        <w:rPr>
          <w:spacing w:val="-8"/>
        </w:rPr>
        <w:t> 类基金份额赎回费率见下表：</w:t>
      </w:r>
    </w:p>
    <w:p>
      <w:pPr>
        <w:pStyle w:val="BodyText"/>
        <w:spacing w:before="7"/>
        <w:ind w:left="0"/>
        <w:rPr>
          <w:sz w:val="10"/>
        </w:rPr>
      </w:pPr>
    </w:p>
    <w:tbl>
      <w:tblPr>
        <w:tblW w:w="0" w:type="auto"/>
        <w:jc w:val="left"/>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08" w:hRule="atLeast"/>
        </w:trPr>
        <w:tc>
          <w:tcPr>
            <w:tcW w:w="3870" w:type="dxa"/>
          </w:tcPr>
          <w:p>
            <w:pPr>
              <w:pStyle w:val="TableParagraph"/>
              <w:spacing w:line="320" w:lineRule="exact"/>
              <w:ind w:left="1248" w:right="1239"/>
              <w:jc w:val="center"/>
              <w:rPr>
                <w:rFonts w:ascii="Microsoft JhengHei" w:eastAsia="Microsoft JhengHei" w:hint="eastAsia"/>
                <w:b/>
                <w:sz w:val="21"/>
              </w:rPr>
            </w:pPr>
            <w:r>
              <w:rPr>
                <w:rFonts w:ascii="Microsoft JhengHei" w:eastAsia="Microsoft JhengHei" w:hint="eastAsia"/>
                <w:b/>
                <w:w w:val="110"/>
                <w:sz w:val="21"/>
              </w:rPr>
              <w:t>持有时间</w:t>
            </w:r>
            <w:r>
              <w:rPr>
                <w:rFonts w:ascii="Microsoft JhengHei" w:eastAsia="Microsoft JhengHei" w:hint="eastAsia"/>
                <w:b/>
                <w:w w:val="120"/>
                <w:sz w:val="21"/>
              </w:rPr>
              <w:t>(</w:t>
            </w:r>
            <w:r>
              <w:rPr>
                <w:rFonts w:ascii="Microsoft JhengHei" w:eastAsia="Microsoft JhengHei" w:hint="eastAsia"/>
                <w:b/>
                <w:w w:val="110"/>
                <w:sz w:val="21"/>
              </w:rPr>
              <w:t>天</w:t>
            </w:r>
            <w:r>
              <w:rPr>
                <w:rFonts w:ascii="Microsoft JhengHei" w:eastAsia="Microsoft JhengHei" w:hint="eastAsia"/>
                <w:b/>
                <w:w w:val="120"/>
                <w:sz w:val="21"/>
              </w:rPr>
              <w:t>)</w:t>
            </w:r>
          </w:p>
        </w:tc>
        <w:tc>
          <w:tcPr>
            <w:tcW w:w="3798" w:type="dxa"/>
          </w:tcPr>
          <w:p>
            <w:pPr>
              <w:pStyle w:val="TableParagraph"/>
              <w:spacing w:line="320" w:lineRule="exact"/>
              <w:ind w:left="831" w:right="823"/>
              <w:jc w:val="center"/>
              <w:rPr>
                <w:rFonts w:ascii="Microsoft JhengHei" w:eastAsia="Microsoft JhengHei" w:hint="eastAsia"/>
                <w:b/>
                <w:sz w:val="21"/>
              </w:rPr>
            </w:pPr>
            <w:r>
              <w:rPr>
                <w:rFonts w:ascii="Microsoft JhengHei" w:eastAsia="Microsoft JhengHei" w:hint="eastAsia"/>
                <w:b/>
                <w:sz w:val="21"/>
              </w:rPr>
              <w:t>A 类基金份额赎回费率</w:t>
            </w:r>
          </w:p>
        </w:tc>
      </w:tr>
      <w:tr>
        <w:trPr>
          <w:trHeight w:val="408" w:hRule="atLeast"/>
        </w:trPr>
        <w:tc>
          <w:tcPr>
            <w:tcW w:w="3870" w:type="dxa"/>
          </w:tcPr>
          <w:p>
            <w:pPr>
              <w:pStyle w:val="TableParagraph"/>
              <w:spacing w:before="3"/>
              <w:ind w:left="1248" w:right="1239"/>
              <w:jc w:val="center"/>
              <w:rPr>
                <w:sz w:val="21"/>
              </w:rPr>
            </w:pPr>
            <w:r>
              <w:rPr>
                <w:sz w:val="21"/>
              </w:rPr>
              <w:t>0-6</w:t>
            </w:r>
          </w:p>
        </w:tc>
        <w:tc>
          <w:tcPr>
            <w:tcW w:w="3798" w:type="dxa"/>
          </w:tcPr>
          <w:p>
            <w:pPr>
              <w:pStyle w:val="TableParagraph"/>
              <w:spacing w:before="3"/>
              <w:ind w:left="831" w:right="821"/>
              <w:jc w:val="center"/>
              <w:rPr>
                <w:sz w:val="21"/>
              </w:rPr>
            </w:pPr>
            <w:r>
              <w:rPr>
                <w:sz w:val="21"/>
              </w:rPr>
              <w:t>1.5%</w:t>
            </w:r>
          </w:p>
        </w:tc>
      </w:tr>
      <w:tr>
        <w:trPr>
          <w:trHeight w:val="408" w:hRule="atLeast"/>
        </w:trPr>
        <w:tc>
          <w:tcPr>
            <w:tcW w:w="3870" w:type="dxa"/>
          </w:tcPr>
          <w:p>
            <w:pPr>
              <w:pStyle w:val="TableParagraph"/>
              <w:spacing w:before="3"/>
              <w:ind w:left="1248" w:right="1239"/>
              <w:jc w:val="center"/>
              <w:rPr>
                <w:sz w:val="21"/>
              </w:rPr>
            </w:pPr>
            <w:r>
              <w:rPr>
                <w:sz w:val="21"/>
              </w:rPr>
              <w:t>7-29</w:t>
            </w:r>
          </w:p>
        </w:tc>
        <w:tc>
          <w:tcPr>
            <w:tcW w:w="3798" w:type="dxa"/>
          </w:tcPr>
          <w:p>
            <w:pPr>
              <w:pStyle w:val="TableParagraph"/>
              <w:spacing w:before="3"/>
              <w:ind w:left="831" w:right="821"/>
              <w:jc w:val="center"/>
              <w:rPr>
                <w:sz w:val="21"/>
              </w:rPr>
            </w:pPr>
            <w:r>
              <w:rPr>
                <w:sz w:val="21"/>
              </w:rPr>
              <w:t>0.75%</w:t>
            </w:r>
          </w:p>
        </w:tc>
      </w:tr>
      <w:tr>
        <w:trPr>
          <w:trHeight w:val="408" w:hRule="atLeast"/>
        </w:trPr>
        <w:tc>
          <w:tcPr>
            <w:tcW w:w="3870" w:type="dxa"/>
          </w:tcPr>
          <w:p>
            <w:pPr>
              <w:pStyle w:val="TableParagraph"/>
              <w:spacing w:before="3"/>
              <w:ind w:left="1248" w:right="1239"/>
              <w:jc w:val="center"/>
              <w:rPr>
                <w:sz w:val="21"/>
              </w:rPr>
            </w:pPr>
            <w:r>
              <w:rPr>
                <w:sz w:val="21"/>
              </w:rPr>
              <w:t>30-364</w:t>
            </w:r>
          </w:p>
        </w:tc>
        <w:tc>
          <w:tcPr>
            <w:tcW w:w="3798" w:type="dxa"/>
          </w:tcPr>
          <w:p>
            <w:pPr>
              <w:pStyle w:val="TableParagraph"/>
              <w:spacing w:before="3"/>
              <w:ind w:left="831" w:right="821"/>
              <w:jc w:val="center"/>
              <w:rPr>
                <w:sz w:val="21"/>
              </w:rPr>
            </w:pPr>
            <w:r>
              <w:rPr>
                <w:sz w:val="21"/>
              </w:rPr>
              <w:t>0.1%</w:t>
            </w:r>
          </w:p>
        </w:tc>
      </w:tr>
      <w:tr>
        <w:trPr>
          <w:trHeight w:val="408" w:hRule="atLeast"/>
        </w:trPr>
        <w:tc>
          <w:tcPr>
            <w:tcW w:w="3870" w:type="dxa"/>
          </w:tcPr>
          <w:p>
            <w:pPr>
              <w:pStyle w:val="TableParagraph"/>
              <w:spacing w:before="3"/>
              <w:ind w:left="1248" w:right="1239"/>
              <w:jc w:val="center"/>
              <w:rPr>
                <w:sz w:val="21"/>
              </w:rPr>
            </w:pPr>
            <w:r>
              <w:rPr>
                <w:sz w:val="21"/>
              </w:rPr>
              <w:t>365-729</w:t>
            </w:r>
          </w:p>
        </w:tc>
        <w:tc>
          <w:tcPr>
            <w:tcW w:w="3798" w:type="dxa"/>
          </w:tcPr>
          <w:p>
            <w:pPr>
              <w:pStyle w:val="TableParagraph"/>
              <w:spacing w:before="3"/>
              <w:ind w:left="831" w:right="821"/>
              <w:jc w:val="center"/>
              <w:rPr>
                <w:sz w:val="21"/>
              </w:rPr>
            </w:pPr>
            <w:r>
              <w:rPr>
                <w:sz w:val="21"/>
              </w:rPr>
              <w:t>0.05%</w:t>
            </w:r>
          </w:p>
        </w:tc>
      </w:tr>
      <w:tr>
        <w:trPr>
          <w:trHeight w:val="408" w:hRule="atLeast"/>
        </w:trPr>
        <w:tc>
          <w:tcPr>
            <w:tcW w:w="3870" w:type="dxa"/>
          </w:tcPr>
          <w:p>
            <w:pPr>
              <w:pStyle w:val="TableParagraph"/>
              <w:spacing w:before="3"/>
              <w:ind w:left="1248" w:right="1239"/>
              <w:jc w:val="center"/>
              <w:rPr>
                <w:sz w:val="21"/>
              </w:rPr>
            </w:pPr>
            <w:r>
              <w:rPr>
                <w:sz w:val="21"/>
              </w:rPr>
              <w:t>730 及以上</w:t>
            </w:r>
          </w:p>
        </w:tc>
        <w:tc>
          <w:tcPr>
            <w:tcW w:w="3798" w:type="dxa"/>
          </w:tcPr>
          <w:p>
            <w:pPr>
              <w:pStyle w:val="TableParagraph"/>
              <w:spacing w:before="3"/>
              <w:ind w:left="831" w:right="821"/>
              <w:jc w:val="center"/>
              <w:rPr>
                <w:sz w:val="21"/>
              </w:rPr>
            </w:pPr>
            <w:r>
              <w:rPr>
                <w:sz w:val="21"/>
              </w:rPr>
              <w:t>0%</w:t>
            </w:r>
          </w:p>
        </w:tc>
      </w:tr>
    </w:tbl>
    <w:p>
      <w:pPr>
        <w:pStyle w:val="BodyText"/>
        <w:spacing w:before="3"/>
      </w:pPr>
      <w:r>
        <w:rPr>
          <w:spacing w:val="-14"/>
        </w:rPr>
        <w:t>本基金 </w:t>
      </w:r>
      <w:r>
        <w:rPr/>
        <w:t>C</w:t>
      </w:r>
      <w:r>
        <w:rPr>
          <w:spacing w:val="-8"/>
        </w:rPr>
        <w:t> 类基金份额赎回费率见下表：</w:t>
      </w:r>
    </w:p>
    <w:p>
      <w:pPr>
        <w:pStyle w:val="BodyText"/>
        <w:spacing w:before="8"/>
        <w:ind w:left="0"/>
        <w:rPr>
          <w:sz w:val="10"/>
        </w:rPr>
      </w:pPr>
    </w:p>
    <w:tbl>
      <w:tblPr>
        <w:tblW w:w="0" w:type="auto"/>
        <w:jc w:val="left"/>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08" w:hRule="atLeast"/>
        </w:trPr>
        <w:tc>
          <w:tcPr>
            <w:tcW w:w="3870" w:type="dxa"/>
          </w:tcPr>
          <w:p>
            <w:pPr>
              <w:pStyle w:val="TableParagraph"/>
              <w:spacing w:line="320" w:lineRule="exact"/>
              <w:ind w:left="1248" w:right="1239"/>
              <w:jc w:val="center"/>
              <w:rPr>
                <w:rFonts w:ascii="Microsoft JhengHei" w:eastAsia="Microsoft JhengHei" w:hint="eastAsia"/>
                <w:b/>
                <w:sz w:val="21"/>
              </w:rPr>
            </w:pPr>
            <w:r>
              <w:rPr>
                <w:rFonts w:ascii="Microsoft JhengHei" w:eastAsia="Microsoft JhengHei" w:hint="eastAsia"/>
                <w:b/>
                <w:w w:val="110"/>
                <w:sz w:val="21"/>
              </w:rPr>
              <w:t>持有时间</w:t>
            </w:r>
            <w:r>
              <w:rPr>
                <w:rFonts w:ascii="Microsoft JhengHei" w:eastAsia="Microsoft JhengHei" w:hint="eastAsia"/>
                <w:b/>
                <w:w w:val="120"/>
                <w:sz w:val="21"/>
              </w:rPr>
              <w:t>(</w:t>
            </w:r>
            <w:r>
              <w:rPr>
                <w:rFonts w:ascii="Microsoft JhengHei" w:eastAsia="Microsoft JhengHei" w:hint="eastAsia"/>
                <w:b/>
                <w:w w:val="110"/>
                <w:sz w:val="21"/>
              </w:rPr>
              <w:t>天</w:t>
            </w:r>
            <w:r>
              <w:rPr>
                <w:rFonts w:ascii="Microsoft JhengHei" w:eastAsia="Microsoft JhengHei" w:hint="eastAsia"/>
                <w:b/>
                <w:w w:val="120"/>
                <w:sz w:val="21"/>
              </w:rPr>
              <w:t>)</w:t>
            </w:r>
          </w:p>
        </w:tc>
        <w:tc>
          <w:tcPr>
            <w:tcW w:w="3798" w:type="dxa"/>
          </w:tcPr>
          <w:p>
            <w:pPr>
              <w:pStyle w:val="TableParagraph"/>
              <w:spacing w:line="320" w:lineRule="exact"/>
              <w:ind w:left="831" w:right="823"/>
              <w:jc w:val="center"/>
              <w:rPr>
                <w:rFonts w:ascii="Microsoft JhengHei" w:eastAsia="Microsoft JhengHei" w:hint="eastAsia"/>
                <w:b/>
                <w:sz w:val="21"/>
              </w:rPr>
            </w:pPr>
            <w:r>
              <w:rPr>
                <w:rFonts w:ascii="Microsoft JhengHei" w:eastAsia="Microsoft JhengHei" w:hint="eastAsia"/>
                <w:b/>
                <w:sz w:val="21"/>
              </w:rPr>
              <w:t>C 类基金份额赎回费率</w:t>
            </w:r>
          </w:p>
        </w:tc>
      </w:tr>
      <w:tr>
        <w:trPr>
          <w:trHeight w:val="408" w:hRule="atLeast"/>
        </w:trPr>
        <w:tc>
          <w:tcPr>
            <w:tcW w:w="3870" w:type="dxa"/>
          </w:tcPr>
          <w:p>
            <w:pPr>
              <w:pStyle w:val="TableParagraph"/>
              <w:spacing w:before="3"/>
              <w:ind w:left="1248" w:right="1239"/>
              <w:jc w:val="center"/>
              <w:rPr>
                <w:sz w:val="21"/>
              </w:rPr>
            </w:pPr>
            <w:r>
              <w:rPr>
                <w:sz w:val="21"/>
              </w:rPr>
              <w:t>0-6</w:t>
            </w:r>
          </w:p>
        </w:tc>
        <w:tc>
          <w:tcPr>
            <w:tcW w:w="3798" w:type="dxa"/>
          </w:tcPr>
          <w:p>
            <w:pPr>
              <w:pStyle w:val="TableParagraph"/>
              <w:spacing w:before="3"/>
              <w:ind w:left="831" w:right="821"/>
              <w:jc w:val="center"/>
              <w:rPr>
                <w:sz w:val="21"/>
              </w:rPr>
            </w:pPr>
            <w:r>
              <w:rPr>
                <w:sz w:val="21"/>
              </w:rPr>
              <w:t>1.5%</w:t>
            </w:r>
          </w:p>
        </w:tc>
      </w:tr>
      <w:tr>
        <w:trPr>
          <w:trHeight w:val="408" w:hRule="atLeast"/>
        </w:trPr>
        <w:tc>
          <w:tcPr>
            <w:tcW w:w="3870" w:type="dxa"/>
          </w:tcPr>
          <w:p>
            <w:pPr>
              <w:pStyle w:val="TableParagraph"/>
              <w:spacing w:before="3"/>
              <w:ind w:left="1248" w:right="1239"/>
              <w:jc w:val="center"/>
              <w:rPr>
                <w:sz w:val="21"/>
              </w:rPr>
            </w:pPr>
            <w:r>
              <w:rPr>
                <w:sz w:val="21"/>
              </w:rPr>
              <w:t>7-29</w:t>
            </w:r>
          </w:p>
        </w:tc>
        <w:tc>
          <w:tcPr>
            <w:tcW w:w="3798" w:type="dxa"/>
          </w:tcPr>
          <w:p>
            <w:pPr>
              <w:pStyle w:val="TableParagraph"/>
              <w:spacing w:before="3"/>
              <w:ind w:left="831" w:right="821"/>
              <w:jc w:val="center"/>
              <w:rPr>
                <w:sz w:val="21"/>
              </w:rPr>
            </w:pPr>
            <w:r>
              <w:rPr>
                <w:sz w:val="21"/>
              </w:rPr>
              <w:t>0.75%</w:t>
            </w:r>
          </w:p>
        </w:tc>
      </w:tr>
      <w:tr>
        <w:trPr>
          <w:trHeight w:val="408" w:hRule="atLeast"/>
        </w:trPr>
        <w:tc>
          <w:tcPr>
            <w:tcW w:w="3870" w:type="dxa"/>
          </w:tcPr>
          <w:p>
            <w:pPr>
              <w:pStyle w:val="TableParagraph"/>
              <w:spacing w:before="3"/>
              <w:ind w:left="1248" w:right="1239"/>
              <w:jc w:val="center"/>
              <w:rPr>
                <w:sz w:val="21"/>
              </w:rPr>
            </w:pPr>
            <w:r>
              <w:rPr>
                <w:sz w:val="21"/>
              </w:rPr>
              <w:t>30 及以上</w:t>
            </w:r>
          </w:p>
        </w:tc>
        <w:tc>
          <w:tcPr>
            <w:tcW w:w="3798" w:type="dxa"/>
          </w:tcPr>
          <w:p>
            <w:pPr>
              <w:pStyle w:val="TableParagraph"/>
              <w:spacing w:before="3"/>
              <w:ind w:left="831" w:right="821"/>
              <w:jc w:val="center"/>
              <w:rPr>
                <w:sz w:val="21"/>
              </w:rPr>
            </w:pPr>
            <w:r>
              <w:rPr>
                <w:sz w:val="21"/>
              </w:rPr>
              <w:t>0%</w:t>
            </w:r>
          </w:p>
        </w:tc>
      </w:tr>
    </w:tbl>
    <w:p>
      <w:pPr>
        <w:pStyle w:val="BodyText"/>
        <w:spacing w:line="364" w:lineRule="auto" w:before="3"/>
        <w:ind w:left="220" w:right="1418" w:firstLine="420"/>
        <w:jc w:val="both"/>
      </w:pPr>
      <w:r>
        <w:rPr>
          <w:spacing w:val="-6"/>
        </w:rPr>
        <w:t>投资者可将其持有的全部或部分基金份额赎回。本基金的赎回费用在投资者赎回本基金</w:t>
      </w:r>
      <w:r>
        <w:rPr>
          <w:spacing w:val="-4"/>
        </w:rPr>
        <w:t>份额时收取。对于持有期不少于 </w:t>
      </w:r>
      <w:r>
        <w:rPr/>
        <w:t>30</w:t>
      </w:r>
      <w:r>
        <w:rPr>
          <w:spacing w:val="-27"/>
        </w:rPr>
        <w:t> 日的 </w:t>
      </w:r>
      <w:r>
        <w:rPr/>
        <w:t>A</w:t>
      </w:r>
      <w:r>
        <w:rPr>
          <w:spacing w:val="-8"/>
        </w:rPr>
        <w:t> 类份额所收取的赎回费，在扣除用于市场推广、</w:t>
      </w:r>
      <w:r>
        <w:rPr>
          <w:spacing w:val="-14"/>
        </w:rPr>
        <w:t>注册登记费和其他手续费后的余额归基金财产，赎回费归入基金财产的比例为赎回费总额的</w:t>
      </w:r>
      <w:r>
        <w:rPr/>
        <w:t>25%</w:t>
      </w:r>
      <w:r>
        <w:rPr>
          <w:spacing w:val="-6"/>
        </w:rPr>
        <w:t>。对于持有期限少于 </w:t>
      </w:r>
      <w:r>
        <w:rPr/>
        <w:t>30</w:t>
      </w:r>
      <w:r>
        <w:rPr>
          <w:spacing w:val="-27"/>
        </w:rPr>
        <w:t> 日的 </w:t>
      </w:r>
      <w:r>
        <w:rPr/>
        <w:t>A</w:t>
      </w:r>
      <w:r>
        <w:rPr>
          <w:spacing w:val="-27"/>
        </w:rPr>
        <w:t> 类</w:t>
      </w:r>
      <w:r>
        <w:rPr/>
        <w:t>/C</w:t>
      </w:r>
      <w:r>
        <w:rPr>
          <w:spacing w:val="-8"/>
        </w:rPr>
        <w:t> 类基金份额所收取的赎回费，全额计入基金财产。</w:t>
      </w:r>
    </w:p>
    <w:p>
      <w:pPr>
        <w:pStyle w:val="BodyText"/>
        <w:spacing w:line="364" w:lineRule="auto"/>
        <w:ind w:left="220" w:right="1418" w:firstLine="420"/>
        <w:jc w:val="both"/>
      </w:pPr>
      <w:r>
        <w:rPr/>
        <w:t>5、基金管理人可以在基金合同规定的范围内调整申购费率和赎回费率，调整后的申购</w:t>
      </w:r>
      <w:r>
        <w:rPr>
          <w:spacing w:val="-8"/>
        </w:rPr>
        <w:t>费率和赎回费率在《更新的招募说明书》中列示。上述费率如发生变更，基金管理人最迟应</w:t>
      </w:r>
      <w:r>
        <w:rPr/>
        <w:t>于新的费率或收费方式实施日前依照《信息披露办法》的有关规定在指定媒介上公告。</w:t>
      </w:r>
    </w:p>
    <w:p>
      <w:pPr>
        <w:pStyle w:val="BodyText"/>
        <w:spacing w:line="364" w:lineRule="auto"/>
        <w:ind w:left="220" w:right="14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spacing w:after="0" w:line="364" w:lineRule="auto"/>
        <w:jc w:val="both"/>
        <w:sectPr>
          <w:pgSz w:w="11910" w:h="16840"/>
          <w:pgMar w:header="0" w:footer="664" w:top="1380" w:bottom="940" w:left="1580" w:right="380"/>
        </w:sectPr>
      </w:pPr>
    </w:p>
    <w:p>
      <w:pPr>
        <w:pStyle w:val="Heading3"/>
        <w:spacing w:before="46"/>
      </w:pPr>
      <w:bookmarkStart w:name="_bookmark26" w:id="27"/>
      <w:bookmarkEnd w:id="27"/>
      <w:r>
        <w:rPr/>
      </w:r>
      <w:r>
        <w:rPr/>
        <w:t>(八)申购和赎回的数额和价格</w:t>
      </w:r>
    </w:p>
    <w:p>
      <w:pPr>
        <w:pStyle w:val="BodyText"/>
        <w:spacing w:before="185"/>
      </w:pPr>
      <w:r>
        <w:rPr/>
        <w:t>1、申购和赎回数额、余额的处理方式</w:t>
      </w:r>
    </w:p>
    <w:p>
      <w:pPr>
        <w:pStyle w:val="ListParagraph"/>
        <w:numPr>
          <w:ilvl w:val="0"/>
          <w:numId w:val="9"/>
        </w:numPr>
        <w:tabs>
          <w:tab w:pos="956" w:val="left" w:leader="none"/>
        </w:tabs>
        <w:spacing w:line="364" w:lineRule="auto" w:before="139" w:after="0"/>
        <w:ind w:left="220" w:right="1417" w:firstLine="420"/>
        <w:jc w:val="both"/>
        <w:rPr>
          <w:sz w:val="21"/>
        </w:rPr>
      </w:pPr>
      <w:r>
        <w:rPr>
          <w:sz w:val="21"/>
        </w:rPr>
        <w:t>申购的有效份额为按实际确认的申购金额在扣除相应的费用后，以申购当日基金份</w:t>
      </w:r>
      <w:r>
        <w:rPr>
          <w:spacing w:val="-8"/>
          <w:sz w:val="21"/>
        </w:rPr>
        <w:t>额净值为基准计算。申购涉及金额、份额的计算结果保留到小数点后两位，小数点后两位以</w:t>
      </w:r>
      <w:r>
        <w:rPr>
          <w:sz w:val="21"/>
        </w:rPr>
        <w:t>后的部分四舍五入，由此产生的误差计入基金财产。</w:t>
      </w:r>
    </w:p>
    <w:p>
      <w:pPr>
        <w:pStyle w:val="ListParagraph"/>
        <w:numPr>
          <w:ilvl w:val="0"/>
          <w:numId w:val="9"/>
        </w:numPr>
        <w:tabs>
          <w:tab w:pos="956" w:val="left" w:leader="none"/>
        </w:tabs>
        <w:spacing w:line="364" w:lineRule="auto" w:before="0" w:after="0"/>
        <w:ind w:left="220" w:right="1313" w:firstLine="420"/>
        <w:jc w:val="both"/>
        <w:rPr>
          <w:sz w:val="21"/>
        </w:rPr>
      </w:pPr>
      <w:r>
        <w:rPr>
          <w:sz w:val="21"/>
        </w:rPr>
        <w:t>赎回金额的处理方式：赎回金额为按实际确认的有效赎回份额乘以申请当日基金份</w:t>
      </w:r>
      <w:r>
        <w:rPr>
          <w:spacing w:val="-5"/>
          <w:sz w:val="21"/>
        </w:rPr>
        <w:t>额净值为基准并扣除相应的费用后的余额，赎回费用、赎回金额的单位为人民币元，计算结</w:t>
      </w:r>
      <w:r>
        <w:rPr>
          <w:spacing w:val="-17"/>
          <w:sz w:val="21"/>
        </w:rPr>
        <w:t>果保留到小数点后两位，小数点后两位以后的部分四舍五入，由此产生的误差计入基金财产。</w:t>
      </w:r>
    </w:p>
    <w:p>
      <w:pPr>
        <w:pStyle w:val="BodyText"/>
        <w:spacing w:before="17"/>
      </w:pPr>
      <w:r>
        <w:rPr/>
        <w:t>2、申购份额的计算</w:t>
      </w:r>
    </w:p>
    <w:p>
      <w:pPr>
        <w:pStyle w:val="ListParagraph"/>
        <w:numPr>
          <w:ilvl w:val="0"/>
          <w:numId w:val="10"/>
        </w:numPr>
        <w:tabs>
          <w:tab w:pos="956" w:val="left" w:leader="none"/>
        </w:tabs>
        <w:spacing w:line="364" w:lineRule="auto" w:before="23" w:after="0"/>
        <w:ind w:left="640" w:right="3530" w:firstLine="0"/>
        <w:jc w:val="left"/>
        <w:rPr>
          <w:sz w:val="21"/>
        </w:rPr>
      </w:pPr>
      <w:r>
        <w:rPr>
          <w:spacing w:val="-8"/>
          <w:sz w:val="21"/>
        </w:rPr>
        <w:t>若投资者选择 </w:t>
      </w:r>
      <w:r>
        <w:rPr>
          <w:sz w:val="21"/>
        </w:rPr>
        <w:t>A</w:t>
      </w:r>
      <w:r>
        <w:rPr>
          <w:spacing w:val="-9"/>
          <w:sz w:val="21"/>
        </w:rPr>
        <w:t> 类基金份额，则申购份额的计算公式如下： </w:t>
      </w:r>
      <w:r>
        <w:rPr>
          <w:sz w:val="21"/>
        </w:rPr>
        <w:t>净申购金额=申购金额/(1+申购费率)</w:t>
      </w:r>
    </w:p>
    <w:p>
      <w:pPr>
        <w:pStyle w:val="BodyText"/>
        <w:spacing w:line="364" w:lineRule="auto"/>
        <w:ind w:left="220" w:right="1418" w:firstLine="420"/>
      </w:pPr>
      <w:r>
        <w:rPr>
          <w:spacing w:val="-26"/>
        </w:rPr>
        <w:t>(注：对于 </w:t>
      </w:r>
      <w:r>
        <w:rPr/>
        <w:t>1000</w:t>
      </w:r>
      <w:r>
        <w:rPr>
          <w:spacing w:val="-8"/>
        </w:rPr>
        <w:t> 万(含)以上适用固定金额申购费的申购，净申购金额</w:t>
      </w:r>
      <w:r>
        <w:rPr/>
        <w:t>＝</w:t>
      </w:r>
      <w:r>
        <w:rPr>
          <w:spacing w:val="-3"/>
        </w:rPr>
        <w:t>申购金额－固定</w:t>
      </w:r>
      <w:r>
        <w:rPr/>
        <w:t>申购费金额)</w:t>
      </w:r>
    </w:p>
    <w:p>
      <w:pPr>
        <w:pStyle w:val="BodyText"/>
        <w:spacing w:line="268" w:lineRule="exact"/>
      </w:pPr>
      <w:r>
        <w:rPr/>
        <w:t>申购费用=申购金额-净申购金额</w:t>
      </w:r>
    </w:p>
    <w:p>
      <w:pPr>
        <w:pStyle w:val="BodyText"/>
        <w:spacing w:before="139"/>
      </w:pPr>
      <w:r>
        <w:rPr/>
        <w:t>申购份额=净申购金额/T 日基金份额净值</w:t>
      </w:r>
    </w:p>
    <w:p>
      <w:pPr>
        <w:pStyle w:val="BodyText"/>
        <w:spacing w:line="364" w:lineRule="auto" w:before="139"/>
        <w:ind w:left="220" w:right="1208" w:firstLine="420"/>
      </w:pPr>
      <w:r>
        <w:rPr>
          <w:spacing w:val="-3"/>
        </w:rPr>
        <w:t>例一：某投资人(非特定投资群体)投资 </w:t>
      </w:r>
      <w:r>
        <w:rPr/>
        <w:t>4</w:t>
      </w:r>
      <w:r>
        <w:rPr>
          <w:spacing w:val="-12"/>
        </w:rPr>
        <w:t> 万元申购本基金 </w:t>
      </w:r>
      <w:r>
        <w:rPr/>
        <w:t>A</w:t>
      </w:r>
      <w:r>
        <w:rPr>
          <w:spacing w:val="-11"/>
        </w:rPr>
        <w:t> 类份额，申购费率为 </w:t>
      </w:r>
      <w:r>
        <w:rPr/>
        <w:t>0.8%， </w:t>
      </w:r>
      <w:r>
        <w:rPr>
          <w:spacing w:val="-4"/>
        </w:rPr>
        <w:t>假设申购当日基金份额净值为 </w:t>
      </w:r>
      <w:r>
        <w:rPr/>
        <w:t>1.040</w:t>
      </w:r>
      <w:r>
        <w:rPr>
          <w:spacing w:val="-8"/>
        </w:rPr>
        <w:t> 元，则其可得到的申购份额为：</w:t>
      </w:r>
    </w:p>
    <w:p>
      <w:pPr>
        <w:pStyle w:val="BodyText"/>
        <w:spacing w:line="364" w:lineRule="auto"/>
        <w:ind w:right="5198"/>
      </w:pPr>
      <w:r>
        <w:rPr/>
        <w:t>净申购金额=40,000/(1+0.8%)=39,682.54 元申购费用=40,000-39,682.54=317.46 元</w:t>
      </w:r>
    </w:p>
    <w:p>
      <w:pPr>
        <w:pStyle w:val="BodyText"/>
        <w:spacing w:line="268" w:lineRule="exact"/>
      </w:pPr>
      <w:r>
        <w:rPr/>
        <w:t>申购份额=39,682.54/1.040=38,156.29 份</w:t>
      </w:r>
    </w:p>
    <w:p>
      <w:pPr>
        <w:pStyle w:val="BodyText"/>
        <w:spacing w:line="364" w:lineRule="auto" w:before="139"/>
        <w:ind w:left="220" w:right="1312" w:firstLine="420"/>
      </w:pPr>
      <w:r>
        <w:rPr>
          <w:spacing w:val="-13"/>
        </w:rPr>
        <w:t>例二：某投资人(特定投资群体)通过本管理人的直销中心投资 </w:t>
      </w:r>
      <w:r>
        <w:rPr/>
        <w:t>5</w:t>
      </w:r>
      <w:r>
        <w:rPr>
          <w:spacing w:val="-13"/>
        </w:rPr>
        <w:t> 万元申购本基金 </w:t>
      </w:r>
      <w:r>
        <w:rPr/>
        <w:t>A</w:t>
      </w:r>
      <w:r>
        <w:rPr>
          <w:spacing w:val="-18"/>
        </w:rPr>
        <w:t> 类份</w:t>
      </w:r>
      <w:r>
        <w:rPr>
          <w:spacing w:val="-15"/>
        </w:rPr>
        <w:t>额，申购费率为 </w:t>
      </w:r>
      <w:r>
        <w:rPr>
          <w:spacing w:val="-6"/>
        </w:rPr>
        <w:t>0.08%，假设申购当日基金份额净值为 </w:t>
      </w:r>
      <w:r>
        <w:rPr/>
        <w:t>1.040</w:t>
      </w:r>
      <w:r>
        <w:rPr>
          <w:spacing w:val="-14"/>
        </w:rPr>
        <w:t> 元，则其可得到的申购份额为：</w:t>
      </w:r>
    </w:p>
    <w:p>
      <w:pPr>
        <w:pStyle w:val="BodyText"/>
        <w:spacing w:line="364" w:lineRule="auto"/>
        <w:ind w:right="5093"/>
      </w:pPr>
      <w:r>
        <w:rPr/>
        <w:t>净申购金额=50,000/(1+0.08%)=49,960.03 元申购费用=50,000-49,960.03=39.97 元</w:t>
      </w:r>
    </w:p>
    <w:p>
      <w:pPr>
        <w:pStyle w:val="BodyText"/>
        <w:spacing w:line="268" w:lineRule="exact"/>
      </w:pPr>
      <w:r>
        <w:rPr/>
        <w:t>申购份额=49,960.03/1.040=48,038.49 份</w:t>
      </w:r>
    </w:p>
    <w:p>
      <w:pPr>
        <w:pStyle w:val="ListParagraph"/>
        <w:numPr>
          <w:ilvl w:val="0"/>
          <w:numId w:val="10"/>
        </w:numPr>
        <w:tabs>
          <w:tab w:pos="956" w:val="left" w:leader="none"/>
        </w:tabs>
        <w:spacing w:line="364" w:lineRule="auto" w:before="138" w:after="0"/>
        <w:ind w:left="640" w:right="3530" w:firstLine="0"/>
        <w:jc w:val="left"/>
        <w:rPr>
          <w:sz w:val="21"/>
        </w:rPr>
      </w:pPr>
      <w:r>
        <w:rPr>
          <w:spacing w:val="-8"/>
          <w:sz w:val="21"/>
        </w:rPr>
        <w:t>若投资者选择 </w:t>
      </w:r>
      <w:r>
        <w:rPr>
          <w:sz w:val="21"/>
        </w:rPr>
        <w:t>C</w:t>
      </w:r>
      <w:r>
        <w:rPr>
          <w:spacing w:val="-9"/>
          <w:sz w:val="21"/>
        </w:rPr>
        <w:t> 类基金份额，则申购份额的计算公式如下： </w:t>
      </w:r>
      <w:r>
        <w:rPr>
          <w:sz w:val="21"/>
        </w:rPr>
        <w:t>申购份额=申购金额/T</w:t>
      </w:r>
      <w:r>
        <w:rPr>
          <w:spacing w:val="-8"/>
          <w:sz w:val="21"/>
        </w:rPr>
        <w:t> 日基金份额净值</w:t>
      </w:r>
    </w:p>
    <w:p>
      <w:pPr>
        <w:pStyle w:val="BodyText"/>
        <w:spacing w:line="268" w:lineRule="exact"/>
      </w:pPr>
      <w:r>
        <w:rPr/>
        <w:t>例三：某投资人投资 4 万元申购本基金 C 类基金份额，假设申购当日基金份额净值为</w:t>
      </w:r>
    </w:p>
    <w:p>
      <w:pPr>
        <w:pStyle w:val="ListParagraph"/>
        <w:numPr>
          <w:ilvl w:val="1"/>
          <w:numId w:val="11"/>
        </w:numPr>
        <w:tabs>
          <w:tab w:pos="798" w:val="left" w:leader="none"/>
        </w:tabs>
        <w:spacing w:line="240" w:lineRule="auto" w:before="140" w:after="0"/>
        <w:ind w:left="797" w:right="0" w:hanging="578"/>
        <w:jc w:val="left"/>
        <w:rPr>
          <w:sz w:val="21"/>
        </w:rPr>
      </w:pPr>
      <w:r>
        <w:rPr>
          <w:sz w:val="21"/>
        </w:rPr>
        <w:t>元，则其可得到的申购份额为：</w:t>
      </w:r>
    </w:p>
    <w:p>
      <w:pPr>
        <w:pStyle w:val="BodyText"/>
        <w:spacing w:before="139"/>
      </w:pPr>
      <w:r>
        <w:rPr/>
        <w:t>申购份额=40,000.00/1.040=38,461.54</w:t>
      </w:r>
      <w:r>
        <w:rPr>
          <w:spacing w:val="-27"/>
        </w:rPr>
        <w:t> 份</w:t>
      </w:r>
    </w:p>
    <w:p>
      <w:pPr>
        <w:pStyle w:val="BodyText"/>
        <w:spacing w:before="140"/>
      </w:pPr>
      <w:r>
        <w:rPr/>
        <w:t>3、赎回金额的计算</w:t>
      </w:r>
    </w:p>
    <w:p>
      <w:pPr>
        <w:pStyle w:val="BodyText"/>
        <w:spacing w:before="139"/>
      </w:pPr>
      <w:r>
        <w:rPr/>
        <w:t>赎回金额的计算方法如下：</w:t>
      </w:r>
    </w:p>
    <w:p>
      <w:pPr>
        <w:pStyle w:val="BodyText"/>
        <w:spacing w:line="364" w:lineRule="auto" w:before="140"/>
        <w:ind w:right="4568"/>
      </w:pPr>
      <w:r>
        <w:rPr/>
        <w:t>赎回费用=赎回份额×T 日基金份额净值×赎回费率赎回金额=赎回份额×T 日基金份额净值-赎回费用</w:t>
      </w:r>
    </w:p>
    <w:p>
      <w:pPr>
        <w:spacing w:after="0" w:line="364" w:lineRule="auto"/>
        <w:sectPr>
          <w:pgSz w:w="11910" w:h="16840"/>
          <w:pgMar w:header="0" w:footer="664" w:top="1380" w:bottom="940" w:left="1580" w:right="380"/>
        </w:sectPr>
      </w:pPr>
    </w:p>
    <w:p>
      <w:pPr>
        <w:pStyle w:val="BodyText"/>
        <w:spacing w:line="364" w:lineRule="auto" w:before="45"/>
        <w:ind w:left="220" w:right="1418" w:firstLine="420"/>
      </w:pPr>
      <w:r>
        <w:rPr>
          <w:spacing w:val="-17"/>
        </w:rPr>
        <w:t>例四：某投资人赎回 </w:t>
      </w:r>
      <w:r>
        <w:rPr/>
        <w:t>1</w:t>
      </w:r>
      <w:r>
        <w:rPr>
          <w:spacing w:val="-27"/>
        </w:rPr>
        <w:t> 万份 </w:t>
      </w:r>
      <w:r>
        <w:rPr/>
        <w:t>A</w:t>
      </w:r>
      <w:r>
        <w:rPr>
          <w:spacing w:val="-11"/>
        </w:rPr>
        <w:t> 类基金份额，假设该笔份额持有期限为 </w:t>
      </w:r>
      <w:r>
        <w:rPr/>
        <w:t>100</w:t>
      </w:r>
      <w:r>
        <w:rPr>
          <w:spacing w:val="-11"/>
        </w:rPr>
        <w:t> 天，则对应的</w:t>
      </w:r>
      <w:r>
        <w:rPr>
          <w:spacing w:val="-9"/>
        </w:rPr>
        <w:t>赎回费率为 </w:t>
      </w:r>
      <w:r>
        <w:rPr/>
        <w:t>0.1%，</w:t>
      </w:r>
      <w:r>
        <w:rPr>
          <w:spacing w:val="-4"/>
        </w:rPr>
        <w:t>假设赎回当日基金份额净值是 </w:t>
      </w:r>
      <w:r>
        <w:rPr/>
        <w:t>1.016</w:t>
      </w:r>
      <w:r>
        <w:rPr>
          <w:spacing w:val="-8"/>
        </w:rPr>
        <w:t> 元，则其可得到的赎回金额为：</w:t>
      </w:r>
    </w:p>
    <w:p>
      <w:pPr>
        <w:pStyle w:val="BodyText"/>
        <w:spacing w:line="268" w:lineRule="exact"/>
      </w:pPr>
      <w:r>
        <w:rPr/>
        <w:t>赎回费用=10,000×1.016×0.1%＝10.16 元</w:t>
      </w:r>
    </w:p>
    <w:p>
      <w:pPr>
        <w:pStyle w:val="BodyText"/>
        <w:spacing w:before="139"/>
      </w:pPr>
      <w:r>
        <w:rPr/>
        <w:t>赎回金额=10,000×1.016-10.16＝10,149.84 元</w:t>
      </w:r>
    </w:p>
    <w:p>
      <w:pPr>
        <w:pStyle w:val="BodyText"/>
        <w:spacing w:line="364" w:lineRule="auto" w:before="140"/>
        <w:ind w:left="220" w:right="1208" w:firstLine="420"/>
      </w:pPr>
      <w:r>
        <w:rPr>
          <w:spacing w:val="-3"/>
        </w:rPr>
        <w:t>即：投资人赎回本基金 </w:t>
      </w:r>
      <w:r>
        <w:rPr/>
        <w:t>1</w:t>
      </w:r>
      <w:r>
        <w:rPr>
          <w:spacing w:val="-25"/>
        </w:rPr>
        <w:t> 万份 </w:t>
      </w:r>
      <w:r>
        <w:rPr/>
        <w:t>A</w:t>
      </w:r>
      <w:r>
        <w:rPr>
          <w:spacing w:val="-8"/>
        </w:rPr>
        <w:t> 类基金份额，假设赎回当日基金份额净值是 </w:t>
      </w:r>
      <w:r>
        <w:rPr/>
        <w:t>1.016</w:t>
      </w:r>
      <w:r>
        <w:rPr>
          <w:spacing w:val="-16"/>
        </w:rPr>
        <w:t> 元， </w:t>
      </w:r>
      <w:r>
        <w:rPr>
          <w:spacing w:val="-20"/>
        </w:rPr>
        <w:t>则其可得到的赎回金额为 </w:t>
      </w:r>
      <w:r>
        <w:rPr/>
        <w:t>10,149.84</w:t>
      </w:r>
      <w:r>
        <w:rPr>
          <w:spacing w:val="-18"/>
        </w:rPr>
        <w:t> 元。</w:t>
      </w:r>
    </w:p>
    <w:p>
      <w:pPr>
        <w:pStyle w:val="BodyText"/>
        <w:spacing w:line="364" w:lineRule="auto"/>
        <w:ind w:left="220" w:right="1418" w:firstLine="420"/>
      </w:pPr>
      <w:r>
        <w:rPr>
          <w:spacing w:val="-17"/>
        </w:rPr>
        <w:t>例五：某投资人赎回 </w:t>
      </w:r>
      <w:r>
        <w:rPr/>
        <w:t>1</w:t>
      </w:r>
      <w:r>
        <w:rPr>
          <w:spacing w:val="-27"/>
        </w:rPr>
        <w:t> 万份 </w:t>
      </w:r>
      <w:r>
        <w:rPr/>
        <w:t>A</w:t>
      </w:r>
      <w:r>
        <w:rPr>
          <w:spacing w:val="-11"/>
        </w:rPr>
        <w:t> 类基金份额，假设该笔份额持有期限为 </w:t>
      </w:r>
      <w:r>
        <w:rPr/>
        <w:t>6</w:t>
      </w:r>
      <w:r>
        <w:rPr>
          <w:spacing w:val="-10"/>
        </w:rPr>
        <w:t> 天，则对应的赎</w:t>
      </w:r>
      <w:r>
        <w:rPr>
          <w:spacing w:val="-11"/>
        </w:rPr>
        <w:t>回费率为 </w:t>
      </w:r>
      <w:r>
        <w:rPr/>
        <w:t>1.5%，</w:t>
      </w:r>
      <w:r>
        <w:rPr>
          <w:spacing w:val="-4"/>
        </w:rPr>
        <w:t>假设赎回当日基金份额净值是 </w:t>
      </w:r>
      <w:r>
        <w:rPr/>
        <w:t>1.016</w:t>
      </w:r>
      <w:r>
        <w:rPr>
          <w:spacing w:val="-8"/>
        </w:rPr>
        <w:t> 元，则其可得到的赎回金额为：</w:t>
      </w:r>
    </w:p>
    <w:p>
      <w:pPr>
        <w:pStyle w:val="BodyText"/>
        <w:spacing w:line="268" w:lineRule="exact"/>
      </w:pPr>
      <w:r>
        <w:rPr/>
        <w:t>赎回费用=10,000×1.016×1.5%＝152.40 元</w:t>
      </w:r>
    </w:p>
    <w:p>
      <w:pPr>
        <w:pStyle w:val="BodyText"/>
        <w:spacing w:before="138"/>
      </w:pPr>
      <w:r>
        <w:rPr/>
        <w:t>赎回金额=10,000×1.016-152.40＝10,007.60 元</w:t>
      </w:r>
    </w:p>
    <w:p>
      <w:pPr>
        <w:pStyle w:val="BodyText"/>
        <w:spacing w:line="364" w:lineRule="auto" w:before="140"/>
        <w:ind w:left="220" w:right="1208" w:firstLine="420"/>
      </w:pPr>
      <w:r>
        <w:rPr>
          <w:spacing w:val="-3"/>
        </w:rPr>
        <w:t>即：投资人赎回本基金 </w:t>
      </w:r>
      <w:r>
        <w:rPr/>
        <w:t>1</w:t>
      </w:r>
      <w:r>
        <w:rPr>
          <w:spacing w:val="-25"/>
        </w:rPr>
        <w:t> 万份 </w:t>
      </w:r>
      <w:r>
        <w:rPr/>
        <w:t>A</w:t>
      </w:r>
      <w:r>
        <w:rPr>
          <w:spacing w:val="-8"/>
        </w:rPr>
        <w:t> 类基金份额，假设赎回当日基金份额净值是 </w:t>
      </w:r>
      <w:r>
        <w:rPr/>
        <w:t>1.016</w:t>
      </w:r>
      <w:r>
        <w:rPr>
          <w:spacing w:val="-16"/>
        </w:rPr>
        <w:t> 元， </w:t>
      </w:r>
      <w:r>
        <w:rPr>
          <w:spacing w:val="-20"/>
        </w:rPr>
        <w:t>则其可得到的赎回金额为 </w:t>
      </w:r>
      <w:r>
        <w:rPr/>
        <w:t>10,007.60</w:t>
      </w:r>
      <w:r>
        <w:rPr>
          <w:spacing w:val="-18"/>
        </w:rPr>
        <w:t> 元。</w:t>
      </w:r>
    </w:p>
    <w:p>
      <w:pPr>
        <w:pStyle w:val="BodyText"/>
        <w:spacing w:line="364" w:lineRule="auto"/>
        <w:ind w:left="220" w:right="1418" w:firstLine="420"/>
      </w:pPr>
      <w:r>
        <w:rPr>
          <w:spacing w:val="-6"/>
        </w:rPr>
        <w:t>例六：某投资人赎回 </w:t>
      </w:r>
      <w:r>
        <w:rPr/>
        <w:t>1</w:t>
      </w:r>
      <w:r>
        <w:rPr>
          <w:spacing w:val="-27"/>
        </w:rPr>
        <w:t> 万份 </w:t>
      </w:r>
      <w:r>
        <w:rPr/>
        <w:t>C</w:t>
      </w:r>
      <w:r>
        <w:rPr>
          <w:spacing w:val="-11"/>
        </w:rPr>
        <w:t> 类基金份额，假设该笔份额持有期限为 </w:t>
      </w:r>
      <w:r>
        <w:rPr/>
        <w:t>10</w:t>
      </w:r>
      <w:r>
        <w:rPr>
          <w:spacing w:val="-9"/>
        </w:rPr>
        <w:t> 天，则对应的</w:t>
      </w:r>
      <w:r>
        <w:rPr>
          <w:spacing w:val="-17"/>
        </w:rPr>
        <w:t>赎回费率为 </w:t>
      </w:r>
      <w:r>
        <w:rPr/>
        <w:t>0.75%，</w:t>
      </w:r>
      <w:r>
        <w:rPr>
          <w:spacing w:val="-4"/>
        </w:rPr>
        <w:t>假设赎回当日基金份额净值是 </w:t>
      </w:r>
      <w:r>
        <w:rPr/>
        <w:t>1.016</w:t>
      </w:r>
      <w:r>
        <w:rPr>
          <w:spacing w:val="-8"/>
        </w:rPr>
        <w:t> 元，则其可得到的赎回金额为：</w:t>
      </w:r>
    </w:p>
    <w:p>
      <w:pPr>
        <w:pStyle w:val="BodyText"/>
        <w:spacing w:line="268" w:lineRule="exact"/>
      </w:pPr>
      <w:r>
        <w:rPr/>
        <w:t>赎回费用=10,000×1.016×0.75%＝76.20 元</w:t>
      </w:r>
    </w:p>
    <w:p>
      <w:pPr>
        <w:pStyle w:val="BodyText"/>
        <w:spacing w:before="138"/>
      </w:pPr>
      <w:r>
        <w:rPr/>
        <w:t>赎回金额=10,000×1.016-76.20＝10,083.80 元</w:t>
      </w:r>
    </w:p>
    <w:p>
      <w:pPr>
        <w:pStyle w:val="BodyText"/>
        <w:spacing w:line="364" w:lineRule="auto" w:before="140"/>
        <w:ind w:left="220" w:right="1208" w:firstLine="420"/>
      </w:pPr>
      <w:r>
        <w:rPr>
          <w:spacing w:val="-3"/>
        </w:rPr>
        <w:t>即：投资人赎回本基金 </w:t>
      </w:r>
      <w:r>
        <w:rPr/>
        <w:t>1</w:t>
      </w:r>
      <w:r>
        <w:rPr>
          <w:spacing w:val="-25"/>
        </w:rPr>
        <w:t> 万份 </w:t>
      </w:r>
      <w:r>
        <w:rPr/>
        <w:t>C</w:t>
      </w:r>
      <w:r>
        <w:rPr>
          <w:spacing w:val="-8"/>
        </w:rPr>
        <w:t> 类基金份额，假设赎回当日基金份额净值是 </w:t>
      </w:r>
      <w:r>
        <w:rPr/>
        <w:t>1.016</w:t>
      </w:r>
      <w:r>
        <w:rPr>
          <w:spacing w:val="-16"/>
        </w:rPr>
        <w:t> 元， </w:t>
      </w:r>
      <w:r>
        <w:rPr>
          <w:spacing w:val="-20"/>
        </w:rPr>
        <w:t>则其可得到的赎回金额为 </w:t>
      </w:r>
      <w:r>
        <w:rPr/>
        <w:t>10,083.80</w:t>
      </w:r>
      <w:r>
        <w:rPr>
          <w:spacing w:val="-18"/>
        </w:rPr>
        <w:t> 元。</w:t>
      </w:r>
    </w:p>
    <w:p>
      <w:pPr>
        <w:pStyle w:val="BodyText"/>
        <w:spacing w:line="364" w:lineRule="auto"/>
        <w:ind w:left="220" w:right="1418" w:firstLine="420"/>
      </w:pPr>
      <w:r>
        <w:rPr>
          <w:spacing w:val="-17"/>
        </w:rPr>
        <w:t>例七：某投资人赎回 </w:t>
      </w:r>
      <w:r>
        <w:rPr/>
        <w:t>1</w:t>
      </w:r>
      <w:r>
        <w:rPr>
          <w:spacing w:val="-27"/>
        </w:rPr>
        <w:t> 万份 </w:t>
      </w:r>
      <w:r>
        <w:rPr/>
        <w:t>C</w:t>
      </w:r>
      <w:r>
        <w:rPr>
          <w:spacing w:val="-11"/>
        </w:rPr>
        <w:t> 类基金份额，假设该笔份额持有期限为 </w:t>
      </w:r>
      <w:r>
        <w:rPr/>
        <w:t>6</w:t>
      </w:r>
      <w:r>
        <w:rPr>
          <w:spacing w:val="-10"/>
        </w:rPr>
        <w:t> 天，则对应的赎</w:t>
      </w:r>
      <w:r>
        <w:rPr>
          <w:spacing w:val="-11"/>
        </w:rPr>
        <w:t>回费率为 </w:t>
      </w:r>
      <w:r>
        <w:rPr/>
        <w:t>1.5%，</w:t>
      </w:r>
      <w:r>
        <w:rPr>
          <w:spacing w:val="-4"/>
        </w:rPr>
        <w:t>假设赎回当日基金份额净值是 </w:t>
      </w:r>
      <w:r>
        <w:rPr/>
        <w:t>1.016</w:t>
      </w:r>
      <w:r>
        <w:rPr>
          <w:spacing w:val="-8"/>
        </w:rPr>
        <w:t> 元，则其可得到的赎回金额为：</w:t>
      </w:r>
    </w:p>
    <w:p>
      <w:pPr>
        <w:pStyle w:val="BodyText"/>
        <w:spacing w:line="268" w:lineRule="exact"/>
      </w:pPr>
      <w:r>
        <w:rPr/>
        <w:t>赎回费用=10,000×1.016×1.5%＝152.40 元</w:t>
      </w:r>
    </w:p>
    <w:p>
      <w:pPr>
        <w:pStyle w:val="BodyText"/>
        <w:spacing w:before="138"/>
      </w:pPr>
      <w:r>
        <w:rPr/>
        <w:t>赎回金额=10,000×1.016-152.40＝10,007.60 元</w:t>
      </w:r>
    </w:p>
    <w:p>
      <w:pPr>
        <w:pStyle w:val="BodyText"/>
        <w:spacing w:line="364" w:lineRule="auto" w:before="140"/>
        <w:ind w:left="220" w:right="1208" w:firstLine="420"/>
      </w:pPr>
      <w:r>
        <w:rPr>
          <w:spacing w:val="-3"/>
        </w:rPr>
        <w:t>即：投资人赎回本基金 </w:t>
      </w:r>
      <w:r>
        <w:rPr/>
        <w:t>1</w:t>
      </w:r>
      <w:r>
        <w:rPr>
          <w:spacing w:val="-25"/>
        </w:rPr>
        <w:t> 万份 </w:t>
      </w:r>
      <w:r>
        <w:rPr/>
        <w:t>C</w:t>
      </w:r>
      <w:r>
        <w:rPr>
          <w:spacing w:val="-8"/>
        </w:rPr>
        <w:t> 类基金份额，假设赎回当日基金份额净值是 </w:t>
      </w:r>
      <w:r>
        <w:rPr/>
        <w:t>1.016</w:t>
      </w:r>
      <w:r>
        <w:rPr>
          <w:spacing w:val="-16"/>
        </w:rPr>
        <w:t> 元， </w:t>
      </w:r>
      <w:r>
        <w:rPr>
          <w:spacing w:val="-20"/>
        </w:rPr>
        <w:t>则其可得到的赎回金额为 </w:t>
      </w:r>
      <w:r>
        <w:rPr/>
        <w:t>10,007.60</w:t>
      </w:r>
      <w:r>
        <w:rPr>
          <w:spacing w:val="-18"/>
        </w:rPr>
        <w:t> 元。</w:t>
      </w:r>
    </w:p>
    <w:p>
      <w:pPr>
        <w:pStyle w:val="BodyText"/>
        <w:spacing w:line="268" w:lineRule="exact"/>
      </w:pPr>
      <w:r>
        <w:rPr/>
        <w:t>4、基金份额净值的计算公式</w:t>
      </w:r>
    </w:p>
    <w:p>
      <w:pPr>
        <w:pStyle w:val="BodyText"/>
        <w:spacing w:before="139"/>
      </w:pPr>
      <w:r>
        <w:rPr/>
        <w:t>计算日该类基金份额净值=计算日该类基金资产净值/计算日该类基金总份额。</w:t>
      </w:r>
    </w:p>
    <w:p>
      <w:pPr>
        <w:pStyle w:val="BodyText"/>
        <w:spacing w:line="364" w:lineRule="auto" w:before="140"/>
        <w:ind w:left="220" w:right="1418" w:firstLine="420"/>
      </w:pPr>
      <w:r>
        <w:rPr>
          <w:spacing w:val="-14"/>
        </w:rPr>
        <w:t>本基金 </w:t>
      </w:r>
      <w:r>
        <w:rPr/>
        <w:t>T</w:t>
      </w:r>
      <w:r>
        <w:rPr>
          <w:spacing w:val="-11"/>
        </w:rPr>
        <w:t> 日的基金份额净值在当天收市后计算，并在 </w:t>
      </w:r>
      <w:r>
        <w:rPr/>
        <w:t>T＋1</w:t>
      </w:r>
      <w:r>
        <w:rPr>
          <w:spacing w:val="-8"/>
        </w:rPr>
        <w:t> 日公告。遇特殊情况，可以适当延迟计算或公告。</w:t>
      </w:r>
    </w:p>
    <w:p>
      <w:pPr>
        <w:pStyle w:val="Heading3"/>
      </w:pPr>
      <w:bookmarkStart w:name="_bookmark27" w:id="28"/>
      <w:bookmarkEnd w:id="28"/>
      <w:r>
        <w:rPr/>
      </w:r>
      <w:r>
        <w:rPr/>
        <w:t>(九)申购与赎回的注册登记</w:t>
      </w:r>
    </w:p>
    <w:p>
      <w:pPr>
        <w:pStyle w:val="BodyText"/>
        <w:spacing w:line="364" w:lineRule="auto" w:before="184"/>
        <w:ind w:left="220" w:right="1418" w:firstLine="420"/>
      </w:pPr>
      <w:r>
        <w:rPr/>
        <w:t>1</w:t>
      </w:r>
      <w:r>
        <w:rPr>
          <w:spacing w:val="-11"/>
        </w:rPr>
        <w:t>、投资人 </w:t>
      </w:r>
      <w:r>
        <w:rPr/>
        <w:t>T</w:t>
      </w:r>
      <w:r>
        <w:rPr>
          <w:spacing w:val="-10"/>
        </w:rPr>
        <w:t> 日申购基金成功后，正常情况下，注册登记机构在 </w:t>
      </w:r>
      <w:r>
        <w:rPr/>
        <w:t>T+1</w:t>
      </w:r>
      <w:r>
        <w:rPr>
          <w:spacing w:val="-8"/>
        </w:rPr>
        <w:t> 日为投资者增加权</w:t>
      </w:r>
      <w:r>
        <w:rPr>
          <w:spacing w:val="-11"/>
        </w:rPr>
        <w:t>益并办理注册登记手续，投资人自 </w:t>
      </w:r>
      <w:r>
        <w:rPr/>
        <w:t>T+2</w:t>
      </w:r>
      <w:r>
        <w:rPr>
          <w:spacing w:val="-8"/>
        </w:rPr>
        <w:t> 日起(含该日)有权赎回该部分基金份额。</w:t>
      </w:r>
    </w:p>
    <w:p>
      <w:pPr>
        <w:pStyle w:val="BodyText"/>
        <w:spacing w:line="364" w:lineRule="auto"/>
        <w:ind w:left="220" w:right="1418" w:firstLine="420"/>
      </w:pPr>
      <w:r>
        <w:rPr/>
        <w:t>2</w:t>
      </w:r>
      <w:r>
        <w:rPr>
          <w:spacing w:val="-11"/>
        </w:rPr>
        <w:t>、投资人 </w:t>
      </w:r>
      <w:r>
        <w:rPr/>
        <w:t>T</w:t>
      </w:r>
      <w:r>
        <w:rPr>
          <w:spacing w:val="-10"/>
        </w:rPr>
        <w:t> 日赎回基金成功后，正常情况下，注册登记机构在 </w:t>
      </w:r>
      <w:r>
        <w:rPr/>
        <w:t>T+1</w:t>
      </w:r>
      <w:r>
        <w:rPr>
          <w:spacing w:val="-8"/>
        </w:rPr>
        <w:t> 日为投资人扣除权益并办理相应的注册登记手续。</w:t>
      </w:r>
    </w:p>
    <w:p>
      <w:pPr>
        <w:pStyle w:val="BodyText"/>
        <w:spacing w:line="268" w:lineRule="exact"/>
      </w:pPr>
      <w:r>
        <w:rPr/>
        <w:t>3、在法律法规允许的范围内，注册登记机构可对上述注册登记办理时间进行调整，本</w:t>
      </w:r>
    </w:p>
    <w:p>
      <w:pPr>
        <w:spacing w:after="0" w:line="268" w:lineRule="exact"/>
        <w:sectPr>
          <w:pgSz w:w="11910" w:h="16840"/>
          <w:pgMar w:header="0" w:footer="664" w:top="1380" w:bottom="940" w:left="1580" w:right="380"/>
        </w:sectPr>
      </w:pPr>
    </w:p>
    <w:p>
      <w:pPr>
        <w:pStyle w:val="BodyText"/>
        <w:spacing w:before="45"/>
        <w:ind w:left="220"/>
      </w:pPr>
      <w:r>
        <w:rPr/>
        <w:t>基金管理人将于该调整开始实施前依照《信息披露办法》的有关规定在指定媒介上公告。</w:t>
      </w:r>
    </w:p>
    <w:p>
      <w:pPr>
        <w:pStyle w:val="Heading3"/>
        <w:spacing w:before="141"/>
      </w:pPr>
      <w:bookmarkStart w:name="_bookmark28" w:id="29"/>
      <w:bookmarkEnd w:id="29"/>
      <w:r>
        <w:rPr/>
      </w:r>
      <w:r>
        <w:rPr/>
        <w:t>(十)巨额赎回的认定及处理方式</w:t>
      </w:r>
    </w:p>
    <w:p>
      <w:pPr>
        <w:pStyle w:val="BodyText"/>
        <w:spacing w:before="184"/>
      </w:pPr>
      <w:r>
        <w:rPr/>
        <w:t>1、巨额赎回的认定</w:t>
      </w:r>
    </w:p>
    <w:p>
      <w:pPr>
        <w:pStyle w:val="BodyText"/>
        <w:spacing w:line="364" w:lineRule="auto" w:before="140"/>
        <w:ind w:left="220" w:right="1418" w:firstLine="420"/>
        <w:jc w:val="both"/>
      </w:pPr>
      <w:r>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w:t>
      </w:r>
    </w:p>
    <w:p>
      <w:pPr>
        <w:pStyle w:val="BodyText"/>
        <w:spacing w:line="268" w:lineRule="exact"/>
      </w:pPr>
      <w:r>
        <w:rPr/>
        <w:t>2、巨额赎回的处理方式</w:t>
      </w:r>
    </w:p>
    <w:p>
      <w:pPr>
        <w:pStyle w:val="BodyText"/>
        <w:spacing w:line="364" w:lineRule="auto" w:before="139"/>
        <w:ind w:left="220" w:right="1418" w:firstLine="420"/>
      </w:pPr>
      <w:r>
        <w:rPr>
          <w:spacing w:val="-10"/>
        </w:rPr>
        <w:t>当基金出现巨额赎回时，基金管理人可以根据基金当时的资产组合状况决定全额赎回或</w:t>
      </w:r>
      <w:r>
        <w:rPr/>
        <w:t>部分延期赎回。</w:t>
      </w:r>
    </w:p>
    <w:p>
      <w:pPr>
        <w:pStyle w:val="ListParagraph"/>
        <w:numPr>
          <w:ilvl w:val="2"/>
          <w:numId w:val="11"/>
        </w:numPr>
        <w:tabs>
          <w:tab w:pos="956" w:val="left" w:leader="none"/>
        </w:tabs>
        <w:spacing w:line="364" w:lineRule="auto" w:before="0" w:after="0"/>
        <w:ind w:left="220" w:right="1418" w:firstLine="420"/>
        <w:jc w:val="left"/>
        <w:rPr>
          <w:sz w:val="21"/>
        </w:rPr>
      </w:pPr>
      <w:r>
        <w:rPr>
          <w:sz w:val="21"/>
        </w:rPr>
        <w:t>全额赎回：当基金管理人认为有能力支付投资人的全部赎回申请时，按正常赎回程序执行。</w:t>
      </w:r>
    </w:p>
    <w:p>
      <w:pPr>
        <w:pStyle w:val="ListParagraph"/>
        <w:numPr>
          <w:ilvl w:val="2"/>
          <w:numId w:val="11"/>
        </w:numPr>
        <w:tabs>
          <w:tab w:pos="956" w:val="left" w:leader="none"/>
        </w:tabs>
        <w:spacing w:line="364" w:lineRule="auto" w:before="0" w:after="0"/>
        <w:ind w:left="220" w:right="1208" w:firstLine="420"/>
        <w:jc w:val="left"/>
        <w:rPr>
          <w:sz w:val="21"/>
        </w:rPr>
      </w:pPr>
      <w:r>
        <w:rPr>
          <w:sz w:val="21"/>
        </w:rPr>
        <w:t>部分延期赎回：当基金管理人认为支付投资人的赎回申请有困难或认为因支付投资 </w:t>
      </w:r>
      <w:r>
        <w:rPr>
          <w:spacing w:val="-3"/>
          <w:sz w:val="21"/>
        </w:rPr>
        <w:t>人的赎回申请而进行的财产变现可能会对基金资产净值造成较大波动时，基金管理人在当日 </w:t>
      </w:r>
      <w:r>
        <w:rPr>
          <w:spacing w:val="-5"/>
          <w:sz w:val="21"/>
        </w:rPr>
        <w:t>接受赎回比例不低于上一开放日基金总份额的 </w:t>
      </w:r>
      <w:r>
        <w:rPr>
          <w:sz w:val="21"/>
        </w:rPr>
        <w:t>10％的前提下，可对其余赎回申请延期办理。</w:t>
      </w:r>
      <w:r>
        <w:rPr>
          <w:spacing w:val="-10"/>
          <w:sz w:val="21"/>
        </w:rPr>
        <w:t>对于当日的赎回申请，应当按基金份额持有人提交的每笔赎回申请量占赎回申请总量的比例， </w:t>
      </w:r>
      <w:r>
        <w:rPr>
          <w:spacing w:val="-14"/>
          <w:sz w:val="21"/>
        </w:rPr>
        <w:t>确定该笔赎回申请当日部分确认的赎回份额；对于未能赎回部分，投资人在提交赎回申请时 </w:t>
      </w:r>
      <w:r>
        <w:rPr>
          <w:spacing w:val="-17"/>
          <w:sz w:val="21"/>
        </w:rPr>
        <w:t>可以选择延期赎回或取消赎回。选择延期赎回的，将自动转入下一个开放日继续赎回，直到 </w:t>
      </w:r>
      <w:r>
        <w:rPr>
          <w:spacing w:val="-15"/>
          <w:sz w:val="21"/>
        </w:rPr>
        <w:t>全部赎回为止；选择取消赎回的，当日未获受理的部分赎回申请将被撤销。延期的赎回申请 </w:t>
      </w:r>
      <w:r>
        <w:rPr>
          <w:spacing w:val="-18"/>
          <w:sz w:val="21"/>
        </w:rPr>
        <w:t>与下一开放日赎回申请一并处理，无优先权并以下一开放日的基金份额净值为基础计算赎回 </w:t>
      </w:r>
      <w:r>
        <w:rPr>
          <w:spacing w:val="-11"/>
          <w:sz w:val="21"/>
        </w:rPr>
        <w:t>金额，以此类推，直到全部赎回为止。如投资人在提交赎回申请时未作明确选择，投资人未 能赎回部分作自动延期赎回处理。</w:t>
      </w:r>
    </w:p>
    <w:p>
      <w:pPr>
        <w:pStyle w:val="BodyText"/>
        <w:spacing w:line="364" w:lineRule="auto"/>
        <w:ind w:left="220" w:right="141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2"/>
          <w:numId w:val="11"/>
        </w:numPr>
        <w:tabs>
          <w:tab w:pos="956" w:val="left" w:leader="none"/>
        </w:tabs>
        <w:spacing w:line="268" w:lineRule="exact" w:before="0" w:after="0"/>
        <w:ind w:left="956" w:right="0" w:hanging="316"/>
        <w:jc w:val="both"/>
        <w:rPr>
          <w:sz w:val="21"/>
        </w:rPr>
      </w:pPr>
      <w:r>
        <w:rPr>
          <w:spacing w:val="-7"/>
          <w:sz w:val="21"/>
        </w:rPr>
        <w:t>暂停赎回：连续 </w:t>
      </w:r>
      <w:r>
        <w:rPr>
          <w:sz w:val="21"/>
        </w:rPr>
        <w:t>2</w:t>
      </w:r>
      <w:r>
        <w:rPr>
          <w:spacing w:val="-8"/>
          <w:sz w:val="21"/>
        </w:rPr>
        <w:t> 日以上(含本数)发生巨额赎回，如基金管理人认为有必要，可暂</w:t>
      </w:r>
    </w:p>
    <w:p>
      <w:pPr>
        <w:pStyle w:val="BodyText"/>
        <w:spacing w:line="364" w:lineRule="auto" w:before="133"/>
        <w:ind w:left="220" w:right="1418"/>
        <w:jc w:val="both"/>
      </w:pPr>
      <w:r>
        <w:rPr>
          <w:spacing w:val="-2"/>
        </w:rPr>
        <w:t>停接受基金的赎回申请；已经接受的赎回申请可以延缓支付赎回款项，但不得超过 </w:t>
      </w:r>
      <w:r>
        <w:rPr/>
        <w:t>20</w:t>
      </w:r>
      <w:r>
        <w:rPr>
          <w:spacing w:val="-18"/>
        </w:rPr>
        <w:t> 个工作日，并应当在指定媒介上进行公告。</w:t>
      </w:r>
    </w:p>
    <w:p>
      <w:pPr>
        <w:pStyle w:val="BodyText"/>
        <w:spacing w:line="268" w:lineRule="exact"/>
      </w:pPr>
      <w:r>
        <w:rPr/>
        <w:t>3、巨额赎回的公告</w:t>
      </w:r>
    </w:p>
    <w:p>
      <w:pPr>
        <w:pStyle w:val="BodyText"/>
        <w:spacing w:before="139"/>
      </w:pPr>
      <w:r>
        <w:rPr/>
        <w:t>当发生上述延期赎回并延期办理时，基金管理人应当通过邮寄、传真或者其他方式在 3</w:t>
      </w:r>
    </w:p>
    <w:p>
      <w:pPr>
        <w:pStyle w:val="BodyText"/>
        <w:spacing w:before="140"/>
        <w:ind w:left="220"/>
      </w:pPr>
      <w:r>
        <w:rPr/>
        <w:t>个交易日内通知基金份额持有人，说明有关处理方法，并在 2 日内在指定媒介上刊登公告。</w:t>
      </w:r>
    </w:p>
    <w:p>
      <w:pPr>
        <w:pStyle w:val="Heading3"/>
        <w:spacing w:before="140"/>
      </w:pPr>
      <w:bookmarkStart w:name="_bookmark29" w:id="30"/>
      <w:bookmarkEnd w:id="30"/>
      <w:r>
        <w:rPr/>
      </w:r>
      <w:r>
        <w:rPr/>
        <w:t>(十一)拒绝或暂停申购、暂停赎回的情形及处理</w:t>
      </w:r>
    </w:p>
    <w:p>
      <w:pPr>
        <w:pStyle w:val="BodyText"/>
        <w:spacing w:line="364" w:lineRule="auto" w:before="185"/>
        <w:ind w:right="2690"/>
      </w:pPr>
      <w:r>
        <w:rPr/>
        <w:t>1、发生下列情况时，基金管理人可拒绝或暂停接受投资人的申购申请： (1)因不可抗力导致基金无法正常运作。</w:t>
      </w:r>
    </w:p>
    <w:p>
      <w:pPr>
        <w:spacing w:after="0" w:line="364" w:lineRule="auto"/>
        <w:sectPr>
          <w:pgSz w:w="11910" w:h="16840"/>
          <w:pgMar w:header="0" w:footer="664" w:top="1380" w:bottom="940" w:left="1580" w:right="380"/>
        </w:sectPr>
      </w:pPr>
    </w:p>
    <w:p>
      <w:pPr>
        <w:pStyle w:val="BodyText"/>
        <w:spacing w:line="364" w:lineRule="auto" w:before="45"/>
        <w:ind w:right="1850"/>
      </w:pPr>
      <w:r>
        <w:rPr/>
        <w:t>(2)证券交易所交易时间临时停市，导致基金管理人无法计算当日基金资产净值。(3)发生本基金合同规定的暂停基金资产估值情况。</w:t>
      </w:r>
    </w:p>
    <w:p>
      <w:pPr>
        <w:pStyle w:val="ListParagraph"/>
        <w:numPr>
          <w:ilvl w:val="0"/>
          <w:numId w:val="12"/>
        </w:numPr>
        <w:tabs>
          <w:tab w:pos="956" w:val="left" w:leader="none"/>
        </w:tabs>
        <w:spacing w:line="364" w:lineRule="auto" w:before="0" w:after="0"/>
        <w:ind w:left="220" w:right="1418" w:firstLine="420"/>
        <w:jc w:val="left"/>
        <w:rPr>
          <w:sz w:val="21"/>
        </w:rPr>
      </w:pPr>
      <w:r>
        <w:rPr>
          <w:sz w:val="21"/>
        </w:rPr>
        <w:t>基金管理人认为接受某笔或某些申购申请可能会影响或损害现有基金份额持有人利益时。</w:t>
      </w:r>
    </w:p>
    <w:p>
      <w:pPr>
        <w:pStyle w:val="ListParagraph"/>
        <w:numPr>
          <w:ilvl w:val="0"/>
          <w:numId w:val="12"/>
        </w:numPr>
        <w:tabs>
          <w:tab w:pos="956" w:val="left" w:leader="none"/>
        </w:tabs>
        <w:spacing w:line="364" w:lineRule="auto" w:before="0" w:after="0"/>
        <w:ind w:left="220" w:right="1418" w:firstLine="420"/>
        <w:jc w:val="left"/>
        <w:rPr>
          <w:sz w:val="21"/>
        </w:rPr>
      </w:pPr>
      <w:r>
        <w:rPr>
          <w:sz w:val="21"/>
        </w:rPr>
        <w:t>基金资产规模过大，使基金管理人无法找到合适的投资品种，或其他可能对基金业绩产生负面影响，从而损害现有基金份额持有人利益的情形。</w:t>
      </w:r>
    </w:p>
    <w:p>
      <w:pPr>
        <w:pStyle w:val="ListParagraph"/>
        <w:numPr>
          <w:ilvl w:val="0"/>
          <w:numId w:val="12"/>
        </w:numPr>
        <w:tabs>
          <w:tab w:pos="956" w:val="left" w:leader="none"/>
        </w:tabs>
        <w:spacing w:line="364" w:lineRule="auto" w:before="0" w:after="0"/>
        <w:ind w:left="220" w:right="1418" w:firstLine="420"/>
        <w:jc w:val="left"/>
        <w:rPr>
          <w:sz w:val="21"/>
        </w:rPr>
      </w:pPr>
      <w:r>
        <w:rPr>
          <w:sz w:val="21"/>
        </w:rPr>
        <w:t>基金管理人接受某笔或者某些申购申请有可能导致单一投资者持有基金份额的比例</w:t>
      </w:r>
      <w:r>
        <w:rPr>
          <w:spacing w:val="-8"/>
          <w:sz w:val="21"/>
        </w:rPr>
        <w:t>达到或者超过 </w:t>
      </w:r>
      <w:r>
        <w:rPr>
          <w:sz w:val="21"/>
        </w:rPr>
        <w:t>50%，</w:t>
      </w:r>
      <w:r>
        <w:rPr>
          <w:spacing w:val="-8"/>
          <w:sz w:val="21"/>
        </w:rPr>
        <w:t>或者变相规避 </w:t>
      </w:r>
      <w:r>
        <w:rPr>
          <w:sz w:val="21"/>
        </w:rPr>
        <w:t>50%集中度的情形时。</w:t>
      </w:r>
    </w:p>
    <w:p>
      <w:pPr>
        <w:pStyle w:val="ListParagraph"/>
        <w:numPr>
          <w:ilvl w:val="0"/>
          <w:numId w:val="13"/>
        </w:numPr>
        <w:tabs>
          <w:tab w:pos="1167" w:val="left" w:leader="none"/>
        </w:tabs>
        <w:spacing w:line="364" w:lineRule="auto" w:before="0" w:after="0"/>
        <w:ind w:left="220" w:right="120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13"/>
        </w:numPr>
        <w:tabs>
          <w:tab w:pos="1171" w:val="left" w:leader="none"/>
        </w:tabs>
        <w:spacing w:line="364" w:lineRule="auto" w:before="0" w:after="0"/>
        <w:ind w:left="220" w:right="14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13"/>
        </w:numPr>
        <w:tabs>
          <w:tab w:pos="1166" w:val="left" w:leader="none"/>
        </w:tabs>
        <w:spacing w:line="268" w:lineRule="exact" w:before="0" w:after="0"/>
        <w:ind w:left="1166" w:right="0" w:hanging="526"/>
        <w:jc w:val="left"/>
        <w:rPr>
          <w:sz w:val="21"/>
        </w:rPr>
      </w:pPr>
      <w:r>
        <w:rPr>
          <w:sz w:val="21"/>
        </w:rPr>
        <w:t>法律法规规定或中国证监会认定的其他情形。</w:t>
      </w:r>
    </w:p>
    <w:p>
      <w:pPr>
        <w:pStyle w:val="BodyText"/>
        <w:spacing w:line="364" w:lineRule="auto" w:before="134"/>
        <w:ind w:left="220" w:right="1417" w:firstLine="420"/>
        <w:jc w:val="both"/>
      </w:pPr>
      <w:r>
        <w:rPr/>
        <w:t>发生上述第(1)</w:t>
      </w:r>
      <w:r>
        <w:rPr>
          <w:spacing w:val="-24"/>
        </w:rPr>
        <w:t>、</w:t>
      </w:r>
      <w:r>
        <w:rPr/>
        <w:t>(2)</w:t>
      </w:r>
      <w:r>
        <w:rPr>
          <w:spacing w:val="-24"/>
        </w:rPr>
        <w:t>、</w:t>
      </w:r>
      <w:r>
        <w:rPr/>
        <w:t>(3)</w:t>
      </w:r>
      <w:r>
        <w:rPr>
          <w:spacing w:val="-24"/>
        </w:rPr>
        <w:t>、</w:t>
      </w:r>
      <w:r>
        <w:rPr/>
        <w:t>(5)</w:t>
      </w:r>
      <w:r>
        <w:rPr>
          <w:spacing w:val="-105"/>
        </w:rPr>
        <w:t>、</w:t>
      </w:r>
      <w:r>
        <w:rPr/>
        <w:t>（7</w:t>
      </w:r>
      <w:r>
        <w:rPr>
          <w:spacing w:val="-105"/>
        </w:rPr>
        <w:t>）、</w:t>
      </w:r>
      <w:r>
        <w:rPr/>
        <w:t>（8</w:t>
      </w:r>
      <w:r>
        <w:rPr>
          <w:spacing w:val="-105"/>
        </w:rPr>
        <w:t>）、</w:t>
      </w:r>
      <w:r>
        <w:rPr/>
        <w:t>（9</w:t>
      </w:r>
      <w:r>
        <w:rPr>
          <w:spacing w:val="-24"/>
        </w:rPr>
        <w:t>）</w:t>
      </w:r>
      <w:r>
        <w:rPr>
          <w:spacing w:val="-1"/>
        </w:rPr>
        <w:t>项暂停申购情形且基金管理人决定暂</w:t>
      </w:r>
      <w:r>
        <w:rPr>
          <w:spacing w:val="-10"/>
        </w:rPr>
        <w:t>停申购时，基金管理人应当根据有关规定在指定媒介上刊登暂停申购公告。如果投资人的申</w:t>
      </w:r>
      <w:r>
        <w:rPr>
          <w:spacing w:val="-9"/>
        </w:rPr>
        <w:t>购申请被拒绝，被拒绝的申购款项将退还给投资人。在暂停申购的情况消除时，基金管理人</w:t>
      </w:r>
      <w:r>
        <w:rPr/>
        <w:t>应及时恢复申购业务的办理。</w:t>
      </w:r>
    </w:p>
    <w:p>
      <w:pPr>
        <w:pStyle w:val="BodyText"/>
        <w:spacing w:line="364" w:lineRule="auto"/>
        <w:ind w:right="1430"/>
      </w:pPr>
      <w:r>
        <w:rPr/>
        <w:t>2</w:t>
      </w:r>
      <w:r>
        <w:rPr>
          <w:spacing w:val="-1"/>
        </w:rPr>
        <w:t>、发生下列情形时，基金管理人可暂停接受投资人的赎回申请或延缓支付赎回款项： </w:t>
      </w:r>
      <w:r>
        <w:rPr/>
        <w:t>(1)因不可抗力导致基金管理人不能支付赎回款项。</w:t>
      </w:r>
    </w:p>
    <w:p>
      <w:pPr>
        <w:pStyle w:val="BodyText"/>
        <w:spacing w:line="364" w:lineRule="auto"/>
        <w:ind w:right="1850"/>
        <w:jc w:val="both"/>
      </w:pPr>
      <w:r>
        <w:rPr/>
        <w:t>(2)</w:t>
      </w:r>
      <w:r>
        <w:rPr>
          <w:spacing w:val="-1"/>
        </w:rPr>
        <w:t>证券交易所交易时间临时停市，导致基金管理人无法计算当日基金资产净值。</w:t>
      </w:r>
      <w:r>
        <w:rPr/>
        <w:t>(3)</w:t>
      </w:r>
      <w:r>
        <w:rPr>
          <w:spacing w:val="-1"/>
        </w:rPr>
        <w:t>连续两个或两个以上开放日发生巨额赎回，导致本基金的现金支付出现困难。</w:t>
      </w:r>
      <w:r>
        <w:rPr/>
        <w:t>(4)发生本基金合同规定的暂停基金资产估值情况。</w:t>
      </w:r>
    </w:p>
    <w:p>
      <w:pPr>
        <w:pStyle w:val="BodyText"/>
        <w:spacing w:line="364" w:lineRule="auto"/>
        <w:ind w:left="220" w:right="1418" w:firstLine="420"/>
        <w:jc w:val="both"/>
      </w:pPr>
      <w:r>
        <w:rPr/>
        <w:t>(5</w:t>
      </w:r>
      <w:r>
        <w:rPr>
          <w:spacing w:val="-3"/>
        </w:rPr>
        <w:t>)当前一估值日基金资产净值 </w:t>
      </w:r>
      <w:r>
        <w:rPr/>
        <w:t>50%以上的资产出现无可参考的活跃市场价格且采用估</w:t>
      </w:r>
      <w:r>
        <w:rPr>
          <w:spacing w:val="-6"/>
        </w:rPr>
        <w:t>值技术仍导致公允价值存在重大不确定性时，经与基金托管人协商确认后，基金管理人应当</w:t>
      </w:r>
      <w:r>
        <w:rPr/>
        <w:t>采取延缓支付赎回款项或暂停接受基金赎回申请的措施。</w:t>
      </w:r>
    </w:p>
    <w:p>
      <w:pPr>
        <w:pStyle w:val="BodyText"/>
        <w:spacing w:line="268" w:lineRule="exact"/>
      </w:pPr>
      <w:r>
        <w:rPr/>
        <w:t>（6）法律法规规定或中国证监会认定的其他情形。</w:t>
      </w:r>
    </w:p>
    <w:p>
      <w:pPr>
        <w:pStyle w:val="BodyText"/>
        <w:spacing w:line="364" w:lineRule="auto" w:before="135"/>
        <w:ind w:left="220" w:right="1208" w:firstLine="420"/>
      </w:pPr>
      <w:r>
        <w:rPr/>
        <w:t>发生上述情形且基金管理人决定暂停赎回时，基金管理人应在当日报中国证监会备案， </w:t>
      </w:r>
      <w:r>
        <w:rPr>
          <w:spacing w:val="-6"/>
        </w:rPr>
        <w:t>已接受的赎回申请，基金管理人应足额支付；如暂时不能足额支付，应将可支付部分按单个 </w:t>
      </w:r>
      <w:r>
        <w:rPr>
          <w:spacing w:val="-10"/>
        </w:rPr>
        <w:t>账户申请量占申请总量的比例分配给赎回申请人，未支付部分可延期支付，并以后续开放日 </w:t>
      </w:r>
      <w:r>
        <w:rPr>
          <w:spacing w:val="-14"/>
        </w:rPr>
        <w:t>的基金份额净值为依据计算赎回金额。若连续两个或两个以上开放日发生巨额赎回，延期支 </w:t>
      </w:r>
      <w:r>
        <w:rPr>
          <w:spacing w:val="-19"/>
        </w:rPr>
        <w:t>付最长不得超过 </w:t>
      </w:r>
      <w:r>
        <w:rPr/>
        <w:t>20</w:t>
      </w:r>
      <w:r>
        <w:rPr>
          <w:spacing w:val="-8"/>
        </w:rPr>
        <w:t> 个工作日，并在指定媒介上公告。投资人在申请赎回时可事先选择将当</w:t>
      </w:r>
    </w:p>
    <w:p>
      <w:pPr>
        <w:spacing w:after="0" w:line="364" w:lineRule="auto"/>
        <w:sectPr>
          <w:pgSz w:w="11910" w:h="16840"/>
          <w:pgMar w:header="0" w:footer="664" w:top="1380" w:bottom="940" w:left="1580" w:right="380"/>
        </w:sectPr>
      </w:pPr>
    </w:p>
    <w:p>
      <w:pPr>
        <w:pStyle w:val="BodyText"/>
        <w:spacing w:line="364" w:lineRule="auto" w:before="45"/>
        <w:ind w:left="220" w:right="1418"/>
      </w:pPr>
      <w:r>
        <w:rPr>
          <w:spacing w:val="-7"/>
        </w:rPr>
        <w:t>日可能未获受理部分予以撤销。在暂停赎回的情况消除时，基金管理人应及时恢复赎回业务</w:t>
      </w:r>
      <w:r>
        <w:rPr/>
        <w:t>的办理并予以公告。</w:t>
      </w:r>
    </w:p>
    <w:p>
      <w:pPr>
        <w:pStyle w:val="BodyText"/>
        <w:spacing w:line="268" w:lineRule="exact"/>
      </w:pPr>
      <w:r>
        <w:rPr/>
        <w:t>3、暂停申购或赎回的公告和重新开放申购或赎回的公告</w:t>
      </w:r>
    </w:p>
    <w:p>
      <w:pPr>
        <w:pStyle w:val="ListParagraph"/>
        <w:numPr>
          <w:ilvl w:val="0"/>
          <w:numId w:val="14"/>
        </w:numPr>
        <w:tabs>
          <w:tab w:pos="956" w:val="left" w:leader="none"/>
        </w:tabs>
        <w:spacing w:line="364" w:lineRule="auto" w:before="139" w:after="0"/>
        <w:ind w:left="220" w:right="1418" w:firstLine="420"/>
        <w:jc w:val="left"/>
        <w:rPr>
          <w:sz w:val="21"/>
        </w:rPr>
      </w:pPr>
      <w:r>
        <w:rPr>
          <w:sz w:val="21"/>
        </w:rPr>
        <w:t>发生上述暂停申购或赎回情况的，基金管理人当日应立即向中国证监会备案，并在规定期限内在指定媒介上刊登暂停公告。</w:t>
      </w:r>
    </w:p>
    <w:p>
      <w:pPr>
        <w:pStyle w:val="ListParagraph"/>
        <w:numPr>
          <w:ilvl w:val="0"/>
          <w:numId w:val="14"/>
        </w:numPr>
        <w:tabs>
          <w:tab w:pos="956" w:val="left" w:leader="none"/>
        </w:tabs>
        <w:spacing w:line="364" w:lineRule="auto" w:before="0" w:after="0"/>
        <w:ind w:left="220" w:right="1418" w:firstLine="420"/>
        <w:jc w:val="left"/>
        <w:rPr>
          <w:sz w:val="21"/>
        </w:rPr>
      </w:pPr>
      <w:r>
        <w:rPr>
          <w:spacing w:val="-6"/>
          <w:sz w:val="21"/>
        </w:rPr>
        <w:t>如发生暂停的时间为 </w:t>
      </w:r>
      <w:r>
        <w:rPr>
          <w:sz w:val="21"/>
        </w:rPr>
        <w:t>1</w:t>
      </w:r>
      <w:r>
        <w:rPr>
          <w:spacing w:val="-8"/>
          <w:sz w:val="21"/>
        </w:rPr>
        <w:t> 日，基金管理人应于重新开放日，在指定媒介上刊登基金重</w:t>
      </w:r>
      <w:r>
        <w:rPr>
          <w:spacing w:val="-11"/>
          <w:sz w:val="21"/>
        </w:rPr>
        <w:t>新开放申购或赎回公告，并公布最近 </w:t>
      </w:r>
      <w:r>
        <w:rPr>
          <w:sz w:val="21"/>
        </w:rPr>
        <w:t>1</w:t>
      </w:r>
      <w:r>
        <w:rPr>
          <w:spacing w:val="-8"/>
          <w:sz w:val="21"/>
        </w:rPr>
        <w:t> 个工作日的基金份额净值。</w:t>
      </w:r>
    </w:p>
    <w:p>
      <w:pPr>
        <w:pStyle w:val="ListParagraph"/>
        <w:numPr>
          <w:ilvl w:val="0"/>
          <w:numId w:val="14"/>
        </w:numPr>
        <w:tabs>
          <w:tab w:pos="956" w:val="left" w:leader="none"/>
        </w:tabs>
        <w:spacing w:line="364" w:lineRule="auto" w:before="0" w:after="0"/>
        <w:ind w:left="220" w:right="1418" w:firstLine="420"/>
        <w:jc w:val="both"/>
        <w:rPr>
          <w:sz w:val="21"/>
        </w:rPr>
      </w:pPr>
      <w:r>
        <w:rPr>
          <w:spacing w:val="-5"/>
          <w:sz w:val="21"/>
        </w:rPr>
        <w:t>如发生暂停的时间超过 </w:t>
      </w:r>
      <w:r>
        <w:rPr>
          <w:sz w:val="21"/>
        </w:rPr>
        <w:t>1</w:t>
      </w:r>
      <w:r>
        <w:rPr>
          <w:spacing w:val="-8"/>
          <w:sz w:val="21"/>
        </w:rPr>
        <w:t> 日，暂停结束，基金重新开放申购或赎回时，基金管理人</w:t>
      </w:r>
      <w:r>
        <w:rPr>
          <w:spacing w:val="-14"/>
          <w:sz w:val="21"/>
        </w:rPr>
        <w:t>应提前在指定媒介上刊登基金重新开放申购或赎回公告，并公告最近 </w:t>
      </w:r>
      <w:r>
        <w:rPr>
          <w:sz w:val="21"/>
        </w:rPr>
        <w:t>1</w:t>
      </w:r>
      <w:r>
        <w:rPr>
          <w:spacing w:val="-9"/>
          <w:sz w:val="21"/>
        </w:rPr>
        <w:t> 个工作日的基金份额</w:t>
      </w:r>
      <w:r>
        <w:rPr>
          <w:sz w:val="21"/>
        </w:rPr>
        <w:t>净值。</w:t>
      </w:r>
    </w:p>
    <w:p>
      <w:pPr>
        <w:spacing w:after="0" w:line="364" w:lineRule="auto"/>
        <w:jc w:val="both"/>
        <w:rPr>
          <w:sz w:val="21"/>
        </w:rPr>
        <w:sectPr>
          <w:pgSz w:w="11910" w:h="16840"/>
          <w:pgMar w:header="0" w:footer="664" w:top="1380" w:bottom="940" w:left="1580" w:right="380"/>
        </w:sectPr>
      </w:pPr>
    </w:p>
    <w:p>
      <w:pPr>
        <w:pStyle w:val="Heading2"/>
      </w:pPr>
      <w:bookmarkStart w:name="_bookmark30" w:id="31"/>
      <w:bookmarkEnd w:id="31"/>
      <w:r>
        <w:rPr/>
      </w:r>
      <w:r>
        <w:rPr/>
        <w:t>九、基金转换</w:t>
      </w:r>
    </w:p>
    <w:p>
      <w:pPr>
        <w:pStyle w:val="BodyText"/>
        <w:spacing w:before="10"/>
        <w:ind w:left="0"/>
        <w:rPr>
          <w:sz w:val="10"/>
        </w:rPr>
      </w:pPr>
    </w:p>
    <w:p>
      <w:pPr>
        <w:pStyle w:val="Heading3"/>
        <w:spacing w:before="61"/>
      </w:pPr>
      <w:bookmarkStart w:name="_bookmark31" w:id="32"/>
      <w:bookmarkEnd w:id="32"/>
      <w:r>
        <w:rPr/>
      </w:r>
      <w:r>
        <w:rPr/>
        <w:t>(一)基金转换开始日及时间</w:t>
      </w:r>
    </w:p>
    <w:p>
      <w:pPr>
        <w:pStyle w:val="BodyText"/>
        <w:spacing w:before="185"/>
      </w:pPr>
      <w:r>
        <w:rPr/>
        <w:t>本基金已于 2012 年 1 月 13 日开始办理转换业务，具体实施办法参见相关公告。</w:t>
      </w:r>
    </w:p>
    <w:p>
      <w:pPr>
        <w:pStyle w:val="BodyText"/>
        <w:spacing w:before="139"/>
      </w:pPr>
      <w:r>
        <w:rPr/>
        <w:t>本基金转换业务的开放日为上海证券交易所和深圳证券交易所同时开放交易的工作日</w:t>
      </w:r>
    </w:p>
    <w:p>
      <w:pPr>
        <w:pStyle w:val="BodyText"/>
        <w:spacing w:line="364" w:lineRule="auto" w:before="140"/>
        <w:ind w:left="220" w:right="1208"/>
      </w:pPr>
      <w:r>
        <w:rPr/>
        <w:t>（基金管理人根据法律法规、中国证监会的要求或本基金合同的规定公告暂停转换时除外</w:t>
      </w:r>
      <w:r>
        <w:rPr>
          <w:spacing w:val="-105"/>
        </w:rPr>
        <w:t>）</w:t>
      </w:r>
      <w:r>
        <w:rPr/>
        <w:t>。</w:t>
      </w:r>
      <w:r>
        <w:rPr>
          <w:spacing w:val="-5"/>
        </w:rPr>
        <w:t>具体业务办理时间为上海证券交易所、深圳证券交易所正常交易日的交易时间，若出现新的 </w:t>
      </w:r>
      <w:r>
        <w:rPr>
          <w:spacing w:val="-11"/>
        </w:rPr>
        <w:t>证券交易市场、证券交易所交易时间变更或其他特殊情况，基金管理人可视情况对开放日及 </w:t>
      </w:r>
      <w:r>
        <w:rPr>
          <w:spacing w:val="-14"/>
        </w:rPr>
        <w:t>开放时间进行相应的调整，但应在实施日前依照《信息披露办法》的有关规定在指定媒介上 公告。</w:t>
      </w:r>
    </w:p>
    <w:p>
      <w:pPr>
        <w:pStyle w:val="BodyText"/>
        <w:spacing w:line="364" w:lineRule="auto"/>
        <w:ind w:left="220" w:right="1418" w:firstLine="420"/>
      </w:pPr>
      <w:r>
        <w:rPr/>
        <w:t>投资人在基金合同约定之外的日期和时间提出转换申请且基金管理人或注册登记机构确认接收的，其基金份额转换价格为下一开放日基金份额转换的价格。</w:t>
      </w:r>
    </w:p>
    <w:p>
      <w:pPr>
        <w:pStyle w:val="Heading3"/>
      </w:pPr>
      <w:bookmarkStart w:name="_bookmark32" w:id="33"/>
      <w:bookmarkEnd w:id="33"/>
      <w:r>
        <w:rPr/>
      </w:r>
      <w:r>
        <w:rPr/>
        <w:t>(二)基金转换的原则</w:t>
      </w:r>
    </w:p>
    <w:p>
      <w:pPr>
        <w:pStyle w:val="BodyText"/>
        <w:spacing w:line="364" w:lineRule="auto" w:before="182"/>
        <w:ind w:left="220" w:right="1417" w:firstLine="420"/>
        <w:jc w:val="both"/>
      </w:pPr>
      <w:r>
        <w:rPr/>
        <w:t>1、基金转换以份额为单位进行申请。投资者可以发起多次基金转换业务，基金转换费</w:t>
      </w:r>
      <w:r>
        <w:rPr>
          <w:spacing w:val="-7"/>
        </w:rPr>
        <w:t>用按每笔申请单独计算。转换费用以人民币元为单位，计算结果按照四舍五入方法，保留小</w:t>
      </w:r>
      <w:r>
        <w:rPr/>
        <w:t>数点后两位。</w:t>
      </w:r>
    </w:p>
    <w:p>
      <w:pPr>
        <w:pStyle w:val="BodyText"/>
        <w:spacing w:line="364" w:lineRule="auto"/>
        <w:ind w:left="220" w:right="1430" w:firstLine="420"/>
      </w:pPr>
      <w:r>
        <w:rPr/>
        <w:t>2、当日的转换申请可以在当日交易结束时间前撤销，在当日的交易时间结束后不得撤销。</w:t>
      </w:r>
    </w:p>
    <w:p>
      <w:pPr>
        <w:pStyle w:val="BodyText"/>
        <w:spacing w:line="364" w:lineRule="auto"/>
        <w:ind w:left="220" w:right="1430" w:firstLine="420"/>
      </w:pPr>
      <w:r>
        <w:rPr/>
        <w:t>3、基金转换采取未知价法，即基金的转换价格以转换申请受理当日各转出、转入基金的份额净值为基准进行计算。</w:t>
      </w:r>
    </w:p>
    <w:p>
      <w:pPr>
        <w:pStyle w:val="BodyText"/>
        <w:spacing w:line="364" w:lineRule="auto"/>
        <w:ind w:left="220" w:right="1430" w:firstLine="420"/>
      </w:pPr>
      <w:r>
        <w:rPr/>
        <w:t>4、基金转换只能在同一销售机构进行。转换的两只基金必须都是该销售机构代理的同一基金管理人管理的、在同一注册登记机构注册登记的基金。</w:t>
      </w:r>
    </w:p>
    <w:p>
      <w:pPr>
        <w:pStyle w:val="BodyText"/>
        <w:spacing w:line="364" w:lineRule="auto"/>
        <w:ind w:left="220" w:right="1430" w:firstLine="420"/>
      </w:pPr>
      <w:r>
        <w:rPr/>
        <w:t>5、投资者办理基金转换业务时，转出方的基金必须处于可赎回状态，转入方的基金必须处于可申购状态。</w:t>
      </w:r>
    </w:p>
    <w:p>
      <w:pPr>
        <w:pStyle w:val="BodyText"/>
        <w:spacing w:line="364" w:lineRule="auto"/>
        <w:ind w:left="220" w:right="1417" w:firstLine="420"/>
        <w:jc w:val="both"/>
      </w:pPr>
      <w:r>
        <w:rPr/>
        <w:t>6、转换业务遵循“先进先出”的业务规则，即份额注册日期在前的先转换出，份额注</w:t>
      </w:r>
      <w:r>
        <w:rPr>
          <w:spacing w:val="-7"/>
        </w:rPr>
        <w:t>册日期在后的后转换出，如果转换申请当日，同时有赎回申请的情况下，则遵循先赎回后转</w:t>
      </w:r>
      <w:r>
        <w:rPr/>
        <w:t>换的处理原则。</w:t>
      </w:r>
    </w:p>
    <w:p>
      <w:pPr>
        <w:pStyle w:val="BodyText"/>
        <w:spacing w:line="364" w:lineRule="auto"/>
        <w:ind w:left="220" w:right="1418" w:firstLine="420"/>
      </w:pPr>
      <w:r>
        <w:rPr/>
        <w:t>6.</w:t>
      </w:r>
      <w:r>
        <w:rPr>
          <w:spacing w:val="-11"/>
        </w:rPr>
        <w:t>基金转换后，转入的基金份额的持有期将自转入的基金份额被确认之日起重新开始计</w:t>
      </w:r>
      <w:r>
        <w:rPr/>
        <w:t>算。</w:t>
      </w:r>
    </w:p>
    <w:p>
      <w:pPr>
        <w:pStyle w:val="BodyText"/>
        <w:spacing w:line="364" w:lineRule="auto"/>
        <w:ind w:left="220" w:right="1418" w:firstLine="420"/>
      </w:pPr>
      <w:r>
        <w:rPr>
          <w:spacing w:val="-5"/>
        </w:rPr>
        <w:t>基金管理人可在不损害基金份额持有人权益的情况下调整上述原则，但应在调整生效前</w:t>
      </w:r>
      <w:r>
        <w:rPr/>
        <w:t>在至少一种中国证监会指定的媒体上予以公告。</w:t>
      </w:r>
    </w:p>
    <w:p>
      <w:pPr>
        <w:pStyle w:val="Heading3"/>
      </w:pPr>
      <w:bookmarkStart w:name="_bookmark33" w:id="34"/>
      <w:bookmarkEnd w:id="34"/>
      <w:r>
        <w:rPr/>
      </w:r>
      <w:r>
        <w:rPr/>
        <w:t>(三)基金转换的程序</w:t>
      </w:r>
    </w:p>
    <w:p>
      <w:pPr>
        <w:pStyle w:val="BodyText"/>
        <w:spacing w:before="178"/>
      </w:pPr>
      <w:r>
        <w:rPr/>
        <w:t>1、基金转换的申请方式</w:t>
      </w:r>
    </w:p>
    <w:p>
      <w:pPr>
        <w:spacing w:after="0"/>
        <w:sectPr>
          <w:pgSz w:w="11910" w:h="16840"/>
          <w:pgMar w:header="0" w:footer="664" w:top="1380" w:bottom="940" w:left="1580" w:right="380"/>
        </w:sectPr>
      </w:pPr>
    </w:p>
    <w:p>
      <w:pPr>
        <w:pStyle w:val="BodyText"/>
        <w:spacing w:line="364" w:lineRule="auto" w:before="45"/>
        <w:ind w:left="220" w:right="1418" w:firstLine="420"/>
      </w:pPr>
      <w:r>
        <w:rPr>
          <w:spacing w:val="-5"/>
        </w:rPr>
        <w:t>基金投资者必须根据基金管理人和基金销售机构规定的手续，在开放日的业务办理时间</w:t>
      </w:r>
      <w:r>
        <w:rPr/>
        <w:t>提出转换的申请。</w:t>
      </w:r>
    </w:p>
    <w:p>
      <w:pPr>
        <w:pStyle w:val="BodyText"/>
        <w:spacing w:line="268" w:lineRule="exact"/>
      </w:pPr>
      <w:r>
        <w:rPr/>
        <w:t>提交基金转换申请时，账户中必须有足够可用的转出基金份额余额。</w:t>
      </w:r>
    </w:p>
    <w:p>
      <w:pPr>
        <w:pStyle w:val="BodyText"/>
        <w:spacing w:before="139"/>
      </w:pPr>
      <w:r>
        <w:rPr/>
        <w:t>2、基金转换申请的确认</w:t>
      </w:r>
    </w:p>
    <w:p>
      <w:pPr>
        <w:pStyle w:val="BodyText"/>
        <w:spacing w:line="364" w:lineRule="auto" w:before="140"/>
        <w:ind w:left="220" w:right="1417" w:firstLine="420"/>
        <w:jc w:val="both"/>
      </w:pPr>
      <w:r>
        <w:rPr>
          <w:spacing w:val="-11"/>
        </w:rPr>
        <w:t>正常情况下，基金管理人以在规定的基金业务办理时间段内收到基金转换申请的当天作</w:t>
      </w:r>
      <w:r>
        <w:rPr>
          <w:spacing w:val="-4"/>
        </w:rPr>
        <w:t>为基金转换的申请日</w:t>
      </w:r>
      <w:r>
        <w:rPr/>
        <w:t>（T</w:t>
      </w:r>
      <w:r>
        <w:rPr>
          <w:spacing w:val="-27"/>
        </w:rPr>
        <w:t> 日</w:t>
      </w:r>
      <w:r>
        <w:rPr>
          <w:spacing w:val="-69"/>
        </w:rPr>
        <w:t>）</w:t>
      </w:r>
      <w:r>
        <w:rPr>
          <w:spacing w:val="-31"/>
        </w:rPr>
        <w:t>，并在 </w:t>
      </w:r>
      <w:r>
        <w:rPr/>
        <w:t>T+1</w:t>
      </w:r>
      <w:r>
        <w:rPr>
          <w:spacing w:val="-12"/>
        </w:rPr>
        <w:t> 工作日对该交易的有效性进行确认。投资者可在 </w:t>
      </w:r>
      <w:r>
        <w:rPr>
          <w:spacing w:val="-5"/>
        </w:rPr>
        <w:t>T+2 </w:t>
      </w:r>
      <w:r>
        <w:rPr/>
        <w:t>工作日及之后查询成交情况。</w:t>
      </w:r>
    </w:p>
    <w:p>
      <w:pPr>
        <w:pStyle w:val="Heading3"/>
        <w:spacing w:line="358" w:lineRule="exact"/>
      </w:pPr>
      <w:bookmarkStart w:name="_bookmark34" w:id="35"/>
      <w:bookmarkEnd w:id="35"/>
      <w:r>
        <w:rPr/>
      </w:r>
      <w:r>
        <w:rPr/>
        <w:t>(四)基金转换的份额限制</w:t>
      </w:r>
    </w:p>
    <w:p>
      <w:pPr>
        <w:pStyle w:val="BodyText"/>
        <w:spacing w:line="364" w:lineRule="auto" w:before="185"/>
        <w:ind w:left="220" w:right="1418" w:firstLine="420"/>
        <w:jc w:val="both"/>
      </w:pPr>
      <w:r>
        <w:rPr>
          <w:spacing w:val="-5"/>
        </w:rPr>
        <w:t>基金份额持有人可将其全部或部分基金份额转换成另一只基金，本基金每类基金份额单</w:t>
      </w:r>
      <w:r>
        <w:rPr>
          <w:spacing w:val="-6"/>
        </w:rPr>
        <w:t>笔转出申请不得少于 </w:t>
      </w:r>
      <w:r>
        <w:rPr/>
        <w:t>1</w:t>
      </w:r>
      <w:r>
        <w:rPr>
          <w:spacing w:val="-51"/>
        </w:rPr>
        <w:t> 份</w:t>
      </w:r>
      <w:r>
        <w:rPr/>
        <w:t>（</w:t>
      </w:r>
      <w:r>
        <w:rPr>
          <w:spacing w:val="-3"/>
        </w:rPr>
        <w:t>如该账户在该销售机构托管的该类基金余额不足 </w:t>
      </w:r>
      <w:r>
        <w:rPr/>
        <w:t>1</w:t>
      </w:r>
      <w:r>
        <w:rPr>
          <w:spacing w:val="-18"/>
        </w:rPr>
        <w:t> 份，则必须一</w:t>
      </w:r>
      <w:r>
        <w:rPr/>
        <w:t>次性赎回或转出该类基金全部份额</w:t>
      </w:r>
      <w:r>
        <w:rPr>
          <w:spacing w:val="-105"/>
        </w:rPr>
        <w:t>）</w:t>
      </w:r>
      <w:r>
        <w:rPr/>
        <w:t>；若某笔转换导致投资者在该销售机构托管的该类基金</w:t>
      </w:r>
      <w:r>
        <w:rPr>
          <w:spacing w:val="-11"/>
        </w:rPr>
        <w:t>余额不足 </w:t>
      </w:r>
      <w:r>
        <w:rPr/>
        <w:t>1</w:t>
      </w:r>
      <w:r>
        <w:rPr>
          <w:spacing w:val="-15"/>
        </w:rPr>
        <w:t> 份时，基金管理人有权将投资者在该销售机构托管的该类基金剩余份额一次性全</w:t>
      </w:r>
      <w:r>
        <w:rPr/>
        <w:t>部赎回。</w:t>
      </w:r>
    </w:p>
    <w:p>
      <w:pPr>
        <w:pStyle w:val="BodyText"/>
        <w:spacing w:line="364" w:lineRule="auto"/>
        <w:ind w:left="220" w:right="1418" w:firstLine="420"/>
      </w:pPr>
      <w:r>
        <w:rPr>
          <w:spacing w:val="-4"/>
        </w:rPr>
        <w:t>基金管理人可根据市场情况制定或调整上述基金转换的程序及有关限制，但应在调整生</w:t>
      </w:r>
      <w:r>
        <w:rPr/>
        <w:t>效前在至少一种中国证监会指定的媒体上予以公告。</w:t>
      </w:r>
    </w:p>
    <w:p>
      <w:pPr>
        <w:pStyle w:val="Heading3"/>
      </w:pPr>
      <w:bookmarkStart w:name="_bookmark35" w:id="36"/>
      <w:bookmarkEnd w:id="36"/>
      <w:r>
        <w:rPr/>
      </w:r>
      <w:r>
        <w:rPr/>
        <w:t>(五)基金转换费率</w:t>
      </w:r>
    </w:p>
    <w:p>
      <w:pPr>
        <w:pStyle w:val="BodyText"/>
        <w:spacing w:line="364" w:lineRule="auto" w:before="182"/>
        <w:ind w:left="220" w:right="1312" w:firstLine="420"/>
        <w:jc w:val="both"/>
      </w:pPr>
      <w:r>
        <w:rPr>
          <w:spacing w:val="-6"/>
        </w:rPr>
        <w:t>基金转换费由基金份额持有人承担，由转出基金赎回费用及基金申购补差费用两部分构</w:t>
      </w:r>
      <w:r>
        <w:rPr>
          <w:spacing w:val="-11"/>
        </w:rPr>
        <w:t>成，其中赎回费按照各基金的基金合同、更新的招募说明书及最新的相关公告约定的比例归</w:t>
      </w:r>
      <w:r>
        <w:rPr>
          <w:spacing w:val="-13"/>
        </w:rPr>
        <w:t>入基金财产，其余部分用于支付注册登记费等相关手续费，具体实施办法和基金转换费率详</w:t>
      </w:r>
      <w:r>
        <w:rPr>
          <w:spacing w:val="-17"/>
        </w:rPr>
        <w:t>见相关公告。转换费用以人民币元为单位，计算结果按照四舍五入方法，保留小数点后两位。</w:t>
      </w:r>
    </w:p>
    <w:p>
      <w:pPr>
        <w:pStyle w:val="BodyText"/>
        <w:spacing w:line="364" w:lineRule="auto"/>
        <w:ind w:left="220" w:right="1418" w:firstLine="420"/>
      </w:pPr>
      <w:r>
        <w:rPr>
          <w:spacing w:val="-5"/>
        </w:rPr>
        <w:t>基金管理人可以根据市场情况在不违背有关法律法规和《基金合同》的规定之前提下调</w:t>
      </w:r>
      <w:r>
        <w:rPr/>
        <w:t>整上述费率，但应在调整生效前在至少一种中国证监会指定的媒体上予以公告。</w:t>
      </w:r>
    </w:p>
    <w:p>
      <w:pPr>
        <w:pStyle w:val="BodyText"/>
        <w:spacing w:line="364" w:lineRule="auto"/>
        <w:ind w:left="220" w:right="1417" w:firstLine="420"/>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3"/>
        <w:spacing w:line="358" w:lineRule="exact"/>
      </w:pPr>
      <w:bookmarkStart w:name="_bookmark36" w:id="37"/>
      <w:bookmarkEnd w:id="37"/>
      <w:r>
        <w:rPr/>
      </w:r>
      <w:r>
        <w:rPr/>
        <w:t>(六)基金转换份额的计算方式</w:t>
      </w:r>
    </w:p>
    <w:p>
      <w:pPr>
        <w:pStyle w:val="BodyText"/>
        <w:spacing w:before="182"/>
      </w:pPr>
      <w:r>
        <w:rPr/>
        <w:t>计算公式：</w:t>
      </w:r>
    </w:p>
    <w:p>
      <w:pPr>
        <w:pStyle w:val="BodyText"/>
        <w:spacing w:line="278" w:lineRule="auto" w:before="160"/>
        <w:ind w:left="745" w:right="6140"/>
      </w:pPr>
      <w:r>
        <w:rPr/>
        <w:t>A=［B×C×(1-D)/（1+G）+F］/E H=B×C×D</w:t>
      </w:r>
    </w:p>
    <w:p>
      <w:pPr>
        <w:pStyle w:val="BodyText"/>
        <w:spacing w:line="269" w:lineRule="exact"/>
        <w:ind w:left="745"/>
      </w:pPr>
      <w:r>
        <w:rPr/>
        <w:t>J=[B×C×(1-D)/(1+G)]×G</w:t>
      </w:r>
    </w:p>
    <w:p>
      <w:pPr>
        <w:pStyle w:val="BodyText"/>
        <w:spacing w:line="364" w:lineRule="auto" w:before="23"/>
        <w:ind w:left="220" w:right="1418"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仅限转出基金为易方达货币市</w:t>
      </w:r>
    </w:p>
    <w:p>
      <w:pPr>
        <w:spacing w:after="0" w:line="364" w:lineRule="auto"/>
        <w:jc w:val="both"/>
        <w:sectPr>
          <w:pgSz w:w="11910" w:h="16840"/>
          <w:pgMar w:header="0" w:footer="664" w:top="1380" w:bottom="940" w:left="1580" w:right="380"/>
        </w:sectPr>
      </w:pPr>
    </w:p>
    <w:p>
      <w:pPr>
        <w:pStyle w:val="BodyText"/>
        <w:spacing w:line="364" w:lineRule="auto" w:before="45"/>
        <w:ind w:left="220" w:right="1313"/>
        <w:jc w:val="both"/>
      </w:pPr>
      <w:r>
        <w:rPr>
          <w:spacing w:val="-9"/>
        </w:rPr>
        <w:t>场基金、易方达天天理财货币市场基金、易方达财富快线货币市场基金、易方达天天增利货</w:t>
      </w:r>
      <w:r>
        <w:rPr>
          <w:spacing w:val="-12"/>
        </w:rPr>
        <w:t>币市场基金、易方达龙宝货币市场基金、易方达增金宝货币市场基金、易方达现金增利货币</w:t>
      </w:r>
      <w:r>
        <w:rPr>
          <w:spacing w:val="-11"/>
        </w:rPr>
        <w:t>市场基金、易方达天天发货币市场基金、易方达易理财货币市场基金</w:t>
      </w:r>
      <w:r>
        <w:rPr>
          <w:spacing w:val="-32"/>
        </w:rPr>
        <w:t>）</w:t>
      </w:r>
      <w:r>
        <w:rPr/>
        <w:t>或者短期理财基金转</w:t>
      </w:r>
      <w:r>
        <w:rPr>
          <w:spacing w:val="-9"/>
        </w:rPr>
        <w:t>出时对应的累计未付收益</w:t>
      </w:r>
      <w:r>
        <w:rPr/>
        <w:t>（转出基金为易方达月月利理财债券型基金和易方达掌柜季季盈理财债券型证券投资基金</w:t>
      </w:r>
      <w:r>
        <w:rPr>
          <w:spacing w:val="-105"/>
        </w:rPr>
        <w:t>）</w:t>
      </w:r>
      <w:r>
        <w:rPr>
          <w:spacing w:val="-30"/>
        </w:rPr>
        <w:t>；</w:t>
      </w:r>
      <w:r>
        <w:rPr/>
        <w:t>G</w:t>
      </w:r>
      <w:r>
        <w:rPr>
          <w:spacing w:val="-12"/>
        </w:rPr>
        <w:t> 为对应的申购补差费率；</w:t>
      </w:r>
      <w:r>
        <w:rPr/>
        <w:t>H</w:t>
      </w:r>
      <w:r>
        <w:rPr>
          <w:spacing w:val="-13"/>
        </w:rPr>
        <w:t> 为转出基金赎回费；</w:t>
      </w:r>
      <w:r>
        <w:rPr/>
        <w:t>J</w:t>
      </w:r>
      <w:r>
        <w:rPr>
          <w:spacing w:val="-10"/>
        </w:rPr>
        <w:t> 为申购补差费。</w:t>
      </w:r>
    </w:p>
    <w:p>
      <w:pPr>
        <w:pStyle w:val="BodyText"/>
        <w:spacing w:line="364" w:lineRule="auto"/>
        <w:ind w:left="220" w:right="141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7" w:lineRule="exact"/>
      </w:pPr>
      <w:r>
        <w:rPr/>
        <w:t>说明：</w:t>
      </w:r>
    </w:p>
    <w:p>
      <w:pPr>
        <w:pStyle w:val="BodyText"/>
        <w:spacing w:before="137"/>
      </w:pPr>
      <w:r>
        <w:rPr/>
        <w:t>1、基金转换费用由转出基金赎回费用及基金申购补差费用两部分构成。</w:t>
      </w:r>
    </w:p>
    <w:p>
      <w:pPr>
        <w:pStyle w:val="BodyText"/>
        <w:spacing w:line="364" w:lineRule="auto" w:before="139"/>
        <w:ind w:left="220" w:right="1418" w:firstLine="420"/>
        <w:jc w:val="both"/>
      </w:pPr>
      <w:r>
        <w:rPr/>
        <w:t>2、转入基金时，从申购费用低的基金向申购费用高的基金转换时，每次收取申购补差</w:t>
      </w:r>
      <w:r>
        <w:rPr>
          <w:spacing w:val="-7"/>
        </w:rPr>
        <w:t>费用；从申购费用高的基金向申购费用低的基金转换时，不收取申购补差费用</w:t>
      </w:r>
      <w:r>
        <w:rPr/>
        <w:t>（</w:t>
      </w:r>
      <w:r>
        <w:rPr>
          <w:spacing w:val="-13"/>
        </w:rPr>
        <w:t>注：对通过</w:t>
      </w:r>
      <w:r>
        <w:rPr>
          <w:spacing w:val="-5"/>
        </w:rPr>
        <w:t>直销中心申购实施差别申购费率的特定投资群体基金份额的申购费，以除通过直销中心申购</w:t>
      </w:r>
      <w:r>
        <w:rPr/>
        <w:t>的特定投资群体之外的其他投资者申购费为比较标准</w:t>
      </w:r>
      <w:r>
        <w:rPr>
          <w:spacing w:val="-105"/>
        </w:rPr>
        <w:t>）</w:t>
      </w:r>
      <w:r>
        <w:rPr/>
        <w:t>。申购补差费用按照转换金额对应的</w:t>
      </w:r>
      <w:r>
        <w:rPr>
          <w:spacing w:val="-6"/>
        </w:rPr>
        <w:t>转出基金与转入基金的申购费率差额进行补差，具体收取情况视每次转换时两只基金的申购</w:t>
      </w:r>
      <w:r>
        <w:rPr/>
        <w:t>费率的差异情况而定并见相关公告。</w:t>
      </w:r>
    </w:p>
    <w:p>
      <w:pPr>
        <w:pStyle w:val="BodyText"/>
        <w:spacing w:line="364" w:lineRule="auto"/>
        <w:ind w:left="220" w:right="1208" w:firstLine="420"/>
      </w:pPr>
      <w:r>
        <w:rPr/>
        <w:t>3、转出基金时，如涉及的转出基金有赎回费用，收取该基金的赎回费用。收取的赎回 费按照各基金的基金合同、更新的招募说明书及最新的相关公告约定的比例归入基金财产， 其余部分用于支付注册登记费等相关手续费。</w:t>
      </w:r>
    </w:p>
    <w:p>
      <w:pPr>
        <w:pStyle w:val="BodyText"/>
        <w:spacing w:line="364" w:lineRule="auto"/>
        <w:ind w:left="220" w:right="1418" w:firstLine="420"/>
      </w:pPr>
      <w:r>
        <w:rPr/>
        <w:t>4、投资者可以发起多次基金转换业务，基金转换费用按每笔申请单独计算。转换费用以人民币元为单位，计算结果按照四舍五入方法，保留小数点后两位。</w:t>
      </w:r>
    </w:p>
    <w:p>
      <w:pPr>
        <w:pStyle w:val="BodyText"/>
        <w:spacing w:line="268" w:lineRule="exact"/>
      </w:pPr>
      <w:r>
        <w:rPr/>
        <w:t>举例说明：</w:t>
      </w:r>
    </w:p>
    <w:p>
      <w:pPr>
        <w:pStyle w:val="BodyText"/>
        <w:spacing w:line="364" w:lineRule="auto" w:before="136"/>
        <w:ind w:left="220" w:right="1418" w:firstLine="420"/>
        <w:jc w:val="both"/>
      </w:pPr>
      <w:r>
        <w:rPr>
          <w:spacing w:val="-5"/>
        </w:rPr>
        <w:t>假设某持有人持有本基金 </w:t>
      </w:r>
      <w:r>
        <w:rPr/>
        <w:t>C</w:t>
      </w:r>
      <w:r>
        <w:rPr>
          <w:spacing w:val="-17"/>
        </w:rPr>
        <w:t> 类基金份额 </w:t>
      </w:r>
      <w:r>
        <w:rPr/>
        <w:t>10,000</w:t>
      </w:r>
      <w:r>
        <w:rPr>
          <w:spacing w:val="-19"/>
        </w:rPr>
        <w:t> 份，持有 </w:t>
      </w:r>
      <w:r>
        <w:rPr/>
        <w:t>100</w:t>
      </w:r>
      <w:r>
        <w:rPr>
          <w:spacing w:val="-8"/>
        </w:rPr>
        <w:t> 天，现欲转换为易方达策</w:t>
      </w:r>
      <w:r>
        <w:rPr>
          <w:spacing w:val="-16"/>
        </w:rPr>
        <w:t>略成长二号混合型证券投资基金；假设转出基金 </w:t>
      </w:r>
      <w:r>
        <w:rPr/>
        <w:t>T</w:t>
      </w:r>
      <w:r>
        <w:rPr>
          <w:spacing w:val="-13"/>
        </w:rPr>
        <w:t> 日的基金份额净值为 </w:t>
      </w:r>
      <w:r>
        <w:rPr/>
        <w:t>1.100</w:t>
      </w:r>
      <w:r>
        <w:rPr>
          <w:spacing w:val="-11"/>
        </w:rPr>
        <w:t> 元，转入基金</w:t>
      </w:r>
      <w:r>
        <w:rPr>
          <w:spacing w:val="-3"/>
        </w:rPr>
        <w:t>易方达策略成长二号混合型证券投资基金 </w:t>
      </w:r>
      <w:r>
        <w:rPr/>
        <w:t>T</w:t>
      </w:r>
      <w:r>
        <w:rPr>
          <w:spacing w:val="-13"/>
        </w:rPr>
        <w:t> 日的基金份额净值为 </w:t>
      </w:r>
      <w:r>
        <w:rPr/>
        <w:t>1.020</w:t>
      </w:r>
      <w:r>
        <w:rPr>
          <w:spacing w:val="-19"/>
        </w:rPr>
        <w:t> 元，则转出基金的赎</w:t>
      </w:r>
      <w:r>
        <w:rPr>
          <w:spacing w:val="-11"/>
        </w:rPr>
        <w:t>回费率为 </w:t>
      </w:r>
      <w:r>
        <w:rPr/>
        <w:t>0，</w:t>
      </w:r>
      <w:r>
        <w:rPr>
          <w:spacing w:val="-7"/>
        </w:rPr>
        <w:t>申购补差费率为 </w:t>
      </w:r>
      <w:r>
        <w:rPr/>
        <w:t>2.0%。转换份额计算如下：</w:t>
      </w:r>
    </w:p>
    <w:p>
      <w:pPr>
        <w:pStyle w:val="BodyText"/>
        <w:spacing w:line="364" w:lineRule="auto"/>
        <w:ind w:right="1943"/>
      </w:pPr>
      <w:r>
        <w:rPr/>
        <w:t>转换金额=转出基金申请份额×转出基金份额净值=10,000×1.100=11,000.00 元转出基金赎回费=转换金额×转出基金赎回费率=11,000.00×0.00=0.00 元</w:t>
      </w:r>
    </w:p>
    <w:p>
      <w:pPr>
        <w:pStyle w:val="BodyText"/>
        <w:spacing w:line="268" w:lineRule="exact"/>
      </w:pPr>
      <w:r>
        <w:rPr/>
        <w:t>申购补差费=(转换金额-转出基金赎回费)×申购补差费率÷(１＋申购补差费率)=</w:t>
      </w:r>
    </w:p>
    <w:p>
      <w:pPr>
        <w:pStyle w:val="BodyText"/>
        <w:spacing w:before="137"/>
        <w:ind w:left="220"/>
      </w:pPr>
      <w:r>
        <w:rPr/>
        <w:t>（11,000.00-0.00)×2.0%÷(1+2.0%)=215.69 元</w:t>
      </w:r>
    </w:p>
    <w:p>
      <w:pPr>
        <w:pStyle w:val="BodyText"/>
        <w:spacing w:line="364" w:lineRule="auto" w:before="140"/>
        <w:ind w:right="3623"/>
      </w:pPr>
      <w:r>
        <w:rPr/>
        <w:t>转换费=转出基金赎回费+申购补差费=0.00+215.69=215.69 元转入金额=转换金额-转换费=11,000.00-215.69=10784.31 元</w:t>
      </w:r>
    </w:p>
    <w:p>
      <w:pPr>
        <w:spacing w:after="0" w:line="364" w:lineRule="auto"/>
        <w:sectPr>
          <w:pgSz w:w="11910" w:h="16840"/>
          <w:pgMar w:header="0" w:footer="664" w:top="1380" w:bottom="940" w:left="1580" w:right="380"/>
        </w:sectPr>
      </w:pPr>
    </w:p>
    <w:p>
      <w:pPr>
        <w:pStyle w:val="BodyText"/>
        <w:spacing w:before="45"/>
      </w:pPr>
      <w:r>
        <w:rPr/>
        <w:t>转入份额=转入金额÷转入基金份额净值=10784.31÷1.020=10572.85 份</w:t>
      </w:r>
    </w:p>
    <w:p>
      <w:pPr>
        <w:pStyle w:val="BodyText"/>
        <w:spacing w:before="8"/>
        <w:ind w:left="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12" w:hRule="atLeast"/>
        </w:trPr>
        <w:tc>
          <w:tcPr>
            <w:tcW w:w="1080" w:type="dxa"/>
            <w:vMerge w:val="restart"/>
          </w:tcPr>
          <w:p>
            <w:pPr>
              <w:pStyle w:val="TableParagraph"/>
              <w:spacing w:before="3"/>
              <w:ind w:left="132"/>
              <w:rPr>
                <w:sz w:val="21"/>
              </w:rPr>
            </w:pPr>
            <w:r>
              <w:rPr>
                <w:sz w:val="21"/>
              </w:rPr>
              <w:t>转出份额</w:t>
            </w:r>
          </w:p>
        </w:tc>
        <w:tc>
          <w:tcPr>
            <w:tcW w:w="900" w:type="dxa"/>
            <w:vMerge w:val="restart"/>
          </w:tcPr>
          <w:p>
            <w:pPr>
              <w:pStyle w:val="TableParagraph"/>
              <w:spacing w:line="364" w:lineRule="auto" w:before="3"/>
              <w:ind w:left="42" w:right="5"/>
              <w:rPr>
                <w:sz w:val="21"/>
              </w:rPr>
            </w:pPr>
            <w:r>
              <w:rPr>
                <w:sz w:val="21"/>
              </w:rPr>
              <w:t>转出基金份额净值</w:t>
            </w:r>
          </w:p>
        </w:tc>
        <w:tc>
          <w:tcPr>
            <w:tcW w:w="1440" w:type="dxa"/>
            <w:vMerge w:val="restart"/>
          </w:tcPr>
          <w:p>
            <w:pPr>
              <w:pStyle w:val="TableParagraph"/>
              <w:spacing w:before="3"/>
              <w:ind w:left="312"/>
              <w:rPr>
                <w:sz w:val="21"/>
              </w:rPr>
            </w:pPr>
            <w:r>
              <w:rPr>
                <w:sz w:val="21"/>
              </w:rPr>
              <w:t>转换金额</w:t>
            </w:r>
          </w:p>
        </w:tc>
        <w:tc>
          <w:tcPr>
            <w:tcW w:w="2340" w:type="dxa"/>
            <w:gridSpan w:val="2"/>
          </w:tcPr>
          <w:p>
            <w:pPr>
              <w:pStyle w:val="TableParagraph"/>
              <w:spacing w:before="3"/>
              <w:ind w:left="847" w:right="813"/>
              <w:jc w:val="center"/>
              <w:rPr>
                <w:sz w:val="21"/>
              </w:rPr>
            </w:pPr>
            <w:r>
              <w:rPr>
                <w:sz w:val="21"/>
              </w:rPr>
              <w:t>转换费</w:t>
            </w:r>
          </w:p>
        </w:tc>
        <w:tc>
          <w:tcPr>
            <w:tcW w:w="1440" w:type="dxa"/>
            <w:vMerge w:val="restart"/>
          </w:tcPr>
          <w:p>
            <w:pPr>
              <w:pStyle w:val="TableParagraph"/>
              <w:spacing w:before="3"/>
              <w:ind w:left="312"/>
              <w:rPr>
                <w:sz w:val="21"/>
              </w:rPr>
            </w:pPr>
            <w:r>
              <w:rPr>
                <w:sz w:val="21"/>
              </w:rPr>
              <w:t>转入金额</w:t>
            </w:r>
          </w:p>
        </w:tc>
        <w:tc>
          <w:tcPr>
            <w:tcW w:w="1185" w:type="dxa"/>
            <w:vMerge w:val="restart"/>
          </w:tcPr>
          <w:p>
            <w:pPr>
              <w:pStyle w:val="TableParagraph"/>
              <w:spacing w:line="364" w:lineRule="auto" w:before="3"/>
              <w:ind w:left="290" w:right="44" w:hanging="210"/>
              <w:rPr>
                <w:sz w:val="21"/>
              </w:rPr>
            </w:pPr>
            <w:r>
              <w:rPr>
                <w:sz w:val="21"/>
              </w:rPr>
              <w:t>转入基金份额净值</w:t>
            </w:r>
          </w:p>
        </w:tc>
        <w:tc>
          <w:tcPr>
            <w:tcW w:w="1335" w:type="dxa"/>
            <w:vMerge w:val="restart"/>
          </w:tcPr>
          <w:p>
            <w:pPr>
              <w:pStyle w:val="TableParagraph"/>
              <w:spacing w:before="3"/>
              <w:ind w:left="260"/>
              <w:rPr>
                <w:sz w:val="21"/>
              </w:rPr>
            </w:pPr>
            <w:r>
              <w:rPr>
                <w:sz w:val="21"/>
              </w:rPr>
              <w:t>转入份额</w:t>
            </w:r>
          </w:p>
        </w:tc>
      </w:tr>
      <w:tr>
        <w:trPr>
          <w:trHeight w:val="817" w:hRule="atLeast"/>
        </w:trPr>
        <w:tc>
          <w:tcPr>
            <w:tcW w:w="1080" w:type="dxa"/>
            <w:vMerge/>
            <w:tcBorders>
              <w:top w:val="nil"/>
            </w:tcBorders>
          </w:tcPr>
          <w:p>
            <w:pPr>
              <w:rPr>
                <w:sz w:val="2"/>
                <w:szCs w:val="2"/>
              </w:rPr>
            </w:pPr>
          </w:p>
        </w:tc>
        <w:tc>
          <w:tcPr>
            <w:tcW w:w="900" w:type="dxa"/>
            <w:vMerge/>
            <w:tcBorders>
              <w:top w:val="nil"/>
            </w:tcBorders>
          </w:tcPr>
          <w:p>
            <w:pPr>
              <w:rPr>
                <w:sz w:val="2"/>
                <w:szCs w:val="2"/>
              </w:rPr>
            </w:pPr>
          </w:p>
        </w:tc>
        <w:tc>
          <w:tcPr>
            <w:tcW w:w="1440" w:type="dxa"/>
            <w:vMerge/>
            <w:tcBorders>
              <w:top w:val="nil"/>
            </w:tcBorders>
          </w:tcPr>
          <w:p>
            <w:pPr>
              <w:rPr>
                <w:sz w:val="2"/>
                <w:szCs w:val="2"/>
              </w:rPr>
            </w:pPr>
          </w:p>
        </w:tc>
        <w:tc>
          <w:tcPr>
            <w:tcW w:w="1260" w:type="dxa"/>
          </w:tcPr>
          <w:p>
            <w:pPr>
              <w:pStyle w:val="TableParagraph"/>
              <w:spacing w:before="3"/>
              <w:ind w:left="97" w:right="62"/>
              <w:jc w:val="center"/>
              <w:rPr>
                <w:sz w:val="21"/>
              </w:rPr>
            </w:pPr>
            <w:r>
              <w:rPr>
                <w:sz w:val="21"/>
              </w:rPr>
              <w:t>转出基金赎</w:t>
            </w:r>
          </w:p>
          <w:p>
            <w:pPr>
              <w:pStyle w:val="TableParagraph"/>
              <w:spacing w:before="139"/>
              <w:ind w:left="96" w:right="62"/>
              <w:jc w:val="center"/>
              <w:rPr>
                <w:sz w:val="21"/>
              </w:rPr>
            </w:pPr>
            <w:r>
              <w:rPr>
                <w:sz w:val="21"/>
              </w:rPr>
              <w:t>回费</w:t>
            </w:r>
          </w:p>
        </w:tc>
        <w:tc>
          <w:tcPr>
            <w:tcW w:w="1080" w:type="dxa"/>
          </w:tcPr>
          <w:p>
            <w:pPr>
              <w:pStyle w:val="TableParagraph"/>
              <w:spacing w:before="3"/>
              <w:ind w:left="27" w:right="-15"/>
              <w:jc w:val="center"/>
              <w:rPr>
                <w:sz w:val="21"/>
              </w:rPr>
            </w:pPr>
            <w:r>
              <w:rPr>
                <w:spacing w:val="-3"/>
                <w:sz w:val="21"/>
              </w:rPr>
              <w:t>申购补差费</w:t>
            </w:r>
          </w:p>
        </w:tc>
        <w:tc>
          <w:tcPr>
            <w:tcW w:w="1440" w:type="dxa"/>
            <w:vMerge/>
            <w:tcBorders>
              <w:top w:val="nil"/>
            </w:tcBorders>
          </w:tcPr>
          <w:p>
            <w:pPr>
              <w:rPr>
                <w:sz w:val="2"/>
                <w:szCs w:val="2"/>
              </w:rPr>
            </w:pPr>
          </w:p>
        </w:tc>
        <w:tc>
          <w:tcPr>
            <w:tcW w:w="1185" w:type="dxa"/>
            <w:vMerge/>
            <w:tcBorders>
              <w:top w:val="nil"/>
            </w:tcBorders>
          </w:tcPr>
          <w:p>
            <w:pPr>
              <w:rPr>
                <w:sz w:val="2"/>
                <w:szCs w:val="2"/>
              </w:rPr>
            </w:pPr>
          </w:p>
        </w:tc>
        <w:tc>
          <w:tcPr>
            <w:tcW w:w="1335" w:type="dxa"/>
            <w:vMerge/>
            <w:tcBorders>
              <w:top w:val="nil"/>
            </w:tcBorders>
          </w:tcPr>
          <w:p>
            <w:pPr>
              <w:rPr>
                <w:sz w:val="2"/>
                <w:szCs w:val="2"/>
              </w:rPr>
            </w:pPr>
          </w:p>
        </w:tc>
      </w:tr>
      <w:tr>
        <w:trPr>
          <w:trHeight w:val="408" w:hRule="atLeast"/>
        </w:trPr>
        <w:tc>
          <w:tcPr>
            <w:tcW w:w="1080" w:type="dxa"/>
          </w:tcPr>
          <w:p>
            <w:pPr>
              <w:pStyle w:val="TableParagraph"/>
              <w:spacing w:before="3"/>
              <w:ind w:left="106"/>
              <w:rPr>
                <w:sz w:val="21"/>
              </w:rPr>
            </w:pPr>
            <w:r>
              <w:rPr>
                <w:sz w:val="21"/>
              </w:rPr>
              <w:t>10,000 份</w:t>
            </w:r>
          </w:p>
        </w:tc>
        <w:tc>
          <w:tcPr>
            <w:tcW w:w="900" w:type="dxa"/>
          </w:tcPr>
          <w:p>
            <w:pPr>
              <w:pStyle w:val="TableParagraph"/>
              <w:spacing w:before="3"/>
              <w:ind w:left="68"/>
              <w:rPr>
                <w:sz w:val="21"/>
              </w:rPr>
            </w:pPr>
            <w:r>
              <w:rPr>
                <w:sz w:val="21"/>
              </w:rPr>
              <w:t>1.100</w:t>
            </w:r>
            <w:r>
              <w:rPr>
                <w:spacing w:val="-27"/>
                <w:sz w:val="21"/>
              </w:rPr>
              <w:t> 元</w:t>
            </w:r>
          </w:p>
        </w:tc>
        <w:tc>
          <w:tcPr>
            <w:tcW w:w="1440" w:type="dxa"/>
          </w:tcPr>
          <w:p>
            <w:pPr>
              <w:pStyle w:val="TableParagraph"/>
              <w:spacing w:before="3"/>
              <w:ind w:left="128"/>
              <w:rPr>
                <w:sz w:val="21"/>
              </w:rPr>
            </w:pPr>
            <w:r>
              <w:rPr>
                <w:sz w:val="21"/>
              </w:rPr>
              <w:t>11,000.00 元</w:t>
            </w:r>
          </w:p>
        </w:tc>
        <w:tc>
          <w:tcPr>
            <w:tcW w:w="1260" w:type="dxa"/>
          </w:tcPr>
          <w:p>
            <w:pPr>
              <w:pStyle w:val="TableParagraph"/>
              <w:spacing w:before="3"/>
              <w:ind w:left="301"/>
              <w:rPr>
                <w:sz w:val="21"/>
              </w:rPr>
            </w:pPr>
            <w:r>
              <w:rPr>
                <w:sz w:val="21"/>
              </w:rPr>
              <w:t>0.00 元</w:t>
            </w:r>
          </w:p>
        </w:tc>
        <w:tc>
          <w:tcPr>
            <w:tcW w:w="1080" w:type="dxa"/>
          </w:tcPr>
          <w:p>
            <w:pPr>
              <w:pStyle w:val="TableParagraph"/>
              <w:spacing w:before="3"/>
              <w:ind w:left="106"/>
              <w:rPr>
                <w:sz w:val="21"/>
              </w:rPr>
            </w:pPr>
            <w:r>
              <w:rPr>
                <w:sz w:val="21"/>
              </w:rPr>
              <w:t>215.69 元</w:t>
            </w:r>
          </w:p>
        </w:tc>
        <w:tc>
          <w:tcPr>
            <w:tcW w:w="1440" w:type="dxa"/>
          </w:tcPr>
          <w:p>
            <w:pPr>
              <w:pStyle w:val="TableParagraph"/>
              <w:spacing w:before="3"/>
              <w:ind w:left="128"/>
              <w:rPr>
                <w:sz w:val="21"/>
              </w:rPr>
            </w:pPr>
            <w:r>
              <w:rPr>
                <w:sz w:val="21"/>
              </w:rPr>
              <w:t>10,784.31 元</w:t>
            </w:r>
          </w:p>
        </w:tc>
        <w:tc>
          <w:tcPr>
            <w:tcW w:w="1185" w:type="dxa"/>
          </w:tcPr>
          <w:p>
            <w:pPr>
              <w:pStyle w:val="TableParagraph"/>
              <w:spacing w:before="3"/>
              <w:ind w:left="211"/>
              <w:rPr>
                <w:sz w:val="21"/>
              </w:rPr>
            </w:pPr>
            <w:r>
              <w:rPr>
                <w:sz w:val="21"/>
              </w:rPr>
              <w:t>1.020 元</w:t>
            </w:r>
          </w:p>
        </w:tc>
        <w:tc>
          <w:tcPr>
            <w:tcW w:w="1335" w:type="dxa"/>
          </w:tcPr>
          <w:p>
            <w:pPr>
              <w:pStyle w:val="TableParagraph"/>
              <w:spacing w:before="3"/>
              <w:ind w:left="76"/>
              <w:rPr>
                <w:sz w:val="21"/>
              </w:rPr>
            </w:pPr>
            <w:r>
              <w:rPr>
                <w:sz w:val="21"/>
              </w:rPr>
              <w:t>10,572.85</w:t>
            </w:r>
            <w:r>
              <w:rPr>
                <w:spacing w:val="-27"/>
                <w:sz w:val="21"/>
              </w:rPr>
              <w:t> 份</w:t>
            </w:r>
          </w:p>
        </w:tc>
      </w:tr>
    </w:tbl>
    <w:p>
      <w:pPr>
        <w:pStyle w:val="BodyText"/>
        <w:spacing w:line="364" w:lineRule="auto" w:before="3"/>
        <w:ind w:left="220" w:right="1208" w:firstLine="420"/>
      </w:pPr>
      <w:r>
        <w:rPr>
          <w:spacing w:val="-2"/>
        </w:rPr>
        <w:t>注：本基金转出至易方达平稳增长混合、易方达策略成长混合、易方达上证 </w:t>
      </w:r>
      <w:r>
        <w:rPr/>
        <w:t>50</w:t>
      </w:r>
      <w:r>
        <w:rPr>
          <w:spacing w:val="-10"/>
        </w:rPr>
        <w:t> 指数、易</w:t>
      </w:r>
      <w:r>
        <w:rPr>
          <w:spacing w:val="-14"/>
        </w:rPr>
        <w:t>方达积极成长混合、易方达货币、易方达稳健收益债券时，转入份额的计算结果保留到小 数</w:t>
      </w:r>
      <w:r>
        <w:rPr>
          <w:spacing w:val="-17"/>
        </w:rPr>
        <w:t>点后两位，小数点两位以后舍去，舍去部分所代表的资产归基金财产所有；本基金转出至 易方达天天理财货币、易方达信用债债券、易方达纯债 </w:t>
      </w:r>
      <w:r>
        <w:rPr/>
        <w:t>1</w:t>
      </w:r>
      <w:r>
        <w:rPr>
          <w:spacing w:val="-9"/>
        </w:rPr>
        <w:t> 年定期开放债券、易方达高等级信用债</w:t>
      </w:r>
      <w:r>
        <w:rPr>
          <w:spacing w:val="-11"/>
        </w:rPr>
        <w:t>债券、易方达裕丰回报债券、易方达丰华债券、易方达投资级信用债债券、易方达恒久  </w:t>
      </w:r>
      <w:r>
        <w:rPr/>
        <w:t>1</w:t>
      </w:r>
      <w:r>
        <w:rPr>
          <w:spacing w:val="-25"/>
        </w:rPr>
        <w:t> 年</w:t>
      </w:r>
      <w:r>
        <w:rPr>
          <w:spacing w:val="-18"/>
        </w:rPr>
        <w:t>定期债券、易方达黄金 </w:t>
      </w:r>
      <w:r>
        <w:rPr/>
        <w:t>ETF</w:t>
      </w:r>
      <w:r>
        <w:rPr>
          <w:spacing w:val="-10"/>
        </w:rPr>
        <w:t> 联接、易方达易理财货币、易方达新兴成长混合、易方达裕惠定</w:t>
      </w:r>
      <w:r>
        <w:rPr>
          <w:spacing w:val="-12"/>
        </w:rPr>
        <w:t>开混合发起式、易方达创新驱动混合、易方达现金增利货币、易方达财富快线货币、易 方达</w:t>
      </w:r>
      <w:r>
        <w:rPr>
          <w:spacing w:val="-13"/>
        </w:rPr>
        <w:t>天天增利货币、易方达龙宝货币、易方达天天发货币、易方达掌柜季季盈理财债券、易 方达</w:t>
      </w:r>
      <w:r>
        <w:rPr>
          <w:spacing w:val="-25"/>
        </w:rPr>
        <w:t>沪深 </w:t>
      </w:r>
      <w:r>
        <w:rPr/>
        <w:t>300</w:t>
      </w:r>
      <w:r>
        <w:rPr>
          <w:spacing w:val="-12"/>
        </w:rPr>
        <w:t> 非银联接、易方达增金宝货币、易方达新经济混合、易方达改革红利混合、易方达裕</w:t>
      </w:r>
      <w:r>
        <w:rPr>
          <w:spacing w:val="-13"/>
        </w:rPr>
        <w:t>如混合、易方达安心回馈混合、易方达新常态混合、易方达新收益混合、易方达新利 混合、</w:t>
      </w:r>
      <w:r>
        <w:rPr>
          <w:spacing w:val="-14"/>
        </w:rPr>
        <w:t>易方达新鑫混合、易方达新益混合、易方达新享混合、易方达沪深 </w:t>
      </w:r>
      <w:r>
        <w:rPr/>
        <w:t>300</w:t>
      </w:r>
      <w:r>
        <w:rPr>
          <w:spacing w:val="-27"/>
        </w:rPr>
        <w:t> 医药 </w:t>
      </w:r>
      <w:r>
        <w:rPr/>
        <w:t>ETF</w:t>
      </w:r>
      <w:r>
        <w:rPr>
          <w:spacing w:val="-9"/>
        </w:rPr>
        <w:t> 联接、易方达</w:t>
      </w:r>
      <w:r>
        <w:rPr>
          <w:spacing w:val="-13"/>
        </w:rPr>
        <w:t>新丝路混合、易方达国企改革混合、易方达瑞景混合、易方达瑞享混合、易方达瑞信 混合、</w:t>
      </w:r>
      <w:r>
        <w:rPr>
          <w:spacing w:val="-7"/>
        </w:rPr>
        <w:t>易方达瑞选混合、易方达国防军工混合、易方达中债 </w:t>
      </w:r>
      <w:r>
        <w:rPr/>
        <w:t>3-5</w:t>
      </w:r>
      <w:r>
        <w:rPr>
          <w:spacing w:val="-9"/>
        </w:rPr>
        <w:t> 年期国债指数、易方达信息产业混</w:t>
      </w:r>
      <w:r>
        <w:rPr>
          <w:spacing w:val="-11"/>
        </w:rPr>
        <w:t>合、易方达瑞和混合、易方达安盈回报混合、易方达瑞财混合、易方达瑞智混合、易 方达瑞</w:t>
      </w:r>
      <w:r>
        <w:rPr>
          <w:spacing w:val="-12"/>
        </w:rPr>
        <w:t>兴混合、易方达瑞恒混合、易方达瑞祥混合、易方达环保主题混合、易方达现代服务 业混合</w:t>
      </w:r>
      <w:r>
        <w:rPr>
          <w:spacing w:val="-9"/>
        </w:rPr>
        <w:t>、易方达大健康主题混合、易方达量化策略精选混合、易方达裕祥回报债券、易方达 裕景添</w:t>
      </w:r>
      <w:r>
        <w:rPr>
          <w:spacing w:val="-18"/>
        </w:rPr>
        <w:t>利 </w:t>
      </w:r>
      <w:r>
        <w:rPr/>
        <w:t>6</w:t>
      </w:r>
      <w:r>
        <w:rPr>
          <w:spacing w:val="-5"/>
        </w:rPr>
        <w:t> 个月定期开放债券、易方达丰惠混合、易方达供给改革混合、易方达丰和债券、</w:t>
      </w:r>
    </w:p>
    <w:p>
      <w:pPr>
        <w:pStyle w:val="BodyText"/>
        <w:spacing w:line="364" w:lineRule="auto"/>
        <w:ind w:left="220" w:right="1312"/>
      </w:pPr>
      <w:r>
        <w:rPr>
          <w:spacing w:val="-2"/>
        </w:rPr>
        <w:t>易方达裕鑫债券、易方达富惠纯债债券、易方达科瑞混合、易方达中债 </w:t>
      </w:r>
      <w:r>
        <w:rPr/>
        <w:t>7-10</w:t>
      </w:r>
      <w:r>
        <w:rPr>
          <w:spacing w:val="-9"/>
        </w:rPr>
        <w:t> 年期国开行债</w:t>
      </w:r>
      <w:r>
        <w:rPr>
          <w:spacing w:val="-16"/>
        </w:rPr>
        <w:t>券指数、易方达瑞通混合、易方达瑞弘混合、易方达瑞程混合、易方达恒益定开债券发起式、</w:t>
      </w:r>
      <w:r>
        <w:rPr>
          <w:spacing w:val="-6"/>
        </w:rPr>
        <w:t>易方达易百智能量化策略混合、易方达恒安定开债券发起式、易方达港股通红利混合、易方</w:t>
      </w:r>
      <w:r>
        <w:rPr>
          <w:spacing w:val="-16"/>
        </w:rPr>
        <w:t>达富财纯债债券、易方达恒信定开债券发起式、易方达蓝筹精选混合、易方达中盘成长混合、</w:t>
      </w:r>
      <w:r>
        <w:rPr>
          <w:spacing w:val="-7"/>
        </w:rPr>
        <w:t>易方达鑫转增利混合、易方达鑫转添利混合、易方达鑫转招利混合、易方达恒惠定开债券发</w:t>
      </w:r>
      <w:r>
        <w:rPr>
          <w:spacing w:val="-16"/>
        </w:rPr>
        <w:t>起式、易方达安瑞短债债券、易方达科融混合、易方达安悦超短债债券、易方达 </w:t>
      </w:r>
      <w:r>
        <w:rPr/>
        <w:t>MSCI</w:t>
      </w:r>
      <w:r>
        <w:rPr>
          <w:spacing w:val="-27"/>
        </w:rPr>
        <w:t> 中国 </w:t>
      </w:r>
      <w:r>
        <w:rPr/>
        <w:t>A </w:t>
      </w:r>
      <w:r>
        <w:rPr>
          <w:spacing w:val="-11"/>
        </w:rPr>
        <w:t>股国际通 </w:t>
      </w:r>
      <w:r>
        <w:rPr/>
        <w:t>ETF</w:t>
      </w:r>
      <w:r>
        <w:rPr>
          <w:spacing w:val="-12"/>
        </w:rPr>
        <w:t> 联接发起式、易方达中证 </w:t>
      </w:r>
      <w:r>
        <w:rPr/>
        <w:t>500ETF</w:t>
      </w:r>
      <w:r>
        <w:rPr>
          <w:spacing w:val="-12"/>
        </w:rPr>
        <w:t> 联接发起式、易方达恒利 </w:t>
      </w:r>
      <w:r>
        <w:rPr/>
        <w:t>3</w:t>
      </w:r>
      <w:r>
        <w:rPr>
          <w:spacing w:val="-8"/>
        </w:rPr>
        <w:t> 个月定开债券发</w:t>
      </w:r>
      <w:r>
        <w:rPr>
          <w:spacing w:val="-13"/>
        </w:rPr>
        <w:t>起式、易方达中债 </w:t>
      </w:r>
      <w:r>
        <w:rPr/>
        <w:t>1-3</w:t>
      </w:r>
      <w:r>
        <w:rPr>
          <w:spacing w:val="-13"/>
        </w:rPr>
        <w:t> 年国开行债券指数、易方达中债 </w:t>
      </w:r>
      <w:r>
        <w:rPr/>
        <w:t>3-5</w:t>
      </w:r>
      <w:r>
        <w:rPr>
          <w:spacing w:val="-10"/>
        </w:rPr>
        <w:t> 年国开行债券指数、易方达中债1-3</w:t>
      </w:r>
      <w:r>
        <w:rPr>
          <w:spacing w:val="-13"/>
        </w:rPr>
        <w:t> 年政金债指数、易方达中债 </w:t>
      </w:r>
      <w:r>
        <w:rPr/>
        <w:t>3-5</w:t>
      </w:r>
      <w:r>
        <w:rPr>
          <w:spacing w:val="-13"/>
        </w:rPr>
        <w:t> 年政金债指数、易方达上证 </w:t>
      </w:r>
      <w:r>
        <w:rPr/>
        <w:t>50ETF</w:t>
      </w:r>
      <w:r>
        <w:rPr>
          <w:spacing w:val="-9"/>
        </w:rPr>
        <w:t> 联接发起式、易方达</w:t>
      </w:r>
      <w:r>
        <w:rPr>
          <w:spacing w:val="-27"/>
        </w:rPr>
        <w:t>恒兴 </w:t>
      </w:r>
      <w:r>
        <w:rPr/>
        <w:t>3</w:t>
      </w:r>
      <w:r>
        <w:rPr>
          <w:spacing w:val="-18"/>
        </w:rPr>
        <w:t> 个月定开债券发起式、易方达 </w:t>
      </w:r>
      <w:r>
        <w:rPr/>
        <w:t>ESG</w:t>
      </w:r>
      <w:r>
        <w:rPr>
          <w:spacing w:val="-17"/>
        </w:rPr>
        <w:t> 责任投资股票发起式、易方达中证国企一带一路 </w:t>
      </w:r>
      <w:r>
        <w:rPr/>
        <w:t>ETF </w:t>
      </w:r>
      <w:r>
        <w:rPr>
          <w:spacing w:val="-6"/>
        </w:rPr>
        <w:t>联接、易方达中证 </w:t>
      </w:r>
      <w:r>
        <w:rPr/>
        <w:t>800ETF</w:t>
      </w:r>
      <w:r>
        <w:rPr>
          <w:spacing w:val="-12"/>
        </w:rPr>
        <w:t> 联接发起式、易方达恒盛 </w:t>
      </w:r>
      <w:r>
        <w:rPr/>
        <w:t>3</w:t>
      </w:r>
      <w:r>
        <w:rPr>
          <w:spacing w:val="-8"/>
        </w:rPr>
        <w:t> 个月定开混合发起式、易方达价值精</w:t>
      </w:r>
      <w:r>
        <w:rPr>
          <w:spacing w:val="-12"/>
        </w:rPr>
        <w:t>选混合、易方达价值成长混合、易方达中小盘混合、易方达科汇灵活配置混合、易方达科翔</w:t>
      </w:r>
    </w:p>
    <w:p>
      <w:pPr>
        <w:spacing w:after="0" w:line="364" w:lineRule="auto"/>
        <w:sectPr>
          <w:pgSz w:w="11910" w:h="16840"/>
          <w:pgMar w:header="0" w:footer="664" w:top="1380" w:bottom="940" w:left="1580" w:right="380"/>
        </w:sectPr>
      </w:pPr>
    </w:p>
    <w:p>
      <w:pPr>
        <w:pStyle w:val="BodyText"/>
        <w:spacing w:line="364" w:lineRule="auto" w:before="45"/>
        <w:ind w:left="220" w:right="1208"/>
      </w:pPr>
      <w:r>
        <w:rPr>
          <w:spacing w:val="-2"/>
        </w:rPr>
        <w:t>混合、易方达行业领先混合、易方达增强回报债券、易方达深证 </w:t>
      </w:r>
      <w:r>
        <w:rPr/>
        <w:t>100ETF</w:t>
      </w:r>
      <w:r>
        <w:rPr>
          <w:spacing w:val="-8"/>
        </w:rPr>
        <w:t> 联接、易方达沪深300ETF 发起式联接、易方达上证中盘 </w:t>
      </w:r>
      <w:r>
        <w:rPr/>
        <w:t>ETF</w:t>
      </w:r>
      <w:r>
        <w:rPr>
          <w:spacing w:val="-6"/>
        </w:rPr>
        <w:t> 联接、易方达消费行业股票、易方达医疗保健行业</w:t>
      </w:r>
      <w:r>
        <w:rPr>
          <w:spacing w:val="-11"/>
        </w:rPr>
        <w:t>混合、易方达资源行业混合、易方达创业板 </w:t>
      </w:r>
      <w:r>
        <w:rPr/>
        <w:t>ETF</w:t>
      </w:r>
      <w:r>
        <w:rPr>
          <w:spacing w:val="-11"/>
        </w:rPr>
        <w:t> 联接、易方达安心回报债券、易方达科讯混合</w:t>
      </w:r>
      <w:r>
        <w:rPr>
          <w:spacing w:val="-12"/>
        </w:rPr>
        <w:t>、易方达沪深 </w:t>
      </w:r>
      <w:r>
        <w:rPr/>
        <w:t>300</w:t>
      </w:r>
      <w:r>
        <w:rPr>
          <w:spacing w:val="-12"/>
        </w:rPr>
        <w:t> 量化增强、易方达纯债债券、易方达月月利理财债券、易方达安源中短债债</w:t>
      </w:r>
      <w:r>
        <w:rPr>
          <w:spacing w:val="-10"/>
        </w:rPr>
        <w:t>券、易方达策略成长二号混合、易方达研究精选股票时，转入份额的计算结果保留到 小数点</w:t>
      </w:r>
      <w:r>
        <w:rPr>
          <w:spacing w:val="-4"/>
        </w:rPr>
        <w:t>后两位，小数点后两位以后的部分四舍五入，由此误差产生的损失由基金财产承担， 产生的收益归基金财产所有。</w:t>
      </w:r>
    </w:p>
    <w:p>
      <w:pPr>
        <w:pStyle w:val="Heading3"/>
        <w:spacing w:line="357" w:lineRule="exact"/>
      </w:pPr>
      <w:bookmarkStart w:name="_bookmark37" w:id="38"/>
      <w:bookmarkEnd w:id="38"/>
      <w:r>
        <w:rPr/>
      </w:r>
      <w:r>
        <w:rPr/>
        <w:t>(七)基金转换的注册登记</w:t>
      </w:r>
    </w:p>
    <w:p>
      <w:pPr>
        <w:pStyle w:val="BodyText"/>
        <w:spacing w:line="364" w:lineRule="auto" w:before="185"/>
        <w:ind w:left="220" w:right="1430" w:firstLine="420"/>
        <w:jc w:val="both"/>
      </w:pPr>
      <w:r>
        <w:rPr>
          <w:spacing w:val="-14"/>
        </w:rPr>
        <w:t>投资者 </w:t>
      </w:r>
      <w:r>
        <w:rPr/>
        <w:t>T</w:t>
      </w:r>
      <w:r>
        <w:rPr>
          <w:spacing w:val="-11"/>
        </w:rPr>
        <w:t> 日申请基金转换成功后，注册登记机构将在 </w:t>
      </w:r>
      <w:r>
        <w:rPr/>
        <w:t>T＋1</w:t>
      </w:r>
      <w:r>
        <w:rPr>
          <w:spacing w:val="-9"/>
        </w:rPr>
        <w:t> 工作日为投资者办理减少转</w:t>
      </w:r>
      <w:r>
        <w:rPr>
          <w:spacing w:val="-2"/>
        </w:rPr>
        <w:t>出基金份额、增加转入基金份额的权益登记手续，一般情况下，投资者自 </w:t>
      </w:r>
      <w:r>
        <w:rPr/>
        <w:t>T＋2</w:t>
      </w:r>
      <w:r>
        <w:rPr>
          <w:spacing w:val="-13"/>
        </w:rPr>
        <w:t> 工作日起有</w:t>
      </w:r>
      <w:r>
        <w:rPr/>
        <w:t>权赎回转入部分的基金份额。</w:t>
      </w:r>
    </w:p>
    <w:p>
      <w:pPr>
        <w:pStyle w:val="BodyText"/>
        <w:spacing w:line="364" w:lineRule="auto"/>
        <w:ind w:left="220" w:right="1418" w:firstLine="420"/>
      </w:pPr>
      <w:r>
        <w:rPr>
          <w:spacing w:val="-6"/>
        </w:rPr>
        <w:t>基金管理人可在法律法规允许的范围内，对上述注册登记办理时间进行调整，并应在调</w:t>
      </w:r>
      <w:r>
        <w:rPr/>
        <w:t>整生效前在至少一种中国证监会指定的媒体上予以公告。</w:t>
      </w:r>
    </w:p>
    <w:p>
      <w:pPr>
        <w:pStyle w:val="Heading3"/>
      </w:pPr>
      <w:bookmarkStart w:name="_bookmark38" w:id="39"/>
      <w:bookmarkEnd w:id="39"/>
      <w:r>
        <w:rPr/>
      </w:r>
      <w:r>
        <w:rPr/>
        <w:t>(八)基金转换与巨额赎回</w:t>
      </w:r>
    </w:p>
    <w:p>
      <w:pPr>
        <w:pStyle w:val="BodyText"/>
        <w:spacing w:line="364" w:lineRule="auto" w:before="183"/>
        <w:ind w:left="220" w:right="1313" w:firstLine="420"/>
        <w:jc w:val="both"/>
      </w:pPr>
      <w:r>
        <w:rPr>
          <w:spacing w:val="-8"/>
        </w:rPr>
        <w:t>发生巨额赎回时，基金转出与基金赎回具有相同的优先级，基金管理人可根据基金资产</w:t>
      </w:r>
      <w:r>
        <w:rPr>
          <w:spacing w:val="-11"/>
        </w:rPr>
        <w:t>组合情况，决定全额转出或部分转出，并且对于基金转出和基金赎回，将采取相同的比例确</w:t>
      </w:r>
      <w:r>
        <w:rPr>
          <w:spacing w:val="-21"/>
        </w:rPr>
        <w:t>认</w:t>
      </w:r>
      <w:r>
        <w:rPr/>
        <w:t>（除另有公告外</w:t>
      </w:r>
      <w:r>
        <w:rPr>
          <w:spacing w:val="-79"/>
        </w:rPr>
        <w:t>）</w:t>
      </w:r>
      <w:r>
        <w:rPr>
          <w:spacing w:val="-12"/>
        </w:rPr>
        <w:t>；在转出申请得到部分确认的情况下，未确认的转出申请将不予以顺延。</w:t>
      </w:r>
    </w:p>
    <w:p>
      <w:pPr>
        <w:pStyle w:val="Heading3"/>
        <w:spacing w:line="358" w:lineRule="exact"/>
      </w:pPr>
      <w:bookmarkStart w:name="_bookmark39" w:id="40"/>
      <w:bookmarkEnd w:id="40"/>
      <w:r>
        <w:rPr/>
      </w:r>
      <w:r>
        <w:rPr/>
        <w:t>(九)暂停基金转换的情形</w:t>
      </w:r>
    </w:p>
    <w:p>
      <w:pPr>
        <w:pStyle w:val="BodyText"/>
        <w:spacing w:before="185"/>
      </w:pPr>
      <w:r>
        <w:rPr/>
        <w:t>发生下列情况时，基金管理人可拒绝或暂停接受基金投资者的转换申请：</w:t>
      </w:r>
    </w:p>
    <w:p>
      <w:pPr>
        <w:pStyle w:val="BodyText"/>
        <w:spacing w:before="140"/>
      </w:pPr>
      <w:r>
        <w:rPr/>
        <w:t>1、因不可抗力导致基金管理人无法受理投资者的转换申请。</w:t>
      </w:r>
    </w:p>
    <w:p>
      <w:pPr>
        <w:pStyle w:val="BodyText"/>
        <w:spacing w:before="139"/>
      </w:pPr>
      <w:r>
        <w:rPr/>
        <w:t>2、证券交易场所交易时间临时停市，导致基金管理人无法计算当日基金资产净值。</w:t>
      </w:r>
    </w:p>
    <w:p>
      <w:pPr>
        <w:pStyle w:val="BodyText"/>
        <w:spacing w:before="140"/>
      </w:pPr>
      <w:r>
        <w:rPr/>
        <w:t>3、发生基金合同规定的暂停基金资产估值情况。</w:t>
      </w:r>
    </w:p>
    <w:p>
      <w:pPr>
        <w:pStyle w:val="BodyText"/>
        <w:spacing w:line="364" w:lineRule="auto" w:before="139"/>
        <w:ind w:left="220" w:right="1430" w:firstLine="420"/>
      </w:pPr>
      <w:r>
        <w:rPr/>
        <w:t>4、基金财产规模过大，使基金管理人无法找到合适的投资品种，或其他可能对基金业绩产生负面影响，从而损害现有基金份额持有人的利益的情形。</w:t>
      </w:r>
    </w:p>
    <w:p>
      <w:pPr>
        <w:pStyle w:val="BodyText"/>
        <w:spacing w:line="268" w:lineRule="exact"/>
      </w:pPr>
      <w:r>
        <w:rPr/>
        <w:t>5、连续两个或两个以上开放日发生巨额赎回，导致本基金的现金支付出现困难。</w:t>
      </w:r>
    </w:p>
    <w:p>
      <w:pPr>
        <w:pStyle w:val="BodyText"/>
        <w:spacing w:line="364" w:lineRule="auto" w:before="139"/>
        <w:ind w:left="220" w:right="1430" w:firstLine="420"/>
      </w:pPr>
      <w:r>
        <w:rPr/>
        <w:t>6、基金管理人接受某笔或者某些转换转入申请有可能导致单一投资者持有基金份额的比例达到或者超过 50%，或者变相规避 50%集中度的情形时。</w:t>
      </w:r>
    </w:p>
    <w:p>
      <w:pPr>
        <w:pStyle w:val="BodyText"/>
        <w:spacing w:line="364" w:lineRule="auto"/>
        <w:ind w:left="220" w:right="1271" w:firstLine="420"/>
      </w:pPr>
      <w:r>
        <w:rPr/>
        <w:t>7、当一笔新的转换转入申请被确认成功，使本基金总规模超过基金管理人规定的本基</w:t>
      </w:r>
      <w:r>
        <w:rPr>
          <w:spacing w:val="-10"/>
        </w:rPr>
        <w:t>金总规模上限时；或使本基金单日申购金额或净申购比例超过基金管理人规定的当日申购金</w:t>
      </w:r>
      <w:r>
        <w:rPr>
          <w:spacing w:val="-16"/>
        </w:rPr>
        <w:t>额或净申购比例上限时；或该投资人累计持有的份额超过单个投资人累计持有的份额上限时； </w:t>
      </w:r>
      <w:r>
        <w:rPr/>
        <w:t>或该投资人当日申购金额超过单个投资人单日或单笔申购金额上限时。</w:t>
      </w:r>
    </w:p>
    <w:p>
      <w:pPr>
        <w:spacing w:after="0" w:line="364" w:lineRule="auto"/>
        <w:sectPr>
          <w:pgSz w:w="11910" w:h="16840"/>
          <w:pgMar w:header="0" w:footer="664" w:top="1380" w:bottom="940" w:left="1580" w:right="380"/>
        </w:sectPr>
      </w:pPr>
    </w:p>
    <w:p>
      <w:pPr>
        <w:pStyle w:val="BodyText"/>
        <w:spacing w:line="364" w:lineRule="auto" w:before="45"/>
        <w:ind w:left="220" w:right="1418" w:firstLine="420"/>
        <w:jc w:val="both"/>
      </w:pPr>
      <w:r>
        <w:rPr/>
        <w:t>8</w:t>
      </w:r>
      <w:r>
        <w:rPr>
          <w:spacing w:val="-4"/>
        </w:rPr>
        <w:t>、当前一估值日基金资产净值 </w:t>
      </w:r>
      <w:r>
        <w:rPr/>
        <w:t>50%以上的资产出现无可参考的活跃市场价格且采用估</w:t>
      </w:r>
      <w:r>
        <w:rPr>
          <w:spacing w:val="-6"/>
        </w:rPr>
        <w:t>值技术仍导致公允价值存在重大不确定性时，经与基金托管人协商确认后，基金管理人应当</w:t>
      </w:r>
      <w:r>
        <w:rPr/>
        <w:t>采取暂停接受基金转换申请的措施。</w:t>
      </w:r>
    </w:p>
    <w:p>
      <w:pPr>
        <w:pStyle w:val="BodyText"/>
        <w:spacing w:line="268" w:lineRule="exact"/>
      </w:pPr>
      <w:r>
        <w:rPr/>
        <w:t>9、法律法规规定或经中国证监会认定的其他情形。</w:t>
      </w:r>
    </w:p>
    <w:p>
      <w:pPr>
        <w:pStyle w:val="BodyText"/>
        <w:spacing w:before="139"/>
      </w:pPr>
      <w:r>
        <w:rPr/>
        <w:t>发生暂停基金转换时，基金管理人应当在至少一种中国证监会指定的媒体上予以公告。</w:t>
      </w:r>
    </w:p>
    <w:p>
      <w:pPr>
        <w:spacing w:after="0"/>
        <w:sectPr>
          <w:pgSz w:w="11910" w:h="16840"/>
          <w:pgMar w:header="0" w:footer="664" w:top="1380" w:bottom="940" w:left="1580" w:right="380"/>
        </w:sectPr>
      </w:pPr>
    </w:p>
    <w:p>
      <w:pPr>
        <w:pStyle w:val="Heading2"/>
      </w:pPr>
      <w:bookmarkStart w:name="_bookmark40" w:id="41"/>
      <w:bookmarkEnd w:id="41"/>
      <w:r>
        <w:rPr/>
      </w:r>
      <w:r>
        <w:rPr/>
        <w:t>十、基金的转托管、非交易过户、冻结与解冻</w:t>
      </w:r>
    </w:p>
    <w:p>
      <w:pPr>
        <w:pStyle w:val="Heading3"/>
        <w:spacing w:before="199"/>
        <w:ind w:left="640"/>
      </w:pPr>
      <w:bookmarkStart w:name="_bookmark41" w:id="42"/>
      <w:bookmarkEnd w:id="42"/>
      <w:r>
        <w:rPr/>
      </w:r>
      <w:r>
        <w:rPr/>
        <w:t>(一)转托管</w:t>
      </w:r>
    </w:p>
    <w:p>
      <w:pPr>
        <w:pStyle w:val="BodyText"/>
        <w:spacing w:line="364" w:lineRule="auto" w:before="185"/>
        <w:ind w:left="220" w:right="1417" w:firstLine="420"/>
        <w:jc w:val="both"/>
      </w:pPr>
      <w:r>
        <w:rPr>
          <w:spacing w:val="-5"/>
        </w:rPr>
        <w:t>基金份额持有人可办理已持有基金份额在不同销售机构之间的转托管，基金销售机构可</w:t>
      </w:r>
      <w:r>
        <w:rPr>
          <w:spacing w:val="-7"/>
        </w:rPr>
        <w:t>以按照规定的标准收取转托管费。具体办理方法参照《业务规则》的有关规定以及基金销售</w:t>
      </w:r>
      <w:r>
        <w:rPr/>
        <w:t>机构的业务规则。</w:t>
      </w:r>
    </w:p>
    <w:p>
      <w:pPr>
        <w:pStyle w:val="Heading3"/>
        <w:spacing w:line="358" w:lineRule="exact"/>
        <w:ind w:left="640"/>
      </w:pPr>
      <w:bookmarkStart w:name="_bookmark42" w:id="43"/>
      <w:bookmarkEnd w:id="43"/>
      <w:r>
        <w:rPr/>
      </w:r>
      <w:r>
        <w:rPr/>
        <w:t>(二)基金的非交易过户</w:t>
      </w:r>
    </w:p>
    <w:p>
      <w:pPr>
        <w:pStyle w:val="BodyText"/>
        <w:spacing w:line="364" w:lineRule="auto" w:before="185"/>
        <w:ind w:left="220" w:right="1208" w:firstLine="420"/>
      </w:pPr>
      <w:r>
        <w:rPr>
          <w:spacing w:val="-5"/>
        </w:rPr>
        <w:t>基金的非交易过户是指基金注册登记机构受理继承、捐赠和司法强制执行而产生的非交 </w:t>
      </w:r>
      <w:r>
        <w:rPr>
          <w:spacing w:val="-4"/>
        </w:rPr>
        <w:t>易过户以及注册登记机构认可、符合法律法规的其它非交易过户。无论在上述何种情况下， 接受划转的主体必须是依法可以持有本基金基金份额的投资人。</w:t>
      </w:r>
    </w:p>
    <w:p>
      <w:pPr>
        <w:pStyle w:val="BodyText"/>
        <w:spacing w:line="364" w:lineRule="auto"/>
        <w:ind w:left="220" w:right="1418"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人或其他组织。办理非交易过户必须提供基金注册登记机构要求提供的相关资料，对于符合</w:t>
      </w:r>
      <w:r>
        <w:rPr>
          <w:spacing w:val="-5"/>
        </w:rPr>
        <w:t>条件的非交易过户申请按基金注册登记机构的规定办理，并按基金注册登记机构规定的标准</w:t>
      </w:r>
      <w:r>
        <w:rPr/>
        <w:t>收费。</w:t>
      </w:r>
    </w:p>
    <w:p>
      <w:pPr>
        <w:pStyle w:val="Heading3"/>
        <w:spacing w:line="357" w:lineRule="exact"/>
        <w:ind w:left="640"/>
      </w:pPr>
      <w:bookmarkStart w:name="_bookmark43" w:id="44"/>
      <w:bookmarkEnd w:id="44"/>
      <w:r>
        <w:rPr/>
      </w:r>
      <w:r>
        <w:rPr/>
        <w:t>(三)基金的冻结与解冻</w:t>
      </w:r>
    </w:p>
    <w:p>
      <w:pPr>
        <w:pStyle w:val="BodyText"/>
        <w:spacing w:line="364" w:lineRule="auto" w:before="183"/>
        <w:ind w:left="220" w:right="1417" w:firstLine="420"/>
        <w:jc w:val="both"/>
      </w:pPr>
      <w:r>
        <w:rPr>
          <w:spacing w:val="-4"/>
        </w:rPr>
        <w:t>基金注册登记机构只受理国家有权机关依法要求的基金份额的冻结与解冻，以及注册登</w:t>
      </w:r>
      <w:r>
        <w:rPr>
          <w:spacing w:val="-9"/>
        </w:rPr>
        <w:t>记机构认可、符合法律法规的其他情况下基金份额的冻结与解冻。基金份额被冻结的，被冻</w:t>
      </w:r>
      <w:r>
        <w:rPr/>
        <w:t>结部分产生的权益一并冻结，被冻结部分份额仍然参与收益分配与支付。</w:t>
      </w:r>
    </w:p>
    <w:p>
      <w:pPr>
        <w:spacing w:after="0" w:line="364" w:lineRule="auto"/>
        <w:jc w:val="both"/>
        <w:sectPr>
          <w:pgSz w:w="11910" w:h="16840"/>
          <w:pgMar w:header="0" w:footer="664" w:top="1380" w:bottom="940" w:left="1580" w:right="380"/>
        </w:sectPr>
      </w:pPr>
    </w:p>
    <w:p>
      <w:pPr>
        <w:pStyle w:val="Heading2"/>
        <w:ind w:right="1394"/>
      </w:pPr>
      <w:bookmarkStart w:name="_bookmark44" w:id="45"/>
      <w:bookmarkEnd w:id="45"/>
      <w:r>
        <w:rPr/>
      </w:r>
      <w:r>
        <w:rPr/>
        <w:t>十一、基金的投资</w:t>
      </w:r>
    </w:p>
    <w:p>
      <w:pPr>
        <w:pStyle w:val="BodyText"/>
        <w:spacing w:before="10"/>
        <w:ind w:left="0"/>
        <w:rPr>
          <w:sz w:val="10"/>
        </w:rPr>
      </w:pPr>
    </w:p>
    <w:p>
      <w:pPr>
        <w:pStyle w:val="Heading3"/>
        <w:spacing w:before="61"/>
      </w:pPr>
      <w:bookmarkStart w:name="_bookmark45" w:id="46"/>
      <w:bookmarkEnd w:id="46"/>
      <w:r>
        <w:rPr/>
      </w:r>
      <w:r>
        <w:rPr/>
        <w:t>(一)投资目标</w:t>
      </w:r>
    </w:p>
    <w:p>
      <w:pPr>
        <w:pStyle w:val="BodyText"/>
        <w:spacing w:line="364" w:lineRule="auto" w:before="185"/>
        <w:ind w:left="220" w:right="1417" w:firstLine="420"/>
      </w:pPr>
      <w:r>
        <w:rPr>
          <w:spacing w:val="-7"/>
        </w:rPr>
        <w:t>本基金主要投资于信用债、可转债等固定收益品种，通过积极主动的投资管理，力争为</w:t>
      </w:r>
      <w:r>
        <w:rPr/>
        <w:t>投资者提供持续稳定的回报。</w:t>
      </w:r>
    </w:p>
    <w:p>
      <w:pPr>
        <w:pStyle w:val="Heading3"/>
      </w:pPr>
      <w:bookmarkStart w:name="_bookmark46" w:id="47"/>
      <w:bookmarkEnd w:id="47"/>
      <w:r>
        <w:rPr/>
      </w:r>
      <w:r>
        <w:rPr/>
        <w:t>(二)投资理念</w:t>
      </w:r>
    </w:p>
    <w:p>
      <w:pPr>
        <w:pStyle w:val="BodyText"/>
        <w:spacing w:line="364" w:lineRule="auto" w:before="185"/>
        <w:ind w:left="220" w:right="1313" w:firstLine="420"/>
      </w:pPr>
      <w:r>
        <w:rPr>
          <w:spacing w:val="-8"/>
        </w:rPr>
        <w:t>本基金为债券基金，主要投资于信用债与可转债。本基金依据不同的市场情况及信用债</w:t>
      </w:r>
      <w:r>
        <w:rPr>
          <w:spacing w:val="-12"/>
        </w:rPr>
        <w:t>与可转债之间的相关关系，进行两类资产的比例配置。本基金既可以投资于信用债，在控制</w:t>
      </w:r>
      <w:r>
        <w:rPr>
          <w:spacing w:val="-19"/>
        </w:rPr>
        <w:t>信用风险的前提下，增强债券组合的持有期收益；也可以利用可转债兼具股性和债性的特征， </w:t>
      </w:r>
      <w:r>
        <w:rPr>
          <w:spacing w:val="-6"/>
        </w:rPr>
        <w:t>在承担较小下跌风险的前提下，分享股市上涨带来的收益。另外，本基金还可采用新股申购等策略，增强组合的收益。</w:t>
      </w:r>
    </w:p>
    <w:p>
      <w:pPr>
        <w:pStyle w:val="Heading3"/>
        <w:spacing w:line="357" w:lineRule="exact"/>
      </w:pPr>
      <w:bookmarkStart w:name="_bookmark47" w:id="48"/>
      <w:bookmarkEnd w:id="48"/>
      <w:r>
        <w:rPr/>
      </w:r>
      <w:r>
        <w:rPr/>
        <w:t>(三)投资范围</w:t>
      </w:r>
    </w:p>
    <w:p>
      <w:pPr>
        <w:pStyle w:val="BodyText"/>
        <w:spacing w:line="364" w:lineRule="auto" w:before="185"/>
        <w:ind w:left="220" w:right="1208" w:firstLine="420"/>
      </w:pPr>
      <w:r>
        <w:rPr/>
        <w:t>本基金的投资范围为具有良好流动性的金融工具，包括国债、央行票据、地方政府债、</w:t>
      </w:r>
      <w:r>
        <w:rPr>
          <w:spacing w:val="-10"/>
        </w:rPr>
        <w:t>金融债、企业债、短期融资券、公司债、可转债(含分离交易可转债)、资产支持证券、债券 回购、银行存款等固定收益类资产、股票(包含中小板、创业板及其他经中国证监会批准上 市的股票)、权证等权益类资产以及法律法规或中国证监会允许基金投资的其他金融工具， 但须符合中国证监会相关规定。</w:t>
      </w:r>
    </w:p>
    <w:p>
      <w:pPr>
        <w:pStyle w:val="BodyText"/>
        <w:spacing w:line="364" w:lineRule="auto"/>
        <w:ind w:left="220" w:right="1418" w:firstLine="420"/>
        <w:jc w:val="both"/>
      </w:pPr>
      <w:r>
        <w:rPr>
          <w:spacing w:val="-6"/>
        </w:rPr>
        <w:t>本基金不直接从二级市场买入股票、权证等权益类资产，但可以参与一级市场新股申购</w:t>
      </w:r>
      <w:r>
        <w:rPr>
          <w:spacing w:val="-10"/>
        </w:rPr>
        <w:t>(含增发)，并可持有因可转债转股所形成的股票、因所持股票所派发的权证以及因投资分离</w:t>
      </w:r>
      <w:r>
        <w:rPr/>
        <w:t>交易可转债而产生的权证等。</w:t>
      </w:r>
    </w:p>
    <w:p>
      <w:pPr>
        <w:pStyle w:val="BodyText"/>
        <w:spacing w:line="364" w:lineRule="auto"/>
        <w:ind w:left="220" w:right="1418" w:firstLine="420"/>
      </w:pPr>
      <w:r>
        <w:rPr>
          <w:spacing w:val="-6"/>
        </w:rPr>
        <w:t>如法律法规或监管机构以后允许基金投资其他品种，基金管理人提前公告后，可以将其</w:t>
      </w:r>
      <w:r>
        <w:rPr/>
        <w:t>纳入投资范围，其投资比例遵循届时有效法律法规或相关规定。</w:t>
      </w:r>
    </w:p>
    <w:p>
      <w:pPr>
        <w:pStyle w:val="BodyText"/>
        <w:spacing w:line="364" w:lineRule="auto"/>
        <w:ind w:left="220" w:right="1418" w:firstLine="420"/>
        <w:jc w:val="both"/>
      </w:pPr>
      <w:r>
        <w:rPr>
          <w:spacing w:val="-6"/>
        </w:rPr>
        <w:t>本基金各类资产的投资比例范围为：固定收益类资产的比例不低于基金资产的 </w:t>
      </w:r>
      <w:r>
        <w:rPr/>
        <w:t>80%，</w:t>
      </w:r>
      <w:r>
        <w:rPr>
          <w:spacing w:val="-17"/>
        </w:rPr>
        <w:t>其</w:t>
      </w:r>
      <w:r>
        <w:rPr>
          <w:spacing w:val="-3"/>
        </w:rPr>
        <w:t>中，信用债和可转债合计投资比例不低于债券资产的 </w:t>
      </w:r>
      <w:r>
        <w:rPr>
          <w:spacing w:val="-11"/>
        </w:rPr>
        <w:t>80%</w:t>
      </w:r>
      <w:r>
        <w:rPr>
          <w:spacing w:val="-4"/>
        </w:rPr>
        <w:t>；权益类资产的比例不高于基金资</w:t>
      </w:r>
      <w:r>
        <w:rPr>
          <w:spacing w:val="-18"/>
        </w:rPr>
        <w:t>产的 </w:t>
      </w:r>
      <w:r>
        <w:rPr>
          <w:spacing w:val="-14"/>
        </w:rPr>
        <w:t>20%</w:t>
      </w:r>
      <w:r>
        <w:rPr>
          <w:spacing w:val="-6"/>
        </w:rPr>
        <w:t>；现金或到期日在一年以内的政府债券的比例合计不低于基金资产净值的 </w:t>
      </w:r>
      <w:r>
        <w:rPr>
          <w:spacing w:val="-14"/>
        </w:rPr>
        <w:t>5%</w:t>
      </w:r>
      <w:r>
        <w:rPr>
          <w:spacing w:val="-10"/>
        </w:rPr>
        <w:t>，现金</w:t>
      </w:r>
      <w:r>
        <w:rPr/>
        <w:t>不包括结算备付金、存出保证金、应收申购款等。</w:t>
      </w:r>
    </w:p>
    <w:p>
      <w:pPr>
        <w:pStyle w:val="BodyText"/>
        <w:spacing w:line="364" w:lineRule="auto"/>
        <w:ind w:left="220" w:right="1312" w:firstLine="420"/>
      </w:pPr>
      <w:r>
        <w:rPr>
          <w:spacing w:val="-6"/>
        </w:rPr>
        <w:t>本基金所指的信用债为除国债、央行票据和政策性金融债之外的、非由国家信用担保的</w:t>
      </w:r>
      <w:r>
        <w:rPr>
          <w:spacing w:val="-17"/>
        </w:rPr>
        <w:t>固定收益证券品种，包括企业债、公司债、短期融资券、资产支持证券和非政策性金融债等。</w:t>
      </w:r>
    </w:p>
    <w:p>
      <w:pPr>
        <w:pStyle w:val="Heading3"/>
      </w:pPr>
      <w:bookmarkStart w:name="_bookmark48" w:id="49"/>
      <w:bookmarkEnd w:id="49"/>
      <w:r>
        <w:rPr/>
      </w:r>
      <w:r>
        <w:rPr/>
        <w:t>(四)投资策略</w:t>
      </w:r>
    </w:p>
    <w:p>
      <w:pPr>
        <w:pStyle w:val="BodyText"/>
        <w:spacing w:before="178"/>
      </w:pPr>
      <w:r>
        <w:rPr/>
        <w:t>1、建仓期策略</w:t>
      </w:r>
    </w:p>
    <w:p>
      <w:pPr>
        <w:pStyle w:val="BodyText"/>
        <w:spacing w:line="364" w:lineRule="auto" w:before="140"/>
        <w:ind w:left="220" w:right="1208" w:firstLine="420"/>
      </w:pPr>
      <w:r>
        <w:rPr>
          <w:spacing w:val="-9"/>
        </w:rPr>
        <w:t>建仓期内，本基金将采用相对保守的投资策略，主要投资于波动性风险较小、安全边际 较高的品种。在该期间，本基金对固定收益类资产的建仓将优先考虑通过一级市场新债(包 括新可转债)申购来完成。在对本基金主要的两类投资品种——可转债与信用债进行建仓时，</w:t>
      </w:r>
    </w:p>
    <w:p>
      <w:pPr>
        <w:spacing w:after="0" w:line="364" w:lineRule="auto"/>
        <w:sectPr>
          <w:pgSz w:w="11910" w:h="16840"/>
          <w:pgMar w:header="0" w:footer="664" w:top="1380" w:bottom="940" w:left="1580" w:right="380"/>
        </w:sectPr>
      </w:pPr>
    </w:p>
    <w:p>
      <w:pPr>
        <w:pStyle w:val="BodyText"/>
        <w:spacing w:line="364" w:lineRule="auto" w:before="45"/>
        <w:ind w:left="220" w:right="1103"/>
      </w:pPr>
      <w:r>
        <w:rPr>
          <w:spacing w:val="-5"/>
        </w:rPr>
        <w:t>本基金将严格遵循防范风险的原则，着重选择纯债溢价率较低的可转债品种，以及久期相对  </w:t>
      </w:r>
      <w:r>
        <w:rPr>
          <w:spacing w:val="-9"/>
        </w:rPr>
        <w:t>较短(如短期融资券)或息票率较高的信用债品种进行投资。此外，本基金根据组合收益情况  与资产结构，综合考虑宏观基本面数据、各类资产市场走势、市场供求关系、流动性等因素， 控制建仓进度。</w:t>
      </w:r>
    </w:p>
    <w:p>
      <w:pPr>
        <w:pStyle w:val="BodyText"/>
        <w:spacing w:line="267" w:lineRule="exact"/>
      </w:pPr>
      <w:r>
        <w:rPr/>
        <w:t>2、资产配置策略</w:t>
      </w:r>
    </w:p>
    <w:p>
      <w:pPr>
        <w:pStyle w:val="BodyText"/>
        <w:spacing w:before="139"/>
      </w:pPr>
      <w:r>
        <w:rPr/>
        <w:t>本基金的资产配置策略包括大类资产配置策略与固定收益类资产配置策略。</w:t>
      </w:r>
    </w:p>
    <w:p>
      <w:pPr>
        <w:pStyle w:val="ListParagraph"/>
        <w:numPr>
          <w:ilvl w:val="0"/>
          <w:numId w:val="15"/>
        </w:numPr>
        <w:tabs>
          <w:tab w:pos="956" w:val="left" w:leader="none"/>
        </w:tabs>
        <w:spacing w:line="240" w:lineRule="auto" w:before="140" w:after="0"/>
        <w:ind w:left="956" w:right="0" w:hanging="316"/>
        <w:jc w:val="left"/>
        <w:rPr>
          <w:sz w:val="21"/>
        </w:rPr>
      </w:pPr>
      <w:r>
        <w:rPr>
          <w:sz w:val="21"/>
        </w:rPr>
        <w:t>大类资产配置策略</w:t>
      </w:r>
    </w:p>
    <w:p>
      <w:pPr>
        <w:pStyle w:val="BodyText"/>
        <w:spacing w:line="364" w:lineRule="auto" w:before="139"/>
        <w:ind w:left="220" w:right="1418" w:firstLine="420"/>
        <w:jc w:val="both"/>
      </w:pPr>
      <w:r>
        <w:rPr>
          <w:spacing w:val="-6"/>
        </w:rPr>
        <w:t>本基金根据对国内外宏观经济形势、宏观经济政策、市场利率走势、证券市场走势、投资新股收益率等因素进行分析和判断，对大类资产的风险收益特征及相关关系进行研究，确</w:t>
      </w:r>
      <w:r>
        <w:rPr/>
        <w:t>定权益类资产、固定收益类资产以及货币市场工具的配置比例。</w:t>
      </w:r>
    </w:p>
    <w:p>
      <w:pPr>
        <w:pStyle w:val="ListParagraph"/>
        <w:numPr>
          <w:ilvl w:val="0"/>
          <w:numId w:val="15"/>
        </w:numPr>
        <w:tabs>
          <w:tab w:pos="956" w:val="left" w:leader="none"/>
        </w:tabs>
        <w:spacing w:line="268" w:lineRule="exact" w:before="0" w:after="0"/>
        <w:ind w:left="956" w:right="0" w:hanging="316"/>
        <w:jc w:val="left"/>
        <w:rPr>
          <w:sz w:val="21"/>
        </w:rPr>
      </w:pPr>
      <w:r>
        <w:rPr>
          <w:sz w:val="21"/>
        </w:rPr>
        <w:t>固定收益类资产配置策略</w:t>
      </w:r>
    </w:p>
    <w:p>
      <w:pPr>
        <w:pStyle w:val="BodyText"/>
        <w:spacing w:line="364" w:lineRule="auto" w:before="140"/>
        <w:ind w:left="220" w:right="1417" w:firstLine="420"/>
      </w:pPr>
      <w:r>
        <w:rPr>
          <w:spacing w:val="-7"/>
        </w:rPr>
        <w:t>在大类资产配置的基础上，本基金采取以下策略，将固定收益类资产在信用债、可转债</w:t>
      </w:r>
      <w:r>
        <w:rPr/>
        <w:t>和其他资产间进行配置。</w:t>
      </w:r>
    </w:p>
    <w:p>
      <w:pPr>
        <w:pStyle w:val="BodyText"/>
        <w:spacing w:line="364" w:lineRule="auto"/>
        <w:ind w:left="220" w:right="1313" w:firstLine="420"/>
      </w:pPr>
      <w:r>
        <w:rPr>
          <w:spacing w:val="-9"/>
        </w:rPr>
        <w:t>首先，本基金分别对影响信用债市场的信贷水平、信用利差水平、信用债市场供求关系</w:t>
      </w:r>
      <w:r>
        <w:rPr>
          <w:spacing w:val="-13"/>
        </w:rPr>
        <w:t>等因素进行分析；然后，对影响可转债市场的转股溢价率、隐含波动率、对应正股的市场走</w:t>
      </w:r>
      <w:r>
        <w:rPr>
          <w:spacing w:val="-17"/>
        </w:rPr>
        <w:t>势、可转债市场供求关系等因素进行分析研究；最后，本基金根据上述分析结论，预测和比</w:t>
      </w:r>
      <w:r>
        <w:rPr>
          <w:spacing w:val="-23"/>
        </w:rPr>
        <w:t>较两类资产未来的收益率与风险，并结合二者的相关关系，确定并调整两类资产的配置比例， </w:t>
      </w:r>
      <w:r>
        <w:rPr>
          <w:spacing w:val="-6"/>
        </w:rPr>
        <w:t>在收益与风险间寻求最佳平衡。除信用债与可转债外，本基金还将在综合考虑组合收益、利率风险以及流动性的前提下，投资于国债、央行票据等利率品种。</w:t>
      </w:r>
    </w:p>
    <w:p>
      <w:pPr>
        <w:pStyle w:val="BodyText"/>
        <w:spacing w:line="266" w:lineRule="exact"/>
      </w:pPr>
      <w:r>
        <w:rPr/>
        <w:t>3、信用债投资策略与信用风险管理</w:t>
      </w:r>
    </w:p>
    <w:p>
      <w:pPr>
        <w:pStyle w:val="BodyText"/>
        <w:spacing w:line="364" w:lineRule="auto" w:before="138"/>
        <w:ind w:left="220" w:right="1418" w:firstLine="420"/>
      </w:pPr>
      <w:r>
        <w:rPr>
          <w:spacing w:val="-7"/>
        </w:rPr>
        <w:t>对不同市场以及不同种类的信用债，本基金将结合自上而下的配置策略和自下而上的个</w:t>
      </w:r>
      <w:r>
        <w:rPr/>
        <w:t>券选择策略进行投资。</w:t>
      </w:r>
    </w:p>
    <w:p>
      <w:pPr>
        <w:pStyle w:val="ListParagraph"/>
        <w:numPr>
          <w:ilvl w:val="0"/>
          <w:numId w:val="16"/>
        </w:numPr>
        <w:tabs>
          <w:tab w:pos="956" w:val="left" w:leader="none"/>
        </w:tabs>
        <w:spacing w:line="364" w:lineRule="auto" w:before="0" w:after="0"/>
        <w:ind w:left="640" w:right="8045" w:firstLine="0"/>
        <w:jc w:val="left"/>
        <w:rPr>
          <w:sz w:val="21"/>
        </w:rPr>
      </w:pPr>
      <w:r>
        <w:rPr>
          <w:sz w:val="21"/>
        </w:rPr>
        <w:t>配置策略a.</w:t>
      </w:r>
      <w:r>
        <w:rPr>
          <w:spacing w:val="-4"/>
          <w:sz w:val="21"/>
        </w:rPr>
        <w:t>市场间配置</w:t>
      </w:r>
    </w:p>
    <w:p>
      <w:pPr>
        <w:pStyle w:val="BodyText"/>
        <w:spacing w:line="364" w:lineRule="auto"/>
        <w:ind w:left="220" w:right="1418" w:firstLine="420"/>
        <w:jc w:val="both"/>
      </w:pPr>
      <w:r>
        <w:rPr>
          <w:spacing w:val="-5"/>
        </w:rPr>
        <w:t>本基金根据交易所市场和银行间市场信用债到期收益率的变化、流动性的变化和市场规</w:t>
      </w:r>
      <w:r>
        <w:rPr>
          <w:spacing w:val="-10"/>
        </w:rPr>
        <w:t>模等情况，分析不同市场信用债的信用利差水平及差异变动，动态调整两个市场信用债的投</w:t>
      </w:r>
      <w:r>
        <w:rPr/>
        <w:t>资比例。</w:t>
      </w:r>
    </w:p>
    <w:p>
      <w:pPr>
        <w:pStyle w:val="ListParagraph"/>
        <w:numPr>
          <w:ilvl w:val="0"/>
          <w:numId w:val="17"/>
        </w:numPr>
        <w:tabs>
          <w:tab w:pos="851" w:val="left" w:leader="none"/>
        </w:tabs>
        <w:spacing w:line="268" w:lineRule="exact" w:before="0" w:after="0"/>
        <w:ind w:left="851" w:right="0" w:hanging="211"/>
        <w:jc w:val="left"/>
        <w:rPr>
          <w:sz w:val="21"/>
        </w:rPr>
      </w:pPr>
      <w:r>
        <w:rPr>
          <w:sz w:val="21"/>
        </w:rPr>
        <w:t>类属资产配置</w:t>
      </w:r>
    </w:p>
    <w:p>
      <w:pPr>
        <w:pStyle w:val="BodyText"/>
        <w:spacing w:line="364" w:lineRule="auto" w:before="138"/>
        <w:ind w:left="220" w:right="1418" w:firstLine="420"/>
        <w:jc w:val="both"/>
      </w:pPr>
      <w:r>
        <w:rPr/>
        <w:t>本基金运用数量化方法对不同种类信用债(包括金融债、企业债、公司债、短期融资券等)的信用风险溢价、流动性风险溢价、税收溢价等因素进行分析，综合考虑其流动性、收益率以及各类信用债市场供求状况，优化配置各类信用债的投资比例。</w:t>
      </w:r>
    </w:p>
    <w:p>
      <w:pPr>
        <w:pStyle w:val="ListParagraph"/>
        <w:numPr>
          <w:ilvl w:val="0"/>
          <w:numId w:val="17"/>
        </w:numPr>
        <w:tabs>
          <w:tab w:pos="851" w:val="left" w:leader="none"/>
        </w:tabs>
        <w:spacing w:line="268" w:lineRule="exact" w:before="0" w:after="0"/>
        <w:ind w:left="851" w:right="0" w:hanging="211"/>
        <w:jc w:val="left"/>
        <w:rPr>
          <w:sz w:val="21"/>
        </w:rPr>
      </w:pPr>
      <w:r>
        <w:rPr>
          <w:sz w:val="21"/>
        </w:rPr>
        <w:t>平均久期配置</w:t>
      </w:r>
    </w:p>
    <w:p>
      <w:pPr>
        <w:pStyle w:val="BodyText"/>
        <w:spacing w:line="364" w:lineRule="auto" w:before="139"/>
        <w:ind w:left="220" w:right="1417" w:firstLine="420"/>
      </w:pPr>
      <w:r>
        <w:rPr>
          <w:spacing w:val="-7"/>
        </w:rPr>
        <w:t>本基金通过对货币信贷、固定资产投资、通胀率等宏观经济变量和货币政策、财政政策</w:t>
      </w:r>
      <w:r>
        <w:rPr>
          <w:spacing w:val="-8"/>
        </w:rPr>
        <w:t>等宏观经济政策，进行定性和定量的分析，预测未来的利率变化趋势，判断信用债市场对上</w:t>
      </w:r>
    </w:p>
    <w:p>
      <w:pPr>
        <w:spacing w:after="0" w:line="364" w:lineRule="auto"/>
        <w:sectPr>
          <w:pgSz w:w="11910" w:h="16840"/>
          <w:pgMar w:header="0" w:footer="664" w:top="1380" w:bottom="940" w:left="1580" w:right="380"/>
        </w:sectPr>
      </w:pPr>
    </w:p>
    <w:p>
      <w:pPr>
        <w:pStyle w:val="BodyText"/>
        <w:spacing w:before="45"/>
        <w:ind w:left="220"/>
      </w:pPr>
      <w:r>
        <w:rPr/>
        <w:t>述变量和政策的反应，并据此积极调整信用债组合的平均久期，提高投资收益。</w:t>
      </w:r>
    </w:p>
    <w:p>
      <w:pPr>
        <w:pStyle w:val="ListParagraph"/>
        <w:numPr>
          <w:ilvl w:val="0"/>
          <w:numId w:val="17"/>
        </w:numPr>
        <w:tabs>
          <w:tab w:pos="851" w:val="left" w:leader="none"/>
        </w:tabs>
        <w:spacing w:line="240" w:lineRule="auto" w:before="139" w:after="0"/>
        <w:ind w:left="851" w:right="0" w:hanging="211"/>
        <w:jc w:val="left"/>
        <w:rPr>
          <w:sz w:val="21"/>
        </w:rPr>
      </w:pPr>
      <w:r>
        <w:rPr>
          <w:sz w:val="21"/>
        </w:rPr>
        <w:t>期限结构配置</w:t>
      </w:r>
    </w:p>
    <w:p>
      <w:pPr>
        <w:pStyle w:val="BodyText"/>
        <w:spacing w:line="364" w:lineRule="auto" w:before="140"/>
        <w:ind w:left="220" w:right="1417" w:firstLine="420"/>
        <w:jc w:val="both"/>
      </w:pPr>
      <w:r>
        <w:rPr>
          <w:spacing w:val="-6"/>
        </w:rPr>
        <w:t>本基金对信用债市场收益率期限结构进行分析，运用统计和数量分析技术，预测收益率</w:t>
      </w:r>
      <w:r>
        <w:rPr>
          <w:spacing w:val="-8"/>
        </w:rPr>
        <w:t>期限结构的变化方式，选择合适的期限结构配置策略，配置各期限信用债的比例，以达到预</w:t>
      </w:r>
      <w:r>
        <w:rPr/>
        <w:t>期投资收益最大化的目的。</w:t>
      </w:r>
    </w:p>
    <w:p>
      <w:pPr>
        <w:pStyle w:val="ListParagraph"/>
        <w:numPr>
          <w:ilvl w:val="0"/>
          <w:numId w:val="16"/>
        </w:numPr>
        <w:tabs>
          <w:tab w:pos="956" w:val="left" w:leader="none"/>
        </w:tabs>
        <w:spacing w:line="268" w:lineRule="exact" w:before="0" w:after="0"/>
        <w:ind w:left="956" w:right="0" w:hanging="316"/>
        <w:jc w:val="left"/>
        <w:rPr>
          <w:sz w:val="21"/>
        </w:rPr>
      </w:pPr>
      <w:r>
        <w:rPr>
          <w:sz w:val="21"/>
        </w:rPr>
        <w:t>个债选择策略</w:t>
      </w:r>
    </w:p>
    <w:p>
      <w:pPr>
        <w:pStyle w:val="BodyText"/>
        <w:spacing w:line="364" w:lineRule="auto" w:before="139"/>
        <w:ind w:left="220" w:right="1208" w:firstLine="420"/>
      </w:pPr>
      <w:r>
        <w:rPr/>
        <w:t>本基金运用行业研究方法和公司财务分析方法对债券发行人信用风险进行分析和度量， 选择风险与收益相匹配的更优品种进行投资。具体而言：</w:t>
      </w:r>
    </w:p>
    <w:p>
      <w:pPr>
        <w:pStyle w:val="ListParagraph"/>
        <w:numPr>
          <w:ilvl w:val="0"/>
          <w:numId w:val="18"/>
        </w:numPr>
        <w:tabs>
          <w:tab w:pos="851" w:val="left" w:leader="none"/>
        </w:tabs>
        <w:spacing w:line="268" w:lineRule="exact" w:before="0" w:after="0"/>
        <w:ind w:left="851" w:right="0" w:hanging="211"/>
        <w:jc w:val="left"/>
        <w:rPr>
          <w:sz w:val="21"/>
        </w:rPr>
      </w:pPr>
      <w:r>
        <w:rPr>
          <w:sz w:val="21"/>
        </w:rPr>
        <w:t>根据宏观经济环境及各行业的发展状况，确定各行业的优先配置顺序；</w:t>
      </w:r>
    </w:p>
    <w:p>
      <w:pPr>
        <w:pStyle w:val="ListParagraph"/>
        <w:numPr>
          <w:ilvl w:val="0"/>
          <w:numId w:val="18"/>
        </w:numPr>
        <w:tabs>
          <w:tab w:pos="851" w:val="left" w:leader="none"/>
        </w:tabs>
        <w:spacing w:line="364" w:lineRule="auto" w:before="140" w:after="0"/>
        <w:ind w:left="220" w:right="1418" w:firstLine="420"/>
        <w:jc w:val="left"/>
        <w:rPr>
          <w:sz w:val="21"/>
        </w:rPr>
      </w:pPr>
      <w:r>
        <w:rPr>
          <w:spacing w:val="-7"/>
          <w:sz w:val="21"/>
        </w:rPr>
        <w:t>研究债券发行人的产业发展趋势、行业政策、公司背景、盈利状况、竞争地位、治理</w:t>
      </w:r>
      <w:r>
        <w:rPr>
          <w:sz w:val="21"/>
        </w:rPr>
        <w:t>结构、特殊事件风险等基本面信息，分析企业的长期运作风险；</w:t>
      </w:r>
    </w:p>
    <w:p>
      <w:pPr>
        <w:pStyle w:val="ListParagraph"/>
        <w:numPr>
          <w:ilvl w:val="0"/>
          <w:numId w:val="18"/>
        </w:numPr>
        <w:tabs>
          <w:tab w:pos="851" w:val="left" w:leader="none"/>
        </w:tabs>
        <w:spacing w:line="364" w:lineRule="auto" w:before="0" w:after="0"/>
        <w:ind w:left="220" w:right="1417" w:firstLine="420"/>
        <w:jc w:val="left"/>
        <w:rPr>
          <w:sz w:val="21"/>
        </w:rPr>
      </w:pPr>
      <w:r>
        <w:rPr>
          <w:spacing w:val="-6"/>
          <w:sz w:val="21"/>
        </w:rPr>
        <w:t>运用财务评价体系对债券发行人的资产流动性、盈利能力、偿债能力、现金流水平等</w:t>
      </w:r>
      <w:r>
        <w:rPr>
          <w:sz w:val="21"/>
        </w:rPr>
        <w:t>方面进行综合评价，度量发行人财务风险；</w:t>
      </w:r>
    </w:p>
    <w:p>
      <w:pPr>
        <w:pStyle w:val="ListParagraph"/>
        <w:numPr>
          <w:ilvl w:val="0"/>
          <w:numId w:val="18"/>
        </w:numPr>
        <w:tabs>
          <w:tab w:pos="851" w:val="left" w:leader="none"/>
        </w:tabs>
        <w:spacing w:line="364" w:lineRule="auto" w:before="0" w:after="0"/>
        <w:ind w:left="220" w:right="1418" w:firstLine="420"/>
        <w:jc w:val="left"/>
        <w:rPr>
          <w:sz w:val="21"/>
        </w:rPr>
      </w:pPr>
      <w:r>
        <w:rPr>
          <w:spacing w:val="-10"/>
          <w:sz w:val="21"/>
        </w:rPr>
        <w:t>利用历史数据、市场价格以及资产质量等信息，估算债券发行人的违约率及违约损失</w:t>
      </w:r>
      <w:r>
        <w:rPr>
          <w:sz w:val="21"/>
        </w:rPr>
        <w:t>率；</w:t>
      </w:r>
    </w:p>
    <w:p>
      <w:pPr>
        <w:pStyle w:val="ListParagraph"/>
        <w:numPr>
          <w:ilvl w:val="0"/>
          <w:numId w:val="18"/>
        </w:numPr>
        <w:tabs>
          <w:tab w:pos="851" w:val="left" w:leader="none"/>
        </w:tabs>
        <w:spacing w:line="364" w:lineRule="auto" w:before="0" w:after="0"/>
        <w:ind w:left="220" w:right="1417" w:firstLine="420"/>
        <w:jc w:val="left"/>
        <w:rPr>
          <w:sz w:val="21"/>
        </w:rPr>
      </w:pPr>
      <w:r>
        <w:rPr>
          <w:spacing w:val="-7"/>
          <w:sz w:val="21"/>
        </w:rPr>
        <w:t>综合发行人各方面分析结果，确定信用利差的合理水平，利用市场的相对失衡，选择</w:t>
      </w:r>
      <w:r>
        <w:rPr>
          <w:sz w:val="21"/>
        </w:rPr>
        <w:t>溢价偏高的品种进行投资。</w:t>
      </w:r>
    </w:p>
    <w:p>
      <w:pPr>
        <w:pStyle w:val="ListParagraph"/>
        <w:numPr>
          <w:ilvl w:val="0"/>
          <w:numId w:val="16"/>
        </w:numPr>
        <w:tabs>
          <w:tab w:pos="956" w:val="left" w:leader="none"/>
        </w:tabs>
        <w:spacing w:line="268" w:lineRule="exact" w:before="0" w:after="0"/>
        <w:ind w:left="956" w:right="0" w:hanging="316"/>
        <w:jc w:val="left"/>
        <w:rPr>
          <w:sz w:val="21"/>
        </w:rPr>
      </w:pPr>
      <w:r>
        <w:rPr>
          <w:sz w:val="21"/>
        </w:rPr>
        <w:t>信用风险管理</w:t>
      </w:r>
    </w:p>
    <w:p>
      <w:pPr>
        <w:pStyle w:val="BodyText"/>
        <w:spacing w:before="136"/>
      </w:pPr>
      <w:r>
        <w:rPr/>
        <w:t>本基金从以下四个方面来进行信用风险管理：</w:t>
      </w:r>
    </w:p>
    <w:p>
      <w:pPr>
        <w:pStyle w:val="ListParagraph"/>
        <w:numPr>
          <w:ilvl w:val="0"/>
          <w:numId w:val="19"/>
        </w:numPr>
        <w:tabs>
          <w:tab w:pos="851" w:val="left" w:leader="none"/>
        </w:tabs>
        <w:spacing w:line="364" w:lineRule="auto" w:before="140" w:after="0"/>
        <w:ind w:left="220" w:right="1325" w:firstLine="420"/>
        <w:jc w:val="left"/>
        <w:rPr>
          <w:sz w:val="21"/>
        </w:rPr>
      </w:pPr>
      <w:r>
        <w:rPr>
          <w:spacing w:val="-5"/>
          <w:sz w:val="21"/>
        </w:rPr>
        <w:t>运用信用产品的相关数据资料，分析发行人的公司背景、行业特性、流动性、盈利能</w:t>
      </w:r>
      <w:r>
        <w:rPr>
          <w:spacing w:val="-6"/>
          <w:sz w:val="21"/>
        </w:rPr>
        <w:t>力、偿债能力和表外事项等因素，对信用债进行信用风险评估，并确定信用债的风险等级；</w:t>
      </w:r>
    </w:p>
    <w:p>
      <w:pPr>
        <w:pStyle w:val="ListParagraph"/>
        <w:numPr>
          <w:ilvl w:val="0"/>
          <w:numId w:val="19"/>
        </w:numPr>
        <w:tabs>
          <w:tab w:pos="851" w:val="left" w:leader="none"/>
        </w:tabs>
        <w:spacing w:line="364" w:lineRule="auto" w:before="0" w:after="0"/>
        <w:ind w:left="220" w:right="1418" w:firstLine="420"/>
        <w:jc w:val="left"/>
        <w:rPr>
          <w:sz w:val="21"/>
        </w:rPr>
      </w:pPr>
      <w:r>
        <w:rPr>
          <w:spacing w:val="-6"/>
          <w:sz w:val="21"/>
        </w:rPr>
        <w:t>严格遵守信用类债券的备选库制度，根据不同的信用风险等级，设置不同的投资管理</w:t>
      </w:r>
      <w:r>
        <w:rPr>
          <w:sz w:val="21"/>
        </w:rPr>
        <w:t>流程和权限管理制度；</w:t>
      </w:r>
    </w:p>
    <w:p>
      <w:pPr>
        <w:pStyle w:val="ListParagraph"/>
        <w:numPr>
          <w:ilvl w:val="0"/>
          <w:numId w:val="19"/>
        </w:numPr>
        <w:tabs>
          <w:tab w:pos="851" w:val="left" w:leader="none"/>
        </w:tabs>
        <w:spacing w:line="268" w:lineRule="exact" w:before="0" w:after="0"/>
        <w:ind w:left="851" w:right="0" w:hanging="211"/>
        <w:jc w:val="left"/>
        <w:rPr>
          <w:sz w:val="21"/>
        </w:rPr>
      </w:pPr>
      <w:r>
        <w:rPr>
          <w:sz w:val="21"/>
        </w:rPr>
        <w:t>对信用产品备选库内的债券进行跟踪信用评估；</w:t>
      </w:r>
    </w:p>
    <w:p>
      <w:pPr>
        <w:pStyle w:val="ListParagraph"/>
        <w:numPr>
          <w:ilvl w:val="0"/>
          <w:numId w:val="19"/>
        </w:numPr>
        <w:tabs>
          <w:tab w:pos="851" w:val="left" w:leader="none"/>
        </w:tabs>
        <w:spacing w:line="364" w:lineRule="auto" w:before="138" w:after="0"/>
        <w:ind w:left="640" w:right="2375" w:firstLine="0"/>
        <w:jc w:val="left"/>
        <w:rPr>
          <w:sz w:val="21"/>
        </w:rPr>
      </w:pPr>
      <w:r>
        <w:rPr>
          <w:spacing w:val="-1"/>
          <w:sz w:val="21"/>
        </w:rPr>
        <w:t>采取分散化投资策略和集中度限制，严格控制组合整体的违约风险水平。</w:t>
      </w:r>
      <w:r>
        <w:rPr>
          <w:sz w:val="21"/>
        </w:rPr>
        <w:t>4、可转债投资策略</w:t>
      </w:r>
    </w:p>
    <w:p>
      <w:pPr>
        <w:pStyle w:val="ListParagraph"/>
        <w:numPr>
          <w:ilvl w:val="0"/>
          <w:numId w:val="20"/>
        </w:numPr>
        <w:tabs>
          <w:tab w:pos="956" w:val="left" w:leader="none"/>
        </w:tabs>
        <w:spacing w:line="268" w:lineRule="exact" w:before="0" w:after="0"/>
        <w:ind w:left="956" w:right="0" w:hanging="316"/>
        <w:jc w:val="left"/>
        <w:rPr>
          <w:sz w:val="21"/>
        </w:rPr>
      </w:pPr>
      <w:r>
        <w:rPr>
          <w:sz w:val="21"/>
        </w:rPr>
        <w:t>普通可转债投资策略</w:t>
      </w:r>
    </w:p>
    <w:p>
      <w:pPr>
        <w:pStyle w:val="BodyText"/>
        <w:spacing w:line="364" w:lineRule="auto" w:before="140"/>
        <w:ind w:left="220" w:right="1417" w:firstLine="420"/>
        <w:jc w:val="both"/>
      </w:pPr>
      <w:r>
        <w:rPr>
          <w:spacing w:val="-6"/>
        </w:rPr>
        <w:t>普通可转债是一种被赋予了股票转换权的债券，投资者可以在约定期限内按照事先确定的价格和比例将该债券转为对应的普通股。可转债的价值取决于普通债券价值加上内含的转</w:t>
      </w:r>
      <w:r>
        <w:rPr>
          <w:spacing w:val="-8"/>
        </w:rPr>
        <w:t>股权等期权价值。可转债同时具有股性和债性这两种性质，当正股下跌时，可转债中的普通</w:t>
      </w:r>
      <w:r>
        <w:rPr>
          <w:spacing w:val="-6"/>
        </w:rPr>
        <w:t>债券价值可以作为其价格支撑，以此抵御下跌风险；当正股上涨时，可转债中的转股期权能</w:t>
      </w:r>
      <w:r>
        <w:rPr/>
        <w:t>够使其分享股票价格上涨带来的收益。</w:t>
      </w:r>
    </w:p>
    <w:p>
      <w:pPr>
        <w:pStyle w:val="ListParagraph"/>
        <w:numPr>
          <w:ilvl w:val="0"/>
          <w:numId w:val="21"/>
        </w:numPr>
        <w:tabs>
          <w:tab w:pos="851" w:val="left" w:leader="none"/>
        </w:tabs>
        <w:spacing w:line="267" w:lineRule="exact" w:before="0" w:after="0"/>
        <w:ind w:left="851" w:right="0" w:hanging="211"/>
        <w:jc w:val="left"/>
        <w:rPr>
          <w:sz w:val="21"/>
        </w:rPr>
      </w:pPr>
      <w:r>
        <w:rPr>
          <w:sz w:val="21"/>
        </w:rPr>
        <w:t>个券投资策略</w:t>
      </w:r>
    </w:p>
    <w:p>
      <w:pPr>
        <w:pStyle w:val="BodyText"/>
        <w:spacing w:before="139"/>
      </w:pPr>
      <w:r>
        <w:rPr/>
        <w:t>本基金对可转债发行公司的基本面进行分析，包括所处行业的景气度、公司成长性、市</w:t>
      </w:r>
    </w:p>
    <w:p>
      <w:pPr>
        <w:spacing w:after="0"/>
        <w:sectPr>
          <w:pgSz w:w="11910" w:h="16840"/>
          <w:pgMar w:header="0" w:footer="664" w:top="1380" w:bottom="940" w:left="1580" w:right="380"/>
        </w:sectPr>
      </w:pPr>
    </w:p>
    <w:p>
      <w:pPr>
        <w:pStyle w:val="BodyText"/>
        <w:spacing w:line="364" w:lineRule="auto" w:before="45"/>
        <w:ind w:left="220" w:right="1103"/>
      </w:pPr>
      <w:r>
        <w:rPr>
          <w:spacing w:val="-4"/>
        </w:rPr>
        <w:t>场竞争力等，并参考同类公司的估值水平，判断可转换债券的股权投资价值；基于对利率水  </w:t>
      </w:r>
      <w:r>
        <w:rPr>
          <w:spacing w:val="-10"/>
        </w:rPr>
        <w:t>平、票息率、派息频率及信用风险等因素的分析，判断其债券投资价值；采用期权定价模型， </w:t>
      </w:r>
      <w:r>
        <w:rPr>
          <w:spacing w:val="-14"/>
        </w:rPr>
        <w:t>估算可转换债券的转换期权价值。综合以上因素，对可转换债券进行定价分析，决定可转债  个券的投资策略。</w:t>
      </w:r>
    </w:p>
    <w:p>
      <w:pPr>
        <w:pStyle w:val="ListParagraph"/>
        <w:numPr>
          <w:ilvl w:val="0"/>
          <w:numId w:val="21"/>
        </w:numPr>
        <w:tabs>
          <w:tab w:pos="851" w:val="left" w:leader="none"/>
        </w:tabs>
        <w:spacing w:line="267" w:lineRule="exact" w:before="0" w:after="0"/>
        <w:ind w:left="851" w:right="0" w:hanging="211"/>
        <w:jc w:val="left"/>
        <w:rPr>
          <w:sz w:val="21"/>
        </w:rPr>
      </w:pPr>
      <w:r>
        <w:rPr>
          <w:sz w:val="21"/>
        </w:rPr>
        <w:t>可转债条款博弈策略</w:t>
      </w:r>
    </w:p>
    <w:p>
      <w:pPr>
        <w:pStyle w:val="BodyText"/>
        <w:spacing w:line="364" w:lineRule="auto" w:before="139"/>
        <w:ind w:left="220" w:right="1208" w:firstLine="420"/>
      </w:pPr>
      <w:r>
        <w:rPr>
          <w:spacing w:val="-7"/>
        </w:rPr>
        <w:t>可转债通常含有修正转股价、提前赎回、提前回售等条款，这些条款对可转债的价值有 </w:t>
      </w:r>
      <w:r>
        <w:rPr>
          <w:spacing w:val="-16"/>
        </w:rPr>
        <w:t>着重要的影响。其中，修正转股价条款允许公司向下修正转股价，从而提高转债的转股价值， </w:t>
      </w:r>
      <w:r>
        <w:rPr>
          <w:spacing w:val="-9"/>
        </w:rPr>
        <w:t>对投资者是一种保护。赎回条款则允许发行人向投资人赎回可转债，若发行人放弃赎回权， </w:t>
      </w:r>
      <w:r>
        <w:rPr>
          <w:spacing w:val="-7"/>
        </w:rPr>
        <w:t>则也能提高转债的价值。回售条款为投资人的权利，它允许投资人将可转债出售给发行人， </w:t>
      </w:r>
      <w:r>
        <w:rPr>
          <w:spacing w:val="-11"/>
        </w:rPr>
        <w:t>回售价格往往是判断可转债安全边际的重要指标。本基金将在个券投资策略的基础上综合分 </w:t>
      </w:r>
      <w:r>
        <w:rPr>
          <w:spacing w:val="-15"/>
        </w:rPr>
        <w:t>析可转债各项可能触发条款的风险和收益，并据此制定相应的投资策略，充分把握由各类条 款触发带来的投资机会。</w:t>
      </w:r>
    </w:p>
    <w:p>
      <w:pPr>
        <w:pStyle w:val="ListParagraph"/>
        <w:numPr>
          <w:ilvl w:val="0"/>
          <w:numId w:val="21"/>
        </w:numPr>
        <w:tabs>
          <w:tab w:pos="851" w:val="left" w:leader="none"/>
        </w:tabs>
        <w:spacing w:line="266" w:lineRule="exact" w:before="0" w:after="0"/>
        <w:ind w:left="851" w:right="0" w:hanging="211"/>
        <w:jc w:val="left"/>
        <w:rPr>
          <w:sz w:val="21"/>
        </w:rPr>
      </w:pPr>
      <w:r>
        <w:rPr>
          <w:sz w:val="21"/>
        </w:rPr>
        <w:t>可转债转股的投资策略</w:t>
      </w:r>
    </w:p>
    <w:p>
      <w:pPr>
        <w:pStyle w:val="BodyText"/>
        <w:spacing w:line="364" w:lineRule="auto" w:before="140"/>
        <w:ind w:left="220" w:right="1417" w:firstLine="420"/>
        <w:jc w:val="both"/>
      </w:pPr>
      <w:r>
        <w:rPr>
          <w:spacing w:val="-10"/>
        </w:rPr>
        <w:t>在转股期内，投资者可在满足转换条件的前提下，将可转债转换为对应正股。本基金将</w:t>
      </w:r>
      <w:r>
        <w:rPr>
          <w:spacing w:val="-6"/>
        </w:rPr>
        <w:t>根据不同情况制订可转债转股策略。当可转债的转股溢价率为负时，即可转债转成正股后的</w:t>
      </w:r>
      <w:r>
        <w:rPr/>
        <w:t>价值大于可转债价格时，本基金可执行转股获取超额收益。</w:t>
      </w:r>
    </w:p>
    <w:p>
      <w:pPr>
        <w:pStyle w:val="BodyText"/>
        <w:spacing w:line="364" w:lineRule="auto"/>
        <w:ind w:left="220" w:right="1312" w:firstLine="420"/>
      </w:pPr>
      <w:r>
        <w:rPr>
          <w:spacing w:val="-4"/>
        </w:rPr>
        <w:t>当可转债因正股股价上涨而达到触发提前赎回条款时，本基金在对正股未来的走势进行</w:t>
      </w:r>
      <w:r>
        <w:rPr>
          <w:spacing w:val="-15"/>
        </w:rPr>
        <w:t>分析的基础上，决定是否进行转股以及转股后的持有策略。此外，本基金还将根据实际情况， </w:t>
      </w:r>
      <w:r>
        <w:rPr/>
        <w:t>决定是否将可转债转股，来保持组合的流动性。</w:t>
      </w:r>
    </w:p>
    <w:p>
      <w:pPr>
        <w:pStyle w:val="ListParagraph"/>
        <w:numPr>
          <w:ilvl w:val="0"/>
          <w:numId w:val="20"/>
        </w:numPr>
        <w:tabs>
          <w:tab w:pos="956" w:val="left" w:leader="none"/>
        </w:tabs>
        <w:spacing w:line="268" w:lineRule="exact" w:before="0" w:after="0"/>
        <w:ind w:left="956" w:right="0" w:hanging="316"/>
        <w:jc w:val="left"/>
        <w:rPr>
          <w:sz w:val="21"/>
        </w:rPr>
      </w:pPr>
      <w:r>
        <w:rPr>
          <w:sz w:val="21"/>
        </w:rPr>
        <w:t>分离交易可转债投资策略</w:t>
      </w:r>
    </w:p>
    <w:p>
      <w:pPr>
        <w:pStyle w:val="BodyText"/>
        <w:spacing w:line="364" w:lineRule="auto" w:before="138"/>
        <w:ind w:left="220" w:right="1418" w:firstLine="420"/>
        <w:jc w:val="both"/>
      </w:pPr>
      <w:r>
        <w:rPr>
          <w:spacing w:val="-5"/>
        </w:rPr>
        <w:t>分离交易可转债是指认股权和债券分离交易的可转债，它与普通可转债的区别在于上市</w:t>
      </w:r>
      <w:r>
        <w:rPr>
          <w:spacing w:val="-6"/>
        </w:rPr>
        <w:t>后可分离为纯债和认股权证两部分，且两部分各自单独交易。分离交易可转债与普通可转债的本质区别在于债券与认股权证可分离交易。当分离交易可转债上市后，对分离出的纯债部分，其投资策略与本基金普通公司债的投资策略相同；而对分离出的权证，其投资原则为有</w:t>
      </w:r>
      <w:r>
        <w:rPr/>
        <w:t>利于本基金资产增值、控制下跌风险、实现保值和锁定收益。</w:t>
      </w:r>
    </w:p>
    <w:p>
      <w:pPr>
        <w:pStyle w:val="BodyText"/>
        <w:spacing w:line="267" w:lineRule="exact"/>
      </w:pPr>
      <w:r>
        <w:rPr/>
        <w:t>5、利率品种投资策略</w:t>
      </w:r>
    </w:p>
    <w:p>
      <w:pPr>
        <w:pStyle w:val="BodyText"/>
        <w:spacing w:line="364" w:lineRule="auto" w:before="139"/>
        <w:ind w:left="220" w:right="1417" w:firstLine="420"/>
        <w:jc w:val="both"/>
      </w:pPr>
      <w:r>
        <w:rPr>
          <w:spacing w:val="-9"/>
        </w:rPr>
        <w:t>国债、央行票据等作为无信用风险的利率品种，受货币政策、经济周期、通胀周期等宏</w:t>
      </w:r>
      <w:r>
        <w:rPr>
          <w:spacing w:val="-8"/>
        </w:rPr>
        <w:t>观因素的影响比较大。在对利率品种进行投资时，本基金主要在对上述宏观因素进行分析的</w:t>
      </w:r>
      <w:r>
        <w:rPr>
          <w:spacing w:val="-10"/>
        </w:rPr>
        <w:t>基础上，结合数量方法对利率走势和利率期限结构变化趋势进行预测，深入分析利率品种的收益和风险，确定组合平均久期，并选择合适的期限结构配置策略，在合理控制利率风险和</w:t>
      </w:r>
      <w:r>
        <w:rPr/>
        <w:t>保持组合流动性的前提下，决定投资品种。</w:t>
      </w:r>
    </w:p>
    <w:p>
      <w:pPr>
        <w:pStyle w:val="BodyText"/>
        <w:spacing w:line="364" w:lineRule="auto"/>
        <w:ind w:right="7520"/>
      </w:pPr>
      <w:r>
        <w:rPr/>
        <w:t>6、权益类投资策略(1)股票投资策略</w:t>
      </w:r>
    </w:p>
    <w:p>
      <w:pPr>
        <w:pStyle w:val="BodyText"/>
        <w:spacing w:line="268" w:lineRule="exact"/>
      </w:pPr>
      <w:r>
        <w:rPr/>
        <w:t>本基金不直接从二级市场买入股票，但可以参与一级市场新股申购或增发新股，并可持</w:t>
      </w:r>
    </w:p>
    <w:p>
      <w:pPr>
        <w:spacing w:after="0" w:line="268" w:lineRule="exact"/>
        <w:sectPr>
          <w:pgSz w:w="11910" w:h="16840"/>
          <w:pgMar w:header="0" w:footer="664" w:top="1380" w:bottom="940" w:left="1580" w:right="380"/>
        </w:sectPr>
      </w:pPr>
    </w:p>
    <w:p>
      <w:pPr>
        <w:pStyle w:val="BodyText"/>
        <w:spacing w:line="364" w:lineRule="auto" w:before="45"/>
        <w:ind w:left="220" w:right="1325"/>
        <w:jc w:val="both"/>
      </w:pPr>
      <w:r>
        <w:rPr>
          <w:spacing w:val="-6"/>
        </w:rPr>
        <w:t>有因可转债转股所形成的股票。本基金通过对新股的分析，参考同类公司的估值水平，判断</w:t>
      </w:r>
      <w:r>
        <w:rPr>
          <w:spacing w:val="-11"/>
        </w:rPr>
        <w:t>一、二级市场价差的大小，并根据过往新股的中签率及上市后股价涨幅的统计，对新股投资</w:t>
      </w:r>
      <w:r>
        <w:rPr>
          <w:spacing w:val="-12"/>
        </w:rPr>
        <w:t>的收益率进行预测，同时综合考虑锁定期间的投资风险以及资金成本，制定新股申购策略。</w:t>
      </w:r>
    </w:p>
    <w:p>
      <w:pPr>
        <w:pStyle w:val="BodyText"/>
        <w:spacing w:line="364" w:lineRule="auto"/>
        <w:ind w:left="220" w:right="1418" w:firstLine="420"/>
      </w:pPr>
      <w:r>
        <w:rPr>
          <w:spacing w:val="-5"/>
        </w:rPr>
        <w:t>在新发股票获准上市或可转债转股形成的股票可上市交易后，本基金管理人将根据对股</w:t>
      </w:r>
      <w:r>
        <w:rPr/>
        <w:t>票内在投资价值的判断，结合市场环境的分析，选择适当的时机卖出。</w:t>
      </w:r>
    </w:p>
    <w:p>
      <w:pPr>
        <w:pStyle w:val="BodyText"/>
        <w:spacing w:line="268" w:lineRule="exact"/>
      </w:pPr>
      <w:r>
        <w:rPr/>
        <w:t>(2)权证的投资策略</w:t>
      </w:r>
    </w:p>
    <w:p>
      <w:pPr>
        <w:pStyle w:val="BodyText"/>
        <w:spacing w:line="364" w:lineRule="auto" w:before="138"/>
        <w:ind w:left="220" w:right="1417" w:firstLine="420"/>
        <w:jc w:val="both"/>
      </w:pPr>
      <w:r>
        <w:rPr>
          <w:spacing w:val="-4"/>
        </w:rPr>
        <w:t>本基金可持有因所持股票所派发的权证以及因投资分离交易可转债而产生的权证。权证</w:t>
      </w:r>
      <w:r>
        <w:rPr>
          <w:spacing w:val="-7"/>
        </w:rPr>
        <w:t>为本基金辅助性投资工具，投资原则为有利于本基金资产增值、控制下跌风险、实现保值和</w:t>
      </w:r>
      <w:r>
        <w:rPr/>
        <w:t>锁定收益。</w:t>
      </w:r>
    </w:p>
    <w:p>
      <w:pPr>
        <w:pStyle w:val="Heading3"/>
        <w:spacing w:line="358" w:lineRule="exact"/>
      </w:pPr>
      <w:bookmarkStart w:name="_bookmark49" w:id="50"/>
      <w:bookmarkEnd w:id="50"/>
      <w:r>
        <w:rPr/>
      </w:r>
      <w:r>
        <w:rPr/>
        <w:t>(五)业绩比较基准</w:t>
      </w:r>
    </w:p>
    <w:p>
      <w:pPr>
        <w:pStyle w:val="BodyText"/>
        <w:spacing w:line="364" w:lineRule="auto" w:before="185"/>
        <w:ind w:left="220" w:right="1418" w:firstLine="420"/>
      </w:pPr>
      <w:r>
        <w:rPr/>
        <w:t>中债企业债总全价指数收益率*40%+天相可转债指数收益率*40%+中债国债总全价指数收益率*20%</w:t>
      </w:r>
    </w:p>
    <w:p>
      <w:pPr>
        <w:pStyle w:val="BodyText"/>
        <w:spacing w:line="364" w:lineRule="auto"/>
        <w:ind w:left="220" w:right="1417" w:firstLine="420"/>
        <w:jc w:val="both"/>
      </w:pPr>
      <w:r>
        <w:rPr>
          <w:spacing w:val="-8"/>
        </w:rPr>
        <w:t>本基金为债券基金，且以信用债、可转债为主要投资方向。为使业绩比较基准能够与本基金的投资风格与投资方法一致，本基金选择具有较高权威性和公允性的中债企业债总全价</w:t>
      </w:r>
      <w:r>
        <w:rPr/>
        <w:t>指数、天相可转债指数以及中债国债总全价指数作为基础构建业绩比较基准。其中,中债企业债总全价指数与中债国债总全价指数是由中央国债登记结算有限责任公司编制并发布的</w:t>
      </w:r>
      <w:r>
        <w:rPr>
          <w:spacing w:val="-5"/>
        </w:rPr>
        <w:t>分别反映国内企业债市场与国债市场总体走势的指数，而天相可转债指数是由天相投资顾问</w:t>
      </w:r>
      <w:r>
        <w:rPr/>
        <w:t>有限公司编制并发布的反映沪深两市可转债总体走势的指数。</w:t>
      </w:r>
    </w:p>
    <w:p>
      <w:pPr>
        <w:pStyle w:val="BodyText"/>
        <w:spacing w:line="364" w:lineRule="auto"/>
        <w:ind w:left="220" w:right="1418" w:firstLine="420"/>
        <w:jc w:val="both"/>
      </w:pPr>
      <w:r>
        <w:rPr>
          <w:spacing w:val="-8"/>
        </w:rPr>
        <w:t>如果今后法律法规发生变化，或者有更权威的、更能为市场普遍接受的业绩比较基准推</w:t>
      </w:r>
      <w:r>
        <w:rPr>
          <w:spacing w:val="-10"/>
        </w:rPr>
        <w:t>出，或者是市场上出现更加适合用于本基金的业绩基准的指数时，基金管理人可以根据本基</w:t>
      </w:r>
      <w:r>
        <w:rPr>
          <w:spacing w:val="-7"/>
        </w:rPr>
        <w:t>金的投资范围和投资策略，确定变更基金的业绩比较基准。业绩比较基准的变更需经基金管</w:t>
      </w:r>
      <w:r>
        <w:rPr>
          <w:spacing w:val="-10"/>
        </w:rPr>
        <w:t>理人与基金托管人协商一致。基金管理人最迟应于新的业绩比较基准实施前 </w:t>
      </w:r>
      <w:r>
        <w:rPr/>
        <w:t>2</w:t>
      </w:r>
      <w:r>
        <w:rPr>
          <w:spacing w:val="-11"/>
        </w:rPr>
        <w:t> 日在至少一种</w:t>
      </w:r>
      <w:r>
        <w:rPr/>
        <w:t>指定媒介上进行公告并报中国证监会备案。</w:t>
      </w:r>
    </w:p>
    <w:p>
      <w:pPr>
        <w:pStyle w:val="Heading3"/>
        <w:spacing w:line="357" w:lineRule="exact"/>
      </w:pPr>
      <w:bookmarkStart w:name="_bookmark50" w:id="51"/>
      <w:bookmarkEnd w:id="51"/>
      <w:r>
        <w:rPr/>
      </w:r>
      <w:r>
        <w:rPr/>
        <w:t>(六)风险收益特征</w:t>
      </w:r>
    </w:p>
    <w:p>
      <w:pPr>
        <w:pStyle w:val="BodyText"/>
        <w:spacing w:line="364" w:lineRule="auto" w:before="181"/>
        <w:ind w:left="220" w:right="1417" w:firstLine="420"/>
      </w:pPr>
      <w:r>
        <w:rPr>
          <w:spacing w:val="-7"/>
        </w:rPr>
        <w:t>本基金为债券型基金，其长期平均风险和预期收益率低于混合型基金、股票型基金，高</w:t>
      </w:r>
      <w:r>
        <w:rPr/>
        <w:t>于货币市场基金。</w:t>
      </w:r>
    </w:p>
    <w:p>
      <w:pPr>
        <w:pStyle w:val="Heading3"/>
      </w:pPr>
      <w:bookmarkStart w:name="_bookmark51" w:id="52"/>
      <w:bookmarkEnd w:id="52"/>
      <w:r>
        <w:rPr/>
      </w:r>
      <w:r>
        <w:rPr/>
        <w:t>(七)投资决策</w:t>
      </w:r>
    </w:p>
    <w:p>
      <w:pPr>
        <w:pStyle w:val="BodyText"/>
        <w:spacing w:before="185"/>
      </w:pPr>
      <w:r>
        <w:rPr/>
        <w:t>1、决策依据</w:t>
      </w:r>
    </w:p>
    <w:p>
      <w:pPr>
        <w:pStyle w:val="ListParagraph"/>
        <w:numPr>
          <w:ilvl w:val="0"/>
          <w:numId w:val="22"/>
        </w:numPr>
        <w:tabs>
          <w:tab w:pos="956" w:val="left" w:leader="none"/>
        </w:tabs>
        <w:spacing w:line="240" w:lineRule="auto" w:before="139" w:after="0"/>
        <w:ind w:left="956" w:right="0" w:hanging="316"/>
        <w:jc w:val="left"/>
        <w:rPr>
          <w:sz w:val="21"/>
        </w:rPr>
      </w:pPr>
      <w:r>
        <w:rPr>
          <w:sz w:val="21"/>
        </w:rPr>
        <w:t>国家有关法律、法规和本基金合同的有关规定。</w:t>
      </w:r>
    </w:p>
    <w:p>
      <w:pPr>
        <w:pStyle w:val="ListParagraph"/>
        <w:numPr>
          <w:ilvl w:val="0"/>
          <w:numId w:val="22"/>
        </w:numPr>
        <w:tabs>
          <w:tab w:pos="956" w:val="left" w:leader="none"/>
        </w:tabs>
        <w:spacing w:line="364" w:lineRule="auto" w:before="140" w:after="0"/>
        <w:ind w:left="640" w:right="3740" w:firstLine="0"/>
        <w:jc w:val="left"/>
        <w:rPr>
          <w:sz w:val="21"/>
        </w:rPr>
      </w:pPr>
      <w:r>
        <w:rPr>
          <w:spacing w:val="-1"/>
          <w:sz w:val="21"/>
        </w:rPr>
        <w:t>宏观经济发展态势、微观经济运行环境和证券市场走势。</w:t>
      </w:r>
      <w:r>
        <w:rPr>
          <w:sz w:val="21"/>
        </w:rPr>
        <w:t>2、决策程序</w:t>
      </w:r>
    </w:p>
    <w:p>
      <w:pPr>
        <w:pStyle w:val="BodyText"/>
        <w:spacing w:line="364" w:lineRule="auto"/>
        <w:ind w:right="1312"/>
      </w:pPr>
      <w:r>
        <w:rPr/>
        <w:t>(1)</w:t>
      </w:r>
      <w:r>
        <w:rPr>
          <w:spacing w:val="-8"/>
        </w:rPr>
        <w:t>研究员提交宏观经济、债券市场、行业分析、新股申购、公司研究及信用分析报告； </w:t>
      </w:r>
      <w:r>
        <w:rPr/>
        <w:t>(2)基金经理根据研究报告以及对宏观经济、债券市场投资机会、新股申购收益率、股</w:t>
      </w:r>
    </w:p>
    <w:p>
      <w:pPr>
        <w:spacing w:after="0" w:line="364" w:lineRule="auto"/>
        <w:sectPr>
          <w:pgSz w:w="11910" w:h="16840"/>
          <w:pgMar w:header="0" w:footer="664" w:top="1380" w:bottom="940" w:left="1580" w:right="380"/>
        </w:sectPr>
      </w:pPr>
    </w:p>
    <w:p>
      <w:pPr>
        <w:pStyle w:val="BodyText"/>
        <w:spacing w:before="45"/>
        <w:ind w:left="220"/>
      </w:pPr>
      <w:r>
        <w:rPr/>
        <w:t>票市场预期收益水平的判断，制定资产配置计划，按制度提交审议并实施；</w:t>
      </w:r>
    </w:p>
    <w:p>
      <w:pPr>
        <w:pStyle w:val="BodyText"/>
        <w:spacing w:line="364" w:lineRule="auto" w:before="139"/>
        <w:ind w:right="1835"/>
      </w:pPr>
      <w:r>
        <w:rPr/>
        <w:t>(3)基金经理制定具体的固定收益品种、权益类品种的投资方案，构造投资组合； (4)集中交易室依据基金经理的指令，执行交易；</w:t>
      </w:r>
    </w:p>
    <w:p>
      <w:pPr>
        <w:pStyle w:val="ListParagraph"/>
        <w:numPr>
          <w:ilvl w:val="0"/>
          <w:numId w:val="23"/>
        </w:numPr>
        <w:tabs>
          <w:tab w:pos="956" w:val="left" w:leader="none"/>
        </w:tabs>
        <w:spacing w:line="364" w:lineRule="auto" w:before="0" w:after="0"/>
        <w:ind w:left="220" w:right="1418" w:firstLine="420"/>
        <w:jc w:val="left"/>
        <w:rPr>
          <w:sz w:val="21"/>
        </w:rPr>
      </w:pPr>
      <w:r>
        <w:rPr>
          <w:sz w:val="21"/>
        </w:rPr>
        <w:t>监察与合规管理总部对基金的日常投资和交易是否遵守法律法规、基金合同进行独立监督检查；</w:t>
      </w:r>
    </w:p>
    <w:p>
      <w:pPr>
        <w:pStyle w:val="ListParagraph"/>
        <w:numPr>
          <w:ilvl w:val="0"/>
          <w:numId w:val="23"/>
        </w:numPr>
        <w:tabs>
          <w:tab w:pos="956" w:val="left" w:leader="none"/>
        </w:tabs>
        <w:spacing w:line="364" w:lineRule="auto" w:before="0" w:after="0"/>
        <w:ind w:left="220" w:right="1418" w:firstLine="420"/>
        <w:jc w:val="left"/>
        <w:rPr>
          <w:sz w:val="21"/>
        </w:rPr>
      </w:pPr>
      <w:r>
        <w:rPr>
          <w:sz w:val="21"/>
        </w:rPr>
        <w:t>投资风险管理部定期出具基金绩效评估和风险管理报告，供基金经理调整投资组合时参考；</w:t>
      </w:r>
    </w:p>
    <w:p>
      <w:pPr>
        <w:pStyle w:val="ListParagraph"/>
        <w:numPr>
          <w:ilvl w:val="0"/>
          <w:numId w:val="23"/>
        </w:numPr>
        <w:tabs>
          <w:tab w:pos="956" w:val="left" w:leader="none"/>
        </w:tabs>
        <w:spacing w:line="268" w:lineRule="exact" w:before="0" w:after="0"/>
        <w:ind w:left="956" w:right="0" w:hanging="316"/>
        <w:jc w:val="left"/>
        <w:rPr>
          <w:sz w:val="21"/>
        </w:rPr>
      </w:pPr>
      <w:r>
        <w:rPr>
          <w:sz w:val="21"/>
        </w:rPr>
        <w:t>基金经理定期检讨投资组合的运作成效，并进行相应的组合调整。</w:t>
      </w:r>
    </w:p>
    <w:p>
      <w:pPr>
        <w:pStyle w:val="Heading3"/>
        <w:spacing w:before="139"/>
      </w:pPr>
      <w:bookmarkStart w:name="_bookmark52" w:id="53"/>
      <w:bookmarkEnd w:id="53"/>
      <w:r>
        <w:rPr/>
      </w:r>
      <w:r>
        <w:rPr/>
        <w:t>(八)投资禁止行为与限制</w:t>
      </w:r>
    </w:p>
    <w:p>
      <w:pPr>
        <w:pStyle w:val="BodyText"/>
        <w:spacing w:before="185"/>
      </w:pPr>
      <w:r>
        <w:rPr/>
        <w:t>1、禁止行为</w:t>
      </w:r>
    </w:p>
    <w:p>
      <w:pPr>
        <w:pStyle w:val="BodyText"/>
        <w:spacing w:before="139"/>
      </w:pPr>
      <w:r>
        <w:rPr/>
        <w:t>为维护基金份额持有人的合法权益，基金财产不得用于下列投资或者活动：</w:t>
      </w:r>
    </w:p>
    <w:p>
      <w:pPr>
        <w:pStyle w:val="ListParagraph"/>
        <w:numPr>
          <w:ilvl w:val="0"/>
          <w:numId w:val="24"/>
        </w:numPr>
        <w:tabs>
          <w:tab w:pos="956" w:val="left" w:leader="none"/>
        </w:tabs>
        <w:spacing w:line="240" w:lineRule="auto" w:before="140" w:after="0"/>
        <w:ind w:left="956" w:right="0" w:hanging="316"/>
        <w:jc w:val="left"/>
        <w:rPr>
          <w:sz w:val="21"/>
        </w:rPr>
      </w:pPr>
      <w:r>
        <w:rPr>
          <w:sz w:val="21"/>
        </w:rPr>
        <w:t>承销证券；</w:t>
      </w:r>
    </w:p>
    <w:p>
      <w:pPr>
        <w:pStyle w:val="ListParagraph"/>
        <w:numPr>
          <w:ilvl w:val="0"/>
          <w:numId w:val="24"/>
        </w:numPr>
        <w:tabs>
          <w:tab w:pos="956" w:val="left" w:leader="none"/>
        </w:tabs>
        <w:spacing w:line="364" w:lineRule="auto" w:before="139" w:after="0"/>
        <w:ind w:left="640" w:right="6470" w:firstLine="0"/>
        <w:jc w:val="left"/>
        <w:rPr>
          <w:sz w:val="21"/>
        </w:rPr>
      </w:pPr>
      <w:r>
        <w:rPr>
          <w:spacing w:val="-2"/>
          <w:sz w:val="21"/>
        </w:rPr>
        <w:t>向他人贷款或者提供担保； </w:t>
      </w:r>
      <w:r>
        <w:rPr>
          <w:sz w:val="21"/>
        </w:rPr>
        <w:t>(3)</w:t>
      </w:r>
      <w:r>
        <w:rPr>
          <w:spacing w:val="-2"/>
          <w:sz w:val="21"/>
        </w:rPr>
        <w:t>从事承担无限责任的投资；</w:t>
      </w:r>
    </w:p>
    <w:p>
      <w:pPr>
        <w:pStyle w:val="ListParagraph"/>
        <w:numPr>
          <w:ilvl w:val="0"/>
          <w:numId w:val="25"/>
        </w:numPr>
        <w:tabs>
          <w:tab w:pos="956" w:val="left" w:leader="none"/>
        </w:tabs>
        <w:spacing w:line="268" w:lineRule="exact" w:before="0" w:after="0"/>
        <w:ind w:left="956" w:right="0" w:hanging="316"/>
        <w:jc w:val="left"/>
        <w:rPr>
          <w:sz w:val="21"/>
        </w:rPr>
      </w:pPr>
      <w:r>
        <w:rPr>
          <w:sz w:val="21"/>
        </w:rPr>
        <w:t>买卖其他基金份额，但是法律法规或中国证监会另有规定的除外；</w:t>
      </w:r>
    </w:p>
    <w:p>
      <w:pPr>
        <w:pStyle w:val="ListParagraph"/>
        <w:numPr>
          <w:ilvl w:val="0"/>
          <w:numId w:val="25"/>
        </w:numPr>
        <w:tabs>
          <w:tab w:pos="956" w:val="left" w:leader="none"/>
        </w:tabs>
        <w:spacing w:line="364" w:lineRule="auto" w:before="140" w:after="0"/>
        <w:ind w:left="220" w:right="1418" w:firstLine="420"/>
        <w:jc w:val="left"/>
        <w:rPr>
          <w:sz w:val="21"/>
        </w:rPr>
      </w:pPr>
      <w:r>
        <w:rPr>
          <w:sz w:val="21"/>
        </w:rPr>
        <w:t>向其基金管理人、基金托管人出资或者买卖其基金管理人、基金托管人发行的股票或者债券；</w:t>
      </w:r>
    </w:p>
    <w:p>
      <w:pPr>
        <w:pStyle w:val="ListParagraph"/>
        <w:numPr>
          <w:ilvl w:val="0"/>
          <w:numId w:val="25"/>
        </w:numPr>
        <w:tabs>
          <w:tab w:pos="956" w:val="left" w:leader="none"/>
        </w:tabs>
        <w:spacing w:line="364" w:lineRule="auto" w:before="0" w:after="0"/>
        <w:ind w:left="220" w:right="1418" w:firstLine="420"/>
        <w:jc w:val="left"/>
        <w:rPr>
          <w:sz w:val="21"/>
        </w:rPr>
      </w:pPr>
      <w:r>
        <w:rPr>
          <w:sz w:val="21"/>
        </w:rPr>
        <w:t>买卖与其基金管理人、基金托管人有控股关系的股东或者与其基金管理人、基金托管人有其他重大利害关系的公司发行的证券或者承销期内承销的证券；</w:t>
      </w:r>
    </w:p>
    <w:p>
      <w:pPr>
        <w:pStyle w:val="ListParagraph"/>
        <w:numPr>
          <w:ilvl w:val="0"/>
          <w:numId w:val="25"/>
        </w:numPr>
        <w:tabs>
          <w:tab w:pos="956" w:val="left" w:leader="none"/>
        </w:tabs>
        <w:spacing w:line="364" w:lineRule="auto" w:before="0" w:after="0"/>
        <w:ind w:left="640" w:right="2900" w:firstLine="0"/>
        <w:jc w:val="left"/>
        <w:rPr>
          <w:sz w:val="21"/>
        </w:rPr>
      </w:pPr>
      <w:r>
        <w:rPr>
          <w:spacing w:val="-1"/>
          <w:sz w:val="21"/>
        </w:rPr>
        <w:t>从事内幕交易、操纵证券交易价格及其他不正当的证券交易活动； </w:t>
      </w:r>
      <w:r>
        <w:rPr>
          <w:sz w:val="21"/>
        </w:rPr>
        <w:t>(8)依照法律法规有关规定，由中国证监会规定禁止的其他活动；</w:t>
      </w:r>
    </w:p>
    <w:p>
      <w:pPr>
        <w:pStyle w:val="BodyText"/>
        <w:spacing w:line="364" w:lineRule="auto"/>
        <w:ind w:left="220" w:right="1418" w:firstLine="420"/>
      </w:pPr>
      <w:r>
        <w:rPr/>
        <w:t>(9)法律法规或监管部门取消上述限制，如适用于本基金，则本基金投资不再受相关限制。</w:t>
      </w:r>
    </w:p>
    <w:p>
      <w:pPr>
        <w:pStyle w:val="BodyText"/>
        <w:spacing w:line="268" w:lineRule="exact"/>
      </w:pPr>
      <w:r>
        <w:rPr/>
        <w:t>2、投资组合限制</w:t>
      </w:r>
    </w:p>
    <w:p>
      <w:pPr>
        <w:pStyle w:val="BodyText"/>
        <w:spacing w:line="364" w:lineRule="auto" w:before="136"/>
        <w:ind w:left="220" w:right="1418" w:firstLine="420"/>
      </w:pPr>
      <w:r>
        <w:rPr>
          <w:spacing w:val="-5"/>
        </w:rPr>
        <w:t>本基金在投资策略上兼顾投资原则以及开放式基金的固有特点，通过分散投资降低基金</w:t>
      </w:r>
      <w:r>
        <w:rPr/>
        <w:t>财产的非系统性风险，保持基金组合良好的流动性。基金的投资组合将遵循以下限制：</w:t>
      </w:r>
    </w:p>
    <w:p>
      <w:pPr>
        <w:pStyle w:val="BodyText"/>
        <w:spacing w:line="364" w:lineRule="auto"/>
        <w:ind w:right="2360"/>
      </w:pPr>
      <w:r>
        <w:rPr/>
        <w:t>(1)本基金持有一家上市公司的股票，其市值不超过基金资产净值的 10％； (2)本基金持有的全部权证，其市值不得超过基金资产净值的 3％；</w:t>
      </w:r>
    </w:p>
    <w:p>
      <w:pPr>
        <w:pStyle w:val="BodyText"/>
        <w:spacing w:line="364" w:lineRule="auto"/>
        <w:ind w:right="1520"/>
      </w:pPr>
      <w:r>
        <w:rPr/>
        <w:t>(3)本基金管理人管理的全部基金持有一家公司发行的证券，不超过该证券的 10％； (4)本基金管理人管理的全部基金持有的同一权证，不得超过该权证的 10％；</w:t>
      </w:r>
    </w:p>
    <w:p>
      <w:pPr>
        <w:pStyle w:val="ListParagraph"/>
        <w:numPr>
          <w:ilvl w:val="0"/>
          <w:numId w:val="26"/>
        </w:numPr>
        <w:tabs>
          <w:tab w:pos="956" w:val="left" w:leader="none"/>
        </w:tabs>
        <w:spacing w:line="364" w:lineRule="auto" w:before="0" w:after="0"/>
        <w:ind w:left="220" w:right="1430" w:firstLine="420"/>
        <w:jc w:val="left"/>
        <w:rPr>
          <w:sz w:val="21"/>
        </w:rPr>
      </w:pPr>
      <w:r>
        <w:rPr>
          <w:spacing w:val="-1"/>
          <w:sz w:val="21"/>
        </w:rPr>
        <w:t>本基金进入全国银行间同业市场进行债券回购的资金余额不得超过基金资产净值的</w:t>
      </w:r>
      <w:r>
        <w:rPr>
          <w:sz w:val="21"/>
        </w:rPr>
        <w:t>40％；</w:t>
      </w:r>
    </w:p>
    <w:p>
      <w:pPr>
        <w:pStyle w:val="ListParagraph"/>
        <w:numPr>
          <w:ilvl w:val="0"/>
          <w:numId w:val="26"/>
        </w:numPr>
        <w:tabs>
          <w:tab w:pos="957" w:val="left" w:leader="none"/>
        </w:tabs>
        <w:spacing w:line="364" w:lineRule="auto" w:before="0" w:after="0"/>
        <w:ind w:left="220" w:right="1313" w:firstLine="420"/>
        <w:jc w:val="left"/>
        <w:rPr>
          <w:sz w:val="21"/>
        </w:rPr>
      </w:pPr>
      <w:r>
        <w:rPr>
          <w:spacing w:val="-2"/>
          <w:sz w:val="21"/>
        </w:rPr>
        <w:t>本基金投资固定收益类资产的比例不低于基金资产的 </w:t>
      </w:r>
      <w:r>
        <w:rPr>
          <w:sz w:val="21"/>
        </w:rPr>
        <w:t>80%，其中，信用债、可转债</w:t>
      </w:r>
      <w:r>
        <w:rPr>
          <w:spacing w:val="2"/>
          <w:sz w:val="21"/>
        </w:rPr>
        <w:t>合计投资比例不低于债券资产的</w:t>
      </w:r>
      <w:r>
        <w:rPr>
          <w:spacing w:val="-14"/>
          <w:sz w:val="21"/>
        </w:rPr>
        <w:t>80%</w:t>
      </w:r>
      <w:r>
        <w:rPr>
          <w:spacing w:val="-3"/>
          <w:sz w:val="21"/>
        </w:rPr>
        <w:t>；本基金投资权益类资产的比例不高于基金资产的</w:t>
      </w:r>
      <w:r>
        <w:rPr>
          <w:spacing w:val="-4"/>
          <w:sz w:val="21"/>
        </w:rPr>
        <w:t>20%；</w:t>
      </w:r>
    </w:p>
    <w:p>
      <w:pPr>
        <w:spacing w:after="0" w:line="364" w:lineRule="auto"/>
        <w:jc w:val="left"/>
        <w:rPr>
          <w:sz w:val="21"/>
        </w:rPr>
        <w:sectPr>
          <w:pgSz w:w="11910" w:h="16840"/>
          <w:pgMar w:header="0" w:footer="664" w:top="1380" w:bottom="940" w:left="1580" w:right="380"/>
        </w:sectPr>
      </w:pPr>
    </w:p>
    <w:p>
      <w:pPr>
        <w:pStyle w:val="ListParagraph"/>
        <w:numPr>
          <w:ilvl w:val="0"/>
          <w:numId w:val="26"/>
        </w:numPr>
        <w:tabs>
          <w:tab w:pos="956" w:val="left" w:leader="none"/>
        </w:tabs>
        <w:spacing w:line="364" w:lineRule="auto" w:before="45" w:after="0"/>
        <w:ind w:left="220" w:right="1418" w:firstLine="420"/>
        <w:jc w:val="both"/>
        <w:rPr>
          <w:sz w:val="21"/>
        </w:rPr>
      </w:pPr>
      <w:r>
        <w:rPr>
          <w:sz w:val="21"/>
        </w:rPr>
        <w:t>本基金投资于同一原始权益人的各类资产支持证券的比例，不得超过基金资产净值</w:t>
      </w:r>
      <w:r>
        <w:rPr>
          <w:spacing w:val="-27"/>
          <w:sz w:val="21"/>
        </w:rPr>
        <w:t>的 </w:t>
      </w:r>
      <w:r>
        <w:rPr>
          <w:sz w:val="21"/>
        </w:rPr>
        <w:t>10％；</w:t>
      </w:r>
    </w:p>
    <w:p>
      <w:pPr>
        <w:pStyle w:val="ListParagraph"/>
        <w:numPr>
          <w:ilvl w:val="0"/>
          <w:numId w:val="26"/>
        </w:numPr>
        <w:tabs>
          <w:tab w:pos="956" w:val="left" w:leader="none"/>
        </w:tabs>
        <w:spacing w:line="268" w:lineRule="exact" w:before="0" w:after="0"/>
        <w:ind w:left="956" w:right="0" w:hanging="316"/>
        <w:jc w:val="both"/>
        <w:rPr>
          <w:sz w:val="21"/>
        </w:rPr>
      </w:pPr>
      <w:r>
        <w:rPr>
          <w:spacing w:val="-2"/>
          <w:sz w:val="21"/>
        </w:rPr>
        <w:t>本基金持有的全部资产支持证券，其市值不得超过基金资产净值的 </w:t>
      </w:r>
      <w:r>
        <w:rPr>
          <w:sz w:val="21"/>
        </w:rPr>
        <w:t>20％；</w:t>
      </w:r>
    </w:p>
    <w:p>
      <w:pPr>
        <w:pStyle w:val="ListParagraph"/>
        <w:numPr>
          <w:ilvl w:val="0"/>
          <w:numId w:val="26"/>
        </w:numPr>
        <w:tabs>
          <w:tab w:pos="956" w:val="left" w:leader="none"/>
        </w:tabs>
        <w:spacing w:line="364" w:lineRule="auto" w:before="139" w:after="0"/>
        <w:ind w:left="220" w:right="1418" w:firstLine="420"/>
        <w:jc w:val="both"/>
        <w:rPr>
          <w:sz w:val="21"/>
        </w:rPr>
      </w:pPr>
      <w:r>
        <w:rPr>
          <w:sz w:val="21"/>
        </w:rPr>
        <w:t>本基金持有的同一(指同一信用级别)资产支持证券的比例，不得超过该资产支持证</w:t>
      </w:r>
      <w:r>
        <w:rPr>
          <w:spacing w:val="-11"/>
          <w:sz w:val="21"/>
        </w:rPr>
        <w:t>券规模的 </w:t>
      </w:r>
      <w:r>
        <w:rPr>
          <w:sz w:val="21"/>
        </w:rPr>
        <w:t>10％；</w:t>
      </w:r>
    </w:p>
    <w:p>
      <w:pPr>
        <w:pStyle w:val="ListParagraph"/>
        <w:numPr>
          <w:ilvl w:val="0"/>
          <w:numId w:val="26"/>
        </w:numPr>
        <w:tabs>
          <w:tab w:pos="1061" w:val="left" w:leader="none"/>
        </w:tabs>
        <w:spacing w:line="364" w:lineRule="auto" w:before="0" w:after="0"/>
        <w:ind w:left="220" w:right="1418" w:firstLine="420"/>
        <w:jc w:val="both"/>
        <w:rPr>
          <w:sz w:val="21"/>
        </w:rPr>
      </w:pPr>
      <w:r>
        <w:rPr>
          <w:spacing w:val="-4"/>
          <w:sz w:val="21"/>
        </w:rPr>
        <w:t>本基金管理人管理的全部基金投资于同一原始权益人的各类资产支持证券，不得超过其各类资产支持证券合计规模的 </w:t>
      </w:r>
      <w:r>
        <w:rPr>
          <w:sz w:val="21"/>
        </w:rPr>
        <w:t>10％；</w:t>
      </w:r>
    </w:p>
    <w:p>
      <w:pPr>
        <w:pStyle w:val="ListParagraph"/>
        <w:numPr>
          <w:ilvl w:val="0"/>
          <w:numId w:val="26"/>
        </w:numPr>
        <w:tabs>
          <w:tab w:pos="1061" w:val="left" w:leader="none"/>
        </w:tabs>
        <w:spacing w:line="364" w:lineRule="auto" w:before="0" w:after="0"/>
        <w:ind w:left="220" w:right="1417"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7"/>
          <w:sz w:val="21"/>
        </w:rPr>
        <w:t>的资产支持证券。基金持有资产</w:t>
      </w:r>
      <w:r>
        <w:rPr>
          <w:spacing w:val="-10"/>
          <w:sz w:val="21"/>
        </w:rPr>
        <w:t>支持证券期间，如果其信用等级下降、不再符合投资标准，应在评级报告发布之日起 </w:t>
      </w:r>
      <w:r>
        <w:rPr>
          <w:sz w:val="21"/>
        </w:rPr>
        <w:t>3</w:t>
      </w:r>
      <w:r>
        <w:rPr>
          <w:spacing w:val="-23"/>
          <w:sz w:val="21"/>
        </w:rPr>
        <w:t> 个月</w:t>
      </w:r>
      <w:r>
        <w:rPr>
          <w:sz w:val="21"/>
        </w:rPr>
        <w:t>内予以全部卖出；</w:t>
      </w:r>
    </w:p>
    <w:p>
      <w:pPr>
        <w:pStyle w:val="ListParagraph"/>
        <w:numPr>
          <w:ilvl w:val="0"/>
          <w:numId w:val="26"/>
        </w:numPr>
        <w:tabs>
          <w:tab w:pos="1061" w:val="left" w:leader="none"/>
        </w:tabs>
        <w:spacing w:line="364" w:lineRule="auto" w:before="0" w:after="0"/>
        <w:ind w:left="220" w:right="1418" w:firstLine="420"/>
        <w:jc w:val="left"/>
        <w:rPr>
          <w:sz w:val="21"/>
        </w:rPr>
      </w:pPr>
      <w:r>
        <w:rPr>
          <w:spacing w:val="-7"/>
          <w:sz w:val="21"/>
        </w:rPr>
        <w:t>基金财产参与股票发行申购，本基金所申报的金额不超过本基金的总资产，本基金</w:t>
      </w:r>
      <w:r>
        <w:rPr>
          <w:sz w:val="21"/>
        </w:rPr>
        <w:t>所申报的股票数量不超过拟发行股票公司本次发行股票的总量；</w:t>
      </w:r>
    </w:p>
    <w:p>
      <w:pPr>
        <w:pStyle w:val="ListParagraph"/>
        <w:numPr>
          <w:ilvl w:val="0"/>
          <w:numId w:val="26"/>
        </w:numPr>
        <w:tabs>
          <w:tab w:pos="1061" w:val="left" w:leader="none"/>
        </w:tabs>
        <w:spacing w:line="364" w:lineRule="auto" w:before="0" w:after="0"/>
        <w:ind w:left="220" w:right="1418" w:firstLine="420"/>
        <w:jc w:val="left"/>
        <w:rPr>
          <w:sz w:val="21"/>
        </w:rPr>
      </w:pPr>
      <w:r>
        <w:rPr>
          <w:spacing w:val="-5"/>
          <w:sz w:val="21"/>
        </w:rPr>
        <w:t>保持不低于基金资产净值 </w:t>
      </w:r>
      <w:r>
        <w:rPr>
          <w:sz w:val="21"/>
        </w:rPr>
        <w:t>5％</w:t>
      </w:r>
      <w:r>
        <w:rPr>
          <w:spacing w:val="-4"/>
          <w:sz w:val="21"/>
        </w:rPr>
        <w:t>的现金或者到期日在一年以内的政府债券，现金不包</w:t>
      </w:r>
      <w:r>
        <w:rPr>
          <w:sz w:val="21"/>
        </w:rPr>
        <w:t>括结算备付金、存出保证金、应收申购款等；</w:t>
      </w:r>
    </w:p>
    <w:p>
      <w:pPr>
        <w:pStyle w:val="ListParagraph"/>
        <w:numPr>
          <w:ilvl w:val="0"/>
          <w:numId w:val="26"/>
        </w:numPr>
        <w:tabs>
          <w:tab w:pos="1061" w:val="left" w:leader="none"/>
        </w:tabs>
        <w:spacing w:line="364" w:lineRule="auto" w:before="0" w:after="0"/>
        <w:ind w:left="220" w:right="1418" w:firstLine="420"/>
        <w:jc w:val="both"/>
        <w:rPr>
          <w:sz w:val="21"/>
        </w:rPr>
      </w:pPr>
      <w:r>
        <w:rPr>
          <w:spacing w:val="-7"/>
          <w:sz w:val="21"/>
        </w:rPr>
        <w:t>本基金投资流通受限证券，基金管理人应事先根据中国证监会相关规定，与基金托</w:t>
      </w:r>
      <w:r>
        <w:rPr>
          <w:spacing w:val="-5"/>
          <w:sz w:val="21"/>
        </w:rPr>
        <w:t>管人在本基金托管协议中明确基金投资流通受限证券的比例，根据比例进行投资。基金管理</w:t>
      </w:r>
      <w:r>
        <w:rPr>
          <w:spacing w:val="-6"/>
          <w:sz w:val="21"/>
        </w:rPr>
        <w:t>人应制订严格的投资决策流程和风险控制制度，防范流动性风险、法律风险和操作风险等各</w:t>
      </w:r>
      <w:r>
        <w:rPr>
          <w:sz w:val="21"/>
        </w:rPr>
        <w:t>种风险。</w:t>
      </w:r>
    </w:p>
    <w:p>
      <w:pPr>
        <w:pStyle w:val="ListParagraph"/>
        <w:numPr>
          <w:ilvl w:val="0"/>
          <w:numId w:val="27"/>
        </w:numPr>
        <w:tabs>
          <w:tab w:pos="1271" w:val="left" w:leader="none"/>
        </w:tabs>
        <w:spacing w:line="364" w:lineRule="auto" w:before="0" w:after="0"/>
        <w:ind w:left="220" w:right="1418"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1"/>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pStyle w:val="ListParagraph"/>
        <w:numPr>
          <w:ilvl w:val="0"/>
          <w:numId w:val="27"/>
        </w:numPr>
        <w:tabs>
          <w:tab w:pos="1271" w:val="left" w:leader="none"/>
        </w:tabs>
        <w:spacing w:line="364" w:lineRule="auto" w:before="0" w:after="0"/>
        <w:ind w:left="640" w:right="1376" w:firstLine="0"/>
        <w:jc w:val="both"/>
        <w:rPr>
          <w:sz w:val="21"/>
        </w:rPr>
      </w:pPr>
      <w:r>
        <w:rPr>
          <w:spacing w:val="-2"/>
          <w:sz w:val="21"/>
        </w:rPr>
        <w:t>本基金主动投资于流动性受限资产的市值合计不得超过该基金资产净值的 </w:t>
      </w:r>
      <w:r>
        <w:rPr>
          <w:sz w:val="21"/>
        </w:rPr>
        <w:t>15%</w:t>
      </w:r>
      <w:r>
        <w:rPr>
          <w:spacing w:val="-17"/>
          <w:sz w:val="21"/>
        </w:rPr>
        <w:t>。</w:t>
      </w:r>
      <w:r>
        <w:rPr>
          <w:spacing w:val="-9"/>
          <w:sz w:val="21"/>
        </w:rPr>
        <w:t>因证券市场波动、上市公司股票停牌、基金规模变动等基金管理人之外的因素致使基金</w:t>
      </w:r>
    </w:p>
    <w:p>
      <w:pPr>
        <w:pStyle w:val="BodyText"/>
        <w:spacing w:line="268" w:lineRule="exact"/>
        <w:ind w:left="220"/>
      </w:pPr>
      <w:r>
        <w:rPr/>
        <w:t>不符合前款所规定比例限制的，基金管理人不得主动新增流动性受限资产的投资。</w:t>
      </w:r>
    </w:p>
    <w:p>
      <w:pPr>
        <w:pStyle w:val="ListParagraph"/>
        <w:numPr>
          <w:ilvl w:val="0"/>
          <w:numId w:val="27"/>
        </w:numPr>
        <w:tabs>
          <w:tab w:pos="1271" w:val="left" w:leader="none"/>
        </w:tabs>
        <w:spacing w:line="364" w:lineRule="auto" w:before="131" w:after="0"/>
        <w:ind w:left="220" w:right="141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BodyText"/>
        <w:spacing w:line="364" w:lineRule="auto"/>
        <w:ind w:left="220" w:right="1417" w:firstLine="420"/>
        <w:jc w:val="both"/>
      </w:pPr>
      <w:r>
        <w:rPr>
          <w:spacing w:val="-5"/>
        </w:rPr>
        <w:t>如果法律法规或监管部门对上述约定的投资组合比例规定进行变更的，以变更后的规定</w:t>
      </w:r>
      <w:r>
        <w:rPr>
          <w:spacing w:val="-10"/>
        </w:rPr>
        <w:t>为准。有关法律法规或监管部门取消上述限制，履行适当程序后，则本基金投资不再受相关</w:t>
      </w:r>
      <w:r>
        <w:rPr/>
        <w:t>限制。</w:t>
      </w:r>
    </w:p>
    <w:p>
      <w:pPr>
        <w:pStyle w:val="Heading3"/>
        <w:spacing w:line="358" w:lineRule="exact"/>
      </w:pPr>
      <w:bookmarkStart w:name="_bookmark53" w:id="54"/>
      <w:bookmarkEnd w:id="54"/>
      <w:r>
        <w:rPr/>
      </w:r>
      <w:r>
        <w:rPr/>
        <w:t>(九)投资组合比例调整</w:t>
      </w:r>
    </w:p>
    <w:p>
      <w:pPr>
        <w:pStyle w:val="BodyText"/>
        <w:spacing w:line="364" w:lineRule="auto" w:before="184"/>
        <w:ind w:left="220" w:right="1418" w:firstLine="420"/>
      </w:pPr>
      <w:r>
        <w:rPr>
          <w:spacing w:val="-1"/>
        </w:rPr>
        <w:t>基金管理人应当自基金合同生效之日起 </w:t>
      </w:r>
      <w:r>
        <w:rPr/>
        <w:t>6</w:t>
      </w:r>
      <w:r>
        <w:rPr>
          <w:spacing w:val="-5"/>
        </w:rPr>
        <w:t> 个月内使基金的投资组合比例符合基金合同</w:t>
      </w:r>
      <w:r>
        <w:rPr>
          <w:spacing w:val="-12"/>
        </w:rPr>
        <w:t>的有关约定。基金托管人对基金的投资的监督与检查自本基金合同生效之日起开始。除上述</w:t>
      </w:r>
    </w:p>
    <w:p>
      <w:pPr>
        <w:pStyle w:val="BodyText"/>
        <w:spacing w:line="364" w:lineRule="auto"/>
        <w:ind w:left="220" w:right="1208"/>
      </w:pPr>
      <w:r>
        <w:rPr>
          <w:spacing w:val="2"/>
        </w:rPr>
        <w:t>（</w:t>
      </w:r>
      <w:r>
        <w:rPr/>
        <w:t>1</w:t>
      </w:r>
      <w:r>
        <w:rPr>
          <w:spacing w:val="2"/>
        </w:rPr>
        <w:t>1</w:t>
      </w:r>
      <w:r>
        <w:rPr>
          <w:spacing w:val="-103"/>
        </w:rPr>
        <w:t>）、</w:t>
      </w:r>
      <w:r>
        <w:rPr>
          <w:spacing w:val="2"/>
        </w:rPr>
        <w:t>（</w:t>
      </w:r>
      <w:r>
        <w:rPr/>
        <w:t>1</w:t>
      </w:r>
      <w:r>
        <w:rPr>
          <w:spacing w:val="2"/>
        </w:rPr>
        <w:t>2</w:t>
      </w:r>
      <w:r>
        <w:rPr>
          <w:spacing w:val="-103"/>
        </w:rPr>
        <w:t>）、</w:t>
      </w:r>
      <w:r>
        <w:rPr>
          <w:spacing w:val="2"/>
        </w:rPr>
        <w:t>（</w:t>
      </w:r>
      <w:r>
        <w:rPr/>
        <w:t>1</w:t>
      </w:r>
      <w:r>
        <w:rPr>
          <w:spacing w:val="2"/>
        </w:rPr>
        <w:t>3</w:t>
      </w:r>
      <w:r>
        <w:rPr>
          <w:spacing w:val="-103"/>
        </w:rPr>
        <w:t>）、</w:t>
      </w:r>
      <w:r>
        <w:rPr>
          <w:spacing w:val="2"/>
        </w:rPr>
        <w:t>（</w:t>
      </w:r>
      <w:r>
        <w:rPr/>
        <w:t>1</w:t>
      </w:r>
      <w:r>
        <w:rPr>
          <w:spacing w:val="2"/>
        </w:rPr>
        <w:t>6</w:t>
      </w:r>
      <w:r>
        <w:rPr>
          <w:spacing w:val="-103"/>
        </w:rPr>
        <w:t>）、</w:t>
      </w:r>
      <w:r>
        <w:rPr>
          <w:spacing w:val="2"/>
        </w:rPr>
        <w:t>（</w:t>
      </w:r>
      <w:r>
        <w:rPr/>
        <w:t>1</w:t>
      </w:r>
      <w:r>
        <w:rPr>
          <w:spacing w:val="2"/>
        </w:rPr>
        <w:t>7）</w:t>
      </w:r>
      <w:r>
        <w:rPr>
          <w:spacing w:val="1"/>
        </w:rPr>
        <w:t>以外，因证券市场波动、上市公司合并、基金规模变动、</w:t>
      </w:r>
      <w:r>
        <w:rPr/>
        <w:t>股权分置改革中支付对价等基金管理人之外的因素致使基金投资比例不符合上述规定投资</w:t>
      </w:r>
    </w:p>
    <w:p>
      <w:pPr>
        <w:spacing w:after="0" w:line="364" w:lineRule="auto"/>
        <w:sectPr>
          <w:pgSz w:w="11910" w:h="16840"/>
          <w:pgMar w:header="0" w:footer="664" w:top="1380" w:bottom="940" w:left="1580" w:right="380"/>
        </w:sectPr>
      </w:pPr>
    </w:p>
    <w:p>
      <w:pPr>
        <w:pStyle w:val="BodyText"/>
        <w:spacing w:before="45"/>
        <w:ind w:left="220"/>
      </w:pPr>
      <w:r>
        <w:rPr/>
        <w:t>比例的，基金管理人应当在 10 个交易日内进行调整。</w:t>
      </w:r>
    </w:p>
    <w:p>
      <w:pPr>
        <w:pStyle w:val="Heading3"/>
        <w:spacing w:before="141"/>
      </w:pPr>
      <w:bookmarkStart w:name="_bookmark54" w:id="55"/>
      <w:bookmarkEnd w:id="55"/>
      <w:r>
        <w:rPr/>
      </w:r>
      <w:r>
        <w:rPr/>
        <w:t>(十)基金的融资、融券</w:t>
      </w:r>
    </w:p>
    <w:p>
      <w:pPr>
        <w:pStyle w:val="BodyText"/>
        <w:spacing w:before="184"/>
      </w:pPr>
      <w:r>
        <w:rPr/>
        <w:t>本基金可以按照国家的有关规定进行融资、融券。</w:t>
      </w:r>
    </w:p>
    <w:p>
      <w:pPr>
        <w:pStyle w:val="Heading3"/>
        <w:spacing w:line="364" w:lineRule="auto" w:before="141"/>
        <w:ind w:right="1418"/>
      </w:pPr>
      <w:bookmarkStart w:name="_bookmark55" w:id="56"/>
      <w:bookmarkEnd w:id="56"/>
      <w:r>
        <w:rPr/>
      </w:r>
      <w:r>
        <w:rPr/>
        <w:t>(十一)基金管理人代表基金行使股东权利及债权人权利的处理原则及方法</w:t>
      </w:r>
    </w:p>
    <w:p>
      <w:pPr>
        <w:pStyle w:val="BodyText"/>
        <w:spacing w:line="364" w:lineRule="auto"/>
        <w:ind w:left="220" w:right="1418" w:firstLine="420"/>
      </w:pPr>
      <w:r>
        <w:rPr/>
        <w:t>1、基金管理人按照国家有关规定代表基金独立行使股东权利及债权人权利，保护基金份额持有人的利益；</w:t>
      </w:r>
    </w:p>
    <w:p>
      <w:pPr>
        <w:pStyle w:val="BodyText"/>
        <w:spacing w:line="268" w:lineRule="exact"/>
      </w:pPr>
      <w:r>
        <w:rPr/>
        <w:t>2、不谋求对上市公司的控股，不参与所投资上市公司的经营管理；</w:t>
      </w:r>
    </w:p>
    <w:p>
      <w:pPr>
        <w:pStyle w:val="BodyText"/>
        <w:spacing w:before="137"/>
      </w:pPr>
      <w:r>
        <w:rPr/>
        <w:t>3、有利于基金财产的安全与增值；</w:t>
      </w:r>
    </w:p>
    <w:p>
      <w:pPr>
        <w:pStyle w:val="BodyText"/>
        <w:spacing w:line="364" w:lineRule="auto" w:before="139"/>
        <w:ind w:left="220" w:right="1418" w:firstLine="420"/>
      </w:pPr>
      <w:r>
        <w:rPr/>
        <w:t>4、不通过关联交易为自身、雇员、授权代理人或任何存在利害关系的第三人牟取任何不当利益。</w:t>
      </w:r>
    </w:p>
    <w:p>
      <w:pPr>
        <w:pStyle w:val="Heading3"/>
        <w:spacing w:before="1"/>
      </w:pPr>
      <w:bookmarkStart w:name="_bookmark56" w:id="57"/>
      <w:bookmarkEnd w:id="57"/>
      <w:r>
        <w:rPr/>
      </w:r>
      <w:r>
        <w:rPr/>
        <w:t>(十二)基金投资组合报告（未经审计）</w:t>
      </w:r>
    </w:p>
    <w:p>
      <w:pPr>
        <w:pStyle w:val="BodyText"/>
        <w:spacing w:line="364" w:lineRule="auto" w:before="184"/>
        <w:ind w:left="220" w:right="141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364" w:lineRule="auto"/>
        <w:ind w:left="220" w:right="1418" w:firstLine="420"/>
      </w:pPr>
      <w:r>
        <w:rPr>
          <w:spacing w:val="-5"/>
        </w:rPr>
        <w:t>本基金的托管人中国建设银行股份有限公司根据本基金合同的规定，复核了本报告的内</w:t>
      </w:r>
      <w:r>
        <w:rPr/>
        <w:t>容，保证复核内容不存在虚假记载、误导性陈述或者重大遗漏。</w:t>
      </w:r>
    </w:p>
    <w:p>
      <w:pPr>
        <w:pStyle w:val="BodyText"/>
        <w:spacing w:line="364" w:lineRule="auto"/>
        <w:ind w:right="2480"/>
      </w:pPr>
      <w:r>
        <w:rPr>
          <w:spacing w:val="-4"/>
        </w:rPr>
        <w:t>本投资组合报告有关数据的期间为 </w:t>
      </w:r>
      <w:r>
        <w:rPr/>
        <w:t>2019</w:t>
      </w:r>
      <w:r>
        <w:rPr>
          <w:spacing w:val="-36"/>
        </w:rPr>
        <w:t> 年 </w:t>
      </w:r>
      <w:r>
        <w:rPr/>
        <w:t>10</w:t>
      </w:r>
      <w:r>
        <w:rPr>
          <w:spacing w:val="-36"/>
        </w:rPr>
        <w:t> 月 </w:t>
      </w:r>
      <w:r>
        <w:rPr/>
        <w:t>1</w:t>
      </w:r>
      <w:r>
        <w:rPr>
          <w:spacing w:val="-27"/>
        </w:rPr>
        <w:t> 日至 </w:t>
      </w:r>
      <w:r>
        <w:rPr/>
        <w:t>2019</w:t>
      </w:r>
      <w:r>
        <w:rPr>
          <w:spacing w:val="-36"/>
        </w:rPr>
        <w:t> 年 </w:t>
      </w:r>
      <w:r>
        <w:rPr/>
        <w:t>12</w:t>
      </w:r>
      <w:r>
        <w:rPr>
          <w:spacing w:val="-36"/>
        </w:rPr>
        <w:t> 月 </w:t>
      </w:r>
      <w:r>
        <w:rPr/>
        <w:t>31</w:t>
      </w:r>
      <w:r>
        <w:rPr>
          <w:spacing w:val="-33"/>
        </w:rPr>
        <w:t> 日</w:t>
      </w:r>
      <w:r>
        <w:rPr/>
        <w:t>1、报告期末基金资产组合情况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1"/>
        <w:gridCol w:w="2905"/>
        <w:gridCol w:w="2574"/>
        <w:gridCol w:w="1480"/>
      </w:tblGrid>
      <w:tr>
        <w:trPr>
          <w:trHeight w:val="809" w:hRule="atLeast"/>
        </w:trPr>
        <w:tc>
          <w:tcPr>
            <w:tcW w:w="1041" w:type="dxa"/>
          </w:tcPr>
          <w:p>
            <w:pPr>
              <w:pStyle w:val="TableParagraph"/>
              <w:spacing w:before="11"/>
              <w:rPr>
                <w:sz w:val="21"/>
              </w:rPr>
            </w:pPr>
          </w:p>
          <w:p>
            <w:pPr>
              <w:pStyle w:val="TableParagraph"/>
              <w:ind w:left="299" w:right="272"/>
              <w:jc w:val="center"/>
              <w:rPr>
                <w:sz w:val="21"/>
              </w:rPr>
            </w:pPr>
            <w:r>
              <w:rPr>
                <w:sz w:val="21"/>
              </w:rPr>
              <w:t>序号</w:t>
            </w:r>
          </w:p>
        </w:tc>
        <w:tc>
          <w:tcPr>
            <w:tcW w:w="2905" w:type="dxa"/>
          </w:tcPr>
          <w:p>
            <w:pPr>
              <w:pStyle w:val="TableParagraph"/>
              <w:spacing w:before="11"/>
              <w:rPr>
                <w:sz w:val="21"/>
              </w:rPr>
            </w:pPr>
          </w:p>
          <w:p>
            <w:pPr>
              <w:pStyle w:val="TableParagraph"/>
              <w:ind w:left="1230" w:right="1204"/>
              <w:jc w:val="center"/>
              <w:rPr>
                <w:sz w:val="21"/>
              </w:rPr>
            </w:pPr>
            <w:r>
              <w:rPr>
                <w:sz w:val="21"/>
              </w:rPr>
              <w:t>项目</w:t>
            </w:r>
          </w:p>
        </w:tc>
        <w:tc>
          <w:tcPr>
            <w:tcW w:w="2574" w:type="dxa"/>
          </w:tcPr>
          <w:p>
            <w:pPr>
              <w:pStyle w:val="TableParagraph"/>
              <w:spacing w:before="11"/>
              <w:rPr>
                <w:sz w:val="21"/>
              </w:rPr>
            </w:pPr>
          </w:p>
          <w:p>
            <w:pPr>
              <w:pStyle w:val="TableParagraph"/>
              <w:ind w:left="875"/>
              <w:rPr>
                <w:sz w:val="21"/>
              </w:rPr>
            </w:pPr>
            <w:r>
              <w:rPr>
                <w:sz w:val="21"/>
              </w:rPr>
              <w:t>金额(元)</w:t>
            </w:r>
          </w:p>
        </w:tc>
        <w:tc>
          <w:tcPr>
            <w:tcW w:w="1480" w:type="dxa"/>
          </w:tcPr>
          <w:p>
            <w:pPr>
              <w:pStyle w:val="TableParagraph"/>
              <w:spacing w:before="85"/>
              <w:ind w:left="223"/>
              <w:rPr>
                <w:sz w:val="21"/>
              </w:rPr>
            </w:pPr>
            <w:r>
              <w:rPr>
                <w:sz w:val="21"/>
              </w:rPr>
              <w:t>占基金总资</w:t>
            </w:r>
          </w:p>
          <w:p>
            <w:pPr>
              <w:pStyle w:val="TableParagraph"/>
              <w:spacing w:before="121"/>
              <w:ind w:left="170"/>
              <w:rPr>
                <w:sz w:val="21"/>
              </w:rPr>
            </w:pPr>
            <w:r>
              <w:rPr>
                <w:sz w:val="21"/>
              </w:rPr>
              <w:t>产的比例(%)</w:t>
            </w:r>
          </w:p>
        </w:tc>
      </w:tr>
      <w:tr>
        <w:trPr>
          <w:trHeight w:val="419" w:hRule="atLeast"/>
        </w:trPr>
        <w:tc>
          <w:tcPr>
            <w:tcW w:w="1041" w:type="dxa"/>
          </w:tcPr>
          <w:p>
            <w:pPr>
              <w:pStyle w:val="TableParagraph"/>
              <w:spacing w:before="85"/>
              <w:ind w:left="27"/>
              <w:jc w:val="center"/>
              <w:rPr>
                <w:sz w:val="21"/>
              </w:rPr>
            </w:pPr>
            <w:r>
              <w:rPr>
                <w:sz w:val="21"/>
              </w:rPr>
              <w:t>1</w:t>
            </w:r>
          </w:p>
        </w:tc>
        <w:tc>
          <w:tcPr>
            <w:tcW w:w="2905" w:type="dxa"/>
          </w:tcPr>
          <w:p>
            <w:pPr>
              <w:pStyle w:val="TableParagraph"/>
              <w:spacing w:before="85"/>
              <w:ind w:left="124"/>
              <w:rPr>
                <w:sz w:val="21"/>
              </w:rPr>
            </w:pPr>
            <w:r>
              <w:rPr>
                <w:sz w:val="21"/>
              </w:rPr>
              <w:t>权益投资</w:t>
            </w:r>
          </w:p>
        </w:tc>
        <w:tc>
          <w:tcPr>
            <w:tcW w:w="2574" w:type="dxa"/>
          </w:tcPr>
          <w:p>
            <w:pPr>
              <w:pStyle w:val="TableParagraph"/>
              <w:spacing w:before="85"/>
              <w:ind w:right="97"/>
              <w:jc w:val="right"/>
              <w:rPr>
                <w:sz w:val="21"/>
              </w:rPr>
            </w:pPr>
            <w:r>
              <w:rPr>
                <w:sz w:val="21"/>
              </w:rPr>
              <w:t>6,029,043.93</w:t>
            </w:r>
          </w:p>
        </w:tc>
        <w:tc>
          <w:tcPr>
            <w:tcW w:w="1480" w:type="dxa"/>
          </w:tcPr>
          <w:p>
            <w:pPr>
              <w:pStyle w:val="TableParagraph"/>
              <w:spacing w:before="85"/>
              <w:ind w:right="96"/>
              <w:jc w:val="right"/>
              <w:rPr>
                <w:sz w:val="21"/>
              </w:rPr>
            </w:pPr>
            <w:r>
              <w:rPr>
                <w:sz w:val="21"/>
              </w:rPr>
              <w:t>1.52</w:t>
            </w:r>
          </w:p>
        </w:tc>
      </w:tr>
      <w:tr>
        <w:trPr>
          <w:trHeight w:val="419" w:hRule="atLeast"/>
        </w:trPr>
        <w:tc>
          <w:tcPr>
            <w:tcW w:w="1041" w:type="dxa"/>
          </w:tcPr>
          <w:p>
            <w:pPr>
              <w:pStyle w:val="TableParagraph"/>
              <w:rPr>
                <w:rFonts w:ascii="Times New Roman"/>
                <w:sz w:val="20"/>
              </w:rPr>
            </w:pPr>
          </w:p>
        </w:tc>
        <w:tc>
          <w:tcPr>
            <w:tcW w:w="2905" w:type="dxa"/>
          </w:tcPr>
          <w:p>
            <w:pPr>
              <w:pStyle w:val="TableParagraph"/>
              <w:spacing w:before="85"/>
              <w:ind w:left="124"/>
              <w:rPr>
                <w:sz w:val="21"/>
              </w:rPr>
            </w:pPr>
            <w:r>
              <w:rPr>
                <w:sz w:val="21"/>
              </w:rPr>
              <w:t>其中：股票</w:t>
            </w:r>
          </w:p>
        </w:tc>
        <w:tc>
          <w:tcPr>
            <w:tcW w:w="2574" w:type="dxa"/>
          </w:tcPr>
          <w:p>
            <w:pPr>
              <w:pStyle w:val="TableParagraph"/>
              <w:spacing w:before="85"/>
              <w:ind w:right="97"/>
              <w:jc w:val="right"/>
              <w:rPr>
                <w:sz w:val="21"/>
              </w:rPr>
            </w:pPr>
            <w:r>
              <w:rPr>
                <w:sz w:val="21"/>
              </w:rPr>
              <w:t>6,029,043.93</w:t>
            </w:r>
          </w:p>
        </w:tc>
        <w:tc>
          <w:tcPr>
            <w:tcW w:w="1480" w:type="dxa"/>
          </w:tcPr>
          <w:p>
            <w:pPr>
              <w:pStyle w:val="TableParagraph"/>
              <w:spacing w:before="85"/>
              <w:ind w:right="96"/>
              <w:jc w:val="right"/>
              <w:rPr>
                <w:sz w:val="21"/>
              </w:rPr>
            </w:pPr>
            <w:r>
              <w:rPr>
                <w:sz w:val="21"/>
              </w:rPr>
              <w:t>1.52</w:t>
            </w:r>
          </w:p>
        </w:tc>
      </w:tr>
      <w:tr>
        <w:trPr>
          <w:trHeight w:val="418" w:hRule="atLeast"/>
        </w:trPr>
        <w:tc>
          <w:tcPr>
            <w:tcW w:w="1041" w:type="dxa"/>
          </w:tcPr>
          <w:p>
            <w:pPr>
              <w:pStyle w:val="TableParagraph"/>
              <w:spacing w:before="85"/>
              <w:ind w:left="27"/>
              <w:jc w:val="center"/>
              <w:rPr>
                <w:sz w:val="21"/>
              </w:rPr>
            </w:pPr>
            <w:r>
              <w:rPr>
                <w:sz w:val="21"/>
              </w:rPr>
              <w:t>2</w:t>
            </w:r>
          </w:p>
        </w:tc>
        <w:tc>
          <w:tcPr>
            <w:tcW w:w="2905" w:type="dxa"/>
          </w:tcPr>
          <w:p>
            <w:pPr>
              <w:pStyle w:val="TableParagraph"/>
              <w:spacing w:before="85"/>
              <w:ind w:left="124"/>
              <w:rPr>
                <w:sz w:val="21"/>
              </w:rPr>
            </w:pPr>
            <w:r>
              <w:rPr>
                <w:sz w:val="21"/>
              </w:rPr>
              <w:t>固定收益投资</w:t>
            </w:r>
          </w:p>
        </w:tc>
        <w:tc>
          <w:tcPr>
            <w:tcW w:w="2574" w:type="dxa"/>
          </w:tcPr>
          <w:p>
            <w:pPr>
              <w:pStyle w:val="TableParagraph"/>
              <w:spacing w:before="85"/>
              <w:ind w:right="97"/>
              <w:jc w:val="right"/>
              <w:rPr>
                <w:sz w:val="21"/>
              </w:rPr>
            </w:pPr>
            <w:r>
              <w:rPr>
                <w:sz w:val="21"/>
              </w:rPr>
              <w:t>361,595,112.09</w:t>
            </w:r>
          </w:p>
        </w:tc>
        <w:tc>
          <w:tcPr>
            <w:tcW w:w="1480" w:type="dxa"/>
          </w:tcPr>
          <w:p>
            <w:pPr>
              <w:pStyle w:val="TableParagraph"/>
              <w:spacing w:before="85"/>
              <w:ind w:right="96"/>
              <w:jc w:val="right"/>
              <w:rPr>
                <w:sz w:val="21"/>
              </w:rPr>
            </w:pPr>
            <w:r>
              <w:rPr>
                <w:sz w:val="21"/>
              </w:rPr>
              <w:t>91.04</w:t>
            </w:r>
          </w:p>
        </w:tc>
      </w:tr>
      <w:tr>
        <w:trPr>
          <w:trHeight w:val="418" w:hRule="atLeast"/>
        </w:trPr>
        <w:tc>
          <w:tcPr>
            <w:tcW w:w="1041" w:type="dxa"/>
          </w:tcPr>
          <w:p>
            <w:pPr>
              <w:pStyle w:val="TableParagraph"/>
              <w:rPr>
                <w:rFonts w:ascii="Times New Roman"/>
                <w:sz w:val="20"/>
              </w:rPr>
            </w:pPr>
          </w:p>
        </w:tc>
        <w:tc>
          <w:tcPr>
            <w:tcW w:w="2905" w:type="dxa"/>
          </w:tcPr>
          <w:p>
            <w:pPr>
              <w:pStyle w:val="TableParagraph"/>
              <w:spacing w:before="85"/>
              <w:ind w:left="124"/>
              <w:rPr>
                <w:sz w:val="21"/>
              </w:rPr>
            </w:pPr>
            <w:r>
              <w:rPr>
                <w:sz w:val="21"/>
              </w:rPr>
              <w:t>其中：债券</w:t>
            </w:r>
          </w:p>
        </w:tc>
        <w:tc>
          <w:tcPr>
            <w:tcW w:w="2574" w:type="dxa"/>
          </w:tcPr>
          <w:p>
            <w:pPr>
              <w:pStyle w:val="TableParagraph"/>
              <w:spacing w:before="85"/>
              <w:ind w:right="97"/>
              <w:jc w:val="right"/>
              <w:rPr>
                <w:sz w:val="21"/>
              </w:rPr>
            </w:pPr>
            <w:r>
              <w:rPr>
                <w:sz w:val="21"/>
              </w:rPr>
              <w:t>361,595,112.09</w:t>
            </w:r>
          </w:p>
        </w:tc>
        <w:tc>
          <w:tcPr>
            <w:tcW w:w="1480" w:type="dxa"/>
          </w:tcPr>
          <w:p>
            <w:pPr>
              <w:pStyle w:val="TableParagraph"/>
              <w:spacing w:before="85"/>
              <w:ind w:right="96"/>
              <w:jc w:val="right"/>
              <w:rPr>
                <w:sz w:val="21"/>
              </w:rPr>
            </w:pPr>
            <w:r>
              <w:rPr>
                <w:sz w:val="21"/>
              </w:rPr>
              <w:t>91.04</w:t>
            </w:r>
          </w:p>
        </w:tc>
      </w:tr>
      <w:tr>
        <w:trPr>
          <w:trHeight w:val="418" w:hRule="atLeast"/>
        </w:trPr>
        <w:tc>
          <w:tcPr>
            <w:tcW w:w="1041" w:type="dxa"/>
          </w:tcPr>
          <w:p>
            <w:pPr>
              <w:pStyle w:val="TableParagraph"/>
              <w:rPr>
                <w:rFonts w:ascii="Times New Roman"/>
                <w:sz w:val="20"/>
              </w:rPr>
            </w:pPr>
          </w:p>
        </w:tc>
        <w:tc>
          <w:tcPr>
            <w:tcW w:w="2905" w:type="dxa"/>
          </w:tcPr>
          <w:p>
            <w:pPr>
              <w:pStyle w:val="TableParagraph"/>
              <w:spacing w:before="85"/>
              <w:ind w:left="124"/>
              <w:rPr>
                <w:sz w:val="21"/>
              </w:rPr>
            </w:pPr>
            <w:r>
              <w:rPr>
                <w:sz w:val="21"/>
              </w:rPr>
              <w:t>资产支持证券</w:t>
            </w:r>
          </w:p>
        </w:tc>
        <w:tc>
          <w:tcPr>
            <w:tcW w:w="2574" w:type="dxa"/>
          </w:tcPr>
          <w:p>
            <w:pPr>
              <w:pStyle w:val="TableParagraph"/>
              <w:spacing w:before="85"/>
              <w:ind w:right="97"/>
              <w:jc w:val="right"/>
              <w:rPr>
                <w:sz w:val="21"/>
              </w:rPr>
            </w:pPr>
            <w:r>
              <w:rPr>
                <w:sz w:val="21"/>
              </w:rPr>
              <w:t>-</w:t>
            </w:r>
          </w:p>
        </w:tc>
        <w:tc>
          <w:tcPr>
            <w:tcW w:w="1480" w:type="dxa"/>
          </w:tcPr>
          <w:p>
            <w:pPr>
              <w:pStyle w:val="TableParagraph"/>
              <w:spacing w:before="85"/>
              <w:ind w:right="96"/>
              <w:jc w:val="right"/>
              <w:rPr>
                <w:sz w:val="21"/>
              </w:rPr>
            </w:pPr>
            <w:r>
              <w:rPr>
                <w:sz w:val="21"/>
              </w:rPr>
              <w:t>-</w:t>
            </w:r>
          </w:p>
        </w:tc>
      </w:tr>
      <w:tr>
        <w:trPr>
          <w:trHeight w:val="418" w:hRule="atLeast"/>
        </w:trPr>
        <w:tc>
          <w:tcPr>
            <w:tcW w:w="1041" w:type="dxa"/>
          </w:tcPr>
          <w:p>
            <w:pPr>
              <w:pStyle w:val="TableParagraph"/>
              <w:spacing w:before="85"/>
              <w:ind w:left="27"/>
              <w:jc w:val="center"/>
              <w:rPr>
                <w:sz w:val="21"/>
              </w:rPr>
            </w:pPr>
            <w:r>
              <w:rPr>
                <w:sz w:val="21"/>
              </w:rPr>
              <w:t>3</w:t>
            </w:r>
          </w:p>
        </w:tc>
        <w:tc>
          <w:tcPr>
            <w:tcW w:w="2905" w:type="dxa"/>
          </w:tcPr>
          <w:p>
            <w:pPr>
              <w:pStyle w:val="TableParagraph"/>
              <w:spacing w:before="85"/>
              <w:ind w:left="212"/>
              <w:rPr>
                <w:sz w:val="21"/>
              </w:rPr>
            </w:pPr>
            <w:r>
              <w:rPr>
                <w:sz w:val="21"/>
              </w:rPr>
              <w:t>贵金属投资</w:t>
            </w:r>
          </w:p>
        </w:tc>
        <w:tc>
          <w:tcPr>
            <w:tcW w:w="2574" w:type="dxa"/>
          </w:tcPr>
          <w:p>
            <w:pPr>
              <w:pStyle w:val="TableParagraph"/>
              <w:spacing w:before="85"/>
              <w:ind w:right="97"/>
              <w:jc w:val="right"/>
              <w:rPr>
                <w:sz w:val="21"/>
              </w:rPr>
            </w:pPr>
            <w:r>
              <w:rPr>
                <w:sz w:val="21"/>
              </w:rPr>
              <w:t>-</w:t>
            </w:r>
          </w:p>
        </w:tc>
        <w:tc>
          <w:tcPr>
            <w:tcW w:w="1480" w:type="dxa"/>
          </w:tcPr>
          <w:p>
            <w:pPr>
              <w:pStyle w:val="TableParagraph"/>
              <w:spacing w:before="85"/>
              <w:ind w:right="96"/>
              <w:jc w:val="right"/>
              <w:rPr>
                <w:sz w:val="21"/>
              </w:rPr>
            </w:pPr>
            <w:r>
              <w:rPr>
                <w:sz w:val="21"/>
              </w:rPr>
              <w:t>-</w:t>
            </w:r>
          </w:p>
        </w:tc>
      </w:tr>
      <w:tr>
        <w:trPr>
          <w:trHeight w:val="418" w:hRule="atLeast"/>
        </w:trPr>
        <w:tc>
          <w:tcPr>
            <w:tcW w:w="1041" w:type="dxa"/>
          </w:tcPr>
          <w:p>
            <w:pPr>
              <w:pStyle w:val="TableParagraph"/>
              <w:spacing w:before="85"/>
              <w:ind w:left="27"/>
              <w:jc w:val="center"/>
              <w:rPr>
                <w:sz w:val="21"/>
              </w:rPr>
            </w:pPr>
            <w:r>
              <w:rPr>
                <w:sz w:val="21"/>
              </w:rPr>
              <w:t>4</w:t>
            </w:r>
          </w:p>
        </w:tc>
        <w:tc>
          <w:tcPr>
            <w:tcW w:w="2905" w:type="dxa"/>
          </w:tcPr>
          <w:p>
            <w:pPr>
              <w:pStyle w:val="TableParagraph"/>
              <w:spacing w:before="85"/>
              <w:ind w:left="124"/>
              <w:rPr>
                <w:sz w:val="21"/>
              </w:rPr>
            </w:pPr>
            <w:r>
              <w:rPr>
                <w:sz w:val="21"/>
              </w:rPr>
              <w:t>金融衍生品投资</w:t>
            </w:r>
          </w:p>
        </w:tc>
        <w:tc>
          <w:tcPr>
            <w:tcW w:w="2574" w:type="dxa"/>
          </w:tcPr>
          <w:p>
            <w:pPr>
              <w:pStyle w:val="TableParagraph"/>
              <w:spacing w:before="85"/>
              <w:ind w:right="97"/>
              <w:jc w:val="right"/>
              <w:rPr>
                <w:sz w:val="21"/>
              </w:rPr>
            </w:pPr>
            <w:r>
              <w:rPr>
                <w:sz w:val="21"/>
              </w:rPr>
              <w:t>-</w:t>
            </w:r>
          </w:p>
        </w:tc>
        <w:tc>
          <w:tcPr>
            <w:tcW w:w="1480" w:type="dxa"/>
          </w:tcPr>
          <w:p>
            <w:pPr>
              <w:pStyle w:val="TableParagraph"/>
              <w:spacing w:before="85"/>
              <w:ind w:right="96"/>
              <w:jc w:val="right"/>
              <w:rPr>
                <w:sz w:val="21"/>
              </w:rPr>
            </w:pPr>
            <w:r>
              <w:rPr>
                <w:sz w:val="21"/>
              </w:rPr>
              <w:t>-</w:t>
            </w:r>
          </w:p>
        </w:tc>
      </w:tr>
      <w:tr>
        <w:trPr>
          <w:trHeight w:val="418" w:hRule="atLeast"/>
        </w:trPr>
        <w:tc>
          <w:tcPr>
            <w:tcW w:w="1041" w:type="dxa"/>
          </w:tcPr>
          <w:p>
            <w:pPr>
              <w:pStyle w:val="TableParagraph"/>
              <w:spacing w:before="85"/>
              <w:ind w:left="27"/>
              <w:jc w:val="center"/>
              <w:rPr>
                <w:sz w:val="21"/>
              </w:rPr>
            </w:pPr>
            <w:r>
              <w:rPr>
                <w:sz w:val="21"/>
              </w:rPr>
              <w:t>5</w:t>
            </w:r>
          </w:p>
        </w:tc>
        <w:tc>
          <w:tcPr>
            <w:tcW w:w="2905" w:type="dxa"/>
          </w:tcPr>
          <w:p>
            <w:pPr>
              <w:pStyle w:val="TableParagraph"/>
              <w:spacing w:before="85"/>
              <w:ind w:left="124"/>
              <w:rPr>
                <w:sz w:val="21"/>
              </w:rPr>
            </w:pPr>
            <w:r>
              <w:rPr>
                <w:sz w:val="21"/>
              </w:rPr>
              <w:t>买入返售金融资产</w:t>
            </w:r>
          </w:p>
        </w:tc>
        <w:tc>
          <w:tcPr>
            <w:tcW w:w="2574" w:type="dxa"/>
          </w:tcPr>
          <w:p>
            <w:pPr>
              <w:pStyle w:val="TableParagraph"/>
              <w:spacing w:before="85"/>
              <w:ind w:right="97"/>
              <w:jc w:val="right"/>
              <w:rPr>
                <w:sz w:val="21"/>
              </w:rPr>
            </w:pPr>
            <w:r>
              <w:rPr>
                <w:sz w:val="21"/>
              </w:rPr>
              <w:t>-</w:t>
            </w:r>
          </w:p>
        </w:tc>
        <w:tc>
          <w:tcPr>
            <w:tcW w:w="1480" w:type="dxa"/>
          </w:tcPr>
          <w:p>
            <w:pPr>
              <w:pStyle w:val="TableParagraph"/>
              <w:spacing w:before="85"/>
              <w:ind w:right="96"/>
              <w:jc w:val="right"/>
              <w:rPr>
                <w:sz w:val="21"/>
              </w:rPr>
            </w:pPr>
            <w:r>
              <w:rPr>
                <w:sz w:val="21"/>
              </w:rPr>
              <w:t>-</w:t>
            </w:r>
          </w:p>
        </w:tc>
      </w:tr>
      <w:tr>
        <w:trPr>
          <w:trHeight w:val="808" w:hRule="atLeast"/>
        </w:trPr>
        <w:tc>
          <w:tcPr>
            <w:tcW w:w="1041" w:type="dxa"/>
          </w:tcPr>
          <w:p>
            <w:pPr>
              <w:pStyle w:val="TableParagraph"/>
              <w:rPr>
                <w:rFonts w:ascii="Times New Roman"/>
                <w:sz w:val="20"/>
              </w:rPr>
            </w:pPr>
          </w:p>
        </w:tc>
        <w:tc>
          <w:tcPr>
            <w:tcW w:w="2905" w:type="dxa"/>
          </w:tcPr>
          <w:p>
            <w:pPr>
              <w:pStyle w:val="TableParagraph"/>
              <w:spacing w:before="85"/>
              <w:ind w:left="124"/>
              <w:rPr>
                <w:sz w:val="21"/>
              </w:rPr>
            </w:pPr>
            <w:r>
              <w:rPr>
                <w:sz w:val="21"/>
              </w:rPr>
              <w:t>其中：买断式回购的买入返售</w:t>
            </w:r>
          </w:p>
          <w:p>
            <w:pPr>
              <w:pStyle w:val="TableParagraph"/>
              <w:spacing w:before="121"/>
              <w:ind w:left="124"/>
              <w:rPr>
                <w:sz w:val="21"/>
              </w:rPr>
            </w:pPr>
            <w:r>
              <w:rPr>
                <w:sz w:val="21"/>
              </w:rPr>
              <w:t>金融资产</w:t>
            </w:r>
          </w:p>
        </w:tc>
        <w:tc>
          <w:tcPr>
            <w:tcW w:w="2574" w:type="dxa"/>
          </w:tcPr>
          <w:p>
            <w:pPr>
              <w:pStyle w:val="TableParagraph"/>
              <w:spacing w:before="11"/>
              <w:rPr>
                <w:sz w:val="21"/>
              </w:rPr>
            </w:pPr>
          </w:p>
          <w:p>
            <w:pPr>
              <w:pStyle w:val="TableParagraph"/>
              <w:ind w:right="97"/>
              <w:jc w:val="right"/>
              <w:rPr>
                <w:sz w:val="21"/>
              </w:rPr>
            </w:pPr>
            <w:r>
              <w:rPr>
                <w:sz w:val="21"/>
              </w:rPr>
              <w:t>-</w:t>
            </w:r>
          </w:p>
        </w:tc>
        <w:tc>
          <w:tcPr>
            <w:tcW w:w="1480" w:type="dxa"/>
          </w:tcPr>
          <w:p>
            <w:pPr>
              <w:pStyle w:val="TableParagraph"/>
              <w:spacing w:before="11"/>
              <w:rPr>
                <w:sz w:val="21"/>
              </w:rPr>
            </w:pPr>
          </w:p>
          <w:p>
            <w:pPr>
              <w:pStyle w:val="TableParagraph"/>
              <w:ind w:right="96"/>
              <w:jc w:val="right"/>
              <w:rPr>
                <w:sz w:val="21"/>
              </w:rPr>
            </w:pPr>
            <w:r>
              <w:rPr>
                <w:sz w:val="21"/>
              </w:rPr>
              <w:t>-</w:t>
            </w:r>
          </w:p>
        </w:tc>
      </w:tr>
      <w:tr>
        <w:trPr>
          <w:trHeight w:val="418" w:hRule="atLeast"/>
        </w:trPr>
        <w:tc>
          <w:tcPr>
            <w:tcW w:w="1041" w:type="dxa"/>
          </w:tcPr>
          <w:p>
            <w:pPr>
              <w:pStyle w:val="TableParagraph"/>
              <w:spacing w:before="85"/>
              <w:ind w:left="27"/>
              <w:jc w:val="center"/>
              <w:rPr>
                <w:sz w:val="21"/>
              </w:rPr>
            </w:pPr>
            <w:r>
              <w:rPr>
                <w:sz w:val="21"/>
              </w:rPr>
              <w:t>6</w:t>
            </w:r>
          </w:p>
        </w:tc>
        <w:tc>
          <w:tcPr>
            <w:tcW w:w="2905" w:type="dxa"/>
          </w:tcPr>
          <w:p>
            <w:pPr>
              <w:pStyle w:val="TableParagraph"/>
              <w:spacing w:before="85"/>
              <w:ind w:left="124"/>
              <w:rPr>
                <w:sz w:val="21"/>
              </w:rPr>
            </w:pPr>
            <w:r>
              <w:rPr>
                <w:sz w:val="21"/>
              </w:rPr>
              <w:t>银行存款和结算备付金合计</w:t>
            </w:r>
          </w:p>
        </w:tc>
        <w:tc>
          <w:tcPr>
            <w:tcW w:w="2574" w:type="dxa"/>
          </w:tcPr>
          <w:p>
            <w:pPr>
              <w:pStyle w:val="TableParagraph"/>
              <w:spacing w:before="85"/>
              <w:ind w:right="97"/>
              <w:jc w:val="right"/>
              <w:rPr>
                <w:sz w:val="21"/>
              </w:rPr>
            </w:pPr>
            <w:r>
              <w:rPr>
                <w:sz w:val="21"/>
              </w:rPr>
              <w:t>10,991,220.30</w:t>
            </w:r>
          </w:p>
        </w:tc>
        <w:tc>
          <w:tcPr>
            <w:tcW w:w="1480" w:type="dxa"/>
          </w:tcPr>
          <w:p>
            <w:pPr>
              <w:pStyle w:val="TableParagraph"/>
              <w:spacing w:before="85"/>
              <w:ind w:right="96"/>
              <w:jc w:val="right"/>
              <w:rPr>
                <w:sz w:val="21"/>
              </w:rPr>
            </w:pPr>
            <w:r>
              <w:rPr>
                <w:sz w:val="21"/>
              </w:rPr>
              <w:t>2.77</w:t>
            </w:r>
          </w:p>
        </w:tc>
      </w:tr>
      <w:tr>
        <w:trPr>
          <w:trHeight w:val="419" w:hRule="atLeast"/>
        </w:trPr>
        <w:tc>
          <w:tcPr>
            <w:tcW w:w="1041" w:type="dxa"/>
          </w:tcPr>
          <w:p>
            <w:pPr>
              <w:pStyle w:val="TableParagraph"/>
              <w:spacing w:before="85"/>
              <w:ind w:left="27"/>
              <w:jc w:val="center"/>
              <w:rPr>
                <w:sz w:val="21"/>
              </w:rPr>
            </w:pPr>
            <w:r>
              <w:rPr>
                <w:sz w:val="21"/>
              </w:rPr>
              <w:t>7</w:t>
            </w:r>
          </w:p>
        </w:tc>
        <w:tc>
          <w:tcPr>
            <w:tcW w:w="2905" w:type="dxa"/>
          </w:tcPr>
          <w:p>
            <w:pPr>
              <w:pStyle w:val="TableParagraph"/>
              <w:spacing w:before="71"/>
              <w:ind w:left="107"/>
              <w:rPr>
                <w:sz w:val="21"/>
              </w:rPr>
            </w:pPr>
            <w:r>
              <w:rPr>
                <w:sz w:val="21"/>
              </w:rPr>
              <w:t>其他资产</w:t>
            </w:r>
          </w:p>
        </w:tc>
        <w:tc>
          <w:tcPr>
            <w:tcW w:w="2574" w:type="dxa"/>
          </w:tcPr>
          <w:p>
            <w:pPr>
              <w:pStyle w:val="TableParagraph"/>
              <w:spacing w:before="71"/>
              <w:ind w:right="97"/>
              <w:jc w:val="right"/>
              <w:rPr>
                <w:sz w:val="21"/>
              </w:rPr>
            </w:pPr>
            <w:r>
              <w:rPr>
                <w:sz w:val="21"/>
              </w:rPr>
              <w:t>18,561,945.87</w:t>
            </w:r>
          </w:p>
        </w:tc>
        <w:tc>
          <w:tcPr>
            <w:tcW w:w="1480" w:type="dxa"/>
          </w:tcPr>
          <w:p>
            <w:pPr>
              <w:pStyle w:val="TableParagraph"/>
              <w:spacing w:before="71"/>
              <w:ind w:right="97"/>
              <w:jc w:val="right"/>
              <w:rPr>
                <w:sz w:val="21"/>
              </w:rPr>
            </w:pPr>
            <w:r>
              <w:rPr>
                <w:sz w:val="21"/>
              </w:rPr>
              <w:t>4.67</w:t>
            </w:r>
          </w:p>
        </w:tc>
      </w:tr>
    </w:tbl>
    <w:p>
      <w:pPr>
        <w:spacing w:after="0"/>
        <w:jc w:val="right"/>
        <w:rPr>
          <w:sz w:val="21"/>
        </w:rPr>
        <w:sectPr>
          <w:pgSz w:w="11910" w:h="16840"/>
          <w:pgMar w:header="0" w:footer="664" w:top="1380" w:bottom="940" w:left="1580" w:right="38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1"/>
        <w:gridCol w:w="2905"/>
        <w:gridCol w:w="2574"/>
        <w:gridCol w:w="1480"/>
      </w:tblGrid>
      <w:tr>
        <w:trPr>
          <w:trHeight w:val="419" w:hRule="atLeast"/>
        </w:trPr>
        <w:tc>
          <w:tcPr>
            <w:tcW w:w="1041" w:type="dxa"/>
          </w:tcPr>
          <w:p>
            <w:pPr>
              <w:pStyle w:val="TableParagraph"/>
              <w:spacing w:before="91"/>
              <w:ind w:left="27"/>
              <w:jc w:val="center"/>
              <w:rPr>
                <w:sz w:val="21"/>
              </w:rPr>
            </w:pPr>
            <w:r>
              <w:rPr>
                <w:sz w:val="21"/>
              </w:rPr>
              <w:t>8</w:t>
            </w:r>
          </w:p>
        </w:tc>
        <w:tc>
          <w:tcPr>
            <w:tcW w:w="2905" w:type="dxa"/>
          </w:tcPr>
          <w:p>
            <w:pPr>
              <w:pStyle w:val="TableParagraph"/>
              <w:spacing w:before="76"/>
              <w:ind w:left="107"/>
              <w:rPr>
                <w:sz w:val="21"/>
              </w:rPr>
            </w:pPr>
            <w:r>
              <w:rPr>
                <w:sz w:val="21"/>
              </w:rPr>
              <w:t>合计</w:t>
            </w:r>
          </w:p>
        </w:tc>
        <w:tc>
          <w:tcPr>
            <w:tcW w:w="2574" w:type="dxa"/>
          </w:tcPr>
          <w:p>
            <w:pPr>
              <w:pStyle w:val="TableParagraph"/>
              <w:spacing w:before="76"/>
              <w:ind w:left="996"/>
              <w:rPr>
                <w:sz w:val="21"/>
              </w:rPr>
            </w:pPr>
            <w:r>
              <w:rPr>
                <w:sz w:val="21"/>
              </w:rPr>
              <w:t>397,177,322.19</w:t>
            </w:r>
          </w:p>
        </w:tc>
        <w:tc>
          <w:tcPr>
            <w:tcW w:w="1480" w:type="dxa"/>
          </w:tcPr>
          <w:p>
            <w:pPr>
              <w:pStyle w:val="TableParagraph"/>
              <w:spacing w:before="76"/>
              <w:ind w:left="742"/>
              <w:rPr>
                <w:sz w:val="21"/>
              </w:rPr>
            </w:pPr>
            <w:r>
              <w:rPr>
                <w:sz w:val="21"/>
              </w:rPr>
              <w:t>100.00</w:t>
            </w:r>
          </w:p>
        </w:tc>
      </w:tr>
    </w:tbl>
    <w:p>
      <w:pPr>
        <w:pStyle w:val="BodyText"/>
        <w:spacing w:before="3"/>
      </w:pPr>
      <w:r>
        <w:rPr/>
        <w:t>2、报告期末按行业分类的股票投资组合</w:t>
      </w:r>
    </w:p>
    <w:p>
      <w:pPr>
        <w:pStyle w:val="BodyText"/>
        <w:spacing w:before="139"/>
      </w:pPr>
      <w:r>
        <w:rPr/>
        <w:t>（1）报告期末按行业分类的境内股票投资组合</w:t>
      </w:r>
    </w:p>
    <w:p>
      <w:pPr>
        <w:pStyle w:val="BodyText"/>
        <w:spacing w:before="8"/>
        <w:ind w:left="0"/>
        <w:rPr>
          <w:sz w:val="10"/>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5"/>
        <w:gridCol w:w="3667"/>
        <w:gridCol w:w="2334"/>
        <w:gridCol w:w="1194"/>
      </w:tblGrid>
      <w:tr>
        <w:trPr>
          <w:trHeight w:val="1036" w:hRule="atLeast"/>
        </w:trPr>
        <w:tc>
          <w:tcPr>
            <w:tcW w:w="805" w:type="dxa"/>
          </w:tcPr>
          <w:p>
            <w:pPr>
              <w:pStyle w:val="TableParagraph"/>
              <w:spacing w:before="12"/>
              <w:rPr>
                <w:sz w:val="27"/>
              </w:rPr>
            </w:pPr>
          </w:p>
          <w:p>
            <w:pPr>
              <w:pStyle w:val="TableParagraph"/>
              <w:ind w:left="172" w:right="162"/>
              <w:jc w:val="center"/>
              <w:rPr>
                <w:sz w:val="21"/>
              </w:rPr>
            </w:pPr>
            <w:r>
              <w:rPr>
                <w:sz w:val="21"/>
              </w:rPr>
              <w:t>代码</w:t>
            </w:r>
          </w:p>
        </w:tc>
        <w:tc>
          <w:tcPr>
            <w:tcW w:w="3667" w:type="dxa"/>
          </w:tcPr>
          <w:p>
            <w:pPr>
              <w:pStyle w:val="TableParagraph"/>
              <w:spacing w:before="12"/>
              <w:rPr>
                <w:sz w:val="27"/>
              </w:rPr>
            </w:pPr>
          </w:p>
          <w:p>
            <w:pPr>
              <w:pStyle w:val="TableParagraph"/>
              <w:ind w:left="1393" w:right="1383"/>
              <w:jc w:val="center"/>
              <w:rPr>
                <w:sz w:val="21"/>
              </w:rPr>
            </w:pPr>
            <w:r>
              <w:rPr>
                <w:sz w:val="21"/>
              </w:rPr>
              <w:t>行业类别</w:t>
            </w:r>
          </w:p>
        </w:tc>
        <w:tc>
          <w:tcPr>
            <w:tcW w:w="2334" w:type="dxa"/>
          </w:tcPr>
          <w:p>
            <w:pPr>
              <w:pStyle w:val="TableParagraph"/>
              <w:spacing w:before="12"/>
              <w:rPr>
                <w:sz w:val="27"/>
              </w:rPr>
            </w:pPr>
          </w:p>
          <w:p>
            <w:pPr>
              <w:pStyle w:val="TableParagraph"/>
              <w:ind w:left="432"/>
              <w:rPr>
                <w:sz w:val="21"/>
              </w:rPr>
            </w:pPr>
            <w:r>
              <w:rPr>
                <w:sz w:val="21"/>
              </w:rPr>
              <w:t>公允价值（元）</w:t>
            </w:r>
          </w:p>
        </w:tc>
        <w:tc>
          <w:tcPr>
            <w:tcW w:w="1194" w:type="dxa"/>
          </w:tcPr>
          <w:p>
            <w:pPr>
              <w:pStyle w:val="TableParagraph"/>
              <w:spacing w:line="304" w:lineRule="auto" w:before="18"/>
              <w:ind w:left="71" w:right="60"/>
              <w:jc w:val="center"/>
              <w:rPr>
                <w:sz w:val="21"/>
              </w:rPr>
            </w:pPr>
            <w:r>
              <w:rPr>
                <w:sz w:val="21"/>
              </w:rPr>
              <w:t>占基金资产净值比例</w:t>
            </w:r>
          </w:p>
          <w:p>
            <w:pPr>
              <w:pStyle w:val="TableParagraph"/>
              <w:spacing w:line="266" w:lineRule="exact"/>
              <w:ind w:left="69" w:right="60"/>
              <w:jc w:val="center"/>
              <w:rPr>
                <w:sz w:val="21"/>
              </w:rPr>
            </w:pPr>
            <w:r>
              <w:rPr>
                <w:sz w:val="21"/>
              </w:rPr>
              <w:t>（％）</w:t>
            </w:r>
          </w:p>
        </w:tc>
      </w:tr>
      <w:tr>
        <w:trPr>
          <w:trHeight w:val="434" w:hRule="atLeast"/>
        </w:trPr>
        <w:tc>
          <w:tcPr>
            <w:tcW w:w="805" w:type="dxa"/>
          </w:tcPr>
          <w:p>
            <w:pPr>
              <w:pStyle w:val="TableParagraph"/>
              <w:spacing w:before="57"/>
              <w:ind w:left="10"/>
              <w:jc w:val="center"/>
              <w:rPr>
                <w:sz w:val="21"/>
              </w:rPr>
            </w:pPr>
            <w:r>
              <w:rPr>
                <w:sz w:val="21"/>
              </w:rPr>
              <w:t>A</w:t>
            </w:r>
          </w:p>
        </w:tc>
        <w:tc>
          <w:tcPr>
            <w:tcW w:w="3667" w:type="dxa"/>
          </w:tcPr>
          <w:p>
            <w:pPr>
              <w:pStyle w:val="TableParagraph"/>
              <w:spacing w:before="57"/>
              <w:ind w:left="15"/>
              <w:rPr>
                <w:sz w:val="21"/>
              </w:rPr>
            </w:pPr>
            <w:r>
              <w:rPr>
                <w:sz w:val="21"/>
              </w:rPr>
              <w:t>农、林、牧、渔业</w:t>
            </w:r>
          </w:p>
        </w:tc>
        <w:tc>
          <w:tcPr>
            <w:tcW w:w="2334" w:type="dxa"/>
          </w:tcPr>
          <w:p>
            <w:pPr>
              <w:pStyle w:val="TableParagraph"/>
              <w:spacing w:before="106"/>
              <w:ind w:right="-15"/>
              <w:jc w:val="right"/>
              <w:rPr>
                <w:sz w:val="21"/>
              </w:rPr>
            </w:pPr>
            <w:r>
              <w:rPr>
                <w:sz w:val="21"/>
              </w:rPr>
              <w:t>-</w:t>
            </w:r>
          </w:p>
        </w:tc>
        <w:tc>
          <w:tcPr>
            <w:tcW w:w="1194" w:type="dxa"/>
          </w:tcPr>
          <w:p>
            <w:pPr>
              <w:pStyle w:val="TableParagraph"/>
              <w:spacing w:before="106"/>
              <w:ind w:right="3"/>
              <w:jc w:val="right"/>
              <w:rPr>
                <w:sz w:val="21"/>
              </w:rPr>
            </w:pPr>
            <w:r>
              <w:rPr>
                <w:sz w:val="21"/>
              </w:rPr>
              <w:t>-</w:t>
            </w:r>
          </w:p>
        </w:tc>
      </w:tr>
      <w:tr>
        <w:trPr>
          <w:trHeight w:val="795" w:hRule="atLeast"/>
        </w:trPr>
        <w:tc>
          <w:tcPr>
            <w:tcW w:w="805" w:type="dxa"/>
          </w:tcPr>
          <w:p>
            <w:pPr>
              <w:pStyle w:val="TableParagraph"/>
              <w:spacing w:before="7"/>
              <w:rPr>
                <w:sz w:val="18"/>
              </w:rPr>
            </w:pPr>
          </w:p>
          <w:p>
            <w:pPr>
              <w:pStyle w:val="TableParagraph"/>
              <w:ind w:left="10"/>
              <w:jc w:val="center"/>
              <w:rPr>
                <w:sz w:val="21"/>
              </w:rPr>
            </w:pPr>
            <w:r>
              <w:rPr>
                <w:sz w:val="21"/>
              </w:rPr>
              <w:t>B</w:t>
            </w:r>
          </w:p>
        </w:tc>
        <w:tc>
          <w:tcPr>
            <w:tcW w:w="3667" w:type="dxa"/>
          </w:tcPr>
          <w:p>
            <w:pPr>
              <w:pStyle w:val="TableParagraph"/>
              <w:spacing w:before="7"/>
              <w:rPr>
                <w:sz w:val="18"/>
              </w:rPr>
            </w:pPr>
          </w:p>
          <w:p>
            <w:pPr>
              <w:pStyle w:val="TableParagraph"/>
              <w:ind w:left="15"/>
              <w:rPr>
                <w:sz w:val="21"/>
              </w:rPr>
            </w:pPr>
            <w:r>
              <w:rPr>
                <w:sz w:val="21"/>
              </w:rPr>
              <w:t>采矿业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C</w:t>
            </w:r>
          </w:p>
        </w:tc>
        <w:tc>
          <w:tcPr>
            <w:tcW w:w="3667" w:type="dxa"/>
          </w:tcPr>
          <w:p>
            <w:pPr>
              <w:pStyle w:val="TableParagraph"/>
              <w:spacing w:before="43"/>
              <w:ind w:left="15"/>
              <w:rPr>
                <w:sz w:val="21"/>
              </w:rPr>
            </w:pPr>
            <w:r>
              <w:rPr>
                <w:sz w:val="21"/>
              </w:rPr>
              <w:t>制造业</w:t>
            </w:r>
          </w:p>
        </w:tc>
        <w:tc>
          <w:tcPr>
            <w:tcW w:w="2334" w:type="dxa"/>
          </w:tcPr>
          <w:p>
            <w:pPr>
              <w:pStyle w:val="TableParagraph"/>
              <w:spacing w:before="77"/>
              <w:ind w:right="-15"/>
              <w:jc w:val="right"/>
              <w:rPr>
                <w:sz w:val="21"/>
              </w:rPr>
            </w:pPr>
            <w:r>
              <w:rPr>
                <w:sz w:val="21"/>
              </w:rPr>
              <w:t>3,200,153.88</w:t>
            </w:r>
          </w:p>
        </w:tc>
        <w:tc>
          <w:tcPr>
            <w:tcW w:w="1194" w:type="dxa"/>
          </w:tcPr>
          <w:p>
            <w:pPr>
              <w:pStyle w:val="TableParagraph"/>
              <w:spacing w:before="77"/>
              <w:ind w:right="3"/>
              <w:jc w:val="right"/>
              <w:rPr>
                <w:sz w:val="21"/>
              </w:rPr>
            </w:pPr>
            <w:r>
              <w:rPr>
                <w:sz w:val="21"/>
              </w:rPr>
              <w:t>0.90</w:t>
            </w:r>
          </w:p>
        </w:tc>
      </w:tr>
      <w:tr>
        <w:trPr>
          <w:trHeight w:val="405" w:hRule="atLeast"/>
        </w:trPr>
        <w:tc>
          <w:tcPr>
            <w:tcW w:w="805" w:type="dxa"/>
          </w:tcPr>
          <w:p>
            <w:pPr>
              <w:pStyle w:val="TableParagraph"/>
              <w:spacing w:before="43"/>
              <w:ind w:left="10"/>
              <w:jc w:val="center"/>
              <w:rPr>
                <w:sz w:val="21"/>
              </w:rPr>
            </w:pPr>
            <w:r>
              <w:rPr>
                <w:sz w:val="21"/>
              </w:rPr>
              <w:t>D</w:t>
            </w:r>
          </w:p>
        </w:tc>
        <w:tc>
          <w:tcPr>
            <w:tcW w:w="3667" w:type="dxa"/>
          </w:tcPr>
          <w:p>
            <w:pPr>
              <w:pStyle w:val="TableParagraph"/>
              <w:spacing w:before="43"/>
              <w:ind w:left="15"/>
              <w:rPr>
                <w:sz w:val="21"/>
              </w:rPr>
            </w:pPr>
            <w:r>
              <w:rPr>
                <w:sz w:val="21"/>
              </w:rPr>
              <w:t>电力、热力、燃气及水生产和供应业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E</w:t>
            </w:r>
          </w:p>
        </w:tc>
        <w:tc>
          <w:tcPr>
            <w:tcW w:w="3667" w:type="dxa"/>
          </w:tcPr>
          <w:p>
            <w:pPr>
              <w:pStyle w:val="TableParagraph"/>
              <w:spacing w:before="43"/>
              <w:ind w:left="15"/>
              <w:rPr>
                <w:sz w:val="21"/>
              </w:rPr>
            </w:pPr>
            <w:r>
              <w:rPr>
                <w:sz w:val="21"/>
              </w:rPr>
              <w:t>建筑业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F</w:t>
            </w:r>
          </w:p>
        </w:tc>
        <w:tc>
          <w:tcPr>
            <w:tcW w:w="3667" w:type="dxa"/>
          </w:tcPr>
          <w:p>
            <w:pPr>
              <w:pStyle w:val="TableParagraph"/>
              <w:spacing w:before="43"/>
              <w:ind w:left="15"/>
              <w:rPr>
                <w:sz w:val="21"/>
              </w:rPr>
            </w:pPr>
            <w:r>
              <w:rPr>
                <w:sz w:val="21"/>
              </w:rPr>
              <w:t>批发和零售业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G</w:t>
            </w:r>
          </w:p>
        </w:tc>
        <w:tc>
          <w:tcPr>
            <w:tcW w:w="3667" w:type="dxa"/>
          </w:tcPr>
          <w:p>
            <w:pPr>
              <w:pStyle w:val="TableParagraph"/>
              <w:spacing w:before="43"/>
              <w:ind w:left="15"/>
              <w:rPr>
                <w:sz w:val="21"/>
              </w:rPr>
            </w:pPr>
            <w:r>
              <w:rPr>
                <w:sz w:val="21"/>
              </w:rPr>
              <w:t>交通运输、仓储和邮政业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H</w:t>
            </w:r>
          </w:p>
        </w:tc>
        <w:tc>
          <w:tcPr>
            <w:tcW w:w="3667" w:type="dxa"/>
          </w:tcPr>
          <w:p>
            <w:pPr>
              <w:pStyle w:val="TableParagraph"/>
              <w:spacing w:before="43"/>
              <w:ind w:left="15"/>
              <w:rPr>
                <w:sz w:val="21"/>
              </w:rPr>
            </w:pPr>
            <w:r>
              <w:rPr>
                <w:sz w:val="21"/>
              </w:rPr>
              <w:t>住宿和餐饮业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I</w:t>
            </w:r>
          </w:p>
        </w:tc>
        <w:tc>
          <w:tcPr>
            <w:tcW w:w="3667" w:type="dxa"/>
          </w:tcPr>
          <w:p>
            <w:pPr>
              <w:pStyle w:val="TableParagraph"/>
              <w:spacing w:before="43"/>
              <w:ind w:left="15"/>
              <w:rPr>
                <w:sz w:val="21"/>
              </w:rPr>
            </w:pPr>
            <w:r>
              <w:rPr>
                <w:sz w:val="21"/>
              </w:rPr>
              <w:t>信息传输、软件和信息技术服务业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J</w:t>
            </w:r>
          </w:p>
        </w:tc>
        <w:tc>
          <w:tcPr>
            <w:tcW w:w="3667" w:type="dxa"/>
          </w:tcPr>
          <w:p>
            <w:pPr>
              <w:pStyle w:val="TableParagraph"/>
              <w:spacing w:before="43"/>
              <w:ind w:left="15"/>
              <w:rPr>
                <w:sz w:val="21"/>
              </w:rPr>
            </w:pPr>
            <w:r>
              <w:rPr>
                <w:sz w:val="21"/>
              </w:rPr>
              <w:t>金融业</w:t>
            </w:r>
          </w:p>
        </w:tc>
        <w:tc>
          <w:tcPr>
            <w:tcW w:w="2334" w:type="dxa"/>
          </w:tcPr>
          <w:p>
            <w:pPr>
              <w:pStyle w:val="TableParagraph"/>
              <w:spacing w:before="77"/>
              <w:ind w:right="-15"/>
              <w:jc w:val="right"/>
              <w:rPr>
                <w:sz w:val="21"/>
              </w:rPr>
            </w:pPr>
            <w:r>
              <w:rPr>
                <w:sz w:val="21"/>
              </w:rPr>
              <w:t>2,828,890.05</w:t>
            </w:r>
          </w:p>
        </w:tc>
        <w:tc>
          <w:tcPr>
            <w:tcW w:w="1194" w:type="dxa"/>
          </w:tcPr>
          <w:p>
            <w:pPr>
              <w:pStyle w:val="TableParagraph"/>
              <w:spacing w:before="77"/>
              <w:ind w:right="3"/>
              <w:jc w:val="right"/>
              <w:rPr>
                <w:sz w:val="21"/>
              </w:rPr>
            </w:pPr>
            <w:r>
              <w:rPr>
                <w:sz w:val="21"/>
              </w:rPr>
              <w:t>0.80</w:t>
            </w:r>
          </w:p>
        </w:tc>
      </w:tr>
      <w:tr>
        <w:trPr>
          <w:trHeight w:val="405" w:hRule="atLeast"/>
        </w:trPr>
        <w:tc>
          <w:tcPr>
            <w:tcW w:w="805" w:type="dxa"/>
          </w:tcPr>
          <w:p>
            <w:pPr>
              <w:pStyle w:val="TableParagraph"/>
              <w:spacing w:before="43"/>
              <w:ind w:left="10"/>
              <w:jc w:val="center"/>
              <w:rPr>
                <w:sz w:val="21"/>
              </w:rPr>
            </w:pPr>
            <w:r>
              <w:rPr>
                <w:sz w:val="21"/>
              </w:rPr>
              <w:t>K</w:t>
            </w:r>
          </w:p>
        </w:tc>
        <w:tc>
          <w:tcPr>
            <w:tcW w:w="3667" w:type="dxa"/>
          </w:tcPr>
          <w:p>
            <w:pPr>
              <w:pStyle w:val="TableParagraph"/>
              <w:spacing w:before="43"/>
              <w:ind w:left="15"/>
              <w:rPr>
                <w:sz w:val="21"/>
              </w:rPr>
            </w:pPr>
            <w:r>
              <w:rPr>
                <w:sz w:val="21"/>
              </w:rPr>
              <w:t>房地产业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L</w:t>
            </w:r>
          </w:p>
        </w:tc>
        <w:tc>
          <w:tcPr>
            <w:tcW w:w="3667" w:type="dxa"/>
          </w:tcPr>
          <w:p>
            <w:pPr>
              <w:pStyle w:val="TableParagraph"/>
              <w:spacing w:before="43"/>
              <w:ind w:left="15"/>
              <w:rPr>
                <w:sz w:val="21"/>
              </w:rPr>
            </w:pPr>
            <w:r>
              <w:rPr>
                <w:sz w:val="21"/>
              </w:rPr>
              <w:t>租赁和商务服务业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M</w:t>
            </w:r>
          </w:p>
        </w:tc>
        <w:tc>
          <w:tcPr>
            <w:tcW w:w="3667" w:type="dxa"/>
          </w:tcPr>
          <w:p>
            <w:pPr>
              <w:pStyle w:val="TableParagraph"/>
              <w:spacing w:before="43"/>
              <w:ind w:left="15"/>
              <w:rPr>
                <w:sz w:val="21"/>
              </w:rPr>
            </w:pPr>
            <w:r>
              <w:rPr>
                <w:sz w:val="21"/>
              </w:rPr>
              <w:t>科学研究和技术服务业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N</w:t>
            </w:r>
          </w:p>
        </w:tc>
        <w:tc>
          <w:tcPr>
            <w:tcW w:w="3667" w:type="dxa"/>
          </w:tcPr>
          <w:p>
            <w:pPr>
              <w:pStyle w:val="TableParagraph"/>
              <w:spacing w:before="43"/>
              <w:ind w:left="15"/>
              <w:rPr>
                <w:sz w:val="21"/>
              </w:rPr>
            </w:pPr>
            <w:r>
              <w:rPr>
                <w:sz w:val="21"/>
              </w:rPr>
              <w:t>水利、环境和公共设施管理业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O</w:t>
            </w:r>
          </w:p>
        </w:tc>
        <w:tc>
          <w:tcPr>
            <w:tcW w:w="3667" w:type="dxa"/>
          </w:tcPr>
          <w:p>
            <w:pPr>
              <w:pStyle w:val="TableParagraph"/>
              <w:spacing w:before="43"/>
              <w:ind w:left="15"/>
              <w:rPr>
                <w:sz w:val="21"/>
              </w:rPr>
            </w:pPr>
            <w:r>
              <w:rPr>
                <w:sz w:val="21"/>
              </w:rPr>
              <w:t>居民服务、修理和其他服务业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P</w:t>
            </w:r>
          </w:p>
        </w:tc>
        <w:tc>
          <w:tcPr>
            <w:tcW w:w="3667" w:type="dxa"/>
          </w:tcPr>
          <w:p>
            <w:pPr>
              <w:pStyle w:val="TableParagraph"/>
              <w:spacing w:before="43"/>
              <w:ind w:left="15"/>
              <w:rPr>
                <w:sz w:val="21"/>
              </w:rPr>
            </w:pPr>
            <w:r>
              <w:rPr>
                <w:sz w:val="21"/>
              </w:rPr>
              <w:t>教育</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Q</w:t>
            </w:r>
          </w:p>
        </w:tc>
        <w:tc>
          <w:tcPr>
            <w:tcW w:w="3667" w:type="dxa"/>
          </w:tcPr>
          <w:p>
            <w:pPr>
              <w:pStyle w:val="TableParagraph"/>
              <w:spacing w:before="43"/>
              <w:ind w:left="15"/>
              <w:rPr>
                <w:sz w:val="21"/>
              </w:rPr>
            </w:pPr>
            <w:r>
              <w:rPr>
                <w:sz w:val="21"/>
              </w:rPr>
              <w:t>卫生和社会工作</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R</w:t>
            </w:r>
          </w:p>
        </w:tc>
        <w:tc>
          <w:tcPr>
            <w:tcW w:w="3667" w:type="dxa"/>
          </w:tcPr>
          <w:p>
            <w:pPr>
              <w:pStyle w:val="TableParagraph"/>
              <w:spacing w:before="43"/>
              <w:ind w:left="15"/>
              <w:rPr>
                <w:sz w:val="21"/>
              </w:rPr>
            </w:pPr>
            <w:r>
              <w:rPr>
                <w:sz w:val="21"/>
              </w:rPr>
              <w:t>文化、体育和娱乐业</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spacing w:before="43"/>
              <w:ind w:left="10"/>
              <w:jc w:val="center"/>
              <w:rPr>
                <w:sz w:val="21"/>
              </w:rPr>
            </w:pPr>
            <w:r>
              <w:rPr>
                <w:sz w:val="21"/>
              </w:rPr>
              <w:t>S</w:t>
            </w:r>
          </w:p>
        </w:tc>
        <w:tc>
          <w:tcPr>
            <w:tcW w:w="3667" w:type="dxa"/>
          </w:tcPr>
          <w:p>
            <w:pPr>
              <w:pStyle w:val="TableParagraph"/>
              <w:spacing w:before="43"/>
              <w:ind w:left="15"/>
              <w:rPr>
                <w:sz w:val="21"/>
              </w:rPr>
            </w:pPr>
            <w:r>
              <w:rPr>
                <w:sz w:val="21"/>
              </w:rPr>
              <w:t>综合</w:t>
            </w:r>
          </w:p>
        </w:tc>
        <w:tc>
          <w:tcPr>
            <w:tcW w:w="2334" w:type="dxa"/>
          </w:tcPr>
          <w:p>
            <w:pPr>
              <w:pStyle w:val="TableParagraph"/>
              <w:spacing w:before="77"/>
              <w:ind w:right="-15"/>
              <w:jc w:val="right"/>
              <w:rPr>
                <w:sz w:val="21"/>
              </w:rPr>
            </w:pPr>
            <w:r>
              <w:rPr>
                <w:sz w:val="21"/>
              </w:rPr>
              <w:t>-</w:t>
            </w:r>
          </w:p>
        </w:tc>
        <w:tc>
          <w:tcPr>
            <w:tcW w:w="1194" w:type="dxa"/>
          </w:tcPr>
          <w:p>
            <w:pPr>
              <w:pStyle w:val="TableParagraph"/>
              <w:spacing w:before="77"/>
              <w:ind w:right="3"/>
              <w:jc w:val="right"/>
              <w:rPr>
                <w:sz w:val="21"/>
              </w:rPr>
            </w:pPr>
            <w:r>
              <w:rPr>
                <w:sz w:val="21"/>
              </w:rPr>
              <w:t>-</w:t>
            </w:r>
          </w:p>
        </w:tc>
      </w:tr>
      <w:tr>
        <w:trPr>
          <w:trHeight w:val="405" w:hRule="atLeast"/>
        </w:trPr>
        <w:tc>
          <w:tcPr>
            <w:tcW w:w="805" w:type="dxa"/>
          </w:tcPr>
          <w:p>
            <w:pPr>
              <w:pStyle w:val="TableParagraph"/>
              <w:rPr>
                <w:rFonts w:ascii="Times New Roman"/>
                <w:sz w:val="20"/>
              </w:rPr>
            </w:pPr>
          </w:p>
        </w:tc>
        <w:tc>
          <w:tcPr>
            <w:tcW w:w="3667" w:type="dxa"/>
          </w:tcPr>
          <w:p>
            <w:pPr>
              <w:pStyle w:val="TableParagraph"/>
              <w:spacing w:before="43"/>
              <w:ind w:left="15"/>
              <w:rPr>
                <w:sz w:val="21"/>
              </w:rPr>
            </w:pPr>
            <w:r>
              <w:rPr>
                <w:sz w:val="21"/>
              </w:rPr>
              <w:t>合计</w:t>
            </w:r>
          </w:p>
        </w:tc>
        <w:tc>
          <w:tcPr>
            <w:tcW w:w="2334" w:type="dxa"/>
          </w:tcPr>
          <w:p>
            <w:pPr>
              <w:pStyle w:val="TableParagraph"/>
              <w:spacing w:before="77"/>
              <w:ind w:right="-15"/>
              <w:jc w:val="right"/>
              <w:rPr>
                <w:sz w:val="21"/>
              </w:rPr>
            </w:pPr>
            <w:r>
              <w:rPr>
                <w:sz w:val="21"/>
              </w:rPr>
              <w:t>6,029,043.93</w:t>
            </w:r>
          </w:p>
        </w:tc>
        <w:tc>
          <w:tcPr>
            <w:tcW w:w="1194" w:type="dxa"/>
          </w:tcPr>
          <w:p>
            <w:pPr>
              <w:pStyle w:val="TableParagraph"/>
              <w:spacing w:before="77"/>
              <w:ind w:right="3"/>
              <w:jc w:val="right"/>
              <w:rPr>
                <w:sz w:val="21"/>
              </w:rPr>
            </w:pPr>
            <w:r>
              <w:rPr>
                <w:sz w:val="21"/>
              </w:rPr>
              <w:t>1.70</w:t>
            </w:r>
          </w:p>
        </w:tc>
      </w:tr>
    </w:tbl>
    <w:p>
      <w:pPr>
        <w:pStyle w:val="BodyText"/>
        <w:spacing w:before="3"/>
      </w:pPr>
      <w:r>
        <w:rPr/>
        <w:t>3、报告期末按公允价值占基金资产净值比例大小排序的前十名股票投资明细</w:t>
      </w:r>
    </w:p>
    <w:p>
      <w:pPr>
        <w:pStyle w:val="BodyText"/>
        <w:spacing w:before="8"/>
        <w:ind w:left="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0"/>
        <w:gridCol w:w="1119"/>
        <w:gridCol w:w="1440"/>
        <w:gridCol w:w="1359"/>
        <w:gridCol w:w="1978"/>
        <w:gridCol w:w="1224"/>
      </w:tblGrid>
      <w:tr>
        <w:trPr>
          <w:trHeight w:val="1199" w:hRule="atLeast"/>
        </w:trPr>
        <w:tc>
          <w:tcPr>
            <w:tcW w:w="880" w:type="dxa"/>
          </w:tcPr>
          <w:p>
            <w:pPr>
              <w:pStyle w:val="TableParagraph"/>
              <w:rPr>
                <w:sz w:val="20"/>
              </w:rPr>
            </w:pPr>
          </w:p>
          <w:p>
            <w:pPr>
              <w:pStyle w:val="TableParagraph"/>
              <w:spacing w:before="7"/>
              <w:rPr>
                <w:sz w:val="17"/>
              </w:rPr>
            </w:pPr>
          </w:p>
          <w:p>
            <w:pPr>
              <w:pStyle w:val="TableParagraph"/>
              <w:ind w:left="218" w:right="191"/>
              <w:jc w:val="center"/>
              <w:rPr>
                <w:sz w:val="21"/>
              </w:rPr>
            </w:pPr>
            <w:r>
              <w:rPr>
                <w:sz w:val="21"/>
              </w:rPr>
              <w:t>序号</w:t>
            </w:r>
          </w:p>
        </w:tc>
        <w:tc>
          <w:tcPr>
            <w:tcW w:w="1119" w:type="dxa"/>
          </w:tcPr>
          <w:p>
            <w:pPr>
              <w:pStyle w:val="TableParagraph"/>
              <w:rPr>
                <w:sz w:val="20"/>
              </w:rPr>
            </w:pPr>
          </w:p>
          <w:p>
            <w:pPr>
              <w:pStyle w:val="TableParagraph"/>
              <w:spacing w:before="7"/>
              <w:rPr>
                <w:sz w:val="17"/>
              </w:rPr>
            </w:pPr>
          </w:p>
          <w:p>
            <w:pPr>
              <w:pStyle w:val="TableParagraph"/>
              <w:ind w:left="128" w:right="101"/>
              <w:jc w:val="center"/>
              <w:rPr>
                <w:sz w:val="21"/>
              </w:rPr>
            </w:pPr>
            <w:r>
              <w:rPr>
                <w:sz w:val="21"/>
              </w:rPr>
              <w:t>股票代码</w:t>
            </w:r>
          </w:p>
        </w:tc>
        <w:tc>
          <w:tcPr>
            <w:tcW w:w="1440" w:type="dxa"/>
          </w:tcPr>
          <w:p>
            <w:pPr>
              <w:pStyle w:val="TableParagraph"/>
              <w:rPr>
                <w:sz w:val="20"/>
              </w:rPr>
            </w:pPr>
          </w:p>
          <w:p>
            <w:pPr>
              <w:pStyle w:val="TableParagraph"/>
              <w:spacing w:before="7"/>
              <w:rPr>
                <w:sz w:val="17"/>
              </w:rPr>
            </w:pPr>
          </w:p>
          <w:p>
            <w:pPr>
              <w:pStyle w:val="TableParagraph"/>
              <w:ind w:left="279" w:right="253"/>
              <w:jc w:val="center"/>
              <w:rPr>
                <w:sz w:val="21"/>
              </w:rPr>
            </w:pPr>
            <w:r>
              <w:rPr>
                <w:sz w:val="21"/>
              </w:rPr>
              <w:t>股票名称</w:t>
            </w:r>
          </w:p>
        </w:tc>
        <w:tc>
          <w:tcPr>
            <w:tcW w:w="1359" w:type="dxa"/>
          </w:tcPr>
          <w:p>
            <w:pPr>
              <w:pStyle w:val="TableParagraph"/>
              <w:rPr>
                <w:sz w:val="20"/>
              </w:rPr>
            </w:pPr>
          </w:p>
          <w:p>
            <w:pPr>
              <w:pStyle w:val="TableParagraph"/>
              <w:spacing w:before="7"/>
              <w:rPr>
                <w:sz w:val="17"/>
              </w:rPr>
            </w:pPr>
          </w:p>
          <w:p>
            <w:pPr>
              <w:pStyle w:val="TableParagraph"/>
              <w:ind w:left="267"/>
              <w:rPr>
                <w:sz w:val="21"/>
              </w:rPr>
            </w:pPr>
            <w:r>
              <w:rPr>
                <w:sz w:val="21"/>
              </w:rPr>
              <w:t>数量(股)</w:t>
            </w:r>
          </w:p>
        </w:tc>
        <w:tc>
          <w:tcPr>
            <w:tcW w:w="1978" w:type="dxa"/>
          </w:tcPr>
          <w:p>
            <w:pPr>
              <w:pStyle w:val="TableParagraph"/>
              <w:rPr>
                <w:sz w:val="20"/>
              </w:rPr>
            </w:pPr>
          </w:p>
          <w:p>
            <w:pPr>
              <w:pStyle w:val="TableParagraph"/>
              <w:spacing w:before="7"/>
              <w:rPr>
                <w:sz w:val="17"/>
              </w:rPr>
            </w:pPr>
          </w:p>
          <w:p>
            <w:pPr>
              <w:pStyle w:val="TableParagraph"/>
              <w:ind w:left="367"/>
              <w:rPr>
                <w:sz w:val="21"/>
              </w:rPr>
            </w:pPr>
            <w:r>
              <w:rPr>
                <w:sz w:val="21"/>
              </w:rPr>
              <w:t>公允价值(元)</w:t>
            </w:r>
          </w:p>
        </w:tc>
        <w:tc>
          <w:tcPr>
            <w:tcW w:w="1224" w:type="dxa"/>
          </w:tcPr>
          <w:p>
            <w:pPr>
              <w:pStyle w:val="TableParagraph"/>
              <w:spacing w:line="348" w:lineRule="auto" w:before="91"/>
              <w:ind w:left="200" w:right="171"/>
              <w:rPr>
                <w:sz w:val="21"/>
              </w:rPr>
            </w:pPr>
            <w:r>
              <w:rPr>
                <w:spacing w:val="-5"/>
                <w:sz w:val="21"/>
              </w:rPr>
              <w:t>占基金资产净值比</w:t>
            </w:r>
          </w:p>
          <w:p>
            <w:pPr>
              <w:pStyle w:val="TableParagraph"/>
              <w:spacing w:line="269" w:lineRule="exact"/>
              <w:ind w:left="305"/>
              <w:rPr>
                <w:sz w:val="21"/>
              </w:rPr>
            </w:pPr>
            <w:r>
              <w:rPr>
                <w:sz w:val="21"/>
              </w:rPr>
              <w:t>例(％)</w:t>
            </w:r>
          </w:p>
        </w:tc>
      </w:tr>
      <w:tr>
        <w:trPr>
          <w:trHeight w:val="389" w:hRule="atLeast"/>
        </w:trPr>
        <w:tc>
          <w:tcPr>
            <w:tcW w:w="880" w:type="dxa"/>
          </w:tcPr>
          <w:p>
            <w:pPr>
              <w:pStyle w:val="TableParagraph"/>
              <w:spacing w:before="62"/>
              <w:ind w:left="10"/>
              <w:jc w:val="center"/>
              <w:rPr>
                <w:sz w:val="21"/>
              </w:rPr>
            </w:pPr>
            <w:r>
              <w:rPr>
                <w:sz w:val="21"/>
              </w:rPr>
              <w:t>1</w:t>
            </w:r>
          </w:p>
        </w:tc>
        <w:tc>
          <w:tcPr>
            <w:tcW w:w="1119" w:type="dxa"/>
          </w:tcPr>
          <w:p>
            <w:pPr>
              <w:pStyle w:val="TableParagraph"/>
              <w:spacing w:before="62"/>
              <w:ind w:left="111" w:right="101"/>
              <w:jc w:val="center"/>
              <w:rPr>
                <w:sz w:val="21"/>
              </w:rPr>
            </w:pPr>
            <w:r>
              <w:rPr>
                <w:sz w:val="21"/>
              </w:rPr>
              <w:t>000001</w:t>
            </w:r>
          </w:p>
        </w:tc>
        <w:tc>
          <w:tcPr>
            <w:tcW w:w="1440" w:type="dxa"/>
          </w:tcPr>
          <w:p>
            <w:pPr>
              <w:pStyle w:val="TableParagraph"/>
              <w:spacing w:before="62"/>
              <w:ind w:left="271" w:right="262"/>
              <w:jc w:val="center"/>
              <w:rPr>
                <w:sz w:val="21"/>
              </w:rPr>
            </w:pPr>
            <w:r>
              <w:rPr>
                <w:sz w:val="21"/>
              </w:rPr>
              <w:t>平安银行</w:t>
            </w:r>
          </w:p>
        </w:tc>
        <w:tc>
          <w:tcPr>
            <w:tcW w:w="1359" w:type="dxa"/>
          </w:tcPr>
          <w:p>
            <w:pPr>
              <w:pStyle w:val="TableParagraph"/>
              <w:spacing w:before="62"/>
              <w:ind w:right="96"/>
              <w:jc w:val="right"/>
              <w:rPr>
                <w:sz w:val="21"/>
              </w:rPr>
            </w:pPr>
            <w:r>
              <w:rPr>
                <w:sz w:val="21"/>
              </w:rPr>
              <w:t>171,969</w:t>
            </w:r>
          </w:p>
        </w:tc>
        <w:tc>
          <w:tcPr>
            <w:tcW w:w="1978" w:type="dxa"/>
          </w:tcPr>
          <w:p>
            <w:pPr>
              <w:pStyle w:val="TableParagraph"/>
              <w:spacing w:before="62"/>
              <w:ind w:right="96"/>
              <w:jc w:val="right"/>
              <w:rPr>
                <w:sz w:val="21"/>
              </w:rPr>
            </w:pPr>
            <w:r>
              <w:rPr>
                <w:sz w:val="21"/>
              </w:rPr>
              <w:t>2,828,890.05</w:t>
            </w:r>
          </w:p>
        </w:tc>
        <w:tc>
          <w:tcPr>
            <w:tcW w:w="1224" w:type="dxa"/>
          </w:tcPr>
          <w:p>
            <w:pPr>
              <w:pStyle w:val="TableParagraph"/>
              <w:spacing w:before="62"/>
              <w:ind w:right="96"/>
              <w:jc w:val="right"/>
              <w:rPr>
                <w:sz w:val="21"/>
              </w:rPr>
            </w:pPr>
            <w:r>
              <w:rPr>
                <w:sz w:val="21"/>
              </w:rPr>
              <w:t>0.80</w:t>
            </w:r>
          </w:p>
        </w:tc>
      </w:tr>
      <w:tr>
        <w:trPr>
          <w:trHeight w:val="390" w:hRule="atLeast"/>
        </w:trPr>
        <w:tc>
          <w:tcPr>
            <w:tcW w:w="880" w:type="dxa"/>
          </w:tcPr>
          <w:p>
            <w:pPr>
              <w:pStyle w:val="TableParagraph"/>
              <w:spacing w:before="62"/>
              <w:ind w:left="10"/>
              <w:jc w:val="center"/>
              <w:rPr>
                <w:sz w:val="21"/>
              </w:rPr>
            </w:pPr>
            <w:r>
              <w:rPr>
                <w:sz w:val="21"/>
              </w:rPr>
              <w:t>2</w:t>
            </w:r>
          </w:p>
        </w:tc>
        <w:tc>
          <w:tcPr>
            <w:tcW w:w="1119" w:type="dxa"/>
          </w:tcPr>
          <w:p>
            <w:pPr>
              <w:pStyle w:val="TableParagraph"/>
              <w:spacing w:before="62"/>
              <w:ind w:left="111" w:right="101"/>
              <w:jc w:val="center"/>
              <w:rPr>
                <w:sz w:val="21"/>
              </w:rPr>
            </w:pPr>
            <w:r>
              <w:rPr>
                <w:sz w:val="21"/>
              </w:rPr>
              <w:t>603338</w:t>
            </w:r>
          </w:p>
        </w:tc>
        <w:tc>
          <w:tcPr>
            <w:tcW w:w="1440" w:type="dxa"/>
          </w:tcPr>
          <w:p>
            <w:pPr>
              <w:pStyle w:val="TableParagraph"/>
              <w:spacing w:before="62"/>
              <w:ind w:left="271" w:right="262"/>
              <w:jc w:val="center"/>
              <w:rPr>
                <w:sz w:val="21"/>
              </w:rPr>
            </w:pPr>
            <w:r>
              <w:rPr>
                <w:sz w:val="21"/>
              </w:rPr>
              <w:t>浙江鼎力</w:t>
            </w:r>
          </w:p>
        </w:tc>
        <w:tc>
          <w:tcPr>
            <w:tcW w:w="1359" w:type="dxa"/>
          </w:tcPr>
          <w:p>
            <w:pPr>
              <w:pStyle w:val="TableParagraph"/>
              <w:spacing w:before="62"/>
              <w:ind w:right="96"/>
              <w:jc w:val="right"/>
              <w:rPr>
                <w:sz w:val="21"/>
              </w:rPr>
            </w:pPr>
            <w:r>
              <w:rPr>
                <w:sz w:val="21"/>
              </w:rPr>
              <w:t>32,130</w:t>
            </w:r>
          </w:p>
        </w:tc>
        <w:tc>
          <w:tcPr>
            <w:tcW w:w="1978" w:type="dxa"/>
          </w:tcPr>
          <w:p>
            <w:pPr>
              <w:pStyle w:val="TableParagraph"/>
              <w:spacing w:before="62"/>
              <w:ind w:right="96"/>
              <w:jc w:val="right"/>
              <w:rPr>
                <w:sz w:val="21"/>
              </w:rPr>
            </w:pPr>
            <w:r>
              <w:rPr>
                <w:sz w:val="21"/>
              </w:rPr>
              <w:t>2,297,295.00</w:t>
            </w:r>
          </w:p>
        </w:tc>
        <w:tc>
          <w:tcPr>
            <w:tcW w:w="1224" w:type="dxa"/>
          </w:tcPr>
          <w:p>
            <w:pPr>
              <w:pStyle w:val="TableParagraph"/>
              <w:spacing w:before="62"/>
              <w:ind w:right="96"/>
              <w:jc w:val="right"/>
              <w:rPr>
                <w:sz w:val="21"/>
              </w:rPr>
            </w:pPr>
            <w:r>
              <w:rPr>
                <w:sz w:val="21"/>
              </w:rPr>
              <w:t>0.65</w:t>
            </w:r>
          </w:p>
        </w:tc>
      </w:tr>
      <w:tr>
        <w:trPr>
          <w:trHeight w:val="390" w:hRule="atLeast"/>
        </w:trPr>
        <w:tc>
          <w:tcPr>
            <w:tcW w:w="880" w:type="dxa"/>
          </w:tcPr>
          <w:p>
            <w:pPr>
              <w:pStyle w:val="TableParagraph"/>
              <w:spacing w:before="62"/>
              <w:ind w:left="10"/>
              <w:jc w:val="center"/>
              <w:rPr>
                <w:sz w:val="21"/>
              </w:rPr>
            </w:pPr>
            <w:r>
              <w:rPr>
                <w:sz w:val="21"/>
              </w:rPr>
              <w:t>3</w:t>
            </w:r>
          </w:p>
        </w:tc>
        <w:tc>
          <w:tcPr>
            <w:tcW w:w="1119" w:type="dxa"/>
          </w:tcPr>
          <w:p>
            <w:pPr>
              <w:pStyle w:val="TableParagraph"/>
              <w:spacing w:before="62"/>
              <w:ind w:left="111" w:right="101"/>
              <w:jc w:val="center"/>
              <w:rPr>
                <w:sz w:val="21"/>
              </w:rPr>
            </w:pPr>
            <w:r>
              <w:rPr>
                <w:sz w:val="21"/>
              </w:rPr>
              <w:t>000568</w:t>
            </w:r>
          </w:p>
        </w:tc>
        <w:tc>
          <w:tcPr>
            <w:tcW w:w="1440" w:type="dxa"/>
          </w:tcPr>
          <w:p>
            <w:pPr>
              <w:pStyle w:val="TableParagraph"/>
              <w:spacing w:before="62"/>
              <w:ind w:left="271" w:right="262"/>
              <w:jc w:val="center"/>
              <w:rPr>
                <w:sz w:val="21"/>
              </w:rPr>
            </w:pPr>
            <w:r>
              <w:rPr>
                <w:sz w:val="21"/>
              </w:rPr>
              <w:t>泸州老窖</w:t>
            </w:r>
          </w:p>
        </w:tc>
        <w:tc>
          <w:tcPr>
            <w:tcW w:w="1359" w:type="dxa"/>
          </w:tcPr>
          <w:p>
            <w:pPr>
              <w:pStyle w:val="TableParagraph"/>
              <w:spacing w:before="62"/>
              <w:ind w:right="96"/>
              <w:jc w:val="right"/>
              <w:rPr>
                <w:sz w:val="21"/>
              </w:rPr>
            </w:pPr>
            <w:r>
              <w:rPr>
                <w:sz w:val="21"/>
              </w:rPr>
              <w:t>10,416</w:t>
            </w:r>
          </w:p>
        </w:tc>
        <w:tc>
          <w:tcPr>
            <w:tcW w:w="1978" w:type="dxa"/>
          </w:tcPr>
          <w:p>
            <w:pPr>
              <w:pStyle w:val="TableParagraph"/>
              <w:spacing w:before="62"/>
              <w:ind w:right="96"/>
              <w:jc w:val="right"/>
              <w:rPr>
                <w:sz w:val="21"/>
              </w:rPr>
            </w:pPr>
            <w:r>
              <w:rPr>
                <w:sz w:val="21"/>
              </w:rPr>
              <w:t>902,858.88</w:t>
            </w:r>
          </w:p>
        </w:tc>
        <w:tc>
          <w:tcPr>
            <w:tcW w:w="1224" w:type="dxa"/>
          </w:tcPr>
          <w:p>
            <w:pPr>
              <w:pStyle w:val="TableParagraph"/>
              <w:spacing w:before="62"/>
              <w:ind w:right="96"/>
              <w:jc w:val="right"/>
              <w:rPr>
                <w:sz w:val="21"/>
              </w:rPr>
            </w:pPr>
            <w:r>
              <w:rPr>
                <w:sz w:val="21"/>
              </w:rPr>
              <w:t>0.26</w:t>
            </w:r>
          </w:p>
        </w:tc>
      </w:tr>
    </w:tbl>
    <w:p>
      <w:pPr>
        <w:spacing w:after="0"/>
        <w:jc w:val="right"/>
        <w:rPr>
          <w:sz w:val="21"/>
        </w:rPr>
        <w:sectPr>
          <w:pgSz w:w="11910" w:h="16840"/>
          <w:pgMar w:header="0" w:footer="664" w:top="1420" w:bottom="940" w:left="1580" w:right="380"/>
        </w:sectPr>
      </w:pPr>
    </w:p>
    <w:p>
      <w:pPr>
        <w:pStyle w:val="BodyText"/>
        <w:spacing w:before="45"/>
      </w:pPr>
      <w:r>
        <w:rPr/>
        <w:t>4、报告期末按债券品种分类的债券投资组合</w:t>
      </w:r>
    </w:p>
    <w:p>
      <w:pPr>
        <w:pStyle w:val="BodyText"/>
        <w:spacing w:before="8"/>
        <w:ind w:left="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7"/>
        <w:gridCol w:w="2965"/>
        <w:gridCol w:w="2712"/>
        <w:gridCol w:w="1546"/>
      </w:tblGrid>
      <w:tr>
        <w:trPr>
          <w:trHeight w:val="809" w:hRule="atLeast"/>
        </w:trPr>
        <w:tc>
          <w:tcPr>
            <w:tcW w:w="777" w:type="dxa"/>
          </w:tcPr>
          <w:p>
            <w:pPr>
              <w:pStyle w:val="TableParagraph"/>
              <w:spacing w:before="4"/>
              <w:rPr>
                <w:sz w:val="22"/>
              </w:rPr>
            </w:pPr>
          </w:p>
          <w:p>
            <w:pPr>
              <w:pStyle w:val="TableParagraph"/>
              <w:ind w:left="167" w:right="140"/>
              <w:jc w:val="center"/>
              <w:rPr>
                <w:sz w:val="21"/>
              </w:rPr>
            </w:pPr>
            <w:r>
              <w:rPr>
                <w:sz w:val="21"/>
              </w:rPr>
              <w:t>序号</w:t>
            </w:r>
          </w:p>
        </w:tc>
        <w:tc>
          <w:tcPr>
            <w:tcW w:w="2965" w:type="dxa"/>
          </w:tcPr>
          <w:p>
            <w:pPr>
              <w:pStyle w:val="TableParagraph"/>
              <w:spacing w:before="4"/>
              <w:rPr>
                <w:sz w:val="22"/>
              </w:rPr>
            </w:pPr>
          </w:p>
          <w:p>
            <w:pPr>
              <w:pStyle w:val="TableParagraph"/>
              <w:ind w:left="1050" w:right="1024"/>
              <w:jc w:val="center"/>
              <w:rPr>
                <w:sz w:val="21"/>
              </w:rPr>
            </w:pPr>
            <w:r>
              <w:rPr>
                <w:sz w:val="21"/>
              </w:rPr>
              <w:t>债券品种</w:t>
            </w:r>
          </w:p>
        </w:tc>
        <w:tc>
          <w:tcPr>
            <w:tcW w:w="2712" w:type="dxa"/>
          </w:tcPr>
          <w:p>
            <w:pPr>
              <w:pStyle w:val="TableParagraph"/>
              <w:spacing w:before="4"/>
              <w:rPr>
                <w:sz w:val="22"/>
              </w:rPr>
            </w:pPr>
          </w:p>
          <w:p>
            <w:pPr>
              <w:pStyle w:val="TableParagraph"/>
              <w:ind w:left="734"/>
              <w:rPr>
                <w:sz w:val="21"/>
              </w:rPr>
            </w:pPr>
            <w:r>
              <w:rPr>
                <w:sz w:val="21"/>
              </w:rPr>
              <w:t>公允价值(元)</w:t>
            </w:r>
          </w:p>
        </w:tc>
        <w:tc>
          <w:tcPr>
            <w:tcW w:w="1546" w:type="dxa"/>
          </w:tcPr>
          <w:p>
            <w:pPr>
              <w:pStyle w:val="TableParagraph"/>
              <w:spacing w:before="91"/>
              <w:ind w:left="151"/>
              <w:rPr>
                <w:sz w:val="21"/>
              </w:rPr>
            </w:pPr>
            <w:r>
              <w:rPr>
                <w:sz w:val="21"/>
              </w:rPr>
              <w:t>占基金资产净</w:t>
            </w:r>
          </w:p>
          <w:p>
            <w:pPr>
              <w:pStyle w:val="TableParagraph"/>
              <w:spacing w:before="121"/>
              <w:ind w:left="256"/>
              <w:rPr>
                <w:sz w:val="21"/>
              </w:rPr>
            </w:pPr>
            <w:r>
              <w:rPr>
                <w:sz w:val="21"/>
              </w:rPr>
              <w:t>值比例(％)</w:t>
            </w:r>
          </w:p>
        </w:tc>
      </w:tr>
      <w:tr>
        <w:trPr>
          <w:trHeight w:val="419" w:hRule="atLeast"/>
        </w:trPr>
        <w:tc>
          <w:tcPr>
            <w:tcW w:w="777" w:type="dxa"/>
          </w:tcPr>
          <w:p>
            <w:pPr>
              <w:pStyle w:val="TableParagraph"/>
              <w:spacing w:before="91"/>
              <w:ind w:left="27"/>
              <w:jc w:val="center"/>
              <w:rPr>
                <w:sz w:val="21"/>
              </w:rPr>
            </w:pPr>
            <w:r>
              <w:rPr>
                <w:sz w:val="21"/>
              </w:rPr>
              <w:t>1</w:t>
            </w:r>
          </w:p>
        </w:tc>
        <w:tc>
          <w:tcPr>
            <w:tcW w:w="2965" w:type="dxa"/>
          </w:tcPr>
          <w:p>
            <w:pPr>
              <w:pStyle w:val="TableParagraph"/>
              <w:spacing w:before="91"/>
              <w:ind w:left="124"/>
              <w:rPr>
                <w:sz w:val="21"/>
              </w:rPr>
            </w:pPr>
            <w:r>
              <w:rPr>
                <w:sz w:val="21"/>
              </w:rPr>
              <w:t>国家债券</w:t>
            </w:r>
          </w:p>
        </w:tc>
        <w:tc>
          <w:tcPr>
            <w:tcW w:w="2712" w:type="dxa"/>
          </w:tcPr>
          <w:p>
            <w:pPr>
              <w:pStyle w:val="TableParagraph"/>
              <w:spacing w:before="91"/>
              <w:ind w:right="97"/>
              <w:jc w:val="right"/>
              <w:rPr>
                <w:sz w:val="21"/>
              </w:rPr>
            </w:pPr>
            <w:r>
              <w:rPr>
                <w:sz w:val="21"/>
              </w:rPr>
              <w:t>-</w:t>
            </w:r>
          </w:p>
        </w:tc>
        <w:tc>
          <w:tcPr>
            <w:tcW w:w="1546" w:type="dxa"/>
          </w:tcPr>
          <w:p>
            <w:pPr>
              <w:pStyle w:val="TableParagraph"/>
              <w:spacing w:before="91"/>
              <w:ind w:right="97"/>
              <w:jc w:val="right"/>
              <w:rPr>
                <w:sz w:val="21"/>
              </w:rPr>
            </w:pPr>
            <w:r>
              <w:rPr>
                <w:sz w:val="21"/>
              </w:rPr>
              <w:t>-</w:t>
            </w:r>
          </w:p>
        </w:tc>
      </w:tr>
      <w:tr>
        <w:trPr>
          <w:trHeight w:val="419" w:hRule="atLeast"/>
        </w:trPr>
        <w:tc>
          <w:tcPr>
            <w:tcW w:w="777" w:type="dxa"/>
          </w:tcPr>
          <w:p>
            <w:pPr>
              <w:pStyle w:val="TableParagraph"/>
              <w:spacing w:before="91"/>
              <w:ind w:left="27"/>
              <w:jc w:val="center"/>
              <w:rPr>
                <w:sz w:val="21"/>
              </w:rPr>
            </w:pPr>
            <w:r>
              <w:rPr>
                <w:sz w:val="21"/>
              </w:rPr>
              <w:t>2</w:t>
            </w:r>
          </w:p>
        </w:tc>
        <w:tc>
          <w:tcPr>
            <w:tcW w:w="2965" w:type="dxa"/>
          </w:tcPr>
          <w:p>
            <w:pPr>
              <w:pStyle w:val="TableParagraph"/>
              <w:spacing w:before="91"/>
              <w:ind w:left="124"/>
              <w:rPr>
                <w:sz w:val="21"/>
              </w:rPr>
            </w:pPr>
            <w:r>
              <w:rPr>
                <w:sz w:val="21"/>
              </w:rPr>
              <w:t>央行票据</w:t>
            </w:r>
          </w:p>
        </w:tc>
        <w:tc>
          <w:tcPr>
            <w:tcW w:w="2712" w:type="dxa"/>
          </w:tcPr>
          <w:p>
            <w:pPr>
              <w:pStyle w:val="TableParagraph"/>
              <w:spacing w:before="91"/>
              <w:ind w:right="97"/>
              <w:jc w:val="right"/>
              <w:rPr>
                <w:sz w:val="21"/>
              </w:rPr>
            </w:pPr>
            <w:r>
              <w:rPr>
                <w:sz w:val="21"/>
              </w:rPr>
              <w:t>-</w:t>
            </w:r>
          </w:p>
        </w:tc>
        <w:tc>
          <w:tcPr>
            <w:tcW w:w="1546" w:type="dxa"/>
          </w:tcPr>
          <w:p>
            <w:pPr>
              <w:pStyle w:val="TableParagraph"/>
              <w:spacing w:before="91"/>
              <w:ind w:right="97"/>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3</w:t>
            </w:r>
          </w:p>
        </w:tc>
        <w:tc>
          <w:tcPr>
            <w:tcW w:w="2965" w:type="dxa"/>
          </w:tcPr>
          <w:p>
            <w:pPr>
              <w:pStyle w:val="TableParagraph"/>
              <w:spacing w:before="91"/>
              <w:ind w:left="124"/>
              <w:rPr>
                <w:sz w:val="21"/>
              </w:rPr>
            </w:pPr>
            <w:r>
              <w:rPr>
                <w:sz w:val="21"/>
              </w:rPr>
              <w:t>金融债券</w:t>
            </w:r>
          </w:p>
        </w:tc>
        <w:tc>
          <w:tcPr>
            <w:tcW w:w="2712" w:type="dxa"/>
          </w:tcPr>
          <w:p>
            <w:pPr>
              <w:pStyle w:val="TableParagraph"/>
              <w:spacing w:before="91"/>
              <w:ind w:right="97"/>
              <w:jc w:val="right"/>
              <w:rPr>
                <w:sz w:val="21"/>
              </w:rPr>
            </w:pPr>
            <w:r>
              <w:rPr>
                <w:sz w:val="21"/>
              </w:rPr>
              <w:t>18,129,900.00</w:t>
            </w:r>
          </w:p>
        </w:tc>
        <w:tc>
          <w:tcPr>
            <w:tcW w:w="1546" w:type="dxa"/>
          </w:tcPr>
          <w:p>
            <w:pPr>
              <w:pStyle w:val="TableParagraph"/>
              <w:spacing w:before="91"/>
              <w:ind w:right="97"/>
              <w:jc w:val="right"/>
              <w:rPr>
                <w:sz w:val="21"/>
              </w:rPr>
            </w:pPr>
            <w:r>
              <w:rPr>
                <w:sz w:val="21"/>
              </w:rPr>
              <w:t>5.12</w:t>
            </w:r>
          </w:p>
        </w:tc>
      </w:tr>
      <w:tr>
        <w:trPr>
          <w:trHeight w:val="418" w:hRule="atLeast"/>
        </w:trPr>
        <w:tc>
          <w:tcPr>
            <w:tcW w:w="777" w:type="dxa"/>
          </w:tcPr>
          <w:p>
            <w:pPr>
              <w:pStyle w:val="TableParagraph"/>
              <w:rPr>
                <w:rFonts w:ascii="Times New Roman"/>
                <w:sz w:val="20"/>
              </w:rPr>
            </w:pPr>
          </w:p>
        </w:tc>
        <w:tc>
          <w:tcPr>
            <w:tcW w:w="2965" w:type="dxa"/>
          </w:tcPr>
          <w:p>
            <w:pPr>
              <w:pStyle w:val="TableParagraph"/>
              <w:spacing w:before="91"/>
              <w:ind w:left="124"/>
              <w:rPr>
                <w:sz w:val="21"/>
              </w:rPr>
            </w:pPr>
            <w:r>
              <w:rPr>
                <w:sz w:val="21"/>
              </w:rPr>
              <w:t>其中：政策性金融债</w:t>
            </w:r>
          </w:p>
        </w:tc>
        <w:tc>
          <w:tcPr>
            <w:tcW w:w="2712" w:type="dxa"/>
          </w:tcPr>
          <w:p>
            <w:pPr>
              <w:pStyle w:val="TableParagraph"/>
              <w:spacing w:before="91"/>
              <w:ind w:right="97"/>
              <w:jc w:val="right"/>
              <w:rPr>
                <w:sz w:val="21"/>
              </w:rPr>
            </w:pPr>
            <w:r>
              <w:rPr>
                <w:sz w:val="21"/>
              </w:rPr>
              <w:t>18,129,900.00</w:t>
            </w:r>
          </w:p>
        </w:tc>
        <w:tc>
          <w:tcPr>
            <w:tcW w:w="1546" w:type="dxa"/>
          </w:tcPr>
          <w:p>
            <w:pPr>
              <w:pStyle w:val="TableParagraph"/>
              <w:spacing w:before="91"/>
              <w:ind w:right="97"/>
              <w:jc w:val="right"/>
              <w:rPr>
                <w:sz w:val="21"/>
              </w:rPr>
            </w:pPr>
            <w:r>
              <w:rPr>
                <w:sz w:val="21"/>
              </w:rPr>
              <w:t>5.12</w:t>
            </w:r>
          </w:p>
        </w:tc>
      </w:tr>
      <w:tr>
        <w:trPr>
          <w:trHeight w:val="418" w:hRule="atLeast"/>
        </w:trPr>
        <w:tc>
          <w:tcPr>
            <w:tcW w:w="777" w:type="dxa"/>
          </w:tcPr>
          <w:p>
            <w:pPr>
              <w:pStyle w:val="TableParagraph"/>
              <w:spacing w:before="91"/>
              <w:ind w:left="27"/>
              <w:jc w:val="center"/>
              <w:rPr>
                <w:sz w:val="21"/>
              </w:rPr>
            </w:pPr>
            <w:r>
              <w:rPr>
                <w:sz w:val="21"/>
              </w:rPr>
              <w:t>4</w:t>
            </w:r>
          </w:p>
        </w:tc>
        <w:tc>
          <w:tcPr>
            <w:tcW w:w="2965" w:type="dxa"/>
          </w:tcPr>
          <w:p>
            <w:pPr>
              <w:pStyle w:val="TableParagraph"/>
              <w:spacing w:before="91"/>
              <w:ind w:left="124"/>
              <w:rPr>
                <w:sz w:val="21"/>
              </w:rPr>
            </w:pPr>
            <w:r>
              <w:rPr>
                <w:sz w:val="21"/>
              </w:rPr>
              <w:t>企业债券</w:t>
            </w:r>
          </w:p>
        </w:tc>
        <w:tc>
          <w:tcPr>
            <w:tcW w:w="2712" w:type="dxa"/>
          </w:tcPr>
          <w:p>
            <w:pPr>
              <w:pStyle w:val="TableParagraph"/>
              <w:spacing w:before="91"/>
              <w:ind w:right="97"/>
              <w:jc w:val="right"/>
              <w:rPr>
                <w:sz w:val="21"/>
              </w:rPr>
            </w:pPr>
            <w:r>
              <w:rPr>
                <w:sz w:val="21"/>
              </w:rPr>
              <w:t>60,171,900.00</w:t>
            </w:r>
          </w:p>
        </w:tc>
        <w:tc>
          <w:tcPr>
            <w:tcW w:w="1546" w:type="dxa"/>
          </w:tcPr>
          <w:p>
            <w:pPr>
              <w:pStyle w:val="TableParagraph"/>
              <w:spacing w:before="91"/>
              <w:ind w:right="97"/>
              <w:jc w:val="right"/>
              <w:rPr>
                <w:sz w:val="21"/>
              </w:rPr>
            </w:pPr>
            <w:r>
              <w:rPr>
                <w:sz w:val="21"/>
              </w:rPr>
              <w:t>17.00</w:t>
            </w:r>
          </w:p>
        </w:tc>
      </w:tr>
      <w:tr>
        <w:trPr>
          <w:trHeight w:val="418" w:hRule="atLeast"/>
        </w:trPr>
        <w:tc>
          <w:tcPr>
            <w:tcW w:w="777" w:type="dxa"/>
          </w:tcPr>
          <w:p>
            <w:pPr>
              <w:pStyle w:val="TableParagraph"/>
              <w:spacing w:before="91"/>
              <w:ind w:left="27"/>
              <w:jc w:val="center"/>
              <w:rPr>
                <w:sz w:val="21"/>
              </w:rPr>
            </w:pPr>
            <w:r>
              <w:rPr>
                <w:sz w:val="21"/>
              </w:rPr>
              <w:t>5</w:t>
            </w:r>
          </w:p>
        </w:tc>
        <w:tc>
          <w:tcPr>
            <w:tcW w:w="2965" w:type="dxa"/>
          </w:tcPr>
          <w:p>
            <w:pPr>
              <w:pStyle w:val="TableParagraph"/>
              <w:spacing w:before="91"/>
              <w:ind w:left="124"/>
              <w:rPr>
                <w:sz w:val="21"/>
              </w:rPr>
            </w:pPr>
            <w:r>
              <w:rPr>
                <w:sz w:val="21"/>
              </w:rPr>
              <w:t>企业短期融资券</w:t>
            </w:r>
          </w:p>
        </w:tc>
        <w:tc>
          <w:tcPr>
            <w:tcW w:w="2712" w:type="dxa"/>
          </w:tcPr>
          <w:p>
            <w:pPr>
              <w:pStyle w:val="TableParagraph"/>
              <w:spacing w:before="91"/>
              <w:ind w:right="97"/>
              <w:jc w:val="right"/>
              <w:rPr>
                <w:sz w:val="21"/>
              </w:rPr>
            </w:pPr>
            <w:r>
              <w:rPr>
                <w:sz w:val="21"/>
              </w:rPr>
              <w:t>-</w:t>
            </w:r>
          </w:p>
        </w:tc>
        <w:tc>
          <w:tcPr>
            <w:tcW w:w="1546" w:type="dxa"/>
          </w:tcPr>
          <w:p>
            <w:pPr>
              <w:pStyle w:val="TableParagraph"/>
              <w:spacing w:before="91"/>
              <w:ind w:right="97"/>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6</w:t>
            </w:r>
          </w:p>
        </w:tc>
        <w:tc>
          <w:tcPr>
            <w:tcW w:w="2965" w:type="dxa"/>
          </w:tcPr>
          <w:p>
            <w:pPr>
              <w:pStyle w:val="TableParagraph"/>
              <w:spacing w:before="91"/>
              <w:ind w:left="124"/>
              <w:rPr>
                <w:sz w:val="21"/>
              </w:rPr>
            </w:pPr>
            <w:r>
              <w:rPr>
                <w:sz w:val="21"/>
              </w:rPr>
              <w:t>中期票据</w:t>
            </w:r>
          </w:p>
        </w:tc>
        <w:tc>
          <w:tcPr>
            <w:tcW w:w="2712" w:type="dxa"/>
          </w:tcPr>
          <w:p>
            <w:pPr>
              <w:pStyle w:val="TableParagraph"/>
              <w:spacing w:before="91"/>
              <w:ind w:right="97"/>
              <w:jc w:val="right"/>
              <w:rPr>
                <w:sz w:val="21"/>
              </w:rPr>
            </w:pPr>
            <w:r>
              <w:rPr>
                <w:sz w:val="21"/>
              </w:rPr>
              <w:t>-</w:t>
            </w:r>
          </w:p>
        </w:tc>
        <w:tc>
          <w:tcPr>
            <w:tcW w:w="1546" w:type="dxa"/>
          </w:tcPr>
          <w:p>
            <w:pPr>
              <w:pStyle w:val="TableParagraph"/>
              <w:spacing w:before="91"/>
              <w:ind w:right="97"/>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7</w:t>
            </w:r>
          </w:p>
        </w:tc>
        <w:tc>
          <w:tcPr>
            <w:tcW w:w="2965" w:type="dxa"/>
          </w:tcPr>
          <w:p>
            <w:pPr>
              <w:pStyle w:val="TableParagraph"/>
              <w:spacing w:before="91"/>
              <w:ind w:left="124"/>
              <w:rPr>
                <w:sz w:val="21"/>
              </w:rPr>
            </w:pPr>
            <w:r>
              <w:rPr>
                <w:sz w:val="21"/>
              </w:rPr>
              <w:t>可转债（可交换债）</w:t>
            </w:r>
          </w:p>
        </w:tc>
        <w:tc>
          <w:tcPr>
            <w:tcW w:w="2712" w:type="dxa"/>
          </w:tcPr>
          <w:p>
            <w:pPr>
              <w:pStyle w:val="TableParagraph"/>
              <w:spacing w:before="91"/>
              <w:ind w:right="97"/>
              <w:jc w:val="right"/>
              <w:rPr>
                <w:sz w:val="21"/>
              </w:rPr>
            </w:pPr>
            <w:r>
              <w:rPr>
                <w:sz w:val="21"/>
              </w:rPr>
              <w:t>283,293,312.09</w:t>
            </w:r>
          </w:p>
        </w:tc>
        <w:tc>
          <w:tcPr>
            <w:tcW w:w="1546" w:type="dxa"/>
          </w:tcPr>
          <w:p>
            <w:pPr>
              <w:pStyle w:val="TableParagraph"/>
              <w:spacing w:before="91"/>
              <w:ind w:right="97"/>
              <w:jc w:val="right"/>
              <w:rPr>
                <w:sz w:val="21"/>
              </w:rPr>
            </w:pPr>
            <w:r>
              <w:rPr>
                <w:sz w:val="21"/>
              </w:rPr>
              <w:t>80.02</w:t>
            </w:r>
          </w:p>
        </w:tc>
      </w:tr>
      <w:tr>
        <w:trPr>
          <w:trHeight w:val="418" w:hRule="atLeast"/>
        </w:trPr>
        <w:tc>
          <w:tcPr>
            <w:tcW w:w="777" w:type="dxa"/>
          </w:tcPr>
          <w:p>
            <w:pPr>
              <w:pStyle w:val="TableParagraph"/>
              <w:spacing w:before="91"/>
              <w:ind w:left="27"/>
              <w:jc w:val="center"/>
              <w:rPr>
                <w:sz w:val="21"/>
              </w:rPr>
            </w:pPr>
            <w:r>
              <w:rPr>
                <w:sz w:val="21"/>
              </w:rPr>
              <w:t>8</w:t>
            </w:r>
          </w:p>
        </w:tc>
        <w:tc>
          <w:tcPr>
            <w:tcW w:w="2965" w:type="dxa"/>
          </w:tcPr>
          <w:p>
            <w:pPr>
              <w:pStyle w:val="TableParagraph"/>
              <w:spacing w:before="91"/>
              <w:ind w:left="124"/>
              <w:rPr>
                <w:sz w:val="21"/>
              </w:rPr>
            </w:pPr>
            <w:r>
              <w:rPr>
                <w:sz w:val="21"/>
              </w:rPr>
              <w:t>同业存单</w:t>
            </w:r>
          </w:p>
        </w:tc>
        <w:tc>
          <w:tcPr>
            <w:tcW w:w="2712" w:type="dxa"/>
          </w:tcPr>
          <w:p>
            <w:pPr>
              <w:pStyle w:val="TableParagraph"/>
              <w:spacing w:before="91"/>
              <w:ind w:right="97"/>
              <w:jc w:val="right"/>
              <w:rPr>
                <w:sz w:val="21"/>
              </w:rPr>
            </w:pPr>
            <w:r>
              <w:rPr>
                <w:sz w:val="21"/>
              </w:rPr>
              <w:t>-</w:t>
            </w:r>
          </w:p>
        </w:tc>
        <w:tc>
          <w:tcPr>
            <w:tcW w:w="1546" w:type="dxa"/>
          </w:tcPr>
          <w:p>
            <w:pPr>
              <w:pStyle w:val="TableParagraph"/>
              <w:spacing w:before="91"/>
              <w:ind w:right="97"/>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9</w:t>
            </w:r>
          </w:p>
        </w:tc>
        <w:tc>
          <w:tcPr>
            <w:tcW w:w="2965" w:type="dxa"/>
          </w:tcPr>
          <w:p>
            <w:pPr>
              <w:pStyle w:val="TableParagraph"/>
              <w:spacing w:before="91"/>
              <w:ind w:left="124"/>
              <w:rPr>
                <w:sz w:val="21"/>
              </w:rPr>
            </w:pPr>
            <w:r>
              <w:rPr>
                <w:sz w:val="21"/>
              </w:rPr>
              <w:t>其他</w:t>
            </w:r>
          </w:p>
        </w:tc>
        <w:tc>
          <w:tcPr>
            <w:tcW w:w="2712" w:type="dxa"/>
          </w:tcPr>
          <w:p>
            <w:pPr>
              <w:pStyle w:val="TableParagraph"/>
              <w:spacing w:before="91"/>
              <w:ind w:right="97"/>
              <w:jc w:val="right"/>
              <w:rPr>
                <w:sz w:val="21"/>
              </w:rPr>
            </w:pPr>
            <w:r>
              <w:rPr>
                <w:sz w:val="21"/>
              </w:rPr>
              <w:t>-</w:t>
            </w:r>
          </w:p>
        </w:tc>
        <w:tc>
          <w:tcPr>
            <w:tcW w:w="1546" w:type="dxa"/>
          </w:tcPr>
          <w:p>
            <w:pPr>
              <w:pStyle w:val="TableParagraph"/>
              <w:spacing w:before="91"/>
              <w:ind w:right="97"/>
              <w:jc w:val="right"/>
              <w:rPr>
                <w:sz w:val="21"/>
              </w:rPr>
            </w:pPr>
            <w:r>
              <w:rPr>
                <w:sz w:val="21"/>
              </w:rPr>
              <w:t>-</w:t>
            </w:r>
          </w:p>
        </w:tc>
      </w:tr>
      <w:tr>
        <w:trPr>
          <w:trHeight w:val="419" w:hRule="atLeast"/>
        </w:trPr>
        <w:tc>
          <w:tcPr>
            <w:tcW w:w="777" w:type="dxa"/>
          </w:tcPr>
          <w:p>
            <w:pPr>
              <w:pStyle w:val="TableParagraph"/>
              <w:spacing w:before="91"/>
              <w:ind w:left="167" w:right="140"/>
              <w:jc w:val="center"/>
              <w:rPr>
                <w:sz w:val="21"/>
              </w:rPr>
            </w:pPr>
            <w:r>
              <w:rPr>
                <w:sz w:val="21"/>
              </w:rPr>
              <w:t>10</w:t>
            </w:r>
          </w:p>
        </w:tc>
        <w:tc>
          <w:tcPr>
            <w:tcW w:w="2965" w:type="dxa"/>
          </w:tcPr>
          <w:p>
            <w:pPr>
              <w:pStyle w:val="TableParagraph"/>
              <w:spacing w:before="91"/>
              <w:ind w:left="124"/>
              <w:rPr>
                <w:sz w:val="21"/>
              </w:rPr>
            </w:pPr>
            <w:r>
              <w:rPr>
                <w:sz w:val="21"/>
              </w:rPr>
              <w:t>合计</w:t>
            </w:r>
          </w:p>
        </w:tc>
        <w:tc>
          <w:tcPr>
            <w:tcW w:w="2712" w:type="dxa"/>
          </w:tcPr>
          <w:p>
            <w:pPr>
              <w:pStyle w:val="TableParagraph"/>
              <w:spacing w:before="91"/>
              <w:ind w:right="97"/>
              <w:jc w:val="right"/>
              <w:rPr>
                <w:sz w:val="21"/>
              </w:rPr>
            </w:pPr>
            <w:r>
              <w:rPr>
                <w:sz w:val="21"/>
              </w:rPr>
              <w:t>361,595,112.09</w:t>
            </w:r>
          </w:p>
        </w:tc>
        <w:tc>
          <w:tcPr>
            <w:tcW w:w="1546" w:type="dxa"/>
          </w:tcPr>
          <w:p>
            <w:pPr>
              <w:pStyle w:val="TableParagraph"/>
              <w:spacing w:before="91"/>
              <w:ind w:right="97"/>
              <w:jc w:val="right"/>
              <w:rPr>
                <w:sz w:val="21"/>
              </w:rPr>
            </w:pPr>
            <w:r>
              <w:rPr>
                <w:sz w:val="21"/>
              </w:rPr>
              <w:t>102.13</w:t>
            </w:r>
          </w:p>
        </w:tc>
      </w:tr>
    </w:tbl>
    <w:p>
      <w:pPr>
        <w:pStyle w:val="BodyText"/>
        <w:spacing w:before="3"/>
      </w:pPr>
      <w:r>
        <w:rPr/>
        <w:t>5、报告期末按公允价值占基金资产净值比例大小排序的前五名债券投资明细</w:t>
      </w:r>
    </w:p>
    <w:p>
      <w:pPr>
        <w:pStyle w:val="BodyText"/>
        <w:spacing w:before="8"/>
        <w:ind w:left="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370"/>
        <w:gridCol w:w="1612"/>
        <w:gridCol w:w="1396"/>
        <w:gridCol w:w="1977"/>
        <w:gridCol w:w="937"/>
      </w:tblGrid>
      <w:tr>
        <w:trPr>
          <w:trHeight w:val="1588" w:hRule="atLeast"/>
        </w:trPr>
        <w:tc>
          <w:tcPr>
            <w:tcW w:w="708" w:type="dxa"/>
          </w:tcPr>
          <w:p>
            <w:pPr>
              <w:pStyle w:val="TableParagraph"/>
              <w:rPr>
                <w:sz w:val="20"/>
              </w:rPr>
            </w:pPr>
          </w:p>
          <w:p>
            <w:pPr>
              <w:pStyle w:val="TableParagraph"/>
              <w:rPr>
                <w:sz w:val="20"/>
              </w:rPr>
            </w:pPr>
          </w:p>
          <w:p>
            <w:pPr>
              <w:pStyle w:val="TableParagraph"/>
              <w:spacing w:before="163"/>
              <w:ind w:left="131" w:right="106"/>
              <w:jc w:val="center"/>
              <w:rPr>
                <w:sz w:val="21"/>
              </w:rPr>
            </w:pPr>
            <w:r>
              <w:rPr>
                <w:sz w:val="21"/>
              </w:rPr>
              <w:t>序号</w:t>
            </w:r>
          </w:p>
        </w:tc>
        <w:tc>
          <w:tcPr>
            <w:tcW w:w="1370" w:type="dxa"/>
          </w:tcPr>
          <w:p>
            <w:pPr>
              <w:pStyle w:val="TableParagraph"/>
              <w:rPr>
                <w:sz w:val="20"/>
              </w:rPr>
            </w:pPr>
          </w:p>
          <w:p>
            <w:pPr>
              <w:pStyle w:val="TableParagraph"/>
              <w:rPr>
                <w:sz w:val="20"/>
              </w:rPr>
            </w:pPr>
          </w:p>
          <w:p>
            <w:pPr>
              <w:pStyle w:val="TableParagraph"/>
              <w:spacing w:before="163"/>
              <w:ind w:left="252" w:right="227"/>
              <w:jc w:val="center"/>
              <w:rPr>
                <w:sz w:val="21"/>
              </w:rPr>
            </w:pPr>
            <w:r>
              <w:rPr>
                <w:sz w:val="21"/>
              </w:rPr>
              <w:t>债券代码</w:t>
            </w:r>
          </w:p>
        </w:tc>
        <w:tc>
          <w:tcPr>
            <w:tcW w:w="1612" w:type="dxa"/>
          </w:tcPr>
          <w:p>
            <w:pPr>
              <w:pStyle w:val="TableParagraph"/>
              <w:rPr>
                <w:sz w:val="20"/>
              </w:rPr>
            </w:pPr>
          </w:p>
          <w:p>
            <w:pPr>
              <w:pStyle w:val="TableParagraph"/>
              <w:rPr>
                <w:sz w:val="20"/>
              </w:rPr>
            </w:pPr>
          </w:p>
          <w:p>
            <w:pPr>
              <w:pStyle w:val="TableParagraph"/>
              <w:spacing w:before="163"/>
              <w:ind w:left="261" w:right="236"/>
              <w:jc w:val="center"/>
              <w:rPr>
                <w:sz w:val="21"/>
              </w:rPr>
            </w:pPr>
            <w:r>
              <w:rPr>
                <w:sz w:val="21"/>
              </w:rPr>
              <w:t>债券名称</w:t>
            </w:r>
          </w:p>
        </w:tc>
        <w:tc>
          <w:tcPr>
            <w:tcW w:w="1396" w:type="dxa"/>
          </w:tcPr>
          <w:p>
            <w:pPr>
              <w:pStyle w:val="TableParagraph"/>
              <w:rPr>
                <w:sz w:val="20"/>
              </w:rPr>
            </w:pPr>
          </w:p>
          <w:p>
            <w:pPr>
              <w:pStyle w:val="TableParagraph"/>
              <w:rPr>
                <w:sz w:val="20"/>
              </w:rPr>
            </w:pPr>
          </w:p>
          <w:p>
            <w:pPr>
              <w:pStyle w:val="TableParagraph"/>
              <w:spacing w:before="163"/>
              <w:ind w:right="153"/>
              <w:jc w:val="right"/>
              <w:rPr>
                <w:sz w:val="21"/>
              </w:rPr>
            </w:pPr>
            <w:r>
              <w:rPr>
                <w:sz w:val="21"/>
              </w:rPr>
              <w:t>数量（张）</w:t>
            </w:r>
          </w:p>
        </w:tc>
        <w:tc>
          <w:tcPr>
            <w:tcW w:w="1977" w:type="dxa"/>
          </w:tcPr>
          <w:p>
            <w:pPr>
              <w:pStyle w:val="TableParagraph"/>
              <w:rPr>
                <w:sz w:val="20"/>
              </w:rPr>
            </w:pPr>
          </w:p>
          <w:p>
            <w:pPr>
              <w:pStyle w:val="TableParagraph"/>
              <w:rPr>
                <w:sz w:val="20"/>
              </w:rPr>
            </w:pPr>
          </w:p>
          <w:p>
            <w:pPr>
              <w:pStyle w:val="TableParagraph"/>
              <w:spacing w:before="163"/>
              <w:ind w:left="366"/>
              <w:rPr>
                <w:sz w:val="21"/>
              </w:rPr>
            </w:pPr>
            <w:r>
              <w:rPr>
                <w:sz w:val="21"/>
              </w:rPr>
              <w:t>公允价值(元)</w:t>
            </w:r>
          </w:p>
        </w:tc>
        <w:tc>
          <w:tcPr>
            <w:tcW w:w="937" w:type="dxa"/>
          </w:tcPr>
          <w:p>
            <w:pPr>
              <w:pStyle w:val="TableParagraph"/>
              <w:spacing w:line="348" w:lineRule="auto" w:before="91"/>
              <w:ind w:left="160" w:right="134"/>
              <w:jc w:val="both"/>
              <w:rPr>
                <w:sz w:val="21"/>
              </w:rPr>
            </w:pPr>
            <w:r>
              <w:rPr>
                <w:spacing w:val="-6"/>
                <w:sz w:val="21"/>
              </w:rPr>
              <w:t>占基金资产净值比例</w:t>
            </w:r>
          </w:p>
          <w:p>
            <w:pPr>
              <w:pStyle w:val="TableParagraph"/>
              <w:spacing w:line="269" w:lineRule="exact"/>
              <w:ind w:left="160"/>
              <w:rPr>
                <w:sz w:val="21"/>
              </w:rPr>
            </w:pPr>
            <w:r>
              <w:rPr>
                <w:sz w:val="21"/>
              </w:rPr>
              <w:t>（％）</w:t>
            </w:r>
          </w:p>
        </w:tc>
      </w:tr>
      <w:tr>
        <w:trPr>
          <w:trHeight w:val="390" w:hRule="atLeast"/>
        </w:trPr>
        <w:tc>
          <w:tcPr>
            <w:tcW w:w="708" w:type="dxa"/>
          </w:tcPr>
          <w:p>
            <w:pPr>
              <w:pStyle w:val="TableParagraph"/>
              <w:spacing w:before="62"/>
              <w:ind w:left="10"/>
              <w:jc w:val="center"/>
              <w:rPr>
                <w:sz w:val="21"/>
              </w:rPr>
            </w:pPr>
            <w:r>
              <w:rPr>
                <w:sz w:val="21"/>
              </w:rPr>
              <w:t>1</w:t>
            </w:r>
          </w:p>
        </w:tc>
        <w:tc>
          <w:tcPr>
            <w:tcW w:w="1370" w:type="dxa"/>
          </w:tcPr>
          <w:p>
            <w:pPr>
              <w:pStyle w:val="TableParagraph"/>
              <w:spacing w:before="62"/>
              <w:ind w:left="237" w:right="227"/>
              <w:jc w:val="center"/>
              <w:rPr>
                <w:sz w:val="21"/>
              </w:rPr>
            </w:pPr>
            <w:r>
              <w:rPr>
                <w:sz w:val="21"/>
              </w:rPr>
              <w:t>110059</w:t>
            </w:r>
          </w:p>
        </w:tc>
        <w:tc>
          <w:tcPr>
            <w:tcW w:w="1612" w:type="dxa"/>
          </w:tcPr>
          <w:p>
            <w:pPr>
              <w:pStyle w:val="TableParagraph"/>
              <w:spacing w:before="62"/>
              <w:ind w:left="261" w:right="251"/>
              <w:jc w:val="center"/>
              <w:rPr>
                <w:sz w:val="21"/>
              </w:rPr>
            </w:pPr>
            <w:r>
              <w:rPr>
                <w:sz w:val="21"/>
              </w:rPr>
              <w:t>浦发转债</w:t>
            </w:r>
          </w:p>
        </w:tc>
        <w:tc>
          <w:tcPr>
            <w:tcW w:w="1396" w:type="dxa"/>
          </w:tcPr>
          <w:p>
            <w:pPr>
              <w:pStyle w:val="TableParagraph"/>
              <w:spacing w:before="62"/>
              <w:ind w:right="97"/>
              <w:jc w:val="right"/>
              <w:rPr>
                <w:sz w:val="21"/>
              </w:rPr>
            </w:pPr>
            <w:r>
              <w:rPr>
                <w:sz w:val="21"/>
              </w:rPr>
              <w:t>180,680</w:t>
            </w:r>
          </w:p>
        </w:tc>
        <w:tc>
          <w:tcPr>
            <w:tcW w:w="1977" w:type="dxa"/>
          </w:tcPr>
          <w:p>
            <w:pPr>
              <w:pStyle w:val="TableParagraph"/>
              <w:spacing w:before="62"/>
              <w:ind w:right="97"/>
              <w:jc w:val="right"/>
              <w:rPr>
                <w:sz w:val="21"/>
              </w:rPr>
            </w:pPr>
            <w:r>
              <w:rPr>
                <w:sz w:val="21"/>
              </w:rPr>
              <w:t>19,737,483.20</w:t>
            </w:r>
          </w:p>
        </w:tc>
        <w:tc>
          <w:tcPr>
            <w:tcW w:w="937" w:type="dxa"/>
          </w:tcPr>
          <w:p>
            <w:pPr>
              <w:pStyle w:val="TableParagraph"/>
              <w:spacing w:before="62"/>
              <w:ind w:right="96"/>
              <w:jc w:val="right"/>
              <w:rPr>
                <w:sz w:val="21"/>
              </w:rPr>
            </w:pPr>
            <w:r>
              <w:rPr>
                <w:sz w:val="21"/>
              </w:rPr>
              <w:t>5.57</w:t>
            </w:r>
          </w:p>
        </w:tc>
      </w:tr>
      <w:tr>
        <w:trPr>
          <w:trHeight w:val="390" w:hRule="atLeast"/>
        </w:trPr>
        <w:tc>
          <w:tcPr>
            <w:tcW w:w="708" w:type="dxa"/>
          </w:tcPr>
          <w:p>
            <w:pPr>
              <w:pStyle w:val="TableParagraph"/>
              <w:spacing w:before="62"/>
              <w:ind w:left="10"/>
              <w:jc w:val="center"/>
              <w:rPr>
                <w:sz w:val="21"/>
              </w:rPr>
            </w:pPr>
            <w:r>
              <w:rPr>
                <w:sz w:val="21"/>
              </w:rPr>
              <w:t>2</w:t>
            </w:r>
          </w:p>
        </w:tc>
        <w:tc>
          <w:tcPr>
            <w:tcW w:w="1370" w:type="dxa"/>
          </w:tcPr>
          <w:p>
            <w:pPr>
              <w:pStyle w:val="TableParagraph"/>
              <w:spacing w:before="62"/>
              <w:ind w:left="237" w:right="227"/>
              <w:jc w:val="center"/>
              <w:rPr>
                <w:sz w:val="21"/>
              </w:rPr>
            </w:pPr>
            <w:r>
              <w:rPr>
                <w:sz w:val="21"/>
              </w:rPr>
              <w:t>132004</w:t>
            </w:r>
          </w:p>
        </w:tc>
        <w:tc>
          <w:tcPr>
            <w:tcW w:w="1612" w:type="dxa"/>
          </w:tcPr>
          <w:p>
            <w:pPr>
              <w:pStyle w:val="TableParagraph"/>
              <w:spacing w:before="62"/>
              <w:ind w:left="261" w:right="251"/>
              <w:jc w:val="center"/>
              <w:rPr>
                <w:sz w:val="21"/>
              </w:rPr>
            </w:pPr>
            <w:r>
              <w:rPr>
                <w:sz w:val="21"/>
              </w:rPr>
              <w:t>15 国盛 EB</w:t>
            </w:r>
          </w:p>
        </w:tc>
        <w:tc>
          <w:tcPr>
            <w:tcW w:w="1396" w:type="dxa"/>
          </w:tcPr>
          <w:p>
            <w:pPr>
              <w:pStyle w:val="TableParagraph"/>
              <w:spacing w:before="62"/>
              <w:ind w:right="97"/>
              <w:jc w:val="right"/>
              <w:rPr>
                <w:sz w:val="21"/>
              </w:rPr>
            </w:pPr>
            <w:r>
              <w:rPr>
                <w:sz w:val="21"/>
              </w:rPr>
              <w:t>186,000</w:t>
            </w:r>
          </w:p>
        </w:tc>
        <w:tc>
          <w:tcPr>
            <w:tcW w:w="1977" w:type="dxa"/>
          </w:tcPr>
          <w:p>
            <w:pPr>
              <w:pStyle w:val="TableParagraph"/>
              <w:spacing w:before="62"/>
              <w:ind w:right="97"/>
              <w:jc w:val="right"/>
              <w:rPr>
                <w:sz w:val="21"/>
              </w:rPr>
            </w:pPr>
            <w:r>
              <w:rPr>
                <w:sz w:val="21"/>
              </w:rPr>
              <w:t>18,490,260.00</w:t>
            </w:r>
          </w:p>
        </w:tc>
        <w:tc>
          <w:tcPr>
            <w:tcW w:w="937" w:type="dxa"/>
          </w:tcPr>
          <w:p>
            <w:pPr>
              <w:pStyle w:val="TableParagraph"/>
              <w:spacing w:before="62"/>
              <w:ind w:right="96"/>
              <w:jc w:val="right"/>
              <w:rPr>
                <w:sz w:val="21"/>
              </w:rPr>
            </w:pPr>
            <w:r>
              <w:rPr>
                <w:sz w:val="21"/>
              </w:rPr>
              <w:t>5.22</w:t>
            </w:r>
          </w:p>
        </w:tc>
      </w:tr>
      <w:tr>
        <w:trPr>
          <w:trHeight w:val="390" w:hRule="atLeast"/>
        </w:trPr>
        <w:tc>
          <w:tcPr>
            <w:tcW w:w="708" w:type="dxa"/>
          </w:tcPr>
          <w:p>
            <w:pPr>
              <w:pStyle w:val="TableParagraph"/>
              <w:spacing w:before="62"/>
              <w:ind w:left="10"/>
              <w:jc w:val="center"/>
              <w:rPr>
                <w:sz w:val="21"/>
              </w:rPr>
            </w:pPr>
            <w:r>
              <w:rPr>
                <w:sz w:val="21"/>
              </w:rPr>
              <w:t>3</w:t>
            </w:r>
          </w:p>
        </w:tc>
        <w:tc>
          <w:tcPr>
            <w:tcW w:w="1370" w:type="dxa"/>
          </w:tcPr>
          <w:p>
            <w:pPr>
              <w:pStyle w:val="TableParagraph"/>
              <w:spacing w:before="62"/>
              <w:ind w:left="237" w:right="227"/>
              <w:jc w:val="center"/>
              <w:rPr>
                <w:sz w:val="21"/>
              </w:rPr>
            </w:pPr>
            <w:r>
              <w:rPr>
                <w:sz w:val="21"/>
              </w:rPr>
              <w:t>112546</w:t>
            </w:r>
          </w:p>
        </w:tc>
        <w:tc>
          <w:tcPr>
            <w:tcW w:w="1612" w:type="dxa"/>
          </w:tcPr>
          <w:p>
            <w:pPr>
              <w:pStyle w:val="TableParagraph"/>
              <w:spacing w:before="62"/>
              <w:ind w:left="261" w:right="251"/>
              <w:jc w:val="center"/>
              <w:rPr>
                <w:sz w:val="21"/>
              </w:rPr>
            </w:pPr>
            <w:r>
              <w:rPr>
                <w:sz w:val="21"/>
              </w:rPr>
              <w:t>17 万科 01</w:t>
            </w:r>
          </w:p>
        </w:tc>
        <w:tc>
          <w:tcPr>
            <w:tcW w:w="1396" w:type="dxa"/>
          </w:tcPr>
          <w:p>
            <w:pPr>
              <w:pStyle w:val="TableParagraph"/>
              <w:spacing w:before="62"/>
              <w:ind w:right="97"/>
              <w:jc w:val="right"/>
              <w:rPr>
                <w:sz w:val="21"/>
              </w:rPr>
            </w:pPr>
            <w:r>
              <w:rPr>
                <w:sz w:val="21"/>
              </w:rPr>
              <w:t>150,000</w:t>
            </w:r>
          </w:p>
        </w:tc>
        <w:tc>
          <w:tcPr>
            <w:tcW w:w="1977" w:type="dxa"/>
          </w:tcPr>
          <w:p>
            <w:pPr>
              <w:pStyle w:val="TableParagraph"/>
              <w:spacing w:before="62"/>
              <w:ind w:right="97"/>
              <w:jc w:val="right"/>
              <w:rPr>
                <w:sz w:val="21"/>
              </w:rPr>
            </w:pPr>
            <w:r>
              <w:rPr>
                <w:sz w:val="21"/>
              </w:rPr>
              <w:t>15,121,500.00</w:t>
            </w:r>
          </w:p>
        </w:tc>
        <w:tc>
          <w:tcPr>
            <w:tcW w:w="937" w:type="dxa"/>
          </w:tcPr>
          <w:p>
            <w:pPr>
              <w:pStyle w:val="TableParagraph"/>
              <w:spacing w:before="62"/>
              <w:ind w:right="96"/>
              <w:jc w:val="right"/>
              <w:rPr>
                <w:sz w:val="21"/>
              </w:rPr>
            </w:pPr>
            <w:r>
              <w:rPr>
                <w:sz w:val="21"/>
              </w:rPr>
              <w:t>4.27</w:t>
            </w:r>
          </w:p>
        </w:tc>
      </w:tr>
      <w:tr>
        <w:trPr>
          <w:trHeight w:val="390" w:hRule="atLeast"/>
        </w:trPr>
        <w:tc>
          <w:tcPr>
            <w:tcW w:w="708" w:type="dxa"/>
          </w:tcPr>
          <w:p>
            <w:pPr>
              <w:pStyle w:val="TableParagraph"/>
              <w:spacing w:before="62"/>
              <w:ind w:left="10"/>
              <w:jc w:val="center"/>
              <w:rPr>
                <w:sz w:val="21"/>
              </w:rPr>
            </w:pPr>
            <w:r>
              <w:rPr>
                <w:sz w:val="21"/>
              </w:rPr>
              <w:t>4</w:t>
            </w:r>
          </w:p>
        </w:tc>
        <w:tc>
          <w:tcPr>
            <w:tcW w:w="1370" w:type="dxa"/>
          </w:tcPr>
          <w:p>
            <w:pPr>
              <w:pStyle w:val="TableParagraph"/>
              <w:spacing w:before="62"/>
              <w:ind w:left="237" w:right="227"/>
              <w:jc w:val="center"/>
              <w:rPr>
                <w:sz w:val="21"/>
              </w:rPr>
            </w:pPr>
            <w:r>
              <w:rPr>
                <w:sz w:val="21"/>
              </w:rPr>
              <w:t>018007</w:t>
            </w:r>
          </w:p>
        </w:tc>
        <w:tc>
          <w:tcPr>
            <w:tcW w:w="1612" w:type="dxa"/>
          </w:tcPr>
          <w:p>
            <w:pPr>
              <w:pStyle w:val="TableParagraph"/>
              <w:spacing w:before="62"/>
              <w:ind w:left="260" w:right="251"/>
              <w:jc w:val="center"/>
              <w:rPr>
                <w:sz w:val="21"/>
              </w:rPr>
            </w:pPr>
            <w:r>
              <w:rPr>
                <w:sz w:val="21"/>
              </w:rPr>
              <w:t>国开 1801</w:t>
            </w:r>
          </w:p>
        </w:tc>
        <w:tc>
          <w:tcPr>
            <w:tcW w:w="1396" w:type="dxa"/>
          </w:tcPr>
          <w:p>
            <w:pPr>
              <w:pStyle w:val="TableParagraph"/>
              <w:spacing w:before="62"/>
              <w:ind w:right="97"/>
              <w:jc w:val="right"/>
              <w:rPr>
                <w:sz w:val="21"/>
              </w:rPr>
            </w:pPr>
            <w:r>
              <w:rPr>
                <w:sz w:val="21"/>
              </w:rPr>
              <w:t>150,000</w:t>
            </w:r>
          </w:p>
        </w:tc>
        <w:tc>
          <w:tcPr>
            <w:tcW w:w="1977" w:type="dxa"/>
          </w:tcPr>
          <w:p>
            <w:pPr>
              <w:pStyle w:val="TableParagraph"/>
              <w:spacing w:before="62"/>
              <w:ind w:right="97"/>
              <w:jc w:val="right"/>
              <w:rPr>
                <w:sz w:val="21"/>
              </w:rPr>
            </w:pPr>
            <w:r>
              <w:rPr>
                <w:sz w:val="21"/>
              </w:rPr>
              <w:t>15,112,500.00</w:t>
            </w:r>
          </w:p>
        </w:tc>
        <w:tc>
          <w:tcPr>
            <w:tcW w:w="937" w:type="dxa"/>
          </w:tcPr>
          <w:p>
            <w:pPr>
              <w:pStyle w:val="TableParagraph"/>
              <w:spacing w:before="62"/>
              <w:ind w:right="96"/>
              <w:jc w:val="right"/>
              <w:rPr>
                <w:sz w:val="21"/>
              </w:rPr>
            </w:pPr>
            <w:r>
              <w:rPr>
                <w:sz w:val="21"/>
              </w:rPr>
              <w:t>4.27</w:t>
            </w:r>
          </w:p>
        </w:tc>
      </w:tr>
      <w:tr>
        <w:trPr>
          <w:trHeight w:val="390" w:hRule="atLeast"/>
        </w:trPr>
        <w:tc>
          <w:tcPr>
            <w:tcW w:w="708" w:type="dxa"/>
          </w:tcPr>
          <w:p>
            <w:pPr>
              <w:pStyle w:val="TableParagraph"/>
              <w:spacing w:before="62"/>
              <w:ind w:left="10"/>
              <w:jc w:val="center"/>
              <w:rPr>
                <w:sz w:val="21"/>
              </w:rPr>
            </w:pPr>
            <w:r>
              <w:rPr>
                <w:sz w:val="21"/>
              </w:rPr>
              <w:t>5</w:t>
            </w:r>
          </w:p>
        </w:tc>
        <w:tc>
          <w:tcPr>
            <w:tcW w:w="1370" w:type="dxa"/>
          </w:tcPr>
          <w:p>
            <w:pPr>
              <w:pStyle w:val="TableParagraph"/>
              <w:spacing w:before="62"/>
              <w:ind w:left="237" w:right="227"/>
              <w:jc w:val="center"/>
              <w:rPr>
                <w:sz w:val="21"/>
              </w:rPr>
            </w:pPr>
            <w:r>
              <w:rPr>
                <w:sz w:val="21"/>
              </w:rPr>
              <w:t>136977</w:t>
            </w:r>
          </w:p>
        </w:tc>
        <w:tc>
          <w:tcPr>
            <w:tcW w:w="1612" w:type="dxa"/>
          </w:tcPr>
          <w:p>
            <w:pPr>
              <w:pStyle w:val="TableParagraph"/>
              <w:spacing w:before="62"/>
              <w:ind w:left="261" w:right="251"/>
              <w:jc w:val="center"/>
              <w:rPr>
                <w:sz w:val="21"/>
              </w:rPr>
            </w:pPr>
            <w:r>
              <w:rPr>
                <w:sz w:val="21"/>
              </w:rPr>
              <w:t>17 中材 02</w:t>
            </w:r>
          </w:p>
        </w:tc>
        <w:tc>
          <w:tcPr>
            <w:tcW w:w="1396" w:type="dxa"/>
          </w:tcPr>
          <w:p>
            <w:pPr>
              <w:pStyle w:val="TableParagraph"/>
              <w:spacing w:before="62"/>
              <w:ind w:right="97"/>
              <w:jc w:val="right"/>
              <w:rPr>
                <w:sz w:val="21"/>
              </w:rPr>
            </w:pPr>
            <w:r>
              <w:rPr>
                <w:sz w:val="21"/>
              </w:rPr>
              <w:t>140,000</w:t>
            </w:r>
          </w:p>
        </w:tc>
        <w:tc>
          <w:tcPr>
            <w:tcW w:w="1977" w:type="dxa"/>
          </w:tcPr>
          <w:p>
            <w:pPr>
              <w:pStyle w:val="TableParagraph"/>
              <w:spacing w:before="62"/>
              <w:ind w:right="97"/>
              <w:jc w:val="right"/>
              <w:rPr>
                <w:sz w:val="21"/>
              </w:rPr>
            </w:pPr>
            <w:r>
              <w:rPr>
                <w:sz w:val="21"/>
              </w:rPr>
              <w:t>14,058,800.00</w:t>
            </w:r>
          </w:p>
        </w:tc>
        <w:tc>
          <w:tcPr>
            <w:tcW w:w="937" w:type="dxa"/>
          </w:tcPr>
          <w:p>
            <w:pPr>
              <w:pStyle w:val="TableParagraph"/>
              <w:spacing w:before="62"/>
              <w:ind w:right="96"/>
              <w:jc w:val="right"/>
              <w:rPr>
                <w:sz w:val="21"/>
              </w:rPr>
            </w:pPr>
            <w:r>
              <w:rPr>
                <w:sz w:val="21"/>
              </w:rPr>
              <w:t>3.97</w:t>
            </w:r>
          </w:p>
        </w:tc>
      </w:tr>
    </w:tbl>
    <w:p>
      <w:pPr>
        <w:pStyle w:val="BodyText"/>
        <w:spacing w:line="364" w:lineRule="auto" w:before="3"/>
        <w:ind w:right="1430"/>
      </w:pPr>
      <w:r>
        <w:rPr/>
        <w:t>6、报告期末按公允价值占基金资产净值比例大小排序的前十名资产支持证券投资明细本基金本报告期末未持有资产支持证券。</w:t>
      </w:r>
    </w:p>
    <w:p>
      <w:pPr>
        <w:pStyle w:val="BodyText"/>
        <w:spacing w:line="364" w:lineRule="auto"/>
        <w:ind w:right="2060"/>
      </w:pPr>
      <w:r>
        <w:rPr/>
        <w:t>7、报告期末按公允价值占基金资产净值比例大小排序的前五名贵金属投资明细本基金本报告期末未持有贵金属。</w:t>
      </w:r>
    </w:p>
    <w:p>
      <w:pPr>
        <w:pStyle w:val="BodyText"/>
        <w:spacing w:line="364" w:lineRule="auto"/>
        <w:ind w:right="2270"/>
      </w:pPr>
      <w:r>
        <w:rPr/>
        <w:t>8、报告期末按公允价值占基金资产净值比例大小排序的前五名权证投资明细本基金本报告期末未持有权证。</w:t>
      </w:r>
    </w:p>
    <w:p>
      <w:pPr>
        <w:pStyle w:val="BodyText"/>
        <w:spacing w:line="364" w:lineRule="auto"/>
        <w:ind w:right="4790"/>
      </w:pPr>
      <w:r>
        <w:rPr/>
        <w:t>9</w:t>
      </w:r>
      <w:r>
        <w:rPr>
          <w:spacing w:val="-1"/>
        </w:rPr>
        <w:t>、报告期末本基金投资的股指期货交易情况说明</w:t>
      </w:r>
      <w:r>
        <w:rPr/>
        <w:t>本基金本报告期末未投资股指期货。</w:t>
      </w:r>
    </w:p>
    <w:p>
      <w:pPr>
        <w:pStyle w:val="BodyText"/>
        <w:spacing w:line="364" w:lineRule="auto"/>
        <w:ind w:right="4685"/>
      </w:pPr>
      <w:r>
        <w:rPr/>
        <w:t>10</w:t>
      </w:r>
      <w:r>
        <w:rPr>
          <w:spacing w:val="-1"/>
        </w:rPr>
        <w:t>、报告期末本基金投资的国债期货交易情况说明</w:t>
      </w:r>
      <w:r>
        <w:rPr/>
        <w:t>本基金本报告期末未投资国债期货。</w:t>
      </w:r>
    </w:p>
    <w:p>
      <w:pPr>
        <w:spacing w:after="0" w:line="364" w:lineRule="auto"/>
        <w:sectPr>
          <w:pgSz w:w="11910" w:h="16840"/>
          <w:pgMar w:header="0" w:footer="664" w:top="1380" w:bottom="940" w:left="1580" w:right="380"/>
        </w:sectPr>
      </w:pPr>
    </w:p>
    <w:p>
      <w:pPr>
        <w:pStyle w:val="BodyText"/>
        <w:spacing w:before="45"/>
      </w:pPr>
      <w:r>
        <w:rPr/>
        <w:t>11、投资组合报告附注</w:t>
      </w:r>
    </w:p>
    <w:p>
      <w:pPr>
        <w:pStyle w:val="ListParagraph"/>
        <w:numPr>
          <w:ilvl w:val="0"/>
          <w:numId w:val="28"/>
        </w:numPr>
        <w:tabs>
          <w:tab w:pos="1167" w:val="left" w:leader="none"/>
        </w:tabs>
        <w:spacing w:line="364" w:lineRule="auto" w:before="139" w:after="0"/>
        <w:ind w:left="220" w:right="1417" w:firstLine="420"/>
        <w:jc w:val="both"/>
        <w:rPr>
          <w:sz w:val="21"/>
        </w:rPr>
      </w:pPr>
      <w:r>
        <w:rPr>
          <w:sz w:val="21"/>
        </w:rPr>
        <w:t>浦发转债（代码：110059）是易方达双债增强债券型证券投资基金的前十大持仓</w:t>
      </w:r>
      <w:r>
        <w:rPr>
          <w:spacing w:val="-8"/>
          <w:sz w:val="21"/>
        </w:rPr>
        <w:t>证券。</w:t>
      </w:r>
      <w:r>
        <w:rPr>
          <w:sz w:val="21"/>
        </w:rPr>
        <w:t>2019</w:t>
      </w:r>
      <w:r>
        <w:rPr>
          <w:spacing w:val="-36"/>
          <w:sz w:val="21"/>
        </w:rPr>
        <w:t> 年 </w:t>
      </w:r>
      <w:r>
        <w:rPr>
          <w:sz w:val="21"/>
        </w:rPr>
        <w:t>6</w:t>
      </w:r>
      <w:r>
        <w:rPr>
          <w:spacing w:val="-36"/>
          <w:sz w:val="21"/>
        </w:rPr>
        <w:t> 月 </w:t>
      </w:r>
      <w:r>
        <w:rPr>
          <w:sz w:val="21"/>
        </w:rPr>
        <w:t>24</w:t>
      </w:r>
      <w:r>
        <w:rPr>
          <w:spacing w:val="-10"/>
          <w:sz w:val="21"/>
        </w:rPr>
        <w:t> 日，中国银行保险监督管理委员会对上海浦东发展银行股份有限公司</w:t>
      </w:r>
      <w:r>
        <w:rPr>
          <w:spacing w:val="-4"/>
          <w:sz w:val="21"/>
        </w:rPr>
        <w:t>关于以下违法违规事实：</w:t>
      </w:r>
      <w:r>
        <w:rPr>
          <w:spacing w:val="-12"/>
          <w:sz w:val="21"/>
        </w:rPr>
        <w:t>（</w:t>
      </w:r>
      <w:r>
        <w:rPr>
          <w:sz w:val="21"/>
        </w:rPr>
        <w:t>一）</w:t>
      </w:r>
      <w:r>
        <w:rPr>
          <w:spacing w:val="-3"/>
          <w:sz w:val="21"/>
        </w:rPr>
        <w:t>对成都分行授信业务及整改情况严重失察；</w:t>
      </w:r>
      <w:r>
        <w:rPr>
          <w:spacing w:val="-12"/>
          <w:sz w:val="21"/>
        </w:rPr>
        <w:t>（</w:t>
      </w:r>
      <w:r>
        <w:rPr>
          <w:sz w:val="21"/>
        </w:rPr>
        <w:t>二）</w:t>
      </w:r>
      <w:r>
        <w:rPr>
          <w:spacing w:val="-4"/>
          <w:sz w:val="21"/>
        </w:rPr>
        <w:t>重大审计</w:t>
      </w:r>
      <w:r>
        <w:rPr>
          <w:sz w:val="21"/>
        </w:rPr>
        <w:t>发现未向监管部门报告；（三）</w:t>
      </w:r>
      <w:r>
        <w:rPr>
          <w:spacing w:val="-4"/>
          <w:sz w:val="21"/>
        </w:rPr>
        <w:t>轮岗制度执行不力，处以罚款 </w:t>
      </w:r>
      <w:r>
        <w:rPr>
          <w:sz w:val="21"/>
        </w:rPr>
        <w:t>130</w:t>
      </w:r>
      <w:r>
        <w:rPr>
          <w:spacing w:val="-8"/>
          <w:sz w:val="21"/>
        </w:rPr>
        <w:t> 万元人民币。</w:t>
      </w:r>
      <w:r>
        <w:rPr>
          <w:sz w:val="21"/>
        </w:rPr>
        <w:t>2019</w:t>
      </w:r>
      <w:r>
        <w:rPr>
          <w:spacing w:val="-31"/>
          <w:sz w:val="21"/>
        </w:rPr>
        <w:t> 年 </w:t>
      </w:r>
      <w:r>
        <w:rPr>
          <w:sz w:val="21"/>
        </w:rPr>
        <w:t>7 </w:t>
      </w:r>
      <w:r>
        <w:rPr>
          <w:spacing w:val="-27"/>
          <w:sz w:val="21"/>
        </w:rPr>
        <w:t>月 </w:t>
      </w:r>
      <w:r>
        <w:rPr>
          <w:sz w:val="21"/>
        </w:rPr>
        <w:t>8</w:t>
      </w:r>
      <w:r>
        <w:rPr>
          <w:spacing w:val="-15"/>
          <w:sz w:val="21"/>
        </w:rPr>
        <w:t> 日，中国银行保险监督管理委员会上海监管局对上海浦东发展银行股份有限公司信用卡</w:t>
      </w:r>
      <w:r>
        <w:rPr>
          <w:spacing w:val="-3"/>
          <w:sz w:val="21"/>
        </w:rPr>
        <w:t>中心的如下违法违规行为作出“责令改正，并处罚款 </w:t>
      </w:r>
      <w:r>
        <w:rPr>
          <w:sz w:val="21"/>
        </w:rPr>
        <w:t>30</w:t>
      </w:r>
      <w:r>
        <w:rPr>
          <w:spacing w:val="-10"/>
          <w:sz w:val="21"/>
        </w:rPr>
        <w:t> 万元”的行政处罚决定：</w:t>
      </w:r>
      <w:r>
        <w:rPr>
          <w:spacing w:val="-5"/>
          <w:sz w:val="21"/>
        </w:rPr>
        <w:t>2015</w:t>
      </w:r>
      <w:r>
        <w:rPr>
          <w:spacing w:val="-23"/>
          <w:sz w:val="21"/>
        </w:rPr>
        <w:t> 年至</w:t>
      </w:r>
      <w:r>
        <w:rPr>
          <w:sz w:val="21"/>
        </w:rPr>
        <w:t>2018</w:t>
      </w:r>
      <w:r>
        <w:rPr>
          <w:spacing w:val="-36"/>
          <w:sz w:val="21"/>
        </w:rPr>
        <w:t> 年 </w:t>
      </w:r>
      <w:r>
        <w:rPr>
          <w:sz w:val="21"/>
        </w:rPr>
        <w:t>6</w:t>
      </w:r>
      <w:r>
        <w:rPr>
          <w:spacing w:val="-15"/>
          <w:sz w:val="21"/>
        </w:rPr>
        <w:t> 月，该中心在为部分客户办理信用卡业务时，对申请人收入核定严重不审慎。</w:t>
      </w:r>
      <w:r>
        <w:rPr>
          <w:spacing w:val="-4"/>
          <w:sz w:val="21"/>
        </w:rPr>
        <w:t>2019 </w:t>
      </w:r>
      <w:r>
        <w:rPr>
          <w:spacing w:val="-27"/>
          <w:sz w:val="21"/>
        </w:rPr>
        <w:t>年 </w:t>
      </w:r>
      <w:r>
        <w:rPr>
          <w:sz w:val="21"/>
        </w:rPr>
        <w:t>12</w:t>
      </w:r>
      <w:r>
        <w:rPr>
          <w:spacing w:val="-36"/>
          <w:sz w:val="21"/>
        </w:rPr>
        <w:t> 月 </w:t>
      </w:r>
      <w:r>
        <w:rPr>
          <w:sz w:val="21"/>
        </w:rPr>
        <w:t>3</w:t>
      </w:r>
      <w:r>
        <w:rPr>
          <w:spacing w:val="-8"/>
          <w:sz w:val="21"/>
        </w:rPr>
        <w:t> 日中国银行保险监督管理委员会上海监管局对上海浦东发展银行股份有限公司信</w:t>
      </w:r>
      <w:r>
        <w:rPr>
          <w:spacing w:val="-17"/>
          <w:sz w:val="21"/>
        </w:rPr>
        <w:t>用卡中心 </w:t>
      </w:r>
      <w:r>
        <w:rPr>
          <w:sz w:val="21"/>
        </w:rPr>
        <w:t>2019</w:t>
      </w:r>
      <w:r>
        <w:rPr>
          <w:spacing w:val="-36"/>
          <w:sz w:val="21"/>
        </w:rPr>
        <w:t> 年 </w:t>
      </w:r>
      <w:r>
        <w:rPr>
          <w:sz w:val="21"/>
        </w:rPr>
        <w:t>1</w:t>
      </w:r>
      <w:r>
        <w:rPr>
          <w:spacing w:val="-15"/>
          <w:sz w:val="21"/>
        </w:rPr>
        <w:t> 月信用卡催收外包管理严重违反审慎经营规则的违法违规事实，作出“责</w:t>
      </w:r>
      <w:r>
        <w:rPr>
          <w:spacing w:val="-6"/>
          <w:sz w:val="21"/>
        </w:rPr>
        <w:t>令改正，并处罚款 </w:t>
      </w:r>
      <w:r>
        <w:rPr>
          <w:sz w:val="21"/>
        </w:rPr>
        <w:t>50</w:t>
      </w:r>
      <w:r>
        <w:rPr>
          <w:spacing w:val="-8"/>
          <w:sz w:val="21"/>
        </w:rPr>
        <w:t> 万元”的行政处罚决定。</w:t>
      </w:r>
    </w:p>
    <w:p>
      <w:pPr>
        <w:pStyle w:val="BodyText"/>
        <w:spacing w:line="264" w:lineRule="exact"/>
        <w:jc w:val="both"/>
      </w:pPr>
      <w:r>
        <w:rPr/>
        <w:t>17 万科 01（代码：112546）是易方达双债增强债券型证券投资基金的前十大持仓证券。</w:t>
      </w:r>
    </w:p>
    <w:p>
      <w:pPr>
        <w:pStyle w:val="BodyText"/>
        <w:spacing w:line="364" w:lineRule="auto" w:before="140"/>
        <w:ind w:left="220" w:right="1418"/>
        <w:jc w:val="both"/>
      </w:pPr>
      <w:r>
        <w:rPr/>
        <w:t>2019</w:t>
      </w:r>
      <w:r>
        <w:rPr>
          <w:spacing w:val="-36"/>
        </w:rPr>
        <w:t> 年 </w:t>
      </w:r>
      <w:r>
        <w:rPr/>
        <w:t>6</w:t>
      </w:r>
      <w:r>
        <w:rPr>
          <w:spacing w:val="-36"/>
        </w:rPr>
        <w:t> 月 </w:t>
      </w:r>
      <w:r>
        <w:rPr/>
        <w:t>26</w:t>
      </w:r>
      <w:r>
        <w:rPr>
          <w:spacing w:val="-12"/>
        </w:rPr>
        <w:t> 日，国家外汇管理局深圳市分局对万科企业股份有限公司违反外汇登记管理</w:t>
      </w:r>
      <w:r>
        <w:rPr>
          <w:spacing w:val="-4"/>
        </w:rPr>
        <w:t>规定的行为，作出警告并罚款 </w:t>
      </w:r>
      <w:r>
        <w:rPr/>
        <w:t>5</w:t>
      </w:r>
      <w:r>
        <w:rPr>
          <w:spacing w:val="-8"/>
        </w:rPr>
        <w:t> 万元的处罚决定。</w:t>
      </w:r>
    </w:p>
    <w:p>
      <w:pPr>
        <w:pStyle w:val="BodyText"/>
        <w:spacing w:line="364" w:lineRule="auto"/>
        <w:ind w:left="220" w:right="1208" w:firstLine="420"/>
      </w:pPr>
      <w:r>
        <w:rPr>
          <w:spacing w:val="3"/>
        </w:rPr>
        <w:t>光大转债（</w:t>
      </w:r>
      <w:r>
        <w:rPr>
          <w:spacing w:val="1"/>
        </w:rPr>
        <w:t>代码：</w:t>
      </w:r>
      <w:r>
        <w:rPr/>
        <w:t>113011）</w:t>
      </w:r>
      <w:r>
        <w:rPr>
          <w:spacing w:val="2"/>
        </w:rPr>
        <w:t>是易方达双债增强债券型证券投资基金的前十大持仓证券。2019</w:t>
      </w:r>
      <w:r>
        <w:rPr>
          <w:spacing w:val="-27"/>
        </w:rPr>
        <w:t> 年 </w:t>
      </w:r>
      <w:r>
        <w:rPr/>
        <w:t>12</w:t>
      </w:r>
      <w:r>
        <w:rPr>
          <w:spacing w:val="-26"/>
        </w:rPr>
        <w:t> 月 </w:t>
      </w:r>
      <w:r>
        <w:rPr/>
        <w:t>27</w:t>
      </w:r>
      <w:r>
        <w:rPr>
          <w:spacing w:val="-6"/>
        </w:rPr>
        <w:t> 日，中国银行保险监督管理委员会对中国光大银行股份有限公司的如下违法</w:t>
      </w:r>
      <w:r>
        <w:rPr>
          <w:spacing w:val="-11"/>
        </w:rPr>
        <w:t>违规行为作出“罚款 </w:t>
      </w:r>
      <w:r>
        <w:rPr/>
        <w:t>180</w:t>
      </w:r>
      <w:r>
        <w:rPr>
          <w:spacing w:val="-10"/>
        </w:rPr>
        <w:t> 万元”的行政处罚决定：</w:t>
      </w:r>
      <w:r>
        <w:rPr>
          <w:spacing w:val="-12"/>
        </w:rPr>
        <w:t>1</w:t>
      </w:r>
      <w:r>
        <w:rPr>
          <w:spacing w:val="-4"/>
        </w:rPr>
        <w:t>、授信审批不审慎；</w:t>
      </w:r>
      <w:r>
        <w:rPr>
          <w:spacing w:val="-12"/>
        </w:rPr>
        <w:t>2</w:t>
      </w:r>
      <w:r>
        <w:rPr/>
        <w:t>、为还款来源不清晰的项目办理业务；3、总行对分支机构管控不力承担管理责任。</w:t>
      </w:r>
    </w:p>
    <w:p>
      <w:pPr>
        <w:pStyle w:val="BodyText"/>
        <w:spacing w:line="364" w:lineRule="auto"/>
        <w:ind w:right="1313"/>
      </w:pPr>
      <w:r>
        <w:rPr>
          <w:spacing w:val="-5"/>
        </w:rPr>
        <w:t>本基金投资浦发转债、</w:t>
      </w:r>
      <w:r>
        <w:rPr/>
        <w:t>17</w:t>
      </w:r>
      <w:r>
        <w:rPr>
          <w:spacing w:val="-27"/>
        </w:rPr>
        <w:t> 万科 </w:t>
      </w:r>
      <w:r>
        <w:rPr/>
        <w:t>01</w:t>
      </w:r>
      <w:r>
        <w:rPr>
          <w:spacing w:val="-8"/>
        </w:rPr>
        <w:t>、光大转债的投资决策程序符合公司投资制度的规定。</w:t>
      </w:r>
      <w:r>
        <w:rPr/>
        <w:t>除浦发转债、17</w:t>
      </w:r>
      <w:r>
        <w:rPr>
          <w:spacing w:val="-27"/>
        </w:rPr>
        <w:t> 万科 </w:t>
      </w:r>
      <w:r>
        <w:rPr/>
        <w:t>01、光大转债外，本基金投资的前十名证券的发行主体本期没有</w:t>
      </w:r>
    </w:p>
    <w:p>
      <w:pPr>
        <w:pStyle w:val="BodyText"/>
        <w:spacing w:line="268" w:lineRule="exact"/>
        <w:ind w:left="220"/>
      </w:pPr>
      <w:r>
        <w:rPr/>
        <w:t>出现被监管部门立案调查，或在报告编制日前一年内受到公开谴责、处罚的情形。</w:t>
      </w:r>
    </w:p>
    <w:p>
      <w:pPr>
        <w:pStyle w:val="ListParagraph"/>
        <w:numPr>
          <w:ilvl w:val="0"/>
          <w:numId w:val="28"/>
        </w:numPr>
        <w:tabs>
          <w:tab w:pos="1166" w:val="left" w:leader="none"/>
        </w:tabs>
        <w:spacing w:line="240" w:lineRule="auto" w:before="136" w:after="0"/>
        <w:ind w:left="1166" w:right="0" w:hanging="526"/>
        <w:jc w:val="left"/>
        <w:rPr>
          <w:sz w:val="21"/>
        </w:rPr>
      </w:pPr>
      <w:r>
        <w:rPr>
          <w:sz w:val="21"/>
        </w:rPr>
        <w:t>本基金投资的前十名股票没有超出基金合同规定的备选股票库。</w:t>
      </w:r>
    </w:p>
    <w:p>
      <w:pPr>
        <w:pStyle w:val="ListParagraph"/>
        <w:numPr>
          <w:ilvl w:val="0"/>
          <w:numId w:val="28"/>
        </w:numPr>
        <w:tabs>
          <w:tab w:pos="1166" w:val="left" w:leader="none"/>
        </w:tabs>
        <w:spacing w:line="240" w:lineRule="auto" w:before="140" w:after="0"/>
        <w:ind w:left="1166" w:right="0" w:hanging="526"/>
        <w:jc w:val="left"/>
        <w:rPr>
          <w:sz w:val="21"/>
        </w:rPr>
      </w:pPr>
      <w:r>
        <w:rPr>
          <w:sz w:val="21"/>
        </w:rPr>
        <w:t>其他资产构成</w:t>
      </w:r>
    </w:p>
    <w:p>
      <w:pPr>
        <w:pStyle w:val="BodyText"/>
        <w:spacing w:before="8"/>
        <w:ind w:left="0"/>
        <w:rPr>
          <w:sz w:val="1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8"/>
        <w:gridCol w:w="2648"/>
        <w:gridCol w:w="2704"/>
      </w:tblGrid>
      <w:tr>
        <w:trPr>
          <w:trHeight w:val="419" w:hRule="atLeast"/>
        </w:trPr>
        <w:tc>
          <w:tcPr>
            <w:tcW w:w="2648" w:type="dxa"/>
          </w:tcPr>
          <w:p>
            <w:pPr>
              <w:pStyle w:val="TableParagraph"/>
              <w:spacing w:before="91"/>
              <w:ind w:left="1102" w:right="1075"/>
              <w:jc w:val="center"/>
              <w:rPr>
                <w:sz w:val="21"/>
              </w:rPr>
            </w:pPr>
            <w:r>
              <w:rPr>
                <w:sz w:val="21"/>
              </w:rPr>
              <w:t>序号</w:t>
            </w:r>
          </w:p>
        </w:tc>
        <w:tc>
          <w:tcPr>
            <w:tcW w:w="2648" w:type="dxa"/>
          </w:tcPr>
          <w:p>
            <w:pPr>
              <w:pStyle w:val="TableParagraph"/>
              <w:spacing w:before="91"/>
              <w:ind w:left="1101" w:right="1075"/>
              <w:jc w:val="center"/>
              <w:rPr>
                <w:sz w:val="21"/>
              </w:rPr>
            </w:pPr>
            <w:r>
              <w:rPr>
                <w:sz w:val="21"/>
              </w:rPr>
              <w:t>名称</w:t>
            </w:r>
          </w:p>
        </w:tc>
        <w:tc>
          <w:tcPr>
            <w:tcW w:w="2704" w:type="dxa"/>
          </w:tcPr>
          <w:p>
            <w:pPr>
              <w:pStyle w:val="TableParagraph"/>
              <w:spacing w:before="91"/>
              <w:ind w:left="920" w:right="894"/>
              <w:jc w:val="center"/>
              <w:rPr>
                <w:sz w:val="21"/>
              </w:rPr>
            </w:pPr>
            <w:r>
              <w:rPr>
                <w:sz w:val="21"/>
              </w:rPr>
              <w:t>金额(元)</w:t>
            </w:r>
          </w:p>
        </w:tc>
      </w:tr>
      <w:tr>
        <w:trPr>
          <w:trHeight w:val="419" w:hRule="atLeast"/>
        </w:trPr>
        <w:tc>
          <w:tcPr>
            <w:tcW w:w="2648" w:type="dxa"/>
          </w:tcPr>
          <w:p>
            <w:pPr>
              <w:pStyle w:val="TableParagraph"/>
              <w:spacing w:before="91"/>
              <w:ind w:left="24"/>
              <w:jc w:val="center"/>
              <w:rPr>
                <w:sz w:val="21"/>
              </w:rPr>
            </w:pPr>
            <w:r>
              <w:rPr>
                <w:sz w:val="21"/>
              </w:rPr>
              <w:t>1</w:t>
            </w:r>
          </w:p>
        </w:tc>
        <w:tc>
          <w:tcPr>
            <w:tcW w:w="2648" w:type="dxa"/>
          </w:tcPr>
          <w:p>
            <w:pPr>
              <w:pStyle w:val="TableParagraph"/>
              <w:spacing w:before="91"/>
              <w:ind w:left="122"/>
              <w:rPr>
                <w:sz w:val="21"/>
              </w:rPr>
            </w:pPr>
            <w:r>
              <w:rPr>
                <w:sz w:val="21"/>
              </w:rPr>
              <w:t>存出保证金</w:t>
            </w:r>
          </w:p>
        </w:tc>
        <w:tc>
          <w:tcPr>
            <w:tcW w:w="2704" w:type="dxa"/>
          </w:tcPr>
          <w:p>
            <w:pPr>
              <w:pStyle w:val="TableParagraph"/>
              <w:spacing w:before="91"/>
              <w:ind w:right="96"/>
              <w:jc w:val="right"/>
              <w:rPr>
                <w:sz w:val="21"/>
              </w:rPr>
            </w:pPr>
            <w:r>
              <w:rPr>
                <w:sz w:val="21"/>
              </w:rPr>
              <w:t>13,441.87</w:t>
            </w:r>
          </w:p>
        </w:tc>
      </w:tr>
      <w:tr>
        <w:trPr>
          <w:trHeight w:val="419" w:hRule="atLeast"/>
        </w:trPr>
        <w:tc>
          <w:tcPr>
            <w:tcW w:w="2648" w:type="dxa"/>
          </w:tcPr>
          <w:p>
            <w:pPr>
              <w:pStyle w:val="TableParagraph"/>
              <w:spacing w:before="91"/>
              <w:ind w:left="24"/>
              <w:jc w:val="center"/>
              <w:rPr>
                <w:sz w:val="21"/>
              </w:rPr>
            </w:pPr>
            <w:r>
              <w:rPr>
                <w:sz w:val="21"/>
              </w:rPr>
              <w:t>2</w:t>
            </w:r>
          </w:p>
        </w:tc>
        <w:tc>
          <w:tcPr>
            <w:tcW w:w="2648" w:type="dxa"/>
          </w:tcPr>
          <w:p>
            <w:pPr>
              <w:pStyle w:val="TableParagraph"/>
              <w:spacing w:before="91"/>
              <w:ind w:left="122"/>
              <w:rPr>
                <w:sz w:val="21"/>
              </w:rPr>
            </w:pPr>
            <w:r>
              <w:rPr>
                <w:sz w:val="21"/>
              </w:rPr>
              <w:t>应收证券清算款</w:t>
            </w:r>
          </w:p>
        </w:tc>
        <w:tc>
          <w:tcPr>
            <w:tcW w:w="2704" w:type="dxa"/>
          </w:tcPr>
          <w:p>
            <w:pPr>
              <w:pStyle w:val="TableParagraph"/>
              <w:spacing w:before="91"/>
              <w:ind w:right="96"/>
              <w:jc w:val="right"/>
              <w:rPr>
                <w:sz w:val="21"/>
              </w:rPr>
            </w:pPr>
            <w:r>
              <w:rPr>
                <w:sz w:val="21"/>
              </w:rPr>
              <w:t>748,498.12</w:t>
            </w:r>
          </w:p>
        </w:tc>
      </w:tr>
      <w:tr>
        <w:trPr>
          <w:trHeight w:val="418" w:hRule="atLeast"/>
        </w:trPr>
        <w:tc>
          <w:tcPr>
            <w:tcW w:w="2648" w:type="dxa"/>
          </w:tcPr>
          <w:p>
            <w:pPr>
              <w:pStyle w:val="TableParagraph"/>
              <w:spacing w:before="91"/>
              <w:ind w:left="24"/>
              <w:jc w:val="center"/>
              <w:rPr>
                <w:sz w:val="21"/>
              </w:rPr>
            </w:pPr>
            <w:r>
              <w:rPr>
                <w:sz w:val="21"/>
              </w:rPr>
              <w:t>3</w:t>
            </w:r>
          </w:p>
        </w:tc>
        <w:tc>
          <w:tcPr>
            <w:tcW w:w="2648" w:type="dxa"/>
          </w:tcPr>
          <w:p>
            <w:pPr>
              <w:pStyle w:val="TableParagraph"/>
              <w:spacing w:before="91"/>
              <w:ind w:left="122"/>
              <w:rPr>
                <w:sz w:val="21"/>
              </w:rPr>
            </w:pPr>
            <w:r>
              <w:rPr>
                <w:sz w:val="21"/>
              </w:rPr>
              <w:t>应收股利</w:t>
            </w:r>
          </w:p>
        </w:tc>
        <w:tc>
          <w:tcPr>
            <w:tcW w:w="2704" w:type="dxa"/>
          </w:tcPr>
          <w:p>
            <w:pPr>
              <w:pStyle w:val="TableParagraph"/>
              <w:spacing w:before="91"/>
              <w:ind w:right="96"/>
              <w:jc w:val="right"/>
              <w:rPr>
                <w:sz w:val="21"/>
              </w:rPr>
            </w:pPr>
            <w:r>
              <w:rPr>
                <w:sz w:val="21"/>
              </w:rPr>
              <w:t>-</w:t>
            </w:r>
          </w:p>
        </w:tc>
      </w:tr>
      <w:tr>
        <w:trPr>
          <w:trHeight w:val="418" w:hRule="atLeast"/>
        </w:trPr>
        <w:tc>
          <w:tcPr>
            <w:tcW w:w="2648" w:type="dxa"/>
          </w:tcPr>
          <w:p>
            <w:pPr>
              <w:pStyle w:val="TableParagraph"/>
              <w:spacing w:before="91"/>
              <w:ind w:left="24"/>
              <w:jc w:val="center"/>
              <w:rPr>
                <w:sz w:val="21"/>
              </w:rPr>
            </w:pPr>
            <w:r>
              <w:rPr>
                <w:sz w:val="21"/>
              </w:rPr>
              <w:t>4</w:t>
            </w:r>
          </w:p>
        </w:tc>
        <w:tc>
          <w:tcPr>
            <w:tcW w:w="2648" w:type="dxa"/>
          </w:tcPr>
          <w:p>
            <w:pPr>
              <w:pStyle w:val="TableParagraph"/>
              <w:spacing w:before="91"/>
              <w:ind w:left="122"/>
              <w:rPr>
                <w:sz w:val="21"/>
              </w:rPr>
            </w:pPr>
            <w:r>
              <w:rPr>
                <w:sz w:val="21"/>
              </w:rPr>
              <w:t>应收利息</w:t>
            </w:r>
          </w:p>
        </w:tc>
        <w:tc>
          <w:tcPr>
            <w:tcW w:w="2704" w:type="dxa"/>
          </w:tcPr>
          <w:p>
            <w:pPr>
              <w:pStyle w:val="TableParagraph"/>
              <w:spacing w:before="91"/>
              <w:ind w:right="96"/>
              <w:jc w:val="right"/>
              <w:rPr>
                <w:sz w:val="21"/>
              </w:rPr>
            </w:pPr>
            <w:r>
              <w:rPr>
                <w:sz w:val="21"/>
              </w:rPr>
              <w:t>1,838,664.62</w:t>
            </w:r>
          </w:p>
        </w:tc>
      </w:tr>
      <w:tr>
        <w:trPr>
          <w:trHeight w:val="418" w:hRule="atLeast"/>
        </w:trPr>
        <w:tc>
          <w:tcPr>
            <w:tcW w:w="2648" w:type="dxa"/>
          </w:tcPr>
          <w:p>
            <w:pPr>
              <w:pStyle w:val="TableParagraph"/>
              <w:spacing w:before="91"/>
              <w:ind w:left="24"/>
              <w:jc w:val="center"/>
              <w:rPr>
                <w:sz w:val="21"/>
              </w:rPr>
            </w:pPr>
            <w:r>
              <w:rPr>
                <w:sz w:val="21"/>
              </w:rPr>
              <w:t>5</w:t>
            </w:r>
          </w:p>
        </w:tc>
        <w:tc>
          <w:tcPr>
            <w:tcW w:w="2648" w:type="dxa"/>
          </w:tcPr>
          <w:p>
            <w:pPr>
              <w:pStyle w:val="TableParagraph"/>
              <w:spacing w:before="91"/>
              <w:ind w:left="122"/>
              <w:rPr>
                <w:sz w:val="21"/>
              </w:rPr>
            </w:pPr>
            <w:r>
              <w:rPr>
                <w:sz w:val="21"/>
              </w:rPr>
              <w:t>应收申购款</w:t>
            </w:r>
          </w:p>
        </w:tc>
        <w:tc>
          <w:tcPr>
            <w:tcW w:w="2704" w:type="dxa"/>
          </w:tcPr>
          <w:p>
            <w:pPr>
              <w:pStyle w:val="TableParagraph"/>
              <w:spacing w:before="91"/>
              <w:ind w:right="96"/>
              <w:jc w:val="right"/>
              <w:rPr>
                <w:sz w:val="21"/>
              </w:rPr>
            </w:pPr>
            <w:r>
              <w:rPr>
                <w:sz w:val="21"/>
              </w:rPr>
              <w:t>15,961,341.26</w:t>
            </w:r>
          </w:p>
        </w:tc>
      </w:tr>
      <w:tr>
        <w:trPr>
          <w:trHeight w:val="418" w:hRule="atLeast"/>
        </w:trPr>
        <w:tc>
          <w:tcPr>
            <w:tcW w:w="2648" w:type="dxa"/>
          </w:tcPr>
          <w:p>
            <w:pPr>
              <w:pStyle w:val="TableParagraph"/>
              <w:spacing w:before="91"/>
              <w:ind w:left="24"/>
              <w:jc w:val="center"/>
              <w:rPr>
                <w:sz w:val="21"/>
              </w:rPr>
            </w:pPr>
            <w:r>
              <w:rPr>
                <w:sz w:val="21"/>
              </w:rPr>
              <w:t>6</w:t>
            </w:r>
          </w:p>
        </w:tc>
        <w:tc>
          <w:tcPr>
            <w:tcW w:w="2648" w:type="dxa"/>
          </w:tcPr>
          <w:p>
            <w:pPr>
              <w:pStyle w:val="TableParagraph"/>
              <w:spacing w:before="91"/>
              <w:ind w:left="122"/>
              <w:rPr>
                <w:sz w:val="21"/>
              </w:rPr>
            </w:pPr>
            <w:r>
              <w:rPr>
                <w:sz w:val="21"/>
              </w:rPr>
              <w:t>其他应收款</w:t>
            </w:r>
          </w:p>
        </w:tc>
        <w:tc>
          <w:tcPr>
            <w:tcW w:w="2704" w:type="dxa"/>
          </w:tcPr>
          <w:p>
            <w:pPr>
              <w:pStyle w:val="TableParagraph"/>
              <w:spacing w:before="91"/>
              <w:ind w:right="96"/>
              <w:jc w:val="right"/>
              <w:rPr>
                <w:sz w:val="21"/>
              </w:rPr>
            </w:pPr>
            <w:r>
              <w:rPr>
                <w:sz w:val="21"/>
              </w:rPr>
              <w:t>-</w:t>
            </w:r>
          </w:p>
        </w:tc>
      </w:tr>
      <w:tr>
        <w:trPr>
          <w:trHeight w:val="418" w:hRule="atLeast"/>
        </w:trPr>
        <w:tc>
          <w:tcPr>
            <w:tcW w:w="2648" w:type="dxa"/>
          </w:tcPr>
          <w:p>
            <w:pPr>
              <w:pStyle w:val="TableParagraph"/>
              <w:spacing w:before="91"/>
              <w:ind w:left="24"/>
              <w:jc w:val="center"/>
              <w:rPr>
                <w:sz w:val="21"/>
              </w:rPr>
            </w:pPr>
            <w:r>
              <w:rPr>
                <w:sz w:val="21"/>
              </w:rPr>
              <w:t>7</w:t>
            </w:r>
          </w:p>
        </w:tc>
        <w:tc>
          <w:tcPr>
            <w:tcW w:w="2648" w:type="dxa"/>
          </w:tcPr>
          <w:p>
            <w:pPr>
              <w:pStyle w:val="TableParagraph"/>
              <w:spacing w:before="91"/>
              <w:ind w:left="122"/>
              <w:rPr>
                <w:sz w:val="21"/>
              </w:rPr>
            </w:pPr>
            <w:r>
              <w:rPr>
                <w:sz w:val="21"/>
              </w:rPr>
              <w:t>待摊费用</w:t>
            </w:r>
          </w:p>
        </w:tc>
        <w:tc>
          <w:tcPr>
            <w:tcW w:w="2704" w:type="dxa"/>
          </w:tcPr>
          <w:p>
            <w:pPr>
              <w:pStyle w:val="TableParagraph"/>
              <w:spacing w:before="91"/>
              <w:ind w:right="96"/>
              <w:jc w:val="right"/>
              <w:rPr>
                <w:sz w:val="21"/>
              </w:rPr>
            </w:pPr>
            <w:r>
              <w:rPr>
                <w:sz w:val="21"/>
              </w:rPr>
              <w:t>-</w:t>
            </w:r>
          </w:p>
        </w:tc>
      </w:tr>
      <w:tr>
        <w:trPr>
          <w:trHeight w:val="418" w:hRule="atLeast"/>
        </w:trPr>
        <w:tc>
          <w:tcPr>
            <w:tcW w:w="2648" w:type="dxa"/>
          </w:tcPr>
          <w:p>
            <w:pPr>
              <w:pStyle w:val="TableParagraph"/>
              <w:spacing w:before="91"/>
              <w:ind w:left="24"/>
              <w:jc w:val="center"/>
              <w:rPr>
                <w:sz w:val="21"/>
              </w:rPr>
            </w:pPr>
            <w:r>
              <w:rPr>
                <w:sz w:val="21"/>
              </w:rPr>
              <w:t>8</w:t>
            </w:r>
          </w:p>
        </w:tc>
        <w:tc>
          <w:tcPr>
            <w:tcW w:w="2648" w:type="dxa"/>
          </w:tcPr>
          <w:p>
            <w:pPr>
              <w:pStyle w:val="TableParagraph"/>
              <w:spacing w:before="91"/>
              <w:ind w:left="122"/>
              <w:rPr>
                <w:sz w:val="21"/>
              </w:rPr>
            </w:pPr>
            <w:r>
              <w:rPr>
                <w:sz w:val="21"/>
              </w:rPr>
              <w:t>其他</w:t>
            </w:r>
          </w:p>
        </w:tc>
        <w:tc>
          <w:tcPr>
            <w:tcW w:w="2704" w:type="dxa"/>
          </w:tcPr>
          <w:p>
            <w:pPr>
              <w:pStyle w:val="TableParagraph"/>
              <w:spacing w:before="91"/>
              <w:ind w:right="96"/>
              <w:jc w:val="right"/>
              <w:rPr>
                <w:sz w:val="21"/>
              </w:rPr>
            </w:pPr>
            <w:r>
              <w:rPr>
                <w:sz w:val="21"/>
              </w:rPr>
              <w:t>-</w:t>
            </w:r>
          </w:p>
        </w:tc>
      </w:tr>
      <w:tr>
        <w:trPr>
          <w:trHeight w:val="418" w:hRule="atLeast"/>
        </w:trPr>
        <w:tc>
          <w:tcPr>
            <w:tcW w:w="2648" w:type="dxa"/>
          </w:tcPr>
          <w:p>
            <w:pPr>
              <w:pStyle w:val="TableParagraph"/>
              <w:spacing w:before="91"/>
              <w:ind w:left="24"/>
              <w:jc w:val="center"/>
              <w:rPr>
                <w:sz w:val="21"/>
              </w:rPr>
            </w:pPr>
            <w:r>
              <w:rPr>
                <w:sz w:val="21"/>
              </w:rPr>
              <w:t>9</w:t>
            </w:r>
          </w:p>
        </w:tc>
        <w:tc>
          <w:tcPr>
            <w:tcW w:w="2648" w:type="dxa"/>
          </w:tcPr>
          <w:p>
            <w:pPr>
              <w:pStyle w:val="TableParagraph"/>
              <w:spacing w:before="91"/>
              <w:ind w:left="122"/>
              <w:rPr>
                <w:sz w:val="21"/>
              </w:rPr>
            </w:pPr>
            <w:r>
              <w:rPr>
                <w:sz w:val="21"/>
              </w:rPr>
              <w:t>合计</w:t>
            </w:r>
          </w:p>
        </w:tc>
        <w:tc>
          <w:tcPr>
            <w:tcW w:w="2704" w:type="dxa"/>
          </w:tcPr>
          <w:p>
            <w:pPr>
              <w:pStyle w:val="TableParagraph"/>
              <w:spacing w:before="91"/>
              <w:ind w:right="96"/>
              <w:jc w:val="right"/>
              <w:rPr>
                <w:sz w:val="21"/>
              </w:rPr>
            </w:pPr>
            <w:r>
              <w:rPr>
                <w:sz w:val="21"/>
              </w:rPr>
              <w:t>18,561,945.87</w:t>
            </w:r>
          </w:p>
        </w:tc>
      </w:tr>
    </w:tbl>
    <w:p>
      <w:pPr>
        <w:spacing w:after="0"/>
        <w:jc w:val="right"/>
        <w:rPr>
          <w:sz w:val="21"/>
        </w:rPr>
        <w:sectPr>
          <w:pgSz w:w="11910" w:h="16840"/>
          <w:pgMar w:header="0" w:footer="664" w:top="1380" w:bottom="940" w:left="1580" w:right="380"/>
        </w:sectPr>
      </w:pPr>
    </w:p>
    <w:p>
      <w:pPr>
        <w:pStyle w:val="ListParagraph"/>
        <w:numPr>
          <w:ilvl w:val="0"/>
          <w:numId w:val="28"/>
        </w:numPr>
        <w:tabs>
          <w:tab w:pos="1166" w:val="left" w:leader="none"/>
        </w:tabs>
        <w:spacing w:line="240" w:lineRule="auto" w:before="45" w:after="0"/>
        <w:ind w:left="1166" w:right="0" w:hanging="526"/>
        <w:jc w:val="left"/>
        <w:rPr>
          <w:sz w:val="21"/>
        </w:rPr>
      </w:pPr>
      <w:r>
        <w:rPr>
          <w:sz w:val="21"/>
        </w:rPr>
        <w:t>报告期末持有的处于转股期的可转换债券明细</w:t>
      </w:r>
    </w:p>
    <w:p>
      <w:pPr>
        <w:pStyle w:val="BodyText"/>
        <w:spacing w:before="8"/>
        <w:ind w:left="0"/>
        <w:rPr>
          <w:sz w:val="1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7"/>
        <w:gridCol w:w="2374"/>
        <w:gridCol w:w="1528"/>
        <w:gridCol w:w="1711"/>
        <w:gridCol w:w="1500"/>
      </w:tblGrid>
      <w:tr>
        <w:trPr>
          <w:trHeight w:val="809" w:hRule="atLeast"/>
        </w:trPr>
        <w:tc>
          <w:tcPr>
            <w:tcW w:w="887" w:type="dxa"/>
          </w:tcPr>
          <w:p>
            <w:pPr>
              <w:pStyle w:val="TableParagraph"/>
              <w:spacing w:before="4"/>
              <w:rPr>
                <w:sz w:val="22"/>
              </w:rPr>
            </w:pPr>
          </w:p>
          <w:p>
            <w:pPr>
              <w:pStyle w:val="TableParagraph"/>
              <w:ind w:left="222" w:right="195"/>
              <w:jc w:val="center"/>
              <w:rPr>
                <w:sz w:val="21"/>
              </w:rPr>
            </w:pPr>
            <w:r>
              <w:rPr>
                <w:sz w:val="21"/>
              </w:rPr>
              <w:t>序号</w:t>
            </w:r>
          </w:p>
        </w:tc>
        <w:tc>
          <w:tcPr>
            <w:tcW w:w="2374" w:type="dxa"/>
          </w:tcPr>
          <w:p>
            <w:pPr>
              <w:pStyle w:val="TableParagraph"/>
              <w:spacing w:before="4"/>
              <w:rPr>
                <w:sz w:val="22"/>
              </w:rPr>
            </w:pPr>
          </w:p>
          <w:p>
            <w:pPr>
              <w:pStyle w:val="TableParagraph"/>
              <w:ind w:left="755" w:right="728"/>
              <w:jc w:val="center"/>
              <w:rPr>
                <w:sz w:val="21"/>
              </w:rPr>
            </w:pPr>
            <w:r>
              <w:rPr>
                <w:sz w:val="21"/>
              </w:rPr>
              <w:t>债券代码</w:t>
            </w:r>
          </w:p>
        </w:tc>
        <w:tc>
          <w:tcPr>
            <w:tcW w:w="1528" w:type="dxa"/>
          </w:tcPr>
          <w:p>
            <w:pPr>
              <w:pStyle w:val="TableParagraph"/>
              <w:spacing w:before="4"/>
              <w:rPr>
                <w:sz w:val="22"/>
              </w:rPr>
            </w:pPr>
          </w:p>
          <w:p>
            <w:pPr>
              <w:pStyle w:val="TableParagraph"/>
              <w:ind w:left="219" w:right="192"/>
              <w:jc w:val="center"/>
              <w:rPr>
                <w:sz w:val="21"/>
              </w:rPr>
            </w:pPr>
            <w:r>
              <w:rPr>
                <w:sz w:val="21"/>
              </w:rPr>
              <w:t>债券名称</w:t>
            </w:r>
          </w:p>
        </w:tc>
        <w:tc>
          <w:tcPr>
            <w:tcW w:w="1711" w:type="dxa"/>
          </w:tcPr>
          <w:p>
            <w:pPr>
              <w:pStyle w:val="TableParagraph"/>
              <w:spacing w:before="4"/>
              <w:rPr>
                <w:sz w:val="22"/>
              </w:rPr>
            </w:pPr>
          </w:p>
          <w:p>
            <w:pPr>
              <w:pStyle w:val="TableParagraph"/>
              <w:ind w:left="233"/>
              <w:rPr>
                <w:sz w:val="21"/>
              </w:rPr>
            </w:pPr>
            <w:r>
              <w:rPr>
                <w:sz w:val="21"/>
              </w:rPr>
              <w:t>公允价值(元)</w:t>
            </w:r>
          </w:p>
        </w:tc>
        <w:tc>
          <w:tcPr>
            <w:tcW w:w="1500" w:type="dxa"/>
          </w:tcPr>
          <w:p>
            <w:pPr>
              <w:pStyle w:val="TableParagraph"/>
              <w:spacing w:before="91"/>
              <w:ind w:left="108" w:right="81"/>
              <w:jc w:val="center"/>
              <w:rPr>
                <w:sz w:val="21"/>
              </w:rPr>
            </w:pPr>
            <w:r>
              <w:rPr>
                <w:sz w:val="21"/>
              </w:rPr>
              <w:t>占基金资产净</w:t>
            </w:r>
          </w:p>
          <w:p>
            <w:pPr>
              <w:pStyle w:val="TableParagraph"/>
              <w:spacing w:before="121"/>
              <w:ind w:left="108" w:right="81"/>
              <w:jc w:val="center"/>
              <w:rPr>
                <w:sz w:val="21"/>
              </w:rPr>
            </w:pPr>
            <w:r>
              <w:rPr>
                <w:sz w:val="21"/>
              </w:rPr>
              <w:t>值比例(%)</w:t>
            </w:r>
          </w:p>
        </w:tc>
      </w:tr>
      <w:tr>
        <w:trPr>
          <w:trHeight w:val="390" w:hRule="atLeast"/>
        </w:trPr>
        <w:tc>
          <w:tcPr>
            <w:tcW w:w="887" w:type="dxa"/>
            <w:tcBorders>
              <w:right w:val="dashed" w:sz="4" w:space="0" w:color="000000"/>
            </w:tcBorders>
          </w:tcPr>
          <w:p>
            <w:pPr>
              <w:pStyle w:val="TableParagraph"/>
              <w:spacing w:before="62"/>
              <w:ind w:left="9"/>
              <w:jc w:val="center"/>
              <w:rPr>
                <w:sz w:val="21"/>
              </w:rPr>
            </w:pPr>
            <w:r>
              <w:rPr>
                <w:sz w:val="21"/>
              </w:rPr>
              <w:t>1</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132004</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15 国盛 EB</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18,490,260.00</w:t>
            </w:r>
          </w:p>
        </w:tc>
        <w:tc>
          <w:tcPr>
            <w:tcW w:w="1500" w:type="dxa"/>
            <w:tcBorders>
              <w:left w:val="dashed" w:sz="4" w:space="0" w:color="000000"/>
            </w:tcBorders>
          </w:tcPr>
          <w:p>
            <w:pPr>
              <w:pStyle w:val="TableParagraph"/>
              <w:spacing w:before="62"/>
              <w:ind w:right="97"/>
              <w:jc w:val="right"/>
              <w:rPr>
                <w:sz w:val="21"/>
              </w:rPr>
            </w:pPr>
            <w:r>
              <w:rPr>
                <w:sz w:val="21"/>
              </w:rPr>
              <w:t>5.22</w:t>
            </w:r>
          </w:p>
        </w:tc>
      </w:tr>
      <w:tr>
        <w:trPr>
          <w:trHeight w:val="389" w:hRule="atLeast"/>
        </w:trPr>
        <w:tc>
          <w:tcPr>
            <w:tcW w:w="887" w:type="dxa"/>
            <w:tcBorders>
              <w:right w:val="dashed" w:sz="4" w:space="0" w:color="000000"/>
            </w:tcBorders>
          </w:tcPr>
          <w:p>
            <w:pPr>
              <w:pStyle w:val="TableParagraph"/>
              <w:spacing w:before="62"/>
              <w:ind w:left="9"/>
              <w:jc w:val="center"/>
              <w:rPr>
                <w:sz w:val="21"/>
              </w:rPr>
            </w:pPr>
            <w:r>
              <w:rPr>
                <w:sz w:val="21"/>
              </w:rPr>
              <w:t>2</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113011</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光大转债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12,811,308.20</w:t>
            </w:r>
          </w:p>
        </w:tc>
        <w:tc>
          <w:tcPr>
            <w:tcW w:w="1500" w:type="dxa"/>
            <w:tcBorders>
              <w:left w:val="dashed" w:sz="4" w:space="0" w:color="000000"/>
            </w:tcBorders>
          </w:tcPr>
          <w:p>
            <w:pPr>
              <w:pStyle w:val="TableParagraph"/>
              <w:spacing w:before="62"/>
              <w:ind w:right="97"/>
              <w:jc w:val="right"/>
              <w:rPr>
                <w:sz w:val="21"/>
              </w:rPr>
            </w:pPr>
            <w:r>
              <w:rPr>
                <w:sz w:val="21"/>
              </w:rPr>
              <w:t>3.62</w:t>
            </w:r>
          </w:p>
        </w:tc>
      </w:tr>
      <w:tr>
        <w:trPr>
          <w:trHeight w:val="390" w:hRule="atLeast"/>
        </w:trPr>
        <w:tc>
          <w:tcPr>
            <w:tcW w:w="887" w:type="dxa"/>
            <w:tcBorders>
              <w:right w:val="dashed" w:sz="4" w:space="0" w:color="000000"/>
            </w:tcBorders>
          </w:tcPr>
          <w:p>
            <w:pPr>
              <w:pStyle w:val="TableParagraph"/>
              <w:spacing w:before="62"/>
              <w:ind w:left="9"/>
              <w:jc w:val="center"/>
              <w:rPr>
                <w:sz w:val="21"/>
              </w:rPr>
            </w:pPr>
            <w:r>
              <w:rPr>
                <w:sz w:val="21"/>
              </w:rPr>
              <w:t>3</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123019</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中来转债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12,717,465.87</w:t>
            </w:r>
          </w:p>
        </w:tc>
        <w:tc>
          <w:tcPr>
            <w:tcW w:w="1500" w:type="dxa"/>
            <w:tcBorders>
              <w:left w:val="dashed" w:sz="4" w:space="0" w:color="000000"/>
            </w:tcBorders>
          </w:tcPr>
          <w:p>
            <w:pPr>
              <w:pStyle w:val="TableParagraph"/>
              <w:spacing w:before="62"/>
              <w:ind w:right="97"/>
              <w:jc w:val="right"/>
              <w:rPr>
                <w:sz w:val="21"/>
              </w:rPr>
            </w:pPr>
            <w:r>
              <w:rPr>
                <w:sz w:val="21"/>
              </w:rPr>
              <w:t>3.59</w:t>
            </w:r>
          </w:p>
        </w:tc>
      </w:tr>
      <w:tr>
        <w:trPr>
          <w:trHeight w:val="390" w:hRule="atLeast"/>
        </w:trPr>
        <w:tc>
          <w:tcPr>
            <w:tcW w:w="887" w:type="dxa"/>
            <w:tcBorders>
              <w:right w:val="dashed" w:sz="4" w:space="0" w:color="000000"/>
            </w:tcBorders>
          </w:tcPr>
          <w:p>
            <w:pPr>
              <w:pStyle w:val="TableParagraph"/>
              <w:spacing w:before="62"/>
              <w:ind w:left="9"/>
              <w:jc w:val="center"/>
              <w:rPr>
                <w:sz w:val="21"/>
              </w:rPr>
            </w:pPr>
            <w:r>
              <w:rPr>
                <w:sz w:val="21"/>
              </w:rPr>
              <w:t>4</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110031</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航信转债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11,698,447.80</w:t>
            </w:r>
          </w:p>
        </w:tc>
        <w:tc>
          <w:tcPr>
            <w:tcW w:w="1500" w:type="dxa"/>
            <w:tcBorders>
              <w:left w:val="dashed" w:sz="4" w:space="0" w:color="000000"/>
            </w:tcBorders>
          </w:tcPr>
          <w:p>
            <w:pPr>
              <w:pStyle w:val="TableParagraph"/>
              <w:spacing w:before="62"/>
              <w:ind w:right="97"/>
              <w:jc w:val="right"/>
              <w:rPr>
                <w:sz w:val="21"/>
              </w:rPr>
            </w:pPr>
            <w:r>
              <w:rPr>
                <w:sz w:val="21"/>
              </w:rPr>
              <w:t>3.30</w:t>
            </w:r>
          </w:p>
        </w:tc>
      </w:tr>
      <w:tr>
        <w:trPr>
          <w:trHeight w:val="390" w:hRule="atLeast"/>
        </w:trPr>
        <w:tc>
          <w:tcPr>
            <w:tcW w:w="887" w:type="dxa"/>
            <w:tcBorders>
              <w:right w:val="dashed" w:sz="4" w:space="0" w:color="000000"/>
            </w:tcBorders>
          </w:tcPr>
          <w:p>
            <w:pPr>
              <w:pStyle w:val="TableParagraph"/>
              <w:spacing w:before="62"/>
              <w:ind w:left="9"/>
              <w:jc w:val="center"/>
              <w:rPr>
                <w:sz w:val="21"/>
              </w:rPr>
            </w:pPr>
            <w:r>
              <w:rPr>
                <w:sz w:val="21"/>
              </w:rPr>
              <w:t>5</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123021</w:t>
            </w:r>
          </w:p>
        </w:tc>
        <w:tc>
          <w:tcPr>
            <w:tcW w:w="1528" w:type="dxa"/>
            <w:tcBorders>
              <w:left w:val="dashed" w:sz="4" w:space="0" w:color="000000"/>
              <w:right w:val="dashed" w:sz="4" w:space="0" w:color="000000"/>
            </w:tcBorders>
          </w:tcPr>
          <w:p>
            <w:pPr>
              <w:pStyle w:val="TableParagraph"/>
              <w:spacing w:before="62"/>
              <w:ind w:left="218" w:right="209"/>
              <w:jc w:val="center"/>
              <w:rPr>
                <w:sz w:val="21"/>
              </w:rPr>
            </w:pPr>
            <w:r>
              <w:rPr>
                <w:sz w:val="21"/>
              </w:rPr>
              <w:t>万信转 2</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10,826,105.85</w:t>
            </w:r>
          </w:p>
        </w:tc>
        <w:tc>
          <w:tcPr>
            <w:tcW w:w="1500" w:type="dxa"/>
            <w:tcBorders>
              <w:left w:val="dashed" w:sz="4" w:space="0" w:color="000000"/>
            </w:tcBorders>
          </w:tcPr>
          <w:p>
            <w:pPr>
              <w:pStyle w:val="TableParagraph"/>
              <w:spacing w:before="62"/>
              <w:ind w:right="97"/>
              <w:jc w:val="right"/>
              <w:rPr>
                <w:sz w:val="21"/>
              </w:rPr>
            </w:pPr>
            <w:r>
              <w:rPr>
                <w:sz w:val="21"/>
              </w:rPr>
              <w:t>3.06</w:t>
            </w:r>
          </w:p>
        </w:tc>
      </w:tr>
      <w:tr>
        <w:trPr>
          <w:trHeight w:val="390" w:hRule="atLeast"/>
        </w:trPr>
        <w:tc>
          <w:tcPr>
            <w:tcW w:w="887" w:type="dxa"/>
            <w:tcBorders>
              <w:right w:val="dashed" w:sz="4" w:space="0" w:color="000000"/>
            </w:tcBorders>
          </w:tcPr>
          <w:p>
            <w:pPr>
              <w:pStyle w:val="TableParagraph"/>
              <w:spacing w:before="62"/>
              <w:ind w:left="9"/>
              <w:jc w:val="center"/>
              <w:rPr>
                <w:sz w:val="21"/>
              </w:rPr>
            </w:pPr>
            <w:r>
              <w:rPr>
                <w:sz w:val="21"/>
              </w:rPr>
              <w:t>6</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123009</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星源转债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9,667,876.20</w:t>
            </w:r>
          </w:p>
        </w:tc>
        <w:tc>
          <w:tcPr>
            <w:tcW w:w="1500" w:type="dxa"/>
            <w:tcBorders>
              <w:left w:val="dashed" w:sz="4" w:space="0" w:color="000000"/>
            </w:tcBorders>
          </w:tcPr>
          <w:p>
            <w:pPr>
              <w:pStyle w:val="TableParagraph"/>
              <w:spacing w:before="62"/>
              <w:ind w:right="97"/>
              <w:jc w:val="right"/>
              <w:rPr>
                <w:sz w:val="21"/>
              </w:rPr>
            </w:pPr>
            <w:r>
              <w:rPr>
                <w:sz w:val="21"/>
              </w:rPr>
              <w:t>2.73</w:t>
            </w:r>
          </w:p>
        </w:tc>
      </w:tr>
      <w:tr>
        <w:trPr>
          <w:trHeight w:val="390" w:hRule="atLeast"/>
        </w:trPr>
        <w:tc>
          <w:tcPr>
            <w:tcW w:w="887" w:type="dxa"/>
            <w:tcBorders>
              <w:right w:val="dashed" w:sz="4" w:space="0" w:color="000000"/>
            </w:tcBorders>
          </w:tcPr>
          <w:p>
            <w:pPr>
              <w:pStyle w:val="TableParagraph"/>
              <w:spacing w:before="62"/>
              <w:ind w:left="9"/>
              <w:jc w:val="center"/>
              <w:rPr>
                <w:sz w:val="21"/>
              </w:rPr>
            </w:pPr>
            <w:r>
              <w:rPr>
                <w:sz w:val="21"/>
              </w:rPr>
              <w:t>7</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123023</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迪森转债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9,104,706.05</w:t>
            </w:r>
          </w:p>
        </w:tc>
        <w:tc>
          <w:tcPr>
            <w:tcW w:w="1500" w:type="dxa"/>
            <w:tcBorders>
              <w:left w:val="dashed" w:sz="4" w:space="0" w:color="000000"/>
            </w:tcBorders>
          </w:tcPr>
          <w:p>
            <w:pPr>
              <w:pStyle w:val="TableParagraph"/>
              <w:spacing w:before="62"/>
              <w:ind w:right="97"/>
              <w:jc w:val="right"/>
              <w:rPr>
                <w:sz w:val="21"/>
              </w:rPr>
            </w:pPr>
            <w:r>
              <w:rPr>
                <w:sz w:val="21"/>
              </w:rPr>
              <w:t>2.57</w:t>
            </w:r>
          </w:p>
        </w:tc>
      </w:tr>
      <w:tr>
        <w:trPr>
          <w:trHeight w:val="390" w:hRule="atLeast"/>
        </w:trPr>
        <w:tc>
          <w:tcPr>
            <w:tcW w:w="887" w:type="dxa"/>
            <w:tcBorders>
              <w:right w:val="dashed" w:sz="4" w:space="0" w:color="000000"/>
            </w:tcBorders>
          </w:tcPr>
          <w:p>
            <w:pPr>
              <w:pStyle w:val="TableParagraph"/>
              <w:spacing w:before="62"/>
              <w:ind w:left="9"/>
              <w:jc w:val="center"/>
              <w:rPr>
                <w:sz w:val="21"/>
              </w:rPr>
            </w:pPr>
            <w:r>
              <w:rPr>
                <w:sz w:val="21"/>
              </w:rPr>
              <w:t>8</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123007</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道氏转债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7,978,252.80</w:t>
            </w:r>
          </w:p>
        </w:tc>
        <w:tc>
          <w:tcPr>
            <w:tcW w:w="1500" w:type="dxa"/>
            <w:tcBorders>
              <w:left w:val="dashed" w:sz="4" w:space="0" w:color="000000"/>
            </w:tcBorders>
          </w:tcPr>
          <w:p>
            <w:pPr>
              <w:pStyle w:val="TableParagraph"/>
              <w:spacing w:before="62"/>
              <w:ind w:right="97"/>
              <w:jc w:val="right"/>
              <w:rPr>
                <w:sz w:val="21"/>
              </w:rPr>
            </w:pPr>
            <w:r>
              <w:rPr>
                <w:sz w:val="21"/>
              </w:rPr>
              <w:t>2.25</w:t>
            </w:r>
          </w:p>
        </w:tc>
      </w:tr>
      <w:tr>
        <w:trPr>
          <w:trHeight w:val="390" w:hRule="atLeast"/>
        </w:trPr>
        <w:tc>
          <w:tcPr>
            <w:tcW w:w="887" w:type="dxa"/>
            <w:tcBorders>
              <w:right w:val="dashed" w:sz="4" w:space="0" w:color="000000"/>
            </w:tcBorders>
          </w:tcPr>
          <w:p>
            <w:pPr>
              <w:pStyle w:val="TableParagraph"/>
              <w:spacing w:before="62"/>
              <w:ind w:left="9"/>
              <w:jc w:val="center"/>
              <w:rPr>
                <w:sz w:val="21"/>
              </w:rPr>
            </w:pPr>
            <w:r>
              <w:rPr>
                <w:sz w:val="21"/>
              </w:rPr>
              <w:t>9</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123028</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清水转债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7,374,006.60</w:t>
            </w:r>
          </w:p>
        </w:tc>
        <w:tc>
          <w:tcPr>
            <w:tcW w:w="1500" w:type="dxa"/>
            <w:tcBorders>
              <w:left w:val="dashed" w:sz="4" w:space="0" w:color="000000"/>
            </w:tcBorders>
          </w:tcPr>
          <w:p>
            <w:pPr>
              <w:pStyle w:val="TableParagraph"/>
              <w:spacing w:before="62"/>
              <w:ind w:right="97"/>
              <w:jc w:val="right"/>
              <w:rPr>
                <w:sz w:val="21"/>
              </w:rPr>
            </w:pPr>
            <w:r>
              <w:rPr>
                <w:sz w:val="21"/>
              </w:rPr>
              <w:t>2.08</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10</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113527</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维格转债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7,350,842.40</w:t>
            </w:r>
          </w:p>
        </w:tc>
        <w:tc>
          <w:tcPr>
            <w:tcW w:w="1500" w:type="dxa"/>
            <w:tcBorders>
              <w:left w:val="dashed" w:sz="4" w:space="0" w:color="000000"/>
            </w:tcBorders>
          </w:tcPr>
          <w:p>
            <w:pPr>
              <w:pStyle w:val="TableParagraph"/>
              <w:spacing w:before="62"/>
              <w:ind w:right="97"/>
              <w:jc w:val="right"/>
              <w:rPr>
                <w:sz w:val="21"/>
              </w:rPr>
            </w:pPr>
            <w:r>
              <w:rPr>
                <w:sz w:val="21"/>
              </w:rPr>
              <w:t>2.08</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11</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123014</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凯发转债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7,129,789.20</w:t>
            </w:r>
          </w:p>
        </w:tc>
        <w:tc>
          <w:tcPr>
            <w:tcW w:w="1500" w:type="dxa"/>
            <w:tcBorders>
              <w:left w:val="dashed" w:sz="4" w:space="0" w:color="000000"/>
            </w:tcBorders>
          </w:tcPr>
          <w:p>
            <w:pPr>
              <w:pStyle w:val="TableParagraph"/>
              <w:spacing w:before="62"/>
              <w:ind w:right="97"/>
              <w:jc w:val="right"/>
              <w:rPr>
                <w:sz w:val="21"/>
              </w:rPr>
            </w:pPr>
            <w:r>
              <w:rPr>
                <w:sz w:val="21"/>
              </w:rPr>
              <w:t>2.01</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12</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128018</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时达转债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6,786,980.00</w:t>
            </w:r>
          </w:p>
        </w:tc>
        <w:tc>
          <w:tcPr>
            <w:tcW w:w="1500" w:type="dxa"/>
            <w:tcBorders>
              <w:left w:val="dashed" w:sz="4" w:space="0" w:color="000000"/>
            </w:tcBorders>
          </w:tcPr>
          <w:p>
            <w:pPr>
              <w:pStyle w:val="TableParagraph"/>
              <w:spacing w:before="62"/>
              <w:ind w:right="97"/>
              <w:jc w:val="right"/>
              <w:rPr>
                <w:sz w:val="21"/>
              </w:rPr>
            </w:pPr>
            <w:r>
              <w:rPr>
                <w:sz w:val="21"/>
              </w:rPr>
              <w:t>1.92</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13</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110057</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现代转债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6,564,822.80</w:t>
            </w:r>
          </w:p>
        </w:tc>
        <w:tc>
          <w:tcPr>
            <w:tcW w:w="1500" w:type="dxa"/>
            <w:tcBorders>
              <w:left w:val="dashed" w:sz="4" w:space="0" w:color="000000"/>
            </w:tcBorders>
          </w:tcPr>
          <w:p>
            <w:pPr>
              <w:pStyle w:val="TableParagraph"/>
              <w:spacing w:before="62"/>
              <w:ind w:right="97"/>
              <w:jc w:val="right"/>
              <w:rPr>
                <w:sz w:val="21"/>
              </w:rPr>
            </w:pPr>
            <w:r>
              <w:rPr>
                <w:sz w:val="21"/>
              </w:rPr>
              <w:t>1.85</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14</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123020</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富祥转债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6,399,302.00</w:t>
            </w:r>
          </w:p>
        </w:tc>
        <w:tc>
          <w:tcPr>
            <w:tcW w:w="1500" w:type="dxa"/>
            <w:tcBorders>
              <w:left w:val="dashed" w:sz="4" w:space="0" w:color="000000"/>
            </w:tcBorders>
          </w:tcPr>
          <w:p>
            <w:pPr>
              <w:pStyle w:val="TableParagraph"/>
              <w:spacing w:before="62"/>
              <w:ind w:right="97"/>
              <w:jc w:val="right"/>
              <w:rPr>
                <w:sz w:val="21"/>
              </w:rPr>
            </w:pPr>
            <w:r>
              <w:rPr>
                <w:sz w:val="21"/>
              </w:rPr>
              <w:t>1.81</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15</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128051</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光华转债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6,271,482.07</w:t>
            </w:r>
          </w:p>
        </w:tc>
        <w:tc>
          <w:tcPr>
            <w:tcW w:w="1500" w:type="dxa"/>
            <w:tcBorders>
              <w:left w:val="dashed" w:sz="4" w:space="0" w:color="000000"/>
            </w:tcBorders>
          </w:tcPr>
          <w:p>
            <w:pPr>
              <w:pStyle w:val="TableParagraph"/>
              <w:spacing w:before="62"/>
              <w:ind w:right="97"/>
              <w:jc w:val="right"/>
              <w:rPr>
                <w:sz w:val="21"/>
              </w:rPr>
            </w:pPr>
            <w:r>
              <w:rPr>
                <w:sz w:val="21"/>
              </w:rPr>
              <w:t>1.77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16</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127013</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创维转债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5,904,866.29</w:t>
            </w:r>
          </w:p>
        </w:tc>
        <w:tc>
          <w:tcPr>
            <w:tcW w:w="1500" w:type="dxa"/>
            <w:tcBorders>
              <w:left w:val="dashed" w:sz="4" w:space="0" w:color="000000"/>
            </w:tcBorders>
          </w:tcPr>
          <w:p>
            <w:pPr>
              <w:pStyle w:val="TableParagraph"/>
              <w:spacing w:before="62"/>
              <w:ind w:right="97"/>
              <w:jc w:val="right"/>
              <w:rPr>
                <w:sz w:val="21"/>
              </w:rPr>
            </w:pPr>
            <w:r>
              <w:rPr>
                <w:sz w:val="21"/>
              </w:rPr>
              <w:t>1.67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17</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128058</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拓邦转债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5,735,111.42</w:t>
            </w:r>
          </w:p>
        </w:tc>
        <w:tc>
          <w:tcPr>
            <w:tcW w:w="1500" w:type="dxa"/>
            <w:tcBorders>
              <w:left w:val="dashed" w:sz="4" w:space="0" w:color="000000"/>
            </w:tcBorders>
          </w:tcPr>
          <w:p>
            <w:pPr>
              <w:pStyle w:val="TableParagraph"/>
              <w:spacing w:before="62"/>
              <w:ind w:right="97"/>
              <w:jc w:val="right"/>
              <w:rPr>
                <w:sz w:val="21"/>
              </w:rPr>
            </w:pPr>
            <w:r>
              <w:rPr>
                <w:sz w:val="21"/>
              </w:rPr>
              <w:t>1.62</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18</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128063</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未来转债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5,539,138.12</w:t>
            </w:r>
          </w:p>
        </w:tc>
        <w:tc>
          <w:tcPr>
            <w:tcW w:w="1500" w:type="dxa"/>
            <w:tcBorders>
              <w:left w:val="dashed" w:sz="4" w:space="0" w:color="000000"/>
            </w:tcBorders>
          </w:tcPr>
          <w:p>
            <w:pPr>
              <w:pStyle w:val="TableParagraph"/>
              <w:spacing w:before="62"/>
              <w:ind w:right="97"/>
              <w:jc w:val="right"/>
              <w:rPr>
                <w:sz w:val="21"/>
              </w:rPr>
            </w:pPr>
            <w:r>
              <w:rPr>
                <w:sz w:val="21"/>
              </w:rPr>
              <w:t>1.56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19</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113517</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曙光转债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5,305,902.60</w:t>
            </w:r>
          </w:p>
        </w:tc>
        <w:tc>
          <w:tcPr>
            <w:tcW w:w="1500" w:type="dxa"/>
            <w:tcBorders>
              <w:left w:val="dashed" w:sz="4" w:space="0" w:color="000000"/>
            </w:tcBorders>
          </w:tcPr>
          <w:p>
            <w:pPr>
              <w:pStyle w:val="TableParagraph"/>
              <w:spacing w:before="62"/>
              <w:ind w:right="97"/>
              <w:jc w:val="right"/>
              <w:rPr>
                <w:sz w:val="21"/>
              </w:rPr>
            </w:pPr>
            <w:r>
              <w:rPr>
                <w:sz w:val="21"/>
              </w:rPr>
              <w:t>1.50</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20</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123003</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蓝思转债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5,283,381.88</w:t>
            </w:r>
          </w:p>
        </w:tc>
        <w:tc>
          <w:tcPr>
            <w:tcW w:w="1500" w:type="dxa"/>
            <w:tcBorders>
              <w:left w:val="dashed" w:sz="4" w:space="0" w:color="000000"/>
            </w:tcBorders>
          </w:tcPr>
          <w:p>
            <w:pPr>
              <w:pStyle w:val="TableParagraph"/>
              <w:spacing w:before="62"/>
              <w:ind w:right="97"/>
              <w:jc w:val="right"/>
              <w:rPr>
                <w:sz w:val="21"/>
              </w:rPr>
            </w:pPr>
            <w:r>
              <w:rPr>
                <w:sz w:val="21"/>
              </w:rPr>
              <w:t>1.49</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21</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110043</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无锡转债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3,629,770.30</w:t>
            </w:r>
          </w:p>
        </w:tc>
        <w:tc>
          <w:tcPr>
            <w:tcW w:w="1500" w:type="dxa"/>
            <w:tcBorders>
              <w:left w:val="dashed" w:sz="4" w:space="0" w:color="000000"/>
            </w:tcBorders>
          </w:tcPr>
          <w:p>
            <w:pPr>
              <w:pStyle w:val="TableParagraph"/>
              <w:spacing w:before="62"/>
              <w:ind w:right="97"/>
              <w:jc w:val="right"/>
              <w:rPr>
                <w:sz w:val="21"/>
              </w:rPr>
            </w:pPr>
            <w:r>
              <w:rPr>
                <w:sz w:val="21"/>
              </w:rPr>
              <w:t>1.03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22</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113535</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大业转债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3,109,846.50</w:t>
            </w:r>
          </w:p>
        </w:tc>
        <w:tc>
          <w:tcPr>
            <w:tcW w:w="1500" w:type="dxa"/>
            <w:tcBorders>
              <w:left w:val="dashed" w:sz="4" w:space="0" w:color="000000"/>
            </w:tcBorders>
          </w:tcPr>
          <w:p>
            <w:pPr>
              <w:pStyle w:val="TableParagraph"/>
              <w:spacing w:before="62"/>
              <w:ind w:right="97"/>
              <w:jc w:val="right"/>
              <w:rPr>
                <w:sz w:val="21"/>
              </w:rPr>
            </w:pPr>
            <w:r>
              <w:rPr>
                <w:sz w:val="21"/>
              </w:rPr>
              <w:t>0.88</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23</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128044</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岭南转债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3,076,500.00</w:t>
            </w:r>
          </w:p>
        </w:tc>
        <w:tc>
          <w:tcPr>
            <w:tcW w:w="1500" w:type="dxa"/>
            <w:tcBorders>
              <w:left w:val="dashed" w:sz="4" w:space="0" w:color="000000"/>
            </w:tcBorders>
          </w:tcPr>
          <w:p>
            <w:pPr>
              <w:pStyle w:val="TableParagraph"/>
              <w:spacing w:before="62"/>
              <w:ind w:right="97"/>
              <w:jc w:val="right"/>
              <w:rPr>
                <w:sz w:val="21"/>
              </w:rPr>
            </w:pPr>
            <w:r>
              <w:rPr>
                <w:sz w:val="21"/>
              </w:rPr>
              <w:t>0.87</w:t>
            </w:r>
          </w:p>
        </w:tc>
      </w:tr>
      <w:tr>
        <w:trPr>
          <w:trHeight w:val="389" w:hRule="atLeast"/>
        </w:trPr>
        <w:tc>
          <w:tcPr>
            <w:tcW w:w="887" w:type="dxa"/>
            <w:tcBorders>
              <w:right w:val="dashed" w:sz="4" w:space="0" w:color="000000"/>
            </w:tcBorders>
          </w:tcPr>
          <w:p>
            <w:pPr>
              <w:pStyle w:val="TableParagraph"/>
              <w:spacing w:before="62"/>
              <w:ind w:left="204" w:right="195"/>
              <w:jc w:val="center"/>
              <w:rPr>
                <w:sz w:val="21"/>
              </w:rPr>
            </w:pPr>
            <w:r>
              <w:rPr>
                <w:sz w:val="21"/>
              </w:rPr>
              <w:t>24</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128056</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今飞转债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2,927,725.56</w:t>
            </w:r>
          </w:p>
        </w:tc>
        <w:tc>
          <w:tcPr>
            <w:tcW w:w="1500" w:type="dxa"/>
            <w:tcBorders>
              <w:left w:val="dashed" w:sz="4" w:space="0" w:color="000000"/>
            </w:tcBorders>
          </w:tcPr>
          <w:p>
            <w:pPr>
              <w:pStyle w:val="TableParagraph"/>
              <w:spacing w:before="62"/>
              <w:ind w:right="97"/>
              <w:jc w:val="right"/>
              <w:rPr>
                <w:sz w:val="21"/>
              </w:rPr>
            </w:pPr>
            <w:r>
              <w:rPr>
                <w:sz w:val="21"/>
              </w:rPr>
              <w:t>0.83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25</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128015</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久其转债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1,982,567.86</w:t>
            </w:r>
          </w:p>
        </w:tc>
        <w:tc>
          <w:tcPr>
            <w:tcW w:w="1500" w:type="dxa"/>
            <w:tcBorders>
              <w:left w:val="dashed" w:sz="4" w:space="0" w:color="000000"/>
            </w:tcBorders>
          </w:tcPr>
          <w:p>
            <w:pPr>
              <w:pStyle w:val="TableParagraph"/>
              <w:spacing w:before="62"/>
              <w:ind w:right="97"/>
              <w:jc w:val="right"/>
              <w:rPr>
                <w:sz w:val="21"/>
              </w:rPr>
            </w:pPr>
            <w:r>
              <w:rPr>
                <w:sz w:val="21"/>
              </w:rPr>
              <w:t>0.56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26</w:t>
            </w:r>
          </w:p>
        </w:tc>
        <w:tc>
          <w:tcPr>
            <w:tcW w:w="2374" w:type="dxa"/>
            <w:tcBorders>
              <w:left w:val="dashed" w:sz="4" w:space="0" w:color="000000"/>
              <w:right w:val="dashed" w:sz="4" w:space="0" w:color="000000"/>
            </w:tcBorders>
          </w:tcPr>
          <w:p>
            <w:pPr>
              <w:pStyle w:val="TableParagraph"/>
              <w:spacing w:before="62"/>
              <w:ind w:left="738" w:right="728"/>
              <w:jc w:val="center"/>
              <w:rPr>
                <w:sz w:val="21"/>
              </w:rPr>
            </w:pPr>
            <w:r>
              <w:rPr>
                <w:sz w:val="21"/>
              </w:rPr>
              <w:t>128042</w:t>
            </w:r>
          </w:p>
        </w:tc>
        <w:tc>
          <w:tcPr>
            <w:tcW w:w="1528" w:type="dxa"/>
            <w:tcBorders>
              <w:left w:val="dashed" w:sz="4" w:space="0" w:color="000000"/>
              <w:right w:val="dashed" w:sz="4" w:space="0" w:color="000000"/>
            </w:tcBorders>
          </w:tcPr>
          <w:p>
            <w:pPr>
              <w:pStyle w:val="TableParagraph"/>
              <w:spacing w:before="62"/>
              <w:ind w:left="219" w:right="209"/>
              <w:jc w:val="center"/>
              <w:rPr>
                <w:sz w:val="21"/>
              </w:rPr>
            </w:pPr>
            <w:r>
              <w:rPr>
                <w:sz w:val="21"/>
              </w:rPr>
              <w:t>凯中转债</w:t>
            </w:r>
          </w:p>
        </w:tc>
        <w:tc>
          <w:tcPr>
            <w:tcW w:w="1711" w:type="dxa"/>
            <w:tcBorders>
              <w:left w:val="dashed" w:sz="4" w:space="0" w:color="000000"/>
              <w:right w:val="dashed" w:sz="4" w:space="0" w:color="000000"/>
            </w:tcBorders>
          </w:tcPr>
          <w:p>
            <w:pPr>
              <w:pStyle w:val="TableParagraph"/>
              <w:spacing w:before="62"/>
              <w:ind w:right="97"/>
              <w:jc w:val="right"/>
              <w:rPr>
                <w:sz w:val="21"/>
              </w:rPr>
            </w:pPr>
            <w:r>
              <w:rPr>
                <w:sz w:val="21"/>
              </w:rPr>
              <w:t>1,961,075.20</w:t>
            </w:r>
          </w:p>
        </w:tc>
        <w:tc>
          <w:tcPr>
            <w:tcW w:w="1500" w:type="dxa"/>
            <w:tcBorders>
              <w:left w:val="dashed" w:sz="4" w:space="0" w:color="000000"/>
            </w:tcBorders>
          </w:tcPr>
          <w:p>
            <w:pPr>
              <w:pStyle w:val="TableParagraph"/>
              <w:spacing w:before="62"/>
              <w:ind w:right="97"/>
              <w:jc w:val="right"/>
              <w:rPr>
                <w:sz w:val="21"/>
              </w:rPr>
            </w:pPr>
            <w:r>
              <w:rPr>
                <w:sz w:val="21"/>
              </w:rPr>
              <w:t>0.55</w:t>
            </w:r>
          </w:p>
        </w:tc>
      </w:tr>
    </w:tbl>
    <w:p>
      <w:pPr>
        <w:pStyle w:val="ListParagraph"/>
        <w:numPr>
          <w:ilvl w:val="0"/>
          <w:numId w:val="28"/>
        </w:numPr>
        <w:tabs>
          <w:tab w:pos="1166" w:val="left" w:leader="none"/>
        </w:tabs>
        <w:spacing w:line="364" w:lineRule="auto" w:before="3" w:after="0"/>
        <w:ind w:left="640" w:right="4265"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364" w:lineRule="auto"/>
        <w:jc w:val="left"/>
        <w:rPr>
          <w:sz w:val="21"/>
        </w:rPr>
        <w:sectPr>
          <w:pgSz w:w="11910" w:h="16840"/>
          <w:pgMar w:header="0" w:footer="664" w:top="1380" w:bottom="940" w:left="1580" w:right="380"/>
        </w:sectPr>
      </w:pPr>
    </w:p>
    <w:p>
      <w:pPr>
        <w:pStyle w:val="BodyText"/>
        <w:spacing w:before="12"/>
        <w:ind w:left="0"/>
        <w:rPr>
          <w:sz w:val="13"/>
        </w:rPr>
      </w:pPr>
    </w:p>
    <w:p>
      <w:pPr>
        <w:pStyle w:val="Heading2"/>
        <w:spacing w:before="58"/>
      </w:pPr>
      <w:bookmarkStart w:name="_bookmark57" w:id="58"/>
      <w:bookmarkEnd w:id="58"/>
      <w:r>
        <w:rPr/>
      </w:r>
      <w:r>
        <w:rPr/>
        <w:t>十二、基金的业绩</w:t>
      </w:r>
    </w:p>
    <w:p>
      <w:pPr>
        <w:pStyle w:val="BodyText"/>
        <w:spacing w:line="364" w:lineRule="auto" w:before="198"/>
        <w:ind w:left="220" w:right="14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left="220" w:right="1208" w:firstLine="420"/>
        <w:jc w:val="both"/>
      </w:pPr>
      <w:r>
        <w:rPr>
          <w:spacing w:val="-6"/>
        </w:rPr>
        <w:t>本基金合同生效日为 </w:t>
      </w:r>
      <w:r>
        <w:rPr/>
        <w:t>2011</w:t>
      </w:r>
      <w:r>
        <w:rPr>
          <w:spacing w:val="-36"/>
        </w:rPr>
        <w:t> 年 </w:t>
      </w:r>
      <w:r>
        <w:rPr/>
        <w:t>12</w:t>
      </w:r>
      <w:r>
        <w:rPr>
          <w:spacing w:val="-36"/>
        </w:rPr>
        <w:t> 月 </w:t>
      </w:r>
      <w:r>
        <w:rPr/>
        <w:t>1</w:t>
      </w:r>
      <w:r>
        <w:rPr>
          <w:spacing w:val="-8"/>
        </w:rPr>
        <w:t> 日，基金合同生效以来</w:t>
      </w:r>
      <w:r>
        <w:rPr/>
        <w:t>（</w:t>
      </w:r>
      <w:r>
        <w:rPr>
          <w:spacing w:val="-18"/>
        </w:rPr>
        <w:t>截至 </w:t>
      </w:r>
      <w:r>
        <w:rPr/>
        <w:t>2019</w:t>
      </w:r>
      <w:r>
        <w:rPr>
          <w:spacing w:val="-36"/>
        </w:rPr>
        <w:t> 年 </w:t>
      </w:r>
      <w:r>
        <w:rPr/>
        <w:t>12</w:t>
      </w:r>
      <w:r>
        <w:rPr>
          <w:spacing w:val="-36"/>
        </w:rPr>
        <w:t> 月 </w:t>
      </w:r>
      <w:r>
        <w:rPr/>
        <w:t>31</w:t>
      </w:r>
      <w:r>
        <w:rPr>
          <w:spacing w:val="-27"/>
        </w:rPr>
        <w:t> 日</w:t>
      </w:r>
      <w:r>
        <w:rPr/>
        <w:t>） 的投资业绩及与同期基准的比较如下表所示：</w:t>
      </w:r>
    </w:p>
    <w:p>
      <w:pPr>
        <w:pStyle w:val="BodyText"/>
        <w:spacing w:line="268" w:lineRule="exact"/>
        <w:jc w:val="both"/>
      </w:pPr>
      <w:r>
        <w:rPr/>
        <w:t>1、易方达双债增强债券 A 类基金份额净值增长率与同期业绩比较基准收益率比较</w:t>
      </w:r>
    </w:p>
    <w:p>
      <w:pPr>
        <w:pStyle w:val="BodyText"/>
        <w:spacing w:before="6"/>
        <w:ind w:left="0"/>
        <w:rPr>
          <w:sz w:val="10"/>
        </w:r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1080"/>
        <w:gridCol w:w="1080"/>
        <w:gridCol w:w="1440"/>
        <w:gridCol w:w="1339"/>
        <w:gridCol w:w="1001"/>
        <w:gridCol w:w="900"/>
      </w:tblGrid>
      <w:tr>
        <w:trPr>
          <w:trHeight w:val="1225" w:hRule="atLeast"/>
        </w:trPr>
        <w:tc>
          <w:tcPr>
            <w:tcW w:w="1582" w:type="dxa"/>
          </w:tcPr>
          <w:p>
            <w:pPr>
              <w:pStyle w:val="TableParagraph"/>
              <w:rPr>
                <w:sz w:val="20"/>
              </w:rPr>
            </w:pPr>
          </w:p>
          <w:p>
            <w:pPr>
              <w:pStyle w:val="TableParagraph"/>
              <w:spacing w:before="155"/>
              <w:ind w:left="105" w:right="95"/>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72" w:right="109" w:hanging="53"/>
              <w:rPr>
                <w:sz w:val="21"/>
              </w:rPr>
            </w:pPr>
            <w:r>
              <w:rPr>
                <w:sz w:val="21"/>
              </w:rPr>
              <w:t>净值增长率（1）</w:t>
            </w:r>
          </w:p>
        </w:tc>
        <w:tc>
          <w:tcPr>
            <w:tcW w:w="1080" w:type="dxa"/>
          </w:tcPr>
          <w:p>
            <w:pPr>
              <w:pStyle w:val="TableParagraph"/>
              <w:spacing w:line="364" w:lineRule="auto" w:before="3"/>
              <w:ind w:left="120" w:right="109"/>
              <w:jc w:val="center"/>
              <w:rPr>
                <w:sz w:val="21"/>
              </w:rPr>
            </w:pPr>
            <w:r>
              <w:rPr>
                <w:sz w:val="21"/>
              </w:rPr>
              <w:t>净值增长率标准差</w:t>
            </w:r>
          </w:p>
          <w:p>
            <w:pPr>
              <w:pStyle w:val="TableParagraph"/>
              <w:spacing w:line="268" w:lineRule="exact"/>
              <w:ind w:left="27" w:right="17"/>
              <w:jc w:val="center"/>
              <w:rPr>
                <w:sz w:val="21"/>
              </w:rPr>
            </w:pPr>
            <w:r>
              <w:rPr>
                <w:sz w:val="21"/>
              </w:rPr>
              <w:t>（2）</w:t>
            </w:r>
          </w:p>
        </w:tc>
        <w:tc>
          <w:tcPr>
            <w:tcW w:w="1440" w:type="dxa"/>
          </w:tcPr>
          <w:p>
            <w:pPr>
              <w:pStyle w:val="TableParagraph"/>
              <w:spacing w:before="2"/>
              <w:rPr>
                <w:sz w:val="16"/>
              </w:rPr>
            </w:pPr>
          </w:p>
          <w:p>
            <w:pPr>
              <w:pStyle w:val="TableParagraph"/>
              <w:spacing w:line="364" w:lineRule="auto"/>
              <w:ind w:left="108" w:right="-15" w:firstLine="87"/>
              <w:rPr>
                <w:sz w:val="21"/>
              </w:rPr>
            </w:pPr>
            <w:r>
              <w:rPr>
                <w:sz w:val="21"/>
              </w:rPr>
              <w:t>业绩比较基</w:t>
            </w:r>
            <w:r>
              <w:rPr>
                <w:spacing w:val="-9"/>
                <w:sz w:val="21"/>
              </w:rPr>
              <w:t>准收益率</w:t>
            </w:r>
            <w:r>
              <w:rPr>
                <w:spacing w:val="-4"/>
                <w:sz w:val="21"/>
              </w:rPr>
              <w:t>（3）</w:t>
            </w:r>
          </w:p>
        </w:tc>
        <w:tc>
          <w:tcPr>
            <w:tcW w:w="1339" w:type="dxa"/>
          </w:tcPr>
          <w:p>
            <w:pPr>
              <w:pStyle w:val="TableParagraph"/>
              <w:spacing w:line="364" w:lineRule="auto" w:before="3"/>
              <w:ind w:left="144" w:right="132"/>
              <w:rPr>
                <w:sz w:val="21"/>
              </w:rPr>
            </w:pPr>
            <w:r>
              <w:rPr>
                <w:spacing w:val="-4"/>
                <w:sz w:val="21"/>
              </w:rPr>
              <w:t>业绩比较基准收益率标</w:t>
            </w:r>
          </w:p>
          <w:p>
            <w:pPr>
              <w:pStyle w:val="TableParagraph"/>
              <w:spacing w:line="268" w:lineRule="exact"/>
              <w:ind w:left="197"/>
              <w:rPr>
                <w:sz w:val="21"/>
              </w:rPr>
            </w:pPr>
            <w:r>
              <w:rPr>
                <w:sz w:val="21"/>
              </w:rPr>
              <w:t>准差（4）</w:t>
            </w:r>
          </w:p>
        </w:tc>
        <w:tc>
          <w:tcPr>
            <w:tcW w:w="1001" w:type="dxa"/>
          </w:tcPr>
          <w:p>
            <w:pPr>
              <w:pStyle w:val="TableParagraph"/>
              <w:rPr>
                <w:sz w:val="20"/>
              </w:rPr>
            </w:pPr>
          </w:p>
          <w:p>
            <w:pPr>
              <w:pStyle w:val="TableParagraph"/>
              <w:spacing w:before="155"/>
              <w:ind w:left="112" w:right="103"/>
              <w:jc w:val="center"/>
              <w:rPr>
                <w:sz w:val="21"/>
              </w:rPr>
            </w:pPr>
            <w:r>
              <w:rPr>
                <w:sz w:val="21"/>
              </w:rPr>
              <w:t>(1)-(3)</w:t>
            </w:r>
          </w:p>
        </w:tc>
        <w:tc>
          <w:tcPr>
            <w:tcW w:w="900" w:type="dxa"/>
          </w:tcPr>
          <w:p>
            <w:pPr>
              <w:pStyle w:val="TableParagraph"/>
              <w:rPr>
                <w:sz w:val="20"/>
              </w:rPr>
            </w:pPr>
          </w:p>
          <w:p>
            <w:pPr>
              <w:pStyle w:val="TableParagraph"/>
              <w:spacing w:before="155"/>
              <w:ind w:right="125"/>
              <w:jc w:val="right"/>
              <w:rPr>
                <w:sz w:val="21"/>
              </w:rPr>
            </w:pPr>
            <w:r>
              <w:rPr>
                <w:sz w:val="21"/>
              </w:rPr>
              <w:t>(2)-(4)</w:t>
            </w:r>
          </w:p>
        </w:tc>
      </w:tr>
      <w:tr>
        <w:trPr>
          <w:trHeight w:val="1225" w:hRule="atLeast"/>
        </w:trPr>
        <w:tc>
          <w:tcPr>
            <w:tcW w:w="1582" w:type="dxa"/>
          </w:tcPr>
          <w:p>
            <w:pPr>
              <w:pStyle w:val="TableParagraph"/>
              <w:spacing w:line="364" w:lineRule="auto" w:before="3"/>
              <w:ind w:left="108" w:right="83"/>
              <w:rPr>
                <w:sz w:val="21"/>
              </w:rPr>
            </w:pPr>
            <w:r>
              <w:rPr>
                <w:sz w:val="21"/>
              </w:rPr>
              <w:t>自基金合同生效日至2011 年</w:t>
            </w:r>
          </w:p>
          <w:p>
            <w:pPr>
              <w:pStyle w:val="TableParagraph"/>
              <w:spacing w:line="268" w:lineRule="exact"/>
              <w:ind w:left="108"/>
              <w:rPr>
                <w:sz w:val="21"/>
              </w:rPr>
            </w:pPr>
            <w:r>
              <w:rPr>
                <w:sz w:val="21"/>
              </w:rPr>
              <w:t>12 月 31 日</w:t>
            </w:r>
          </w:p>
        </w:tc>
        <w:tc>
          <w:tcPr>
            <w:tcW w:w="1080" w:type="dxa"/>
          </w:tcPr>
          <w:p>
            <w:pPr>
              <w:pStyle w:val="TableParagraph"/>
              <w:rPr>
                <w:sz w:val="20"/>
              </w:rPr>
            </w:pPr>
          </w:p>
          <w:p>
            <w:pPr>
              <w:pStyle w:val="TableParagraph"/>
              <w:spacing w:before="155"/>
              <w:ind w:right="265"/>
              <w:jc w:val="right"/>
              <w:rPr>
                <w:sz w:val="21"/>
              </w:rPr>
            </w:pPr>
            <w:r>
              <w:rPr>
                <w:sz w:val="21"/>
              </w:rPr>
              <w:t>0.30%</w:t>
            </w:r>
          </w:p>
        </w:tc>
        <w:tc>
          <w:tcPr>
            <w:tcW w:w="1080" w:type="dxa"/>
          </w:tcPr>
          <w:p>
            <w:pPr>
              <w:pStyle w:val="TableParagraph"/>
              <w:rPr>
                <w:sz w:val="20"/>
              </w:rPr>
            </w:pPr>
          </w:p>
          <w:p>
            <w:pPr>
              <w:pStyle w:val="TableParagraph"/>
              <w:spacing w:before="155"/>
              <w:ind w:left="27" w:right="17"/>
              <w:jc w:val="center"/>
              <w:rPr>
                <w:sz w:val="21"/>
              </w:rPr>
            </w:pPr>
            <w:r>
              <w:rPr>
                <w:sz w:val="21"/>
              </w:rPr>
              <w:t>0.03%</w:t>
            </w:r>
          </w:p>
        </w:tc>
        <w:tc>
          <w:tcPr>
            <w:tcW w:w="1440" w:type="dxa"/>
          </w:tcPr>
          <w:p>
            <w:pPr>
              <w:pStyle w:val="TableParagraph"/>
              <w:rPr>
                <w:sz w:val="20"/>
              </w:rPr>
            </w:pPr>
          </w:p>
          <w:p>
            <w:pPr>
              <w:pStyle w:val="TableParagraph"/>
              <w:spacing w:before="155"/>
              <w:ind w:left="457"/>
              <w:rPr>
                <w:sz w:val="21"/>
              </w:rPr>
            </w:pPr>
            <w:r>
              <w:rPr>
                <w:sz w:val="21"/>
              </w:rPr>
              <w:t>0.60%</w:t>
            </w:r>
          </w:p>
        </w:tc>
        <w:tc>
          <w:tcPr>
            <w:tcW w:w="1339" w:type="dxa"/>
          </w:tcPr>
          <w:p>
            <w:pPr>
              <w:pStyle w:val="TableParagraph"/>
              <w:rPr>
                <w:sz w:val="20"/>
              </w:rPr>
            </w:pPr>
          </w:p>
          <w:p>
            <w:pPr>
              <w:pStyle w:val="TableParagraph"/>
              <w:spacing w:before="155"/>
              <w:ind w:left="387" w:right="377"/>
              <w:jc w:val="center"/>
              <w:rPr>
                <w:sz w:val="21"/>
              </w:rPr>
            </w:pPr>
            <w:r>
              <w:rPr>
                <w:sz w:val="21"/>
              </w:rPr>
              <w:t>0.22%</w:t>
            </w:r>
          </w:p>
        </w:tc>
        <w:tc>
          <w:tcPr>
            <w:tcW w:w="1001" w:type="dxa"/>
          </w:tcPr>
          <w:p>
            <w:pPr>
              <w:pStyle w:val="TableParagraph"/>
              <w:rPr>
                <w:sz w:val="20"/>
              </w:rPr>
            </w:pPr>
          </w:p>
          <w:p>
            <w:pPr>
              <w:pStyle w:val="TableParagraph"/>
              <w:spacing w:before="155"/>
              <w:ind w:left="112" w:right="103"/>
              <w:jc w:val="center"/>
              <w:rPr>
                <w:sz w:val="21"/>
              </w:rPr>
            </w:pPr>
            <w:r>
              <w:rPr>
                <w:sz w:val="21"/>
              </w:rPr>
              <w:t>-0.30%</w:t>
            </w:r>
          </w:p>
        </w:tc>
        <w:tc>
          <w:tcPr>
            <w:tcW w:w="900" w:type="dxa"/>
          </w:tcPr>
          <w:p>
            <w:pPr>
              <w:pStyle w:val="TableParagraph"/>
              <w:rPr>
                <w:sz w:val="20"/>
              </w:rPr>
            </w:pPr>
          </w:p>
          <w:p>
            <w:pPr>
              <w:pStyle w:val="TableParagraph"/>
              <w:spacing w:before="155"/>
              <w:ind w:right="124"/>
              <w:jc w:val="right"/>
              <w:rPr>
                <w:sz w:val="21"/>
              </w:rPr>
            </w:pPr>
            <w:r>
              <w:rPr>
                <w:sz w:val="21"/>
              </w:rPr>
              <w:t>-0.19%</w:t>
            </w:r>
          </w:p>
        </w:tc>
      </w:tr>
      <w:tr>
        <w:trPr>
          <w:trHeight w:val="1225" w:hRule="atLeast"/>
        </w:trPr>
        <w:tc>
          <w:tcPr>
            <w:tcW w:w="1582" w:type="dxa"/>
          </w:tcPr>
          <w:p>
            <w:pPr>
              <w:pStyle w:val="TableParagraph"/>
              <w:spacing w:before="3"/>
              <w:ind w:left="108"/>
              <w:rPr>
                <w:sz w:val="21"/>
              </w:rPr>
            </w:pPr>
            <w:r>
              <w:rPr>
                <w:sz w:val="21"/>
              </w:rPr>
              <w:t>2012</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日至2012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155"/>
              <w:ind w:right="265"/>
              <w:jc w:val="right"/>
              <w:rPr>
                <w:sz w:val="21"/>
              </w:rPr>
            </w:pPr>
            <w:r>
              <w:rPr>
                <w:sz w:val="21"/>
              </w:rPr>
              <w:t>7.28%</w:t>
            </w:r>
          </w:p>
        </w:tc>
        <w:tc>
          <w:tcPr>
            <w:tcW w:w="1080" w:type="dxa"/>
          </w:tcPr>
          <w:p>
            <w:pPr>
              <w:pStyle w:val="TableParagraph"/>
              <w:rPr>
                <w:sz w:val="20"/>
              </w:rPr>
            </w:pPr>
          </w:p>
          <w:p>
            <w:pPr>
              <w:pStyle w:val="TableParagraph"/>
              <w:spacing w:before="155"/>
              <w:ind w:left="27" w:right="17"/>
              <w:jc w:val="center"/>
              <w:rPr>
                <w:sz w:val="21"/>
              </w:rPr>
            </w:pPr>
            <w:r>
              <w:rPr>
                <w:sz w:val="21"/>
              </w:rPr>
              <w:t>0.14%</w:t>
            </w:r>
          </w:p>
        </w:tc>
        <w:tc>
          <w:tcPr>
            <w:tcW w:w="1440" w:type="dxa"/>
          </w:tcPr>
          <w:p>
            <w:pPr>
              <w:pStyle w:val="TableParagraph"/>
              <w:rPr>
                <w:sz w:val="20"/>
              </w:rPr>
            </w:pPr>
          </w:p>
          <w:p>
            <w:pPr>
              <w:pStyle w:val="TableParagraph"/>
              <w:spacing w:before="155"/>
              <w:ind w:left="457"/>
              <w:rPr>
                <w:sz w:val="21"/>
              </w:rPr>
            </w:pPr>
            <w:r>
              <w:rPr>
                <w:sz w:val="21"/>
              </w:rPr>
              <w:t>2.42%</w:t>
            </w:r>
          </w:p>
        </w:tc>
        <w:tc>
          <w:tcPr>
            <w:tcW w:w="1339" w:type="dxa"/>
          </w:tcPr>
          <w:p>
            <w:pPr>
              <w:pStyle w:val="TableParagraph"/>
              <w:rPr>
                <w:sz w:val="20"/>
              </w:rPr>
            </w:pPr>
          </w:p>
          <w:p>
            <w:pPr>
              <w:pStyle w:val="TableParagraph"/>
              <w:spacing w:before="155"/>
              <w:ind w:left="387" w:right="377"/>
              <w:jc w:val="center"/>
              <w:rPr>
                <w:sz w:val="21"/>
              </w:rPr>
            </w:pPr>
            <w:r>
              <w:rPr>
                <w:sz w:val="21"/>
              </w:rPr>
              <w:t>0.15%</w:t>
            </w:r>
          </w:p>
        </w:tc>
        <w:tc>
          <w:tcPr>
            <w:tcW w:w="1001" w:type="dxa"/>
          </w:tcPr>
          <w:p>
            <w:pPr>
              <w:pStyle w:val="TableParagraph"/>
              <w:rPr>
                <w:sz w:val="20"/>
              </w:rPr>
            </w:pPr>
          </w:p>
          <w:p>
            <w:pPr>
              <w:pStyle w:val="TableParagraph"/>
              <w:spacing w:before="155"/>
              <w:ind w:left="112" w:right="103"/>
              <w:jc w:val="center"/>
              <w:rPr>
                <w:sz w:val="21"/>
              </w:rPr>
            </w:pPr>
            <w:r>
              <w:rPr>
                <w:sz w:val="21"/>
              </w:rPr>
              <w:t>4.86%</w:t>
            </w:r>
          </w:p>
        </w:tc>
        <w:tc>
          <w:tcPr>
            <w:tcW w:w="900" w:type="dxa"/>
          </w:tcPr>
          <w:p>
            <w:pPr>
              <w:pStyle w:val="TableParagraph"/>
              <w:rPr>
                <w:sz w:val="20"/>
              </w:rPr>
            </w:pPr>
          </w:p>
          <w:p>
            <w:pPr>
              <w:pStyle w:val="TableParagraph"/>
              <w:spacing w:before="155"/>
              <w:ind w:right="124"/>
              <w:jc w:val="right"/>
              <w:rPr>
                <w:sz w:val="21"/>
              </w:rPr>
            </w:pPr>
            <w:r>
              <w:rPr>
                <w:sz w:val="21"/>
              </w:rPr>
              <w:t>-0.01%</w:t>
            </w:r>
          </w:p>
        </w:tc>
      </w:tr>
      <w:tr>
        <w:trPr>
          <w:trHeight w:val="1225" w:hRule="atLeast"/>
        </w:trPr>
        <w:tc>
          <w:tcPr>
            <w:tcW w:w="1582" w:type="dxa"/>
          </w:tcPr>
          <w:p>
            <w:pPr>
              <w:pStyle w:val="TableParagraph"/>
              <w:spacing w:before="3"/>
              <w:ind w:left="108"/>
              <w:rPr>
                <w:sz w:val="21"/>
              </w:rPr>
            </w:pPr>
            <w:r>
              <w:rPr>
                <w:sz w:val="21"/>
              </w:rPr>
              <w:t>2013</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日至2013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155"/>
              <w:ind w:right="265"/>
              <w:jc w:val="right"/>
              <w:rPr>
                <w:sz w:val="21"/>
              </w:rPr>
            </w:pPr>
            <w:r>
              <w:rPr>
                <w:sz w:val="21"/>
              </w:rPr>
              <w:t>3.58%</w:t>
            </w:r>
          </w:p>
        </w:tc>
        <w:tc>
          <w:tcPr>
            <w:tcW w:w="1080" w:type="dxa"/>
          </w:tcPr>
          <w:p>
            <w:pPr>
              <w:pStyle w:val="TableParagraph"/>
              <w:rPr>
                <w:sz w:val="20"/>
              </w:rPr>
            </w:pPr>
          </w:p>
          <w:p>
            <w:pPr>
              <w:pStyle w:val="TableParagraph"/>
              <w:spacing w:before="155"/>
              <w:ind w:left="27" w:right="17"/>
              <w:jc w:val="center"/>
              <w:rPr>
                <w:sz w:val="21"/>
              </w:rPr>
            </w:pPr>
            <w:r>
              <w:rPr>
                <w:sz w:val="21"/>
              </w:rPr>
              <w:t>0.26%</w:t>
            </w:r>
          </w:p>
        </w:tc>
        <w:tc>
          <w:tcPr>
            <w:tcW w:w="1440" w:type="dxa"/>
          </w:tcPr>
          <w:p>
            <w:pPr>
              <w:pStyle w:val="TableParagraph"/>
              <w:rPr>
                <w:sz w:val="20"/>
              </w:rPr>
            </w:pPr>
          </w:p>
          <w:p>
            <w:pPr>
              <w:pStyle w:val="TableParagraph"/>
              <w:spacing w:before="155"/>
              <w:ind w:left="405"/>
              <w:rPr>
                <w:sz w:val="21"/>
              </w:rPr>
            </w:pPr>
            <w:r>
              <w:rPr>
                <w:sz w:val="21"/>
              </w:rPr>
              <w:t>-2.66%</w:t>
            </w:r>
          </w:p>
        </w:tc>
        <w:tc>
          <w:tcPr>
            <w:tcW w:w="1339" w:type="dxa"/>
          </w:tcPr>
          <w:p>
            <w:pPr>
              <w:pStyle w:val="TableParagraph"/>
              <w:rPr>
                <w:sz w:val="20"/>
              </w:rPr>
            </w:pPr>
          </w:p>
          <w:p>
            <w:pPr>
              <w:pStyle w:val="TableParagraph"/>
              <w:spacing w:before="155"/>
              <w:ind w:left="387" w:right="377"/>
              <w:jc w:val="center"/>
              <w:rPr>
                <w:sz w:val="21"/>
              </w:rPr>
            </w:pPr>
            <w:r>
              <w:rPr>
                <w:sz w:val="21"/>
              </w:rPr>
              <w:t>0.27%</w:t>
            </w:r>
          </w:p>
        </w:tc>
        <w:tc>
          <w:tcPr>
            <w:tcW w:w="1001" w:type="dxa"/>
          </w:tcPr>
          <w:p>
            <w:pPr>
              <w:pStyle w:val="TableParagraph"/>
              <w:rPr>
                <w:sz w:val="20"/>
              </w:rPr>
            </w:pPr>
          </w:p>
          <w:p>
            <w:pPr>
              <w:pStyle w:val="TableParagraph"/>
              <w:spacing w:before="155"/>
              <w:ind w:left="112" w:right="103"/>
              <w:jc w:val="center"/>
              <w:rPr>
                <w:sz w:val="21"/>
              </w:rPr>
            </w:pPr>
            <w:r>
              <w:rPr>
                <w:sz w:val="21"/>
              </w:rPr>
              <w:t>6.24%</w:t>
            </w:r>
          </w:p>
        </w:tc>
        <w:tc>
          <w:tcPr>
            <w:tcW w:w="900" w:type="dxa"/>
          </w:tcPr>
          <w:p>
            <w:pPr>
              <w:pStyle w:val="TableParagraph"/>
              <w:rPr>
                <w:sz w:val="20"/>
              </w:rPr>
            </w:pPr>
          </w:p>
          <w:p>
            <w:pPr>
              <w:pStyle w:val="TableParagraph"/>
              <w:spacing w:before="155"/>
              <w:ind w:right="124"/>
              <w:jc w:val="right"/>
              <w:rPr>
                <w:sz w:val="21"/>
              </w:rPr>
            </w:pPr>
            <w:r>
              <w:rPr>
                <w:sz w:val="21"/>
              </w:rPr>
              <w:t>-0.01%</w:t>
            </w:r>
          </w:p>
        </w:tc>
      </w:tr>
      <w:tr>
        <w:trPr>
          <w:trHeight w:val="1225" w:hRule="atLeast"/>
        </w:trPr>
        <w:tc>
          <w:tcPr>
            <w:tcW w:w="1582" w:type="dxa"/>
          </w:tcPr>
          <w:p>
            <w:pPr>
              <w:pStyle w:val="TableParagraph"/>
              <w:spacing w:before="3"/>
              <w:ind w:left="108"/>
              <w:rPr>
                <w:sz w:val="21"/>
              </w:rPr>
            </w:pPr>
            <w:r>
              <w:rPr>
                <w:sz w:val="21"/>
              </w:rPr>
              <w:t>2014</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日至2014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155"/>
              <w:ind w:right="213"/>
              <w:jc w:val="right"/>
              <w:rPr>
                <w:sz w:val="21"/>
              </w:rPr>
            </w:pPr>
            <w:r>
              <w:rPr>
                <w:sz w:val="21"/>
              </w:rPr>
              <w:t>14.37%</w:t>
            </w:r>
          </w:p>
        </w:tc>
        <w:tc>
          <w:tcPr>
            <w:tcW w:w="1080" w:type="dxa"/>
          </w:tcPr>
          <w:p>
            <w:pPr>
              <w:pStyle w:val="TableParagraph"/>
              <w:rPr>
                <w:sz w:val="20"/>
              </w:rPr>
            </w:pPr>
          </w:p>
          <w:p>
            <w:pPr>
              <w:pStyle w:val="TableParagraph"/>
              <w:spacing w:before="155"/>
              <w:ind w:left="27" w:right="17"/>
              <w:jc w:val="center"/>
              <w:rPr>
                <w:sz w:val="21"/>
              </w:rPr>
            </w:pPr>
            <w:r>
              <w:rPr>
                <w:sz w:val="21"/>
              </w:rPr>
              <w:t>0.22%</w:t>
            </w:r>
          </w:p>
        </w:tc>
        <w:tc>
          <w:tcPr>
            <w:tcW w:w="1440" w:type="dxa"/>
          </w:tcPr>
          <w:p>
            <w:pPr>
              <w:pStyle w:val="TableParagraph"/>
              <w:rPr>
                <w:sz w:val="20"/>
              </w:rPr>
            </w:pPr>
          </w:p>
          <w:p>
            <w:pPr>
              <w:pStyle w:val="TableParagraph"/>
              <w:spacing w:before="155"/>
              <w:ind w:left="405"/>
              <w:rPr>
                <w:sz w:val="21"/>
              </w:rPr>
            </w:pPr>
            <w:r>
              <w:rPr>
                <w:sz w:val="21"/>
              </w:rPr>
              <w:t>26.21%</w:t>
            </w:r>
          </w:p>
        </w:tc>
        <w:tc>
          <w:tcPr>
            <w:tcW w:w="1339" w:type="dxa"/>
          </w:tcPr>
          <w:p>
            <w:pPr>
              <w:pStyle w:val="TableParagraph"/>
              <w:rPr>
                <w:sz w:val="20"/>
              </w:rPr>
            </w:pPr>
          </w:p>
          <w:p>
            <w:pPr>
              <w:pStyle w:val="TableParagraph"/>
              <w:spacing w:before="155"/>
              <w:ind w:left="387" w:right="377"/>
              <w:jc w:val="center"/>
              <w:rPr>
                <w:sz w:val="21"/>
              </w:rPr>
            </w:pPr>
            <w:r>
              <w:rPr>
                <w:sz w:val="21"/>
              </w:rPr>
              <w:t>0.43%</w:t>
            </w:r>
          </w:p>
        </w:tc>
        <w:tc>
          <w:tcPr>
            <w:tcW w:w="1001" w:type="dxa"/>
          </w:tcPr>
          <w:p>
            <w:pPr>
              <w:pStyle w:val="TableParagraph"/>
              <w:rPr>
                <w:sz w:val="20"/>
              </w:rPr>
            </w:pPr>
          </w:p>
          <w:p>
            <w:pPr>
              <w:pStyle w:val="TableParagraph"/>
              <w:spacing w:before="155"/>
              <w:ind w:left="112" w:right="103"/>
              <w:jc w:val="center"/>
              <w:rPr>
                <w:sz w:val="21"/>
              </w:rPr>
            </w:pPr>
            <w:r>
              <w:rPr>
                <w:sz w:val="21"/>
              </w:rPr>
              <w:t>-11.84%</w:t>
            </w:r>
          </w:p>
        </w:tc>
        <w:tc>
          <w:tcPr>
            <w:tcW w:w="900" w:type="dxa"/>
          </w:tcPr>
          <w:p>
            <w:pPr>
              <w:pStyle w:val="TableParagraph"/>
              <w:rPr>
                <w:sz w:val="20"/>
              </w:rPr>
            </w:pPr>
          </w:p>
          <w:p>
            <w:pPr>
              <w:pStyle w:val="TableParagraph"/>
              <w:spacing w:before="155"/>
              <w:ind w:right="124"/>
              <w:jc w:val="right"/>
              <w:rPr>
                <w:sz w:val="21"/>
              </w:rPr>
            </w:pPr>
            <w:r>
              <w:rPr>
                <w:sz w:val="21"/>
              </w:rPr>
              <w:t>-0.21%</w:t>
            </w:r>
          </w:p>
        </w:tc>
      </w:tr>
      <w:tr>
        <w:trPr>
          <w:trHeight w:val="1225" w:hRule="atLeast"/>
        </w:trPr>
        <w:tc>
          <w:tcPr>
            <w:tcW w:w="1582" w:type="dxa"/>
          </w:tcPr>
          <w:p>
            <w:pPr>
              <w:pStyle w:val="TableParagraph"/>
              <w:spacing w:before="3"/>
              <w:ind w:left="108"/>
              <w:rPr>
                <w:sz w:val="21"/>
              </w:rPr>
            </w:pPr>
            <w:r>
              <w:rPr>
                <w:sz w:val="21"/>
              </w:rPr>
              <w:t>2015</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日至2015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155"/>
              <w:ind w:right="213"/>
              <w:jc w:val="right"/>
              <w:rPr>
                <w:sz w:val="21"/>
              </w:rPr>
            </w:pPr>
            <w:r>
              <w:rPr>
                <w:sz w:val="21"/>
              </w:rPr>
              <w:t>10.03%</w:t>
            </w:r>
          </w:p>
        </w:tc>
        <w:tc>
          <w:tcPr>
            <w:tcW w:w="1080" w:type="dxa"/>
          </w:tcPr>
          <w:p>
            <w:pPr>
              <w:pStyle w:val="TableParagraph"/>
              <w:rPr>
                <w:sz w:val="20"/>
              </w:rPr>
            </w:pPr>
          </w:p>
          <w:p>
            <w:pPr>
              <w:pStyle w:val="TableParagraph"/>
              <w:spacing w:before="155"/>
              <w:ind w:left="27" w:right="17"/>
              <w:jc w:val="center"/>
              <w:rPr>
                <w:sz w:val="21"/>
              </w:rPr>
            </w:pPr>
            <w:r>
              <w:rPr>
                <w:sz w:val="21"/>
              </w:rPr>
              <w:t>0.09%</w:t>
            </w:r>
          </w:p>
        </w:tc>
        <w:tc>
          <w:tcPr>
            <w:tcW w:w="1440" w:type="dxa"/>
          </w:tcPr>
          <w:p>
            <w:pPr>
              <w:pStyle w:val="TableParagraph"/>
              <w:rPr>
                <w:sz w:val="20"/>
              </w:rPr>
            </w:pPr>
          </w:p>
          <w:p>
            <w:pPr>
              <w:pStyle w:val="TableParagraph"/>
              <w:spacing w:before="155"/>
              <w:ind w:left="405"/>
              <w:rPr>
                <w:sz w:val="21"/>
              </w:rPr>
            </w:pPr>
            <w:r>
              <w:rPr>
                <w:sz w:val="21"/>
              </w:rPr>
              <w:t>-8.78%</w:t>
            </w:r>
          </w:p>
        </w:tc>
        <w:tc>
          <w:tcPr>
            <w:tcW w:w="1339" w:type="dxa"/>
          </w:tcPr>
          <w:p>
            <w:pPr>
              <w:pStyle w:val="TableParagraph"/>
              <w:rPr>
                <w:sz w:val="20"/>
              </w:rPr>
            </w:pPr>
          </w:p>
          <w:p>
            <w:pPr>
              <w:pStyle w:val="TableParagraph"/>
              <w:spacing w:before="155"/>
              <w:ind w:left="387" w:right="377"/>
              <w:jc w:val="center"/>
              <w:rPr>
                <w:sz w:val="21"/>
              </w:rPr>
            </w:pPr>
            <w:r>
              <w:rPr>
                <w:sz w:val="21"/>
              </w:rPr>
              <w:t>1.23%</w:t>
            </w:r>
          </w:p>
        </w:tc>
        <w:tc>
          <w:tcPr>
            <w:tcW w:w="1001" w:type="dxa"/>
          </w:tcPr>
          <w:p>
            <w:pPr>
              <w:pStyle w:val="TableParagraph"/>
              <w:rPr>
                <w:sz w:val="20"/>
              </w:rPr>
            </w:pPr>
          </w:p>
          <w:p>
            <w:pPr>
              <w:pStyle w:val="TableParagraph"/>
              <w:spacing w:before="155"/>
              <w:ind w:left="112" w:right="103"/>
              <w:jc w:val="center"/>
              <w:rPr>
                <w:sz w:val="21"/>
              </w:rPr>
            </w:pPr>
            <w:r>
              <w:rPr>
                <w:sz w:val="21"/>
              </w:rPr>
              <w:t>18.81%</w:t>
            </w:r>
          </w:p>
        </w:tc>
        <w:tc>
          <w:tcPr>
            <w:tcW w:w="900" w:type="dxa"/>
          </w:tcPr>
          <w:p>
            <w:pPr>
              <w:pStyle w:val="TableParagraph"/>
              <w:rPr>
                <w:sz w:val="20"/>
              </w:rPr>
            </w:pPr>
          </w:p>
          <w:p>
            <w:pPr>
              <w:pStyle w:val="TableParagraph"/>
              <w:spacing w:before="155"/>
              <w:ind w:right="124"/>
              <w:jc w:val="right"/>
              <w:rPr>
                <w:sz w:val="21"/>
              </w:rPr>
            </w:pPr>
            <w:r>
              <w:rPr>
                <w:sz w:val="21"/>
              </w:rPr>
              <w:t>-1.14%</w:t>
            </w:r>
          </w:p>
        </w:tc>
      </w:tr>
      <w:tr>
        <w:trPr>
          <w:trHeight w:val="1225" w:hRule="atLeast"/>
        </w:trPr>
        <w:tc>
          <w:tcPr>
            <w:tcW w:w="1582" w:type="dxa"/>
          </w:tcPr>
          <w:p>
            <w:pPr>
              <w:pStyle w:val="TableParagraph"/>
              <w:spacing w:before="3"/>
              <w:ind w:left="108"/>
              <w:rPr>
                <w:sz w:val="21"/>
              </w:rPr>
            </w:pPr>
            <w:r>
              <w:rPr>
                <w:sz w:val="21"/>
              </w:rPr>
              <w:t>2016</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日至2016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155"/>
              <w:ind w:right="265"/>
              <w:jc w:val="right"/>
              <w:rPr>
                <w:sz w:val="21"/>
              </w:rPr>
            </w:pPr>
            <w:r>
              <w:rPr>
                <w:sz w:val="21"/>
              </w:rPr>
              <w:t>1.22%</w:t>
            </w:r>
          </w:p>
        </w:tc>
        <w:tc>
          <w:tcPr>
            <w:tcW w:w="1080" w:type="dxa"/>
          </w:tcPr>
          <w:p>
            <w:pPr>
              <w:pStyle w:val="TableParagraph"/>
              <w:rPr>
                <w:sz w:val="20"/>
              </w:rPr>
            </w:pPr>
          </w:p>
          <w:p>
            <w:pPr>
              <w:pStyle w:val="TableParagraph"/>
              <w:spacing w:before="155"/>
              <w:ind w:left="27" w:right="17"/>
              <w:jc w:val="center"/>
              <w:rPr>
                <w:sz w:val="21"/>
              </w:rPr>
            </w:pPr>
            <w:r>
              <w:rPr>
                <w:sz w:val="21"/>
              </w:rPr>
              <w:t>0.09%</w:t>
            </w:r>
          </w:p>
        </w:tc>
        <w:tc>
          <w:tcPr>
            <w:tcW w:w="1440" w:type="dxa"/>
          </w:tcPr>
          <w:p>
            <w:pPr>
              <w:pStyle w:val="TableParagraph"/>
              <w:rPr>
                <w:sz w:val="20"/>
              </w:rPr>
            </w:pPr>
          </w:p>
          <w:p>
            <w:pPr>
              <w:pStyle w:val="TableParagraph"/>
              <w:spacing w:before="155"/>
              <w:ind w:left="405"/>
              <w:rPr>
                <w:sz w:val="21"/>
              </w:rPr>
            </w:pPr>
            <w:r>
              <w:rPr>
                <w:sz w:val="21"/>
              </w:rPr>
              <w:t>-7.42%</w:t>
            </w:r>
          </w:p>
        </w:tc>
        <w:tc>
          <w:tcPr>
            <w:tcW w:w="1339" w:type="dxa"/>
          </w:tcPr>
          <w:p>
            <w:pPr>
              <w:pStyle w:val="TableParagraph"/>
              <w:rPr>
                <w:sz w:val="20"/>
              </w:rPr>
            </w:pPr>
          </w:p>
          <w:p>
            <w:pPr>
              <w:pStyle w:val="TableParagraph"/>
              <w:spacing w:before="155"/>
              <w:ind w:left="387" w:right="377"/>
              <w:jc w:val="center"/>
              <w:rPr>
                <w:sz w:val="21"/>
              </w:rPr>
            </w:pPr>
            <w:r>
              <w:rPr>
                <w:sz w:val="21"/>
              </w:rPr>
              <w:t>0.31%</w:t>
            </w:r>
          </w:p>
        </w:tc>
        <w:tc>
          <w:tcPr>
            <w:tcW w:w="1001" w:type="dxa"/>
          </w:tcPr>
          <w:p>
            <w:pPr>
              <w:pStyle w:val="TableParagraph"/>
              <w:rPr>
                <w:sz w:val="20"/>
              </w:rPr>
            </w:pPr>
          </w:p>
          <w:p>
            <w:pPr>
              <w:pStyle w:val="TableParagraph"/>
              <w:spacing w:before="155"/>
              <w:ind w:left="112" w:right="103"/>
              <w:jc w:val="center"/>
              <w:rPr>
                <w:sz w:val="21"/>
              </w:rPr>
            </w:pPr>
            <w:r>
              <w:rPr>
                <w:sz w:val="21"/>
              </w:rPr>
              <w:t>8.64%</w:t>
            </w:r>
          </w:p>
        </w:tc>
        <w:tc>
          <w:tcPr>
            <w:tcW w:w="900" w:type="dxa"/>
          </w:tcPr>
          <w:p>
            <w:pPr>
              <w:pStyle w:val="TableParagraph"/>
              <w:rPr>
                <w:sz w:val="20"/>
              </w:rPr>
            </w:pPr>
          </w:p>
          <w:p>
            <w:pPr>
              <w:pStyle w:val="TableParagraph"/>
              <w:spacing w:before="155"/>
              <w:ind w:right="124"/>
              <w:jc w:val="right"/>
              <w:rPr>
                <w:sz w:val="21"/>
              </w:rPr>
            </w:pPr>
            <w:r>
              <w:rPr>
                <w:sz w:val="21"/>
              </w:rPr>
              <w:t>-0.22%</w:t>
            </w:r>
          </w:p>
        </w:tc>
      </w:tr>
      <w:tr>
        <w:trPr>
          <w:trHeight w:val="1225" w:hRule="atLeast"/>
        </w:trPr>
        <w:tc>
          <w:tcPr>
            <w:tcW w:w="1582" w:type="dxa"/>
          </w:tcPr>
          <w:p>
            <w:pPr>
              <w:pStyle w:val="TableParagraph"/>
              <w:spacing w:before="3"/>
              <w:ind w:left="108"/>
              <w:rPr>
                <w:sz w:val="21"/>
              </w:rPr>
            </w:pPr>
            <w:r>
              <w:rPr>
                <w:sz w:val="21"/>
              </w:rPr>
              <w:t>2017</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日至2017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5"/>
              <w:rPr>
                <w:sz w:val="17"/>
              </w:rPr>
            </w:pPr>
          </w:p>
          <w:p>
            <w:pPr>
              <w:pStyle w:val="TableParagraph"/>
              <w:ind w:right="265"/>
              <w:jc w:val="right"/>
              <w:rPr>
                <w:sz w:val="21"/>
              </w:rPr>
            </w:pPr>
            <w:r>
              <w:rPr>
                <w:sz w:val="21"/>
              </w:rPr>
              <w:t>2.97%</w:t>
            </w:r>
          </w:p>
        </w:tc>
        <w:tc>
          <w:tcPr>
            <w:tcW w:w="1080" w:type="dxa"/>
          </w:tcPr>
          <w:p>
            <w:pPr>
              <w:pStyle w:val="TableParagraph"/>
              <w:rPr>
                <w:sz w:val="20"/>
              </w:rPr>
            </w:pPr>
          </w:p>
          <w:p>
            <w:pPr>
              <w:pStyle w:val="TableParagraph"/>
              <w:spacing w:before="5"/>
              <w:rPr>
                <w:sz w:val="17"/>
              </w:rPr>
            </w:pPr>
          </w:p>
          <w:p>
            <w:pPr>
              <w:pStyle w:val="TableParagraph"/>
              <w:ind w:left="27" w:right="17"/>
              <w:jc w:val="center"/>
              <w:rPr>
                <w:sz w:val="21"/>
              </w:rPr>
            </w:pPr>
            <w:r>
              <w:rPr>
                <w:sz w:val="21"/>
              </w:rPr>
              <w:t>0.24%</w:t>
            </w:r>
          </w:p>
        </w:tc>
        <w:tc>
          <w:tcPr>
            <w:tcW w:w="1440" w:type="dxa"/>
          </w:tcPr>
          <w:p>
            <w:pPr>
              <w:pStyle w:val="TableParagraph"/>
              <w:rPr>
                <w:sz w:val="20"/>
              </w:rPr>
            </w:pPr>
          </w:p>
          <w:p>
            <w:pPr>
              <w:pStyle w:val="TableParagraph"/>
              <w:spacing w:before="5"/>
              <w:rPr>
                <w:sz w:val="17"/>
              </w:rPr>
            </w:pPr>
          </w:p>
          <w:p>
            <w:pPr>
              <w:pStyle w:val="TableParagraph"/>
              <w:ind w:left="405"/>
              <w:rPr>
                <w:sz w:val="21"/>
              </w:rPr>
            </w:pPr>
            <w:r>
              <w:rPr>
                <w:sz w:val="21"/>
              </w:rPr>
              <w:t>-5.28%</w:t>
            </w:r>
          </w:p>
        </w:tc>
        <w:tc>
          <w:tcPr>
            <w:tcW w:w="1339" w:type="dxa"/>
          </w:tcPr>
          <w:p>
            <w:pPr>
              <w:pStyle w:val="TableParagraph"/>
              <w:rPr>
                <w:sz w:val="20"/>
              </w:rPr>
            </w:pPr>
          </w:p>
          <w:p>
            <w:pPr>
              <w:pStyle w:val="TableParagraph"/>
              <w:spacing w:before="5"/>
              <w:rPr>
                <w:sz w:val="17"/>
              </w:rPr>
            </w:pPr>
          </w:p>
          <w:p>
            <w:pPr>
              <w:pStyle w:val="TableParagraph"/>
              <w:ind w:left="387" w:right="377"/>
              <w:jc w:val="center"/>
              <w:rPr>
                <w:sz w:val="21"/>
              </w:rPr>
            </w:pPr>
            <w:r>
              <w:rPr>
                <w:sz w:val="21"/>
              </w:rPr>
              <w:t>0.18%</w:t>
            </w:r>
          </w:p>
        </w:tc>
        <w:tc>
          <w:tcPr>
            <w:tcW w:w="1001" w:type="dxa"/>
          </w:tcPr>
          <w:p>
            <w:pPr>
              <w:pStyle w:val="TableParagraph"/>
              <w:rPr>
                <w:sz w:val="20"/>
              </w:rPr>
            </w:pPr>
          </w:p>
          <w:p>
            <w:pPr>
              <w:pStyle w:val="TableParagraph"/>
              <w:spacing w:before="5"/>
              <w:rPr>
                <w:sz w:val="17"/>
              </w:rPr>
            </w:pPr>
          </w:p>
          <w:p>
            <w:pPr>
              <w:pStyle w:val="TableParagraph"/>
              <w:ind w:left="112" w:right="103"/>
              <w:jc w:val="center"/>
              <w:rPr>
                <w:sz w:val="21"/>
              </w:rPr>
            </w:pPr>
            <w:r>
              <w:rPr>
                <w:sz w:val="21"/>
              </w:rPr>
              <w:t>8.25%</w:t>
            </w:r>
          </w:p>
        </w:tc>
        <w:tc>
          <w:tcPr>
            <w:tcW w:w="900" w:type="dxa"/>
          </w:tcPr>
          <w:p>
            <w:pPr>
              <w:pStyle w:val="TableParagraph"/>
              <w:rPr>
                <w:sz w:val="20"/>
              </w:rPr>
            </w:pPr>
          </w:p>
          <w:p>
            <w:pPr>
              <w:pStyle w:val="TableParagraph"/>
              <w:spacing w:before="5"/>
              <w:rPr>
                <w:sz w:val="17"/>
              </w:rPr>
            </w:pPr>
          </w:p>
          <w:p>
            <w:pPr>
              <w:pStyle w:val="TableParagraph"/>
              <w:ind w:right="175"/>
              <w:jc w:val="right"/>
              <w:rPr>
                <w:sz w:val="21"/>
              </w:rPr>
            </w:pPr>
            <w:r>
              <w:rPr>
                <w:sz w:val="21"/>
              </w:rPr>
              <w:t>0.06%</w:t>
            </w:r>
          </w:p>
        </w:tc>
      </w:tr>
      <w:tr>
        <w:trPr>
          <w:trHeight w:val="408" w:hRule="atLeast"/>
        </w:trPr>
        <w:tc>
          <w:tcPr>
            <w:tcW w:w="1582" w:type="dxa"/>
          </w:tcPr>
          <w:p>
            <w:pPr>
              <w:pStyle w:val="TableParagraph"/>
              <w:spacing w:before="3"/>
              <w:ind w:right="95"/>
              <w:jc w:val="center"/>
              <w:rPr>
                <w:sz w:val="21"/>
              </w:rPr>
            </w:pPr>
            <w:r>
              <w:rPr>
                <w:sz w:val="21"/>
              </w:rPr>
              <w:t>2018 年 1 月 1</w:t>
            </w:r>
          </w:p>
        </w:tc>
        <w:tc>
          <w:tcPr>
            <w:tcW w:w="1080" w:type="dxa"/>
          </w:tcPr>
          <w:p>
            <w:pPr>
              <w:pStyle w:val="TableParagraph"/>
              <w:spacing w:before="71"/>
              <w:ind w:right="265"/>
              <w:jc w:val="right"/>
              <w:rPr>
                <w:sz w:val="21"/>
              </w:rPr>
            </w:pPr>
            <w:r>
              <w:rPr>
                <w:sz w:val="21"/>
              </w:rPr>
              <w:t>1.09%</w:t>
            </w:r>
          </w:p>
        </w:tc>
        <w:tc>
          <w:tcPr>
            <w:tcW w:w="1080" w:type="dxa"/>
          </w:tcPr>
          <w:p>
            <w:pPr>
              <w:pStyle w:val="TableParagraph"/>
              <w:spacing w:before="71"/>
              <w:ind w:left="27" w:right="17"/>
              <w:jc w:val="center"/>
              <w:rPr>
                <w:sz w:val="21"/>
              </w:rPr>
            </w:pPr>
            <w:r>
              <w:rPr>
                <w:sz w:val="21"/>
              </w:rPr>
              <w:t>0.19%</w:t>
            </w:r>
          </w:p>
        </w:tc>
        <w:tc>
          <w:tcPr>
            <w:tcW w:w="1440" w:type="dxa"/>
          </w:tcPr>
          <w:p>
            <w:pPr>
              <w:pStyle w:val="TableParagraph"/>
              <w:spacing w:before="71"/>
              <w:ind w:left="457"/>
              <w:rPr>
                <w:sz w:val="21"/>
              </w:rPr>
            </w:pPr>
            <w:r>
              <w:rPr>
                <w:sz w:val="21"/>
              </w:rPr>
              <w:t>2.09%</w:t>
            </w:r>
          </w:p>
        </w:tc>
        <w:tc>
          <w:tcPr>
            <w:tcW w:w="1339" w:type="dxa"/>
          </w:tcPr>
          <w:p>
            <w:pPr>
              <w:pStyle w:val="TableParagraph"/>
              <w:spacing w:before="71"/>
              <w:ind w:left="387" w:right="377"/>
              <w:jc w:val="center"/>
              <w:rPr>
                <w:sz w:val="21"/>
              </w:rPr>
            </w:pPr>
            <w:r>
              <w:rPr>
                <w:sz w:val="21"/>
              </w:rPr>
              <w:t>0.21%</w:t>
            </w:r>
          </w:p>
        </w:tc>
        <w:tc>
          <w:tcPr>
            <w:tcW w:w="1001" w:type="dxa"/>
          </w:tcPr>
          <w:p>
            <w:pPr>
              <w:pStyle w:val="TableParagraph"/>
              <w:spacing w:before="71"/>
              <w:ind w:left="112" w:right="103"/>
              <w:jc w:val="center"/>
              <w:rPr>
                <w:sz w:val="21"/>
              </w:rPr>
            </w:pPr>
            <w:r>
              <w:rPr>
                <w:sz w:val="21"/>
              </w:rPr>
              <w:t>-1.00%</w:t>
            </w:r>
          </w:p>
        </w:tc>
        <w:tc>
          <w:tcPr>
            <w:tcW w:w="900" w:type="dxa"/>
          </w:tcPr>
          <w:p>
            <w:pPr>
              <w:pStyle w:val="TableParagraph"/>
              <w:spacing w:before="71"/>
              <w:ind w:right="124"/>
              <w:jc w:val="right"/>
              <w:rPr>
                <w:sz w:val="21"/>
              </w:rPr>
            </w:pPr>
            <w:r>
              <w:rPr>
                <w:sz w:val="21"/>
              </w:rPr>
              <w:t>-0.02%</w:t>
            </w:r>
          </w:p>
        </w:tc>
      </w:tr>
    </w:tbl>
    <w:p>
      <w:pPr>
        <w:spacing w:after="0"/>
        <w:jc w:val="right"/>
        <w:rPr>
          <w:sz w:val="21"/>
        </w:rPr>
        <w:sectPr>
          <w:pgSz w:w="11910" w:h="16840"/>
          <w:pgMar w:header="0" w:footer="664" w:top="1580" w:bottom="940" w:left="1580" w:right="380"/>
        </w:sect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1080"/>
        <w:gridCol w:w="1080"/>
        <w:gridCol w:w="1440"/>
        <w:gridCol w:w="1339"/>
        <w:gridCol w:w="1001"/>
        <w:gridCol w:w="900"/>
      </w:tblGrid>
      <w:tr>
        <w:trPr>
          <w:trHeight w:val="816" w:hRule="atLeast"/>
        </w:trPr>
        <w:tc>
          <w:tcPr>
            <w:tcW w:w="1582" w:type="dxa"/>
          </w:tcPr>
          <w:p>
            <w:pPr>
              <w:pStyle w:val="TableParagraph"/>
              <w:spacing w:before="3"/>
              <w:ind w:left="108"/>
              <w:rPr>
                <w:sz w:val="21"/>
              </w:rPr>
            </w:pPr>
            <w:r>
              <w:rPr>
                <w:sz w:val="21"/>
              </w:rPr>
              <w:t>日至2018 年12</w:t>
            </w:r>
          </w:p>
          <w:p>
            <w:pPr>
              <w:pStyle w:val="TableParagraph"/>
              <w:spacing w:before="139"/>
              <w:ind w:left="108"/>
              <w:rPr>
                <w:sz w:val="21"/>
              </w:rPr>
            </w:pPr>
            <w:r>
              <w:rPr>
                <w:sz w:val="21"/>
              </w:rPr>
              <w:t>月 31 日</w:t>
            </w:r>
          </w:p>
        </w:tc>
        <w:tc>
          <w:tcPr>
            <w:tcW w:w="1080" w:type="dxa"/>
          </w:tcPr>
          <w:p>
            <w:pPr>
              <w:pStyle w:val="TableParagraph"/>
              <w:rPr>
                <w:rFonts w:ascii="Times New Roman"/>
                <w:sz w:val="20"/>
              </w:rPr>
            </w:pPr>
          </w:p>
        </w:tc>
        <w:tc>
          <w:tcPr>
            <w:tcW w:w="1080" w:type="dxa"/>
          </w:tcPr>
          <w:p>
            <w:pPr>
              <w:pStyle w:val="TableParagraph"/>
              <w:rPr>
                <w:rFonts w:ascii="Times New Roman"/>
                <w:sz w:val="20"/>
              </w:rPr>
            </w:pPr>
          </w:p>
        </w:tc>
        <w:tc>
          <w:tcPr>
            <w:tcW w:w="1440" w:type="dxa"/>
          </w:tcPr>
          <w:p>
            <w:pPr>
              <w:pStyle w:val="TableParagraph"/>
              <w:rPr>
                <w:rFonts w:ascii="Times New Roman"/>
                <w:sz w:val="20"/>
              </w:rPr>
            </w:pPr>
          </w:p>
        </w:tc>
        <w:tc>
          <w:tcPr>
            <w:tcW w:w="1339" w:type="dxa"/>
          </w:tcPr>
          <w:p>
            <w:pPr>
              <w:pStyle w:val="TableParagraph"/>
              <w:rPr>
                <w:rFonts w:ascii="Times New Roman"/>
                <w:sz w:val="20"/>
              </w:rPr>
            </w:pPr>
          </w:p>
        </w:tc>
        <w:tc>
          <w:tcPr>
            <w:tcW w:w="1001" w:type="dxa"/>
          </w:tcPr>
          <w:p>
            <w:pPr>
              <w:pStyle w:val="TableParagraph"/>
              <w:rPr>
                <w:rFonts w:ascii="Times New Roman"/>
                <w:sz w:val="20"/>
              </w:rPr>
            </w:pPr>
          </w:p>
        </w:tc>
        <w:tc>
          <w:tcPr>
            <w:tcW w:w="900" w:type="dxa"/>
          </w:tcPr>
          <w:p>
            <w:pPr>
              <w:pStyle w:val="TableParagraph"/>
              <w:rPr>
                <w:rFonts w:ascii="Times New Roman"/>
                <w:sz w:val="20"/>
              </w:rPr>
            </w:pPr>
          </w:p>
        </w:tc>
      </w:tr>
      <w:tr>
        <w:trPr>
          <w:trHeight w:val="1225" w:hRule="atLeast"/>
        </w:trPr>
        <w:tc>
          <w:tcPr>
            <w:tcW w:w="1582" w:type="dxa"/>
          </w:tcPr>
          <w:p>
            <w:pPr>
              <w:pStyle w:val="TableParagraph"/>
              <w:spacing w:before="3"/>
              <w:ind w:left="108"/>
              <w:rPr>
                <w:sz w:val="21"/>
              </w:rPr>
            </w:pPr>
            <w:r>
              <w:rPr>
                <w:sz w:val="21"/>
              </w:rPr>
              <w:t>2019</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日至2019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5"/>
              <w:rPr>
                <w:sz w:val="17"/>
              </w:rPr>
            </w:pPr>
          </w:p>
          <w:p>
            <w:pPr>
              <w:pStyle w:val="TableParagraph"/>
              <w:ind w:right="96"/>
              <w:jc w:val="right"/>
              <w:rPr>
                <w:sz w:val="21"/>
              </w:rPr>
            </w:pPr>
            <w:r>
              <w:rPr>
                <w:sz w:val="21"/>
              </w:rPr>
              <w:t>18.92%</w:t>
            </w:r>
          </w:p>
        </w:tc>
        <w:tc>
          <w:tcPr>
            <w:tcW w:w="1080" w:type="dxa"/>
          </w:tcPr>
          <w:p>
            <w:pPr>
              <w:pStyle w:val="TableParagraph"/>
              <w:rPr>
                <w:sz w:val="20"/>
              </w:rPr>
            </w:pPr>
          </w:p>
          <w:p>
            <w:pPr>
              <w:pStyle w:val="TableParagraph"/>
              <w:spacing w:before="5"/>
              <w:rPr>
                <w:sz w:val="17"/>
              </w:rPr>
            </w:pPr>
          </w:p>
          <w:p>
            <w:pPr>
              <w:pStyle w:val="TableParagraph"/>
              <w:ind w:right="97"/>
              <w:jc w:val="right"/>
              <w:rPr>
                <w:sz w:val="21"/>
              </w:rPr>
            </w:pPr>
            <w:r>
              <w:rPr>
                <w:sz w:val="21"/>
              </w:rPr>
              <w:t>0.45%</w:t>
            </w:r>
          </w:p>
        </w:tc>
        <w:tc>
          <w:tcPr>
            <w:tcW w:w="1440" w:type="dxa"/>
          </w:tcPr>
          <w:p>
            <w:pPr>
              <w:pStyle w:val="TableParagraph"/>
              <w:rPr>
                <w:sz w:val="20"/>
              </w:rPr>
            </w:pPr>
          </w:p>
          <w:p>
            <w:pPr>
              <w:pStyle w:val="TableParagraph"/>
              <w:spacing w:before="5"/>
              <w:rPr>
                <w:sz w:val="17"/>
              </w:rPr>
            </w:pPr>
          </w:p>
          <w:p>
            <w:pPr>
              <w:pStyle w:val="TableParagraph"/>
              <w:ind w:right="97"/>
              <w:jc w:val="right"/>
              <w:rPr>
                <w:sz w:val="21"/>
              </w:rPr>
            </w:pPr>
            <w:r>
              <w:rPr>
                <w:sz w:val="21"/>
              </w:rPr>
              <w:t>8.64%</w:t>
            </w:r>
          </w:p>
        </w:tc>
        <w:tc>
          <w:tcPr>
            <w:tcW w:w="1339" w:type="dxa"/>
          </w:tcPr>
          <w:p>
            <w:pPr>
              <w:pStyle w:val="TableParagraph"/>
              <w:rPr>
                <w:sz w:val="20"/>
              </w:rPr>
            </w:pPr>
          </w:p>
          <w:p>
            <w:pPr>
              <w:pStyle w:val="TableParagraph"/>
              <w:spacing w:before="5"/>
              <w:rPr>
                <w:sz w:val="17"/>
              </w:rPr>
            </w:pPr>
          </w:p>
          <w:p>
            <w:pPr>
              <w:pStyle w:val="TableParagraph"/>
              <w:ind w:right="97"/>
              <w:jc w:val="right"/>
              <w:rPr>
                <w:sz w:val="21"/>
              </w:rPr>
            </w:pPr>
            <w:r>
              <w:rPr>
                <w:sz w:val="21"/>
              </w:rPr>
              <w:t>0.22%</w:t>
            </w:r>
          </w:p>
        </w:tc>
        <w:tc>
          <w:tcPr>
            <w:tcW w:w="1001" w:type="dxa"/>
          </w:tcPr>
          <w:p>
            <w:pPr>
              <w:pStyle w:val="TableParagraph"/>
              <w:rPr>
                <w:sz w:val="20"/>
              </w:rPr>
            </w:pPr>
          </w:p>
          <w:p>
            <w:pPr>
              <w:pStyle w:val="TableParagraph"/>
              <w:spacing w:before="5"/>
              <w:rPr>
                <w:sz w:val="17"/>
              </w:rPr>
            </w:pPr>
          </w:p>
          <w:p>
            <w:pPr>
              <w:pStyle w:val="TableParagraph"/>
              <w:ind w:right="96"/>
              <w:jc w:val="right"/>
              <w:rPr>
                <w:sz w:val="21"/>
              </w:rPr>
            </w:pPr>
            <w:r>
              <w:rPr>
                <w:sz w:val="21"/>
              </w:rPr>
              <w:t>10.28%</w:t>
            </w:r>
          </w:p>
        </w:tc>
        <w:tc>
          <w:tcPr>
            <w:tcW w:w="900" w:type="dxa"/>
          </w:tcPr>
          <w:p>
            <w:pPr>
              <w:pStyle w:val="TableParagraph"/>
              <w:rPr>
                <w:sz w:val="20"/>
              </w:rPr>
            </w:pPr>
          </w:p>
          <w:p>
            <w:pPr>
              <w:pStyle w:val="TableParagraph"/>
              <w:spacing w:before="5"/>
              <w:rPr>
                <w:sz w:val="17"/>
              </w:rPr>
            </w:pPr>
          </w:p>
          <w:p>
            <w:pPr>
              <w:pStyle w:val="TableParagraph"/>
              <w:ind w:right="97"/>
              <w:jc w:val="right"/>
              <w:rPr>
                <w:sz w:val="21"/>
              </w:rPr>
            </w:pPr>
            <w:r>
              <w:rPr>
                <w:sz w:val="21"/>
              </w:rPr>
              <w:t>0.23%</w:t>
            </w:r>
          </w:p>
        </w:tc>
      </w:tr>
      <w:tr>
        <w:trPr>
          <w:trHeight w:val="1225" w:hRule="atLeast"/>
        </w:trPr>
        <w:tc>
          <w:tcPr>
            <w:tcW w:w="1582" w:type="dxa"/>
          </w:tcPr>
          <w:p>
            <w:pPr>
              <w:pStyle w:val="TableParagraph"/>
              <w:spacing w:line="364" w:lineRule="auto" w:before="3"/>
              <w:ind w:left="108" w:right="83"/>
              <w:rPr>
                <w:sz w:val="21"/>
              </w:rPr>
            </w:pPr>
            <w:r>
              <w:rPr>
                <w:sz w:val="21"/>
              </w:rPr>
              <w:t>自基金合同生效日至2019 年</w:t>
            </w:r>
          </w:p>
          <w:p>
            <w:pPr>
              <w:pStyle w:val="TableParagraph"/>
              <w:spacing w:line="268" w:lineRule="exact"/>
              <w:ind w:left="108"/>
              <w:rPr>
                <w:sz w:val="21"/>
              </w:rPr>
            </w:pPr>
            <w:r>
              <w:rPr>
                <w:sz w:val="21"/>
              </w:rPr>
              <w:t>12 月 31 日</w:t>
            </w:r>
          </w:p>
        </w:tc>
        <w:tc>
          <w:tcPr>
            <w:tcW w:w="1080" w:type="dxa"/>
          </w:tcPr>
          <w:p>
            <w:pPr>
              <w:pStyle w:val="TableParagraph"/>
              <w:rPr>
                <w:sz w:val="20"/>
              </w:rPr>
            </w:pPr>
          </w:p>
          <w:p>
            <w:pPr>
              <w:pStyle w:val="TableParagraph"/>
              <w:spacing w:before="5"/>
              <w:rPr>
                <w:sz w:val="17"/>
              </w:rPr>
            </w:pPr>
          </w:p>
          <w:p>
            <w:pPr>
              <w:pStyle w:val="TableParagraph"/>
              <w:ind w:right="96"/>
              <w:jc w:val="right"/>
              <w:rPr>
                <w:sz w:val="21"/>
              </w:rPr>
            </w:pPr>
            <w:r>
              <w:rPr>
                <w:sz w:val="21"/>
              </w:rPr>
              <w:t>75.73%</w:t>
            </w:r>
          </w:p>
        </w:tc>
        <w:tc>
          <w:tcPr>
            <w:tcW w:w="1080" w:type="dxa"/>
          </w:tcPr>
          <w:p>
            <w:pPr>
              <w:pStyle w:val="TableParagraph"/>
              <w:rPr>
                <w:sz w:val="20"/>
              </w:rPr>
            </w:pPr>
          </w:p>
          <w:p>
            <w:pPr>
              <w:pStyle w:val="TableParagraph"/>
              <w:spacing w:before="5"/>
              <w:rPr>
                <w:sz w:val="17"/>
              </w:rPr>
            </w:pPr>
          </w:p>
          <w:p>
            <w:pPr>
              <w:pStyle w:val="TableParagraph"/>
              <w:ind w:right="97"/>
              <w:jc w:val="right"/>
              <w:rPr>
                <w:sz w:val="21"/>
              </w:rPr>
            </w:pPr>
            <w:r>
              <w:rPr>
                <w:sz w:val="21"/>
              </w:rPr>
              <w:t>0.24%</w:t>
            </w:r>
          </w:p>
        </w:tc>
        <w:tc>
          <w:tcPr>
            <w:tcW w:w="1440" w:type="dxa"/>
          </w:tcPr>
          <w:p>
            <w:pPr>
              <w:pStyle w:val="TableParagraph"/>
              <w:rPr>
                <w:sz w:val="20"/>
              </w:rPr>
            </w:pPr>
          </w:p>
          <w:p>
            <w:pPr>
              <w:pStyle w:val="TableParagraph"/>
              <w:spacing w:before="5"/>
              <w:rPr>
                <w:sz w:val="17"/>
              </w:rPr>
            </w:pPr>
          </w:p>
          <w:p>
            <w:pPr>
              <w:pStyle w:val="TableParagraph"/>
              <w:ind w:right="97"/>
              <w:jc w:val="right"/>
              <w:rPr>
                <w:sz w:val="21"/>
              </w:rPr>
            </w:pPr>
            <w:r>
              <w:rPr>
                <w:sz w:val="21"/>
              </w:rPr>
              <w:t>9.45%</w:t>
            </w:r>
          </w:p>
        </w:tc>
        <w:tc>
          <w:tcPr>
            <w:tcW w:w="1339" w:type="dxa"/>
          </w:tcPr>
          <w:p>
            <w:pPr>
              <w:pStyle w:val="TableParagraph"/>
              <w:rPr>
                <w:sz w:val="20"/>
              </w:rPr>
            </w:pPr>
          </w:p>
          <w:p>
            <w:pPr>
              <w:pStyle w:val="TableParagraph"/>
              <w:spacing w:before="5"/>
              <w:rPr>
                <w:sz w:val="17"/>
              </w:rPr>
            </w:pPr>
          </w:p>
          <w:p>
            <w:pPr>
              <w:pStyle w:val="TableParagraph"/>
              <w:ind w:right="97"/>
              <w:jc w:val="right"/>
              <w:rPr>
                <w:sz w:val="21"/>
              </w:rPr>
            </w:pPr>
            <w:r>
              <w:rPr>
                <w:sz w:val="21"/>
              </w:rPr>
              <w:t>0.50%</w:t>
            </w:r>
          </w:p>
        </w:tc>
        <w:tc>
          <w:tcPr>
            <w:tcW w:w="1001" w:type="dxa"/>
          </w:tcPr>
          <w:p>
            <w:pPr>
              <w:pStyle w:val="TableParagraph"/>
              <w:rPr>
                <w:sz w:val="20"/>
              </w:rPr>
            </w:pPr>
          </w:p>
          <w:p>
            <w:pPr>
              <w:pStyle w:val="TableParagraph"/>
              <w:spacing w:before="5"/>
              <w:rPr>
                <w:sz w:val="17"/>
              </w:rPr>
            </w:pPr>
          </w:p>
          <w:p>
            <w:pPr>
              <w:pStyle w:val="TableParagraph"/>
              <w:ind w:right="96"/>
              <w:jc w:val="right"/>
              <w:rPr>
                <w:sz w:val="21"/>
              </w:rPr>
            </w:pPr>
            <w:r>
              <w:rPr>
                <w:sz w:val="21"/>
              </w:rPr>
              <w:t>66.28%</w:t>
            </w:r>
          </w:p>
        </w:tc>
        <w:tc>
          <w:tcPr>
            <w:tcW w:w="900" w:type="dxa"/>
          </w:tcPr>
          <w:p>
            <w:pPr>
              <w:pStyle w:val="TableParagraph"/>
              <w:rPr>
                <w:sz w:val="20"/>
              </w:rPr>
            </w:pPr>
          </w:p>
          <w:p>
            <w:pPr>
              <w:pStyle w:val="TableParagraph"/>
              <w:spacing w:before="5"/>
              <w:rPr>
                <w:sz w:val="17"/>
              </w:rPr>
            </w:pPr>
          </w:p>
          <w:p>
            <w:pPr>
              <w:pStyle w:val="TableParagraph"/>
              <w:ind w:right="97"/>
              <w:jc w:val="right"/>
              <w:rPr>
                <w:sz w:val="21"/>
              </w:rPr>
            </w:pPr>
            <w:r>
              <w:rPr>
                <w:sz w:val="21"/>
              </w:rPr>
              <w:t>-0.26%</w:t>
            </w:r>
          </w:p>
        </w:tc>
      </w:tr>
    </w:tbl>
    <w:p>
      <w:pPr>
        <w:pStyle w:val="BodyText"/>
        <w:spacing w:before="3"/>
      </w:pPr>
      <w:r>
        <w:rPr/>
        <w:t>2、易方达双债增强债券 C 类基金份额净值增长率与同期业绩比较基准收益率比较</w:t>
      </w:r>
    </w:p>
    <w:p>
      <w:pPr>
        <w:pStyle w:val="BodyText"/>
        <w:spacing w:before="8"/>
        <w:ind w:left="0"/>
        <w:rPr>
          <w:sz w:val="10"/>
        </w:r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1080"/>
        <w:gridCol w:w="1080"/>
        <w:gridCol w:w="1440"/>
        <w:gridCol w:w="1339"/>
        <w:gridCol w:w="1001"/>
        <w:gridCol w:w="900"/>
      </w:tblGrid>
      <w:tr>
        <w:trPr>
          <w:trHeight w:val="1225" w:hRule="atLeast"/>
        </w:trPr>
        <w:tc>
          <w:tcPr>
            <w:tcW w:w="1582" w:type="dxa"/>
          </w:tcPr>
          <w:p>
            <w:pPr>
              <w:pStyle w:val="TableParagraph"/>
              <w:rPr>
                <w:sz w:val="20"/>
              </w:rPr>
            </w:pPr>
          </w:p>
          <w:p>
            <w:pPr>
              <w:pStyle w:val="TableParagraph"/>
              <w:spacing w:before="155"/>
              <w:ind w:left="105" w:right="95"/>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72" w:right="109" w:hanging="53"/>
              <w:rPr>
                <w:sz w:val="21"/>
              </w:rPr>
            </w:pPr>
            <w:r>
              <w:rPr>
                <w:sz w:val="21"/>
              </w:rPr>
              <w:t>净值增长率（1）</w:t>
            </w:r>
          </w:p>
        </w:tc>
        <w:tc>
          <w:tcPr>
            <w:tcW w:w="1080" w:type="dxa"/>
          </w:tcPr>
          <w:p>
            <w:pPr>
              <w:pStyle w:val="TableParagraph"/>
              <w:spacing w:line="364" w:lineRule="auto" w:before="3"/>
              <w:ind w:left="120" w:right="109"/>
              <w:jc w:val="center"/>
              <w:rPr>
                <w:sz w:val="21"/>
              </w:rPr>
            </w:pPr>
            <w:r>
              <w:rPr>
                <w:sz w:val="21"/>
              </w:rPr>
              <w:t>净值增长率标准差</w:t>
            </w:r>
          </w:p>
          <w:p>
            <w:pPr>
              <w:pStyle w:val="TableParagraph"/>
              <w:spacing w:line="268" w:lineRule="exact"/>
              <w:ind w:left="27" w:right="17"/>
              <w:jc w:val="center"/>
              <w:rPr>
                <w:sz w:val="21"/>
              </w:rPr>
            </w:pPr>
            <w:r>
              <w:rPr>
                <w:sz w:val="21"/>
              </w:rPr>
              <w:t>（2）</w:t>
            </w:r>
          </w:p>
        </w:tc>
        <w:tc>
          <w:tcPr>
            <w:tcW w:w="1440" w:type="dxa"/>
          </w:tcPr>
          <w:p>
            <w:pPr>
              <w:pStyle w:val="TableParagraph"/>
              <w:spacing w:before="2"/>
              <w:rPr>
                <w:sz w:val="16"/>
              </w:rPr>
            </w:pPr>
          </w:p>
          <w:p>
            <w:pPr>
              <w:pStyle w:val="TableParagraph"/>
              <w:spacing w:line="364" w:lineRule="auto"/>
              <w:ind w:left="108" w:right="-15" w:firstLine="87"/>
              <w:rPr>
                <w:sz w:val="21"/>
              </w:rPr>
            </w:pPr>
            <w:r>
              <w:rPr>
                <w:sz w:val="21"/>
              </w:rPr>
              <w:t>业绩比较基</w:t>
            </w:r>
            <w:r>
              <w:rPr>
                <w:spacing w:val="-9"/>
                <w:sz w:val="21"/>
              </w:rPr>
              <w:t>准收益率</w:t>
            </w:r>
            <w:r>
              <w:rPr>
                <w:spacing w:val="-4"/>
                <w:sz w:val="21"/>
              </w:rPr>
              <w:t>（3）</w:t>
            </w:r>
          </w:p>
        </w:tc>
        <w:tc>
          <w:tcPr>
            <w:tcW w:w="1339" w:type="dxa"/>
          </w:tcPr>
          <w:p>
            <w:pPr>
              <w:pStyle w:val="TableParagraph"/>
              <w:spacing w:line="364" w:lineRule="auto" w:before="3"/>
              <w:ind w:left="144" w:right="132"/>
              <w:rPr>
                <w:sz w:val="21"/>
              </w:rPr>
            </w:pPr>
            <w:r>
              <w:rPr>
                <w:spacing w:val="-4"/>
                <w:sz w:val="21"/>
              </w:rPr>
              <w:t>业绩比较基准收益率标</w:t>
            </w:r>
          </w:p>
          <w:p>
            <w:pPr>
              <w:pStyle w:val="TableParagraph"/>
              <w:spacing w:line="268" w:lineRule="exact"/>
              <w:ind w:left="197"/>
              <w:rPr>
                <w:sz w:val="21"/>
              </w:rPr>
            </w:pPr>
            <w:r>
              <w:rPr>
                <w:sz w:val="21"/>
              </w:rPr>
              <w:t>准差（4）</w:t>
            </w:r>
          </w:p>
        </w:tc>
        <w:tc>
          <w:tcPr>
            <w:tcW w:w="1001" w:type="dxa"/>
          </w:tcPr>
          <w:p>
            <w:pPr>
              <w:pStyle w:val="TableParagraph"/>
              <w:rPr>
                <w:sz w:val="20"/>
              </w:rPr>
            </w:pPr>
          </w:p>
          <w:p>
            <w:pPr>
              <w:pStyle w:val="TableParagraph"/>
              <w:spacing w:before="155"/>
              <w:ind w:left="112" w:right="103"/>
              <w:jc w:val="center"/>
              <w:rPr>
                <w:sz w:val="21"/>
              </w:rPr>
            </w:pPr>
            <w:r>
              <w:rPr>
                <w:sz w:val="21"/>
              </w:rPr>
              <w:t>(1)-(3)</w:t>
            </w:r>
          </w:p>
        </w:tc>
        <w:tc>
          <w:tcPr>
            <w:tcW w:w="900" w:type="dxa"/>
          </w:tcPr>
          <w:p>
            <w:pPr>
              <w:pStyle w:val="TableParagraph"/>
              <w:rPr>
                <w:sz w:val="20"/>
              </w:rPr>
            </w:pPr>
          </w:p>
          <w:p>
            <w:pPr>
              <w:pStyle w:val="TableParagraph"/>
              <w:spacing w:before="155"/>
              <w:ind w:right="125"/>
              <w:jc w:val="right"/>
              <w:rPr>
                <w:sz w:val="21"/>
              </w:rPr>
            </w:pPr>
            <w:r>
              <w:rPr>
                <w:sz w:val="21"/>
              </w:rPr>
              <w:t>(2)-(4)</w:t>
            </w:r>
          </w:p>
        </w:tc>
      </w:tr>
      <w:tr>
        <w:trPr>
          <w:trHeight w:val="1225" w:hRule="atLeast"/>
        </w:trPr>
        <w:tc>
          <w:tcPr>
            <w:tcW w:w="1582" w:type="dxa"/>
          </w:tcPr>
          <w:p>
            <w:pPr>
              <w:pStyle w:val="TableParagraph"/>
              <w:spacing w:line="364" w:lineRule="auto" w:before="3"/>
              <w:ind w:left="108" w:right="83"/>
              <w:rPr>
                <w:sz w:val="21"/>
              </w:rPr>
            </w:pPr>
            <w:r>
              <w:rPr>
                <w:sz w:val="21"/>
              </w:rPr>
              <w:t>自基金合同生效日至2011 年</w:t>
            </w:r>
          </w:p>
          <w:p>
            <w:pPr>
              <w:pStyle w:val="TableParagraph"/>
              <w:spacing w:line="268" w:lineRule="exact"/>
              <w:ind w:left="108"/>
              <w:rPr>
                <w:sz w:val="21"/>
              </w:rPr>
            </w:pPr>
            <w:r>
              <w:rPr>
                <w:sz w:val="21"/>
              </w:rPr>
              <w:t>12 月 31 日</w:t>
            </w:r>
          </w:p>
        </w:tc>
        <w:tc>
          <w:tcPr>
            <w:tcW w:w="1080" w:type="dxa"/>
          </w:tcPr>
          <w:p>
            <w:pPr>
              <w:pStyle w:val="TableParagraph"/>
              <w:rPr>
                <w:sz w:val="20"/>
              </w:rPr>
            </w:pPr>
          </w:p>
          <w:p>
            <w:pPr>
              <w:pStyle w:val="TableParagraph"/>
              <w:spacing w:before="155"/>
              <w:ind w:right="265"/>
              <w:jc w:val="right"/>
              <w:rPr>
                <w:sz w:val="21"/>
              </w:rPr>
            </w:pPr>
            <w:r>
              <w:rPr>
                <w:sz w:val="21"/>
              </w:rPr>
              <w:t>0.20%</w:t>
            </w:r>
          </w:p>
        </w:tc>
        <w:tc>
          <w:tcPr>
            <w:tcW w:w="1080" w:type="dxa"/>
          </w:tcPr>
          <w:p>
            <w:pPr>
              <w:pStyle w:val="TableParagraph"/>
              <w:rPr>
                <w:sz w:val="20"/>
              </w:rPr>
            </w:pPr>
          </w:p>
          <w:p>
            <w:pPr>
              <w:pStyle w:val="TableParagraph"/>
              <w:spacing w:before="155"/>
              <w:ind w:left="27" w:right="17"/>
              <w:jc w:val="center"/>
              <w:rPr>
                <w:sz w:val="21"/>
              </w:rPr>
            </w:pPr>
            <w:r>
              <w:rPr>
                <w:sz w:val="21"/>
              </w:rPr>
              <w:t>0.03%</w:t>
            </w:r>
          </w:p>
        </w:tc>
        <w:tc>
          <w:tcPr>
            <w:tcW w:w="1440" w:type="dxa"/>
          </w:tcPr>
          <w:p>
            <w:pPr>
              <w:pStyle w:val="TableParagraph"/>
              <w:rPr>
                <w:sz w:val="20"/>
              </w:rPr>
            </w:pPr>
          </w:p>
          <w:p>
            <w:pPr>
              <w:pStyle w:val="TableParagraph"/>
              <w:spacing w:before="155"/>
              <w:ind w:left="457"/>
              <w:rPr>
                <w:sz w:val="21"/>
              </w:rPr>
            </w:pPr>
            <w:r>
              <w:rPr>
                <w:sz w:val="21"/>
              </w:rPr>
              <w:t>0.60%</w:t>
            </w:r>
          </w:p>
        </w:tc>
        <w:tc>
          <w:tcPr>
            <w:tcW w:w="1339" w:type="dxa"/>
          </w:tcPr>
          <w:p>
            <w:pPr>
              <w:pStyle w:val="TableParagraph"/>
              <w:rPr>
                <w:sz w:val="20"/>
              </w:rPr>
            </w:pPr>
          </w:p>
          <w:p>
            <w:pPr>
              <w:pStyle w:val="TableParagraph"/>
              <w:spacing w:before="155"/>
              <w:ind w:left="387" w:right="377"/>
              <w:jc w:val="center"/>
              <w:rPr>
                <w:sz w:val="21"/>
              </w:rPr>
            </w:pPr>
            <w:r>
              <w:rPr>
                <w:sz w:val="21"/>
              </w:rPr>
              <w:t>0.22%</w:t>
            </w:r>
          </w:p>
        </w:tc>
        <w:tc>
          <w:tcPr>
            <w:tcW w:w="1001" w:type="dxa"/>
          </w:tcPr>
          <w:p>
            <w:pPr>
              <w:pStyle w:val="TableParagraph"/>
              <w:rPr>
                <w:sz w:val="20"/>
              </w:rPr>
            </w:pPr>
          </w:p>
          <w:p>
            <w:pPr>
              <w:pStyle w:val="TableParagraph"/>
              <w:spacing w:before="155"/>
              <w:ind w:left="112" w:right="103"/>
              <w:jc w:val="center"/>
              <w:rPr>
                <w:sz w:val="21"/>
              </w:rPr>
            </w:pPr>
            <w:r>
              <w:rPr>
                <w:sz w:val="21"/>
              </w:rPr>
              <w:t>-0.40%</w:t>
            </w:r>
          </w:p>
        </w:tc>
        <w:tc>
          <w:tcPr>
            <w:tcW w:w="900" w:type="dxa"/>
          </w:tcPr>
          <w:p>
            <w:pPr>
              <w:pStyle w:val="TableParagraph"/>
              <w:rPr>
                <w:sz w:val="20"/>
              </w:rPr>
            </w:pPr>
          </w:p>
          <w:p>
            <w:pPr>
              <w:pStyle w:val="TableParagraph"/>
              <w:spacing w:before="155"/>
              <w:ind w:right="124"/>
              <w:jc w:val="right"/>
              <w:rPr>
                <w:sz w:val="21"/>
              </w:rPr>
            </w:pPr>
            <w:r>
              <w:rPr>
                <w:sz w:val="21"/>
              </w:rPr>
              <w:t>-0.19%</w:t>
            </w:r>
          </w:p>
        </w:tc>
      </w:tr>
      <w:tr>
        <w:trPr>
          <w:trHeight w:val="1225" w:hRule="atLeast"/>
        </w:trPr>
        <w:tc>
          <w:tcPr>
            <w:tcW w:w="1582" w:type="dxa"/>
          </w:tcPr>
          <w:p>
            <w:pPr>
              <w:pStyle w:val="TableParagraph"/>
              <w:spacing w:before="3"/>
              <w:ind w:left="108"/>
              <w:rPr>
                <w:sz w:val="21"/>
              </w:rPr>
            </w:pPr>
            <w:r>
              <w:rPr>
                <w:sz w:val="21"/>
              </w:rPr>
              <w:t>2012</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日至2012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155"/>
              <w:ind w:right="265"/>
              <w:jc w:val="right"/>
              <w:rPr>
                <w:sz w:val="21"/>
              </w:rPr>
            </w:pPr>
            <w:r>
              <w:rPr>
                <w:sz w:val="21"/>
              </w:rPr>
              <w:t>6.69%</w:t>
            </w:r>
          </w:p>
        </w:tc>
        <w:tc>
          <w:tcPr>
            <w:tcW w:w="1080" w:type="dxa"/>
          </w:tcPr>
          <w:p>
            <w:pPr>
              <w:pStyle w:val="TableParagraph"/>
              <w:rPr>
                <w:sz w:val="20"/>
              </w:rPr>
            </w:pPr>
          </w:p>
          <w:p>
            <w:pPr>
              <w:pStyle w:val="TableParagraph"/>
              <w:spacing w:before="155"/>
              <w:ind w:left="27" w:right="17"/>
              <w:jc w:val="center"/>
              <w:rPr>
                <w:sz w:val="21"/>
              </w:rPr>
            </w:pPr>
            <w:r>
              <w:rPr>
                <w:sz w:val="21"/>
              </w:rPr>
              <w:t>0.15%</w:t>
            </w:r>
          </w:p>
        </w:tc>
        <w:tc>
          <w:tcPr>
            <w:tcW w:w="1440" w:type="dxa"/>
          </w:tcPr>
          <w:p>
            <w:pPr>
              <w:pStyle w:val="TableParagraph"/>
              <w:rPr>
                <w:sz w:val="20"/>
              </w:rPr>
            </w:pPr>
          </w:p>
          <w:p>
            <w:pPr>
              <w:pStyle w:val="TableParagraph"/>
              <w:spacing w:before="155"/>
              <w:ind w:left="457"/>
              <w:rPr>
                <w:sz w:val="21"/>
              </w:rPr>
            </w:pPr>
            <w:r>
              <w:rPr>
                <w:sz w:val="21"/>
              </w:rPr>
              <w:t>2.42%</w:t>
            </w:r>
          </w:p>
        </w:tc>
        <w:tc>
          <w:tcPr>
            <w:tcW w:w="1339" w:type="dxa"/>
          </w:tcPr>
          <w:p>
            <w:pPr>
              <w:pStyle w:val="TableParagraph"/>
              <w:rPr>
                <w:sz w:val="20"/>
              </w:rPr>
            </w:pPr>
          </w:p>
          <w:p>
            <w:pPr>
              <w:pStyle w:val="TableParagraph"/>
              <w:spacing w:before="155"/>
              <w:ind w:left="387" w:right="377"/>
              <w:jc w:val="center"/>
              <w:rPr>
                <w:sz w:val="21"/>
              </w:rPr>
            </w:pPr>
            <w:r>
              <w:rPr>
                <w:sz w:val="21"/>
              </w:rPr>
              <w:t>0.15%</w:t>
            </w:r>
          </w:p>
        </w:tc>
        <w:tc>
          <w:tcPr>
            <w:tcW w:w="1001" w:type="dxa"/>
          </w:tcPr>
          <w:p>
            <w:pPr>
              <w:pStyle w:val="TableParagraph"/>
              <w:rPr>
                <w:sz w:val="20"/>
              </w:rPr>
            </w:pPr>
          </w:p>
          <w:p>
            <w:pPr>
              <w:pStyle w:val="TableParagraph"/>
              <w:spacing w:before="155"/>
              <w:ind w:left="112" w:right="103"/>
              <w:jc w:val="center"/>
              <w:rPr>
                <w:sz w:val="21"/>
              </w:rPr>
            </w:pPr>
            <w:r>
              <w:rPr>
                <w:sz w:val="21"/>
              </w:rPr>
              <w:t>4.27%</w:t>
            </w:r>
          </w:p>
        </w:tc>
        <w:tc>
          <w:tcPr>
            <w:tcW w:w="900" w:type="dxa"/>
          </w:tcPr>
          <w:p>
            <w:pPr>
              <w:pStyle w:val="TableParagraph"/>
              <w:rPr>
                <w:sz w:val="20"/>
              </w:rPr>
            </w:pPr>
          </w:p>
          <w:p>
            <w:pPr>
              <w:pStyle w:val="TableParagraph"/>
              <w:spacing w:before="155"/>
              <w:ind w:right="175"/>
              <w:jc w:val="right"/>
              <w:rPr>
                <w:sz w:val="21"/>
              </w:rPr>
            </w:pPr>
            <w:r>
              <w:rPr>
                <w:sz w:val="21"/>
              </w:rPr>
              <w:t>0.00%</w:t>
            </w:r>
          </w:p>
        </w:tc>
      </w:tr>
      <w:tr>
        <w:trPr>
          <w:trHeight w:val="1225" w:hRule="atLeast"/>
        </w:trPr>
        <w:tc>
          <w:tcPr>
            <w:tcW w:w="1582" w:type="dxa"/>
          </w:tcPr>
          <w:p>
            <w:pPr>
              <w:pStyle w:val="TableParagraph"/>
              <w:spacing w:before="3"/>
              <w:ind w:left="108"/>
              <w:rPr>
                <w:sz w:val="21"/>
              </w:rPr>
            </w:pPr>
            <w:r>
              <w:rPr>
                <w:sz w:val="21"/>
              </w:rPr>
              <w:t>2013</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日至2013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155"/>
              <w:ind w:right="265"/>
              <w:jc w:val="right"/>
              <w:rPr>
                <w:sz w:val="21"/>
              </w:rPr>
            </w:pPr>
            <w:r>
              <w:rPr>
                <w:sz w:val="21"/>
              </w:rPr>
              <w:t>3.41%</w:t>
            </w:r>
          </w:p>
        </w:tc>
        <w:tc>
          <w:tcPr>
            <w:tcW w:w="1080" w:type="dxa"/>
          </w:tcPr>
          <w:p>
            <w:pPr>
              <w:pStyle w:val="TableParagraph"/>
              <w:rPr>
                <w:sz w:val="20"/>
              </w:rPr>
            </w:pPr>
          </w:p>
          <w:p>
            <w:pPr>
              <w:pStyle w:val="TableParagraph"/>
              <w:spacing w:before="155"/>
              <w:ind w:left="27" w:right="17"/>
              <w:jc w:val="center"/>
              <w:rPr>
                <w:sz w:val="21"/>
              </w:rPr>
            </w:pPr>
            <w:r>
              <w:rPr>
                <w:sz w:val="21"/>
              </w:rPr>
              <w:t>0.26%</w:t>
            </w:r>
          </w:p>
        </w:tc>
        <w:tc>
          <w:tcPr>
            <w:tcW w:w="1440" w:type="dxa"/>
          </w:tcPr>
          <w:p>
            <w:pPr>
              <w:pStyle w:val="TableParagraph"/>
              <w:rPr>
                <w:sz w:val="20"/>
              </w:rPr>
            </w:pPr>
          </w:p>
          <w:p>
            <w:pPr>
              <w:pStyle w:val="TableParagraph"/>
              <w:spacing w:before="155"/>
              <w:ind w:left="405"/>
              <w:rPr>
                <w:sz w:val="21"/>
              </w:rPr>
            </w:pPr>
            <w:r>
              <w:rPr>
                <w:sz w:val="21"/>
              </w:rPr>
              <w:t>-2.66%</w:t>
            </w:r>
          </w:p>
        </w:tc>
        <w:tc>
          <w:tcPr>
            <w:tcW w:w="1339" w:type="dxa"/>
          </w:tcPr>
          <w:p>
            <w:pPr>
              <w:pStyle w:val="TableParagraph"/>
              <w:rPr>
                <w:sz w:val="20"/>
              </w:rPr>
            </w:pPr>
          </w:p>
          <w:p>
            <w:pPr>
              <w:pStyle w:val="TableParagraph"/>
              <w:spacing w:before="155"/>
              <w:ind w:left="387" w:right="377"/>
              <w:jc w:val="center"/>
              <w:rPr>
                <w:sz w:val="21"/>
              </w:rPr>
            </w:pPr>
            <w:r>
              <w:rPr>
                <w:sz w:val="21"/>
              </w:rPr>
              <w:t>0.27%</w:t>
            </w:r>
          </w:p>
        </w:tc>
        <w:tc>
          <w:tcPr>
            <w:tcW w:w="1001" w:type="dxa"/>
          </w:tcPr>
          <w:p>
            <w:pPr>
              <w:pStyle w:val="TableParagraph"/>
              <w:rPr>
                <w:sz w:val="20"/>
              </w:rPr>
            </w:pPr>
          </w:p>
          <w:p>
            <w:pPr>
              <w:pStyle w:val="TableParagraph"/>
              <w:spacing w:before="155"/>
              <w:ind w:left="112" w:right="103"/>
              <w:jc w:val="center"/>
              <w:rPr>
                <w:sz w:val="21"/>
              </w:rPr>
            </w:pPr>
            <w:r>
              <w:rPr>
                <w:sz w:val="21"/>
              </w:rPr>
              <w:t>6.07%</w:t>
            </w:r>
          </w:p>
        </w:tc>
        <w:tc>
          <w:tcPr>
            <w:tcW w:w="900" w:type="dxa"/>
          </w:tcPr>
          <w:p>
            <w:pPr>
              <w:pStyle w:val="TableParagraph"/>
              <w:rPr>
                <w:sz w:val="20"/>
              </w:rPr>
            </w:pPr>
          </w:p>
          <w:p>
            <w:pPr>
              <w:pStyle w:val="TableParagraph"/>
              <w:spacing w:before="155"/>
              <w:ind w:right="124"/>
              <w:jc w:val="right"/>
              <w:rPr>
                <w:sz w:val="21"/>
              </w:rPr>
            </w:pPr>
            <w:r>
              <w:rPr>
                <w:sz w:val="21"/>
              </w:rPr>
              <w:t>-0.01%</w:t>
            </w:r>
          </w:p>
        </w:tc>
      </w:tr>
      <w:tr>
        <w:trPr>
          <w:trHeight w:val="1225" w:hRule="atLeast"/>
        </w:trPr>
        <w:tc>
          <w:tcPr>
            <w:tcW w:w="1582" w:type="dxa"/>
          </w:tcPr>
          <w:p>
            <w:pPr>
              <w:pStyle w:val="TableParagraph"/>
              <w:spacing w:before="3"/>
              <w:ind w:left="108"/>
              <w:rPr>
                <w:sz w:val="21"/>
              </w:rPr>
            </w:pPr>
            <w:r>
              <w:rPr>
                <w:sz w:val="21"/>
              </w:rPr>
              <w:t>2014</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日至2014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155"/>
              <w:ind w:right="213"/>
              <w:jc w:val="right"/>
              <w:rPr>
                <w:sz w:val="21"/>
              </w:rPr>
            </w:pPr>
            <w:r>
              <w:rPr>
                <w:sz w:val="21"/>
              </w:rPr>
              <w:t>13.31%</w:t>
            </w:r>
          </w:p>
        </w:tc>
        <w:tc>
          <w:tcPr>
            <w:tcW w:w="1080" w:type="dxa"/>
          </w:tcPr>
          <w:p>
            <w:pPr>
              <w:pStyle w:val="TableParagraph"/>
              <w:rPr>
                <w:sz w:val="20"/>
              </w:rPr>
            </w:pPr>
          </w:p>
          <w:p>
            <w:pPr>
              <w:pStyle w:val="TableParagraph"/>
              <w:spacing w:before="155"/>
              <w:ind w:left="27" w:right="17"/>
              <w:jc w:val="center"/>
              <w:rPr>
                <w:sz w:val="21"/>
              </w:rPr>
            </w:pPr>
            <w:r>
              <w:rPr>
                <w:sz w:val="21"/>
              </w:rPr>
              <w:t>0.22%</w:t>
            </w:r>
          </w:p>
        </w:tc>
        <w:tc>
          <w:tcPr>
            <w:tcW w:w="1440" w:type="dxa"/>
          </w:tcPr>
          <w:p>
            <w:pPr>
              <w:pStyle w:val="TableParagraph"/>
              <w:rPr>
                <w:sz w:val="20"/>
              </w:rPr>
            </w:pPr>
          </w:p>
          <w:p>
            <w:pPr>
              <w:pStyle w:val="TableParagraph"/>
              <w:spacing w:before="155"/>
              <w:ind w:left="405"/>
              <w:rPr>
                <w:sz w:val="21"/>
              </w:rPr>
            </w:pPr>
            <w:r>
              <w:rPr>
                <w:sz w:val="21"/>
              </w:rPr>
              <w:t>26.21%</w:t>
            </w:r>
          </w:p>
        </w:tc>
        <w:tc>
          <w:tcPr>
            <w:tcW w:w="1339" w:type="dxa"/>
          </w:tcPr>
          <w:p>
            <w:pPr>
              <w:pStyle w:val="TableParagraph"/>
              <w:rPr>
                <w:sz w:val="20"/>
              </w:rPr>
            </w:pPr>
          </w:p>
          <w:p>
            <w:pPr>
              <w:pStyle w:val="TableParagraph"/>
              <w:spacing w:before="155"/>
              <w:ind w:left="387" w:right="377"/>
              <w:jc w:val="center"/>
              <w:rPr>
                <w:sz w:val="21"/>
              </w:rPr>
            </w:pPr>
            <w:r>
              <w:rPr>
                <w:sz w:val="21"/>
              </w:rPr>
              <w:t>0.43%</w:t>
            </w:r>
          </w:p>
        </w:tc>
        <w:tc>
          <w:tcPr>
            <w:tcW w:w="1001" w:type="dxa"/>
          </w:tcPr>
          <w:p>
            <w:pPr>
              <w:pStyle w:val="TableParagraph"/>
              <w:rPr>
                <w:sz w:val="20"/>
              </w:rPr>
            </w:pPr>
          </w:p>
          <w:p>
            <w:pPr>
              <w:pStyle w:val="TableParagraph"/>
              <w:spacing w:before="155"/>
              <w:ind w:left="112" w:right="103"/>
              <w:jc w:val="center"/>
              <w:rPr>
                <w:sz w:val="21"/>
              </w:rPr>
            </w:pPr>
            <w:r>
              <w:rPr>
                <w:sz w:val="21"/>
              </w:rPr>
              <w:t>-12.90%</w:t>
            </w:r>
          </w:p>
        </w:tc>
        <w:tc>
          <w:tcPr>
            <w:tcW w:w="900" w:type="dxa"/>
          </w:tcPr>
          <w:p>
            <w:pPr>
              <w:pStyle w:val="TableParagraph"/>
              <w:rPr>
                <w:sz w:val="20"/>
              </w:rPr>
            </w:pPr>
          </w:p>
          <w:p>
            <w:pPr>
              <w:pStyle w:val="TableParagraph"/>
              <w:spacing w:before="155"/>
              <w:ind w:right="124"/>
              <w:jc w:val="right"/>
              <w:rPr>
                <w:sz w:val="21"/>
              </w:rPr>
            </w:pPr>
            <w:r>
              <w:rPr>
                <w:sz w:val="21"/>
              </w:rPr>
              <w:t>-0.21%</w:t>
            </w:r>
          </w:p>
        </w:tc>
      </w:tr>
      <w:tr>
        <w:trPr>
          <w:trHeight w:val="1225" w:hRule="atLeast"/>
        </w:trPr>
        <w:tc>
          <w:tcPr>
            <w:tcW w:w="1582" w:type="dxa"/>
          </w:tcPr>
          <w:p>
            <w:pPr>
              <w:pStyle w:val="TableParagraph"/>
              <w:spacing w:before="3"/>
              <w:ind w:left="108"/>
              <w:rPr>
                <w:sz w:val="21"/>
              </w:rPr>
            </w:pPr>
            <w:r>
              <w:rPr>
                <w:sz w:val="21"/>
              </w:rPr>
              <w:t>2015</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日至2015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155"/>
              <w:ind w:right="213"/>
              <w:jc w:val="right"/>
              <w:rPr>
                <w:sz w:val="21"/>
              </w:rPr>
            </w:pPr>
            <w:r>
              <w:rPr>
                <w:sz w:val="21"/>
              </w:rPr>
              <w:t>10.13%</w:t>
            </w:r>
          </w:p>
        </w:tc>
        <w:tc>
          <w:tcPr>
            <w:tcW w:w="1080" w:type="dxa"/>
          </w:tcPr>
          <w:p>
            <w:pPr>
              <w:pStyle w:val="TableParagraph"/>
              <w:rPr>
                <w:sz w:val="20"/>
              </w:rPr>
            </w:pPr>
          </w:p>
          <w:p>
            <w:pPr>
              <w:pStyle w:val="TableParagraph"/>
              <w:spacing w:before="155"/>
              <w:ind w:left="27" w:right="17"/>
              <w:jc w:val="center"/>
              <w:rPr>
                <w:sz w:val="21"/>
              </w:rPr>
            </w:pPr>
            <w:r>
              <w:rPr>
                <w:sz w:val="21"/>
              </w:rPr>
              <w:t>0.10%</w:t>
            </w:r>
          </w:p>
        </w:tc>
        <w:tc>
          <w:tcPr>
            <w:tcW w:w="1440" w:type="dxa"/>
          </w:tcPr>
          <w:p>
            <w:pPr>
              <w:pStyle w:val="TableParagraph"/>
              <w:rPr>
                <w:sz w:val="20"/>
              </w:rPr>
            </w:pPr>
          </w:p>
          <w:p>
            <w:pPr>
              <w:pStyle w:val="TableParagraph"/>
              <w:spacing w:before="155"/>
              <w:ind w:left="405"/>
              <w:rPr>
                <w:sz w:val="21"/>
              </w:rPr>
            </w:pPr>
            <w:r>
              <w:rPr>
                <w:sz w:val="21"/>
              </w:rPr>
              <w:t>-8.78%</w:t>
            </w:r>
          </w:p>
        </w:tc>
        <w:tc>
          <w:tcPr>
            <w:tcW w:w="1339" w:type="dxa"/>
          </w:tcPr>
          <w:p>
            <w:pPr>
              <w:pStyle w:val="TableParagraph"/>
              <w:rPr>
                <w:sz w:val="20"/>
              </w:rPr>
            </w:pPr>
          </w:p>
          <w:p>
            <w:pPr>
              <w:pStyle w:val="TableParagraph"/>
              <w:spacing w:before="155"/>
              <w:ind w:left="387" w:right="377"/>
              <w:jc w:val="center"/>
              <w:rPr>
                <w:sz w:val="21"/>
              </w:rPr>
            </w:pPr>
            <w:r>
              <w:rPr>
                <w:sz w:val="21"/>
              </w:rPr>
              <w:t>1.23%</w:t>
            </w:r>
          </w:p>
        </w:tc>
        <w:tc>
          <w:tcPr>
            <w:tcW w:w="1001" w:type="dxa"/>
          </w:tcPr>
          <w:p>
            <w:pPr>
              <w:pStyle w:val="TableParagraph"/>
              <w:rPr>
                <w:sz w:val="20"/>
              </w:rPr>
            </w:pPr>
          </w:p>
          <w:p>
            <w:pPr>
              <w:pStyle w:val="TableParagraph"/>
              <w:spacing w:before="155"/>
              <w:ind w:left="112" w:right="103"/>
              <w:jc w:val="center"/>
              <w:rPr>
                <w:sz w:val="21"/>
              </w:rPr>
            </w:pPr>
            <w:r>
              <w:rPr>
                <w:sz w:val="21"/>
              </w:rPr>
              <w:t>18.91%</w:t>
            </w:r>
          </w:p>
        </w:tc>
        <w:tc>
          <w:tcPr>
            <w:tcW w:w="900" w:type="dxa"/>
          </w:tcPr>
          <w:p>
            <w:pPr>
              <w:pStyle w:val="TableParagraph"/>
              <w:rPr>
                <w:sz w:val="20"/>
              </w:rPr>
            </w:pPr>
          </w:p>
          <w:p>
            <w:pPr>
              <w:pStyle w:val="TableParagraph"/>
              <w:spacing w:before="155"/>
              <w:ind w:right="124"/>
              <w:jc w:val="right"/>
              <w:rPr>
                <w:sz w:val="21"/>
              </w:rPr>
            </w:pPr>
            <w:r>
              <w:rPr>
                <w:sz w:val="21"/>
              </w:rPr>
              <w:t>-1.13%</w:t>
            </w:r>
          </w:p>
        </w:tc>
      </w:tr>
      <w:tr>
        <w:trPr>
          <w:trHeight w:val="1225" w:hRule="atLeast"/>
        </w:trPr>
        <w:tc>
          <w:tcPr>
            <w:tcW w:w="1582" w:type="dxa"/>
          </w:tcPr>
          <w:p>
            <w:pPr>
              <w:pStyle w:val="TableParagraph"/>
              <w:spacing w:before="3"/>
              <w:ind w:left="108"/>
              <w:rPr>
                <w:sz w:val="21"/>
              </w:rPr>
            </w:pPr>
            <w:r>
              <w:rPr>
                <w:sz w:val="21"/>
              </w:rPr>
              <w:t>2016</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日至2016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155"/>
              <w:ind w:right="265"/>
              <w:jc w:val="right"/>
              <w:rPr>
                <w:sz w:val="21"/>
              </w:rPr>
            </w:pPr>
            <w:r>
              <w:rPr>
                <w:sz w:val="21"/>
              </w:rPr>
              <w:t>0.91%</w:t>
            </w:r>
          </w:p>
        </w:tc>
        <w:tc>
          <w:tcPr>
            <w:tcW w:w="1080" w:type="dxa"/>
          </w:tcPr>
          <w:p>
            <w:pPr>
              <w:pStyle w:val="TableParagraph"/>
              <w:rPr>
                <w:sz w:val="20"/>
              </w:rPr>
            </w:pPr>
          </w:p>
          <w:p>
            <w:pPr>
              <w:pStyle w:val="TableParagraph"/>
              <w:spacing w:before="155"/>
              <w:ind w:left="27" w:right="17"/>
              <w:jc w:val="center"/>
              <w:rPr>
                <w:sz w:val="21"/>
              </w:rPr>
            </w:pPr>
            <w:r>
              <w:rPr>
                <w:sz w:val="21"/>
              </w:rPr>
              <w:t>0.09%</w:t>
            </w:r>
          </w:p>
        </w:tc>
        <w:tc>
          <w:tcPr>
            <w:tcW w:w="1440" w:type="dxa"/>
          </w:tcPr>
          <w:p>
            <w:pPr>
              <w:pStyle w:val="TableParagraph"/>
              <w:rPr>
                <w:sz w:val="20"/>
              </w:rPr>
            </w:pPr>
          </w:p>
          <w:p>
            <w:pPr>
              <w:pStyle w:val="TableParagraph"/>
              <w:spacing w:before="155"/>
              <w:ind w:left="405"/>
              <w:rPr>
                <w:sz w:val="21"/>
              </w:rPr>
            </w:pPr>
            <w:r>
              <w:rPr>
                <w:sz w:val="21"/>
              </w:rPr>
              <w:t>-7.42%</w:t>
            </w:r>
          </w:p>
        </w:tc>
        <w:tc>
          <w:tcPr>
            <w:tcW w:w="1339" w:type="dxa"/>
          </w:tcPr>
          <w:p>
            <w:pPr>
              <w:pStyle w:val="TableParagraph"/>
              <w:rPr>
                <w:sz w:val="20"/>
              </w:rPr>
            </w:pPr>
          </w:p>
          <w:p>
            <w:pPr>
              <w:pStyle w:val="TableParagraph"/>
              <w:spacing w:before="155"/>
              <w:ind w:left="387" w:right="377"/>
              <w:jc w:val="center"/>
              <w:rPr>
                <w:sz w:val="21"/>
              </w:rPr>
            </w:pPr>
            <w:r>
              <w:rPr>
                <w:sz w:val="21"/>
              </w:rPr>
              <w:t>0.31%</w:t>
            </w:r>
          </w:p>
        </w:tc>
        <w:tc>
          <w:tcPr>
            <w:tcW w:w="1001" w:type="dxa"/>
          </w:tcPr>
          <w:p>
            <w:pPr>
              <w:pStyle w:val="TableParagraph"/>
              <w:rPr>
                <w:sz w:val="20"/>
              </w:rPr>
            </w:pPr>
          </w:p>
          <w:p>
            <w:pPr>
              <w:pStyle w:val="TableParagraph"/>
              <w:spacing w:before="155"/>
              <w:ind w:left="112" w:right="103"/>
              <w:jc w:val="center"/>
              <w:rPr>
                <w:sz w:val="21"/>
              </w:rPr>
            </w:pPr>
            <w:r>
              <w:rPr>
                <w:sz w:val="21"/>
              </w:rPr>
              <w:t>8.33%</w:t>
            </w:r>
          </w:p>
        </w:tc>
        <w:tc>
          <w:tcPr>
            <w:tcW w:w="900" w:type="dxa"/>
          </w:tcPr>
          <w:p>
            <w:pPr>
              <w:pStyle w:val="TableParagraph"/>
              <w:rPr>
                <w:sz w:val="20"/>
              </w:rPr>
            </w:pPr>
          </w:p>
          <w:p>
            <w:pPr>
              <w:pStyle w:val="TableParagraph"/>
              <w:spacing w:before="155"/>
              <w:ind w:right="124"/>
              <w:jc w:val="right"/>
              <w:rPr>
                <w:sz w:val="21"/>
              </w:rPr>
            </w:pPr>
            <w:r>
              <w:rPr>
                <w:sz w:val="21"/>
              </w:rPr>
              <w:t>-0.22%</w:t>
            </w:r>
          </w:p>
        </w:tc>
      </w:tr>
      <w:tr>
        <w:trPr>
          <w:trHeight w:val="1225" w:hRule="atLeast"/>
        </w:trPr>
        <w:tc>
          <w:tcPr>
            <w:tcW w:w="1582" w:type="dxa"/>
          </w:tcPr>
          <w:p>
            <w:pPr>
              <w:pStyle w:val="TableParagraph"/>
              <w:spacing w:before="3"/>
              <w:ind w:left="108"/>
              <w:rPr>
                <w:sz w:val="21"/>
              </w:rPr>
            </w:pPr>
            <w:r>
              <w:rPr>
                <w:sz w:val="21"/>
              </w:rPr>
              <w:t>2017</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日至2017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5"/>
              <w:rPr>
                <w:sz w:val="17"/>
              </w:rPr>
            </w:pPr>
          </w:p>
          <w:p>
            <w:pPr>
              <w:pStyle w:val="TableParagraph"/>
              <w:ind w:right="265"/>
              <w:jc w:val="right"/>
              <w:rPr>
                <w:sz w:val="21"/>
              </w:rPr>
            </w:pPr>
            <w:r>
              <w:rPr>
                <w:sz w:val="21"/>
              </w:rPr>
              <w:t>2.46%</w:t>
            </w:r>
          </w:p>
        </w:tc>
        <w:tc>
          <w:tcPr>
            <w:tcW w:w="1080" w:type="dxa"/>
          </w:tcPr>
          <w:p>
            <w:pPr>
              <w:pStyle w:val="TableParagraph"/>
              <w:rPr>
                <w:sz w:val="20"/>
              </w:rPr>
            </w:pPr>
          </w:p>
          <w:p>
            <w:pPr>
              <w:pStyle w:val="TableParagraph"/>
              <w:spacing w:before="5"/>
              <w:rPr>
                <w:sz w:val="17"/>
              </w:rPr>
            </w:pPr>
          </w:p>
          <w:p>
            <w:pPr>
              <w:pStyle w:val="TableParagraph"/>
              <w:ind w:left="27" w:right="17"/>
              <w:jc w:val="center"/>
              <w:rPr>
                <w:sz w:val="21"/>
              </w:rPr>
            </w:pPr>
            <w:r>
              <w:rPr>
                <w:sz w:val="21"/>
              </w:rPr>
              <w:t>0.23%</w:t>
            </w:r>
          </w:p>
        </w:tc>
        <w:tc>
          <w:tcPr>
            <w:tcW w:w="1440" w:type="dxa"/>
          </w:tcPr>
          <w:p>
            <w:pPr>
              <w:pStyle w:val="TableParagraph"/>
              <w:rPr>
                <w:sz w:val="20"/>
              </w:rPr>
            </w:pPr>
          </w:p>
          <w:p>
            <w:pPr>
              <w:pStyle w:val="TableParagraph"/>
              <w:spacing w:before="5"/>
              <w:rPr>
                <w:sz w:val="17"/>
              </w:rPr>
            </w:pPr>
          </w:p>
          <w:p>
            <w:pPr>
              <w:pStyle w:val="TableParagraph"/>
              <w:ind w:left="405"/>
              <w:rPr>
                <w:sz w:val="21"/>
              </w:rPr>
            </w:pPr>
            <w:r>
              <w:rPr>
                <w:sz w:val="21"/>
              </w:rPr>
              <w:t>-5.28%</w:t>
            </w:r>
          </w:p>
        </w:tc>
        <w:tc>
          <w:tcPr>
            <w:tcW w:w="1339" w:type="dxa"/>
          </w:tcPr>
          <w:p>
            <w:pPr>
              <w:pStyle w:val="TableParagraph"/>
              <w:rPr>
                <w:sz w:val="20"/>
              </w:rPr>
            </w:pPr>
          </w:p>
          <w:p>
            <w:pPr>
              <w:pStyle w:val="TableParagraph"/>
              <w:spacing w:before="5"/>
              <w:rPr>
                <w:sz w:val="17"/>
              </w:rPr>
            </w:pPr>
          </w:p>
          <w:p>
            <w:pPr>
              <w:pStyle w:val="TableParagraph"/>
              <w:ind w:left="387" w:right="377"/>
              <w:jc w:val="center"/>
              <w:rPr>
                <w:sz w:val="21"/>
              </w:rPr>
            </w:pPr>
            <w:r>
              <w:rPr>
                <w:sz w:val="21"/>
              </w:rPr>
              <w:t>0.18%</w:t>
            </w:r>
          </w:p>
        </w:tc>
        <w:tc>
          <w:tcPr>
            <w:tcW w:w="1001" w:type="dxa"/>
          </w:tcPr>
          <w:p>
            <w:pPr>
              <w:pStyle w:val="TableParagraph"/>
              <w:rPr>
                <w:sz w:val="20"/>
              </w:rPr>
            </w:pPr>
          </w:p>
          <w:p>
            <w:pPr>
              <w:pStyle w:val="TableParagraph"/>
              <w:spacing w:before="5"/>
              <w:rPr>
                <w:sz w:val="17"/>
              </w:rPr>
            </w:pPr>
          </w:p>
          <w:p>
            <w:pPr>
              <w:pStyle w:val="TableParagraph"/>
              <w:ind w:left="112" w:right="103"/>
              <w:jc w:val="center"/>
              <w:rPr>
                <w:sz w:val="21"/>
              </w:rPr>
            </w:pPr>
            <w:r>
              <w:rPr>
                <w:sz w:val="21"/>
              </w:rPr>
              <w:t>7.74%</w:t>
            </w:r>
          </w:p>
        </w:tc>
        <w:tc>
          <w:tcPr>
            <w:tcW w:w="900" w:type="dxa"/>
          </w:tcPr>
          <w:p>
            <w:pPr>
              <w:pStyle w:val="TableParagraph"/>
              <w:rPr>
                <w:sz w:val="20"/>
              </w:rPr>
            </w:pPr>
          </w:p>
          <w:p>
            <w:pPr>
              <w:pStyle w:val="TableParagraph"/>
              <w:spacing w:before="5"/>
              <w:rPr>
                <w:sz w:val="17"/>
              </w:rPr>
            </w:pPr>
          </w:p>
          <w:p>
            <w:pPr>
              <w:pStyle w:val="TableParagraph"/>
              <w:ind w:right="175"/>
              <w:jc w:val="right"/>
              <w:rPr>
                <w:sz w:val="21"/>
              </w:rPr>
            </w:pPr>
            <w:r>
              <w:rPr>
                <w:sz w:val="21"/>
              </w:rPr>
              <w:t>0.05%</w:t>
            </w:r>
          </w:p>
        </w:tc>
      </w:tr>
    </w:tbl>
    <w:p>
      <w:pPr>
        <w:spacing w:after="0"/>
        <w:jc w:val="right"/>
        <w:rPr>
          <w:sz w:val="21"/>
        </w:rPr>
        <w:sectPr>
          <w:pgSz w:w="11910" w:h="16840"/>
          <w:pgMar w:header="0" w:footer="664" w:top="1420" w:bottom="940" w:left="1580" w:right="380"/>
        </w:sect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1080"/>
        <w:gridCol w:w="1080"/>
        <w:gridCol w:w="1440"/>
        <w:gridCol w:w="1339"/>
        <w:gridCol w:w="1001"/>
        <w:gridCol w:w="900"/>
      </w:tblGrid>
      <w:tr>
        <w:trPr>
          <w:trHeight w:val="1225" w:hRule="atLeast"/>
        </w:trPr>
        <w:tc>
          <w:tcPr>
            <w:tcW w:w="1582" w:type="dxa"/>
          </w:tcPr>
          <w:p>
            <w:pPr>
              <w:pStyle w:val="TableParagraph"/>
              <w:spacing w:before="3"/>
              <w:ind w:left="108"/>
              <w:rPr>
                <w:sz w:val="21"/>
              </w:rPr>
            </w:pPr>
            <w:r>
              <w:rPr>
                <w:sz w:val="21"/>
              </w:rPr>
              <w:t>2018</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日至2018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5"/>
              <w:rPr>
                <w:sz w:val="17"/>
              </w:rPr>
            </w:pPr>
          </w:p>
          <w:p>
            <w:pPr>
              <w:pStyle w:val="TableParagraph"/>
              <w:ind w:left="277"/>
              <w:rPr>
                <w:sz w:val="21"/>
              </w:rPr>
            </w:pPr>
            <w:r>
              <w:rPr>
                <w:sz w:val="21"/>
              </w:rPr>
              <w:t>0.72%</w:t>
            </w:r>
          </w:p>
        </w:tc>
        <w:tc>
          <w:tcPr>
            <w:tcW w:w="1080" w:type="dxa"/>
          </w:tcPr>
          <w:p>
            <w:pPr>
              <w:pStyle w:val="TableParagraph"/>
              <w:rPr>
                <w:sz w:val="20"/>
              </w:rPr>
            </w:pPr>
          </w:p>
          <w:p>
            <w:pPr>
              <w:pStyle w:val="TableParagraph"/>
              <w:spacing w:before="5"/>
              <w:rPr>
                <w:sz w:val="17"/>
              </w:rPr>
            </w:pPr>
          </w:p>
          <w:p>
            <w:pPr>
              <w:pStyle w:val="TableParagraph"/>
              <w:ind w:left="277"/>
              <w:rPr>
                <w:sz w:val="21"/>
              </w:rPr>
            </w:pPr>
            <w:r>
              <w:rPr>
                <w:sz w:val="21"/>
              </w:rPr>
              <w:t>0.19%</w:t>
            </w:r>
          </w:p>
        </w:tc>
        <w:tc>
          <w:tcPr>
            <w:tcW w:w="1440" w:type="dxa"/>
          </w:tcPr>
          <w:p>
            <w:pPr>
              <w:pStyle w:val="TableParagraph"/>
              <w:rPr>
                <w:sz w:val="20"/>
              </w:rPr>
            </w:pPr>
          </w:p>
          <w:p>
            <w:pPr>
              <w:pStyle w:val="TableParagraph"/>
              <w:spacing w:before="5"/>
              <w:rPr>
                <w:sz w:val="17"/>
              </w:rPr>
            </w:pPr>
          </w:p>
          <w:p>
            <w:pPr>
              <w:pStyle w:val="TableParagraph"/>
              <w:ind w:left="457"/>
              <w:rPr>
                <w:sz w:val="21"/>
              </w:rPr>
            </w:pPr>
            <w:r>
              <w:rPr>
                <w:sz w:val="21"/>
              </w:rPr>
              <w:t>2.09%</w:t>
            </w:r>
          </w:p>
        </w:tc>
        <w:tc>
          <w:tcPr>
            <w:tcW w:w="1339" w:type="dxa"/>
          </w:tcPr>
          <w:p>
            <w:pPr>
              <w:pStyle w:val="TableParagraph"/>
              <w:rPr>
                <w:sz w:val="20"/>
              </w:rPr>
            </w:pPr>
          </w:p>
          <w:p>
            <w:pPr>
              <w:pStyle w:val="TableParagraph"/>
              <w:spacing w:before="5"/>
              <w:rPr>
                <w:sz w:val="17"/>
              </w:rPr>
            </w:pPr>
          </w:p>
          <w:p>
            <w:pPr>
              <w:pStyle w:val="TableParagraph"/>
              <w:ind w:left="407"/>
              <w:rPr>
                <w:sz w:val="21"/>
              </w:rPr>
            </w:pPr>
            <w:r>
              <w:rPr>
                <w:sz w:val="21"/>
              </w:rPr>
              <w:t>0.21%</w:t>
            </w:r>
          </w:p>
        </w:tc>
        <w:tc>
          <w:tcPr>
            <w:tcW w:w="1001" w:type="dxa"/>
          </w:tcPr>
          <w:p>
            <w:pPr>
              <w:pStyle w:val="TableParagraph"/>
              <w:rPr>
                <w:sz w:val="20"/>
              </w:rPr>
            </w:pPr>
          </w:p>
          <w:p>
            <w:pPr>
              <w:pStyle w:val="TableParagraph"/>
              <w:spacing w:before="5"/>
              <w:rPr>
                <w:sz w:val="17"/>
              </w:rPr>
            </w:pPr>
          </w:p>
          <w:p>
            <w:pPr>
              <w:pStyle w:val="TableParagraph"/>
              <w:ind w:left="185"/>
              <w:rPr>
                <w:sz w:val="21"/>
              </w:rPr>
            </w:pPr>
            <w:r>
              <w:rPr>
                <w:sz w:val="21"/>
              </w:rPr>
              <w:t>-1.37%</w:t>
            </w:r>
          </w:p>
        </w:tc>
        <w:tc>
          <w:tcPr>
            <w:tcW w:w="900" w:type="dxa"/>
          </w:tcPr>
          <w:p>
            <w:pPr>
              <w:pStyle w:val="TableParagraph"/>
              <w:rPr>
                <w:sz w:val="20"/>
              </w:rPr>
            </w:pPr>
          </w:p>
          <w:p>
            <w:pPr>
              <w:pStyle w:val="TableParagraph"/>
              <w:spacing w:before="5"/>
              <w:rPr>
                <w:sz w:val="17"/>
              </w:rPr>
            </w:pPr>
          </w:p>
          <w:p>
            <w:pPr>
              <w:pStyle w:val="TableParagraph"/>
              <w:ind w:right="124"/>
              <w:jc w:val="right"/>
              <w:rPr>
                <w:sz w:val="21"/>
              </w:rPr>
            </w:pPr>
            <w:r>
              <w:rPr>
                <w:sz w:val="21"/>
              </w:rPr>
              <w:t>-0.02%</w:t>
            </w:r>
          </w:p>
        </w:tc>
      </w:tr>
      <w:tr>
        <w:trPr>
          <w:trHeight w:val="1225" w:hRule="atLeast"/>
        </w:trPr>
        <w:tc>
          <w:tcPr>
            <w:tcW w:w="1582" w:type="dxa"/>
          </w:tcPr>
          <w:p>
            <w:pPr>
              <w:pStyle w:val="TableParagraph"/>
              <w:spacing w:before="3"/>
              <w:ind w:left="108"/>
              <w:rPr>
                <w:sz w:val="21"/>
              </w:rPr>
            </w:pPr>
            <w:r>
              <w:rPr>
                <w:sz w:val="21"/>
              </w:rPr>
              <w:t>2019</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z w:val="21"/>
              </w:rPr>
              <w:t>日至2019 年12</w:t>
            </w:r>
          </w:p>
          <w:p>
            <w:pPr>
              <w:pStyle w:val="TableParagraph"/>
              <w:spacing w:before="140"/>
              <w:ind w:left="108"/>
              <w:rPr>
                <w:sz w:val="21"/>
              </w:rPr>
            </w:pPr>
            <w:r>
              <w:rPr>
                <w:sz w:val="21"/>
              </w:rPr>
              <w:t>月 31 日</w:t>
            </w:r>
          </w:p>
        </w:tc>
        <w:tc>
          <w:tcPr>
            <w:tcW w:w="1080" w:type="dxa"/>
          </w:tcPr>
          <w:p>
            <w:pPr>
              <w:pStyle w:val="TableParagraph"/>
              <w:rPr>
                <w:sz w:val="20"/>
              </w:rPr>
            </w:pPr>
          </w:p>
          <w:p>
            <w:pPr>
              <w:pStyle w:val="TableParagraph"/>
              <w:spacing w:before="5"/>
              <w:rPr>
                <w:sz w:val="17"/>
              </w:rPr>
            </w:pPr>
          </w:p>
          <w:p>
            <w:pPr>
              <w:pStyle w:val="TableParagraph"/>
              <w:ind w:left="341"/>
              <w:rPr>
                <w:sz w:val="21"/>
              </w:rPr>
            </w:pPr>
            <w:r>
              <w:rPr>
                <w:sz w:val="21"/>
              </w:rPr>
              <w:t>18.77%</w:t>
            </w:r>
          </w:p>
        </w:tc>
        <w:tc>
          <w:tcPr>
            <w:tcW w:w="1080" w:type="dxa"/>
          </w:tcPr>
          <w:p>
            <w:pPr>
              <w:pStyle w:val="TableParagraph"/>
              <w:rPr>
                <w:sz w:val="20"/>
              </w:rPr>
            </w:pPr>
          </w:p>
          <w:p>
            <w:pPr>
              <w:pStyle w:val="TableParagraph"/>
              <w:spacing w:before="5"/>
              <w:rPr>
                <w:sz w:val="17"/>
              </w:rPr>
            </w:pPr>
          </w:p>
          <w:p>
            <w:pPr>
              <w:pStyle w:val="TableParagraph"/>
              <w:ind w:right="97"/>
              <w:jc w:val="right"/>
              <w:rPr>
                <w:sz w:val="21"/>
              </w:rPr>
            </w:pPr>
            <w:r>
              <w:rPr>
                <w:sz w:val="21"/>
              </w:rPr>
              <w:t>0.45%</w:t>
            </w:r>
          </w:p>
        </w:tc>
        <w:tc>
          <w:tcPr>
            <w:tcW w:w="1440" w:type="dxa"/>
          </w:tcPr>
          <w:p>
            <w:pPr>
              <w:pStyle w:val="TableParagraph"/>
              <w:rPr>
                <w:sz w:val="20"/>
              </w:rPr>
            </w:pPr>
          </w:p>
          <w:p>
            <w:pPr>
              <w:pStyle w:val="TableParagraph"/>
              <w:spacing w:before="5"/>
              <w:rPr>
                <w:sz w:val="17"/>
              </w:rPr>
            </w:pPr>
          </w:p>
          <w:p>
            <w:pPr>
              <w:pStyle w:val="TableParagraph"/>
              <w:ind w:right="97"/>
              <w:jc w:val="right"/>
              <w:rPr>
                <w:sz w:val="21"/>
              </w:rPr>
            </w:pPr>
            <w:r>
              <w:rPr>
                <w:sz w:val="21"/>
              </w:rPr>
              <w:t>8.64%</w:t>
            </w:r>
          </w:p>
        </w:tc>
        <w:tc>
          <w:tcPr>
            <w:tcW w:w="1339" w:type="dxa"/>
          </w:tcPr>
          <w:p>
            <w:pPr>
              <w:pStyle w:val="TableParagraph"/>
              <w:rPr>
                <w:sz w:val="20"/>
              </w:rPr>
            </w:pPr>
          </w:p>
          <w:p>
            <w:pPr>
              <w:pStyle w:val="TableParagraph"/>
              <w:spacing w:before="5"/>
              <w:rPr>
                <w:sz w:val="17"/>
              </w:rPr>
            </w:pPr>
          </w:p>
          <w:p>
            <w:pPr>
              <w:pStyle w:val="TableParagraph"/>
              <w:ind w:right="97"/>
              <w:jc w:val="right"/>
              <w:rPr>
                <w:sz w:val="21"/>
              </w:rPr>
            </w:pPr>
            <w:r>
              <w:rPr>
                <w:sz w:val="21"/>
              </w:rPr>
              <w:t>0.22%</w:t>
            </w:r>
          </w:p>
        </w:tc>
        <w:tc>
          <w:tcPr>
            <w:tcW w:w="1001" w:type="dxa"/>
          </w:tcPr>
          <w:p>
            <w:pPr>
              <w:pStyle w:val="TableParagraph"/>
              <w:rPr>
                <w:sz w:val="20"/>
              </w:rPr>
            </w:pPr>
          </w:p>
          <w:p>
            <w:pPr>
              <w:pStyle w:val="TableParagraph"/>
              <w:spacing w:before="5"/>
              <w:rPr>
                <w:sz w:val="17"/>
              </w:rPr>
            </w:pPr>
          </w:p>
          <w:p>
            <w:pPr>
              <w:pStyle w:val="TableParagraph"/>
              <w:ind w:right="96"/>
              <w:jc w:val="right"/>
              <w:rPr>
                <w:sz w:val="21"/>
              </w:rPr>
            </w:pPr>
            <w:r>
              <w:rPr>
                <w:sz w:val="21"/>
              </w:rPr>
              <w:t>10.13%</w:t>
            </w:r>
          </w:p>
        </w:tc>
        <w:tc>
          <w:tcPr>
            <w:tcW w:w="900" w:type="dxa"/>
          </w:tcPr>
          <w:p>
            <w:pPr>
              <w:pStyle w:val="TableParagraph"/>
              <w:rPr>
                <w:sz w:val="20"/>
              </w:rPr>
            </w:pPr>
          </w:p>
          <w:p>
            <w:pPr>
              <w:pStyle w:val="TableParagraph"/>
              <w:spacing w:before="5"/>
              <w:rPr>
                <w:sz w:val="17"/>
              </w:rPr>
            </w:pPr>
          </w:p>
          <w:p>
            <w:pPr>
              <w:pStyle w:val="TableParagraph"/>
              <w:ind w:right="97"/>
              <w:jc w:val="right"/>
              <w:rPr>
                <w:sz w:val="21"/>
              </w:rPr>
            </w:pPr>
            <w:r>
              <w:rPr>
                <w:sz w:val="21"/>
              </w:rPr>
              <w:t>0.23%</w:t>
            </w:r>
          </w:p>
        </w:tc>
      </w:tr>
      <w:tr>
        <w:trPr>
          <w:trHeight w:val="1225" w:hRule="atLeast"/>
        </w:trPr>
        <w:tc>
          <w:tcPr>
            <w:tcW w:w="1582" w:type="dxa"/>
          </w:tcPr>
          <w:p>
            <w:pPr>
              <w:pStyle w:val="TableParagraph"/>
              <w:spacing w:line="364" w:lineRule="auto" w:before="3"/>
              <w:ind w:left="108" w:right="83"/>
              <w:rPr>
                <w:sz w:val="21"/>
              </w:rPr>
            </w:pPr>
            <w:r>
              <w:rPr>
                <w:sz w:val="21"/>
              </w:rPr>
              <w:t>自基金合同生效日至2019 年</w:t>
            </w:r>
          </w:p>
          <w:p>
            <w:pPr>
              <w:pStyle w:val="TableParagraph"/>
              <w:spacing w:line="268" w:lineRule="exact"/>
              <w:ind w:left="108"/>
              <w:rPr>
                <w:sz w:val="21"/>
              </w:rPr>
            </w:pPr>
            <w:r>
              <w:rPr>
                <w:sz w:val="21"/>
              </w:rPr>
              <w:t>12 月 31 日</w:t>
            </w:r>
          </w:p>
        </w:tc>
        <w:tc>
          <w:tcPr>
            <w:tcW w:w="1080" w:type="dxa"/>
          </w:tcPr>
          <w:p>
            <w:pPr>
              <w:pStyle w:val="TableParagraph"/>
              <w:rPr>
                <w:sz w:val="20"/>
              </w:rPr>
            </w:pPr>
          </w:p>
          <w:p>
            <w:pPr>
              <w:pStyle w:val="TableParagraph"/>
              <w:spacing w:before="5"/>
              <w:rPr>
                <w:sz w:val="17"/>
              </w:rPr>
            </w:pPr>
          </w:p>
          <w:p>
            <w:pPr>
              <w:pStyle w:val="TableParagraph"/>
              <w:ind w:left="341"/>
              <w:rPr>
                <w:sz w:val="21"/>
              </w:rPr>
            </w:pPr>
            <w:r>
              <w:rPr>
                <w:sz w:val="21"/>
              </w:rPr>
              <w:t>70.64%</w:t>
            </w:r>
          </w:p>
        </w:tc>
        <w:tc>
          <w:tcPr>
            <w:tcW w:w="1080" w:type="dxa"/>
          </w:tcPr>
          <w:p>
            <w:pPr>
              <w:pStyle w:val="TableParagraph"/>
              <w:rPr>
                <w:sz w:val="20"/>
              </w:rPr>
            </w:pPr>
          </w:p>
          <w:p>
            <w:pPr>
              <w:pStyle w:val="TableParagraph"/>
              <w:spacing w:before="5"/>
              <w:rPr>
                <w:sz w:val="17"/>
              </w:rPr>
            </w:pPr>
          </w:p>
          <w:p>
            <w:pPr>
              <w:pStyle w:val="TableParagraph"/>
              <w:ind w:right="97"/>
              <w:jc w:val="right"/>
              <w:rPr>
                <w:sz w:val="21"/>
              </w:rPr>
            </w:pPr>
            <w:r>
              <w:rPr>
                <w:sz w:val="21"/>
              </w:rPr>
              <w:t>0.24%</w:t>
            </w:r>
          </w:p>
        </w:tc>
        <w:tc>
          <w:tcPr>
            <w:tcW w:w="1440" w:type="dxa"/>
          </w:tcPr>
          <w:p>
            <w:pPr>
              <w:pStyle w:val="TableParagraph"/>
              <w:rPr>
                <w:sz w:val="20"/>
              </w:rPr>
            </w:pPr>
          </w:p>
          <w:p>
            <w:pPr>
              <w:pStyle w:val="TableParagraph"/>
              <w:spacing w:before="5"/>
              <w:rPr>
                <w:sz w:val="17"/>
              </w:rPr>
            </w:pPr>
          </w:p>
          <w:p>
            <w:pPr>
              <w:pStyle w:val="TableParagraph"/>
              <w:ind w:right="97"/>
              <w:jc w:val="right"/>
              <w:rPr>
                <w:sz w:val="21"/>
              </w:rPr>
            </w:pPr>
            <w:r>
              <w:rPr>
                <w:sz w:val="21"/>
              </w:rPr>
              <w:t>9.45%</w:t>
            </w:r>
          </w:p>
        </w:tc>
        <w:tc>
          <w:tcPr>
            <w:tcW w:w="1339" w:type="dxa"/>
          </w:tcPr>
          <w:p>
            <w:pPr>
              <w:pStyle w:val="TableParagraph"/>
              <w:rPr>
                <w:sz w:val="20"/>
              </w:rPr>
            </w:pPr>
          </w:p>
          <w:p>
            <w:pPr>
              <w:pStyle w:val="TableParagraph"/>
              <w:spacing w:before="5"/>
              <w:rPr>
                <w:sz w:val="17"/>
              </w:rPr>
            </w:pPr>
          </w:p>
          <w:p>
            <w:pPr>
              <w:pStyle w:val="TableParagraph"/>
              <w:ind w:right="97"/>
              <w:jc w:val="right"/>
              <w:rPr>
                <w:sz w:val="21"/>
              </w:rPr>
            </w:pPr>
            <w:r>
              <w:rPr>
                <w:sz w:val="21"/>
              </w:rPr>
              <w:t>0.50%</w:t>
            </w:r>
          </w:p>
        </w:tc>
        <w:tc>
          <w:tcPr>
            <w:tcW w:w="1001" w:type="dxa"/>
          </w:tcPr>
          <w:p>
            <w:pPr>
              <w:pStyle w:val="TableParagraph"/>
              <w:rPr>
                <w:sz w:val="20"/>
              </w:rPr>
            </w:pPr>
          </w:p>
          <w:p>
            <w:pPr>
              <w:pStyle w:val="TableParagraph"/>
              <w:spacing w:before="5"/>
              <w:rPr>
                <w:sz w:val="17"/>
              </w:rPr>
            </w:pPr>
          </w:p>
          <w:p>
            <w:pPr>
              <w:pStyle w:val="TableParagraph"/>
              <w:ind w:right="96"/>
              <w:jc w:val="right"/>
              <w:rPr>
                <w:sz w:val="21"/>
              </w:rPr>
            </w:pPr>
            <w:r>
              <w:rPr>
                <w:sz w:val="21"/>
              </w:rPr>
              <w:t>61.19%</w:t>
            </w:r>
          </w:p>
        </w:tc>
        <w:tc>
          <w:tcPr>
            <w:tcW w:w="900" w:type="dxa"/>
          </w:tcPr>
          <w:p>
            <w:pPr>
              <w:pStyle w:val="TableParagraph"/>
              <w:rPr>
                <w:sz w:val="20"/>
              </w:rPr>
            </w:pPr>
          </w:p>
          <w:p>
            <w:pPr>
              <w:pStyle w:val="TableParagraph"/>
              <w:spacing w:before="5"/>
              <w:rPr>
                <w:sz w:val="17"/>
              </w:rPr>
            </w:pPr>
          </w:p>
          <w:p>
            <w:pPr>
              <w:pStyle w:val="TableParagraph"/>
              <w:ind w:right="97"/>
              <w:jc w:val="right"/>
              <w:rPr>
                <w:sz w:val="21"/>
              </w:rPr>
            </w:pPr>
            <w:r>
              <w:rPr>
                <w:sz w:val="21"/>
              </w:rPr>
              <w:t>-0.26%</w:t>
            </w:r>
          </w:p>
        </w:tc>
      </w:tr>
    </w:tbl>
    <w:p>
      <w:pPr>
        <w:spacing w:after="0"/>
        <w:jc w:val="right"/>
        <w:rPr>
          <w:sz w:val="21"/>
        </w:rPr>
        <w:sectPr>
          <w:pgSz w:w="11910" w:h="16840"/>
          <w:pgMar w:header="0" w:footer="664" w:top="1420" w:bottom="860" w:left="1580" w:right="380"/>
        </w:sectPr>
      </w:pPr>
    </w:p>
    <w:p>
      <w:pPr>
        <w:pStyle w:val="Heading2"/>
      </w:pPr>
      <w:bookmarkStart w:name="_bookmark58" w:id="59"/>
      <w:bookmarkEnd w:id="59"/>
      <w:r>
        <w:rPr/>
      </w:r>
      <w:r>
        <w:rPr/>
        <w:t>十三、基金的财产</w:t>
      </w:r>
    </w:p>
    <w:p>
      <w:pPr>
        <w:pStyle w:val="BodyText"/>
        <w:spacing w:before="10"/>
        <w:ind w:left="0"/>
        <w:rPr>
          <w:sz w:val="10"/>
        </w:rPr>
      </w:pPr>
    </w:p>
    <w:p>
      <w:pPr>
        <w:pStyle w:val="Heading3"/>
        <w:spacing w:before="61"/>
        <w:ind w:left="640"/>
      </w:pPr>
      <w:bookmarkStart w:name="_bookmark59" w:id="60"/>
      <w:bookmarkEnd w:id="60"/>
      <w:r>
        <w:rPr/>
      </w:r>
      <w:r>
        <w:rPr/>
        <w:t>(一)基金资产总值</w:t>
      </w:r>
    </w:p>
    <w:p>
      <w:pPr>
        <w:pStyle w:val="BodyText"/>
        <w:spacing w:line="364" w:lineRule="auto" w:before="185"/>
        <w:ind w:left="220" w:right="1418" w:firstLine="420"/>
      </w:pPr>
      <w:r>
        <w:rPr>
          <w:spacing w:val="-6"/>
        </w:rPr>
        <w:t>基金资产总值是指基金拥有的各类有价证券、银行存款本息、基金应收申购款以及其他</w:t>
      </w:r>
      <w:r>
        <w:rPr/>
        <w:t>资产的价值总和。</w:t>
      </w:r>
    </w:p>
    <w:p>
      <w:pPr>
        <w:pStyle w:val="Heading3"/>
        <w:ind w:left="640"/>
      </w:pPr>
      <w:bookmarkStart w:name="_bookmark60" w:id="61"/>
      <w:bookmarkEnd w:id="61"/>
      <w:r>
        <w:rPr/>
      </w:r>
      <w:r>
        <w:rPr/>
        <w:t>(二)基金资产净值</w:t>
      </w:r>
    </w:p>
    <w:p>
      <w:pPr>
        <w:pStyle w:val="BodyText"/>
        <w:spacing w:before="185"/>
      </w:pPr>
      <w:r>
        <w:rPr/>
        <w:t>基金资产净值是指基金资产总值减去负债后的价值。</w:t>
      </w:r>
    </w:p>
    <w:p>
      <w:pPr>
        <w:pStyle w:val="Heading3"/>
        <w:spacing w:before="141"/>
        <w:ind w:left="640"/>
      </w:pPr>
      <w:bookmarkStart w:name="_bookmark61" w:id="62"/>
      <w:bookmarkEnd w:id="62"/>
      <w:r>
        <w:rPr/>
      </w:r>
      <w:r>
        <w:rPr/>
        <w:t>(三)基金财产的账户</w:t>
      </w:r>
    </w:p>
    <w:p>
      <w:pPr>
        <w:pStyle w:val="BodyText"/>
        <w:spacing w:line="364" w:lineRule="auto" w:before="184"/>
        <w:ind w:left="220" w:right="1417" w:firstLine="420"/>
        <w:jc w:val="both"/>
      </w:pPr>
      <w:r>
        <w:rPr>
          <w:spacing w:val="-6"/>
        </w:rPr>
        <w:t>本基金财产以基金名义开立银行存款账户，以基金托管人的名义开立证券交易清算资金</w:t>
      </w:r>
      <w:r>
        <w:rPr>
          <w:spacing w:val="-9"/>
        </w:rPr>
        <w:t>的结算备付金账户，以基金托管人和本基金联名的方式开立基金证券账户，以本基金的名义</w:t>
      </w:r>
      <w:r>
        <w:rPr>
          <w:spacing w:val="-7"/>
        </w:rPr>
        <w:t>开立银行间债券托管账户。开立的基金专用账户与基金管理人、基金托管人、基金销售机构</w:t>
      </w:r>
      <w:r>
        <w:rPr/>
        <w:t>和注册登记机构自有的财产账户以及其他基金财产账户相独立。</w:t>
      </w:r>
    </w:p>
    <w:p>
      <w:pPr>
        <w:pStyle w:val="Heading3"/>
        <w:spacing w:line="358" w:lineRule="exact"/>
        <w:ind w:left="640"/>
      </w:pPr>
      <w:bookmarkStart w:name="_bookmark62" w:id="63"/>
      <w:bookmarkEnd w:id="63"/>
      <w:r>
        <w:rPr/>
      </w:r>
      <w:r>
        <w:rPr/>
        <w:t>(四)基金财产的处分</w:t>
      </w:r>
    </w:p>
    <w:p>
      <w:pPr>
        <w:pStyle w:val="BodyText"/>
        <w:spacing w:line="364" w:lineRule="auto" w:before="185"/>
        <w:ind w:left="220" w:right="1312" w:firstLine="420"/>
      </w:pPr>
      <w:r>
        <w:rPr>
          <w:spacing w:val="-13"/>
        </w:rPr>
        <w:t>基金财产独立于基金管理人、基金托管人和销售机构的固有财产，并由基金托管人保管。</w:t>
      </w:r>
      <w:r>
        <w:rPr>
          <w:spacing w:val="-10"/>
        </w:rPr>
        <w:t>基金管理人、基金托管人因基金财产的管理、运用或者其他情形而取得的财产和收益归入基</w:t>
      </w:r>
      <w:r>
        <w:rPr>
          <w:spacing w:val="-11"/>
        </w:rPr>
        <w:t>金财产。基金管理人、基金托管人可以按基金合同的约定收取管理费、托管费以及其他基金</w:t>
      </w:r>
      <w:r>
        <w:rPr>
          <w:spacing w:val="-19"/>
        </w:rPr>
        <w:t>合同约定的费用。基金财产的债权、不得与基金管理人、基金托管人固有财产的债务相抵销， </w:t>
      </w:r>
      <w:r>
        <w:rPr>
          <w:spacing w:val="-7"/>
        </w:rPr>
        <w:t>不同基金财产的债权债务，不得相互抵销。基金管理人、基金托管人以其自有资产承担法律责任，其债权人不得对基金财产行使请求冻结、扣押和其他权利。</w:t>
      </w:r>
    </w:p>
    <w:p>
      <w:pPr>
        <w:pStyle w:val="BodyText"/>
        <w:spacing w:line="364" w:lineRule="auto"/>
        <w:ind w:left="220" w:right="1418" w:firstLine="420"/>
      </w:pPr>
      <w:r>
        <w:rPr>
          <w:spacing w:val="-11"/>
        </w:rPr>
        <w:t>基金管理人、基金托管人因依法解散、被依法撤销或者被依法宣告破产等原因进行清算</w:t>
      </w:r>
      <w:r>
        <w:rPr/>
        <w:t>的，基金财产不属于其清算财产。</w:t>
      </w:r>
    </w:p>
    <w:p>
      <w:pPr>
        <w:pStyle w:val="BodyText"/>
        <w:spacing w:line="364" w:lineRule="auto"/>
        <w:ind w:left="220" w:right="1418" w:firstLine="420"/>
      </w:pPr>
      <w:r>
        <w:rPr>
          <w:spacing w:val="-11"/>
        </w:rPr>
        <w:t>除依据《基金法》、基金合同及其他有关规定处分外，基金财产不得被处分。非因基金财产本身承担的债务，不得对基金财产强制执行。</w:t>
      </w:r>
    </w:p>
    <w:p>
      <w:pPr>
        <w:spacing w:after="0" w:line="364" w:lineRule="auto"/>
        <w:sectPr>
          <w:pgSz w:w="11910" w:h="16840"/>
          <w:pgMar w:header="0" w:footer="664" w:top="1380" w:bottom="860" w:left="1580" w:right="380"/>
        </w:sectPr>
      </w:pPr>
    </w:p>
    <w:p>
      <w:pPr>
        <w:pStyle w:val="Heading2"/>
      </w:pPr>
      <w:bookmarkStart w:name="_bookmark63" w:id="64"/>
      <w:bookmarkEnd w:id="64"/>
      <w:r>
        <w:rPr/>
      </w:r>
      <w:r>
        <w:rPr/>
        <w:t>十四、基金资产的估值</w:t>
      </w:r>
    </w:p>
    <w:p>
      <w:pPr>
        <w:pStyle w:val="BodyText"/>
        <w:spacing w:before="10"/>
        <w:ind w:left="0"/>
        <w:rPr>
          <w:sz w:val="10"/>
        </w:rPr>
      </w:pPr>
    </w:p>
    <w:p>
      <w:pPr>
        <w:pStyle w:val="Heading3"/>
        <w:spacing w:before="61"/>
        <w:ind w:left="640"/>
      </w:pPr>
      <w:bookmarkStart w:name="_bookmark64" w:id="65"/>
      <w:bookmarkEnd w:id="65"/>
      <w:r>
        <w:rPr/>
      </w:r>
      <w:r>
        <w:rPr/>
        <w:t>(一)估值目的</w:t>
      </w:r>
    </w:p>
    <w:p>
      <w:pPr>
        <w:pStyle w:val="BodyText"/>
        <w:spacing w:line="364" w:lineRule="auto" w:before="185"/>
        <w:ind w:left="220" w:right="1417" w:firstLine="420"/>
      </w:pPr>
      <w:r>
        <w:rPr>
          <w:spacing w:val="-7"/>
        </w:rPr>
        <w:t>基金资产估值的目的是客观、准确地反映基金资产是否保值、增值，依据经基金资产估</w:t>
      </w:r>
      <w:r>
        <w:rPr/>
        <w:t>值后确定的基金资产净值而计算出的基金份额净值，是计算基金申购与赎回价格的基础。</w:t>
      </w:r>
    </w:p>
    <w:p>
      <w:pPr>
        <w:pStyle w:val="Heading3"/>
        <w:ind w:left="640"/>
      </w:pPr>
      <w:bookmarkStart w:name="_bookmark65" w:id="66"/>
      <w:bookmarkEnd w:id="66"/>
      <w:r>
        <w:rPr/>
      </w:r>
      <w:r>
        <w:rPr/>
        <w:t>(二)估值日</w:t>
      </w:r>
    </w:p>
    <w:p>
      <w:pPr>
        <w:pStyle w:val="BodyText"/>
        <w:spacing w:line="364" w:lineRule="auto" w:before="185"/>
        <w:ind w:left="220" w:right="1418" w:firstLine="420"/>
      </w:pPr>
      <w:r>
        <w:rPr/>
        <w:t>本基金的估值日为本基金相关的证券交易场所的正常营业日以及国家法律法规规定需要对外披露基金净值的非营业日。</w:t>
      </w:r>
    </w:p>
    <w:p>
      <w:pPr>
        <w:pStyle w:val="Heading3"/>
        <w:ind w:left="640"/>
      </w:pPr>
      <w:bookmarkStart w:name="_bookmark66" w:id="67"/>
      <w:bookmarkEnd w:id="67"/>
      <w:r>
        <w:rPr/>
      </w:r>
      <w:r>
        <w:rPr/>
        <w:t>(三)估值方法</w:t>
      </w:r>
    </w:p>
    <w:p>
      <w:pPr>
        <w:pStyle w:val="BodyText"/>
        <w:spacing w:before="185"/>
      </w:pPr>
      <w:r>
        <w:rPr/>
        <w:t>1、证券交易所上市的有价证券的估值</w:t>
      </w:r>
    </w:p>
    <w:p>
      <w:pPr>
        <w:pStyle w:val="ListParagraph"/>
        <w:numPr>
          <w:ilvl w:val="0"/>
          <w:numId w:val="29"/>
        </w:numPr>
        <w:tabs>
          <w:tab w:pos="956" w:val="left" w:leader="none"/>
        </w:tabs>
        <w:spacing w:line="364" w:lineRule="auto" w:before="139" w:after="0"/>
        <w:ind w:left="220" w:right="1418" w:firstLine="420"/>
        <w:jc w:val="both"/>
        <w:rPr>
          <w:sz w:val="21"/>
        </w:rPr>
      </w:pPr>
      <w:r>
        <w:rPr>
          <w:sz w:val="21"/>
        </w:rPr>
        <w:t>交易所上市的有价证券(包括股票、权证等)，以其估值日在证券交易所挂牌的市价</w:t>
      </w:r>
      <w:r>
        <w:rPr>
          <w:spacing w:val="-11"/>
          <w:sz w:val="21"/>
        </w:rPr>
        <w:t>(收盘价)估值；估值日无交易的，且最近交易日后经济环境未发生重大变化，以最近交易日</w:t>
      </w:r>
      <w:r>
        <w:rPr>
          <w:spacing w:val="-10"/>
          <w:sz w:val="21"/>
        </w:rPr>
        <w:t>的市价(收盘价)估值；如最近交易日后经济环境发生了重大变化的，可参考类似投资品种的</w:t>
      </w:r>
      <w:r>
        <w:rPr>
          <w:sz w:val="21"/>
        </w:rPr>
        <w:t>现行市价及重大变化因素，调整最近交易市价，确定公允价格。</w:t>
      </w:r>
    </w:p>
    <w:p>
      <w:pPr>
        <w:pStyle w:val="ListParagraph"/>
        <w:numPr>
          <w:ilvl w:val="0"/>
          <w:numId w:val="29"/>
        </w:numPr>
        <w:tabs>
          <w:tab w:pos="956" w:val="left" w:leader="none"/>
        </w:tabs>
        <w:spacing w:line="364" w:lineRule="auto" w:before="0" w:after="0"/>
        <w:ind w:left="220" w:right="1208" w:firstLine="420"/>
        <w:jc w:val="left"/>
        <w:rPr>
          <w:sz w:val="21"/>
        </w:rPr>
      </w:pPr>
      <w:r>
        <w:rPr>
          <w:sz w:val="21"/>
        </w:rPr>
        <w:t>交易所上市实行净价交易的债券按估值日收盘价估值，估值日没有交易的，且最近 </w:t>
      </w:r>
      <w:r>
        <w:rPr>
          <w:spacing w:val="-5"/>
          <w:sz w:val="21"/>
        </w:rPr>
        <w:t>交易日后经济环境未发生重大变化，按最近交易日的收盘价估值。如最近交易日后经济环境 </w:t>
      </w:r>
      <w:r>
        <w:rPr>
          <w:spacing w:val="-4"/>
          <w:sz w:val="21"/>
        </w:rPr>
        <w:t>发生了重大变化的，可参考类似投资品种的现行市价及重大变化因素，调整最近交易市价， 确定公允价格。</w:t>
      </w:r>
    </w:p>
    <w:p>
      <w:pPr>
        <w:pStyle w:val="ListParagraph"/>
        <w:numPr>
          <w:ilvl w:val="0"/>
          <w:numId w:val="29"/>
        </w:numPr>
        <w:tabs>
          <w:tab w:pos="956" w:val="left" w:leader="none"/>
        </w:tabs>
        <w:spacing w:line="364" w:lineRule="auto" w:before="0" w:after="0"/>
        <w:ind w:left="220" w:right="1208" w:firstLine="420"/>
        <w:jc w:val="left"/>
        <w:rPr>
          <w:sz w:val="21"/>
        </w:rPr>
      </w:pPr>
      <w:r>
        <w:rPr>
          <w:sz w:val="21"/>
        </w:rPr>
        <w:t>交易所上市未实行净价交易的债券按估值日收盘价减去债券收盘价中所含的债券应 </w:t>
      </w:r>
      <w:r>
        <w:rPr>
          <w:spacing w:val="-13"/>
          <w:sz w:val="21"/>
        </w:rPr>
        <w:t>收利息得到的净价进行估值；估值日没有交易的，且最近交易日后经济环境未发生重大变化， </w:t>
      </w:r>
      <w:r>
        <w:rPr>
          <w:spacing w:val="-16"/>
          <w:sz w:val="21"/>
        </w:rPr>
        <w:t>按最近交易日债券收盘价减去债券收盘价中所含的债券应收利息得到的净价进行估值。如最 </w:t>
      </w:r>
      <w:r>
        <w:rPr>
          <w:spacing w:val="-9"/>
          <w:sz w:val="21"/>
        </w:rPr>
        <w:t>近交易日后经济环境发生了重大变化的，可参考类似投资品种的现行市价及重大变化因素， 调整最近交易日所采用的净价，确定公允价格。</w:t>
      </w:r>
    </w:p>
    <w:p>
      <w:pPr>
        <w:pStyle w:val="ListParagraph"/>
        <w:numPr>
          <w:ilvl w:val="0"/>
          <w:numId w:val="29"/>
        </w:numPr>
        <w:tabs>
          <w:tab w:pos="956" w:val="left" w:leader="none"/>
        </w:tabs>
        <w:spacing w:line="364" w:lineRule="auto" w:before="0" w:after="0"/>
        <w:ind w:left="220" w:right="1313" w:firstLine="420"/>
        <w:jc w:val="left"/>
        <w:rPr>
          <w:sz w:val="21"/>
        </w:rPr>
      </w:pPr>
      <w:r>
        <w:rPr>
          <w:sz w:val="21"/>
        </w:rPr>
        <w:t>交易所上市不存在活跃市场的有价证券，采用估值技术确定公允价值。交易所上市</w:t>
      </w:r>
      <w:r>
        <w:rPr>
          <w:spacing w:val="-16"/>
          <w:sz w:val="21"/>
        </w:rPr>
        <w:t>的资产支持证券，采用估值技术确定公允价值，在估值技术难以可靠计量公允价值的情况下， </w:t>
      </w:r>
      <w:r>
        <w:rPr>
          <w:sz w:val="21"/>
        </w:rPr>
        <w:t>按成本估值。</w:t>
      </w:r>
    </w:p>
    <w:p>
      <w:pPr>
        <w:pStyle w:val="BodyText"/>
        <w:spacing w:line="268" w:lineRule="exact"/>
      </w:pPr>
      <w:r>
        <w:rPr/>
        <w:t>2、处于未上市期间的有价证券应区分如下情况处理：</w:t>
      </w:r>
    </w:p>
    <w:p>
      <w:pPr>
        <w:pStyle w:val="ListParagraph"/>
        <w:numPr>
          <w:ilvl w:val="0"/>
          <w:numId w:val="30"/>
        </w:numPr>
        <w:tabs>
          <w:tab w:pos="956" w:val="left" w:leader="none"/>
        </w:tabs>
        <w:spacing w:line="364" w:lineRule="auto" w:before="134" w:after="0"/>
        <w:ind w:left="220" w:right="1418" w:firstLine="420"/>
        <w:jc w:val="left"/>
        <w:rPr>
          <w:sz w:val="21"/>
        </w:rPr>
      </w:pPr>
      <w:r>
        <w:rPr>
          <w:sz w:val="21"/>
        </w:rPr>
        <w:t>送股、转增股、配股和公开增发的新股，按估值日在证券交易所挂牌的同一股票的市价(收盘价)估值；该日无交易的，以最近一日的市价(收盘价)估值；</w:t>
      </w:r>
    </w:p>
    <w:p>
      <w:pPr>
        <w:pStyle w:val="ListParagraph"/>
        <w:numPr>
          <w:ilvl w:val="0"/>
          <w:numId w:val="30"/>
        </w:numPr>
        <w:tabs>
          <w:tab w:pos="956" w:val="left" w:leader="none"/>
        </w:tabs>
        <w:spacing w:line="364" w:lineRule="auto" w:before="0" w:after="0"/>
        <w:ind w:left="220" w:right="1418" w:firstLine="420"/>
        <w:jc w:val="left"/>
        <w:rPr>
          <w:sz w:val="21"/>
        </w:rPr>
      </w:pPr>
      <w:r>
        <w:rPr>
          <w:sz w:val="21"/>
        </w:rPr>
        <w:t>首次公开发行未上市的股票、债券和权证，采用估值技术确定公允价值，在估值技术难以可靠计量公允价值的情况下，按成本估值。</w:t>
      </w:r>
    </w:p>
    <w:p>
      <w:pPr>
        <w:pStyle w:val="ListParagraph"/>
        <w:numPr>
          <w:ilvl w:val="0"/>
          <w:numId w:val="30"/>
        </w:numPr>
        <w:tabs>
          <w:tab w:pos="956" w:val="left" w:leader="none"/>
        </w:tabs>
        <w:spacing w:line="364" w:lineRule="auto" w:before="0" w:after="0"/>
        <w:ind w:left="220" w:right="1418" w:firstLine="420"/>
        <w:jc w:val="both"/>
        <w:rPr>
          <w:sz w:val="21"/>
        </w:rPr>
      </w:pPr>
      <w:r>
        <w:rPr>
          <w:sz w:val="21"/>
        </w:rPr>
        <w:t>首次公开发行有明确锁定期的股票，同一股票在交易所上市后，按交易所上市的同</w:t>
      </w:r>
      <w:r>
        <w:rPr>
          <w:spacing w:val="-9"/>
          <w:sz w:val="21"/>
        </w:rPr>
        <w:t>一股票的市价(收盘价)估值；非公开发行有明确锁定期的股票，按监管机构或行业协会有关</w:t>
      </w:r>
      <w:r>
        <w:rPr>
          <w:sz w:val="21"/>
        </w:rPr>
        <w:t>规定确定公允价值。</w:t>
      </w:r>
    </w:p>
    <w:p>
      <w:pPr>
        <w:spacing w:after="0" w:line="364" w:lineRule="auto"/>
        <w:jc w:val="both"/>
        <w:rPr>
          <w:sz w:val="21"/>
        </w:rPr>
        <w:sectPr>
          <w:pgSz w:w="11910" w:h="16840"/>
          <w:pgMar w:header="0" w:footer="664" w:top="1380" w:bottom="940" w:left="1580" w:right="380"/>
        </w:sectPr>
      </w:pPr>
    </w:p>
    <w:p>
      <w:pPr>
        <w:pStyle w:val="BodyText"/>
        <w:spacing w:line="364" w:lineRule="auto" w:before="45"/>
        <w:ind w:left="220" w:right="1418" w:firstLine="420"/>
      </w:pPr>
      <w:r>
        <w:rPr/>
        <w:t>3、因持有股票而享有的配股权，以及停止交易、但未行权的权证，采用估值技术确定公允价值。</w:t>
      </w:r>
    </w:p>
    <w:p>
      <w:pPr>
        <w:pStyle w:val="BodyText"/>
        <w:spacing w:line="364" w:lineRule="auto"/>
        <w:ind w:left="220" w:right="1418" w:firstLine="420"/>
      </w:pPr>
      <w:r>
        <w:rPr/>
        <w:t>4、全国银行间债券市场交易的债券、资产支持证券等固定收益品种，采用估值技术确定公允价值。</w:t>
      </w:r>
    </w:p>
    <w:p>
      <w:pPr>
        <w:pStyle w:val="BodyText"/>
        <w:spacing w:line="268" w:lineRule="exact"/>
      </w:pPr>
      <w:r>
        <w:rPr/>
        <w:t>5、同一债券同时在两个或两个以上市场交易的，按债券所处的市场分别估值。</w:t>
      </w:r>
    </w:p>
    <w:p>
      <w:pPr>
        <w:pStyle w:val="BodyText"/>
        <w:spacing w:line="364" w:lineRule="auto" w:before="138"/>
        <w:ind w:left="220" w:right="1418" w:firstLine="420"/>
      </w:pPr>
      <w:r>
        <w:rPr/>
        <w:t>6、如有确凿证据表明按上述方法进行估值不能客观反映其公允价值的，基金管理人可根据具体情况与基金托管人商定后，按最能反映公允价值的价格估值。</w:t>
      </w:r>
    </w:p>
    <w:p>
      <w:pPr>
        <w:pStyle w:val="BodyText"/>
        <w:spacing w:line="364" w:lineRule="auto"/>
        <w:ind w:left="220" w:right="1418" w:firstLine="420"/>
      </w:pPr>
      <w:r>
        <w:rPr/>
        <w:t>7、相关法律法规以及监管部门有强制规定的，从其规定。如有新增事项，按国家最新规定估值。</w:t>
      </w:r>
    </w:p>
    <w:p>
      <w:pPr>
        <w:pStyle w:val="BodyText"/>
        <w:spacing w:line="364" w:lineRule="auto"/>
        <w:ind w:left="220" w:right="120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364" w:lineRule="auto"/>
        <w:ind w:left="220" w:right="1417"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在平等基础上充分讨论后，仍无法达成一致的意见，按照基金管理人对基金资产净值的计算</w:t>
      </w:r>
      <w:r>
        <w:rPr/>
        <w:t>结果对外予以公布。</w:t>
      </w:r>
    </w:p>
    <w:p>
      <w:pPr>
        <w:pStyle w:val="Heading3"/>
        <w:spacing w:line="358" w:lineRule="exact"/>
        <w:ind w:left="640"/>
      </w:pPr>
      <w:bookmarkStart w:name="_bookmark67" w:id="68"/>
      <w:bookmarkEnd w:id="68"/>
      <w:r>
        <w:rPr/>
      </w:r>
      <w:r>
        <w:rPr/>
        <w:t>(四)估值对象</w:t>
      </w:r>
    </w:p>
    <w:p>
      <w:pPr>
        <w:pStyle w:val="BodyText"/>
        <w:spacing w:before="182"/>
      </w:pPr>
      <w:r>
        <w:rPr/>
        <w:t>基金所拥有的股票、权证、债券和银行存款本息、应收款项、其它投资等资产和负债。</w:t>
      </w:r>
    </w:p>
    <w:p>
      <w:pPr>
        <w:pStyle w:val="Heading3"/>
        <w:spacing w:before="141"/>
        <w:ind w:left="640"/>
      </w:pPr>
      <w:bookmarkStart w:name="_bookmark68" w:id="69"/>
      <w:bookmarkEnd w:id="69"/>
      <w:r>
        <w:rPr/>
      </w:r>
      <w:r>
        <w:rPr/>
        <w:t>(五)估值程序</w:t>
      </w:r>
    </w:p>
    <w:p>
      <w:pPr>
        <w:pStyle w:val="BodyText"/>
        <w:spacing w:line="364" w:lineRule="auto" w:before="184"/>
        <w:ind w:left="220" w:right="1418" w:firstLine="420"/>
      </w:pPr>
      <w:r>
        <w:rPr/>
        <w:t>1、基金份额净值是按照每个工作日闭市后，基金资产净值除以当日基金份额的余额数量计算，精确到 0.001 元，小数点后第四位四舍五入。国家另有规定的，从其规定。</w:t>
      </w:r>
    </w:p>
    <w:p>
      <w:pPr>
        <w:pStyle w:val="BodyText"/>
        <w:spacing w:line="268" w:lineRule="exact"/>
      </w:pPr>
      <w:r>
        <w:rPr/>
        <w:t>每个工作日计算基金资产净值及基金份额净值，并按规定公告。</w:t>
      </w:r>
    </w:p>
    <w:p>
      <w:pPr>
        <w:pStyle w:val="BodyText"/>
        <w:spacing w:line="364" w:lineRule="auto" w:before="140"/>
        <w:ind w:left="220" w:right="1417" w:firstLine="420"/>
        <w:jc w:val="both"/>
      </w:pPr>
      <w:r>
        <w:rPr/>
        <w:t>2、基金管理人应每个工作日对基金资产估值。基金管理人每个工作日对基金资产估值</w:t>
      </w:r>
      <w:r>
        <w:rPr>
          <w:spacing w:val="-10"/>
        </w:rPr>
        <w:t>后，将基金份额净值结果发送基金托管人，经基金托管人复核无误后，由基金管理人对外公</w:t>
      </w:r>
      <w:r>
        <w:rPr/>
        <w:t>布。月末、年中和年末估值复核与基金会计账目的核对同时进行。</w:t>
      </w:r>
    </w:p>
    <w:p>
      <w:pPr>
        <w:pStyle w:val="Heading3"/>
        <w:spacing w:line="358" w:lineRule="exact"/>
        <w:ind w:left="640"/>
      </w:pPr>
      <w:bookmarkStart w:name="_bookmark69" w:id="70"/>
      <w:bookmarkEnd w:id="70"/>
      <w:r>
        <w:rPr/>
      </w:r>
      <w:r>
        <w:rPr/>
        <w:t>(六)估值错误的处理</w:t>
      </w:r>
    </w:p>
    <w:p>
      <w:pPr>
        <w:pStyle w:val="BodyText"/>
        <w:spacing w:line="364" w:lineRule="auto" w:before="185"/>
        <w:ind w:left="220" w:right="1208" w:firstLine="420"/>
      </w:pPr>
      <w:r>
        <w:rPr/>
        <w:t>基金管理人和基金托管人将采取必要、适当、合理的措施确保基金资产估值的准确性、</w:t>
      </w:r>
      <w:r>
        <w:rPr>
          <w:spacing w:val="-14"/>
        </w:rPr>
        <w:t>及时性。当基金份额净值小数点后 </w:t>
      </w:r>
      <w:r>
        <w:rPr/>
        <w:t>3</w:t>
      </w:r>
      <w:r>
        <w:rPr>
          <w:spacing w:val="-15"/>
        </w:rPr>
        <w:t> 位以内(含第 </w:t>
      </w:r>
      <w:r>
        <w:rPr/>
        <w:t>3</w:t>
      </w:r>
      <w:r>
        <w:rPr>
          <w:spacing w:val="-14"/>
        </w:rPr>
        <w:t> 位)发生差错时，视为基金份额净值错误。</w:t>
      </w:r>
    </w:p>
    <w:p>
      <w:pPr>
        <w:pStyle w:val="BodyText"/>
        <w:spacing w:line="268" w:lineRule="exact"/>
      </w:pPr>
      <w:r>
        <w:rPr/>
        <w:t>本基金合同的当事人应按照以下约定处理：</w:t>
      </w:r>
    </w:p>
    <w:p>
      <w:pPr>
        <w:pStyle w:val="BodyText"/>
        <w:spacing w:before="159"/>
      </w:pPr>
      <w:r>
        <w:rPr/>
        <w:t>1、差错类型</w:t>
      </w:r>
    </w:p>
    <w:p>
      <w:pPr>
        <w:pStyle w:val="BodyText"/>
        <w:spacing w:line="364" w:lineRule="auto" w:before="23"/>
        <w:ind w:left="220" w:right="1312" w:firstLine="420"/>
      </w:pPr>
      <w:r>
        <w:rPr>
          <w:spacing w:val="-14"/>
        </w:rPr>
        <w:t>本基金运作过程中，如果由于基金管理人或基金托管人、或注册登记机构、或销售机构、</w:t>
      </w:r>
      <w:r>
        <w:rPr>
          <w:spacing w:val="-6"/>
        </w:rPr>
        <w:t>或投资人自身的过错造成差错，导致其他当事人遭受损失的，过错的责任人应当对由于该差错遭受损失当事人(“受损方”)的直接损失按下述“差错处理原则”给予赔偿。</w:t>
      </w:r>
    </w:p>
    <w:p>
      <w:pPr>
        <w:spacing w:after="0" w:line="364" w:lineRule="auto"/>
        <w:sectPr>
          <w:pgSz w:w="11910" w:h="16840"/>
          <w:pgMar w:header="0" w:footer="664" w:top="1380" w:bottom="940" w:left="1580" w:right="380"/>
        </w:sectPr>
      </w:pPr>
    </w:p>
    <w:p>
      <w:pPr>
        <w:pStyle w:val="BodyText"/>
        <w:spacing w:line="364" w:lineRule="auto" w:before="45"/>
        <w:ind w:left="220" w:right="1418" w:firstLine="420"/>
        <w:jc w:val="both"/>
      </w:pPr>
      <w:r>
        <w:rPr>
          <w:spacing w:val="-8"/>
        </w:rPr>
        <w:t>上述差错的主要类型包括但不限于：资料申报差错、数据传输差错、数据计算差错、系</w:t>
      </w:r>
      <w:r>
        <w:rPr>
          <w:spacing w:val="-9"/>
        </w:rPr>
        <w:t>统故障差错、下达指令差错等；对于因技术原因引起的差错，若系同行业现有技术水平不能</w:t>
      </w:r>
      <w:r>
        <w:rPr/>
        <w:t>预见、不能避免、不能克服，则属不可抗力，按照下述规定执行。</w:t>
      </w:r>
    </w:p>
    <w:p>
      <w:pPr>
        <w:pStyle w:val="BodyText"/>
        <w:spacing w:line="364" w:lineRule="auto"/>
        <w:ind w:left="220" w:right="1418" w:firstLine="420"/>
        <w:jc w:val="both"/>
      </w:pPr>
      <w:r>
        <w:rPr>
          <w:spacing w:val="-4"/>
        </w:rPr>
        <w:t>由于不可抗力原因造成投资人的交易资料灭失或被错误处理或造成其他差错，因不可抗</w:t>
      </w:r>
      <w:r>
        <w:rPr>
          <w:spacing w:val="-5"/>
        </w:rPr>
        <w:t>力原因出现差错的当事人不对其他当事人承担赔偿责任，但因该差错取得不当得利的当事人</w:t>
      </w:r>
      <w:r>
        <w:rPr/>
        <w:t>仍应负有返还不当得利的义务。</w:t>
      </w:r>
    </w:p>
    <w:p>
      <w:pPr>
        <w:pStyle w:val="BodyText"/>
        <w:spacing w:before="17"/>
      </w:pPr>
      <w:r>
        <w:rPr/>
        <w:t>2、差错处理原则</w:t>
      </w:r>
    </w:p>
    <w:p>
      <w:pPr>
        <w:pStyle w:val="ListParagraph"/>
        <w:numPr>
          <w:ilvl w:val="0"/>
          <w:numId w:val="31"/>
        </w:numPr>
        <w:tabs>
          <w:tab w:pos="956" w:val="left" w:leader="none"/>
        </w:tabs>
        <w:spacing w:line="364" w:lineRule="auto" w:before="23" w:after="0"/>
        <w:ind w:left="220" w:right="1313" w:firstLine="420"/>
        <w:jc w:val="left"/>
        <w:rPr>
          <w:sz w:val="21"/>
        </w:rPr>
      </w:pPr>
      <w:r>
        <w:rPr>
          <w:sz w:val="21"/>
        </w:rPr>
        <w:t>差错已发生，但尚未给当事人造成损失时，差错责任方应及时协调各方，及时进行</w:t>
      </w:r>
      <w:r>
        <w:rPr>
          <w:spacing w:val="-16"/>
          <w:sz w:val="21"/>
        </w:rPr>
        <w:t>更正，因更正差错发生的费用由差错责任方承担；由于差错责任方未及时更正已产生的差错， </w:t>
      </w:r>
      <w:r>
        <w:rPr>
          <w:spacing w:val="-15"/>
          <w:sz w:val="21"/>
        </w:rPr>
        <w:t>给当事人造成损失的，由差错责任方对直接损失承担赔偿责任；若差错责任方已经积极协调， </w:t>
      </w:r>
      <w:r>
        <w:rPr>
          <w:spacing w:val="-4"/>
          <w:sz w:val="21"/>
        </w:rPr>
        <w:t>并且有协助义务的当事人有足够的时间进行更正而未更正，则该当事人应当承担相应赔偿责任。差错责任方应对更正的情况向有关当事人进行确认，确保差错已得到更正。</w:t>
      </w:r>
    </w:p>
    <w:p>
      <w:pPr>
        <w:pStyle w:val="ListParagraph"/>
        <w:numPr>
          <w:ilvl w:val="0"/>
          <w:numId w:val="31"/>
        </w:numPr>
        <w:tabs>
          <w:tab w:pos="956" w:val="left" w:leader="none"/>
        </w:tabs>
        <w:spacing w:line="364" w:lineRule="auto" w:before="0" w:after="0"/>
        <w:ind w:left="220" w:right="1418" w:firstLine="420"/>
        <w:jc w:val="left"/>
        <w:rPr>
          <w:sz w:val="21"/>
        </w:rPr>
      </w:pPr>
      <w:r>
        <w:rPr>
          <w:sz w:val="21"/>
        </w:rPr>
        <w:t>差错的责任方对有关当事人的直接损失负责，不对间接损失负责，并且仅对差错的有关直接当事人负责，不对第三方负责。</w:t>
      </w:r>
    </w:p>
    <w:p>
      <w:pPr>
        <w:pStyle w:val="ListParagraph"/>
        <w:numPr>
          <w:ilvl w:val="0"/>
          <w:numId w:val="31"/>
        </w:numPr>
        <w:tabs>
          <w:tab w:pos="956" w:val="left" w:leader="none"/>
        </w:tabs>
        <w:spacing w:line="364" w:lineRule="auto" w:before="0" w:after="0"/>
        <w:ind w:left="220" w:right="1417" w:firstLine="420"/>
        <w:jc w:val="both"/>
        <w:rPr>
          <w:sz w:val="21"/>
        </w:rPr>
      </w:pPr>
      <w:r>
        <w:rPr>
          <w:sz w:val="21"/>
        </w:rPr>
        <w:t>因差错而获得不当得利的当事人负有及时返还不当得利的义务。但差错责任方仍应</w:t>
      </w:r>
      <w:r>
        <w:rPr>
          <w:spacing w:val="-11"/>
          <w:sz w:val="21"/>
        </w:rPr>
        <w:t>对差错负责。如果由于获得不当得利的当事人不返还或不全部返还不当得利造成其他当事人</w:t>
      </w:r>
      <w:r>
        <w:rPr>
          <w:spacing w:val="-8"/>
          <w:sz w:val="21"/>
        </w:rPr>
        <w:t>的利益损失(“受损方”)，则差错责任方应赔偿受损方的损失，并在其支付的赔偿金额的范</w:t>
      </w:r>
      <w:r>
        <w:rPr>
          <w:spacing w:val="-5"/>
          <w:sz w:val="21"/>
        </w:rPr>
        <w:t>围内对获得不当得利的当事人享有要求交付不当得利的权利；如果获得不当得利的当事人已</w:t>
      </w:r>
      <w:r>
        <w:rPr>
          <w:spacing w:val="-7"/>
          <w:sz w:val="21"/>
        </w:rPr>
        <w:t>经将此部分不当得利返还给受损方，则受损方应当将其已经获得的赔偿额加上已经获得的不</w:t>
      </w:r>
      <w:r>
        <w:rPr>
          <w:sz w:val="21"/>
        </w:rPr>
        <w:t>当得利返还的总和超过其实际损失的差额部分支付给差错责任方。</w:t>
      </w:r>
    </w:p>
    <w:p>
      <w:pPr>
        <w:pStyle w:val="ListParagraph"/>
        <w:numPr>
          <w:ilvl w:val="0"/>
          <w:numId w:val="31"/>
        </w:numPr>
        <w:tabs>
          <w:tab w:pos="956" w:val="left" w:leader="none"/>
        </w:tabs>
        <w:spacing w:line="266" w:lineRule="exact" w:before="0" w:after="0"/>
        <w:ind w:left="956" w:right="0" w:hanging="316"/>
        <w:jc w:val="left"/>
        <w:rPr>
          <w:sz w:val="21"/>
        </w:rPr>
      </w:pPr>
      <w:r>
        <w:rPr>
          <w:sz w:val="21"/>
        </w:rPr>
        <w:t>差错调整采用尽量恢复至假设未发生差错的正确情形的方式。</w:t>
      </w:r>
    </w:p>
    <w:p>
      <w:pPr>
        <w:pStyle w:val="ListParagraph"/>
        <w:numPr>
          <w:ilvl w:val="0"/>
          <w:numId w:val="31"/>
        </w:numPr>
        <w:tabs>
          <w:tab w:pos="956" w:val="left" w:leader="none"/>
        </w:tabs>
        <w:spacing w:line="364" w:lineRule="auto" w:before="136" w:after="0"/>
        <w:ind w:left="220" w:right="1313" w:firstLine="420"/>
        <w:jc w:val="left"/>
        <w:rPr>
          <w:sz w:val="21"/>
        </w:rPr>
      </w:pPr>
      <w:r>
        <w:rPr>
          <w:sz w:val="21"/>
        </w:rPr>
        <w:t>差错责任方拒绝进行赔偿时，如果因基金管理人过错造成基金财产损失时，基金托</w:t>
      </w:r>
      <w:r>
        <w:rPr>
          <w:spacing w:val="-5"/>
          <w:sz w:val="21"/>
        </w:rPr>
        <w:t>管人应为基金的利益向基金管理人追偿，如果因基金托管人过错造成基金财产损失时，基金</w:t>
      </w:r>
      <w:r>
        <w:rPr>
          <w:spacing w:val="-10"/>
          <w:sz w:val="21"/>
        </w:rPr>
        <w:t>管理人应为基金的利益向基金托管人追偿。基金管理人和托管人之外的第三方造成基金财产</w:t>
      </w:r>
      <w:r>
        <w:rPr>
          <w:spacing w:val="-16"/>
          <w:sz w:val="21"/>
        </w:rPr>
        <w:t>的损失，并拒绝进行赔偿时，由基金管理人负责向差错方追偿；追偿过程中产生的有关费用， </w:t>
      </w:r>
      <w:r>
        <w:rPr>
          <w:sz w:val="21"/>
        </w:rPr>
        <w:t>应列入基金费用，从基金资产中支付。</w:t>
      </w:r>
    </w:p>
    <w:p>
      <w:pPr>
        <w:pStyle w:val="ListParagraph"/>
        <w:numPr>
          <w:ilvl w:val="0"/>
          <w:numId w:val="31"/>
        </w:numPr>
        <w:tabs>
          <w:tab w:pos="956" w:val="left" w:leader="none"/>
        </w:tabs>
        <w:spacing w:line="364" w:lineRule="auto" w:before="0" w:after="0"/>
        <w:ind w:left="220" w:right="1417" w:firstLine="420"/>
        <w:jc w:val="both"/>
        <w:rPr>
          <w:sz w:val="21"/>
        </w:rPr>
      </w:pPr>
      <w:r>
        <w:rPr>
          <w:sz w:val="21"/>
        </w:rPr>
        <w:t>如果出现差错的当事人未按规定对受损方进行赔偿，并且依据法律法规、基金合同</w:t>
      </w:r>
      <w:r>
        <w:rPr>
          <w:spacing w:val="-10"/>
          <w:sz w:val="21"/>
        </w:rPr>
        <w:t>或其他规定，基金管理人自行或依据法院判决、仲裁裁决对受损方承担了赔偿责任，则基金</w:t>
      </w:r>
      <w:r>
        <w:rPr>
          <w:spacing w:val="-6"/>
          <w:sz w:val="21"/>
        </w:rPr>
        <w:t>管理人有权向出现过错的当事人进行追索，并有权要求其赔偿或补偿由此发生的费用和遭受</w:t>
      </w:r>
      <w:r>
        <w:rPr>
          <w:sz w:val="21"/>
        </w:rPr>
        <w:t>的直接损失。</w:t>
      </w:r>
    </w:p>
    <w:p>
      <w:pPr>
        <w:pStyle w:val="ListParagraph"/>
        <w:numPr>
          <w:ilvl w:val="0"/>
          <w:numId w:val="31"/>
        </w:numPr>
        <w:tabs>
          <w:tab w:pos="956" w:val="left" w:leader="none"/>
        </w:tabs>
        <w:spacing w:line="364" w:lineRule="auto" w:before="0" w:after="0"/>
        <w:ind w:left="640" w:right="5420" w:firstLine="0"/>
        <w:jc w:val="left"/>
        <w:rPr>
          <w:sz w:val="21"/>
        </w:rPr>
      </w:pPr>
      <w:r>
        <w:rPr>
          <w:spacing w:val="-2"/>
          <w:sz w:val="21"/>
        </w:rPr>
        <w:t>按法律法规规定的其他原则处理差错。</w:t>
      </w:r>
      <w:r>
        <w:rPr>
          <w:sz w:val="21"/>
        </w:rPr>
        <w:t>3、差错处理程序</w:t>
      </w:r>
    </w:p>
    <w:p>
      <w:pPr>
        <w:pStyle w:val="BodyText"/>
        <w:spacing w:line="268" w:lineRule="exact"/>
      </w:pPr>
      <w:r>
        <w:rPr/>
        <w:t>差错被发现后，有关的当事人应当及时进行处理，处理的程序如下：</w:t>
      </w:r>
    </w:p>
    <w:p>
      <w:pPr>
        <w:pStyle w:val="ListParagraph"/>
        <w:numPr>
          <w:ilvl w:val="0"/>
          <w:numId w:val="32"/>
        </w:numPr>
        <w:tabs>
          <w:tab w:pos="956" w:val="left" w:leader="none"/>
        </w:tabs>
        <w:spacing w:line="240" w:lineRule="auto" w:before="135" w:after="0"/>
        <w:ind w:left="956" w:right="0" w:hanging="316"/>
        <w:jc w:val="left"/>
        <w:rPr>
          <w:sz w:val="21"/>
        </w:rPr>
      </w:pPr>
      <w:r>
        <w:rPr>
          <w:sz w:val="21"/>
        </w:rPr>
        <w:t>查明差错发生的原因，列明所有的当事人，并根据差错发生的原因确定差错的责任</w:t>
      </w:r>
    </w:p>
    <w:p>
      <w:pPr>
        <w:spacing w:after="0" w:line="240" w:lineRule="auto"/>
        <w:jc w:val="left"/>
        <w:rPr>
          <w:sz w:val="21"/>
        </w:rPr>
        <w:sectPr>
          <w:pgSz w:w="11910" w:h="16840"/>
          <w:pgMar w:header="0" w:footer="664" w:top="1380" w:bottom="940" w:left="1580" w:right="380"/>
        </w:sectPr>
      </w:pPr>
    </w:p>
    <w:p>
      <w:pPr>
        <w:pStyle w:val="BodyText"/>
        <w:spacing w:before="45"/>
        <w:ind w:left="220"/>
      </w:pPr>
      <w:r>
        <w:rPr/>
        <w:t>方；</w:t>
      </w:r>
    </w:p>
    <w:p>
      <w:pPr>
        <w:pStyle w:val="ListParagraph"/>
        <w:numPr>
          <w:ilvl w:val="0"/>
          <w:numId w:val="32"/>
        </w:numPr>
        <w:tabs>
          <w:tab w:pos="956" w:val="left" w:leader="none"/>
        </w:tabs>
        <w:spacing w:line="240" w:lineRule="auto" w:before="159" w:after="0"/>
        <w:ind w:left="956" w:right="0" w:hanging="316"/>
        <w:jc w:val="left"/>
        <w:rPr>
          <w:sz w:val="21"/>
        </w:rPr>
      </w:pPr>
      <w:r>
        <w:rPr>
          <w:sz w:val="21"/>
        </w:rPr>
        <w:t>根据差错处理原则或当事人协商的方法对因差错造成的损失进行评估；</w:t>
      </w:r>
    </w:p>
    <w:p>
      <w:pPr>
        <w:pStyle w:val="ListParagraph"/>
        <w:numPr>
          <w:ilvl w:val="0"/>
          <w:numId w:val="32"/>
        </w:numPr>
        <w:tabs>
          <w:tab w:pos="956" w:val="left" w:leader="none"/>
        </w:tabs>
        <w:spacing w:line="240" w:lineRule="auto" w:before="23" w:after="0"/>
        <w:ind w:left="956" w:right="0" w:hanging="316"/>
        <w:jc w:val="left"/>
        <w:rPr>
          <w:sz w:val="21"/>
        </w:rPr>
      </w:pPr>
      <w:r>
        <w:rPr>
          <w:sz w:val="21"/>
        </w:rPr>
        <w:t>根据差错处理原则或当事人协商的方法由差错的责任方进行更正和赔偿损失；</w:t>
      </w:r>
    </w:p>
    <w:p>
      <w:pPr>
        <w:pStyle w:val="ListParagraph"/>
        <w:numPr>
          <w:ilvl w:val="0"/>
          <w:numId w:val="32"/>
        </w:numPr>
        <w:tabs>
          <w:tab w:pos="956" w:val="left" w:leader="none"/>
        </w:tabs>
        <w:spacing w:line="364" w:lineRule="auto" w:before="140" w:after="0"/>
        <w:ind w:left="220" w:right="1418" w:firstLine="420"/>
        <w:jc w:val="left"/>
        <w:rPr>
          <w:sz w:val="21"/>
        </w:rPr>
      </w:pPr>
      <w:r>
        <w:rPr>
          <w:sz w:val="21"/>
        </w:rPr>
        <w:t>根据差错处理的方法，需要修改基金注册登记机构交易数据的，由基金注册登记机构进行更正，并就差错的更正向有关当事人进行确认。</w:t>
      </w:r>
    </w:p>
    <w:p>
      <w:pPr>
        <w:pStyle w:val="BodyText"/>
        <w:spacing w:line="268" w:lineRule="exact"/>
      </w:pPr>
      <w:r>
        <w:rPr/>
        <w:t>4、基金份额净值差错处理的原则和方法如下：</w:t>
      </w:r>
    </w:p>
    <w:p>
      <w:pPr>
        <w:pStyle w:val="ListParagraph"/>
        <w:numPr>
          <w:ilvl w:val="0"/>
          <w:numId w:val="33"/>
        </w:numPr>
        <w:tabs>
          <w:tab w:pos="956" w:val="left" w:leader="none"/>
        </w:tabs>
        <w:spacing w:line="364" w:lineRule="auto" w:before="139" w:after="0"/>
        <w:ind w:left="220" w:right="1418" w:firstLine="420"/>
        <w:jc w:val="left"/>
        <w:rPr>
          <w:sz w:val="21"/>
        </w:rPr>
      </w:pPr>
      <w:r>
        <w:rPr>
          <w:sz w:val="21"/>
        </w:rPr>
        <w:t>基金份额净值计算出现错误时，基金管理人应当立即予以纠正，通报基金托管人， 并采取合理的措施防止损失进一步扩大。</w:t>
      </w:r>
    </w:p>
    <w:p>
      <w:pPr>
        <w:pStyle w:val="ListParagraph"/>
        <w:numPr>
          <w:ilvl w:val="0"/>
          <w:numId w:val="33"/>
        </w:numPr>
        <w:tabs>
          <w:tab w:pos="957" w:val="left" w:leader="none"/>
        </w:tabs>
        <w:spacing w:line="364" w:lineRule="auto" w:before="0" w:after="0"/>
        <w:ind w:left="220" w:right="1418" w:firstLine="420"/>
        <w:jc w:val="left"/>
        <w:rPr>
          <w:sz w:val="21"/>
        </w:rPr>
      </w:pPr>
      <w:r>
        <w:rPr>
          <w:spacing w:val="-3"/>
          <w:sz w:val="21"/>
        </w:rPr>
        <w:t>错误偏差达到基金份额净值的 </w:t>
      </w:r>
      <w:r>
        <w:rPr>
          <w:sz w:val="21"/>
        </w:rPr>
        <w:t>0.25%时，基金管理人应当通报基金托管人并报中国</w:t>
      </w:r>
      <w:r>
        <w:rPr>
          <w:spacing w:val="-3"/>
          <w:sz w:val="21"/>
        </w:rPr>
        <w:t>证监会备案；错误偏差达到基金份额净值的 </w:t>
      </w:r>
      <w:r>
        <w:rPr>
          <w:sz w:val="21"/>
        </w:rPr>
        <w:t>0.5%时，基金管理人应当公告。</w:t>
      </w:r>
    </w:p>
    <w:p>
      <w:pPr>
        <w:pStyle w:val="ListParagraph"/>
        <w:numPr>
          <w:ilvl w:val="0"/>
          <w:numId w:val="33"/>
        </w:numPr>
        <w:tabs>
          <w:tab w:pos="956" w:val="left" w:leader="none"/>
        </w:tabs>
        <w:spacing w:line="364" w:lineRule="auto" w:before="0" w:after="0"/>
        <w:ind w:left="220" w:right="1418" w:firstLine="420"/>
        <w:jc w:val="left"/>
        <w:rPr>
          <w:sz w:val="21"/>
        </w:rPr>
      </w:pPr>
      <w:r>
        <w:rPr>
          <w:sz w:val="21"/>
        </w:rPr>
        <w:t>因基金份额净值计算错误，给基金或基金份额持有人造成损失的，应由基金管理人先行赔付，基金管理人按差错情形，有权向其他当事人追偿。</w:t>
      </w:r>
    </w:p>
    <w:p>
      <w:pPr>
        <w:pStyle w:val="ListParagraph"/>
        <w:numPr>
          <w:ilvl w:val="0"/>
          <w:numId w:val="33"/>
        </w:numPr>
        <w:tabs>
          <w:tab w:pos="956" w:val="left" w:leader="none"/>
        </w:tabs>
        <w:spacing w:line="364" w:lineRule="auto" w:before="0" w:after="0"/>
        <w:ind w:left="220" w:right="1418" w:firstLine="420"/>
        <w:jc w:val="left"/>
        <w:rPr>
          <w:sz w:val="21"/>
        </w:rPr>
      </w:pPr>
      <w:r>
        <w:rPr>
          <w:sz w:val="21"/>
        </w:rPr>
        <w:t>基金管理人和基金托管人由于各自技术系统设置而产生的净值计算尾差，以基金管理人计算结果为准。</w:t>
      </w:r>
    </w:p>
    <w:p>
      <w:pPr>
        <w:pStyle w:val="ListParagraph"/>
        <w:numPr>
          <w:ilvl w:val="0"/>
          <w:numId w:val="33"/>
        </w:numPr>
        <w:tabs>
          <w:tab w:pos="956" w:val="left" w:leader="none"/>
        </w:tabs>
        <w:spacing w:line="364" w:lineRule="auto" w:before="0" w:after="0"/>
        <w:ind w:left="220" w:right="1208" w:firstLine="420"/>
        <w:jc w:val="left"/>
        <w:rPr>
          <w:sz w:val="21"/>
        </w:rPr>
      </w:pPr>
      <w:r>
        <w:rPr>
          <w:sz w:val="21"/>
        </w:rPr>
        <w:t>前述内容如法律法规或监管机关另有规定的，从其规定处理。如果行业有通行做法， 双方当事人应本着平等和保护基金份额持有人利益的原则进行协商。</w:t>
      </w:r>
    </w:p>
    <w:p>
      <w:pPr>
        <w:pStyle w:val="Heading3"/>
        <w:ind w:left="640"/>
      </w:pPr>
      <w:bookmarkStart w:name="_bookmark70" w:id="71"/>
      <w:bookmarkEnd w:id="71"/>
      <w:r>
        <w:rPr/>
      </w:r>
      <w:r>
        <w:rPr/>
        <w:t>(七)暂停估值的情形</w:t>
      </w:r>
    </w:p>
    <w:p>
      <w:pPr>
        <w:pStyle w:val="BodyText"/>
        <w:spacing w:before="181"/>
      </w:pPr>
      <w:r>
        <w:rPr/>
        <w:t>1、基金投资所涉及的证券交易市场遇法定节假日或因其他原因暂停交易时；</w:t>
      </w:r>
    </w:p>
    <w:p>
      <w:pPr>
        <w:pStyle w:val="BodyText"/>
        <w:spacing w:before="140"/>
      </w:pPr>
      <w:r>
        <w:rPr/>
        <w:t>2、因不可抗力或其它情形致使基金管理人、基金托管人无法准确评估基金资产价值时；</w:t>
      </w:r>
    </w:p>
    <w:p>
      <w:pPr>
        <w:pStyle w:val="BodyText"/>
        <w:spacing w:line="364" w:lineRule="auto" w:before="139"/>
        <w:ind w:left="220" w:right="1418" w:firstLine="420"/>
      </w:pPr>
      <w:r>
        <w:rPr/>
        <w:t>3、占基金相当比例的投资品种的估值出现重大转变，而基金管理人为保障投资人的利益，决定延迟估值；</w:t>
      </w:r>
    </w:p>
    <w:p>
      <w:pPr>
        <w:pStyle w:val="BodyText"/>
        <w:spacing w:line="364" w:lineRule="auto"/>
        <w:ind w:left="220" w:right="1418" w:firstLine="420"/>
      </w:pPr>
      <w:r>
        <w:rPr/>
        <w:t>4、当前一估值日基金资产净值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5、中国证监会和基金合同认定的其它情形。</w:t>
      </w:r>
    </w:p>
    <w:p>
      <w:pPr>
        <w:pStyle w:val="Heading3"/>
        <w:spacing w:before="140"/>
        <w:ind w:left="640"/>
      </w:pPr>
      <w:bookmarkStart w:name="_bookmark71" w:id="72"/>
      <w:bookmarkEnd w:id="72"/>
      <w:r>
        <w:rPr/>
      </w:r>
      <w:r>
        <w:rPr/>
        <w:t>(八)基金净值的确认</w:t>
      </w:r>
    </w:p>
    <w:p>
      <w:pPr>
        <w:pStyle w:val="BodyText"/>
        <w:spacing w:line="364" w:lineRule="auto" w:before="185"/>
        <w:ind w:left="220" w:right="1418" w:firstLine="420"/>
        <w:jc w:val="both"/>
      </w:pPr>
      <w:r>
        <w:rPr>
          <w:spacing w:val="-4"/>
        </w:rPr>
        <w:t>用于基金信息披露的基金资产净值和基金份额净值由基金管理人负责计算，基金托管人</w:t>
      </w:r>
      <w:r>
        <w:rPr>
          <w:spacing w:val="-11"/>
        </w:rPr>
        <w:t>负责进行复核。基金管理人应于每个开放日交易结束后计算当日的基金资产净值并发送给基</w:t>
      </w:r>
      <w:r>
        <w:rPr>
          <w:spacing w:val="-10"/>
        </w:rPr>
        <w:t>金托管人。基金托管人对净值计算结果复核确认后发送给基金管理人，由基金管理人对基金</w:t>
      </w:r>
      <w:r>
        <w:rPr/>
        <w:t>净值予以公布。</w:t>
      </w:r>
    </w:p>
    <w:p>
      <w:pPr>
        <w:pStyle w:val="Heading3"/>
        <w:spacing w:line="358" w:lineRule="exact"/>
        <w:ind w:left="640"/>
      </w:pPr>
      <w:bookmarkStart w:name="_bookmark72" w:id="73"/>
      <w:bookmarkEnd w:id="73"/>
      <w:r>
        <w:rPr/>
      </w:r>
      <w:r>
        <w:rPr/>
        <w:t>(九)特殊情况的处理</w:t>
      </w:r>
    </w:p>
    <w:p>
      <w:pPr>
        <w:pStyle w:val="BodyText"/>
        <w:spacing w:line="364" w:lineRule="auto" w:before="185"/>
        <w:ind w:left="220" w:right="1418" w:firstLine="420"/>
      </w:pPr>
      <w:r>
        <w:rPr/>
        <w:t>1</w:t>
      </w:r>
      <w:r>
        <w:rPr>
          <w:spacing w:val="-3"/>
        </w:rPr>
        <w:t>、基金管理人或基金托管人按估值方法的第 </w:t>
      </w:r>
      <w:r>
        <w:rPr/>
        <w:t>6</w:t>
      </w:r>
      <w:r>
        <w:rPr>
          <w:spacing w:val="-8"/>
        </w:rPr>
        <w:t> 项进行估值时，所造成的误差不作为基金资产估值错误处理。</w:t>
      </w:r>
    </w:p>
    <w:p>
      <w:pPr>
        <w:pStyle w:val="BodyText"/>
        <w:spacing w:line="268" w:lineRule="exact"/>
      </w:pPr>
      <w:r>
        <w:rPr/>
        <w:t>2、由于不可抗力原因，或由于证券交易所或登记结算公司发送的数据错误，或国家会</w:t>
      </w:r>
    </w:p>
    <w:p>
      <w:pPr>
        <w:spacing w:after="0" w:line="268" w:lineRule="exact"/>
        <w:sectPr>
          <w:pgSz w:w="11910" w:h="16840"/>
          <w:pgMar w:header="0" w:footer="664" w:top="1380" w:bottom="940" w:left="1580" w:right="380"/>
        </w:sectPr>
      </w:pPr>
    </w:p>
    <w:p>
      <w:pPr>
        <w:pStyle w:val="BodyText"/>
        <w:spacing w:line="364" w:lineRule="auto" w:before="45"/>
        <w:ind w:left="220" w:right="1313"/>
        <w:jc w:val="both"/>
      </w:pPr>
      <w:r>
        <w:rPr>
          <w:spacing w:val="-8"/>
        </w:rPr>
        <w:t>计政策变更、市场规则变更等，基金管理人和基金托管人虽然已经采取必要、适当、合理的</w:t>
      </w:r>
      <w:r>
        <w:rPr>
          <w:spacing w:val="-12"/>
        </w:rPr>
        <w:t>措施进行检查，但未能发现错误的，由此造成的基金资产估值错误，基金管理人和基金托管</w:t>
      </w:r>
      <w:r>
        <w:rPr>
          <w:spacing w:val="-18"/>
        </w:rPr>
        <w:t>人免除赔偿责任。但基金管理人、基金托管人应当积极采取必要的措施消除由此造成的影响。</w:t>
      </w:r>
    </w:p>
    <w:p>
      <w:pPr>
        <w:spacing w:after="0" w:line="364" w:lineRule="auto"/>
        <w:jc w:val="both"/>
        <w:sectPr>
          <w:pgSz w:w="11910" w:h="16840"/>
          <w:pgMar w:header="0" w:footer="664" w:top="1380" w:bottom="940" w:left="1580" w:right="380"/>
        </w:sectPr>
      </w:pPr>
    </w:p>
    <w:p>
      <w:pPr>
        <w:pStyle w:val="Heading2"/>
      </w:pPr>
      <w:bookmarkStart w:name="_bookmark73" w:id="74"/>
      <w:bookmarkEnd w:id="74"/>
      <w:r>
        <w:rPr/>
      </w:r>
      <w:r>
        <w:rPr/>
        <w:t>十五、基金的收益分配</w:t>
      </w:r>
    </w:p>
    <w:p>
      <w:pPr>
        <w:pStyle w:val="BodyText"/>
        <w:spacing w:before="10"/>
        <w:ind w:left="0"/>
        <w:rPr>
          <w:sz w:val="10"/>
        </w:rPr>
      </w:pPr>
    </w:p>
    <w:p>
      <w:pPr>
        <w:pStyle w:val="Heading3"/>
        <w:spacing w:before="61"/>
      </w:pPr>
      <w:bookmarkStart w:name="_bookmark74" w:id="75"/>
      <w:bookmarkEnd w:id="75"/>
      <w:r>
        <w:rPr/>
      </w:r>
      <w:r>
        <w:rPr/>
        <w:t>(一)基金利润的构成</w:t>
      </w:r>
    </w:p>
    <w:p>
      <w:pPr>
        <w:pStyle w:val="BodyText"/>
        <w:spacing w:line="364" w:lineRule="auto" w:before="185"/>
        <w:ind w:left="220" w:right="1418" w:firstLine="420"/>
      </w:pPr>
      <w:r>
        <w:rPr>
          <w:spacing w:val="-8"/>
        </w:rPr>
        <w:t>基金利润指基金利息收入、投资收益、公允价值变动收益和其他收入扣除相关费用后的</w:t>
      </w:r>
      <w:r>
        <w:rPr/>
        <w:t>余额；基金已实现收益指基金利润减去公允价值变动收益后的余额。</w:t>
      </w:r>
    </w:p>
    <w:p>
      <w:pPr>
        <w:pStyle w:val="Heading3"/>
      </w:pPr>
      <w:bookmarkStart w:name="_bookmark75" w:id="76"/>
      <w:bookmarkEnd w:id="76"/>
      <w:r>
        <w:rPr/>
      </w:r>
      <w:r>
        <w:rPr/>
        <w:t>(二)基金可供分配利润</w:t>
      </w:r>
    </w:p>
    <w:p>
      <w:pPr>
        <w:pStyle w:val="BodyText"/>
        <w:spacing w:line="364" w:lineRule="auto" w:before="185"/>
        <w:ind w:left="220" w:right="1418" w:firstLine="420"/>
      </w:pPr>
      <w:r>
        <w:rPr/>
        <w:t>基金可供分配利润指截至收益分配基准日基金未分配利润与未分配利润中已实现收益的孰低数。</w:t>
      </w:r>
    </w:p>
    <w:p>
      <w:pPr>
        <w:pStyle w:val="Heading3"/>
      </w:pPr>
      <w:bookmarkStart w:name="_bookmark76" w:id="77"/>
      <w:bookmarkEnd w:id="77"/>
      <w:r>
        <w:rPr/>
      </w:r>
      <w:r>
        <w:rPr/>
        <w:t>(三)收益分配原则</w:t>
      </w:r>
    </w:p>
    <w:p>
      <w:pPr>
        <w:pStyle w:val="BodyText"/>
        <w:spacing w:before="185"/>
      </w:pPr>
      <w:r>
        <w:rPr/>
        <w:t>本基金收益分配应遵循下列原则：</w:t>
      </w:r>
    </w:p>
    <w:p>
      <w:pPr>
        <w:pStyle w:val="BodyText"/>
        <w:spacing w:line="364" w:lineRule="auto" w:before="139"/>
        <w:ind w:left="220" w:right="1418" w:firstLine="420"/>
        <w:jc w:val="both"/>
      </w:pPr>
      <w:r>
        <w:rPr/>
        <w:t>1</w:t>
      </w:r>
      <w:r>
        <w:rPr>
          <w:spacing w:val="-8"/>
        </w:rPr>
        <w:t>、由于本基金 </w:t>
      </w:r>
      <w:r>
        <w:rPr/>
        <w:t>A</w:t>
      </w:r>
      <w:r>
        <w:rPr>
          <w:spacing w:val="-11"/>
        </w:rPr>
        <w:t> 类基金份额不收取销售服务费，而 </w:t>
      </w:r>
      <w:r>
        <w:rPr/>
        <w:t>C</w:t>
      </w:r>
      <w:r>
        <w:rPr>
          <w:spacing w:val="-8"/>
        </w:rPr>
        <w:t> 类基金份额收取销售服务费，各</w:t>
      </w:r>
      <w:r>
        <w:rPr>
          <w:spacing w:val="-14"/>
        </w:rPr>
        <w:t>基金份额类别对应的可供分配利润将有所不同。本基金同一类别的每一基金份额享有同等分</w:t>
      </w:r>
      <w:r>
        <w:rPr/>
        <w:t>配权；</w:t>
      </w:r>
    </w:p>
    <w:p>
      <w:pPr>
        <w:pStyle w:val="BodyText"/>
        <w:spacing w:line="364" w:lineRule="auto"/>
        <w:ind w:left="220" w:right="1418" w:firstLine="420"/>
        <w:jc w:val="both"/>
      </w:pPr>
      <w:r>
        <w:rPr/>
        <w:t>2</w:t>
      </w:r>
      <w:r>
        <w:rPr>
          <w:spacing w:val="-11"/>
        </w:rPr>
        <w:t>、本基金收益每年最多分配 </w:t>
      </w:r>
      <w:r>
        <w:rPr/>
        <w:t>12</w:t>
      </w:r>
      <w:r>
        <w:rPr>
          <w:spacing w:val="-12"/>
        </w:rPr>
        <w:t> 次，每份基金份额每次基金收益分配比例不低于收益分</w:t>
      </w:r>
      <w:r>
        <w:rPr>
          <w:spacing w:val="-3"/>
        </w:rPr>
        <w:t>配基准日每份基金份额可供分配利润的 </w:t>
      </w:r>
      <w:r>
        <w:rPr/>
        <w:t>60%；</w:t>
      </w:r>
    </w:p>
    <w:p>
      <w:pPr>
        <w:pStyle w:val="BodyText"/>
        <w:spacing w:line="268" w:lineRule="exact"/>
        <w:jc w:val="both"/>
      </w:pPr>
      <w:r>
        <w:rPr/>
        <w:t>3、若基金合同生效不满 3 个月则可不进行收益分配；</w:t>
      </w:r>
    </w:p>
    <w:p>
      <w:pPr>
        <w:pStyle w:val="BodyText"/>
        <w:spacing w:line="364" w:lineRule="auto" w:before="138"/>
        <w:ind w:left="220" w:right="1418" w:firstLine="420"/>
        <w:jc w:val="both"/>
      </w:pPr>
      <w:r>
        <w:rPr/>
        <w:t>4、本基金收益分配方式分为两种：现金分红与红利再投资，投资人可选择现金红利或</w:t>
      </w:r>
      <w:r>
        <w:rPr>
          <w:spacing w:val="-7"/>
        </w:rPr>
        <w:t>将现金红利自动转为基金份额进行再投资；若投资人不选择，本基金默认的收益分配方式是</w:t>
      </w:r>
      <w:r>
        <w:rPr/>
        <w:t>现金分红；</w:t>
      </w:r>
    </w:p>
    <w:p>
      <w:pPr>
        <w:pStyle w:val="BodyText"/>
        <w:spacing w:line="268" w:lineRule="exact"/>
        <w:jc w:val="both"/>
      </w:pPr>
      <w:r>
        <w:rPr/>
        <w:t>5、基金红利发放日距离收益分配基准日的时间不得超过 15 个工作日；</w:t>
      </w:r>
    </w:p>
    <w:p>
      <w:pPr>
        <w:pStyle w:val="BodyText"/>
        <w:spacing w:line="364" w:lineRule="auto" w:before="140"/>
        <w:ind w:left="220" w:right="1418" w:firstLine="420"/>
      </w:pPr>
      <w:r>
        <w:rPr/>
        <w:t>6、基金收益分配后每一基金份额净值不能低于面值，即基金收益分配基准日的基金份额净值减去每单位基金份额收益分配金额后不能低于面值；</w:t>
      </w:r>
    </w:p>
    <w:p>
      <w:pPr>
        <w:pStyle w:val="BodyText"/>
        <w:spacing w:line="268" w:lineRule="exact"/>
      </w:pPr>
      <w:r>
        <w:rPr/>
        <w:t>7、法律法规或监管机构另有规定的从其规定。</w:t>
      </w:r>
    </w:p>
    <w:p>
      <w:pPr>
        <w:pStyle w:val="BodyText"/>
        <w:spacing w:line="364" w:lineRule="auto" w:before="139"/>
        <w:ind w:left="220" w:right="1220" w:firstLine="420"/>
      </w:pPr>
      <w:r>
        <w:rPr>
          <w:spacing w:val="-5"/>
        </w:rPr>
        <w:t>在不影响基金份额持有人利益的情况下，基金管理人与托管人协商一致后，可在法律法</w:t>
      </w:r>
      <w:r>
        <w:rPr>
          <w:spacing w:val="-11"/>
        </w:rPr>
        <w:t>规允许的前提下酌情调整以上基金收益分配原则，此项调整不需要召开基金份额持有人大会， </w:t>
      </w:r>
      <w:r>
        <w:rPr/>
        <w:t>但应于变更实施日前在指定媒介上公告并报证监会备案。</w:t>
      </w:r>
    </w:p>
    <w:p>
      <w:pPr>
        <w:pStyle w:val="Heading3"/>
        <w:spacing w:line="358" w:lineRule="exact"/>
      </w:pPr>
      <w:bookmarkStart w:name="_bookmark77" w:id="78"/>
      <w:bookmarkEnd w:id="78"/>
      <w:r>
        <w:rPr/>
      </w:r>
      <w:r>
        <w:rPr/>
        <w:t>(四)收益分配方案</w:t>
      </w:r>
    </w:p>
    <w:p>
      <w:pPr>
        <w:pStyle w:val="BodyText"/>
        <w:spacing w:line="364" w:lineRule="auto" w:before="185"/>
        <w:ind w:left="220" w:right="1418" w:firstLine="420"/>
      </w:pPr>
      <w:r>
        <w:rPr>
          <w:spacing w:val="-5"/>
        </w:rPr>
        <w:t>基金收益分配方案中应载明收益分配基准日以及该日的可供分配利润、基金收益分配对</w:t>
      </w:r>
      <w:r>
        <w:rPr/>
        <w:t>象、分配时间、分配数额及比例、支付方式等内容。</w:t>
      </w:r>
    </w:p>
    <w:p>
      <w:pPr>
        <w:pStyle w:val="Heading3"/>
      </w:pPr>
      <w:bookmarkStart w:name="_bookmark78" w:id="79"/>
      <w:bookmarkEnd w:id="79"/>
      <w:r>
        <w:rPr/>
      </w:r>
      <w:r>
        <w:rPr/>
        <w:t>(五)收益分配方案的确定、公告与实施</w:t>
      </w:r>
    </w:p>
    <w:p>
      <w:pPr>
        <w:pStyle w:val="BodyText"/>
        <w:spacing w:line="364" w:lineRule="auto" w:before="185"/>
        <w:ind w:left="220" w:right="1418" w:firstLine="420"/>
      </w:pPr>
      <w:r>
        <w:rPr/>
        <w:t>1、基金收益分配方案由基金管理人拟订，由基金托管人复核，依照《信息披露办法》的有关规定在指定媒介上公告；</w:t>
      </w:r>
    </w:p>
    <w:p>
      <w:pPr>
        <w:pStyle w:val="BodyText"/>
        <w:spacing w:line="268" w:lineRule="exact"/>
        <w:ind w:left="700"/>
      </w:pPr>
      <w:r>
        <w:rPr/>
        <w:t>2、在收益分配方案公布后，基金管理人依据具体方案的规定就支付的现金红利向基金</w:t>
      </w:r>
    </w:p>
    <w:p>
      <w:pPr>
        <w:spacing w:after="0" w:line="268" w:lineRule="exact"/>
        <w:sectPr>
          <w:pgSz w:w="11910" w:h="16840"/>
          <w:pgMar w:header="0" w:footer="664" w:top="1380" w:bottom="940" w:left="1580" w:right="380"/>
        </w:sectPr>
      </w:pPr>
    </w:p>
    <w:p>
      <w:pPr>
        <w:pStyle w:val="BodyText"/>
        <w:spacing w:before="45"/>
        <w:ind w:left="220"/>
      </w:pPr>
      <w:r>
        <w:rPr/>
        <w:t>托管人发送划款指令，基金托管人按照基金管理人的指令及时进行分红资金的划付。</w:t>
      </w:r>
    </w:p>
    <w:p>
      <w:pPr>
        <w:pStyle w:val="BodyText"/>
        <w:spacing w:before="139"/>
        <w:ind w:left="700"/>
      </w:pPr>
      <w:r>
        <w:rPr/>
        <w:t>3、法律法规或监管机关另有规定的，从其规定。</w:t>
      </w:r>
    </w:p>
    <w:p>
      <w:pPr>
        <w:pStyle w:val="Heading3"/>
        <w:spacing w:before="141"/>
      </w:pPr>
      <w:bookmarkStart w:name="_bookmark79" w:id="80"/>
      <w:bookmarkEnd w:id="80"/>
      <w:r>
        <w:rPr/>
      </w:r>
      <w:r>
        <w:rPr/>
        <w:t>(六)收益分配中发生的费用</w:t>
      </w:r>
    </w:p>
    <w:p>
      <w:pPr>
        <w:pStyle w:val="BodyText"/>
        <w:spacing w:line="364" w:lineRule="auto" w:before="185"/>
        <w:ind w:left="220" w:right="1312" w:firstLine="472"/>
        <w:jc w:val="both"/>
      </w:pPr>
      <w:r>
        <w:rPr/>
        <w:t>基金收益分配时所发生的银行转账或其他手续费用由投资者自行承担。当投资者的现</w:t>
      </w:r>
      <w:r>
        <w:rPr>
          <w:spacing w:val="-7"/>
        </w:rPr>
        <w:t>金红利小于一定金额，不足于支付银行转账或其他手续费用时，基金注册登记机构可将基金</w:t>
      </w:r>
      <w:r>
        <w:rPr>
          <w:spacing w:val="-16"/>
        </w:rPr>
        <w:t>份额持有人的现金红利自动转为基金份额。红利再投资的计算方法，依照《业务规则》执行。</w:t>
      </w:r>
    </w:p>
    <w:p>
      <w:pPr>
        <w:spacing w:after="0" w:line="364" w:lineRule="auto"/>
        <w:jc w:val="both"/>
        <w:sectPr>
          <w:pgSz w:w="11910" w:h="16840"/>
          <w:pgMar w:header="0" w:footer="664" w:top="1380" w:bottom="940" w:left="1580" w:right="380"/>
        </w:sectPr>
      </w:pPr>
    </w:p>
    <w:p>
      <w:pPr>
        <w:pStyle w:val="Heading2"/>
        <w:ind w:right="1394"/>
      </w:pPr>
      <w:bookmarkStart w:name="_bookmark80" w:id="81"/>
      <w:bookmarkEnd w:id="81"/>
      <w:r>
        <w:rPr/>
      </w:r>
      <w:r>
        <w:rPr/>
        <w:t>十六、基金的费用与税收</w:t>
      </w:r>
    </w:p>
    <w:p>
      <w:pPr>
        <w:pStyle w:val="Heading3"/>
        <w:spacing w:before="199"/>
      </w:pPr>
      <w:bookmarkStart w:name="_bookmark81" w:id="82"/>
      <w:bookmarkEnd w:id="82"/>
      <w:r>
        <w:rPr/>
      </w:r>
      <w:r>
        <w:rPr/>
        <w:t>(一)与基金运作相关的费用</w:t>
      </w:r>
    </w:p>
    <w:p>
      <w:pPr>
        <w:pStyle w:val="BodyText"/>
        <w:spacing w:before="185"/>
        <w:ind w:left="692"/>
      </w:pPr>
      <w:r>
        <w:rPr/>
        <w:t>1、基金费用的种类</w:t>
      </w:r>
    </w:p>
    <w:p>
      <w:pPr>
        <w:pStyle w:val="BodyText"/>
        <w:spacing w:line="364" w:lineRule="auto" w:before="140"/>
        <w:ind w:left="692" w:right="6823"/>
      </w:pPr>
      <w:r>
        <w:rPr/>
        <w:t>(1)基金管理人的管理费； (2)基金托管人的托管费；</w:t>
      </w:r>
    </w:p>
    <w:p>
      <w:pPr>
        <w:pStyle w:val="BodyText"/>
        <w:spacing w:line="364" w:lineRule="auto"/>
        <w:ind w:left="692" w:right="4265"/>
      </w:pPr>
      <w:r>
        <w:rPr/>
        <w:t>(3)</w:t>
      </w:r>
      <w:r>
        <w:rPr>
          <w:spacing w:val="-27"/>
        </w:rPr>
        <w:t>从 </w:t>
      </w:r>
      <w:r>
        <w:rPr/>
        <w:t>C</w:t>
      </w:r>
      <w:r>
        <w:rPr>
          <w:spacing w:val="-9"/>
        </w:rPr>
        <w:t> 类基金份额的基金财产中计提的销售服务费； </w:t>
      </w:r>
      <w:r>
        <w:rPr/>
        <w:t>(4)基金财产拨划支付的银行费用；</w:t>
      </w:r>
    </w:p>
    <w:p>
      <w:pPr>
        <w:pStyle w:val="BodyText"/>
        <w:spacing w:line="364" w:lineRule="auto"/>
        <w:ind w:left="692" w:right="5353"/>
      </w:pPr>
      <w:r>
        <w:rPr/>
        <w:t>(5)基金合同生效后的基金信息披露费用； (6)基金份额持有人大会费用；</w:t>
      </w:r>
    </w:p>
    <w:p>
      <w:pPr>
        <w:pStyle w:val="BodyText"/>
        <w:spacing w:line="364" w:lineRule="auto"/>
        <w:ind w:left="692" w:right="4303"/>
      </w:pPr>
      <w:r>
        <w:rPr/>
        <w:t>(7)基金合同生效后与基金有关的会计师费和律师费； (8)基金的证券交易费用；</w:t>
      </w:r>
    </w:p>
    <w:p>
      <w:pPr>
        <w:pStyle w:val="BodyText"/>
        <w:spacing w:line="364" w:lineRule="auto"/>
        <w:ind w:left="692" w:right="5051"/>
      </w:pPr>
      <w:r>
        <w:rPr/>
        <w:t>(9)证券账户开户费用、银行账户维护费用(10)依法可以在基金财产中列支的其他费用。</w:t>
      </w:r>
    </w:p>
    <w:p>
      <w:pPr>
        <w:pStyle w:val="BodyText"/>
        <w:spacing w:line="364" w:lineRule="auto"/>
        <w:ind w:left="220" w:right="1418" w:firstLine="472"/>
      </w:pPr>
      <w:r>
        <w:rPr/>
        <w:t>上述基金费用由基金管理人在法律规定的范围内参照公允的市场价格确定，法律法规另有规定时从其规定。</w:t>
      </w:r>
    </w:p>
    <w:p>
      <w:pPr>
        <w:pStyle w:val="BodyText"/>
        <w:spacing w:line="268" w:lineRule="exact"/>
        <w:ind w:left="692"/>
      </w:pPr>
      <w:r>
        <w:rPr/>
        <w:t>2、基金费用计提方法、计提标准和支付方式</w:t>
      </w:r>
    </w:p>
    <w:p>
      <w:pPr>
        <w:pStyle w:val="ListParagraph"/>
        <w:numPr>
          <w:ilvl w:val="0"/>
          <w:numId w:val="34"/>
        </w:numPr>
        <w:tabs>
          <w:tab w:pos="1219" w:val="left" w:leader="none"/>
        </w:tabs>
        <w:spacing w:line="240" w:lineRule="auto" w:before="134" w:after="0"/>
        <w:ind w:left="1218" w:right="0" w:hanging="527"/>
        <w:jc w:val="left"/>
        <w:rPr>
          <w:sz w:val="21"/>
        </w:rPr>
      </w:pPr>
      <w:r>
        <w:rPr>
          <w:sz w:val="21"/>
        </w:rPr>
        <w:t>基金管理人的管理费</w:t>
      </w:r>
    </w:p>
    <w:p>
      <w:pPr>
        <w:pStyle w:val="BodyText"/>
        <w:spacing w:line="364" w:lineRule="auto" w:before="140"/>
        <w:ind w:left="692" w:right="1313"/>
      </w:pPr>
      <w:r>
        <w:rPr>
          <w:spacing w:val="-6"/>
        </w:rPr>
        <w:t>在通常情况下，基金管理费按前一日基金资产净值的 </w:t>
      </w:r>
      <w:r>
        <w:rPr/>
        <w:t>0.7%</w:t>
      </w:r>
      <w:r>
        <w:rPr>
          <w:spacing w:val="-10"/>
        </w:rPr>
        <w:t>年费率计提。计算方法如下： </w:t>
      </w:r>
      <w:r>
        <w:rPr/>
        <w:t>H＝E×年管理费率÷当年天数</w:t>
      </w:r>
    </w:p>
    <w:p>
      <w:pPr>
        <w:pStyle w:val="BodyText"/>
        <w:spacing w:line="364" w:lineRule="auto"/>
        <w:ind w:left="692" w:right="6575"/>
      </w:pPr>
      <w:r>
        <w:rPr/>
        <w:t>H</w:t>
      </w:r>
      <w:r>
        <w:rPr>
          <w:spacing w:val="-9"/>
        </w:rPr>
        <w:t> 为每日应计提的基金管理费</w:t>
      </w:r>
      <w:r>
        <w:rPr/>
        <w:t>E</w:t>
      </w:r>
      <w:r>
        <w:rPr>
          <w:spacing w:val="-8"/>
        </w:rPr>
        <w:t> 为前一日基金资产净值</w:t>
      </w:r>
    </w:p>
    <w:p>
      <w:pPr>
        <w:pStyle w:val="BodyText"/>
        <w:spacing w:line="364" w:lineRule="auto"/>
        <w:ind w:left="220" w:right="1417" w:firstLine="420"/>
        <w:jc w:val="both"/>
      </w:pPr>
      <w:r>
        <w:rPr>
          <w:spacing w:val="-8"/>
        </w:rPr>
        <w:t>基金管理费每日计提，按月支付。经基金管理人与基金托管人核对一致后，由基金托管</w:t>
      </w:r>
      <w:r>
        <w:rPr>
          <w:spacing w:val="-7"/>
        </w:rPr>
        <w:t>人于次月首日起 </w:t>
      </w:r>
      <w:r>
        <w:rPr/>
        <w:t>3</w:t>
      </w:r>
      <w:r>
        <w:rPr>
          <w:spacing w:val="-13"/>
        </w:rPr>
        <w:t> 个工作日内从基金财产中一次性支付给基金管理人，若遇法定节假日、休</w:t>
      </w:r>
      <w:r>
        <w:rPr/>
        <w:t>息日，支付日期顺延。</w:t>
      </w:r>
    </w:p>
    <w:p>
      <w:pPr>
        <w:pStyle w:val="ListParagraph"/>
        <w:numPr>
          <w:ilvl w:val="0"/>
          <w:numId w:val="34"/>
        </w:numPr>
        <w:tabs>
          <w:tab w:pos="1219" w:val="left" w:leader="none"/>
        </w:tabs>
        <w:spacing w:line="268" w:lineRule="exact" w:before="0" w:after="0"/>
        <w:ind w:left="1218" w:right="0" w:hanging="527"/>
        <w:jc w:val="left"/>
        <w:rPr>
          <w:sz w:val="21"/>
        </w:rPr>
      </w:pPr>
      <w:r>
        <w:rPr>
          <w:sz w:val="21"/>
        </w:rPr>
        <w:t>基金托管人的托管费</w:t>
      </w:r>
    </w:p>
    <w:p>
      <w:pPr>
        <w:pStyle w:val="BodyText"/>
        <w:spacing w:line="364" w:lineRule="auto" w:before="137"/>
        <w:ind w:right="1313"/>
      </w:pPr>
      <w:r>
        <w:rPr>
          <w:spacing w:val="-3"/>
        </w:rPr>
        <w:t>在通常情况下，基金托管费按前一日基金资产净值的 </w:t>
      </w:r>
      <w:r>
        <w:rPr/>
        <w:t>0.2%</w:t>
      </w:r>
      <w:r>
        <w:rPr>
          <w:spacing w:val="-5"/>
        </w:rPr>
        <w:t>年费率计提。计算方法如下： </w:t>
      </w:r>
      <w:r>
        <w:rPr/>
        <w:t>H＝E×年托管费率÷当年天数</w:t>
      </w:r>
    </w:p>
    <w:p>
      <w:pPr>
        <w:pStyle w:val="BodyText"/>
        <w:spacing w:line="364" w:lineRule="auto"/>
        <w:ind w:right="6626"/>
      </w:pPr>
      <w:r>
        <w:rPr/>
        <w:t>H</w:t>
      </w:r>
      <w:r>
        <w:rPr>
          <w:spacing w:val="-9"/>
        </w:rPr>
        <w:t> 为每日应计提的基金托管费</w:t>
      </w:r>
      <w:r>
        <w:rPr/>
        <w:t>E</w:t>
      </w:r>
      <w:r>
        <w:rPr>
          <w:spacing w:val="-8"/>
        </w:rPr>
        <w:t> 为前一日基金资产净值</w:t>
      </w:r>
    </w:p>
    <w:p>
      <w:pPr>
        <w:pStyle w:val="BodyText"/>
        <w:spacing w:line="364" w:lineRule="auto"/>
        <w:ind w:left="220" w:right="1417" w:firstLine="420"/>
        <w:jc w:val="both"/>
      </w:pPr>
      <w:r>
        <w:rPr>
          <w:spacing w:val="-8"/>
        </w:rPr>
        <w:t>基金托管费每日计提，按月支付。经基金管理人与基金托管人核对一致后，由基金托管</w:t>
      </w:r>
      <w:r>
        <w:rPr>
          <w:spacing w:val="-7"/>
        </w:rPr>
        <w:t>人于次月首日起 </w:t>
      </w:r>
      <w:r>
        <w:rPr/>
        <w:t>3</w:t>
      </w:r>
      <w:r>
        <w:rPr>
          <w:spacing w:val="-13"/>
        </w:rPr>
        <w:t> 个工作日内从基金财产中一次性支付给基金托管人，若遇法定节假日、休</w:t>
      </w:r>
      <w:r>
        <w:rPr/>
        <w:t>息日，支付日期顺延。</w:t>
      </w:r>
    </w:p>
    <w:p>
      <w:pPr>
        <w:pStyle w:val="ListParagraph"/>
        <w:numPr>
          <w:ilvl w:val="0"/>
          <w:numId w:val="34"/>
        </w:numPr>
        <w:tabs>
          <w:tab w:pos="1219" w:val="left" w:leader="none"/>
        </w:tabs>
        <w:spacing w:line="268" w:lineRule="exact" w:before="0" w:after="0"/>
        <w:ind w:left="1218" w:right="0" w:hanging="527"/>
        <w:jc w:val="left"/>
        <w:rPr>
          <w:sz w:val="21"/>
        </w:rPr>
      </w:pPr>
      <w:r>
        <w:rPr>
          <w:sz w:val="21"/>
        </w:rPr>
        <w:t>销售服务费</w:t>
      </w:r>
    </w:p>
    <w:p>
      <w:pPr>
        <w:spacing w:after="0" w:line="268" w:lineRule="exact"/>
        <w:jc w:val="left"/>
        <w:rPr>
          <w:sz w:val="21"/>
        </w:rPr>
        <w:sectPr>
          <w:pgSz w:w="11910" w:h="16840"/>
          <w:pgMar w:header="0" w:footer="664" w:top="1380" w:bottom="940" w:left="1580" w:right="380"/>
        </w:sectPr>
      </w:pPr>
    </w:p>
    <w:p>
      <w:pPr>
        <w:pStyle w:val="BodyText"/>
        <w:spacing w:line="364" w:lineRule="auto" w:before="45"/>
        <w:ind w:right="1535"/>
      </w:pPr>
      <w:r>
        <w:rPr>
          <w:spacing w:val="-14"/>
        </w:rPr>
        <w:t>本基金 </w:t>
      </w:r>
      <w:r>
        <w:rPr/>
        <w:t>A</w:t>
      </w:r>
      <w:r>
        <w:rPr>
          <w:spacing w:val="-8"/>
        </w:rPr>
        <w:t> 类基金份额不收取销售服务费</w:t>
      </w:r>
      <w:r>
        <w:rPr/>
        <w:t>，C</w:t>
      </w:r>
      <w:r>
        <w:rPr>
          <w:spacing w:val="-11"/>
        </w:rPr>
        <w:t> 类基金份额的销售服务费年费率为 </w:t>
      </w:r>
      <w:r>
        <w:rPr/>
        <w:t>0.4%</w:t>
      </w:r>
      <w:r>
        <w:rPr>
          <w:spacing w:val="-17"/>
        </w:rPr>
        <w:t>。</w:t>
      </w:r>
      <w:r>
        <w:rPr>
          <w:spacing w:val="-5"/>
        </w:rPr>
        <w:t>本基金销售服务费按前一日 </w:t>
      </w:r>
      <w:r>
        <w:rPr/>
        <w:t>C</w:t>
      </w:r>
      <w:r>
        <w:rPr>
          <w:spacing w:val="-13"/>
        </w:rPr>
        <w:t> 类基金资产净值的 </w:t>
      </w:r>
      <w:r>
        <w:rPr/>
        <w:t>0.4%年费率计提。</w:t>
      </w:r>
    </w:p>
    <w:p>
      <w:pPr>
        <w:pStyle w:val="BodyText"/>
        <w:spacing w:line="268" w:lineRule="exact"/>
      </w:pPr>
      <w:r>
        <w:rPr/>
        <w:t>销售服务费的计算方法如下：</w:t>
      </w:r>
    </w:p>
    <w:p>
      <w:pPr>
        <w:pStyle w:val="BodyText"/>
        <w:spacing w:before="139"/>
      </w:pPr>
      <w:r>
        <w:rPr/>
        <w:t>H＝E×年销售服务费率÷当年天数</w:t>
      </w:r>
    </w:p>
    <w:p>
      <w:pPr>
        <w:pStyle w:val="BodyText"/>
        <w:spacing w:line="364" w:lineRule="auto" w:before="140"/>
        <w:ind w:right="5366"/>
      </w:pPr>
      <w:r>
        <w:rPr/>
        <w:t>H</w:t>
      </w:r>
      <w:r>
        <w:rPr>
          <w:spacing w:val="-36"/>
        </w:rPr>
        <w:t> 为 </w:t>
      </w:r>
      <w:r>
        <w:rPr/>
        <w:t>C</w:t>
      </w:r>
      <w:r>
        <w:rPr>
          <w:spacing w:val="-9"/>
        </w:rPr>
        <w:t> 类基金份额每日应计提的销售服务费</w:t>
      </w:r>
      <w:r>
        <w:rPr/>
        <w:t>E</w:t>
      </w:r>
      <w:r>
        <w:rPr>
          <w:spacing w:val="-36"/>
        </w:rPr>
        <w:t> 为 </w:t>
      </w:r>
      <w:r>
        <w:rPr/>
        <w:t>C</w:t>
      </w:r>
      <w:r>
        <w:rPr>
          <w:spacing w:val="-8"/>
        </w:rPr>
        <w:t> 类基金份额前一日基金资产净值</w:t>
      </w:r>
    </w:p>
    <w:p>
      <w:pPr>
        <w:pStyle w:val="BodyText"/>
        <w:spacing w:line="364" w:lineRule="auto"/>
        <w:ind w:left="220" w:right="1417" w:firstLine="420"/>
        <w:jc w:val="both"/>
      </w:pPr>
      <w:r>
        <w:rPr>
          <w:spacing w:val="-7"/>
        </w:rPr>
        <w:t>基金销售服务费每日计提，按月支付。经基金管理人与基金托管人核对一致后，由基金</w:t>
      </w:r>
      <w:r>
        <w:rPr>
          <w:spacing w:val="-6"/>
        </w:rPr>
        <w:t>托管人于次月首日起 </w:t>
      </w:r>
      <w:r>
        <w:rPr/>
        <w:t>3</w:t>
      </w:r>
      <w:r>
        <w:rPr>
          <w:spacing w:val="-14"/>
        </w:rPr>
        <w:t> 个工作日内从基金财产中一次性划出，由注册登记机构代收，注册登</w:t>
      </w:r>
      <w:r>
        <w:rPr/>
        <w:t>记机构收到后按相关合同规定支付给基金销售机构等。若遇法定节假日、公休日等,支付日期顺延。</w:t>
      </w:r>
    </w:p>
    <w:p>
      <w:pPr>
        <w:pStyle w:val="BodyText"/>
        <w:spacing w:line="364" w:lineRule="auto"/>
        <w:ind w:left="220" w:right="1418" w:firstLine="420"/>
      </w:pPr>
      <w:r>
        <w:rPr>
          <w:spacing w:val="-6"/>
        </w:rPr>
        <w:t>销售服务费主要用于支付销售机构佣金、以及基金管理人的基金行销广告费、促销活动</w:t>
      </w:r>
      <w:r>
        <w:rPr/>
        <w:t>费、基金份额持有人服务费等。</w:t>
      </w:r>
    </w:p>
    <w:p>
      <w:pPr>
        <w:pStyle w:val="BodyText"/>
        <w:spacing w:line="268" w:lineRule="exact"/>
      </w:pPr>
      <w:r>
        <w:rPr/>
        <w:t>销售服务费使用范围不包括基金募集期间的上述费用。</w:t>
      </w:r>
    </w:p>
    <w:p>
      <w:pPr>
        <w:pStyle w:val="ListParagraph"/>
        <w:numPr>
          <w:ilvl w:val="0"/>
          <w:numId w:val="34"/>
        </w:numPr>
        <w:tabs>
          <w:tab w:pos="1167" w:val="left" w:leader="none"/>
        </w:tabs>
        <w:spacing w:line="364" w:lineRule="auto" w:before="136" w:after="0"/>
        <w:ind w:left="220" w:right="1418" w:firstLine="420"/>
        <w:jc w:val="left"/>
        <w:rPr>
          <w:sz w:val="21"/>
        </w:rPr>
      </w:pPr>
      <w:r>
        <w:rPr>
          <w:sz w:val="21"/>
        </w:rPr>
        <w:t>除管理费、托管费以及销售服务费之外的基金费用，由基金托管人根据其他有关法规及相应协议的规定，按费用支出金额支付，列入或摊入当期基金费用。</w:t>
      </w:r>
    </w:p>
    <w:p>
      <w:pPr>
        <w:pStyle w:val="BodyText"/>
        <w:spacing w:before="19"/>
        <w:ind w:left="220"/>
      </w:pPr>
      <w:r>
        <w:rPr/>
        <w:t>3、不列入基金费用的项目</w:t>
      </w:r>
    </w:p>
    <w:p>
      <w:pPr>
        <w:pStyle w:val="BodyText"/>
        <w:spacing w:line="364" w:lineRule="auto" w:before="23"/>
        <w:ind w:left="220" w:right="1418" w:firstLine="420"/>
        <w:jc w:val="both"/>
      </w:pPr>
      <w:r>
        <w:rPr>
          <w:spacing w:val="2"/>
        </w:rPr>
        <w:t>基金管理人和基金托管人因未履行或未完全履行义务导致的费用支出或基金财产的损</w:t>
      </w:r>
      <w:r>
        <w:rPr>
          <w:spacing w:val="-10"/>
        </w:rPr>
        <w:t>失，以及处理与基金运作无关的事项发生的费用等不列入基金费用。基金合同生效前所发生</w:t>
      </w:r>
      <w:r>
        <w:rPr/>
        <w:t>的信息披露费、律师费和会计师费以及其他费用不从基金财产中支付。</w:t>
      </w:r>
    </w:p>
    <w:p>
      <w:pPr>
        <w:pStyle w:val="BodyText"/>
        <w:spacing w:before="19"/>
        <w:ind w:left="220"/>
      </w:pPr>
      <w:r>
        <w:rPr/>
        <w:t>4、费用调整</w:t>
      </w:r>
    </w:p>
    <w:p>
      <w:pPr>
        <w:pStyle w:val="BodyText"/>
        <w:spacing w:line="364" w:lineRule="auto" w:before="23"/>
        <w:ind w:left="220" w:right="1417" w:firstLine="420"/>
        <w:jc w:val="both"/>
      </w:pPr>
      <w:r>
        <w:rPr>
          <w:spacing w:val="-5"/>
        </w:rPr>
        <w:t>基金管理人和基金托管人可根据基金发展情况调整基金管理费率、基金托管费率和销售</w:t>
      </w:r>
      <w:r>
        <w:rPr>
          <w:spacing w:val="-10"/>
        </w:rPr>
        <w:t>服务费率。基金管理人必须最迟于新的费率实施日前按照《信息披露办法》的规定在指定媒</w:t>
      </w:r>
      <w:r>
        <w:rPr/>
        <w:t>介上刊登公告。</w:t>
      </w:r>
    </w:p>
    <w:p>
      <w:pPr>
        <w:pStyle w:val="Heading3"/>
        <w:spacing w:line="358" w:lineRule="exact"/>
      </w:pPr>
      <w:bookmarkStart w:name="_bookmark82" w:id="83"/>
      <w:bookmarkEnd w:id="83"/>
      <w:r>
        <w:rPr/>
      </w:r>
      <w:r>
        <w:rPr/>
        <w:t>(二)与基金销售相关的费用</w:t>
      </w:r>
    </w:p>
    <w:p>
      <w:pPr>
        <w:pStyle w:val="BodyText"/>
        <w:spacing w:line="364" w:lineRule="auto" w:before="185"/>
        <w:ind w:left="220" w:right="1417" w:firstLine="420"/>
        <w:jc w:val="both"/>
      </w:pPr>
      <w:r>
        <w:rPr/>
        <w:t>1、本基金的申购费、赎回费的费率水平、计算公式、收取方式和使用方式详见本招募</w:t>
      </w:r>
      <w:r>
        <w:rPr>
          <w:spacing w:val="-8"/>
        </w:rPr>
        <w:t>说明书“八、基金份额的申购、赎回”中的</w:t>
      </w:r>
      <w:r>
        <w:rPr/>
        <w:t>“（七</w:t>
      </w:r>
      <w:r>
        <w:rPr>
          <w:spacing w:val="-11"/>
        </w:rPr>
        <w:t>）</w:t>
      </w:r>
      <w:r>
        <w:rPr>
          <w:spacing w:val="-2"/>
        </w:rPr>
        <w:t>基金的申购费和赎回费”和</w:t>
      </w:r>
      <w:r>
        <w:rPr/>
        <w:t>“（八</w:t>
      </w:r>
      <w:r>
        <w:rPr>
          <w:spacing w:val="-11"/>
        </w:rPr>
        <w:t>）</w:t>
      </w:r>
      <w:r>
        <w:rPr>
          <w:spacing w:val="-12"/>
        </w:rPr>
        <w:t>申</w:t>
      </w:r>
      <w:r>
        <w:rPr/>
        <w:t>购和赎回的数额和价格”的相关规定。</w:t>
      </w:r>
    </w:p>
    <w:p>
      <w:pPr>
        <w:pStyle w:val="BodyText"/>
        <w:spacing w:line="268" w:lineRule="exact"/>
      </w:pPr>
      <w:r>
        <w:rPr/>
        <w:t>2、转换费率</w:t>
      </w:r>
    </w:p>
    <w:p>
      <w:pPr>
        <w:pStyle w:val="BodyText"/>
        <w:spacing w:line="364" w:lineRule="auto" w:before="139"/>
        <w:ind w:left="220" w:right="1418" w:firstLine="420"/>
        <w:jc w:val="both"/>
      </w:pPr>
      <w:r>
        <w:rPr>
          <w:spacing w:val="-10"/>
        </w:rPr>
        <w:t>目前，基金管理人已开通了本基金与旗下部分开放式基金之间的转换业务，具体实施办</w:t>
      </w:r>
      <w:r>
        <w:rPr>
          <w:spacing w:val="-7"/>
        </w:rPr>
        <w:t>法和转换费率详见相关公告。基金转换费用由投资者承担，基金转换费用由转出基金赎回费</w:t>
      </w:r>
      <w:r>
        <w:rPr>
          <w:spacing w:val="-6"/>
        </w:rPr>
        <w:t>用及基金申购补差费用两部分构成，其中转出基金赎回费按照各基金的基金合同、更新的招</w:t>
      </w:r>
      <w:r>
        <w:rPr>
          <w:spacing w:val="-5"/>
        </w:rPr>
        <w:t>募说明书及最新的相关公告约定的比例归入基金财产，其余部分用于支付注册登记费等相关</w:t>
      </w:r>
      <w:r>
        <w:rPr/>
        <w:t>手续费。转换费用以人民币元为单位，计算结果按照四舍五入方法，保留小数点后两位。</w:t>
      </w:r>
    </w:p>
    <w:p>
      <w:pPr>
        <w:pStyle w:val="BodyText"/>
        <w:spacing w:line="267" w:lineRule="exact"/>
        <w:ind w:left="692"/>
      </w:pPr>
      <w:r>
        <w:rPr/>
        <w:t>3、投资者通过本公司网上交易系统（</w:t>
      </w:r>
      <w:hyperlink r:id="rId7">
        <w:r>
          <w:rPr/>
          <w:t>www.efunds.com.cn</w:t>
        </w:r>
      </w:hyperlink>
      <w:r>
        <w:rPr/>
        <w:t>）进行申购、赎回和转换的</w:t>
      </w:r>
    </w:p>
    <w:p>
      <w:pPr>
        <w:spacing w:after="0" w:line="267" w:lineRule="exact"/>
        <w:sectPr>
          <w:pgSz w:w="11910" w:h="16840"/>
          <w:pgMar w:header="0" w:footer="664" w:top="1380" w:bottom="940" w:left="1580" w:right="380"/>
        </w:sectPr>
      </w:pPr>
    </w:p>
    <w:p>
      <w:pPr>
        <w:pStyle w:val="BodyText"/>
        <w:spacing w:before="45"/>
        <w:ind w:left="220"/>
      </w:pPr>
      <w:r>
        <w:rPr/>
        <w:t>交易费率，请具体参照本公司网站上的相关说明。</w:t>
      </w:r>
    </w:p>
    <w:p>
      <w:pPr>
        <w:pStyle w:val="BodyText"/>
        <w:spacing w:line="364" w:lineRule="auto" w:before="139"/>
        <w:ind w:left="220" w:right="1417" w:firstLine="472"/>
        <w:jc w:val="both"/>
      </w:pPr>
      <w:r>
        <w:rPr/>
        <w:t>4</w:t>
      </w:r>
      <w:r>
        <w:rPr>
          <w:spacing w:val="-7"/>
        </w:rPr>
        <w:t>、基金管理人可以在基金合同规定的范围内调整上述费率，上述费率如发生变更，基</w:t>
      </w:r>
      <w:r>
        <w:rPr>
          <w:spacing w:val="-6"/>
        </w:rPr>
        <w:t>金管理人最迟应于新的费率或收费方式实施日前依照《信息披露办法》的有关规定在指定媒</w:t>
      </w:r>
      <w:r>
        <w:rPr/>
        <w:t>介上公告。</w:t>
      </w:r>
    </w:p>
    <w:p>
      <w:pPr>
        <w:pStyle w:val="BodyText"/>
        <w:spacing w:line="364" w:lineRule="auto"/>
        <w:ind w:left="220" w:right="1208" w:firstLine="472"/>
      </w:pPr>
      <w:r>
        <w:rPr/>
        <w:t>5</w:t>
      </w:r>
      <w:r>
        <w:rPr>
          <w:spacing w:val="-7"/>
        </w:rPr>
        <w:t>、基金管理人可以在不违反法律法规规定及基金合同约定的情况下根据市场情况制定 </w:t>
      </w:r>
      <w:r>
        <w:rPr>
          <w:spacing w:val="-6"/>
        </w:rPr>
        <w:t>基金促销计划，针对基金投资者定期和不定期地开展基金促销活动。在基金促销活动期间， </w:t>
      </w:r>
      <w:r>
        <w:rPr>
          <w:spacing w:val="-11"/>
        </w:rPr>
        <w:t>基金管理人可以适当调低基金销售费率，或针对特定渠道、特定投资群体开展有差别的费率 优惠活动。</w:t>
      </w:r>
    </w:p>
    <w:p>
      <w:pPr>
        <w:pStyle w:val="Heading3"/>
        <w:spacing w:line="358" w:lineRule="exact"/>
      </w:pPr>
      <w:bookmarkStart w:name="_bookmark83" w:id="84"/>
      <w:bookmarkEnd w:id="84"/>
      <w:r>
        <w:rPr/>
      </w:r>
      <w:r>
        <w:rPr/>
        <w:t>(三)税收</w:t>
      </w:r>
    </w:p>
    <w:p>
      <w:pPr>
        <w:pStyle w:val="BodyText"/>
        <w:spacing w:before="184"/>
        <w:ind w:left="692"/>
      </w:pPr>
      <w:r>
        <w:rPr/>
        <w:t>基金和基金份额持有人根据国家法律法规的规定，履行纳税义务。</w:t>
      </w:r>
    </w:p>
    <w:p>
      <w:pPr>
        <w:spacing w:after="0"/>
        <w:sectPr>
          <w:pgSz w:w="11910" w:h="16840"/>
          <w:pgMar w:header="0" w:footer="664" w:top="1380" w:bottom="940" w:left="1580" w:right="380"/>
        </w:sectPr>
      </w:pPr>
    </w:p>
    <w:p>
      <w:pPr>
        <w:pStyle w:val="Heading2"/>
      </w:pPr>
      <w:bookmarkStart w:name="_bookmark84" w:id="85"/>
      <w:bookmarkEnd w:id="85"/>
      <w:r>
        <w:rPr/>
      </w:r>
      <w:r>
        <w:rPr/>
        <w:t>十七、基金的会计与审计</w:t>
      </w:r>
    </w:p>
    <w:p>
      <w:pPr>
        <w:pStyle w:val="BodyText"/>
        <w:spacing w:before="10"/>
        <w:ind w:left="0"/>
        <w:rPr>
          <w:sz w:val="10"/>
        </w:rPr>
      </w:pPr>
    </w:p>
    <w:p>
      <w:pPr>
        <w:pStyle w:val="Heading3"/>
        <w:spacing w:before="61"/>
      </w:pPr>
      <w:bookmarkStart w:name="_bookmark85" w:id="86"/>
      <w:bookmarkEnd w:id="86"/>
      <w:r>
        <w:rPr/>
      </w:r>
      <w:r>
        <w:rPr/>
        <w:t>(一)基金会计政策</w:t>
      </w:r>
    </w:p>
    <w:p>
      <w:pPr>
        <w:pStyle w:val="BodyText"/>
        <w:spacing w:before="185"/>
      </w:pPr>
      <w:r>
        <w:rPr/>
        <w:t>1、基金管理人为本基金的会计责任方；</w:t>
      </w:r>
    </w:p>
    <w:p>
      <w:pPr>
        <w:pStyle w:val="BodyText"/>
        <w:spacing w:before="139"/>
      </w:pPr>
      <w:r>
        <w:rPr/>
        <w:t>2、本基金的会计年度为公历每年的 1 月 1 日至 12 月 31 日；</w:t>
      </w:r>
    </w:p>
    <w:p>
      <w:pPr>
        <w:pStyle w:val="BodyText"/>
        <w:spacing w:before="140"/>
      </w:pPr>
      <w:r>
        <w:rPr/>
        <w:t>3、本基金的会计核算以人民币为记账本位币，以人民币元为记账单位；</w:t>
      </w:r>
    </w:p>
    <w:p>
      <w:pPr>
        <w:pStyle w:val="BodyText"/>
        <w:spacing w:before="139"/>
      </w:pPr>
      <w:r>
        <w:rPr/>
        <w:t>4、会计制度执行国家有关的会计制度；</w:t>
      </w:r>
    </w:p>
    <w:p>
      <w:pPr>
        <w:pStyle w:val="BodyText"/>
        <w:spacing w:before="140"/>
      </w:pPr>
      <w:r>
        <w:rPr/>
        <w:t>5、本基金独立建账、独立核算；</w:t>
      </w:r>
    </w:p>
    <w:p>
      <w:pPr>
        <w:pStyle w:val="BodyText"/>
        <w:spacing w:line="364" w:lineRule="auto" w:before="139"/>
        <w:ind w:left="220" w:right="1418" w:firstLine="420"/>
      </w:pPr>
      <w:r>
        <w:rPr/>
        <w:t>6、基金管理人保留完整的会计账目、凭证并进行日常的会计核算，按照有关规定编制基金会计报表；</w:t>
      </w:r>
    </w:p>
    <w:p>
      <w:pPr>
        <w:pStyle w:val="BodyText"/>
        <w:spacing w:line="268" w:lineRule="exact"/>
      </w:pPr>
      <w:r>
        <w:rPr/>
        <w:t>7、基金托管人定期与基金管理人就基金的会计核算、报表编制等进行核对并书面确认。</w:t>
      </w:r>
    </w:p>
    <w:p>
      <w:pPr>
        <w:pStyle w:val="Heading3"/>
        <w:spacing w:before="141"/>
      </w:pPr>
      <w:bookmarkStart w:name="_bookmark86" w:id="87"/>
      <w:bookmarkEnd w:id="87"/>
      <w:r>
        <w:rPr/>
      </w:r>
      <w:r>
        <w:rPr/>
        <w:t>(二)基金审计</w:t>
      </w:r>
    </w:p>
    <w:p>
      <w:pPr>
        <w:pStyle w:val="BodyText"/>
        <w:spacing w:line="364" w:lineRule="auto" w:before="185"/>
        <w:ind w:left="220" w:right="1208" w:firstLine="420"/>
      </w:pPr>
      <w:r>
        <w:rPr/>
        <w:t>1、基金管理人聘请具有证券、期货相关业务资格的会计师事务所及其注册会计师对本 基金年度财务报表及其他规定事项进行审计。会计师事务所及其注册会计师与基金管理人、基金托管人相互独立。</w:t>
      </w:r>
    </w:p>
    <w:p>
      <w:pPr>
        <w:pStyle w:val="BodyText"/>
        <w:spacing w:line="268" w:lineRule="exact"/>
      </w:pPr>
      <w:r>
        <w:rPr/>
        <w:t>2、会计师事务所更换经办注册会计师时，应事先征得基金管理人同意。</w:t>
      </w:r>
    </w:p>
    <w:p>
      <w:pPr>
        <w:pStyle w:val="BodyText"/>
        <w:spacing w:line="364" w:lineRule="auto" w:before="139"/>
        <w:ind w:left="220" w:right="1418" w:firstLine="420"/>
      </w:pPr>
      <w:r>
        <w:rPr/>
        <w:t>3、基金管理人认为有充足理由更换会计师事务所，经通报基金托管人并依照《信息披露办法》的有关规定在指定媒介上公告。</w:t>
      </w:r>
    </w:p>
    <w:p>
      <w:pPr>
        <w:spacing w:after="0" w:line="364" w:lineRule="auto"/>
        <w:sectPr>
          <w:pgSz w:w="11910" w:h="16840"/>
          <w:pgMar w:header="0" w:footer="664" w:top="1380" w:bottom="940" w:left="1580" w:right="380"/>
        </w:sectPr>
      </w:pPr>
    </w:p>
    <w:p>
      <w:pPr>
        <w:pStyle w:val="Heading2"/>
      </w:pPr>
      <w:bookmarkStart w:name="_bookmark87" w:id="88"/>
      <w:bookmarkEnd w:id="88"/>
      <w:r>
        <w:rPr/>
      </w:r>
      <w:r>
        <w:rPr/>
        <w:t>十八、基金的信息披露</w:t>
      </w:r>
    </w:p>
    <w:p>
      <w:pPr>
        <w:pStyle w:val="BodyText"/>
        <w:spacing w:before="10"/>
        <w:ind w:left="0"/>
        <w:rPr>
          <w:sz w:val="10"/>
        </w:rPr>
      </w:pPr>
    </w:p>
    <w:p>
      <w:pPr>
        <w:pStyle w:val="Heading3"/>
        <w:spacing w:before="61"/>
      </w:pPr>
      <w:bookmarkStart w:name="_bookmark88" w:id="89"/>
      <w:bookmarkEnd w:id="89"/>
      <w:r>
        <w:rPr/>
      </w:r>
      <w:r>
        <w:rPr/>
        <w:t>(一)信息披露的形式</w:t>
      </w:r>
    </w:p>
    <w:p>
      <w:pPr>
        <w:pStyle w:val="BodyText"/>
        <w:spacing w:line="364" w:lineRule="auto" w:before="185"/>
        <w:ind w:left="220" w:right="1418" w:firstLine="420"/>
        <w:jc w:val="both"/>
      </w:pPr>
      <w:r>
        <w:rPr>
          <w:spacing w:val="-26"/>
        </w:rPr>
        <w:t>基金的信息披露应符合《基金法》、《运作办法》、《信息披露办法》、基金合同及其他有</w:t>
      </w:r>
      <w:r>
        <w:rPr>
          <w:spacing w:val="-16"/>
        </w:rPr>
        <w:t>关规定。基金管理人、基金托管人和其他基金信息披露义务人应当以保护基金份额持有人利</w:t>
      </w:r>
      <w:r>
        <w:rPr>
          <w:spacing w:val="-9"/>
        </w:rPr>
        <w:t>益为根本出发点，按照法律法规和中国证监会的规定披露基金信息，并保证所披露信息的真</w:t>
      </w:r>
      <w:r>
        <w:rPr/>
        <w:t>实性、准确性、完整性、及时性、简明性和易得性。</w:t>
      </w:r>
    </w:p>
    <w:p>
      <w:pPr>
        <w:pStyle w:val="BodyText"/>
        <w:spacing w:line="364" w:lineRule="auto"/>
        <w:ind w:left="220" w:right="1312" w:firstLine="420"/>
      </w:pPr>
      <w:r>
        <w:rPr>
          <w:spacing w:val="-5"/>
        </w:rPr>
        <w:t>本基金信息披露义务人包括基金管理人、基金托管人、召集基金份额持有人大会的基金</w:t>
      </w:r>
      <w:r>
        <w:rPr>
          <w:spacing w:val="-15"/>
        </w:rPr>
        <w:t>份额持有人等法律、行政法规和中国证监会规定的自然人、法人和非法人组织。基金管理人、</w:t>
      </w:r>
      <w:r>
        <w:rPr/>
        <w:t>基金托管人和其他基金信息披露义务人应按规定将应予披露的基金信息披露事项在规定时间内通过中国证监会指定媒介披露。</w:t>
      </w:r>
    </w:p>
    <w:p>
      <w:pPr>
        <w:pStyle w:val="BodyText"/>
        <w:spacing w:line="267" w:lineRule="exact"/>
      </w:pPr>
      <w:r>
        <w:rPr/>
        <w:t>本基金信息披露义务人承诺公开披露的基金信息，不得有下列行为：</w:t>
      </w:r>
    </w:p>
    <w:p>
      <w:pPr>
        <w:pStyle w:val="BodyText"/>
        <w:spacing w:before="138"/>
      </w:pPr>
      <w:r>
        <w:rPr/>
        <w:t>1、虚假记载、误导性陈述或者重大遗漏；</w:t>
      </w:r>
    </w:p>
    <w:p>
      <w:pPr>
        <w:pStyle w:val="BodyText"/>
        <w:spacing w:before="139"/>
      </w:pPr>
      <w:r>
        <w:rPr/>
        <w:t>2、对证券投资业绩进行预测；</w:t>
      </w:r>
    </w:p>
    <w:p>
      <w:pPr>
        <w:pStyle w:val="BodyText"/>
        <w:spacing w:before="139"/>
      </w:pPr>
      <w:r>
        <w:rPr/>
        <w:t>3、违规承诺收益或者承担损失；</w:t>
      </w:r>
    </w:p>
    <w:p>
      <w:pPr>
        <w:pStyle w:val="BodyText"/>
        <w:spacing w:before="140"/>
      </w:pPr>
      <w:r>
        <w:rPr/>
        <w:t>4、诋毁其他基金管理人、基金托管人或者基金销售机构；</w:t>
      </w:r>
    </w:p>
    <w:p>
      <w:pPr>
        <w:pStyle w:val="BodyText"/>
        <w:spacing w:before="139"/>
      </w:pPr>
      <w:r>
        <w:rPr/>
        <w:t>5.登载任何自然人、法人和非法人组织的祝贺性、恭维性或推荐性的文字；</w:t>
      </w:r>
    </w:p>
    <w:p>
      <w:pPr>
        <w:pStyle w:val="BodyText"/>
        <w:spacing w:before="140"/>
      </w:pPr>
      <w:r>
        <w:rPr/>
        <w:t>6、中国证监会禁止的其他行为。</w:t>
      </w:r>
    </w:p>
    <w:p>
      <w:pPr>
        <w:pStyle w:val="BodyText"/>
        <w:spacing w:line="364" w:lineRule="auto" w:before="139"/>
        <w:ind w:left="220" w:right="1418" w:firstLine="420"/>
      </w:pPr>
      <w:r>
        <w:rPr>
          <w:spacing w:val="-6"/>
        </w:rPr>
        <w:t>本基金公开披露的信息应采用中文文本。如同时采用外文文本的，基金信息披露义务人</w:t>
      </w:r>
      <w:r>
        <w:rPr/>
        <w:t>应保证不同文本的内容一致。不同文本之间发生歧义的，以中文文本为准。</w:t>
      </w:r>
    </w:p>
    <w:p>
      <w:pPr>
        <w:pStyle w:val="BodyText"/>
        <w:spacing w:line="268" w:lineRule="exact"/>
      </w:pPr>
      <w:r>
        <w:rPr/>
        <w:t>本基金公开披露的信息采用阿拉伯数字；除特别说明外，货币单位为人民币元。</w:t>
      </w:r>
    </w:p>
    <w:p>
      <w:pPr>
        <w:pStyle w:val="Heading3"/>
        <w:spacing w:before="141"/>
      </w:pPr>
      <w:bookmarkStart w:name="_bookmark89" w:id="90"/>
      <w:bookmarkEnd w:id="90"/>
      <w:r>
        <w:rPr/>
      </w:r>
      <w:r>
        <w:rPr/>
        <w:t>(二)信息披露的种类、披露时间和披露形式</w:t>
      </w:r>
    </w:p>
    <w:p>
      <w:pPr>
        <w:pStyle w:val="BodyText"/>
        <w:spacing w:before="185"/>
      </w:pPr>
      <w:r>
        <w:rPr/>
        <w:t>1、招募说明书</w:t>
      </w:r>
    </w:p>
    <w:p>
      <w:pPr>
        <w:pStyle w:val="BodyText"/>
        <w:spacing w:before="139"/>
      </w:pPr>
      <w:r>
        <w:rPr/>
        <w:t>招募说明书是基金向社会公开发售时对基金情况进行说明的法律文件。</w:t>
      </w:r>
    </w:p>
    <w:p>
      <w:pPr>
        <w:pStyle w:val="BodyText"/>
        <w:spacing w:line="364" w:lineRule="auto" w:before="139"/>
        <w:ind w:left="220" w:right="1208" w:firstLine="420"/>
      </w:pPr>
      <w:r>
        <w:rPr/>
        <w:t>基金招募说明书应当最大限度地披露影响基金投资者决策的全部事项，说明基金认购、</w:t>
      </w:r>
      <w:r>
        <w:rPr>
          <w:spacing w:val="-7"/>
        </w:rPr>
        <w:t>申购和赎回安排、基金投资、基金产品特性、风险揭示、信息披露及基金份额持有人服务等 </w:t>
      </w:r>
      <w:r>
        <w:rPr>
          <w:spacing w:val="-11"/>
        </w:rPr>
        <w:t>内容。基金合同生效后，基金招募说明书的信息发生重大变更的，基金管理人应当在三个工 </w:t>
      </w:r>
      <w:r>
        <w:rPr>
          <w:spacing w:val="-7"/>
        </w:rPr>
        <w:t>作日内，更新基金招募说明书并登载在指定网站上；基金招募说明书其他信息发生变更的， 基金管理人至少每年更新一次。基金终止运作的，基金管理人不再更新基金招募说明书。</w:t>
      </w:r>
    </w:p>
    <w:p>
      <w:pPr>
        <w:pStyle w:val="BodyText"/>
        <w:spacing w:line="364" w:lineRule="auto"/>
        <w:ind w:left="220" w:right="1418" w:firstLine="420"/>
      </w:pPr>
      <w:r>
        <w:rPr>
          <w:spacing w:val="-21"/>
        </w:rPr>
        <w:t>基金管理人按照《基金法》、《信息披露办法》、基金合同编制并在基金份额发售的 </w:t>
      </w:r>
      <w:r>
        <w:rPr/>
        <w:t>3</w:t>
      </w:r>
      <w:r>
        <w:rPr>
          <w:spacing w:val="-27"/>
        </w:rPr>
        <w:t> 日前，将基金招募说明书登载在指定报刊和网站上。</w:t>
      </w:r>
    </w:p>
    <w:p>
      <w:pPr>
        <w:pStyle w:val="BodyText"/>
        <w:spacing w:line="268" w:lineRule="exact"/>
      </w:pPr>
      <w:r>
        <w:rPr/>
        <w:t>2、基金合同、托管协议</w:t>
      </w:r>
    </w:p>
    <w:p>
      <w:pPr>
        <w:pStyle w:val="BodyText"/>
        <w:spacing w:line="364" w:lineRule="auto" w:before="137"/>
        <w:ind w:left="220" w:right="1418" w:firstLine="420"/>
      </w:pPr>
      <w:r>
        <w:rPr>
          <w:spacing w:val="-4"/>
        </w:rPr>
        <w:t>基金管理人应在基金份额发售的 </w:t>
      </w:r>
      <w:r>
        <w:rPr/>
        <w:t>3</w:t>
      </w:r>
      <w:r>
        <w:rPr>
          <w:spacing w:val="-13"/>
        </w:rPr>
        <w:t> 日前，将基金合同摘要登载在指定报刊和网站上；基</w:t>
      </w:r>
      <w:r>
        <w:rPr/>
        <w:t>金管理人、基金托管人应将基金合同、托管协议登载在各自网站上。</w:t>
      </w:r>
    </w:p>
    <w:p>
      <w:pPr>
        <w:spacing w:after="0" w:line="364" w:lineRule="auto"/>
        <w:sectPr>
          <w:pgSz w:w="11910" w:h="16840"/>
          <w:pgMar w:header="0" w:footer="664" w:top="1380" w:bottom="940" w:left="1580" w:right="380"/>
        </w:sectPr>
      </w:pPr>
    </w:p>
    <w:p>
      <w:pPr>
        <w:pStyle w:val="BodyText"/>
        <w:spacing w:before="45"/>
      </w:pPr>
      <w:r>
        <w:rPr/>
        <w:t>3、基金产品资料概要</w:t>
      </w:r>
    </w:p>
    <w:p>
      <w:pPr>
        <w:pStyle w:val="BodyText"/>
        <w:spacing w:line="364" w:lineRule="auto" w:before="139"/>
        <w:ind w:left="220" w:right="1417" w:firstLine="420"/>
        <w:jc w:val="both"/>
      </w:pPr>
      <w:r>
        <w:rPr>
          <w:spacing w:val="-6"/>
        </w:rPr>
        <w:t>基金产品资料概要是基金招募说明书的摘要文件，用于向投资者提供简明的基金概要信</w:t>
      </w:r>
      <w:r>
        <w:rPr>
          <w:spacing w:val="-11"/>
        </w:rPr>
        <w:t>息。基金合同生效后，基金产品资料概要的信息发生重大变更的，基金管理人应当在三个工</w:t>
      </w:r>
      <w:r>
        <w:rPr>
          <w:spacing w:val="-5"/>
        </w:rPr>
        <w:t>作日内，更新基金产品资料概要，并登载在指定网站及基金销售机构网站或营业网点；基金产品资料概要其他信息发生变更的，基金管理人至少每年更新一次。基金终止运作的，基金</w:t>
      </w:r>
      <w:r>
        <w:rPr/>
        <w:t>管理人不再更新基金产品资料概要。</w:t>
      </w:r>
    </w:p>
    <w:p>
      <w:pPr>
        <w:pStyle w:val="BodyText"/>
        <w:spacing w:line="267" w:lineRule="exact"/>
      </w:pPr>
      <w:r>
        <w:rPr/>
        <w:t>4、基金份额发售公告</w:t>
      </w:r>
    </w:p>
    <w:p>
      <w:pPr>
        <w:pStyle w:val="BodyText"/>
        <w:spacing w:line="364" w:lineRule="auto" w:before="140"/>
        <w:ind w:left="220" w:right="1417" w:firstLine="420"/>
      </w:pPr>
      <w:r>
        <w:rPr>
          <w:spacing w:val="-18"/>
        </w:rPr>
        <w:t>基金管理人将按照《基金法》、《信息披露办法》的有关规定，就基金份额发售的具体事</w:t>
      </w:r>
      <w:r>
        <w:rPr/>
        <w:t>宜编制基金份额发售公告，并在披露招募说明书的当日登载于指定报刊和网站上。</w:t>
      </w:r>
    </w:p>
    <w:p>
      <w:pPr>
        <w:pStyle w:val="BodyText"/>
        <w:spacing w:line="268" w:lineRule="exact"/>
      </w:pPr>
      <w:r>
        <w:rPr/>
        <w:t>5、基金合同生效公告</w:t>
      </w:r>
    </w:p>
    <w:p>
      <w:pPr>
        <w:pStyle w:val="BodyText"/>
        <w:spacing w:line="364" w:lineRule="auto" w:before="139"/>
        <w:ind w:left="220" w:right="1418" w:firstLine="420"/>
      </w:pPr>
      <w:r>
        <w:rPr>
          <w:spacing w:val="-4"/>
        </w:rPr>
        <w:t>基金管理人将在基金合同生效的次日在指定报刊和网站上登载基金合同生效公告。基金</w:t>
      </w:r>
      <w:r>
        <w:rPr/>
        <w:t>合同生效公告中将说明基金募集情况。</w:t>
      </w:r>
    </w:p>
    <w:p>
      <w:pPr>
        <w:pStyle w:val="BodyText"/>
        <w:spacing w:line="268" w:lineRule="exact"/>
      </w:pPr>
      <w:r>
        <w:rPr/>
        <w:t>6、基金净值信息</w:t>
      </w:r>
    </w:p>
    <w:p>
      <w:pPr>
        <w:pStyle w:val="ListParagraph"/>
        <w:numPr>
          <w:ilvl w:val="0"/>
          <w:numId w:val="35"/>
        </w:numPr>
        <w:tabs>
          <w:tab w:pos="1167" w:val="left" w:leader="none"/>
        </w:tabs>
        <w:spacing w:line="364" w:lineRule="auto" w:before="140" w:after="0"/>
        <w:ind w:left="220" w:right="1418" w:firstLine="420"/>
        <w:jc w:val="left"/>
        <w:rPr>
          <w:sz w:val="21"/>
        </w:rPr>
      </w:pPr>
      <w:r>
        <w:rPr>
          <w:sz w:val="21"/>
        </w:rPr>
        <w:t>基金合同生效后，在开始办理基金份额申购或者赎回前，基金管理人应当至少每周在指定网站披露一次基金份额净值和基金份额累计净值；</w:t>
      </w:r>
    </w:p>
    <w:p>
      <w:pPr>
        <w:pStyle w:val="ListParagraph"/>
        <w:numPr>
          <w:ilvl w:val="0"/>
          <w:numId w:val="35"/>
        </w:numPr>
        <w:tabs>
          <w:tab w:pos="1167" w:val="left" w:leader="none"/>
        </w:tabs>
        <w:spacing w:line="364" w:lineRule="auto" w:before="0" w:after="0"/>
        <w:ind w:left="220" w:right="1417" w:firstLine="420"/>
        <w:jc w:val="both"/>
        <w:rPr>
          <w:sz w:val="21"/>
        </w:rPr>
      </w:pPr>
      <w:r>
        <w:rPr>
          <w:sz w:val="21"/>
        </w:rPr>
        <w:t>在开始办理基金份额申购或者赎回后，基金管理人应当在不晚于每个开放日的次</w:t>
      </w:r>
      <w:r>
        <w:rPr>
          <w:spacing w:val="-11"/>
          <w:sz w:val="21"/>
        </w:rPr>
        <w:t>日，通过指定网站、基金销售机构网站或者营业网点，披露开放日的基金份额净值和基金份</w:t>
      </w:r>
      <w:r>
        <w:rPr>
          <w:sz w:val="21"/>
        </w:rPr>
        <w:t>额累计净值；</w:t>
      </w:r>
    </w:p>
    <w:p>
      <w:pPr>
        <w:pStyle w:val="ListParagraph"/>
        <w:numPr>
          <w:ilvl w:val="0"/>
          <w:numId w:val="35"/>
        </w:numPr>
        <w:tabs>
          <w:tab w:pos="1167" w:val="left" w:leader="none"/>
        </w:tabs>
        <w:spacing w:line="364" w:lineRule="auto" w:before="0" w:after="0"/>
        <w:ind w:left="220" w:right="1418" w:firstLine="420"/>
        <w:jc w:val="left"/>
        <w:rPr>
          <w:sz w:val="21"/>
        </w:rPr>
      </w:pPr>
      <w:r>
        <w:rPr>
          <w:sz w:val="21"/>
        </w:rPr>
        <w:t>基金管理人应当在不晚于半年度和年度最后一日的次日，在指定网站披露半年度和年度最后一日的基金份额净值和基金份额累计净值。</w:t>
      </w:r>
    </w:p>
    <w:p>
      <w:pPr>
        <w:pStyle w:val="BodyText"/>
        <w:spacing w:line="268" w:lineRule="exact"/>
      </w:pPr>
      <w:r>
        <w:rPr/>
        <w:t>7、基金份额申购、赎回价格公告</w:t>
      </w:r>
    </w:p>
    <w:p>
      <w:pPr>
        <w:pStyle w:val="BodyText"/>
        <w:spacing w:line="364" w:lineRule="auto" w:before="137"/>
        <w:ind w:left="220" w:right="1220" w:firstLine="420"/>
      </w:pPr>
      <w:r>
        <w:rPr>
          <w:spacing w:val="-8"/>
        </w:rPr>
        <w:t>基金管理人应当在本基金的基金合同、招募说明书等信息披露文件上载明基金份额申购、</w:t>
      </w:r>
      <w:r>
        <w:rPr>
          <w:spacing w:val="-7"/>
        </w:rPr>
        <w:t>赎回价格的计算方式及有关申购、赎回费率，并保证投资人能够在基金销售机构网站或营业网点查阅或者复制前述信息资料。</w:t>
      </w:r>
    </w:p>
    <w:p>
      <w:pPr>
        <w:pStyle w:val="BodyText"/>
        <w:spacing w:line="268" w:lineRule="exact"/>
      </w:pPr>
      <w:r>
        <w:rPr/>
        <w:t>8、基金年度报告、基金中期报告、基金季度报告</w:t>
      </w:r>
    </w:p>
    <w:p>
      <w:pPr>
        <w:pStyle w:val="ListParagraph"/>
        <w:numPr>
          <w:ilvl w:val="0"/>
          <w:numId w:val="36"/>
        </w:numPr>
        <w:tabs>
          <w:tab w:pos="1167" w:val="left" w:leader="none"/>
        </w:tabs>
        <w:spacing w:line="364" w:lineRule="auto" w:before="139" w:after="0"/>
        <w:ind w:left="220" w:right="1418" w:firstLine="420"/>
        <w:jc w:val="both"/>
        <w:rPr>
          <w:sz w:val="21"/>
        </w:rPr>
      </w:pPr>
      <w:r>
        <w:rPr>
          <w:sz w:val="21"/>
        </w:rPr>
        <w:t>基金管理人应当在每年结束之日起三个月内，编制完成基金年度报告，并将年度</w:t>
      </w:r>
      <w:r>
        <w:rPr>
          <w:spacing w:val="-8"/>
          <w:sz w:val="21"/>
        </w:rPr>
        <w:t>报告登载在指定网站上，并将年度报告提示性公告登载在指定报刊上。基金年度报告中的财</w:t>
      </w:r>
      <w:r>
        <w:rPr>
          <w:sz w:val="21"/>
        </w:rPr>
        <w:t>务会计报告应当经过具有证券、期货相关业务资格的会计师事务所审计后，方可披露；</w:t>
      </w:r>
    </w:p>
    <w:p>
      <w:pPr>
        <w:pStyle w:val="ListParagraph"/>
        <w:numPr>
          <w:ilvl w:val="0"/>
          <w:numId w:val="36"/>
        </w:numPr>
        <w:tabs>
          <w:tab w:pos="1167" w:val="left" w:leader="none"/>
        </w:tabs>
        <w:spacing w:line="364" w:lineRule="auto" w:before="0" w:after="0"/>
        <w:ind w:left="220" w:right="1418" w:firstLine="420"/>
        <w:jc w:val="left"/>
        <w:rPr>
          <w:sz w:val="21"/>
        </w:rPr>
      </w:pPr>
      <w:r>
        <w:rPr>
          <w:sz w:val="21"/>
        </w:rPr>
        <w:t>基金管理人应当在上半年结束之日起两个月内，编制完成基金中期报告，将中期报告登载在指定网站上，并将中期报告提示性公告登载在指定报刊上；</w:t>
      </w:r>
    </w:p>
    <w:p>
      <w:pPr>
        <w:pStyle w:val="ListParagraph"/>
        <w:numPr>
          <w:ilvl w:val="0"/>
          <w:numId w:val="36"/>
        </w:numPr>
        <w:tabs>
          <w:tab w:pos="1166" w:val="left" w:leader="none"/>
        </w:tabs>
        <w:spacing w:line="364" w:lineRule="auto" w:before="0" w:after="0"/>
        <w:ind w:left="220" w:right="1417" w:firstLine="420"/>
        <w:jc w:val="left"/>
        <w:rPr>
          <w:sz w:val="21"/>
        </w:rPr>
      </w:pPr>
      <w:r>
        <w:rPr>
          <w:spacing w:val="-4"/>
          <w:sz w:val="21"/>
        </w:rPr>
        <w:t>基金管理人应当在季度结束之日起 </w:t>
      </w:r>
      <w:r>
        <w:rPr>
          <w:sz w:val="21"/>
        </w:rPr>
        <w:t>15</w:t>
      </w:r>
      <w:r>
        <w:rPr>
          <w:spacing w:val="-12"/>
          <w:sz w:val="21"/>
        </w:rPr>
        <w:t> 个工作日内，编制完成基金季度报告，将</w:t>
      </w:r>
      <w:r>
        <w:rPr>
          <w:spacing w:val="-4"/>
          <w:sz w:val="21"/>
        </w:rPr>
        <w:t>季度报告登载在指定网站上，并将季度报告提示性公告登载在指定报刊上；</w:t>
      </w:r>
    </w:p>
    <w:p>
      <w:pPr>
        <w:pStyle w:val="ListParagraph"/>
        <w:numPr>
          <w:ilvl w:val="0"/>
          <w:numId w:val="36"/>
        </w:numPr>
        <w:tabs>
          <w:tab w:pos="1167" w:val="left" w:leader="none"/>
        </w:tabs>
        <w:spacing w:line="364" w:lineRule="auto" w:before="0" w:after="0"/>
        <w:ind w:left="220" w:right="1418" w:firstLine="420"/>
        <w:jc w:val="left"/>
        <w:rPr>
          <w:sz w:val="21"/>
        </w:rPr>
      </w:pPr>
      <w:r>
        <w:rPr>
          <w:spacing w:val="-6"/>
          <w:sz w:val="21"/>
        </w:rPr>
        <w:t>基金合同生效不足 </w:t>
      </w:r>
      <w:r>
        <w:rPr>
          <w:sz w:val="21"/>
        </w:rPr>
        <w:t>2</w:t>
      </w:r>
      <w:r>
        <w:rPr>
          <w:spacing w:val="-8"/>
          <w:sz w:val="21"/>
        </w:rPr>
        <w:t> 个月的，基金管理人可以不编制当期季度报告、中期报告或者年度报告。</w:t>
      </w:r>
    </w:p>
    <w:p>
      <w:pPr>
        <w:spacing w:after="0" w:line="364" w:lineRule="auto"/>
        <w:jc w:val="left"/>
        <w:rPr>
          <w:sz w:val="21"/>
        </w:rPr>
        <w:sectPr>
          <w:pgSz w:w="11910" w:h="16840"/>
          <w:pgMar w:header="0" w:footer="664" w:top="1380" w:bottom="940" w:left="1580" w:right="380"/>
        </w:sectPr>
      </w:pPr>
    </w:p>
    <w:p>
      <w:pPr>
        <w:pStyle w:val="BodyText"/>
        <w:spacing w:line="364" w:lineRule="auto" w:before="45"/>
        <w:ind w:left="220" w:right="1325" w:firstLine="420"/>
        <w:jc w:val="both"/>
      </w:pPr>
      <w:r>
        <w:rPr>
          <w:spacing w:val="-3"/>
        </w:rPr>
        <w:t>报告期内出现单一投资者持有基金份额比例达到或超过 </w:t>
      </w:r>
      <w:r>
        <w:rPr/>
        <w:t>20%</w:t>
      </w:r>
      <w:r>
        <w:rPr>
          <w:spacing w:val="-7"/>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364" w:lineRule="auto"/>
        <w:ind w:left="220" w:right="1418" w:firstLine="420"/>
      </w:pPr>
      <w:r>
        <w:rPr>
          <w:spacing w:val="-11"/>
        </w:rPr>
        <w:t>基金持续运作过程中，基金管理人应当在基金年度报告和中期报告中披露基金组合资产</w:t>
      </w:r>
      <w:r>
        <w:rPr/>
        <w:t>情况及其流动性风险分析等。</w:t>
      </w:r>
    </w:p>
    <w:p>
      <w:pPr>
        <w:pStyle w:val="BodyText"/>
        <w:spacing w:line="268" w:lineRule="exact"/>
      </w:pPr>
      <w:r>
        <w:rPr/>
        <w:t>9、临时报告</w:t>
      </w:r>
    </w:p>
    <w:p>
      <w:pPr>
        <w:pStyle w:val="BodyText"/>
        <w:spacing w:line="364" w:lineRule="auto" w:before="138"/>
        <w:ind w:left="220" w:right="1418" w:firstLine="420"/>
        <w:jc w:val="both"/>
      </w:pPr>
      <w:r>
        <w:rPr>
          <w:spacing w:val="2"/>
        </w:rPr>
        <w:t>在基金运作过程中发生如下可能对基金份额持有人权益或者基金份额的价格产生重大</w:t>
      </w:r>
      <w:r>
        <w:rPr>
          <w:spacing w:val="-10"/>
        </w:rPr>
        <w:t>影响的事件时，有关信息披露义务人应当在 </w:t>
      </w:r>
      <w:r>
        <w:rPr/>
        <w:t>2</w:t>
      </w:r>
      <w:r>
        <w:rPr>
          <w:spacing w:val="-12"/>
        </w:rPr>
        <w:t> 日内编制临时报告书，并登载在指定报刊和指</w:t>
      </w:r>
      <w:r>
        <w:rPr/>
        <w:t>定网站上：</w:t>
      </w:r>
    </w:p>
    <w:p>
      <w:pPr>
        <w:pStyle w:val="ListParagraph"/>
        <w:numPr>
          <w:ilvl w:val="0"/>
          <w:numId w:val="37"/>
        </w:numPr>
        <w:tabs>
          <w:tab w:pos="1166" w:val="left" w:leader="none"/>
        </w:tabs>
        <w:spacing w:line="268" w:lineRule="exact" w:before="0" w:after="0"/>
        <w:ind w:left="1166" w:right="0" w:hanging="526"/>
        <w:jc w:val="left"/>
        <w:rPr>
          <w:sz w:val="21"/>
        </w:rPr>
      </w:pPr>
      <w:r>
        <w:rPr>
          <w:sz w:val="21"/>
        </w:rPr>
        <w:t>基金份额持有人大会的召开及决定的事项；</w:t>
      </w:r>
    </w:p>
    <w:p>
      <w:pPr>
        <w:pStyle w:val="ListParagraph"/>
        <w:numPr>
          <w:ilvl w:val="0"/>
          <w:numId w:val="37"/>
        </w:numPr>
        <w:tabs>
          <w:tab w:pos="1166" w:val="left" w:leader="none"/>
        </w:tabs>
        <w:spacing w:line="240" w:lineRule="auto" w:before="139" w:after="0"/>
        <w:ind w:left="1166" w:right="0" w:hanging="526"/>
        <w:jc w:val="left"/>
        <w:rPr>
          <w:sz w:val="21"/>
        </w:rPr>
      </w:pPr>
      <w:r>
        <w:rPr>
          <w:sz w:val="21"/>
        </w:rPr>
        <w:t>基金合同终止、基金清算；</w:t>
      </w:r>
    </w:p>
    <w:p>
      <w:pPr>
        <w:pStyle w:val="ListParagraph"/>
        <w:numPr>
          <w:ilvl w:val="0"/>
          <w:numId w:val="37"/>
        </w:numPr>
        <w:tabs>
          <w:tab w:pos="1166" w:val="left" w:leader="none"/>
        </w:tabs>
        <w:spacing w:line="240" w:lineRule="auto" w:before="140" w:after="0"/>
        <w:ind w:left="1166" w:right="0" w:hanging="526"/>
        <w:jc w:val="left"/>
        <w:rPr>
          <w:sz w:val="21"/>
        </w:rPr>
      </w:pPr>
      <w:r>
        <w:rPr>
          <w:sz w:val="21"/>
        </w:rPr>
        <w:t>转换基金运作方式、基金合并；</w:t>
      </w:r>
    </w:p>
    <w:p>
      <w:pPr>
        <w:pStyle w:val="ListParagraph"/>
        <w:numPr>
          <w:ilvl w:val="0"/>
          <w:numId w:val="37"/>
        </w:numPr>
        <w:tabs>
          <w:tab w:pos="1166" w:val="left" w:leader="none"/>
        </w:tabs>
        <w:spacing w:line="240" w:lineRule="auto" w:before="139" w:after="0"/>
        <w:ind w:left="1166" w:right="0" w:hanging="526"/>
        <w:jc w:val="left"/>
        <w:rPr>
          <w:sz w:val="21"/>
        </w:rPr>
      </w:pPr>
      <w:r>
        <w:rPr>
          <w:sz w:val="21"/>
        </w:rPr>
        <w:t>更换基金管理人、基金托管人、基金份额登记机构，基金改聘会计师事务所；</w:t>
      </w:r>
    </w:p>
    <w:p>
      <w:pPr>
        <w:pStyle w:val="ListParagraph"/>
        <w:numPr>
          <w:ilvl w:val="0"/>
          <w:numId w:val="37"/>
        </w:numPr>
        <w:tabs>
          <w:tab w:pos="1167" w:val="left" w:leader="none"/>
        </w:tabs>
        <w:spacing w:line="364" w:lineRule="auto" w:before="140" w:after="0"/>
        <w:ind w:left="220" w:right="1418" w:firstLine="420"/>
        <w:jc w:val="left"/>
        <w:rPr>
          <w:sz w:val="21"/>
        </w:rPr>
      </w:pPr>
      <w:r>
        <w:rPr>
          <w:sz w:val="21"/>
        </w:rPr>
        <w:t>基金管理人委托基金服务机构代为办理基金的份额登记、核算、估值等事项，基金托管人委托基金服务机构代为办理基金的核算、估值、复核等事项；</w:t>
      </w:r>
    </w:p>
    <w:p>
      <w:pPr>
        <w:pStyle w:val="ListParagraph"/>
        <w:numPr>
          <w:ilvl w:val="0"/>
          <w:numId w:val="37"/>
        </w:numPr>
        <w:tabs>
          <w:tab w:pos="1166" w:val="left" w:leader="none"/>
        </w:tabs>
        <w:spacing w:line="268" w:lineRule="exact" w:before="0" w:after="0"/>
        <w:ind w:left="1166" w:right="0" w:hanging="526"/>
        <w:jc w:val="left"/>
        <w:rPr>
          <w:sz w:val="21"/>
        </w:rPr>
      </w:pPr>
      <w:r>
        <w:rPr>
          <w:sz w:val="21"/>
        </w:rPr>
        <w:t>基金管理人、基金托管人的法定名称、住所发生变更；</w:t>
      </w:r>
    </w:p>
    <w:p>
      <w:pPr>
        <w:pStyle w:val="ListParagraph"/>
        <w:numPr>
          <w:ilvl w:val="0"/>
          <w:numId w:val="37"/>
        </w:numPr>
        <w:tabs>
          <w:tab w:pos="1166" w:val="left" w:leader="none"/>
        </w:tabs>
        <w:spacing w:line="240" w:lineRule="auto" w:before="139" w:after="0"/>
        <w:ind w:left="1166" w:right="0" w:hanging="526"/>
        <w:jc w:val="left"/>
        <w:rPr>
          <w:sz w:val="21"/>
        </w:rPr>
      </w:pPr>
      <w:r>
        <w:rPr>
          <w:spacing w:val="-3"/>
          <w:sz w:val="21"/>
        </w:rPr>
        <w:t>基金管理公司变更持有百分之五以上股权的股东、基金管理人的实际控制人变更；</w:t>
      </w:r>
    </w:p>
    <w:p>
      <w:pPr>
        <w:pStyle w:val="ListParagraph"/>
        <w:numPr>
          <w:ilvl w:val="0"/>
          <w:numId w:val="37"/>
        </w:numPr>
        <w:tabs>
          <w:tab w:pos="1166" w:val="left" w:leader="none"/>
        </w:tabs>
        <w:spacing w:line="240" w:lineRule="auto" w:before="140" w:after="0"/>
        <w:ind w:left="1166" w:right="0" w:hanging="526"/>
        <w:jc w:val="left"/>
        <w:rPr>
          <w:sz w:val="21"/>
        </w:rPr>
      </w:pPr>
      <w:r>
        <w:rPr>
          <w:sz w:val="21"/>
        </w:rPr>
        <w:t>基金募集期延长或提前结束募集；</w:t>
      </w:r>
    </w:p>
    <w:p>
      <w:pPr>
        <w:pStyle w:val="ListParagraph"/>
        <w:numPr>
          <w:ilvl w:val="0"/>
          <w:numId w:val="37"/>
        </w:numPr>
        <w:tabs>
          <w:tab w:pos="1167" w:val="left" w:leader="none"/>
        </w:tabs>
        <w:spacing w:line="364" w:lineRule="auto" w:before="139" w:after="0"/>
        <w:ind w:left="220" w:right="1418" w:firstLine="420"/>
        <w:jc w:val="left"/>
        <w:rPr>
          <w:sz w:val="21"/>
        </w:rPr>
      </w:pPr>
      <w:r>
        <w:rPr>
          <w:sz w:val="21"/>
        </w:rPr>
        <w:t>基金管理人的高级管理人员、基金经理和基金托管人专门基金托管部门负责人发生变动；</w:t>
      </w:r>
    </w:p>
    <w:p>
      <w:pPr>
        <w:pStyle w:val="ListParagraph"/>
        <w:numPr>
          <w:ilvl w:val="0"/>
          <w:numId w:val="37"/>
        </w:numPr>
        <w:tabs>
          <w:tab w:pos="1272" w:val="left" w:leader="none"/>
        </w:tabs>
        <w:spacing w:line="364" w:lineRule="auto" w:before="0" w:after="0"/>
        <w:ind w:left="220" w:right="1418" w:firstLine="420"/>
        <w:jc w:val="left"/>
        <w:rPr>
          <w:sz w:val="21"/>
        </w:rPr>
      </w:pPr>
      <w:r>
        <w:rPr>
          <w:spacing w:val="-5"/>
          <w:sz w:val="21"/>
        </w:rPr>
        <w:t>基金管理人的董事在最近 </w:t>
      </w:r>
      <w:r>
        <w:rPr>
          <w:sz w:val="21"/>
        </w:rPr>
        <w:t>12</w:t>
      </w:r>
      <w:r>
        <w:rPr>
          <w:spacing w:val="-8"/>
          <w:sz w:val="21"/>
        </w:rPr>
        <w:t> 个月内变更超过百分之五十，基金管理人、基金托</w:t>
      </w:r>
      <w:r>
        <w:rPr>
          <w:spacing w:val="-11"/>
          <w:sz w:val="21"/>
        </w:rPr>
        <w:t>管人专门基金托管部门的主要业务人员在最近 </w:t>
      </w:r>
      <w:r>
        <w:rPr>
          <w:sz w:val="21"/>
        </w:rPr>
        <w:t>12</w:t>
      </w:r>
      <w:r>
        <w:rPr>
          <w:spacing w:val="-8"/>
          <w:sz w:val="21"/>
        </w:rPr>
        <w:t> 个月内变动超过百分之三十；</w:t>
      </w:r>
    </w:p>
    <w:p>
      <w:pPr>
        <w:pStyle w:val="ListParagraph"/>
        <w:numPr>
          <w:ilvl w:val="0"/>
          <w:numId w:val="37"/>
        </w:numPr>
        <w:tabs>
          <w:tab w:pos="1271" w:val="left" w:leader="none"/>
        </w:tabs>
        <w:spacing w:line="268" w:lineRule="exact" w:before="0" w:after="0"/>
        <w:ind w:left="1271" w:right="0" w:hanging="631"/>
        <w:jc w:val="left"/>
        <w:rPr>
          <w:sz w:val="21"/>
        </w:rPr>
      </w:pPr>
      <w:r>
        <w:rPr>
          <w:sz w:val="21"/>
        </w:rPr>
        <w:t>涉及基金财产、基金管理业务、基金托管业务的诉讼或仲裁；</w:t>
      </w:r>
    </w:p>
    <w:p>
      <w:pPr>
        <w:pStyle w:val="ListParagraph"/>
        <w:numPr>
          <w:ilvl w:val="0"/>
          <w:numId w:val="37"/>
        </w:numPr>
        <w:tabs>
          <w:tab w:pos="1271" w:val="left" w:leader="none"/>
        </w:tabs>
        <w:spacing w:line="364" w:lineRule="auto" w:before="139" w:after="0"/>
        <w:ind w:left="220" w:right="1418" w:firstLine="420"/>
        <w:jc w:val="both"/>
        <w:rPr>
          <w:sz w:val="21"/>
        </w:rPr>
      </w:pPr>
      <w:r>
        <w:rPr>
          <w:spacing w:val="-4"/>
          <w:sz w:val="21"/>
        </w:rPr>
        <w:t>基金管理人或其高级管理人员、基金经理因基金管理业务相关行为受到重大行</w:t>
      </w:r>
      <w:r>
        <w:rPr>
          <w:spacing w:val="-12"/>
          <w:sz w:val="21"/>
        </w:rPr>
        <w:t>政处罚、刑事处罚，基金托管人或其专门基金托管部门负责人因基金托管业务相关行为受到</w:t>
      </w:r>
      <w:r>
        <w:rPr>
          <w:spacing w:val="-4"/>
          <w:sz w:val="21"/>
        </w:rPr>
        <w:t>重大行政处罚、刑事处罚；</w:t>
      </w:r>
    </w:p>
    <w:p>
      <w:pPr>
        <w:pStyle w:val="ListParagraph"/>
        <w:numPr>
          <w:ilvl w:val="0"/>
          <w:numId w:val="37"/>
        </w:numPr>
        <w:tabs>
          <w:tab w:pos="1271" w:val="left" w:leader="none"/>
        </w:tabs>
        <w:spacing w:line="364" w:lineRule="auto" w:before="0" w:after="0"/>
        <w:ind w:left="220" w:right="1417" w:firstLine="420"/>
        <w:jc w:val="both"/>
        <w:rPr>
          <w:sz w:val="21"/>
        </w:rPr>
      </w:pPr>
      <w:r>
        <w:rPr>
          <w:spacing w:val="-3"/>
          <w:sz w:val="21"/>
        </w:rPr>
        <w:t>基金管理人运用基金财产买卖基金管理人、基金托管人及其控股股东、实际控</w:t>
      </w:r>
      <w:r>
        <w:rPr>
          <w:spacing w:val="-7"/>
          <w:sz w:val="21"/>
        </w:rPr>
        <w:t>制人或者与其有重大利害关系的公司发行的证券或者承销期内承销的证券，或者从事其他重</w:t>
      </w:r>
      <w:r>
        <w:rPr>
          <w:spacing w:val="-4"/>
          <w:sz w:val="21"/>
        </w:rPr>
        <w:t>大关联交易事项，中国证监会另有规定的情形除外；</w:t>
      </w:r>
    </w:p>
    <w:p>
      <w:pPr>
        <w:pStyle w:val="ListParagraph"/>
        <w:numPr>
          <w:ilvl w:val="0"/>
          <w:numId w:val="37"/>
        </w:numPr>
        <w:tabs>
          <w:tab w:pos="1271" w:val="left" w:leader="none"/>
        </w:tabs>
        <w:spacing w:line="268" w:lineRule="exact" w:before="0" w:after="0"/>
        <w:ind w:left="1271" w:right="0" w:hanging="631"/>
        <w:jc w:val="left"/>
        <w:rPr>
          <w:sz w:val="21"/>
        </w:rPr>
      </w:pPr>
      <w:r>
        <w:rPr>
          <w:sz w:val="21"/>
        </w:rPr>
        <w:t>基金收益分配事项；</w:t>
      </w:r>
    </w:p>
    <w:p>
      <w:pPr>
        <w:pStyle w:val="ListParagraph"/>
        <w:numPr>
          <w:ilvl w:val="0"/>
          <w:numId w:val="37"/>
        </w:numPr>
        <w:tabs>
          <w:tab w:pos="1271" w:val="left" w:leader="none"/>
        </w:tabs>
        <w:spacing w:line="364" w:lineRule="auto" w:before="138" w:after="0"/>
        <w:ind w:left="220" w:right="1417" w:firstLine="420"/>
        <w:jc w:val="left"/>
        <w:rPr>
          <w:sz w:val="21"/>
        </w:rPr>
      </w:pPr>
      <w:r>
        <w:rPr>
          <w:spacing w:val="-10"/>
          <w:sz w:val="21"/>
        </w:rPr>
        <w:t>管理费、托管费、销售服务费、申购费、赎回费等费用计提标准、计提方式和费</w:t>
      </w:r>
      <w:r>
        <w:rPr>
          <w:sz w:val="21"/>
        </w:rPr>
        <w:t>率发生变更；</w:t>
      </w:r>
    </w:p>
    <w:p>
      <w:pPr>
        <w:pStyle w:val="ListParagraph"/>
        <w:numPr>
          <w:ilvl w:val="0"/>
          <w:numId w:val="37"/>
        </w:numPr>
        <w:tabs>
          <w:tab w:pos="1271" w:val="left" w:leader="none"/>
        </w:tabs>
        <w:spacing w:line="268" w:lineRule="exact" w:before="0" w:after="0"/>
        <w:ind w:left="1271" w:right="0" w:hanging="631"/>
        <w:jc w:val="left"/>
        <w:rPr>
          <w:sz w:val="21"/>
        </w:rPr>
      </w:pPr>
      <w:r>
        <w:rPr>
          <w:sz w:val="21"/>
        </w:rPr>
        <w:t>基金份额净值计价错误达基金份额净值百分之零点五；</w:t>
      </w:r>
    </w:p>
    <w:p>
      <w:pPr>
        <w:pStyle w:val="ListParagraph"/>
        <w:numPr>
          <w:ilvl w:val="0"/>
          <w:numId w:val="37"/>
        </w:numPr>
        <w:tabs>
          <w:tab w:pos="1271" w:val="left" w:leader="none"/>
        </w:tabs>
        <w:spacing w:line="240" w:lineRule="auto" w:before="139" w:after="0"/>
        <w:ind w:left="1271" w:right="0" w:hanging="631"/>
        <w:jc w:val="left"/>
        <w:rPr>
          <w:sz w:val="21"/>
        </w:rPr>
      </w:pPr>
      <w:r>
        <w:rPr>
          <w:sz w:val="21"/>
        </w:rPr>
        <w:t>本基金开始办理申购、赎回；</w:t>
      </w:r>
    </w:p>
    <w:p>
      <w:pPr>
        <w:spacing w:after="0" w:line="240" w:lineRule="auto"/>
        <w:jc w:val="left"/>
        <w:rPr>
          <w:sz w:val="21"/>
        </w:rPr>
        <w:sectPr>
          <w:pgSz w:w="11910" w:h="16840"/>
          <w:pgMar w:header="0" w:footer="664" w:top="1380" w:bottom="940" w:left="1580" w:right="380"/>
        </w:sectPr>
      </w:pPr>
    </w:p>
    <w:p>
      <w:pPr>
        <w:pStyle w:val="ListParagraph"/>
        <w:numPr>
          <w:ilvl w:val="0"/>
          <w:numId w:val="37"/>
        </w:numPr>
        <w:tabs>
          <w:tab w:pos="1271" w:val="left" w:leader="none"/>
        </w:tabs>
        <w:spacing w:line="240" w:lineRule="auto" w:before="45" w:after="0"/>
        <w:ind w:left="1271" w:right="0" w:hanging="631"/>
        <w:jc w:val="left"/>
        <w:rPr>
          <w:sz w:val="21"/>
        </w:rPr>
      </w:pPr>
      <w:r>
        <w:rPr>
          <w:sz w:val="21"/>
        </w:rPr>
        <w:t>本基金暂停接受申购、赎回申请或重新接受申购、赎回申请；</w:t>
      </w:r>
    </w:p>
    <w:p>
      <w:pPr>
        <w:pStyle w:val="ListParagraph"/>
        <w:numPr>
          <w:ilvl w:val="0"/>
          <w:numId w:val="37"/>
        </w:numPr>
        <w:tabs>
          <w:tab w:pos="1271" w:val="left" w:leader="none"/>
        </w:tabs>
        <w:spacing w:line="240" w:lineRule="auto" w:before="139" w:after="0"/>
        <w:ind w:left="1271" w:right="0" w:hanging="631"/>
        <w:jc w:val="left"/>
        <w:rPr>
          <w:sz w:val="21"/>
        </w:rPr>
      </w:pPr>
      <w:r>
        <w:rPr>
          <w:sz w:val="21"/>
        </w:rPr>
        <w:t>调整基金份额类别的设置；</w:t>
      </w:r>
    </w:p>
    <w:p>
      <w:pPr>
        <w:pStyle w:val="ListParagraph"/>
        <w:numPr>
          <w:ilvl w:val="0"/>
          <w:numId w:val="37"/>
        </w:numPr>
        <w:tabs>
          <w:tab w:pos="1271" w:val="left" w:leader="none"/>
        </w:tabs>
        <w:spacing w:line="240" w:lineRule="auto" w:before="140" w:after="0"/>
        <w:ind w:left="1271" w:right="0" w:hanging="631"/>
        <w:jc w:val="left"/>
        <w:rPr>
          <w:sz w:val="21"/>
        </w:rPr>
      </w:pPr>
      <w:r>
        <w:rPr>
          <w:sz w:val="21"/>
        </w:rPr>
        <w:t>基金推出新业务或服务；</w:t>
      </w:r>
    </w:p>
    <w:p>
      <w:pPr>
        <w:pStyle w:val="ListParagraph"/>
        <w:numPr>
          <w:ilvl w:val="0"/>
          <w:numId w:val="37"/>
        </w:numPr>
        <w:tabs>
          <w:tab w:pos="1271" w:val="left" w:leader="none"/>
        </w:tabs>
        <w:spacing w:line="364" w:lineRule="auto" w:before="139" w:after="0"/>
        <w:ind w:left="220" w:right="1418" w:firstLine="420"/>
        <w:jc w:val="left"/>
        <w:rPr>
          <w:sz w:val="21"/>
        </w:rPr>
      </w:pPr>
      <w:r>
        <w:rPr>
          <w:sz w:val="21"/>
        </w:rPr>
        <w:t>基金信息披露义务人认为可能对基金份额持有人权益或者基金份额的价格产生</w:t>
      </w:r>
      <w:r>
        <w:rPr>
          <w:spacing w:val="-4"/>
          <w:sz w:val="21"/>
        </w:rPr>
        <w:t>重大影响的其他事项或中国证监会规定的其他事项。</w:t>
      </w:r>
    </w:p>
    <w:p>
      <w:pPr>
        <w:pStyle w:val="BodyText"/>
        <w:spacing w:line="268" w:lineRule="exact"/>
      </w:pPr>
      <w:r>
        <w:rPr/>
        <w:t>10、澄清公告</w:t>
      </w:r>
    </w:p>
    <w:p>
      <w:pPr>
        <w:pStyle w:val="BodyText"/>
        <w:spacing w:line="364" w:lineRule="auto" w:before="140"/>
        <w:ind w:left="220" w:right="1418"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line="268" w:lineRule="exact"/>
      </w:pPr>
      <w:r>
        <w:rPr/>
        <w:t>11、清算报告</w:t>
      </w:r>
    </w:p>
    <w:p>
      <w:pPr>
        <w:pStyle w:val="BodyText"/>
        <w:spacing w:line="364" w:lineRule="auto" w:before="139"/>
        <w:ind w:left="220" w:right="141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268" w:lineRule="exact"/>
      </w:pPr>
      <w:r>
        <w:rPr/>
        <w:t>12、基金份额持有人大会决议</w:t>
      </w:r>
    </w:p>
    <w:p>
      <w:pPr>
        <w:pStyle w:val="BodyText"/>
        <w:spacing w:line="364" w:lineRule="auto" w:before="140"/>
        <w:ind w:left="220" w:right="1208" w:firstLine="420"/>
      </w:pPr>
      <w:r>
        <w:rPr/>
        <w:t>基金份额持有人大会决定的事项，应当依法报中国证监会核准或者备案，并予以公告。</w:t>
      </w:r>
      <w:r>
        <w:rPr>
          <w:spacing w:val="-2"/>
        </w:rPr>
        <w:t>召开基金份额持有人大会的，召集人应当至少提前 </w:t>
      </w:r>
      <w:r>
        <w:rPr/>
        <w:t>30</w:t>
      </w:r>
      <w:r>
        <w:rPr>
          <w:spacing w:val="-7"/>
        </w:rPr>
        <w:t> 日公告基金份额持有人大会的召开时间、会议形式、审议事项、议事程序和表决方式等事项。</w:t>
      </w:r>
    </w:p>
    <w:p>
      <w:pPr>
        <w:pStyle w:val="BodyText"/>
        <w:spacing w:line="364" w:lineRule="auto"/>
        <w:ind w:left="220" w:right="1325" w:firstLine="420"/>
      </w:pPr>
      <w:r>
        <w:rPr/>
        <w:t>基金份额持有人依法自行召集基金份额持有人大会，基金管理人、基金托管人对基金份额持有人大会决定的事项不依法履行信息披露义务的，召集人应当履行相关信息披露义务。</w:t>
      </w:r>
    </w:p>
    <w:p>
      <w:pPr>
        <w:pStyle w:val="BodyText"/>
        <w:spacing w:line="268" w:lineRule="exact"/>
      </w:pPr>
      <w:r>
        <w:rPr/>
        <w:t>13、中国证监会规定的其他信息</w:t>
      </w:r>
    </w:p>
    <w:p>
      <w:pPr>
        <w:pStyle w:val="Heading3"/>
        <w:spacing w:before="139"/>
      </w:pPr>
      <w:bookmarkStart w:name="_bookmark90" w:id="91"/>
      <w:bookmarkEnd w:id="91"/>
      <w:r>
        <w:rPr/>
      </w:r>
      <w:r>
        <w:rPr/>
        <w:t>(三)信息披露文件的存放与查阅</w:t>
      </w:r>
    </w:p>
    <w:p>
      <w:pPr>
        <w:pStyle w:val="BodyText"/>
        <w:spacing w:line="364" w:lineRule="auto" w:before="185"/>
        <w:ind w:left="220" w:right="1417" w:firstLine="420"/>
        <w:jc w:val="both"/>
      </w:pPr>
      <w:r>
        <w:rPr>
          <w:spacing w:val="-10"/>
        </w:rPr>
        <w:t>基金合同、托管协议、招募说明书或更新后的招募说明书、年度报告、中期报告、季度</w:t>
      </w:r>
      <w:r>
        <w:rPr>
          <w:spacing w:val="-6"/>
        </w:rPr>
        <w:t>报告和基金份额净值公告等文本文件在编制完成后，将存放于基金管理人所在地、基金托管</w:t>
      </w:r>
      <w:r>
        <w:rPr>
          <w:spacing w:val="-11"/>
        </w:rPr>
        <w:t>人办公场所，供公众查阅。投资人在支付工本费后，可在合理时间内取得上述文件复制件或</w:t>
      </w:r>
      <w:r>
        <w:rPr/>
        <w:t>复印件。</w:t>
      </w:r>
    </w:p>
    <w:p>
      <w:pPr>
        <w:pStyle w:val="BodyText"/>
        <w:spacing w:line="364" w:lineRule="auto"/>
        <w:ind w:left="220" w:right="1418" w:firstLine="420"/>
      </w:pPr>
      <w:r>
        <w:rPr>
          <w:spacing w:val="-6"/>
        </w:rPr>
        <w:t>投资人也可在基金管理人指定的网站上进行查阅。本基金的信息披露事项将在指定媒介</w:t>
      </w:r>
      <w:r>
        <w:rPr/>
        <w:t>上公告。</w:t>
      </w:r>
    </w:p>
    <w:p>
      <w:pPr>
        <w:pStyle w:val="BodyText"/>
        <w:spacing w:line="268" w:lineRule="exact"/>
      </w:pPr>
      <w:r>
        <w:rPr/>
        <w:t>本基金的信息披露将严格按照法律法规和基金合同的规定进行。</w:t>
      </w:r>
    </w:p>
    <w:p>
      <w:pPr>
        <w:pStyle w:val="Heading3"/>
        <w:spacing w:before="138"/>
      </w:pPr>
      <w:bookmarkStart w:name="_bookmark91" w:id="92"/>
      <w:bookmarkEnd w:id="92"/>
      <w:r>
        <w:rPr/>
      </w:r>
      <w:r>
        <w:rPr/>
        <w:t>(四)信息披露事务管理</w:t>
      </w:r>
    </w:p>
    <w:p>
      <w:pPr>
        <w:pStyle w:val="BodyText"/>
        <w:spacing w:line="364" w:lineRule="auto" w:before="185"/>
        <w:ind w:left="220" w:right="1418" w:firstLine="420"/>
      </w:pPr>
      <w:r>
        <w:rPr>
          <w:spacing w:val="-10"/>
        </w:rPr>
        <w:t>基金管理人、基金托管人应当建立健全信息披露管理制度，指定专门部门及高级管理人</w:t>
      </w:r>
      <w:r>
        <w:rPr/>
        <w:t>员负责管理信息披露事务。</w:t>
      </w:r>
    </w:p>
    <w:p>
      <w:pPr>
        <w:pStyle w:val="BodyText"/>
        <w:spacing w:line="364" w:lineRule="auto"/>
        <w:ind w:left="220" w:right="1418" w:firstLine="420"/>
      </w:pPr>
      <w:r>
        <w:rPr>
          <w:spacing w:val="-7"/>
        </w:rPr>
        <w:t>基金信息披露义务人公开披露基金信息，应当符合中国证监会相关基金信息披露内容与</w:t>
      </w:r>
      <w:r>
        <w:rPr/>
        <w:t>格式准则等法规的规定。</w:t>
      </w:r>
    </w:p>
    <w:p>
      <w:pPr>
        <w:spacing w:after="0" w:line="364" w:lineRule="auto"/>
        <w:sectPr>
          <w:pgSz w:w="11910" w:h="16840"/>
          <w:pgMar w:header="0" w:footer="664" w:top="1380" w:bottom="940" w:left="1580" w:right="380"/>
        </w:sectPr>
      </w:pPr>
    </w:p>
    <w:p>
      <w:pPr>
        <w:pStyle w:val="Heading2"/>
      </w:pPr>
      <w:bookmarkStart w:name="_bookmark92" w:id="93"/>
      <w:bookmarkEnd w:id="93"/>
      <w:r>
        <w:rPr/>
      </w:r>
      <w:r>
        <w:rPr/>
        <w:t>十九、风险揭示</w:t>
      </w:r>
    </w:p>
    <w:p>
      <w:pPr>
        <w:pStyle w:val="BodyText"/>
        <w:spacing w:before="10"/>
        <w:ind w:left="0"/>
        <w:rPr>
          <w:sz w:val="10"/>
        </w:rPr>
      </w:pPr>
    </w:p>
    <w:p>
      <w:pPr>
        <w:pStyle w:val="Heading3"/>
        <w:spacing w:before="61"/>
      </w:pPr>
      <w:bookmarkStart w:name="_bookmark93" w:id="94"/>
      <w:bookmarkEnd w:id="94"/>
      <w:r>
        <w:rPr/>
      </w:r>
      <w:r>
        <w:rPr/>
        <w:t>(一)市场风险</w:t>
      </w:r>
    </w:p>
    <w:p>
      <w:pPr>
        <w:pStyle w:val="BodyText"/>
        <w:spacing w:line="364" w:lineRule="auto" w:before="185"/>
        <w:ind w:left="220" w:right="1417" w:firstLine="420"/>
        <w:jc w:val="both"/>
      </w:pPr>
      <w:r>
        <w:rPr>
          <w:spacing w:val="-7"/>
        </w:rPr>
        <w:t>本基金主要投资于证券市场，而证券市场价格因受到经济因素、政治因素、投资者心理</w:t>
      </w:r>
      <w:r>
        <w:rPr>
          <w:spacing w:val="-5"/>
        </w:rPr>
        <w:t>和交易制度等各种因素的影响而产生波动，从而导致基金收益水平发生变化，产生风险。主</w:t>
      </w:r>
      <w:r>
        <w:rPr/>
        <w:t>要的风险因素包括：</w:t>
      </w:r>
    </w:p>
    <w:p>
      <w:pPr>
        <w:pStyle w:val="BodyText"/>
        <w:spacing w:line="268" w:lineRule="exact"/>
      </w:pPr>
      <w:r>
        <w:rPr/>
        <w:t>1、政策风险</w:t>
      </w:r>
    </w:p>
    <w:p>
      <w:pPr>
        <w:pStyle w:val="BodyText"/>
        <w:spacing w:line="364" w:lineRule="auto" w:before="139"/>
        <w:ind w:left="220" w:right="1418" w:firstLine="420"/>
      </w:pPr>
      <w:r>
        <w:rPr>
          <w:spacing w:val="-7"/>
        </w:rPr>
        <w:t>因国家宏观政策(如货币政策、财政政策、行业政策、地区发展政策等)发生变化，导致</w:t>
      </w:r>
      <w:r>
        <w:rPr/>
        <w:t>市场价格波动而产生风险。</w:t>
      </w:r>
    </w:p>
    <w:p>
      <w:pPr>
        <w:pStyle w:val="BodyText"/>
        <w:spacing w:line="268" w:lineRule="exact"/>
      </w:pPr>
      <w:r>
        <w:rPr/>
        <w:t>2、利率风险</w:t>
      </w:r>
    </w:p>
    <w:p>
      <w:pPr>
        <w:pStyle w:val="BodyText"/>
        <w:spacing w:line="364" w:lineRule="auto" w:before="140"/>
        <w:ind w:left="220" w:right="1418" w:firstLine="420"/>
        <w:jc w:val="both"/>
      </w:pPr>
      <w:r>
        <w:rPr>
          <w:spacing w:val="-4"/>
        </w:rPr>
        <w:t>利率风险主要是指因金融市场利率的波动而导致证券市场价格和收益率变动的风险。利</w:t>
      </w:r>
      <w:r>
        <w:rPr>
          <w:spacing w:val="-6"/>
        </w:rPr>
        <w:t>率直接影响着债券的价格和收益率，影响着企业的融资成本和利润。本基金主要投资方向包</w:t>
      </w:r>
      <w:r>
        <w:rPr/>
        <w:t>括债券、票据和银行存款，其收益水平直接受到利率变化的影响。</w:t>
      </w:r>
    </w:p>
    <w:p>
      <w:pPr>
        <w:pStyle w:val="BodyText"/>
        <w:spacing w:line="268" w:lineRule="exact"/>
      </w:pPr>
      <w:r>
        <w:rPr/>
        <w:t>3、再投资风险</w:t>
      </w:r>
    </w:p>
    <w:p>
      <w:pPr>
        <w:pStyle w:val="BodyText"/>
        <w:spacing w:line="364" w:lineRule="auto" w:before="139"/>
        <w:ind w:left="220" w:right="1418" w:firstLine="420"/>
      </w:pPr>
      <w:r>
        <w:rPr>
          <w:spacing w:val="-12"/>
        </w:rPr>
        <w:t>债券、票据偿付本息后以及回购到期后可能由于市场利率的下降面临资金再投资的收益</w:t>
      </w:r>
      <w:r>
        <w:rPr/>
        <w:t>率低于原来利率，由此本基金面临再投资风险。</w:t>
      </w:r>
    </w:p>
    <w:p>
      <w:pPr>
        <w:pStyle w:val="BodyText"/>
        <w:spacing w:line="268" w:lineRule="exact"/>
      </w:pPr>
      <w:r>
        <w:rPr/>
        <w:t>4、信用风险</w:t>
      </w:r>
    </w:p>
    <w:p>
      <w:pPr>
        <w:pStyle w:val="BodyText"/>
        <w:spacing w:line="364" w:lineRule="auto" w:before="140"/>
        <w:ind w:left="220" w:right="1418" w:firstLine="420"/>
      </w:pPr>
      <w:r>
        <w:rPr>
          <w:spacing w:val="-4"/>
        </w:rPr>
        <w:t>债券发行人不能按期还本付息或回购交易中交易对手在回购到期履行交割责任时，不能</w:t>
      </w:r>
      <w:r>
        <w:rPr/>
        <w:t>偿还全部或部分证券或价款，都可能使本基金面临信用风险。</w:t>
      </w:r>
    </w:p>
    <w:p>
      <w:pPr>
        <w:pStyle w:val="BodyText"/>
        <w:spacing w:line="268" w:lineRule="exact"/>
      </w:pPr>
      <w:r>
        <w:rPr/>
        <w:t>5、股票市场风险</w:t>
      </w:r>
    </w:p>
    <w:p>
      <w:pPr>
        <w:pStyle w:val="BodyText"/>
        <w:spacing w:line="364" w:lineRule="auto" w:before="139"/>
        <w:ind w:left="220" w:right="1417" w:firstLine="420"/>
        <w:jc w:val="both"/>
      </w:pPr>
      <w:r>
        <w:rPr>
          <w:spacing w:val="-8"/>
        </w:rPr>
        <w:t>如果股票市场下跌，本基金持有股票部分将面临下跌风险。另外，如果新股发行数量减</w:t>
      </w:r>
      <w:r>
        <w:rPr>
          <w:spacing w:val="-7"/>
        </w:rPr>
        <w:t>少或新股申购收益率降低，或政策发生变化导致本基金无法参与新股申购，本基金将面临收</w:t>
      </w:r>
      <w:r>
        <w:rPr/>
        <w:t>益率降低的风险。尤其当新股上市价格跌破发行价格时，新股申购将可能出现亏损。</w:t>
      </w:r>
    </w:p>
    <w:p>
      <w:pPr>
        <w:pStyle w:val="BodyText"/>
        <w:spacing w:line="268" w:lineRule="exact"/>
      </w:pPr>
      <w:r>
        <w:rPr/>
        <w:t>6、经营风险</w:t>
      </w:r>
    </w:p>
    <w:p>
      <w:pPr>
        <w:pStyle w:val="BodyText"/>
        <w:spacing w:line="364" w:lineRule="auto" w:before="140"/>
        <w:ind w:left="220" w:right="1418" w:firstLine="420"/>
        <w:jc w:val="both"/>
      </w:pPr>
      <w:r>
        <w:rPr>
          <w:spacing w:val="-7"/>
        </w:rPr>
        <w:t>公司的经营活动受多种因素影响。如管理能力、行业竞争、市场前景、技术更新、新产</w:t>
      </w:r>
      <w:r>
        <w:rPr>
          <w:spacing w:val="-6"/>
        </w:rPr>
        <w:t>品研究开发等都会导致公司盈利发生变化。如果基金所投资的上市公司经营不善，其债券价</w:t>
      </w:r>
      <w:r>
        <w:rPr>
          <w:spacing w:val="-12"/>
        </w:rPr>
        <w:t>格可能下跌；同时，其偿债能力也会受到影响，基金投资收益将受到不良影响。虽然基金可</w:t>
      </w:r>
      <w:r>
        <w:rPr/>
        <w:t>以通过投资多样化来分散这种非系统风险，但不能完全避免。</w:t>
      </w:r>
    </w:p>
    <w:p>
      <w:pPr>
        <w:pStyle w:val="BodyText"/>
        <w:spacing w:line="267" w:lineRule="exact"/>
      </w:pPr>
      <w:r>
        <w:rPr/>
        <w:t>7、购买力风险</w:t>
      </w:r>
    </w:p>
    <w:p>
      <w:pPr>
        <w:pStyle w:val="BodyText"/>
        <w:spacing w:line="364" w:lineRule="auto" w:before="139"/>
        <w:ind w:left="220" w:right="1418" w:firstLine="420"/>
      </w:pPr>
      <w:r>
        <w:rPr>
          <w:spacing w:val="-9"/>
        </w:rPr>
        <w:t>如果发生通货膨胀，基金投资于证券所获得的收益可能会被通货膨胀抵消，从而影响基</w:t>
      </w:r>
      <w:r>
        <w:rPr/>
        <w:t>金资产的实际收益率。</w:t>
      </w:r>
    </w:p>
    <w:p>
      <w:pPr>
        <w:pStyle w:val="BodyText"/>
        <w:spacing w:line="268" w:lineRule="exact"/>
      </w:pPr>
      <w:r>
        <w:rPr/>
        <w:t>8、经济周期风险</w:t>
      </w:r>
    </w:p>
    <w:p>
      <w:pPr>
        <w:pStyle w:val="BodyText"/>
        <w:spacing w:line="364" w:lineRule="auto" w:before="139"/>
        <w:ind w:left="220" w:right="1418" w:firstLine="420"/>
      </w:pPr>
      <w:r>
        <w:rPr>
          <w:spacing w:val="-7"/>
        </w:rPr>
        <w:t>随着经济运行的周期性变化，证券市场的收益水平也呈周期性变化，基金投资的收益水</w:t>
      </w:r>
      <w:r>
        <w:rPr/>
        <w:t>平也会随之变化，从而产生风险。</w:t>
      </w:r>
    </w:p>
    <w:p>
      <w:pPr>
        <w:spacing w:after="0" w:line="364" w:lineRule="auto"/>
        <w:sectPr>
          <w:pgSz w:w="11910" w:h="16840"/>
          <w:pgMar w:header="0" w:footer="664" w:top="1380" w:bottom="940" w:left="1580" w:right="380"/>
        </w:sectPr>
      </w:pPr>
    </w:p>
    <w:p>
      <w:pPr>
        <w:pStyle w:val="Heading3"/>
        <w:spacing w:before="46"/>
      </w:pPr>
      <w:bookmarkStart w:name="_bookmark94" w:id="95"/>
      <w:bookmarkEnd w:id="95"/>
      <w:r>
        <w:rPr/>
      </w:r>
      <w:r>
        <w:rPr/>
        <w:t>(二)管理风险</w:t>
      </w:r>
    </w:p>
    <w:p>
      <w:pPr>
        <w:pStyle w:val="BodyText"/>
        <w:spacing w:line="364" w:lineRule="auto" w:before="185"/>
        <w:ind w:left="220" w:right="1418" w:firstLine="420"/>
      </w:pPr>
      <w:r>
        <w:rPr/>
        <w:t>1、在基金管理运作过程中，基金管理人的知识、经验、判断、决策、技能等，会影响其对信息的占有以及对经济形势、证券价格走势的判断，从而影响基金收益水平；</w:t>
      </w:r>
    </w:p>
    <w:p>
      <w:pPr>
        <w:pStyle w:val="BodyText"/>
        <w:spacing w:line="364" w:lineRule="auto"/>
        <w:ind w:left="220" w:right="1418" w:firstLine="420"/>
      </w:pPr>
      <w:r>
        <w:rPr/>
        <w:t>2、基金管理人和基金托管人的管理手段和管理技术等因素的变化也会影响基金收益水平。</w:t>
      </w:r>
    </w:p>
    <w:p>
      <w:pPr>
        <w:pStyle w:val="Heading3"/>
      </w:pPr>
      <w:bookmarkStart w:name="_bookmark95" w:id="96"/>
      <w:bookmarkEnd w:id="96"/>
      <w:r>
        <w:rPr/>
      </w:r>
      <w:r>
        <w:rPr/>
        <w:t>(三)流动性风险</w:t>
      </w:r>
    </w:p>
    <w:p>
      <w:pPr>
        <w:pStyle w:val="BodyText"/>
        <w:spacing w:before="184"/>
      </w:pPr>
      <w:r>
        <w:rPr/>
        <w:t>1、流动性风险评估</w:t>
      </w:r>
    </w:p>
    <w:p>
      <w:pPr>
        <w:pStyle w:val="BodyText"/>
        <w:spacing w:line="364" w:lineRule="auto" w:before="139"/>
        <w:ind w:left="220" w:right="1313" w:firstLine="420"/>
      </w:pPr>
      <w:r>
        <w:rPr>
          <w:spacing w:val="-12"/>
        </w:rPr>
        <w:t>本基金为债券型基金，主要投资于债券、新股、资产支持证券、银行存款，一般情况下， </w:t>
      </w:r>
      <w:r>
        <w:rPr>
          <w:spacing w:val="-6"/>
        </w:rPr>
        <w:t>这些资产市场流动性较好，但不排除在特定阶段、特定市场环境下特定投资标的出现流动性</w:t>
      </w:r>
      <w:r>
        <w:rPr>
          <w:spacing w:val="-10"/>
        </w:rPr>
        <w:t>较差的情况。因此，本基金投资于上述资产时，可能存在以下流动性风险：一是基金管理人</w:t>
      </w:r>
      <w:r>
        <w:rPr>
          <w:spacing w:val="-14"/>
        </w:rPr>
        <w:t>建仓或进行组合调整时，可能由于特定投资标的流动性相对不足而无法按预期的价格买进或</w:t>
      </w:r>
      <w:r>
        <w:rPr>
          <w:spacing w:val="-12"/>
        </w:rPr>
        <w:t>卖出；二是为应付投资者的赎回，基金被迫以不适当的价格卖出股票、债券或其他资产。两者均可能使基金净值受到不利影响。</w:t>
      </w:r>
    </w:p>
    <w:p>
      <w:pPr>
        <w:pStyle w:val="BodyText"/>
        <w:spacing w:line="266" w:lineRule="exact"/>
      </w:pPr>
      <w:r>
        <w:rPr/>
        <w:t>2、巨额赎回情形下的流动性风险管理措施</w:t>
      </w:r>
    </w:p>
    <w:p>
      <w:pPr>
        <w:pStyle w:val="BodyText"/>
        <w:spacing w:line="364" w:lineRule="auto" w:before="140"/>
        <w:ind w:left="220" w:right="1297" w:firstLine="420"/>
      </w:pPr>
      <w:r>
        <w:rPr>
          <w:spacing w:val="-8"/>
        </w:rPr>
        <w:t>当本基金出现巨额赎回时，基金管理人可以根据基金当时的资产组合状况决定全额赎回</w:t>
      </w:r>
      <w:r>
        <w:rPr>
          <w:spacing w:val="-20"/>
        </w:rPr>
        <w:t>或部分延期赎回；此外，如连续 </w:t>
      </w:r>
      <w:r>
        <w:rPr/>
        <w:t>2</w:t>
      </w:r>
      <w:r>
        <w:rPr>
          <w:spacing w:val="-11"/>
        </w:rPr>
        <w:t> 日以上(含本数)发生巨额赎回，如基金管理人认为有必要， </w:t>
      </w:r>
      <w:r>
        <w:rPr>
          <w:spacing w:val="-13"/>
        </w:rPr>
        <w:t>可暂停接受基金的赎回申请；已经接受的赎回申请可以延缓支付赎回款项，但不得超过 </w:t>
      </w:r>
      <w:r>
        <w:rPr/>
        <w:t>20 </w:t>
      </w:r>
      <w:r>
        <w:rPr>
          <w:spacing w:val="-11"/>
        </w:rPr>
        <w:t>个工作日；当本基金发生巨额赎回且单个基金份额持有人的赎回申请超过上一开放日基金总</w:t>
      </w:r>
      <w:r>
        <w:rPr>
          <w:spacing w:val="7"/>
        </w:rPr>
        <w:t>份额</w:t>
      </w:r>
      <w:r>
        <w:rPr/>
        <w:t>10%</w:t>
      </w:r>
      <w:r>
        <w:rPr>
          <w:spacing w:val="-12"/>
        </w:rPr>
        <w:t>的，基金管理人有权对该单个基金份额持有人超出该比例的赎回申请实施延期办理。</w:t>
      </w:r>
      <w:r>
        <w:rPr>
          <w:spacing w:val="-9"/>
        </w:rPr>
        <w:t>具体情形、程序见招募说明书“八、基金份额的申购、赎回”之“(十)巨额赎回的认定及处理方式”</w:t>
      </w:r>
    </w:p>
    <w:p>
      <w:pPr>
        <w:pStyle w:val="BodyText"/>
        <w:spacing w:line="364" w:lineRule="auto"/>
        <w:ind w:left="220" w:right="141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BodyText"/>
        <w:spacing w:line="364" w:lineRule="auto"/>
        <w:ind w:left="220" w:right="1418" w:firstLine="420"/>
      </w:pPr>
      <w:r>
        <w:rPr/>
        <w:t>3、除巨额赎回情形外实施备用的流动性风险管理工具的情形、程序及对投资者的潜在影响</w:t>
      </w:r>
    </w:p>
    <w:p>
      <w:pPr>
        <w:pStyle w:val="BodyText"/>
        <w:spacing w:line="364" w:lineRule="auto"/>
        <w:ind w:left="220" w:right="1208"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364" w:lineRule="auto"/>
        <w:ind w:left="220" w:right="1417" w:firstLine="420"/>
        <w:jc w:val="both"/>
      </w:pPr>
      <w:r>
        <w:rPr>
          <w:spacing w:val="-7"/>
        </w:rPr>
        <w:t>暂停接受赎回申请、延缓支付赎回款项等工具的情形、程序见招募说明书“八、基金份</w:t>
      </w:r>
      <w:r>
        <w:rPr>
          <w:spacing w:val="-11"/>
        </w:rPr>
        <w:t>额的申购、赎回”之“(十一)拒绝或暂停申购、暂停赎回的情形及处理”的相关规定。若本</w:t>
      </w:r>
      <w:r>
        <w:rPr>
          <w:spacing w:val="-9"/>
        </w:rPr>
        <w:t>基金暂停赎回申请，投资者在暂停赎回期间将无法赎回其持有的基金份额。若本基金延缓支</w:t>
      </w:r>
      <w:r>
        <w:rPr/>
        <w:t>付赎回款项，赎回款支付时间将后延，可能对投资者的资金安排带来不利影响。</w:t>
      </w:r>
    </w:p>
    <w:p>
      <w:pPr>
        <w:pStyle w:val="BodyText"/>
        <w:spacing w:line="267" w:lineRule="exact"/>
        <w:jc w:val="both"/>
      </w:pPr>
      <w:r>
        <w:rPr/>
        <w:t>短期赎回费适用于持续持有期少于 7 日的投资者，费率为 1.5%。短期赎回费由赎回基</w:t>
      </w:r>
    </w:p>
    <w:p>
      <w:pPr>
        <w:spacing w:after="0" w:line="267" w:lineRule="exact"/>
        <w:jc w:val="both"/>
        <w:sectPr>
          <w:pgSz w:w="11910" w:h="16840"/>
          <w:pgMar w:header="0" w:footer="664" w:top="1380" w:bottom="940" w:left="1580" w:right="380"/>
        </w:sectPr>
      </w:pPr>
    </w:p>
    <w:p>
      <w:pPr>
        <w:pStyle w:val="BodyText"/>
        <w:spacing w:line="364" w:lineRule="auto" w:before="45"/>
        <w:ind w:left="220" w:right="1418"/>
        <w:jc w:val="both"/>
      </w:pP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364" w:lineRule="auto"/>
        <w:ind w:left="220" w:right="1417" w:firstLine="420"/>
        <w:jc w:val="both"/>
      </w:pPr>
      <w:r>
        <w:rPr>
          <w:spacing w:val="-7"/>
        </w:rPr>
        <w:t>暂停基金估值的情形、程序见招募说明书“十四、基金资产的估值”之“(七)暂停估值</w:t>
      </w:r>
      <w:r>
        <w:rPr>
          <w:spacing w:val="-12"/>
        </w:rPr>
        <w:t>的情形”的相关规定。若本基金暂停基金估值，一方面投资者将无法知晓本基金的基金份额</w:t>
      </w:r>
      <w:r>
        <w:rPr>
          <w:spacing w:val="-10"/>
        </w:rPr>
        <w:t>净值，另一方面基金将暂停接受申购赎回申请或延缓支付赎回款项，将导致投资者无法申购</w:t>
      </w:r>
      <w:r>
        <w:rPr/>
        <w:t>或赎回本基金，或赎回款支付时间将后延，可能对投资者的资金安排带来不利影响。</w:t>
      </w:r>
    </w:p>
    <w:p>
      <w:pPr>
        <w:pStyle w:val="Heading3"/>
        <w:spacing w:line="364" w:lineRule="auto"/>
        <w:ind w:right="1418"/>
      </w:pPr>
      <w:bookmarkStart w:name="_bookmark96" w:id="97"/>
      <w:bookmarkEnd w:id="97"/>
      <w:r>
        <w:rPr/>
      </w:r>
      <w:r>
        <w:rPr/>
        <w:t>（四</w:t>
      </w:r>
      <w:r>
        <w:rPr>
          <w:spacing w:val="-95"/>
        </w:rPr>
        <w:t>）</w:t>
      </w:r>
      <w:r>
        <w:rPr>
          <w:spacing w:val="-1"/>
        </w:rPr>
        <w:t>本基金法律文件中涉及基金风险特征的表述与销售机构对基金</w:t>
      </w:r>
      <w:r>
        <w:rPr/>
        <w:t>的风险评级可能不一致的风险</w:t>
      </w:r>
    </w:p>
    <w:p>
      <w:pPr>
        <w:pStyle w:val="BodyText"/>
        <w:spacing w:line="364" w:lineRule="auto"/>
        <w:ind w:left="220" w:right="1208" w:firstLine="420"/>
      </w:pPr>
      <w:r>
        <w:rPr>
          <w:spacing w:val="-10"/>
        </w:rPr>
        <w:t>本基金基金合同、招募说明书等法律文件中涉及基金风险收益特征或风险状况的表述仅 </w:t>
      </w:r>
      <w:r>
        <w:rPr>
          <w:spacing w:val="-14"/>
        </w:rPr>
        <w:t>为主要基于基金投资方向与策略特点的概括性表述；而本基金各销售机构依据中国证券投资 </w:t>
      </w:r>
      <w:r>
        <w:rPr>
          <w:spacing w:val="-9"/>
        </w:rPr>
        <w:t>基金业协会发布的《基金募集机构投资者适当性管理实施指引</w:t>
      </w:r>
      <w:r>
        <w:rPr/>
        <w:t>（试行）》及内部评级标准， </w:t>
      </w:r>
      <w:r>
        <w:rPr>
          <w:spacing w:val="-4"/>
        </w:rPr>
        <w:t>将基金产品按照风险由低到高顺序进行风险级别评定划分，其风险评级结果所依据的评价要 </w:t>
      </w:r>
      <w:r>
        <w:rPr>
          <w:spacing w:val="-12"/>
        </w:rPr>
        <w:t>素可能更多、范围更广，与本基金法律文件中的风险收益特征或风险状况表述并不必然一致 </w:t>
      </w:r>
      <w:r>
        <w:rPr>
          <w:spacing w:val="-14"/>
        </w:rPr>
        <w:t>或存在对应关系。同时，不同销售机构因其采取的具体评价标准和方法的差异，对同一产品 </w:t>
      </w:r>
      <w:r>
        <w:rPr>
          <w:spacing w:val="-17"/>
        </w:rPr>
        <w:t>风险级别的评定也可能各有不同；销售机构还可能根据监管要求、市场变化及基金实际运作 </w:t>
      </w:r>
      <w:r>
        <w:rPr>
          <w:spacing w:val="-20"/>
        </w:rPr>
        <w:t>情况等适时调整对本基金的风险评级。敬请投资人知悉，在购买本基金时按照销售机构的要 </w:t>
      </w:r>
      <w:r>
        <w:rPr>
          <w:spacing w:val="-23"/>
        </w:rPr>
        <w:t>求完成风险承受能力与产品风险之间的匹配检验，并须及时关注销售机构对于本基金风险评 级的调整情况，谨慎作出投资决策。</w:t>
      </w:r>
    </w:p>
    <w:p>
      <w:pPr>
        <w:pStyle w:val="Heading3"/>
        <w:spacing w:line="355" w:lineRule="exact"/>
      </w:pPr>
      <w:bookmarkStart w:name="_bookmark97" w:id="98"/>
      <w:bookmarkEnd w:id="98"/>
      <w:r>
        <w:rPr/>
      </w:r>
      <w:r>
        <w:rPr/>
        <w:t>(五)特有风险</w:t>
      </w:r>
    </w:p>
    <w:p>
      <w:pPr>
        <w:pStyle w:val="BodyText"/>
        <w:spacing w:before="181"/>
      </w:pPr>
      <w:r>
        <w:rPr/>
        <w:t>1、债券市场系统性风险</w:t>
      </w:r>
    </w:p>
    <w:p>
      <w:pPr>
        <w:pStyle w:val="BodyText"/>
        <w:spacing w:line="364" w:lineRule="auto" w:before="139"/>
        <w:ind w:left="220" w:right="1417" w:firstLine="420"/>
        <w:jc w:val="both"/>
      </w:pPr>
      <w:r>
        <w:rPr>
          <w:spacing w:val="-3"/>
        </w:rPr>
        <w:t>本基金对固定收益类资产的投资比例不低于基金资产的 </w:t>
      </w:r>
      <w:r>
        <w:rPr>
          <w:spacing w:val="-6"/>
        </w:rPr>
        <w:t>80%，其中，信用债和可转债合</w:t>
      </w:r>
      <w:r>
        <w:rPr>
          <w:spacing w:val="-4"/>
        </w:rPr>
        <w:t>计投资比例不低于债券资产的 </w:t>
      </w:r>
      <w:r>
        <w:rPr/>
        <w:t>80%</w:t>
      </w:r>
      <w:r>
        <w:rPr>
          <w:spacing w:val="-8"/>
        </w:rPr>
        <w:t>。因此，本基金需要承担如果债券市场出现整体下跌，本</w:t>
      </w:r>
      <w:r>
        <w:rPr/>
        <w:t>基金将无法完全避免债券市场系统性风险。</w:t>
      </w:r>
    </w:p>
    <w:p>
      <w:pPr>
        <w:pStyle w:val="BodyText"/>
        <w:spacing w:line="268" w:lineRule="exact"/>
      </w:pPr>
      <w:r>
        <w:rPr/>
        <w:t>2、信用债违约风险</w:t>
      </w:r>
    </w:p>
    <w:p>
      <w:pPr>
        <w:pStyle w:val="BodyText"/>
        <w:spacing w:line="364" w:lineRule="auto" w:before="140"/>
        <w:ind w:left="220" w:right="1418" w:firstLine="420"/>
      </w:pPr>
      <w:r>
        <w:rPr>
          <w:spacing w:val="-5"/>
        </w:rPr>
        <w:t>本基金需要承担如企业债、公司债等信用品种的发债主体信用恶化造成的信用风险；如</w:t>
      </w:r>
      <w:r>
        <w:rPr/>
        <w:t>果持有的信用债出现信用违约风险，将给基金净值带来较大的负面影响。</w:t>
      </w:r>
    </w:p>
    <w:p>
      <w:pPr>
        <w:pStyle w:val="BodyText"/>
        <w:spacing w:line="268" w:lineRule="exact"/>
      </w:pPr>
      <w:r>
        <w:rPr/>
        <w:t>3、可转债投资风险</w:t>
      </w:r>
    </w:p>
    <w:p>
      <w:pPr>
        <w:pStyle w:val="BodyText"/>
        <w:spacing w:line="364" w:lineRule="auto" w:before="139"/>
        <w:ind w:left="220" w:right="1418" w:firstLine="420"/>
        <w:jc w:val="both"/>
      </w:pPr>
      <w:r>
        <w:rPr>
          <w:spacing w:val="-7"/>
        </w:rPr>
        <w:t>与其他更为成熟的债券品种相比，可转债市场交易活跃程度不高，专注于可转债投资将</w:t>
      </w:r>
      <w:r>
        <w:rPr>
          <w:spacing w:val="-10"/>
        </w:rPr>
        <w:t>带来更高的流动性风险。此外，本基金还需要承担由可转债对应正股股票价格波动带来的可</w:t>
      </w:r>
      <w:r>
        <w:rPr/>
        <w:t>转债价格波动的风险以及在转股期内由于可转债正股价格低于转股价而导致不能获得转股收益的风险。</w:t>
      </w:r>
    </w:p>
    <w:p>
      <w:pPr>
        <w:pStyle w:val="BodyText"/>
        <w:spacing w:line="267" w:lineRule="exact"/>
      </w:pPr>
      <w:r>
        <w:rPr/>
        <w:t>4、新股投资风险</w:t>
      </w:r>
    </w:p>
    <w:p>
      <w:pPr>
        <w:pStyle w:val="BodyText"/>
        <w:spacing w:before="139"/>
      </w:pPr>
      <w:r>
        <w:rPr/>
        <w:t>本基金还可参与一级市场新股申购(含增发)、持有可转债转股所得的股票等权益类品种，</w:t>
      </w:r>
    </w:p>
    <w:p>
      <w:pPr>
        <w:spacing w:after="0"/>
        <w:sectPr>
          <w:pgSz w:w="11910" w:h="16840"/>
          <w:pgMar w:header="0" w:footer="664" w:top="1380" w:bottom="940" w:left="1580" w:right="380"/>
        </w:sectPr>
      </w:pPr>
    </w:p>
    <w:p>
      <w:pPr>
        <w:pStyle w:val="BodyText"/>
        <w:spacing w:line="364" w:lineRule="auto" w:before="45"/>
        <w:ind w:left="220" w:right="1418"/>
        <w:jc w:val="both"/>
      </w:pPr>
      <w:r>
        <w:rPr>
          <w:spacing w:val="-3"/>
        </w:rPr>
        <w:t>但上述权益类品种的投资比例不高于基金资产净值的 </w:t>
      </w:r>
      <w:r>
        <w:rPr/>
        <w:t>20%</w:t>
      </w:r>
      <w:r>
        <w:rPr>
          <w:spacing w:val="-8"/>
        </w:rPr>
        <w:t>。因此，本基金也将面临股票市场</w:t>
      </w:r>
      <w:r>
        <w:rPr>
          <w:spacing w:val="-10"/>
        </w:rPr>
        <w:t>下跌、新股发行数量减少或新股申购收益率降低甚至出现亏损的风险，或政策发生变化导致</w:t>
      </w:r>
      <w:r>
        <w:rPr/>
        <w:t>本基金无法参与新股认购，将使本基金面临收益率降低的风险。</w:t>
      </w:r>
    </w:p>
    <w:p>
      <w:pPr>
        <w:pStyle w:val="BodyText"/>
        <w:spacing w:line="268" w:lineRule="exact"/>
      </w:pPr>
      <w:r>
        <w:rPr/>
        <w:t>5、资产支持证券投资风险</w:t>
      </w:r>
    </w:p>
    <w:p>
      <w:pPr>
        <w:pStyle w:val="BodyText"/>
        <w:spacing w:line="364" w:lineRule="auto" w:before="139"/>
        <w:ind w:left="220" w:right="1417" w:firstLine="420"/>
        <w:jc w:val="both"/>
      </w:pPr>
      <w:r>
        <w:rPr>
          <w:spacing w:val="-5"/>
        </w:rPr>
        <w:t>本基金投资范围包括资产支持证券，投资该类型债券除了面临信用风险、利率风险、流</w:t>
      </w:r>
      <w:r>
        <w:rPr>
          <w:spacing w:val="-10"/>
        </w:rPr>
        <w:t>动性风险以外，还要面临债务人可能由于利率变化等原因进行提前偿付，从而使基金资产面</w:t>
      </w:r>
      <w:r>
        <w:rPr/>
        <w:t>临再投资的风险。</w:t>
      </w:r>
    </w:p>
    <w:p>
      <w:pPr>
        <w:pStyle w:val="Heading3"/>
        <w:spacing w:line="358" w:lineRule="exact"/>
      </w:pPr>
      <w:bookmarkStart w:name="_bookmark98" w:id="99"/>
      <w:bookmarkEnd w:id="99"/>
      <w:r>
        <w:rPr/>
      </w:r>
      <w:r>
        <w:rPr/>
        <w:t>(六)其他风险</w:t>
      </w:r>
    </w:p>
    <w:p>
      <w:pPr>
        <w:pStyle w:val="BodyText"/>
        <w:spacing w:before="185"/>
      </w:pPr>
      <w:r>
        <w:rPr/>
        <w:t>1、因技术因素而产生的风险，如电脑系统不可靠产生的风险；</w:t>
      </w:r>
    </w:p>
    <w:p>
      <w:pPr>
        <w:pStyle w:val="BodyText"/>
        <w:spacing w:line="364" w:lineRule="auto" w:before="140"/>
        <w:ind w:left="220" w:right="1418" w:firstLine="420"/>
      </w:pPr>
      <w:r>
        <w:rPr/>
        <w:t>2、因战争、自然灾害等不可抗力导致的基金管理人、基金托管人、基金服务机构等机构无法正常工作，从而影响基金运作的风险；</w:t>
      </w:r>
    </w:p>
    <w:p>
      <w:pPr>
        <w:pStyle w:val="BodyText"/>
        <w:spacing w:line="364" w:lineRule="auto"/>
        <w:ind w:left="220" w:right="1418" w:firstLine="420"/>
      </w:pPr>
      <w:r>
        <w:rPr/>
        <w:t>3、因金融市场危机、代理商违约、基金托管人违约等超出基金管理人自身控制能力的因素出现，可能导致基金或者基金份额持有人利益受损的风险；</w:t>
      </w:r>
    </w:p>
    <w:p>
      <w:pPr>
        <w:pStyle w:val="BodyText"/>
        <w:spacing w:line="364" w:lineRule="auto"/>
        <w:ind w:left="220" w:right="1418" w:firstLine="420"/>
      </w:pPr>
      <w:r>
        <w:rPr/>
        <w:t>4、本基金力争战胜通货膨胀和银行定期存款利率，但本基金的收益水平有可能不能达到或超过同期的目标收益率水平，投资者面临获得低于目标收益率甚至亏损的风险；</w:t>
      </w:r>
    </w:p>
    <w:p>
      <w:pPr>
        <w:pStyle w:val="BodyText"/>
        <w:spacing w:line="364" w:lineRule="auto"/>
        <w:ind w:left="220" w:right="1418" w:firstLine="420"/>
      </w:pPr>
      <w:r>
        <w:rPr/>
        <w:t>5、因固定收益类金融工具主要在场外市场进行交易，场外市场交易现阶段自动化程度较场内市场低，本基金在投资运作过程中可能面临操作风险。</w:t>
      </w:r>
    </w:p>
    <w:p>
      <w:pPr>
        <w:spacing w:after="0" w:line="364" w:lineRule="auto"/>
        <w:sectPr>
          <w:pgSz w:w="11910" w:h="16840"/>
          <w:pgMar w:header="0" w:footer="664" w:top="1380" w:bottom="940" w:left="1580" w:right="380"/>
        </w:sectPr>
      </w:pPr>
    </w:p>
    <w:p>
      <w:pPr>
        <w:pStyle w:val="Heading2"/>
        <w:ind w:left="1223" w:right="0"/>
        <w:jc w:val="left"/>
      </w:pPr>
      <w:bookmarkStart w:name="_bookmark99" w:id="100"/>
      <w:bookmarkEnd w:id="100"/>
      <w:r>
        <w:rPr/>
      </w:r>
      <w:r>
        <w:rPr/>
        <w:t>二十、基金合同的变更、终止与基金财产的清算</w:t>
      </w:r>
    </w:p>
    <w:p>
      <w:pPr>
        <w:pStyle w:val="Heading3"/>
        <w:spacing w:before="199"/>
      </w:pPr>
      <w:bookmarkStart w:name="_bookmark100" w:id="101"/>
      <w:bookmarkEnd w:id="101"/>
      <w:r>
        <w:rPr/>
      </w:r>
      <w:r>
        <w:rPr/>
        <w:t>(一)基金合同的变更</w:t>
      </w:r>
    </w:p>
    <w:p>
      <w:pPr>
        <w:pStyle w:val="BodyText"/>
        <w:spacing w:line="364" w:lineRule="auto" w:before="185"/>
        <w:ind w:left="220" w:right="1418" w:firstLine="420"/>
      </w:pPr>
      <w:r>
        <w:rPr/>
        <w:t>1、基金合同变更内容对基金合同当事人权利、义务产生重大影响的，应召开基金份额持有人大会，基金合同变更的内容应经基金份额持有人大会决议同意。</w:t>
      </w:r>
    </w:p>
    <w:p>
      <w:pPr>
        <w:pStyle w:val="BodyText"/>
        <w:spacing w:line="364" w:lineRule="auto"/>
        <w:ind w:right="7085"/>
      </w:pPr>
      <w:r>
        <w:rPr/>
        <w:t>(1)转换基金运作方式； (2)变更基金类别；</w:t>
      </w:r>
    </w:p>
    <w:p>
      <w:pPr>
        <w:pStyle w:val="BodyText"/>
        <w:spacing w:line="364" w:lineRule="auto"/>
        <w:ind w:right="1432"/>
      </w:pPr>
      <w:r>
        <w:rPr/>
        <w:t>(3)</w:t>
      </w:r>
      <w:r>
        <w:rPr>
          <w:spacing w:val="-10"/>
        </w:rPr>
        <w:t>变更基金投资目标、投资范围或投资策略(法律法规和中国证监会另有规定的除外)； </w:t>
      </w:r>
      <w:r>
        <w:rPr/>
        <w:t>(4)变更基金份额持有人大会程序；</w:t>
      </w:r>
    </w:p>
    <w:p>
      <w:pPr>
        <w:pStyle w:val="ListParagraph"/>
        <w:numPr>
          <w:ilvl w:val="0"/>
          <w:numId w:val="38"/>
        </w:numPr>
        <w:tabs>
          <w:tab w:pos="956" w:val="left" w:leader="none"/>
        </w:tabs>
        <w:spacing w:line="268" w:lineRule="exact" w:before="0" w:after="0"/>
        <w:ind w:left="956" w:right="0" w:hanging="316"/>
        <w:jc w:val="left"/>
        <w:rPr>
          <w:sz w:val="21"/>
        </w:rPr>
      </w:pPr>
      <w:r>
        <w:rPr>
          <w:sz w:val="21"/>
        </w:rPr>
        <w:t>更换基金管理人、基金托管人；</w:t>
      </w:r>
    </w:p>
    <w:p>
      <w:pPr>
        <w:pStyle w:val="ListParagraph"/>
        <w:numPr>
          <w:ilvl w:val="0"/>
          <w:numId w:val="38"/>
        </w:numPr>
        <w:tabs>
          <w:tab w:pos="956" w:val="left" w:leader="none"/>
        </w:tabs>
        <w:spacing w:line="364" w:lineRule="auto" w:before="138" w:after="0"/>
        <w:ind w:left="220" w:right="1418" w:firstLine="420"/>
        <w:jc w:val="left"/>
        <w:rPr>
          <w:sz w:val="21"/>
        </w:rPr>
      </w:pPr>
      <w:r>
        <w:rPr>
          <w:sz w:val="21"/>
        </w:rPr>
        <w:t>提高基金管理人、基金托管人的报酬标准。但根据适用的相关规定提高该等报酬标准的除外；</w:t>
      </w:r>
    </w:p>
    <w:p>
      <w:pPr>
        <w:pStyle w:val="ListParagraph"/>
        <w:numPr>
          <w:ilvl w:val="0"/>
          <w:numId w:val="38"/>
        </w:numPr>
        <w:tabs>
          <w:tab w:pos="956" w:val="left" w:leader="none"/>
        </w:tabs>
        <w:spacing w:line="240" w:lineRule="auto" w:before="19" w:after="0"/>
        <w:ind w:left="956" w:right="0" w:hanging="316"/>
        <w:jc w:val="left"/>
        <w:rPr>
          <w:sz w:val="21"/>
        </w:rPr>
      </w:pPr>
      <w:r>
        <w:rPr>
          <w:sz w:val="21"/>
        </w:rPr>
        <w:t>本基金与其他基金的合并；</w:t>
      </w:r>
    </w:p>
    <w:p>
      <w:pPr>
        <w:pStyle w:val="ListParagraph"/>
        <w:numPr>
          <w:ilvl w:val="0"/>
          <w:numId w:val="38"/>
        </w:numPr>
        <w:tabs>
          <w:tab w:pos="956" w:val="left" w:leader="none"/>
        </w:tabs>
        <w:spacing w:line="364" w:lineRule="auto" w:before="23" w:after="0"/>
        <w:ind w:left="640" w:right="3740" w:firstLine="0"/>
        <w:jc w:val="left"/>
        <w:rPr>
          <w:sz w:val="21"/>
        </w:rPr>
      </w:pPr>
      <w:r>
        <w:rPr>
          <w:spacing w:val="-1"/>
          <w:sz w:val="21"/>
        </w:rPr>
        <w:t>对基金合同当事人权利、义务产生重大影响的其他事项； </w:t>
      </w:r>
      <w:r>
        <w:rPr>
          <w:sz w:val="21"/>
        </w:rPr>
        <w:t>(9)法律法规、基金合同或中国证监会规定的其他情形。</w:t>
      </w:r>
    </w:p>
    <w:p>
      <w:pPr>
        <w:pStyle w:val="BodyText"/>
        <w:spacing w:line="364" w:lineRule="auto"/>
        <w:ind w:left="220" w:right="1418" w:firstLine="420"/>
      </w:pPr>
      <w:r>
        <w:rPr>
          <w:spacing w:val="-9"/>
        </w:rPr>
        <w:t>但出现下列情况时，可不经基金份额持有人大会决议，由基金管理人和基金托管人同意</w:t>
      </w:r>
      <w:r>
        <w:rPr/>
        <w:t>变更后公布，并报中国证监会备案：</w:t>
      </w:r>
    </w:p>
    <w:p>
      <w:pPr>
        <w:pStyle w:val="ListParagraph"/>
        <w:numPr>
          <w:ilvl w:val="0"/>
          <w:numId w:val="39"/>
        </w:numPr>
        <w:tabs>
          <w:tab w:pos="956" w:val="left" w:leader="none"/>
        </w:tabs>
        <w:spacing w:line="268" w:lineRule="exact" w:before="0" w:after="0"/>
        <w:ind w:left="956" w:right="0" w:hanging="316"/>
        <w:jc w:val="left"/>
        <w:rPr>
          <w:sz w:val="21"/>
        </w:rPr>
      </w:pPr>
      <w:r>
        <w:rPr>
          <w:sz w:val="21"/>
        </w:rPr>
        <w:t>调低基金管理费、基金托管费和其他应由基金承担的费用；</w:t>
      </w:r>
    </w:p>
    <w:p>
      <w:pPr>
        <w:pStyle w:val="ListParagraph"/>
        <w:numPr>
          <w:ilvl w:val="0"/>
          <w:numId w:val="39"/>
        </w:numPr>
        <w:tabs>
          <w:tab w:pos="956" w:val="left" w:leader="none"/>
        </w:tabs>
        <w:spacing w:line="364" w:lineRule="auto" w:before="138" w:after="0"/>
        <w:ind w:left="220" w:right="1418" w:firstLine="420"/>
        <w:jc w:val="left"/>
        <w:rPr>
          <w:sz w:val="21"/>
        </w:rPr>
      </w:pPr>
      <w:r>
        <w:rPr>
          <w:sz w:val="21"/>
        </w:rPr>
        <w:t>在法律法规和本基金合同规定的范围内变更基金的申购费率、降低赎回费率或变更收费方式；</w:t>
      </w:r>
    </w:p>
    <w:p>
      <w:pPr>
        <w:pStyle w:val="ListParagraph"/>
        <w:numPr>
          <w:ilvl w:val="0"/>
          <w:numId w:val="39"/>
        </w:numPr>
        <w:tabs>
          <w:tab w:pos="956" w:val="left" w:leader="none"/>
        </w:tabs>
        <w:spacing w:line="268" w:lineRule="exact" w:before="0" w:after="0"/>
        <w:ind w:left="956" w:right="0" w:hanging="316"/>
        <w:jc w:val="left"/>
        <w:rPr>
          <w:sz w:val="21"/>
        </w:rPr>
      </w:pPr>
      <w:r>
        <w:rPr>
          <w:sz w:val="21"/>
        </w:rPr>
        <w:t>因相应的法律法规发生变动必须对基金合同进行修改；</w:t>
      </w:r>
    </w:p>
    <w:p>
      <w:pPr>
        <w:pStyle w:val="ListParagraph"/>
        <w:numPr>
          <w:ilvl w:val="0"/>
          <w:numId w:val="39"/>
        </w:numPr>
        <w:tabs>
          <w:tab w:pos="956" w:val="left" w:leader="none"/>
        </w:tabs>
        <w:spacing w:line="364" w:lineRule="auto" w:before="140" w:after="0"/>
        <w:ind w:left="640" w:right="2270" w:firstLine="0"/>
        <w:jc w:val="left"/>
        <w:rPr>
          <w:sz w:val="21"/>
        </w:rPr>
      </w:pPr>
      <w:r>
        <w:rPr>
          <w:spacing w:val="-1"/>
          <w:sz w:val="21"/>
        </w:rPr>
        <w:t>对基金合同的修改不涉及本基金合同当事人权利义务关系发生重大变化； </w:t>
      </w:r>
      <w:r>
        <w:rPr>
          <w:sz w:val="21"/>
        </w:rPr>
        <w:t>(5)基金合同的修改对基金份额持有人利益无实质性不利影响；</w:t>
      </w:r>
    </w:p>
    <w:p>
      <w:pPr>
        <w:pStyle w:val="BodyText"/>
        <w:spacing w:line="268" w:lineRule="exact"/>
      </w:pPr>
      <w:r>
        <w:rPr/>
        <w:t>(6)按照法律法规或本基金合同规定不需召开基金份额持有人大会的其他情形。</w:t>
      </w:r>
    </w:p>
    <w:p>
      <w:pPr>
        <w:pStyle w:val="BodyText"/>
        <w:spacing w:line="364" w:lineRule="auto" w:before="139"/>
        <w:ind w:left="220" w:right="1418" w:firstLine="420"/>
      </w:pPr>
      <w:r>
        <w:rPr/>
        <w:t>2、关于变更基金合同的基金份额持有人大会决议应报中国证监会核准或备案，并于中国证监会核准或出具无异议意见后生效执行，并自生效之日起 2 日内在指定媒介公告。</w:t>
      </w:r>
    </w:p>
    <w:p>
      <w:pPr>
        <w:pStyle w:val="Heading3"/>
      </w:pPr>
      <w:bookmarkStart w:name="_bookmark101" w:id="102"/>
      <w:bookmarkEnd w:id="102"/>
      <w:r>
        <w:rPr/>
      </w:r>
      <w:r>
        <w:rPr/>
        <w:t>(二)基金合同的终止</w:t>
      </w:r>
    </w:p>
    <w:p>
      <w:pPr>
        <w:pStyle w:val="BodyText"/>
        <w:spacing w:before="185"/>
      </w:pPr>
      <w:r>
        <w:rPr/>
        <w:t>有下列情形之一的，本基金合同经中国证监会核准后将终止：</w:t>
      </w:r>
    </w:p>
    <w:p>
      <w:pPr>
        <w:pStyle w:val="BodyText"/>
        <w:spacing w:before="159"/>
      </w:pPr>
      <w:r>
        <w:rPr/>
        <w:t>1、基金份额持有人大会决定终止的；</w:t>
      </w:r>
    </w:p>
    <w:p>
      <w:pPr>
        <w:pStyle w:val="BodyText"/>
        <w:spacing w:before="23"/>
      </w:pPr>
      <w:r>
        <w:rPr/>
        <w:t>2、基金管理人因解散、破产、撤销等事由，不能继续担任基金管理人的职务，而在 6</w:t>
      </w:r>
    </w:p>
    <w:p>
      <w:pPr>
        <w:pStyle w:val="BodyText"/>
        <w:spacing w:before="140"/>
        <w:ind w:left="220"/>
      </w:pPr>
      <w:r>
        <w:rPr/>
        <w:t>个月内无其他适当的基金管理公司承接其原有权利义务；</w:t>
      </w:r>
    </w:p>
    <w:p>
      <w:pPr>
        <w:pStyle w:val="BodyText"/>
        <w:spacing w:before="139"/>
      </w:pPr>
      <w:r>
        <w:rPr/>
        <w:t>3、基金托管人因解散、破产、撤销等事由，不能继续担任基金托管人的职务，而在 6</w:t>
      </w:r>
    </w:p>
    <w:p>
      <w:pPr>
        <w:pStyle w:val="BodyText"/>
        <w:spacing w:before="140"/>
        <w:ind w:left="220"/>
      </w:pPr>
      <w:r>
        <w:rPr/>
        <w:t>个月内无其他适当的托管机构承接其原有权利义务；</w:t>
      </w:r>
    </w:p>
    <w:p>
      <w:pPr>
        <w:pStyle w:val="BodyText"/>
        <w:spacing w:before="139"/>
      </w:pPr>
      <w:r>
        <w:rPr/>
        <w:t>4、法律法规、中国证监会规定的其他情况。</w:t>
      </w:r>
    </w:p>
    <w:p>
      <w:pPr>
        <w:spacing w:after="0"/>
        <w:sectPr>
          <w:pgSz w:w="11910" w:h="16840"/>
          <w:pgMar w:header="0" w:footer="664" w:top="1380" w:bottom="940" w:left="1580" w:right="380"/>
        </w:sectPr>
      </w:pPr>
    </w:p>
    <w:p>
      <w:pPr>
        <w:pStyle w:val="Heading3"/>
        <w:spacing w:before="46"/>
      </w:pPr>
      <w:bookmarkStart w:name="_bookmark102" w:id="103"/>
      <w:bookmarkEnd w:id="103"/>
      <w:r>
        <w:rPr/>
      </w:r>
      <w:r>
        <w:rPr/>
        <w:t>(三)基金财产的清算</w:t>
      </w:r>
    </w:p>
    <w:p>
      <w:pPr>
        <w:pStyle w:val="BodyText"/>
        <w:spacing w:before="185"/>
      </w:pPr>
      <w:r>
        <w:rPr/>
        <w:t>1、基金财产清算组</w:t>
      </w:r>
    </w:p>
    <w:p>
      <w:pPr>
        <w:pStyle w:val="ListParagraph"/>
        <w:numPr>
          <w:ilvl w:val="0"/>
          <w:numId w:val="40"/>
        </w:numPr>
        <w:tabs>
          <w:tab w:pos="956" w:val="left" w:leader="none"/>
        </w:tabs>
        <w:spacing w:line="364" w:lineRule="auto" w:before="139" w:after="0"/>
        <w:ind w:left="220" w:right="1418" w:firstLine="420"/>
        <w:jc w:val="left"/>
        <w:rPr>
          <w:sz w:val="21"/>
        </w:rPr>
      </w:pPr>
      <w:r>
        <w:rPr>
          <w:spacing w:val="-4"/>
          <w:sz w:val="21"/>
        </w:rPr>
        <w:t>自出现基金合同终止事由之日起 </w:t>
      </w:r>
      <w:r>
        <w:rPr>
          <w:sz w:val="21"/>
        </w:rPr>
        <w:t>30</w:t>
      </w:r>
      <w:r>
        <w:rPr>
          <w:spacing w:val="-15"/>
          <w:sz w:val="21"/>
        </w:rPr>
        <w:t> 个工作日内成立基金财产清算组，基金管理人组</w:t>
      </w:r>
      <w:r>
        <w:rPr>
          <w:sz w:val="21"/>
        </w:rPr>
        <w:t>织基金财产清算组并在中国证监会的监督下进行基金财产清算。</w:t>
      </w:r>
    </w:p>
    <w:p>
      <w:pPr>
        <w:pStyle w:val="ListParagraph"/>
        <w:numPr>
          <w:ilvl w:val="0"/>
          <w:numId w:val="40"/>
        </w:numPr>
        <w:tabs>
          <w:tab w:pos="956" w:val="left" w:leader="none"/>
        </w:tabs>
        <w:spacing w:line="364" w:lineRule="auto" w:before="0" w:after="0"/>
        <w:ind w:left="220" w:right="1313" w:firstLine="420"/>
        <w:jc w:val="left"/>
        <w:rPr>
          <w:sz w:val="21"/>
        </w:rPr>
      </w:pPr>
      <w:r>
        <w:rPr>
          <w:sz w:val="21"/>
        </w:rPr>
        <w:t>基金财产清算组成员由基金管理人、基金托管人、具有从事证券相关业务资格的注</w:t>
      </w:r>
      <w:r>
        <w:rPr>
          <w:spacing w:val="-17"/>
          <w:sz w:val="21"/>
        </w:rPr>
        <w:t>册会计师、律师以及中国证监会指定的人员组成。基金财产清算组可以聘用必要的工作人员。</w:t>
      </w:r>
    </w:p>
    <w:p>
      <w:pPr>
        <w:pStyle w:val="ListParagraph"/>
        <w:numPr>
          <w:ilvl w:val="0"/>
          <w:numId w:val="40"/>
        </w:numPr>
        <w:tabs>
          <w:tab w:pos="956" w:val="left" w:leader="none"/>
        </w:tabs>
        <w:spacing w:line="364" w:lineRule="auto" w:before="0" w:after="0"/>
        <w:ind w:left="220" w:right="1418" w:firstLine="420"/>
        <w:jc w:val="left"/>
        <w:rPr>
          <w:sz w:val="21"/>
        </w:rPr>
      </w:pPr>
      <w:r>
        <w:rPr>
          <w:sz w:val="21"/>
        </w:rPr>
        <w:t>基金财产清算组负责基金财产的保管、清理、估价、变现和分配。基金财产清算组可以依法进行必要的民事活动。</w:t>
      </w:r>
    </w:p>
    <w:p>
      <w:pPr>
        <w:pStyle w:val="BodyText"/>
        <w:spacing w:line="268" w:lineRule="exact"/>
      </w:pPr>
      <w:r>
        <w:rPr/>
        <w:t>2、基金财产清算程序</w:t>
      </w:r>
    </w:p>
    <w:p>
      <w:pPr>
        <w:pStyle w:val="BodyText"/>
        <w:spacing w:line="364" w:lineRule="auto" w:before="138"/>
        <w:ind w:left="220" w:right="1418" w:firstLine="420"/>
      </w:pPr>
      <w:r>
        <w:rPr>
          <w:spacing w:val="-10"/>
        </w:rPr>
        <w:t>基金合同终止，应当按法律法规和本基金合同的有关规定对基金财产进行清算。基金财</w:t>
      </w:r>
      <w:r>
        <w:rPr/>
        <w:t>产清算程序主要包括：</w:t>
      </w:r>
    </w:p>
    <w:p>
      <w:pPr>
        <w:pStyle w:val="ListParagraph"/>
        <w:numPr>
          <w:ilvl w:val="0"/>
          <w:numId w:val="41"/>
        </w:numPr>
        <w:tabs>
          <w:tab w:pos="956" w:val="left" w:leader="none"/>
        </w:tabs>
        <w:spacing w:line="268" w:lineRule="exact" w:before="0" w:after="0"/>
        <w:ind w:left="956" w:right="0" w:hanging="316"/>
        <w:jc w:val="left"/>
        <w:rPr>
          <w:sz w:val="21"/>
        </w:rPr>
      </w:pPr>
      <w:r>
        <w:rPr>
          <w:sz w:val="21"/>
        </w:rPr>
        <w:t>基金合同终止后，发布基金财产清算公告；</w:t>
      </w:r>
    </w:p>
    <w:p>
      <w:pPr>
        <w:pStyle w:val="ListParagraph"/>
        <w:numPr>
          <w:ilvl w:val="0"/>
          <w:numId w:val="41"/>
        </w:numPr>
        <w:tabs>
          <w:tab w:pos="956" w:val="left" w:leader="none"/>
        </w:tabs>
        <w:spacing w:line="364" w:lineRule="auto" w:before="139" w:after="0"/>
        <w:ind w:left="640" w:right="3740" w:firstLine="0"/>
        <w:jc w:val="left"/>
        <w:rPr>
          <w:sz w:val="21"/>
        </w:rPr>
      </w:pPr>
      <w:r>
        <w:rPr>
          <w:spacing w:val="-1"/>
          <w:sz w:val="21"/>
        </w:rPr>
        <w:t>基金合同终止时，由基金财产清算组统一接管基金财产； </w:t>
      </w:r>
      <w:r>
        <w:rPr>
          <w:sz w:val="21"/>
        </w:rPr>
        <w:t>(3)对基金财产进行清理和确认；</w:t>
      </w:r>
    </w:p>
    <w:p>
      <w:pPr>
        <w:pStyle w:val="ListParagraph"/>
        <w:numPr>
          <w:ilvl w:val="0"/>
          <w:numId w:val="42"/>
        </w:numPr>
        <w:tabs>
          <w:tab w:pos="956" w:val="left" w:leader="none"/>
        </w:tabs>
        <w:spacing w:line="268" w:lineRule="exact" w:before="0" w:after="0"/>
        <w:ind w:left="956" w:right="0" w:hanging="316"/>
        <w:jc w:val="left"/>
        <w:rPr>
          <w:sz w:val="21"/>
        </w:rPr>
      </w:pPr>
      <w:r>
        <w:rPr>
          <w:sz w:val="21"/>
        </w:rPr>
        <w:t>对基金财产进行估价和变现；</w:t>
      </w:r>
    </w:p>
    <w:p>
      <w:pPr>
        <w:pStyle w:val="ListParagraph"/>
        <w:numPr>
          <w:ilvl w:val="0"/>
          <w:numId w:val="42"/>
        </w:numPr>
        <w:tabs>
          <w:tab w:pos="956" w:val="left" w:leader="none"/>
        </w:tabs>
        <w:spacing w:line="364" w:lineRule="auto" w:before="140" w:after="0"/>
        <w:ind w:left="640" w:right="5210" w:firstLine="0"/>
        <w:jc w:val="left"/>
        <w:rPr>
          <w:sz w:val="21"/>
        </w:rPr>
      </w:pPr>
      <w:r>
        <w:rPr>
          <w:spacing w:val="-2"/>
          <w:sz w:val="21"/>
        </w:rPr>
        <w:t>聘请会计师事务所对清算报告进行审计； </w:t>
      </w:r>
      <w:r>
        <w:rPr>
          <w:sz w:val="21"/>
        </w:rPr>
        <w:t>(6)聘请律师事务所出具法律意见书；</w:t>
      </w:r>
    </w:p>
    <w:p>
      <w:pPr>
        <w:pStyle w:val="BodyText"/>
        <w:spacing w:line="364" w:lineRule="auto"/>
        <w:ind w:right="5405"/>
      </w:pPr>
      <w:r>
        <w:rPr/>
        <w:t>(7)将基金财产清算结果报告中国证监会； (8)参加与基金财产有关的民事诉讼；</w:t>
      </w:r>
    </w:p>
    <w:p>
      <w:pPr>
        <w:pStyle w:val="BodyText"/>
        <w:spacing w:line="364" w:lineRule="auto"/>
        <w:ind w:right="6365"/>
      </w:pPr>
      <w:r>
        <w:rPr/>
        <w:t>(9)公布基金财产清算结果； (10)对基金剩余财产进行分配。3、清算费用</w:t>
      </w:r>
    </w:p>
    <w:p>
      <w:pPr>
        <w:pStyle w:val="BodyText"/>
        <w:spacing w:line="364" w:lineRule="auto"/>
        <w:ind w:left="220" w:right="1418" w:firstLine="420"/>
      </w:pPr>
      <w:r>
        <w:rPr>
          <w:spacing w:val="-4"/>
        </w:rPr>
        <w:t>清算费用是指基金财产清算组在进行基金财产清算过程中发生的所有合理费用，清算费</w:t>
      </w:r>
      <w:r>
        <w:rPr/>
        <w:t>用由基金财产清算组优先从基金财产中支付。</w:t>
      </w:r>
    </w:p>
    <w:p>
      <w:pPr>
        <w:pStyle w:val="BodyText"/>
        <w:spacing w:line="364" w:lineRule="auto"/>
        <w:ind w:right="6470"/>
      </w:pPr>
      <w:r>
        <w:rPr/>
        <w:t>4</w:t>
      </w:r>
      <w:r>
        <w:rPr>
          <w:spacing w:val="-2"/>
        </w:rPr>
        <w:t>、基金财产按下列顺序清偿： </w:t>
      </w:r>
      <w:r>
        <w:rPr/>
        <w:t>(1)支付清算费用；</w:t>
      </w:r>
    </w:p>
    <w:p>
      <w:pPr>
        <w:pStyle w:val="BodyText"/>
        <w:spacing w:line="364" w:lineRule="auto"/>
        <w:ind w:right="7415"/>
      </w:pPr>
      <w:r>
        <w:rPr/>
        <w:t>(2)</w:t>
      </w:r>
      <w:r>
        <w:rPr>
          <w:spacing w:val="-3"/>
        </w:rPr>
        <w:t>交纳所欠税款； </w:t>
      </w:r>
      <w:r>
        <w:rPr/>
        <w:t>(3)</w:t>
      </w:r>
      <w:r>
        <w:rPr>
          <w:spacing w:val="-3"/>
        </w:rPr>
        <w:t>清偿基金债务；</w:t>
      </w:r>
    </w:p>
    <w:p>
      <w:pPr>
        <w:pStyle w:val="BodyText"/>
        <w:spacing w:line="268" w:lineRule="exact"/>
      </w:pPr>
      <w:r>
        <w:rPr/>
        <w:t>(4)按基金份额持有人持有的基金份额比例进行分配。</w:t>
      </w:r>
    </w:p>
    <w:p>
      <w:pPr>
        <w:pStyle w:val="BodyText"/>
        <w:spacing w:before="134"/>
      </w:pPr>
      <w:r>
        <w:rPr/>
        <w:t>基金财产未按前款(1)－(3)项规定清偿前，不分配给基金份额持有人。</w:t>
      </w:r>
    </w:p>
    <w:p>
      <w:pPr>
        <w:pStyle w:val="BodyText"/>
        <w:spacing w:before="139"/>
      </w:pPr>
      <w:r>
        <w:rPr/>
        <w:t>5、基金财产清算的公告</w:t>
      </w:r>
    </w:p>
    <w:p>
      <w:pPr>
        <w:pStyle w:val="BodyText"/>
        <w:spacing w:line="364" w:lineRule="auto" w:before="140"/>
        <w:ind w:left="220" w:right="1418" w:firstLine="420"/>
        <w:jc w:val="both"/>
      </w:pPr>
      <w:r>
        <w:rPr>
          <w:spacing w:val="-3"/>
        </w:rPr>
        <w:t>基金财产清算公告在报中国证监会备案后 </w:t>
      </w:r>
      <w:r>
        <w:rPr/>
        <w:t>5</w:t>
      </w:r>
      <w:r>
        <w:rPr>
          <w:spacing w:val="-15"/>
        </w:rPr>
        <w:t> 个工作日内由基金财产清算组公告；清算过</w:t>
      </w:r>
      <w:r>
        <w:rPr>
          <w:spacing w:val="-8"/>
        </w:rPr>
        <w:t>程中的有关重大事项须及时公告；基金财产清算结果经会计师事务所审计，律师事务所出具</w:t>
      </w:r>
      <w:r>
        <w:rPr/>
        <w:t>法律意见书后，由基金财产清算组报中国证监会备案并公告。</w:t>
      </w:r>
    </w:p>
    <w:p>
      <w:pPr>
        <w:spacing w:after="0" w:line="364" w:lineRule="auto"/>
        <w:jc w:val="both"/>
        <w:sectPr>
          <w:pgSz w:w="11910" w:h="16840"/>
          <w:pgMar w:header="0" w:footer="664" w:top="1380" w:bottom="940" w:left="1580" w:right="380"/>
        </w:sectPr>
      </w:pPr>
    </w:p>
    <w:p>
      <w:pPr>
        <w:pStyle w:val="BodyText"/>
        <w:spacing w:before="45"/>
      </w:pPr>
      <w:r>
        <w:rPr/>
        <w:t>6、基金财产清算账册及文件的保存</w:t>
      </w:r>
    </w:p>
    <w:p>
      <w:pPr>
        <w:pStyle w:val="BodyText"/>
        <w:spacing w:before="139"/>
      </w:pPr>
      <w:r>
        <w:rPr/>
        <w:t>基金财产清算账册及有关文件由基金托管人保存 15 年以上。</w:t>
      </w:r>
    </w:p>
    <w:p>
      <w:pPr>
        <w:spacing w:after="0"/>
        <w:sectPr>
          <w:pgSz w:w="11910" w:h="16840"/>
          <w:pgMar w:header="0" w:footer="664" w:top="1380" w:bottom="940" w:left="1580" w:right="380"/>
        </w:sectPr>
      </w:pPr>
    </w:p>
    <w:p>
      <w:pPr>
        <w:pStyle w:val="Heading2"/>
      </w:pPr>
      <w:bookmarkStart w:name="_bookmark103" w:id="104"/>
      <w:bookmarkEnd w:id="104"/>
      <w:r>
        <w:rPr/>
      </w:r>
      <w:r>
        <w:rPr/>
        <w:t>二十一、基金合同的内容摘要</w:t>
      </w:r>
    </w:p>
    <w:p>
      <w:pPr>
        <w:pStyle w:val="Heading3"/>
        <w:spacing w:before="199"/>
      </w:pPr>
      <w:bookmarkStart w:name="_bookmark104" w:id="105"/>
      <w:bookmarkEnd w:id="105"/>
      <w:r>
        <w:rPr/>
      </w:r>
      <w:r>
        <w:rPr/>
        <w:t>(一)基金管理人的权利和义务</w:t>
      </w:r>
    </w:p>
    <w:p>
      <w:pPr>
        <w:pStyle w:val="Heading4"/>
        <w:spacing w:before="116"/>
        <w:ind w:left="640"/>
      </w:pPr>
      <w:r>
        <w:rPr/>
        <w:t>1、基金管理人的权利</w:t>
      </w:r>
    </w:p>
    <w:p>
      <w:pPr>
        <w:pStyle w:val="BodyText"/>
        <w:spacing w:before="91"/>
      </w:pPr>
      <w:r>
        <w:rPr/>
        <w:t>根据《基金法》及其他有关法律法规，基金管理人的权利为：</w:t>
      </w:r>
    </w:p>
    <w:p>
      <w:pPr>
        <w:pStyle w:val="ListParagraph"/>
        <w:numPr>
          <w:ilvl w:val="0"/>
          <w:numId w:val="43"/>
        </w:numPr>
        <w:tabs>
          <w:tab w:pos="956" w:val="left" w:leader="none"/>
        </w:tabs>
        <w:spacing w:line="364" w:lineRule="auto" w:before="140" w:after="0"/>
        <w:ind w:left="220" w:right="1418" w:firstLine="420"/>
        <w:jc w:val="left"/>
        <w:rPr>
          <w:sz w:val="21"/>
        </w:rPr>
      </w:pPr>
      <w:r>
        <w:rPr>
          <w:sz w:val="21"/>
        </w:rPr>
        <w:t>自本基金合同生效之日起，依照有关法律法规和本基金合同的规定独立运用基金财产；</w:t>
      </w:r>
    </w:p>
    <w:p>
      <w:pPr>
        <w:pStyle w:val="ListParagraph"/>
        <w:numPr>
          <w:ilvl w:val="0"/>
          <w:numId w:val="43"/>
        </w:numPr>
        <w:tabs>
          <w:tab w:pos="956" w:val="left" w:leader="none"/>
        </w:tabs>
        <w:spacing w:line="364" w:lineRule="auto" w:before="0" w:after="0"/>
        <w:ind w:left="640" w:right="1850" w:firstLine="0"/>
        <w:jc w:val="left"/>
        <w:rPr>
          <w:sz w:val="21"/>
        </w:rPr>
      </w:pPr>
      <w:r>
        <w:rPr>
          <w:spacing w:val="-1"/>
          <w:sz w:val="21"/>
        </w:rPr>
        <w:t>依照基金合同获得基金管理费以及法律法规规定或监管部门批准的其他收入； </w:t>
      </w:r>
      <w:r>
        <w:rPr>
          <w:sz w:val="21"/>
        </w:rPr>
        <w:t>(3)发售基金份额；</w:t>
      </w:r>
    </w:p>
    <w:p>
      <w:pPr>
        <w:pStyle w:val="ListParagraph"/>
        <w:numPr>
          <w:ilvl w:val="0"/>
          <w:numId w:val="44"/>
        </w:numPr>
        <w:tabs>
          <w:tab w:pos="956" w:val="left" w:leader="none"/>
        </w:tabs>
        <w:spacing w:line="268" w:lineRule="exact" w:before="0" w:after="0"/>
        <w:ind w:left="956" w:right="0" w:hanging="316"/>
        <w:jc w:val="left"/>
        <w:rPr>
          <w:sz w:val="21"/>
        </w:rPr>
      </w:pPr>
      <w:r>
        <w:rPr>
          <w:sz w:val="21"/>
        </w:rPr>
        <w:t>依照有关规定行使因基金财产投资于证券所产生的权利；</w:t>
      </w:r>
    </w:p>
    <w:p>
      <w:pPr>
        <w:pStyle w:val="ListParagraph"/>
        <w:numPr>
          <w:ilvl w:val="0"/>
          <w:numId w:val="44"/>
        </w:numPr>
        <w:tabs>
          <w:tab w:pos="956" w:val="left" w:leader="none"/>
        </w:tabs>
        <w:spacing w:line="364" w:lineRule="auto" w:before="138" w:after="0"/>
        <w:ind w:left="220" w:right="1418" w:firstLine="420"/>
        <w:jc w:val="both"/>
        <w:rPr>
          <w:sz w:val="21"/>
        </w:rPr>
      </w:pPr>
      <w:r>
        <w:rPr>
          <w:sz w:val="21"/>
        </w:rPr>
        <w:t>在符合有关法律法规的前提下，制订和调整有关基金认购、申购、赎回、转换、非</w:t>
      </w:r>
      <w:r>
        <w:rPr>
          <w:spacing w:val="-11"/>
          <w:sz w:val="21"/>
        </w:rPr>
        <w:t>交易过户、转托管等业务的规则，在法律法规和本基金合同规定的范围内决定和调整基金的</w:t>
      </w:r>
      <w:r>
        <w:rPr>
          <w:sz w:val="21"/>
        </w:rPr>
        <w:t>除调高托管费率和管理费率之外的相关费率结构和收费方式；</w:t>
      </w:r>
    </w:p>
    <w:p>
      <w:pPr>
        <w:pStyle w:val="ListParagraph"/>
        <w:numPr>
          <w:ilvl w:val="0"/>
          <w:numId w:val="44"/>
        </w:numPr>
        <w:tabs>
          <w:tab w:pos="956" w:val="left" w:leader="none"/>
        </w:tabs>
        <w:spacing w:line="364" w:lineRule="auto" w:before="0" w:after="0"/>
        <w:ind w:left="220" w:right="1417" w:firstLine="420"/>
        <w:jc w:val="both"/>
        <w:rPr>
          <w:sz w:val="21"/>
        </w:rPr>
      </w:pPr>
      <w:r>
        <w:rPr>
          <w:sz w:val="21"/>
        </w:rPr>
        <w:t>根据本基金合同及有关规定监督基金托管人，对于基金托管人违反了本基金合同或</w:t>
      </w:r>
      <w:r>
        <w:rPr>
          <w:spacing w:val="-7"/>
          <w:sz w:val="21"/>
        </w:rPr>
        <w:t>有关法律法规规定的行为，对基金财产、其他当事人的利益造成重大损失的情形，应及时呈</w:t>
      </w:r>
      <w:r>
        <w:rPr>
          <w:sz w:val="21"/>
        </w:rPr>
        <w:t>报中国证监会，并采取必要措施保护基金及相关当事人的利益；</w:t>
      </w:r>
    </w:p>
    <w:p>
      <w:pPr>
        <w:pStyle w:val="ListParagraph"/>
        <w:numPr>
          <w:ilvl w:val="0"/>
          <w:numId w:val="44"/>
        </w:numPr>
        <w:tabs>
          <w:tab w:pos="956" w:val="left" w:leader="none"/>
        </w:tabs>
        <w:spacing w:line="268" w:lineRule="exact" w:before="0" w:after="0"/>
        <w:ind w:left="956" w:right="0" w:hanging="316"/>
        <w:jc w:val="left"/>
        <w:rPr>
          <w:sz w:val="21"/>
        </w:rPr>
      </w:pPr>
      <w:r>
        <w:rPr>
          <w:sz w:val="21"/>
        </w:rPr>
        <w:t>在基金合同约定的范围内，拒绝或暂停受理申购和赎回申请；</w:t>
      </w:r>
    </w:p>
    <w:p>
      <w:pPr>
        <w:pStyle w:val="ListParagraph"/>
        <w:numPr>
          <w:ilvl w:val="0"/>
          <w:numId w:val="44"/>
        </w:numPr>
        <w:tabs>
          <w:tab w:pos="956" w:val="left" w:leader="none"/>
        </w:tabs>
        <w:spacing w:line="240" w:lineRule="auto" w:before="138" w:after="0"/>
        <w:ind w:left="956" w:right="0" w:hanging="316"/>
        <w:jc w:val="left"/>
        <w:rPr>
          <w:sz w:val="21"/>
        </w:rPr>
      </w:pPr>
      <w:r>
        <w:rPr>
          <w:sz w:val="21"/>
        </w:rPr>
        <w:t>在法律法规允许的前提下，为基金的利益依法为基金进行融资、融券；</w:t>
      </w:r>
    </w:p>
    <w:p>
      <w:pPr>
        <w:pStyle w:val="ListParagraph"/>
        <w:numPr>
          <w:ilvl w:val="0"/>
          <w:numId w:val="44"/>
        </w:numPr>
        <w:tabs>
          <w:tab w:pos="956" w:val="left" w:leader="none"/>
        </w:tabs>
        <w:spacing w:line="364" w:lineRule="auto" w:before="140" w:after="0"/>
        <w:ind w:left="220" w:right="1418" w:firstLine="420"/>
        <w:jc w:val="left"/>
        <w:rPr>
          <w:sz w:val="21"/>
        </w:rPr>
      </w:pPr>
      <w:r>
        <w:rPr>
          <w:sz w:val="21"/>
        </w:rPr>
        <w:t>自行担任或选择、更换注册登记机构，获取基金份额持有人名册，并对注册登记机构的代理行为进行必要的监督和检查；</w:t>
      </w:r>
    </w:p>
    <w:p>
      <w:pPr>
        <w:pStyle w:val="ListParagraph"/>
        <w:numPr>
          <w:ilvl w:val="0"/>
          <w:numId w:val="44"/>
        </w:numPr>
        <w:tabs>
          <w:tab w:pos="1061" w:val="left" w:leader="none"/>
        </w:tabs>
        <w:spacing w:line="364" w:lineRule="auto" w:before="0" w:after="0"/>
        <w:ind w:left="220" w:right="1417" w:firstLine="420"/>
        <w:jc w:val="left"/>
        <w:rPr>
          <w:sz w:val="21"/>
        </w:rPr>
      </w:pPr>
      <w:r>
        <w:rPr>
          <w:spacing w:val="-11"/>
          <w:sz w:val="21"/>
        </w:rPr>
        <w:t>选择、更换代销机构，并依据基金销售服务代理协议和有关法律法规，对其行为进</w:t>
      </w:r>
      <w:r>
        <w:rPr>
          <w:sz w:val="21"/>
        </w:rPr>
        <w:t>行必要的监督和检查；</w:t>
      </w:r>
    </w:p>
    <w:p>
      <w:pPr>
        <w:pStyle w:val="ListParagraph"/>
        <w:numPr>
          <w:ilvl w:val="0"/>
          <w:numId w:val="44"/>
        </w:numPr>
        <w:tabs>
          <w:tab w:pos="1061" w:val="left" w:leader="none"/>
        </w:tabs>
        <w:spacing w:line="364" w:lineRule="auto" w:before="0" w:after="0"/>
        <w:ind w:left="220" w:right="1417" w:firstLine="420"/>
        <w:jc w:val="left"/>
        <w:rPr>
          <w:sz w:val="21"/>
        </w:rPr>
      </w:pPr>
      <w:r>
        <w:rPr>
          <w:spacing w:val="-12"/>
          <w:sz w:val="21"/>
        </w:rPr>
        <w:t>选择、更换律师事务所、会计师事务所、证券经纪商或其他为基金提供服务的外部</w:t>
      </w:r>
      <w:r>
        <w:rPr>
          <w:sz w:val="21"/>
        </w:rPr>
        <w:t>机构；</w:t>
      </w:r>
    </w:p>
    <w:p>
      <w:pPr>
        <w:pStyle w:val="ListParagraph"/>
        <w:numPr>
          <w:ilvl w:val="0"/>
          <w:numId w:val="44"/>
        </w:numPr>
        <w:tabs>
          <w:tab w:pos="1061" w:val="left" w:leader="none"/>
        </w:tabs>
        <w:spacing w:line="364" w:lineRule="auto" w:before="0" w:after="0"/>
        <w:ind w:left="640" w:right="4685" w:firstLine="0"/>
        <w:jc w:val="left"/>
        <w:rPr>
          <w:sz w:val="21"/>
        </w:rPr>
      </w:pPr>
      <w:r>
        <w:rPr>
          <w:spacing w:val="-1"/>
          <w:sz w:val="21"/>
        </w:rPr>
        <w:t>在基金托管人更换时，提名新的基金托管人； </w:t>
      </w:r>
      <w:r>
        <w:rPr>
          <w:sz w:val="21"/>
        </w:rPr>
        <w:t>(13)依法召集基金份额持有人大会；</w:t>
      </w:r>
    </w:p>
    <w:p>
      <w:pPr>
        <w:pStyle w:val="BodyText"/>
        <w:spacing w:line="268" w:lineRule="exact"/>
      </w:pPr>
      <w:r>
        <w:rPr/>
        <w:t>(14)法律法规和基金合同规定的其他权利。</w:t>
      </w:r>
    </w:p>
    <w:p>
      <w:pPr>
        <w:pStyle w:val="Heading4"/>
        <w:spacing w:before="67"/>
        <w:ind w:left="640"/>
      </w:pPr>
      <w:r>
        <w:rPr/>
        <w:t>2、基金管理人的义务</w:t>
      </w:r>
    </w:p>
    <w:p>
      <w:pPr>
        <w:pStyle w:val="BodyText"/>
        <w:spacing w:before="92"/>
      </w:pPr>
      <w:r>
        <w:rPr/>
        <w:t>根据《基金法》及其他有关法律法规，基金管理人的义务为：</w:t>
      </w:r>
    </w:p>
    <w:p>
      <w:pPr>
        <w:pStyle w:val="ListParagraph"/>
        <w:numPr>
          <w:ilvl w:val="0"/>
          <w:numId w:val="45"/>
        </w:numPr>
        <w:tabs>
          <w:tab w:pos="956" w:val="left" w:leader="none"/>
        </w:tabs>
        <w:spacing w:line="364" w:lineRule="auto" w:before="139" w:after="0"/>
        <w:ind w:left="220" w:right="1418" w:firstLine="420"/>
        <w:jc w:val="left"/>
        <w:rPr>
          <w:sz w:val="21"/>
        </w:rPr>
      </w:pPr>
      <w:r>
        <w:rPr>
          <w:sz w:val="21"/>
        </w:rPr>
        <w:t>依法募集基金，办理或者委托经中国证监会认定的其他机构代为办理基金份额的发售、申购、赎回和登记事宜；</w:t>
      </w:r>
    </w:p>
    <w:p>
      <w:pPr>
        <w:pStyle w:val="ListParagraph"/>
        <w:numPr>
          <w:ilvl w:val="0"/>
          <w:numId w:val="45"/>
        </w:numPr>
        <w:tabs>
          <w:tab w:pos="956" w:val="left" w:leader="none"/>
        </w:tabs>
        <w:spacing w:line="268" w:lineRule="exact" w:before="0" w:after="0"/>
        <w:ind w:left="956" w:right="0" w:hanging="316"/>
        <w:jc w:val="left"/>
        <w:rPr>
          <w:sz w:val="21"/>
        </w:rPr>
      </w:pPr>
      <w:r>
        <w:rPr>
          <w:sz w:val="21"/>
        </w:rPr>
        <w:t>办理基金备案手续；</w:t>
      </w:r>
    </w:p>
    <w:p>
      <w:pPr>
        <w:pStyle w:val="ListParagraph"/>
        <w:numPr>
          <w:ilvl w:val="0"/>
          <w:numId w:val="45"/>
        </w:numPr>
        <w:tabs>
          <w:tab w:pos="956" w:val="left" w:leader="none"/>
        </w:tabs>
        <w:spacing w:line="240" w:lineRule="auto" w:before="140" w:after="0"/>
        <w:ind w:left="956" w:right="0" w:hanging="316"/>
        <w:jc w:val="left"/>
        <w:rPr>
          <w:sz w:val="21"/>
        </w:rPr>
      </w:pPr>
      <w:r>
        <w:rPr>
          <w:sz w:val="21"/>
        </w:rPr>
        <w:t>自基金合同生效之日起，以诚实信用、勤勉尽责的原则管理和运用基金财产；</w:t>
      </w:r>
    </w:p>
    <w:p>
      <w:pPr>
        <w:pStyle w:val="ListParagraph"/>
        <w:numPr>
          <w:ilvl w:val="0"/>
          <w:numId w:val="45"/>
        </w:numPr>
        <w:tabs>
          <w:tab w:pos="956" w:val="left" w:leader="none"/>
        </w:tabs>
        <w:spacing w:line="240" w:lineRule="auto" w:before="139" w:after="0"/>
        <w:ind w:left="956" w:right="0" w:hanging="316"/>
        <w:jc w:val="left"/>
        <w:rPr>
          <w:sz w:val="21"/>
        </w:rPr>
      </w:pPr>
      <w:r>
        <w:rPr>
          <w:sz w:val="21"/>
        </w:rPr>
        <w:t>配备足够的具有专业资格的人员进行基金投资分析、决策，以专业化的经营方式管</w:t>
      </w:r>
    </w:p>
    <w:p>
      <w:pPr>
        <w:spacing w:after="0" w:line="240" w:lineRule="auto"/>
        <w:jc w:val="left"/>
        <w:rPr>
          <w:sz w:val="21"/>
        </w:rPr>
        <w:sectPr>
          <w:pgSz w:w="11910" w:h="16840"/>
          <w:pgMar w:header="0" w:footer="664" w:top="1380" w:bottom="940" w:left="1580" w:right="380"/>
        </w:sectPr>
      </w:pPr>
    </w:p>
    <w:p>
      <w:pPr>
        <w:pStyle w:val="BodyText"/>
        <w:spacing w:before="45"/>
        <w:ind w:left="220"/>
      </w:pPr>
      <w:r>
        <w:rPr/>
        <w:t>理和运作基金财产；</w:t>
      </w:r>
    </w:p>
    <w:p>
      <w:pPr>
        <w:pStyle w:val="ListParagraph"/>
        <w:numPr>
          <w:ilvl w:val="0"/>
          <w:numId w:val="45"/>
        </w:numPr>
        <w:tabs>
          <w:tab w:pos="956" w:val="left" w:leader="none"/>
        </w:tabs>
        <w:spacing w:line="364" w:lineRule="auto" w:before="139" w:after="0"/>
        <w:ind w:left="220" w:right="1417" w:firstLine="420"/>
        <w:jc w:val="both"/>
        <w:rPr>
          <w:sz w:val="21"/>
        </w:rPr>
      </w:pPr>
      <w:r>
        <w:rPr>
          <w:sz w:val="21"/>
        </w:rPr>
        <w:t>建立健全内部风险控制、监察与稽核、财务管理及人事管理等制度，保证所管理的</w:t>
      </w:r>
      <w:r>
        <w:rPr>
          <w:spacing w:val="-5"/>
          <w:sz w:val="21"/>
        </w:rPr>
        <w:t>基金财产和管理人的财产相互独立，对所管理的不同基金分别管理，分别记账，进行证券投</w:t>
      </w:r>
      <w:r>
        <w:rPr>
          <w:sz w:val="21"/>
        </w:rPr>
        <w:t>资；</w:t>
      </w:r>
    </w:p>
    <w:p>
      <w:pPr>
        <w:pStyle w:val="ListParagraph"/>
        <w:numPr>
          <w:ilvl w:val="0"/>
          <w:numId w:val="45"/>
        </w:numPr>
        <w:tabs>
          <w:tab w:pos="956" w:val="left" w:leader="none"/>
        </w:tabs>
        <w:spacing w:line="364" w:lineRule="auto" w:before="0" w:after="0"/>
        <w:ind w:left="220" w:right="1312" w:firstLine="420"/>
        <w:jc w:val="left"/>
        <w:rPr>
          <w:sz w:val="21"/>
        </w:rPr>
      </w:pPr>
      <w:r>
        <w:rPr>
          <w:spacing w:val="-20"/>
          <w:sz w:val="21"/>
        </w:rPr>
        <w:t>除依据《基金法》、基金合同及其他有关规定外，不得为自己及任何第三人谋取利益， </w:t>
      </w:r>
      <w:r>
        <w:rPr>
          <w:sz w:val="21"/>
        </w:rPr>
        <w:t>不得委托第三人运作基金财产；</w:t>
      </w:r>
    </w:p>
    <w:p>
      <w:pPr>
        <w:pStyle w:val="ListParagraph"/>
        <w:numPr>
          <w:ilvl w:val="0"/>
          <w:numId w:val="45"/>
        </w:numPr>
        <w:tabs>
          <w:tab w:pos="956" w:val="left" w:leader="none"/>
        </w:tabs>
        <w:spacing w:line="268" w:lineRule="exact" w:before="0" w:after="0"/>
        <w:ind w:left="956" w:right="0" w:hanging="316"/>
        <w:jc w:val="left"/>
        <w:rPr>
          <w:sz w:val="21"/>
        </w:rPr>
      </w:pPr>
      <w:r>
        <w:rPr>
          <w:sz w:val="21"/>
        </w:rPr>
        <w:t>依法接受基金托管人的监督；</w:t>
      </w:r>
    </w:p>
    <w:p>
      <w:pPr>
        <w:pStyle w:val="ListParagraph"/>
        <w:numPr>
          <w:ilvl w:val="0"/>
          <w:numId w:val="45"/>
        </w:numPr>
        <w:tabs>
          <w:tab w:pos="956" w:val="left" w:leader="none"/>
        </w:tabs>
        <w:spacing w:line="240" w:lineRule="auto" w:before="138" w:after="0"/>
        <w:ind w:left="956" w:right="0" w:hanging="316"/>
        <w:jc w:val="left"/>
        <w:rPr>
          <w:sz w:val="21"/>
        </w:rPr>
      </w:pPr>
      <w:r>
        <w:rPr>
          <w:sz w:val="21"/>
        </w:rPr>
        <w:t>计算并公告基金净值信息，确定基金份额申购、赎回价格；</w:t>
      </w:r>
    </w:p>
    <w:p>
      <w:pPr>
        <w:pStyle w:val="ListParagraph"/>
        <w:numPr>
          <w:ilvl w:val="0"/>
          <w:numId w:val="45"/>
        </w:numPr>
        <w:tabs>
          <w:tab w:pos="956" w:val="left" w:leader="none"/>
        </w:tabs>
        <w:spacing w:line="364" w:lineRule="auto" w:before="140" w:after="0"/>
        <w:ind w:left="220" w:right="1418" w:firstLine="420"/>
        <w:jc w:val="left"/>
        <w:rPr>
          <w:sz w:val="21"/>
        </w:rPr>
      </w:pPr>
      <w:r>
        <w:rPr>
          <w:sz w:val="21"/>
        </w:rPr>
        <w:t>采取适当合理的措施使计算基金份额认购、申购、赎回和注销价格的方法符合基金合同等法律文件的规定；</w:t>
      </w:r>
    </w:p>
    <w:p>
      <w:pPr>
        <w:pStyle w:val="ListParagraph"/>
        <w:numPr>
          <w:ilvl w:val="0"/>
          <w:numId w:val="45"/>
        </w:numPr>
        <w:tabs>
          <w:tab w:pos="1061" w:val="left" w:leader="none"/>
        </w:tabs>
        <w:spacing w:line="364" w:lineRule="auto" w:before="0" w:after="0"/>
        <w:ind w:left="640" w:right="3635" w:firstLine="0"/>
        <w:jc w:val="left"/>
        <w:rPr>
          <w:sz w:val="21"/>
        </w:rPr>
      </w:pPr>
      <w:r>
        <w:rPr>
          <w:spacing w:val="-1"/>
          <w:sz w:val="21"/>
        </w:rPr>
        <w:t>按规定受理申购和赎回申请，及时、足额支付赎回款项； </w:t>
      </w:r>
      <w:r>
        <w:rPr>
          <w:sz w:val="21"/>
        </w:rPr>
        <w:t>(11)进行基金会计核算并编制基金财务会计报告；</w:t>
      </w:r>
    </w:p>
    <w:p>
      <w:pPr>
        <w:pStyle w:val="ListParagraph"/>
        <w:numPr>
          <w:ilvl w:val="0"/>
          <w:numId w:val="46"/>
        </w:numPr>
        <w:tabs>
          <w:tab w:pos="1061" w:val="left" w:leader="none"/>
        </w:tabs>
        <w:spacing w:line="268" w:lineRule="exact" w:before="0" w:after="0"/>
        <w:ind w:left="1061" w:right="0" w:hanging="421"/>
        <w:jc w:val="left"/>
        <w:rPr>
          <w:sz w:val="21"/>
        </w:rPr>
      </w:pPr>
      <w:r>
        <w:rPr>
          <w:sz w:val="21"/>
        </w:rPr>
        <w:t>编制中期报告和年度报告；</w:t>
      </w:r>
    </w:p>
    <w:p>
      <w:pPr>
        <w:pStyle w:val="ListParagraph"/>
        <w:numPr>
          <w:ilvl w:val="0"/>
          <w:numId w:val="46"/>
        </w:numPr>
        <w:tabs>
          <w:tab w:pos="1061" w:val="left" w:leader="none"/>
        </w:tabs>
        <w:spacing w:line="364" w:lineRule="auto" w:before="138" w:after="0"/>
        <w:ind w:left="640" w:right="1418" w:firstLine="0"/>
        <w:jc w:val="left"/>
        <w:rPr>
          <w:sz w:val="21"/>
        </w:rPr>
      </w:pPr>
      <w:r>
        <w:rPr>
          <w:spacing w:val="-10"/>
          <w:sz w:val="21"/>
        </w:rPr>
        <w:t>严格按照《基金法》、基金合同及其他有关规定，履行信息披露及报告义务； (14)</w:t>
      </w:r>
      <w:r>
        <w:rPr>
          <w:spacing w:val="-13"/>
          <w:sz w:val="21"/>
        </w:rPr>
        <w:t>保守基金商业秘密，不得泄露基金投资计划、投资意向等，除《基金法》、基金合</w:t>
      </w:r>
    </w:p>
    <w:p>
      <w:pPr>
        <w:pStyle w:val="BodyText"/>
        <w:spacing w:line="268" w:lineRule="exact"/>
        <w:ind w:left="220"/>
      </w:pPr>
      <w:r>
        <w:rPr/>
        <w:t>同及其他有关规定另有规定外，在基金信息公开披露前应予保密，不得向他人泄露；</w:t>
      </w:r>
    </w:p>
    <w:p>
      <w:pPr>
        <w:pStyle w:val="BodyText"/>
        <w:spacing w:line="364" w:lineRule="auto" w:before="140"/>
        <w:ind w:right="1418"/>
      </w:pPr>
      <w:r>
        <w:rPr/>
        <w:t>(15)按照基金合同的约定确定基金收益分配方案，及时向基金份额持有人分配收益； (16)</w:t>
      </w:r>
      <w:r>
        <w:rPr>
          <w:spacing w:val="-11"/>
        </w:rPr>
        <w:t>依据《基金法》、基金合同及其他有关规定召集基金份额持有人大会或配合基金托</w:t>
      </w:r>
    </w:p>
    <w:p>
      <w:pPr>
        <w:pStyle w:val="BodyText"/>
        <w:spacing w:line="268" w:lineRule="exact"/>
        <w:ind w:left="220"/>
      </w:pPr>
      <w:r>
        <w:rPr/>
        <w:t>管人、基金份额持有人依法召集基金份额持有人大会；</w:t>
      </w:r>
    </w:p>
    <w:p>
      <w:pPr>
        <w:pStyle w:val="ListParagraph"/>
        <w:numPr>
          <w:ilvl w:val="0"/>
          <w:numId w:val="47"/>
        </w:numPr>
        <w:tabs>
          <w:tab w:pos="1061" w:val="left" w:leader="none"/>
        </w:tabs>
        <w:spacing w:line="240" w:lineRule="auto" w:before="139" w:after="0"/>
        <w:ind w:left="1061" w:right="0" w:hanging="421"/>
        <w:jc w:val="left"/>
        <w:rPr>
          <w:sz w:val="21"/>
        </w:rPr>
      </w:pPr>
      <w:r>
        <w:rPr>
          <w:sz w:val="21"/>
        </w:rPr>
        <w:t>保存基金财产管理业务活动的记录、账册、报表和其他相关资料；</w:t>
      </w:r>
    </w:p>
    <w:p>
      <w:pPr>
        <w:pStyle w:val="ListParagraph"/>
        <w:numPr>
          <w:ilvl w:val="0"/>
          <w:numId w:val="47"/>
        </w:numPr>
        <w:tabs>
          <w:tab w:pos="1061" w:val="left" w:leader="none"/>
        </w:tabs>
        <w:spacing w:line="364" w:lineRule="auto" w:before="140" w:after="0"/>
        <w:ind w:left="640" w:right="1271" w:firstLine="0"/>
        <w:jc w:val="both"/>
        <w:rPr>
          <w:sz w:val="21"/>
        </w:rPr>
      </w:pPr>
      <w:r>
        <w:rPr>
          <w:spacing w:val="-13"/>
          <w:sz w:val="21"/>
        </w:rPr>
        <w:t>以基金管理人名义，代表基金份额持有人利益行使诉讼权利或者实施其他法律行为； </w:t>
      </w:r>
      <w:r>
        <w:rPr>
          <w:sz w:val="21"/>
        </w:rPr>
        <w:t>(19)组织并参加基金财产清算小组，参与基金财产的保管、清理、估价、变现和分配； (20)</w:t>
      </w:r>
      <w:r>
        <w:rPr>
          <w:spacing w:val="-4"/>
          <w:sz w:val="21"/>
        </w:rPr>
        <w:t>因违反基金合同导致基金财产的损失或损害基金份额持有人合法权益，应当承担赔</w:t>
      </w:r>
    </w:p>
    <w:p>
      <w:pPr>
        <w:pStyle w:val="BodyText"/>
        <w:spacing w:line="268" w:lineRule="exact"/>
        <w:ind w:left="220"/>
      </w:pPr>
      <w:r>
        <w:rPr/>
        <w:t>偿责任，其赔偿责任不因其退任而免除；</w:t>
      </w:r>
    </w:p>
    <w:p>
      <w:pPr>
        <w:pStyle w:val="ListParagraph"/>
        <w:numPr>
          <w:ilvl w:val="0"/>
          <w:numId w:val="48"/>
        </w:numPr>
        <w:tabs>
          <w:tab w:pos="1061" w:val="left" w:leader="none"/>
        </w:tabs>
        <w:spacing w:line="364" w:lineRule="auto" w:before="139" w:after="0"/>
        <w:ind w:left="220" w:right="1418" w:firstLine="420"/>
        <w:jc w:val="left"/>
        <w:rPr>
          <w:sz w:val="21"/>
        </w:rPr>
      </w:pPr>
      <w:r>
        <w:rPr>
          <w:spacing w:val="-6"/>
          <w:sz w:val="21"/>
        </w:rPr>
        <w:t>基金托管人违反基金合同造成基金财产损失时，应为基金份额持有人利益向基金托</w:t>
      </w:r>
      <w:r>
        <w:rPr>
          <w:sz w:val="21"/>
        </w:rPr>
        <w:t>管人追偿；</w:t>
      </w:r>
    </w:p>
    <w:p>
      <w:pPr>
        <w:pStyle w:val="ListParagraph"/>
        <w:numPr>
          <w:ilvl w:val="0"/>
          <w:numId w:val="48"/>
        </w:numPr>
        <w:tabs>
          <w:tab w:pos="1061" w:val="left" w:leader="none"/>
        </w:tabs>
        <w:spacing w:line="268" w:lineRule="exact" w:before="0" w:after="0"/>
        <w:ind w:left="1061" w:right="0" w:hanging="421"/>
        <w:jc w:val="left"/>
        <w:rPr>
          <w:sz w:val="21"/>
        </w:rPr>
      </w:pPr>
      <w:r>
        <w:rPr>
          <w:sz w:val="21"/>
        </w:rPr>
        <w:t>按规定向基金托管人提供基金份额持有人名册资料；</w:t>
      </w:r>
    </w:p>
    <w:p>
      <w:pPr>
        <w:pStyle w:val="ListParagraph"/>
        <w:numPr>
          <w:ilvl w:val="0"/>
          <w:numId w:val="48"/>
        </w:numPr>
        <w:tabs>
          <w:tab w:pos="1061" w:val="left" w:leader="none"/>
        </w:tabs>
        <w:spacing w:line="364" w:lineRule="auto" w:before="140" w:after="0"/>
        <w:ind w:left="220" w:right="1418" w:firstLine="420"/>
        <w:jc w:val="left"/>
        <w:rPr>
          <w:sz w:val="21"/>
        </w:rPr>
      </w:pPr>
      <w:r>
        <w:rPr>
          <w:spacing w:val="-10"/>
          <w:sz w:val="21"/>
        </w:rPr>
        <w:t>面临解散、依法被撤销或者被依法宣告破产时，及时报告中国证监会并通知基金托</w:t>
      </w:r>
      <w:r>
        <w:rPr>
          <w:sz w:val="21"/>
        </w:rPr>
        <w:t>管人；</w:t>
      </w:r>
    </w:p>
    <w:p>
      <w:pPr>
        <w:pStyle w:val="ListParagraph"/>
        <w:numPr>
          <w:ilvl w:val="0"/>
          <w:numId w:val="48"/>
        </w:numPr>
        <w:tabs>
          <w:tab w:pos="1061" w:val="left" w:leader="none"/>
        </w:tabs>
        <w:spacing w:line="268" w:lineRule="exact" w:before="0" w:after="0"/>
        <w:ind w:left="1061" w:right="0" w:hanging="421"/>
        <w:jc w:val="left"/>
        <w:rPr>
          <w:sz w:val="21"/>
        </w:rPr>
      </w:pPr>
      <w:r>
        <w:rPr>
          <w:sz w:val="21"/>
        </w:rPr>
        <w:t>执行生效的基金份额持有人大会决议；</w:t>
      </w:r>
    </w:p>
    <w:p>
      <w:pPr>
        <w:pStyle w:val="ListParagraph"/>
        <w:numPr>
          <w:ilvl w:val="0"/>
          <w:numId w:val="48"/>
        </w:numPr>
        <w:tabs>
          <w:tab w:pos="1061" w:val="left" w:leader="none"/>
        </w:tabs>
        <w:spacing w:line="240" w:lineRule="auto" w:before="139" w:after="0"/>
        <w:ind w:left="1061" w:right="0" w:hanging="421"/>
        <w:jc w:val="left"/>
        <w:rPr>
          <w:sz w:val="21"/>
        </w:rPr>
      </w:pPr>
      <w:r>
        <w:rPr>
          <w:sz w:val="21"/>
        </w:rPr>
        <w:t>不从事任何有损基金及其他基金当事人利益的活动；</w:t>
      </w:r>
    </w:p>
    <w:p>
      <w:pPr>
        <w:pStyle w:val="ListParagraph"/>
        <w:numPr>
          <w:ilvl w:val="0"/>
          <w:numId w:val="48"/>
        </w:numPr>
        <w:tabs>
          <w:tab w:pos="1061" w:val="left" w:leader="none"/>
        </w:tabs>
        <w:spacing w:line="364" w:lineRule="auto" w:before="139" w:after="0"/>
        <w:ind w:left="220" w:right="1418" w:firstLine="420"/>
        <w:jc w:val="left"/>
        <w:rPr>
          <w:sz w:val="21"/>
        </w:rPr>
      </w:pPr>
      <w:r>
        <w:rPr>
          <w:spacing w:val="-5"/>
          <w:sz w:val="21"/>
        </w:rPr>
        <w:t>依照法律法规为基金的利益对被投资公司行使股东权利，为基金的利益行使因基金</w:t>
      </w:r>
      <w:r>
        <w:rPr>
          <w:sz w:val="21"/>
        </w:rPr>
        <w:t>财产投资于证券所产生的权利，不谋求对上市公司的控股和直接管理；</w:t>
      </w:r>
    </w:p>
    <w:p>
      <w:pPr>
        <w:pStyle w:val="ListParagraph"/>
        <w:numPr>
          <w:ilvl w:val="0"/>
          <w:numId w:val="48"/>
        </w:numPr>
        <w:tabs>
          <w:tab w:pos="1061" w:val="left" w:leader="none"/>
        </w:tabs>
        <w:spacing w:line="268" w:lineRule="exact" w:before="0" w:after="0"/>
        <w:ind w:left="1061" w:right="0" w:hanging="421"/>
        <w:jc w:val="left"/>
        <w:rPr>
          <w:sz w:val="21"/>
        </w:rPr>
      </w:pPr>
      <w:r>
        <w:rPr>
          <w:sz w:val="21"/>
        </w:rPr>
        <w:t>法律法规、中国证监会和基金合同规定的其他义务。</w:t>
      </w:r>
    </w:p>
    <w:p>
      <w:pPr>
        <w:spacing w:after="0" w:line="268" w:lineRule="exact"/>
        <w:jc w:val="left"/>
        <w:rPr>
          <w:sz w:val="21"/>
        </w:rPr>
        <w:sectPr>
          <w:pgSz w:w="11910" w:h="16840"/>
          <w:pgMar w:header="0" w:footer="664" w:top="1380" w:bottom="940" w:left="1580" w:right="380"/>
        </w:sectPr>
      </w:pPr>
    </w:p>
    <w:p>
      <w:pPr>
        <w:pStyle w:val="Heading3"/>
        <w:spacing w:before="46"/>
      </w:pPr>
      <w:bookmarkStart w:name="_bookmark105" w:id="106"/>
      <w:bookmarkEnd w:id="106"/>
      <w:r>
        <w:rPr/>
      </w:r>
      <w:r>
        <w:rPr/>
        <w:t>(二)基金托管人的权利和义务</w:t>
      </w:r>
    </w:p>
    <w:p>
      <w:pPr>
        <w:pStyle w:val="Heading4"/>
        <w:spacing w:before="116"/>
        <w:ind w:left="640"/>
      </w:pPr>
      <w:r>
        <w:rPr/>
        <w:t>1、基金托管人的权利</w:t>
      </w:r>
    </w:p>
    <w:p>
      <w:pPr>
        <w:pStyle w:val="BodyText"/>
        <w:spacing w:before="91"/>
      </w:pPr>
      <w:r>
        <w:rPr/>
        <w:t>根据《基金法》及其他有关法律法规，基金托管人的权利为：</w:t>
      </w:r>
    </w:p>
    <w:p>
      <w:pPr>
        <w:pStyle w:val="BodyText"/>
        <w:spacing w:line="364" w:lineRule="auto" w:before="140"/>
        <w:ind w:right="1625"/>
      </w:pPr>
      <w:r>
        <w:rPr/>
        <w:t>(1)依基金合同约定获得基金托管费以及法律法规规定或监管部门批准的其他收入； (2)监督基金管理人对本基金的投资运作；</w:t>
      </w:r>
    </w:p>
    <w:p>
      <w:pPr>
        <w:pStyle w:val="BodyText"/>
        <w:spacing w:line="364" w:lineRule="auto"/>
        <w:ind w:right="4565"/>
      </w:pPr>
      <w:r>
        <w:rPr/>
        <w:t>(3)自本基金合同生效之日起，依法保管基金资产； (4)在基金管理人更换时，提名新任基金管理人；</w:t>
      </w:r>
    </w:p>
    <w:p>
      <w:pPr>
        <w:pStyle w:val="ListParagraph"/>
        <w:numPr>
          <w:ilvl w:val="0"/>
          <w:numId w:val="49"/>
        </w:numPr>
        <w:tabs>
          <w:tab w:pos="956" w:val="left" w:leader="none"/>
        </w:tabs>
        <w:spacing w:line="364" w:lineRule="auto" w:before="0" w:after="0"/>
        <w:ind w:left="220" w:right="1417" w:firstLine="420"/>
        <w:jc w:val="both"/>
        <w:rPr>
          <w:sz w:val="21"/>
        </w:rPr>
      </w:pPr>
      <w:r>
        <w:rPr>
          <w:sz w:val="21"/>
        </w:rPr>
        <w:t>根据本基金合同及有关规定监督基金管理人，对于基金管理人违反本基金合同或有</w:t>
      </w:r>
      <w:r>
        <w:rPr>
          <w:spacing w:val="-7"/>
          <w:sz w:val="21"/>
        </w:rPr>
        <w:t>关法律法规规定的行为，对基金资产、其他当事人的利益造成重大损失的情形，应及时呈报</w:t>
      </w:r>
      <w:r>
        <w:rPr>
          <w:sz w:val="21"/>
        </w:rPr>
        <w:t>中国证监会，并采取必要措施保护基金及相关当事人的利益；</w:t>
      </w:r>
    </w:p>
    <w:p>
      <w:pPr>
        <w:pStyle w:val="ListParagraph"/>
        <w:numPr>
          <w:ilvl w:val="0"/>
          <w:numId w:val="49"/>
        </w:numPr>
        <w:tabs>
          <w:tab w:pos="956" w:val="left" w:leader="none"/>
        </w:tabs>
        <w:spacing w:line="268" w:lineRule="exact" w:before="0" w:after="0"/>
        <w:ind w:left="956" w:right="0" w:hanging="316"/>
        <w:jc w:val="left"/>
        <w:rPr>
          <w:sz w:val="21"/>
        </w:rPr>
      </w:pPr>
      <w:r>
        <w:rPr>
          <w:sz w:val="21"/>
        </w:rPr>
        <w:t>依法召集基金份额持有人大会；</w:t>
      </w:r>
    </w:p>
    <w:p>
      <w:pPr>
        <w:pStyle w:val="ListParagraph"/>
        <w:numPr>
          <w:ilvl w:val="0"/>
          <w:numId w:val="49"/>
        </w:numPr>
        <w:tabs>
          <w:tab w:pos="956" w:val="left" w:leader="none"/>
        </w:tabs>
        <w:spacing w:line="408" w:lineRule="exact" w:before="21" w:after="0"/>
        <w:ind w:left="640" w:right="5420" w:firstLine="0"/>
        <w:jc w:val="both"/>
        <w:rPr>
          <w:rFonts w:ascii="Microsoft JhengHei" w:eastAsia="Microsoft JhengHei" w:hint="eastAsia"/>
          <w:b/>
          <w:sz w:val="21"/>
        </w:rPr>
      </w:pPr>
      <w:r>
        <w:rPr>
          <w:spacing w:val="-2"/>
          <w:sz w:val="21"/>
        </w:rPr>
        <w:t>按规定取得基金份额持有人名册资料； </w:t>
      </w:r>
      <w:r>
        <w:rPr>
          <w:sz w:val="21"/>
        </w:rPr>
        <w:t>(8)</w:t>
      </w:r>
      <w:r>
        <w:rPr>
          <w:spacing w:val="-2"/>
          <w:sz w:val="21"/>
        </w:rPr>
        <w:t>法律法规和基金合同规定的其他权利。</w:t>
      </w:r>
      <w:r>
        <w:rPr>
          <w:rFonts w:ascii="Microsoft JhengHei" w:eastAsia="Microsoft JhengHei" w:hint="eastAsia"/>
          <w:b/>
          <w:sz w:val="21"/>
        </w:rPr>
        <w:t>2、基金托管人的义务</w:t>
      </w:r>
    </w:p>
    <w:p>
      <w:pPr>
        <w:pStyle w:val="BodyText"/>
        <w:spacing w:before="118"/>
      </w:pPr>
      <w:r>
        <w:rPr/>
        <w:t>根据《基金法》及其他有关法律法规，基金托管人的义务为：</w:t>
      </w:r>
    </w:p>
    <w:p>
      <w:pPr>
        <w:pStyle w:val="ListParagraph"/>
        <w:numPr>
          <w:ilvl w:val="0"/>
          <w:numId w:val="50"/>
        </w:numPr>
        <w:tabs>
          <w:tab w:pos="956" w:val="left" w:leader="none"/>
        </w:tabs>
        <w:spacing w:line="240" w:lineRule="auto" w:before="139" w:after="0"/>
        <w:ind w:left="956" w:right="0" w:hanging="316"/>
        <w:jc w:val="left"/>
        <w:rPr>
          <w:sz w:val="21"/>
        </w:rPr>
      </w:pPr>
      <w:r>
        <w:rPr>
          <w:sz w:val="21"/>
        </w:rPr>
        <w:t>安全保管基金财产；</w:t>
      </w:r>
    </w:p>
    <w:p>
      <w:pPr>
        <w:pStyle w:val="ListParagraph"/>
        <w:numPr>
          <w:ilvl w:val="0"/>
          <w:numId w:val="50"/>
        </w:numPr>
        <w:tabs>
          <w:tab w:pos="956" w:val="left" w:leader="none"/>
        </w:tabs>
        <w:spacing w:line="364" w:lineRule="auto" w:before="140" w:after="0"/>
        <w:ind w:left="220" w:right="1418" w:firstLine="420"/>
        <w:jc w:val="left"/>
        <w:rPr>
          <w:sz w:val="21"/>
        </w:rPr>
      </w:pPr>
      <w:r>
        <w:rPr>
          <w:sz w:val="21"/>
        </w:rPr>
        <w:t>设立专门的基金托管部，具有符合要求的营业场所，配备足够的、合格的熟悉基金托管业务的专职人员，负责基金财产托管事宜；</w:t>
      </w:r>
    </w:p>
    <w:p>
      <w:pPr>
        <w:pStyle w:val="ListParagraph"/>
        <w:numPr>
          <w:ilvl w:val="0"/>
          <w:numId w:val="50"/>
        </w:numPr>
        <w:tabs>
          <w:tab w:pos="956" w:val="left" w:leader="none"/>
        </w:tabs>
        <w:spacing w:line="268" w:lineRule="exact" w:before="0" w:after="0"/>
        <w:ind w:left="956" w:right="0" w:hanging="316"/>
        <w:jc w:val="left"/>
        <w:rPr>
          <w:sz w:val="21"/>
        </w:rPr>
      </w:pPr>
      <w:r>
        <w:rPr>
          <w:sz w:val="21"/>
        </w:rPr>
        <w:t>对所托管的不同基金财产分别设置账户，确保基金财产的完整与独立；</w:t>
      </w:r>
    </w:p>
    <w:p>
      <w:pPr>
        <w:pStyle w:val="ListParagraph"/>
        <w:numPr>
          <w:ilvl w:val="0"/>
          <w:numId w:val="50"/>
        </w:numPr>
        <w:tabs>
          <w:tab w:pos="956" w:val="left" w:leader="none"/>
        </w:tabs>
        <w:spacing w:line="364" w:lineRule="auto" w:before="139" w:after="0"/>
        <w:ind w:left="220" w:right="1312" w:firstLine="420"/>
        <w:jc w:val="left"/>
        <w:rPr>
          <w:sz w:val="21"/>
        </w:rPr>
      </w:pPr>
      <w:r>
        <w:rPr>
          <w:spacing w:val="-20"/>
          <w:sz w:val="21"/>
        </w:rPr>
        <w:t>除依据《基金法》、基金合同及其他有关规定外，不得为自己及任何第三人谋取利益， </w:t>
      </w:r>
      <w:r>
        <w:rPr>
          <w:sz w:val="21"/>
        </w:rPr>
        <w:t>不得委托第三人托管基金财产；</w:t>
      </w:r>
    </w:p>
    <w:p>
      <w:pPr>
        <w:pStyle w:val="ListParagraph"/>
        <w:numPr>
          <w:ilvl w:val="0"/>
          <w:numId w:val="50"/>
        </w:numPr>
        <w:tabs>
          <w:tab w:pos="956" w:val="left" w:leader="none"/>
        </w:tabs>
        <w:spacing w:line="364" w:lineRule="auto" w:before="0" w:after="0"/>
        <w:ind w:left="640" w:right="2480" w:firstLine="0"/>
        <w:jc w:val="left"/>
        <w:rPr>
          <w:sz w:val="21"/>
        </w:rPr>
      </w:pPr>
      <w:r>
        <w:rPr>
          <w:spacing w:val="-1"/>
          <w:sz w:val="21"/>
        </w:rPr>
        <w:t>保管由基金管理人代表基金签订的与基金有关的重大合同及有关凭证； </w:t>
      </w:r>
      <w:r>
        <w:rPr>
          <w:sz w:val="21"/>
        </w:rPr>
        <w:t>(6)按规定开设基金财产的资金账户和证券账户；</w:t>
      </w:r>
    </w:p>
    <w:p>
      <w:pPr>
        <w:pStyle w:val="ListParagraph"/>
        <w:numPr>
          <w:ilvl w:val="0"/>
          <w:numId w:val="51"/>
        </w:numPr>
        <w:tabs>
          <w:tab w:pos="956" w:val="left" w:leader="none"/>
        </w:tabs>
        <w:spacing w:line="364" w:lineRule="auto" w:before="0" w:after="0"/>
        <w:ind w:left="220" w:right="1418" w:firstLine="420"/>
        <w:jc w:val="left"/>
        <w:rPr>
          <w:sz w:val="21"/>
        </w:rPr>
      </w:pPr>
      <w:r>
        <w:rPr>
          <w:spacing w:val="-16"/>
          <w:sz w:val="21"/>
        </w:rPr>
        <w:t>保守基金商业秘密，除《基金法》、基金合同及其他有关规定另有规定外，在基金信</w:t>
      </w:r>
      <w:r>
        <w:rPr>
          <w:sz w:val="21"/>
        </w:rPr>
        <w:t>息公开披露前应予保密，不得向他人泄露；</w:t>
      </w:r>
    </w:p>
    <w:p>
      <w:pPr>
        <w:pStyle w:val="ListParagraph"/>
        <w:numPr>
          <w:ilvl w:val="0"/>
          <w:numId w:val="51"/>
        </w:numPr>
        <w:tabs>
          <w:tab w:pos="956" w:val="left" w:leader="none"/>
        </w:tabs>
        <w:spacing w:line="364" w:lineRule="auto" w:before="0" w:after="0"/>
        <w:ind w:left="220" w:right="1220" w:firstLine="420"/>
        <w:jc w:val="left"/>
        <w:rPr>
          <w:sz w:val="21"/>
        </w:rPr>
      </w:pPr>
      <w:r>
        <w:rPr>
          <w:sz w:val="21"/>
        </w:rPr>
        <w:t>对基金财务会计报告、中期和报告年度报告出具意见，说明基金管理人在各重要方 </w:t>
      </w:r>
      <w:r>
        <w:rPr>
          <w:spacing w:val="-7"/>
          <w:sz w:val="21"/>
        </w:rPr>
        <w:t>面的运作是否严格按照基金合同的规定进行；如果基金管理人有未执行基金合同规定的行为， </w:t>
      </w:r>
      <w:r>
        <w:rPr>
          <w:sz w:val="21"/>
        </w:rPr>
        <w:t>还应当说明基金托管人是否采取了适当的措施；</w:t>
      </w:r>
    </w:p>
    <w:p>
      <w:pPr>
        <w:pStyle w:val="ListParagraph"/>
        <w:numPr>
          <w:ilvl w:val="0"/>
          <w:numId w:val="51"/>
        </w:numPr>
        <w:tabs>
          <w:tab w:pos="956" w:val="left" w:leader="none"/>
        </w:tabs>
        <w:spacing w:line="268" w:lineRule="exact" w:before="0" w:after="0"/>
        <w:ind w:left="956" w:right="0" w:hanging="316"/>
        <w:jc w:val="left"/>
        <w:rPr>
          <w:sz w:val="21"/>
        </w:rPr>
      </w:pPr>
      <w:r>
        <w:rPr>
          <w:sz w:val="21"/>
        </w:rPr>
        <w:t>保存基金托管业务活动的记录、账册、报表和其他相关资料；</w:t>
      </w:r>
    </w:p>
    <w:p>
      <w:pPr>
        <w:pStyle w:val="ListParagraph"/>
        <w:numPr>
          <w:ilvl w:val="0"/>
          <w:numId w:val="51"/>
        </w:numPr>
        <w:tabs>
          <w:tab w:pos="1061" w:val="left" w:leader="none"/>
        </w:tabs>
        <w:spacing w:line="364" w:lineRule="auto" w:before="137" w:after="0"/>
        <w:ind w:left="640" w:right="1535" w:firstLine="0"/>
        <w:jc w:val="left"/>
        <w:rPr>
          <w:sz w:val="21"/>
        </w:rPr>
      </w:pPr>
      <w:r>
        <w:rPr>
          <w:spacing w:val="-1"/>
          <w:sz w:val="21"/>
        </w:rPr>
        <w:t>按照基金合同的约定，根据基金管理人的投资指令，及时办理清算、交割事宜； </w:t>
      </w:r>
      <w:r>
        <w:rPr>
          <w:sz w:val="21"/>
        </w:rPr>
        <w:t>(11)办理与基金托管业务活动有关的信息披露事项；</w:t>
      </w:r>
    </w:p>
    <w:p>
      <w:pPr>
        <w:pStyle w:val="ListParagraph"/>
        <w:numPr>
          <w:ilvl w:val="0"/>
          <w:numId w:val="52"/>
        </w:numPr>
        <w:tabs>
          <w:tab w:pos="1061" w:val="left" w:leader="none"/>
        </w:tabs>
        <w:spacing w:line="364" w:lineRule="auto" w:before="0" w:after="0"/>
        <w:ind w:left="220" w:right="1417" w:firstLine="420"/>
        <w:jc w:val="left"/>
        <w:rPr>
          <w:sz w:val="21"/>
        </w:rPr>
      </w:pPr>
      <w:r>
        <w:rPr>
          <w:spacing w:val="-10"/>
          <w:sz w:val="21"/>
        </w:rPr>
        <w:t>复核、审查基金管理人计算的基金资产净值、基金份额净值和基金份额申购、赎回</w:t>
      </w:r>
      <w:r>
        <w:rPr>
          <w:sz w:val="21"/>
        </w:rPr>
        <w:t>价格；</w:t>
      </w:r>
    </w:p>
    <w:p>
      <w:pPr>
        <w:pStyle w:val="ListParagraph"/>
        <w:numPr>
          <w:ilvl w:val="0"/>
          <w:numId w:val="52"/>
        </w:numPr>
        <w:tabs>
          <w:tab w:pos="1061" w:val="left" w:leader="none"/>
        </w:tabs>
        <w:spacing w:line="268" w:lineRule="exact" w:before="0" w:after="0"/>
        <w:ind w:left="1061" w:right="0" w:hanging="421"/>
        <w:jc w:val="left"/>
        <w:rPr>
          <w:sz w:val="21"/>
        </w:rPr>
      </w:pPr>
      <w:r>
        <w:rPr>
          <w:sz w:val="21"/>
        </w:rPr>
        <w:t>按照规定监督基金管理人的投资运作；</w:t>
      </w:r>
    </w:p>
    <w:p>
      <w:pPr>
        <w:spacing w:after="0" w:line="268" w:lineRule="exact"/>
        <w:jc w:val="left"/>
        <w:rPr>
          <w:sz w:val="21"/>
        </w:rPr>
        <w:sectPr>
          <w:pgSz w:w="11910" w:h="16840"/>
          <w:pgMar w:header="0" w:footer="664" w:top="1380" w:bottom="940" w:left="1580" w:right="380"/>
        </w:sectPr>
      </w:pPr>
    </w:p>
    <w:p>
      <w:pPr>
        <w:pStyle w:val="ListParagraph"/>
        <w:numPr>
          <w:ilvl w:val="0"/>
          <w:numId w:val="52"/>
        </w:numPr>
        <w:tabs>
          <w:tab w:pos="1061" w:val="left" w:leader="none"/>
        </w:tabs>
        <w:spacing w:line="240" w:lineRule="auto" w:before="45" w:after="0"/>
        <w:ind w:left="1061" w:right="0" w:hanging="421"/>
        <w:jc w:val="left"/>
        <w:rPr>
          <w:sz w:val="21"/>
        </w:rPr>
      </w:pPr>
      <w:r>
        <w:rPr>
          <w:sz w:val="21"/>
        </w:rPr>
        <w:t>按规定制作相关账册并与基金管理人核对；</w:t>
      </w:r>
    </w:p>
    <w:p>
      <w:pPr>
        <w:pStyle w:val="ListParagraph"/>
        <w:numPr>
          <w:ilvl w:val="0"/>
          <w:numId w:val="52"/>
        </w:numPr>
        <w:tabs>
          <w:tab w:pos="1061" w:val="left" w:leader="none"/>
        </w:tabs>
        <w:spacing w:line="364" w:lineRule="auto" w:before="139" w:after="0"/>
        <w:ind w:left="640" w:right="1418" w:firstLine="0"/>
        <w:jc w:val="left"/>
        <w:rPr>
          <w:sz w:val="21"/>
        </w:rPr>
      </w:pPr>
      <w:r>
        <w:rPr>
          <w:sz w:val="21"/>
        </w:rPr>
        <w:t>依据基金管理人的指令或有关规定向基金份额持有人支付基金收益和赎回款项； (16)</w:t>
      </w:r>
      <w:r>
        <w:rPr>
          <w:spacing w:val="-5"/>
          <w:sz w:val="21"/>
        </w:rPr>
        <w:t>按照规定召集基金份额持有人大会或配合基金管理人、基金份额持有人依法召集基</w:t>
      </w:r>
    </w:p>
    <w:p>
      <w:pPr>
        <w:pStyle w:val="BodyText"/>
        <w:spacing w:line="268" w:lineRule="exact"/>
        <w:ind w:left="220"/>
      </w:pPr>
      <w:r>
        <w:rPr/>
        <w:t>金份额持有人大会；</w:t>
      </w:r>
    </w:p>
    <w:p>
      <w:pPr>
        <w:pStyle w:val="ListParagraph"/>
        <w:numPr>
          <w:ilvl w:val="0"/>
          <w:numId w:val="53"/>
        </w:numPr>
        <w:tabs>
          <w:tab w:pos="1061" w:val="left" w:leader="none"/>
        </w:tabs>
        <w:spacing w:line="364" w:lineRule="auto" w:before="140" w:after="0"/>
        <w:ind w:left="220" w:right="1418" w:firstLine="420"/>
        <w:jc w:val="left"/>
        <w:rPr>
          <w:sz w:val="21"/>
        </w:rPr>
      </w:pPr>
      <w:r>
        <w:rPr>
          <w:spacing w:val="-6"/>
          <w:sz w:val="21"/>
        </w:rPr>
        <w:t>因违反基金合同导致基金财产损失，应承担赔偿责任，其赔偿责任不因其退任而免</w:t>
      </w:r>
      <w:r>
        <w:rPr>
          <w:sz w:val="21"/>
        </w:rPr>
        <w:t>除；</w:t>
      </w:r>
    </w:p>
    <w:p>
      <w:pPr>
        <w:pStyle w:val="ListParagraph"/>
        <w:numPr>
          <w:ilvl w:val="0"/>
          <w:numId w:val="53"/>
        </w:numPr>
        <w:tabs>
          <w:tab w:pos="1061" w:val="left" w:leader="none"/>
        </w:tabs>
        <w:spacing w:line="364" w:lineRule="auto" w:before="0" w:after="0"/>
        <w:ind w:left="640" w:right="1535" w:firstLine="0"/>
        <w:jc w:val="left"/>
        <w:rPr>
          <w:sz w:val="21"/>
        </w:rPr>
      </w:pPr>
      <w:r>
        <w:rPr>
          <w:spacing w:val="-1"/>
          <w:sz w:val="21"/>
        </w:rPr>
        <w:t>基金管理人因违反基金合同造成基金财产损失时，应为基金向基金管理人追偿； </w:t>
      </w:r>
      <w:r>
        <w:rPr>
          <w:sz w:val="21"/>
        </w:rPr>
        <w:t>(19)参加基金财产清算小组，参与基金财产的保管、清理、估价、变现和分配；</w:t>
      </w:r>
    </w:p>
    <w:p>
      <w:pPr>
        <w:pStyle w:val="ListParagraph"/>
        <w:numPr>
          <w:ilvl w:val="0"/>
          <w:numId w:val="54"/>
        </w:numPr>
        <w:tabs>
          <w:tab w:pos="1061" w:val="left" w:leader="none"/>
        </w:tabs>
        <w:spacing w:line="364" w:lineRule="auto" w:before="0" w:after="0"/>
        <w:ind w:left="220" w:right="1418" w:firstLine="420"/>
        <w:jc w:val="left"/>
        <w:rPr>
          <w:sz w:val="21"/>
        </w:rPr>
      </w:pPr>
      <w:r>
        <w:rPr>
          <w:spacing w:val="-10"/>
          <w:sz w:val="21"/>
        </w:rPr>
        <w:t>面临解散、依法被撤销或者被依法宣告破产时，及时报告中国证监会和银行业监督</w:t>
      </w:r>
      <w:r>
        <w:rPr>
          <w:sz w:val="21"/>
        </w:rPr>
        <w:t>管理机构，并通知基金管理人；</w:t>
      </w:r>
    </w:p>
    <w:p>
      <w:pPr>
        <w:pStyle w:val="ListParagraph"/>
        <w:numPr>
          <w:ilvl w:val="0"/>
          <w:numId w:val="54"/>
        </w:numPr>
        <w:tabs>
          <w:tab w:pos="1061" w:val="left" w:leader="none"/>
        </w:tabs>
        <w:spacing w:line="268" w:lineRule="exact" w:before="0" w:after="0"/>
        <w:ind w:left="1061" w:right="0" w:hanging="421"/>
        <w:jc w:val="left"/>
        <w:rPr>
          <w:sz w:val="21"/>
        </w:rPr>
      </w:pPr>
      <w:r>
        <w:rPr>
          <w:sz w:val="21"/>
        </w:rPr>
        <w:t>执行生效的基金份额持有人大会决议；</w:t>
      </w:r>
    </w:p>
    <w:p>
      <w:pPr>
        <w:pStyle w:val="ListParagraph"/>
        <w:numPr>
          <w:ilvl w:val="0"/>
          <w:numId w:val="54"/>
        </w:numPr>
        <w:tabs>
          <w:tab w:pos="1061" w:val="left" w:leader="none"/>
        </w:tabs>
        <w:spacing w:line="364" w:lineRule="auto" w:before="137" w:after="0"/>
        <w:ind w:left="640" w:right="4055" w:firstLine="0"/>
        <w:jc w:val="left"/>
        <w:rPr>
          <w:sz w:val="21"/>
        </w:rPr>
      </w:pPr>
      <w:r>
        <w:rPr>
          <w:spacing w:val="-1"/>
          <w:sz w:val="21"/>
        </w:rPr>
        <w:t>不从事任何有损基金及其他基金当事人利益的活动； </w:t>
      </w:r>
      <w:r>
        <w:rPr>
          <w:sz w:val="21"/>
        </w:rPr>
        <w:t>(23)建立并保存基金份额持有人名册；</w:t>
      </w:r>
    </w:p>
    <w:p>
      <w:pPr>
        <w:pStyle w:val="BodyText"/>
        <w:spacing w:line="307" w:lineRule="exact"/>
        <w:rPr>
          <w:sz w:val="24"/>
        </w:rPr>
      </w:pPr>
      <w:r>
        <w:rPr/>
        <w:t>(24)法律法规、中国证监会和基金合同规定的其他义务</w:t>
      </w:r>
      <w:r>
        <w:rPr>
          <w:sz w:val="24"/>
        </w:rPr>
        <w:t>。</w:t>
      </w:r>
    </w:p>
    <w:p>
      <w:pPr>
        <w:pStyle w:val="Heading3"/>
        <w:spacing w:before="160"/>
      </w:pPr>
      <w:bookmarkStart w:name="_bookmark106" w:id="107"/>
      <w:bookmarkEnd w:id="107"/>
      <w:r>
        <w:rPr/>
      </w:r>
      <w:r>
        <w:rPr/>
        <w:t>(三)基金份额持有人的权利和义务</w:t>
      </w:r>
    </w:p>
    <w:p>
      <w:pPr>
        <w:pStyle w:val="Heading4"/>
        <w:spacing w:before="116"/>
        <w:ind w:left="640"/>
      </w:pPr>
      <w:r>
        <w:rPr/>
        <w:t>1、基金份额持有人权利</w:t>
      </w:r>
    </w:p>
    <w:p>
      <w:pPr>
        <w:pStyle w:val="BodyText"/>
        <w:spacing w:before="92"/>
      </w:pPr>
      <w:r>
        <w:rPr/>
        <w:t>根据《基金法》及其他有关法律法规，基金份额持有人的权利为：</w:t>
      </w:r>
    </w:p>
    <w:p>
      <w:pPr>
        <w:pStyle w:val="ListParagraph"/>
        <w:numPr>
          <w:ilvl w:val="0"/>
          <w:numId w:val="55"/>
        </w:numPr>
        <w:tabs>
          <w:tab w:pos="956" w:val="left" w:leader="none"/>
        </w:tabs>
        <w:spacing w:line="240" w:lineRule="auto" w:before="139" w:after="0"/>
        <w:ind w:left="956" w:right="0" w:hanging="316"/>
        <w:jc w:val="left"/>
        <w:rPr>
          <w:sz w:val="21"/>
        </w:rPr>
      </w:pPr>
      <w:r>
        <w:rPr>
          <w:sz w:val="21"/>
        </w:rPr>
        <w:t>分享基金财产收益；</w:t>
      </w:r>
    </w:p>
    <w:p>
      <w:pPr>
        <w:pStyle w:val="ListParagraph"/>
        <w:numPr>
          <w:ilvl w:val="0"/>
          <w:numId w:val="55"/>
        </w:numPr>
        <w:tabs>
          <w:tab w:pos="956" w:val="left" w:leader="none"/>
        </w:tabs>
        <w:spacing w:line="364" w:lineRule="auto" w:before="139" w:after="0"/>
        <w:ind w:left="640" w:right="5840" w:firstLine="0"/>
        <w:jc w:val="left"/>
        <w:rPr>
          <w:sz w:val="21"/>
        </w:rPr>
      </w:pPr>
      <w:r>
        <w:rPr>
          <w:spacing w:val="-2"/>
          <w:sz w:val="21"/>
        </w:rPr>
        <w:t>参与分配清算后的剩余基金财产； </w:t>
      </w:r>
      <w:r>
        <w:rPr>
          <w:sz w:val="21"/>
        </w:rPr>
        <w:t>(3)</w:t>
      </w:r>
      <w:r>
        <w:rPr>
          <w:spacing w:val="-2"/>
          <w:sz w:val="21"/>
        </w:rPr>
        <w:t>依法申请赎回其持有的基金份额；</w:t>
      </w:r>
    </w:p>
    <w:p>
      <w:pPr>
        <w:pStyle w:val="ListParagraph"/>
        <w:numPr>
          <w:ilvl w:val="0"/>
          <w:numId w:val="56"/>
        </w:numPr>
        <w:tabs>
          <w:tab w:pos="956" w:val="left" w:leader="none"/>
        </w:tabs>
        <w:spacing w:line="268" w:lineRule="exact" w:before="0" w:after="0"/>
        <w:ind w:left="956" w:right="0" w:hanging="316"/>
        <w:jc w:val="left"/>
        <w:rPr>
          <w:sz w:val="21"/>
        </w:rPr>
      </w:pPr>
      <w:r>
        <w:rPr>
          <w:sz w:val="21"/>
        </w:rPr>
        <w:t>按照规定要求召开基金份额持有人大会；</w:t>
      </w:r>
    </w:p>
    <w:p>
      <w:pPr>
        <w:pStyle w:val="ListParagraph"/>
        <w:numPr>
          <w:ilvl w:val="0"/>
          <w:numId w:val="56"/>
        </w:numPr>
        <w:tabs>
          <w:tab w:pos="956" w:val="left" w:leader="none"/>
        </w:tabs>
        <w:spacing w:line="364" w:lineRule="auto" w:before="140" w:after="0"/>
        <w:ind w:left="220" w:right="1418" w:firstLine="420"/>
        <w:jc w:val="left"/>
        <w:rPr>
          <w:sz w:val="21"/>
        </w:rPr>
      </w:pPr>
      <w:r>
        <w:rPr>
          <w:sz w:val="21"/>
        </w:rPr>
        <w:t>出席或者委派代表出席基金份额持有人大会，对基金份额持有人大会审议事项行使表决权；</w:t>
      </w:r>
    </w:p>
    <w:p>
      <w:pPr>
        <w:pStyle w:val="ListParagraph"/>
        <w:numPr>
          <w:ilvl w:val="0"/>
          <w:numId w:val="56"/>
        </w:numPr>
        <w:tabs>
          <w:tab w:pos="956" w:val="left" w:leader="none"/>
        </w:tabs>
        <w:spacing w:line="364" w:lineRule="auto" w:before="0" w:after="0"/>
        <w:ind w:left="640" w:right="5210" w:firstLine="0"/>
        <w:jc w:val="left"/>
        <w:rPr>
          <w:sz w:val="21"/>
        </w:rPr>
      </w:pPr>
      <w:r>
        <w:rPr>
          <w:spacing w:val="-2"/>
          <w:sz w:val="21"/>
        </w:rPr>
        <w:t>查阅或者复制公开披露的基金信息资料； </w:t>
      </w:r>
      <w:r>
        <w:rPr>
          <w:sz w:val="21"/>
        </w:rPr>
        <w:t>(7)监督基金管理人的投资运作；</w:t>
      </w:r>
    </w:p>
    <w:p>
      <w:pPr>
        <w:pStyle w:val="BodyText"/>
        <w:spacing w:line="364" w:lineRule="auto"/>
        <w:ind w:right="1430"/>
      </w:pPr>
      <w:r>
        <w:rPr/>
        <w:t>(8)对基金管理人、基金托管人、基金销售机构损害其合法权益的行为依法提起诉讼； (9)法律法规和基金合同规定的其他权利。</w:t>
      </w:r>
    </w:p>
    <w:p>
      <w:pPr>
        <w:pStyle w:val="BodyText"/>
        <w:spacing w:line="268" w:lineRule="exact"/>
      </w:pPr>
      <w:r>
        <w:rPr/>
        <w:t>本基金同一类别的每一基金份额享有同等的合法权益。</w:t>
      </w:r>
    </w:p>
    <w:p>
      <w:pPr>
        <w:pStyle w:val="Heading4"/>
        <w:spacing w:before="68"/>
        <w:ind w:left="640"/>
      </w:pPr>
      <w:r>
        <w:rPr/>
        <w:t>2、基金份额持有人义务</w:t>
      </w:r>
    </w:p>
    <w:p>
      <w:pPr>
        <w:pStyle w:val="BodyText"/>
        <w:spacing w:before="92"/>
      </w:pPr>
      <w:r>
        <w:rPr/>
        <w:t>根据《基金法》及其他有关法律法规，基金份额持有人的义务为：</w:t>
      </w:r>
    </w:p>
    <w:p>
      <w:pPr>
        <w:pStyle w:val="ListParagraph"/>
        <w:numPr>
          <w:ilvl w:val="0"/>
          <w:numId w:val="57"/>
        </w:numPr>
        <w:tabs>
          <w:tab w:pos="956" w:val="left" w:leader="none"/>
        </w:tabs>
        <w:spacing w:line="240" w:lineRule="auto" w:before="139" w:after="0"/>
        <w:ind w:left="956" w:right="0" w:hanging="316"/>
        <w:jc w:val="left"/>
        <w:rPr>
          <w:sz w:val="21"/>
        </w:rPr>
      </w:pPr>
      <w:r>
        <w:rPr>
          <w:sz w:val="21"/>
        </w:rPr>
        <w:t>遵守法律法规、基金合同及其他有关规定；</w:t>
      </w:r>
    </w:p>
    <w:p>
      <w:pPr>
        <w:pStyle w:val="ListParagraph"/>
        <w:numPr>
          <w:ilvl w:val="0"/>
          <w:numId w:val="57"/>
        </w:numPr>
        <w:tabs>
          <w:tab w:pos="956" w:val="left" w:leader="none"/>
        </w:tabs>
        <w:spacing w:line="240" w:lineRule="auto" w:before="140" w:after="0"/>
        <w:ind w:left="956" w:right="0" w:hanging="316"/>
        <w:jc w:val="left"/>
        <w:rPr>
          <w:sz w:val="21"/>
        </w:rPr>
      </w:pPr>
      <w:r>
        <w:rPr>
          <w:sz w:val="21"/>
        </w:rPr>
        <w:t>交纳基金认购、申购款项及法律法规和基金合同所规定的费用；</w:t>
      </w:r>
    </w:p>
    <w:p>
      <w:pPr>
        <w:pStyle w:val="ListParagraph"/>
        <w:numPr>
          <w:ilvl w:val="0"/>
          <w:numId w:val="57"/>
        </w:numPr>
        <w:tabs>
          <w:tab w:pos="956" w:val="left" w:leader="none"/>
        </w:tabs>
        <w:spacing w:line="364" w:lineRule="auto" w:before="139" w:after="0"/>
        <w:ind w:left="640" w:right="2270" w:firstLine="0"/>
        <w:jc w:val="left"/>
        <w:rPr>
          <w:sz w:val="21"/>
        </w:rPr>
      </w:pPr>
      <w:r>
        <w:rPr>
          <w:spacing w:val="-1"/>
          <w:sz w:val="21"/>
        </w:rPr>
        <w:t>在持有的基金份额范围内，承担基金亏损或者基金合同终止的有限责任； </w:t>
      </w:r>
      <w:r>
        <w:rPr>
          <w:sz w:val="21"/>
        </w:rPr>
        <w:t>(4)不从事任何有损基金及其他基金份额持有人合法权益的活动；</w:t>
      </w:r>
    </w:p>
    <w:p>
      <w:pPr>
        <w:spacing w:after="0" w:line="364" w:lineRule="auto"/>
        <w:jc w:val="left"/>
        <w:rPr>
          <w:sz w:val="21"/>
        </w:rPr>
        <w:sectPr>
          <w:pgSz w:w="11910" w:h="16840"/>
          <w:pgMar w:header="0" w:footer="664" w:top="1380" w:bottom="940" w:left="1580" w:right="380"/>
        </w:sectPr>
      </w:pPr>
    </w:p>
    <w:p>
      <w:pPr>
        <w:pStyle w:val="ListParagraph"/>
        <w:numPr>
          <w:ilvl w:val="0"/>
          <w:numId w:val="58"/>
        </w:numPr>
        <w:tabs>
          <w:tab w:pos="956" w:val="left" w:leader="none"/>
        </w:tabs>
        <w:spacing w:line="240" w:lineRule="auto" w:before="45" w:after="0"/>
        <w:ind w:left="956" w:right="0" w:hanging="316"/>
        <w:jc w:val="left"/>
        <w:rPr>
          <w:sz w:val="21"/>
        </w:rPr>
      </w:pPr>
      <w:r>
        <w:rPr>
          <w:sz w:val="21"/>
        </w:rPr>
        <w:t>执行生效的基金份额持有人大会决议；</w:t>
      </w:r>
    </w:p>
    <w:p>
      <w:pPr>
        <w:pStyle w:val="ListParagraph"/>
        <w:numPr>
          <w:ilvl w:val="0"/>
          <w:numId w:val="58"/>
        </w:numPr>
        <w:tabs>
          <w:tab w:pos="956" w:val="left" w:leader="none"/>
        </w:tabs>
        <w:spacing w:line="364" w:lineRule="auto" w:before="139" w:after="0"/>
        <w:ind w:left="220" w:right="1418" w:firstLine="420"/>
        <w:jc w:val="left"/>
        <w:rPr>
          <w:sz w:val="21"/>
        </w:rPr>
      </w:pPr>
      <w:r>
        <w:rPr>
          <w:sz w:val="21"/>
        </w:rPr>
        <w:t>返还在基金交易过程中因任何原因，自基金管理人及基金管理人的代理人、基金托管人、代销机构、其他基金份额持有人处获得的不当得利；</w:t>
      </w:r>
    </w:p>
    <w:p>
      <w:pPr>
        <w:pStyle w:val="ListParagraph"/>
        <w:numPr>
          <w:ilvl w:val="0"/>
          <w:numId w:val="58"/>
        </w:numPr>
        <w:tabs>
          <w:tab w:pos="956" w:val="left" w:leader="none"/>
        </w:tabs>
        <w:spacing w:line="268" w:lineRule="exact" w:before="0" w:after="0"/>
        <w:ind w:left="956" w:right="0" w:hanging="316"/>
        <w:jc w:val="left"/>
        <w:rPr>
          <w:sz w:val="21"/>
        </w:rPr>
      </w:pPr>
      <w:r>
        <w:rPr>
          <w:sz w:val="21"/>
        </w:rPr>
        <w:t>法律法规和基金合同规定的其他义务。</w:t>
      </w:r>
    </w:p>
    <w:p>
      <w:pPr>
        <w:pStyle w:val="Heading3"/>
        <w:spacing w:before="141"/>
      </w:pPr>
      <w:bookmarkStart w:name="_bookmark107" w:id="108"/>
      <w:bookmarkEnd w:id="108"/>
      <w:r>
        <w:rPr/>
      </w:r>
      <w:r>
        <w:rPr/>
        <w:t>(四)基金份额持有人大会</w:t>
      </w:r>
    </w:p>
    <w:p>
      <w:pPr>
        <w:pStyle w:val="BodyText"/>
        <w:spacing w:line="364" w:lineRule="auto" w:before="185"/>
        <w:ind w:left="220" w:right="1418" w:firstLine="420"/>
        <w:jc w:val="both"/>
      </w:pPr>
      <w:r>
        <w:rPr/>
        <w:t>1、基金份额持有人大会由基金份额持有人组成，基金份额持有人的合法授权代表有权</w:t>
      </w:r>
      <w:r>
        <w:rPr>
          <w:spacing w:val="-7"/>
        </w:rPr>
        <w:t>代表基金份额持有人出席会议并表决。基金份额持有人持有的每一基金份额具有同等的投票</w:t>
      </w:r>
      <w:r>
        <w:rPr/>
        <w:t>权。</w:t>
      </w:r>
    </w:p>
    <w:p>
      <w:pPr>
        <w:pStyle w:val="BodyText"/>
        <w:spacing w:line="268" w:lineRule="exact"/>
      </w:pPr>
      <w:r>
        <w:rPr/>
        <w:t>2、召开事由</w:t>
      </w:r>
    </w:p>
    <w:p>
      <w:pPr>
        <w:pStyle w:val="ListParagraph"/>
        <w:numPr>
          <w:ilvl w:val="0"/>
          <w:numId w:val="59"/>
        </w:numPr>
        <w:tabs>
          <w:tab w:pos="956" w:val="left" w:leader="none"/>
        </w:tabs>
        <w:spacing w:line="364" w:lineRule="auto" w:before="139" w:after="0"/>
        <w:ind w:left="220" w:right="1313" w:firstLine="420"/>
        <w:jc w:val="left"/>
        <w:rPr>
          <w:sz w:val="21"/>
        </w:rPr>
      </w:pPr>
      <w:r>
        <w:rPr>
          <w:spacing w:val="-10"/>
          <w:sz w:val="21"/>
        </w:rPr>
        <w:t>当出现或需要决定下列事由之一的，经基金管理人、基金托管人或持有基金份额 </w:t>
      </w:r>
      <w:r>
        <w:rPr>
          <w:sz w:val="21"/>
        </w:rPr>
        <w:t>10% </w:t>
      </w:r>
      <w:r>
        <w:rPr>
          <w:spacing w:val="-6"/>
          <w:sz w:val="21"/>
        </w:rPr>
        <w:t>以上(含 </w:t>
      </w:r>
      <w:r>
        <w:rPr>
          <w:sz w:val="21"/>
        </w:rPr>
        <w:t>10%，下同)的基金份额持有人(以基金管理人收到提议当日的基金份额计算，下同) 提议时，应当召开基金份额持有人大会：</w:t>
      </w:r>
    </w:p>
    <w:p>
      <w:pPr>
        <w:pStyle w:val="ListParagraph"/>
        <w:numPr>
          <w:ilvl w:val="0"/>
          <w:numId w:val="60"/>
        </w:numPr>
        <w:tabs>
          <w:tab w:pos="851" w:val="left" w:leader="none"/>
        </w:tabs>
        <w:spacing w:line="268" w:lineRule="exact" w:before="0" w:after="0"/>
        <w:ind w:left="851" w:right="0" w:hanging="211"/>
        <w:jc w:val="left"/>
        <w:rPr>
          <w:sz w:val="21"/>
        </w:rPr>
      </w:pPr>
      <w:r>
        <w:rPr>
          <w:sz w:val="21"/>
        </w:rPr>
        <w:t>终止基金合同；</w:t>
      </w:r>
    </w:p>
    <w:p>
      <w:pPr>
        <w:pStyle w:val="ListParagraph"/>
        <w:numPr>
          <w:ilvl w:val="0"/>
          <w:numId w:val="60"/>
        </w:numPr>
        <w:tabs>
          <w:tab w:pos="851" w:val="left" w:leader="none"/>
        </w:tabs>
        <w:spacing w:line="364" w:lineRule="auto" w:before="140" w:after="0"/>
        <w:ind w:left="640" w:right="7205" w:firstLine="0"/>
        <w:jc w:val="left"/>
        <w:rPr>
          <w:sz w:val="21"/>
        </w:rPr>
      </w:pPr>
      <w:r>
        <w:rPr>
          <w:spacing w:val="-3"/>
          <w:sz w:val="21"/>
        </w:rPr>
        <w:t>转换基金运作方式； </w:t>
      </w:r>
      <w:r>
        <w:rPr>
          <w:sz w:val="21"/>
        </w:rPr>
        <w:t>c.变更基金类别；</w:t>
      </w:r>
    </w:p>
    <w:p>
      <w:pPr>
        <w:pStyle w:val="BodyText"/>
        <w:spacing w:line="364" w:lineRule="auto"/>
        <w:ind w:right="1222"/>
      </w:pPr>
      <w:r>
        <w:rPr/>
        <w:t>d.</w:t>
      </w:r>
      <w:r>
        <w:rPr>
          <w:spacing w:val="-9"/>
        </w:rPr>
        <w:t>变更基金投资目标、投资范围或投资策略</w:t>
      </w:r>
      <w:r>
        <w:rPr/>
        <w:t>（法律法规和中国证监会另有规定的除外</w:t>
      </w:r>
      <w:r>
        <w:rPr>
          <w:spacing w:val="-113"/>
        </w:rPr>
        <w:t>）</w:t>
      </w:r>
      <w:r>
        <w:rPr>
          <w:spacing w:val="-8"/>
        </w:rPr>
        <w:t>；</w:t>
      </w:r>
      <w:r>
        <w:rPr/>
        <w:t> e.变更基金份额持有人大会程序；</w:t>
      </w:r>
    </w:p>
    <w:p>
      <w:pPr>
        <w:pStyle w:val="ListParagraph"/>
        <w:numPr>
          <w:ilvl w:val="0"/>
          <w:numId w:val="61"/>
        </w:numPr>
        <w:tabs>
          <w:tab w:pos="851" w:val="left" w:leader="none"/>
        </w:tabs>
        <w:spacing w:line="268" w:lineRule="exact" w:before="0" w:after="0"/>
        <w:ind w:left="851" w:right="0" w:hanging="211"/>
        <w:jc w:val="left"/>
        <w:rPr>
          <w:sz w:val="21"/>
        </w:rPr>
      </w:pPr>
      <w:r>
        <w:rPr>
          <w:sz w:val="21"/>
        </w:rPr>
        <w:t>更换基金管理人、基金托管人；</w:t>
      </w:r>
    </w:p>
    <w:p>
      <w:pPr>
        <w:pStyle w:val="ListParagraph"/>
        <w:numPr>
          <w:ilvl w:val="0"/>
          <w:numId w:val="61"/>
        </w:numPr>
        <w:tabs>
          <w:tab w:pos="851" w:val="left" w:leader="none"/>
        </w:tabs>
        <w:spacing w:line="364" w:lineRule="auto" w:before="138" w:after="0"/>
        <w:ind w:left="640" w:right="1313" w:firstLine="0"/>
        <w:jc w:val="left"/>
        <w:rPr>
          <w:sz w:val="21"/>
        </w:rPr>
      </w:pPr>
      <w:r>
        <w:rPr>
          <w:spacing w:val="-16"/>
          <w:sz w:val="21"/>
        </w:rPr>
        <w:t>提高基金管理人、基金托管人的报酬标准，但法律法规要求提高该等报酬标准的除外； </w:t>
      </w:r>
      <w:r>
        <w:rPr>
          <w:sz w:val="21"/>
        </w:rPr>
        <w:t>h.本基金与其他基金的合并；</w:t>
      </w:r>
    </w:p>
    <w:p>
      <w:pPr>
        <w:pStyle w:val="BodyText"/>
        <w:spacing w:line="364" w:lineRule="auto"/>
        <w:ind w:right="3830"/>
      </w:pPr>
      <w:r>
        <w:rPr/>
        <w:t>i.对基金合同当事人权利、义务产生重大影响的其他事项； j.法律法规、基金合同或中国证监会规定的其他情形.</w:t>
      </w:r>
    </w:p>
    <w:p>
      <w:pPr>
        <w:pStyle w:val="ListParagraph"/>
        <w:numPr>
          <w:ilvl w:val="0"/>
          <w:numId w:val="59"/>
        </w:numPr>
        <w:tabs>
          <w:tab w:pos="956" w:val="left" w:leader="none"/>
        </w:tabs>
        <w:spacing w:line="364" w:lineRule="auto" w:before="0" w:after="0"/>
        <w:ind w:left="220" w:right="1418" w:firstLine="420"/>
        <w:jc w:val="left"/>
        <w:rPr>
          <w:sz w:val="21"/>
        </w:rPr>
      </w:pPr>
      <w:r>
        <w:rPr>
          <w:sz w:val="21"/>
        </w:rPr>
        <w:t>出现以下情形之一的，可由基金管理人和基金托管人协商后修改基金合同，不需召开基金份额持有人大会：</w:t>
      </w:r>
    </w:p>
    <w:p>
      <w:pPr>
        <w:pStyle w:val="ListParagraph"/>
        <w:numPr>
          <w:ilvl w:val="0"/>
          <w:numId w:val="62"/>
        </w:numPr>
        <w:tabs>
          <w:tab w:pos="851" w:val="left" w:leader="none"/>
        </w:tabs>
        <w:spacing w:line="268" w:lineRule="exact" w:before="0" w:after="0"/>
        <w:ind w:left="851" w:right="0" w:hanging="211"/>
        <w:jc w:val="left"/>
        <w:rPr>
          <w:sz w:val="21"/>
        </w:rPr>
      </w:pPr>
      <w:r>
        <w:rPr>
          <w:sz w:val="21"/>
        </w:rPr>
        <w:t>调低基金管理费、基金托管费和其他应由基金承担的费用；</w:t>
      </w:r>
    </w:p>
    <w:p>
      <w:pPr>
        <w:pStyle w:val="ListParagraph"/>
        <w:numPr>
          <w:ilvl w:val="0"/>
          <w:numId w:val="62"/>
        </w:numPr>
        <w:tabs>
          <w:tab w:pos="851" w:val="left" w:leader="none"/>
        </w:tabs>
        <w:spacing w:line="364" w:lineRule="auto" w:before="138" w:after="0"/>
        <w:ind w:left="220" w:right="1418" w:firstLine="420"/>
        <w:jc w:val="left"/>
        <w:rPr>
          <w:sz w:val="21"/>
        </w:rPr>
      </w:pPr>
      <w:r>
        <w:rPr>
          <w:spacing w:val="-5"/>
          <w:sz w:val="21"/>
        </w:rPr>
        <w:t>在法律法规和本基金合同规定的范围内变更基金的申购费率、降低赎回费率或变更收</w:t>
      </w:r>
      <w:r>
        <w:rPr>
          <w:sz w:val="21"/>
        </w:rPr>
        <w:t>费方式；</w:t>
      </w:r>
    </w:p>
    <w:p>
      <w:pPr>
        <w:pStyle w:val="ListParagraph"/>
        <w:numPr>
          <w:ilvl w:val="0"/>
          <w:numId w:val="62"/>
        </w:numPr>
        <w:tabs>
          <w:tab w:pos="851" w:val="left" w:leader="none"/>
        </w:tabs>
        <w:spacing w:line="268" w:lineRule="exact" w:before="0" w:after="0"/>
        <w:ind w:left="851" w:right="0" w:hanging="211"/>
        <w:jc w:val="left"/>
        <w:rPr>
          <w:sz w:val="21"/>
        </w:rPr>
      </w:pPr>
      <w:r>
        <w:rPr>
          <w:sz w:val="21"/>
        </w:rPr>
        <w:t>因相应的法律法规发生变动必须对基金合同进行修改；</w:t>
      </w:r>
    </w:p>
    <w:p>
      <w:pPr>
        <w:pStyle w:val="ListParagraph"/>
        <w:numPr>
          <w:ilvl w:val="0"/>
          <w:numId w:val="62"/>
        </w:numPr>
        <w:tabs>
          <w:tab w:pos="851" w:val="left" w:leader="none"/>
        </w:tabs>
        <w:spacing w:line="364" w:lineRule="auto" w:before="139" w:after="0"/>
        <w:ind w:left="640" w:right="2375" w:firstLine="0"/>
        <w:jc w:val="left"/>
        <w:rPr>
          <w:sz w:val="21"/>
        </w:rPr>
      </w:pPr>
      <w:r>
        <w:rPr>
          <w:spacing w:val="-1"/>
          <w:sz w:val="21"/>
        </w:rPr>
        <w:t>对基金合同的修改不涉及本基金合同当事人权利义务关系发生重大变化； </w:t>
      </w:r>
      <w:r>
        <w:rPr>
          <w:sz w:val="21"/>
        </w:rPr>
        <w:t>e.基金合同的修改对基金份额持有人利益无实质性不利影响；</w:t>
      </w:r>
    </w:p>
    <w:p>
      <w:pPr>
        <w:pStyle w:val="BodyText"/>
        <w:spacing w:line="364" w:lineRule="auto"/>
        <w:ind w:right="2165"/>
      </w:pPr>
      <w:r>
        <w:rPr/>
        <w:t>f.按照法律法规或本基金合同规定不需召开基金份额持有人大会的其他情形。3、召集人及召集方式</w:t>
      </w:r>
    </w:p>
    <w:p>
      <w:pPr>
        <w:pStyle w:val="ListParagraph"/>
        <w:numPr>
          <w:ilvl w:val="0"/>
          <w:numId w:val="63"/>
        </w:numPr>
        <w:tabs>
          <w:tab w:pos="956" w:val="left" w:leader="none"/>
        </w:tabs>
        <w:spacing w:line="364" w:lineRule="auto" w:before="0" w:after="0"/>
        <w:ind w:left="220" w:right="1418" w:firstLine="420"/>
        <w:jc w:val="left"/>
        <w:rPr>
          <w:sz w:val="21"/>
        </w:rPr>
      </w:pPr>
      <w:r>
        <w:rPr>
          <w:sz w:val="21"/>
        </w:rPr>
        <w:t>除法律法规或本基金合同另有约定外，基金份额持有人大会由基金管理人召集。基金管理人未按规定召集或者不能召集时，由基金托管人召集。</w:t>
      </w:r>
    </w:p>
    <w:p>
      <w:pPr>
        <w:spacing w:after="0" w:line="364" w:lineRule="auto"/>
        <w:jc w:val="left"/>
        <w:rPr>
          <w:sz w:val="21"/>
        </w:rPr>
        <w:sectPr>
          <w:pgSz w:w="11910" w:h="16840"/>
          <w:pgMar w:header="0" w:footer="664" w:top="1380" w:bottom="940" w:left="1580" w:right="380"/>
        </w:sectPr>
      </w:pPr>
    </w:p>
    <w:p>
      <w:pPr>
        <w:pStyle w:val="ListParagraph"/>
        <w:numPr>
          <w:ilvl w:val="0"/>
          <w:numId w:val="63"/>
        </w:numPr>
        <w:tabs>
          <w:tab w:pos="956" w:val="left" w:leader="none"/>
        </w:tabs>
        <w:spacing w:line="364" w:lineRule="auto" w:before="45" w:after="0"/>
        <w:ind w:left="220" w:right="1208" w:firstLine="420"/>
        <w:jc w:val="left"/>
        <w:rPr>
          <w:sz w:val="21"/>
        </w:rPr>
      </w:pPr>
      <w:r>
        <w:rPr>
          <w:sz w:val="21"/>
        </w:rPr>
        <w:t>基金托管人认为有必要召开基金份额持有人大会的，应当向基金管理人提出书面提 </w:t>
      </w:r>
      <w:r>
        <w:rPr>
          <w:spacing w:val="-3"/>
          <w:sz w:val="21"/>
        </w:rPr>
        <w:t>议。基金管理人应当自收到书面提议之日起 </w:t>
      </w:r>
      <w:r>
        <w:rPr>
          <w:sz w:val="21"/>
        </w:rPr>
        <w:t>10</w:t>
      </w:r>
      <w:r>
        <w:rPr>
          <w:spacing w:val="-8"/>
          <w:sz w:val="21"/>
        </w:rPr>
        <w:t> 日内决定是否召集，并书面告知基金托管人。</w:t>
      </w:r>
    </w:p>
    <w:p>
      <w:pPr>
        <w:pStyle w:val="BodyText"/>
        <w:spacing w:line="364" w:lineRule="auto"/>
        <w:ind w:left="220" w:right="1208"/>
      </w:pPr>
      <w:r>
        <w:rPr>
          <w:spacing w:val="-3"/>
        </w:rPr>
        <w:t>基金管理人决定召集的，应当自出具书面决定之日起 </w:t>
      </w:r>
      <w:r>
        <w:rPr/>
        <w:t>60</w:t>
      </w:r>
      <w:r>
        <w:rPr>
          <w:spacing w:val="-8"/>
        </w:rPr>
        <w:t> 日内召开；基金管理人决定不召集， 基金托管人仍认为有必要召开的，应当自行召集。</w:t>
      </w:r>
    </w:p>
    <w:p>
      <w:pPr>
        <w:pStyle w:val="ListParagraph"/>
        <w:numPr>
          <w:ilvl w:val="0"/>
          <w:numId w:val="63"/>
        </w:numPr>
        <w:tabs>
          <w:tab w:pos="957" w:val="left" w:leader="none"/>
        </w:tabs>
        <w:spacing w:line="364" w:lineRule="auto" w:before="0" w:after="0"/>
        <w:ind w:left="220" w:right="1208" w:firstLine="420"/>
        <w:jc w:val="left"/>
        <w:rPr>
          <w:sz w:val="21"/>
        </w:rPr>
      </w:pPr>
      <w:r>
        <w:rPr>
          <w:spacing w:val="2"/>
          <w:sz w:val="21"/>
        </w:rPr>
        <w:t>代表基金份额 </w:t>
      </w:r>
      <w:r>
        <w:rPr>
          <w:sz w:val="21"/>
        </w:rPr>
        <w:t>10%以上的基金份额持有人认为有必要召开基金份额持有人大会的， </w:t>
      </w:r>
      <w:r>
        <w:rPr>
          <w:spacing w:val="-2"/>
          <w:sz w:val="21"/>
        </w:rPr>
        <w:t>应当向基金管理人提出书面提议。基金管理人应当自收到书面提议之日起 </w:t>
      </w:r>
      <w:r>
        <w:rPr>
          <w:sz w:val="21"/>
        </w:rPr>
        <w:t>10</w:t>
      </w:r>
      <w:r>
        <w:rPr>
          <w:spacing w:val="-7"/>
          <w:sz w:val="21"/>
        </w:rPr>
        <w:t> 日内决定是否召</w:t>
      </w:r>
      <w:r>
        <w:rPr>
          <w:spacing w:val="-5"/>
          <w:sz w:val="21"/>
        </w:rPr>
        <w:t>集，并书面告知提出提议的基金份额持有人代表和基金托管人。基金管理人决定召集的， 应</w:t>
      </w:r>
      <w:r>
        <w:rPr>
          <w:spacing w:val="-8"/>
          <w:sz w:val="21"/>
        </w:rPr>
        <w:t>当自出具书面决定之日起 </w:t>
      </w:r>
      <w:r>
        <w:rPr>
          <w:sz w:val="21"/>
        </w:rPr>
        <w:t>60</w:t>
      </w:r>
      <w:r>
        <w:rPr>
          <w:spacing w:val="-7"/>
          <w:sz w:val="21"/>
        </w:rPr>
        <w:t> 日内召开；基金管理人决定不召集，代表基金份额 </w:t>
      </w:r>
      <w:r>
        <w:rPr>
          <w:sz w:val="21"/>
        </w:rPr>
        <w:t>10%以上的基</w:t>
      </w:r>
      <w:r>
        <w:rPr>
          <w:spacing w:val="-5"/>
          <w:sz w:val="21"/>
        </w:rPr>
        <w:t>金份额持有人仍认为有必要召开的，应当向基金托管人提出书面提议。基金托管人应当 自收</w:t>
      </w:r>
      <w:r>
        <w:rPr>
          <w:spacing w:val="-10"/>
          <w:sz w:val="21"/>
        </w:rPr>
        <w:t>到书面提议之日起 </w:t>
      </w:r>
      <w:r>
        <w:rPr>
          <w:sz w:val="21"/>
        </w:rPr>
        <w:t>10</w:t>
      </w:r>
      <w:r>
        <w:rPr>
          <w:spacing w:val="-7"/>
          <w:sz w:val="21"/>
        </w:rPr>
        <w:t> 日内决定是否召集，并书面告知提出提议的基金份额持有人代表和基金</w:t>
      </w:r>
      <w:r>
        <w:rPr>
          <w:spacing w:val="-9"/>
          <w:sz w:val="21"/>
        </w:rPr>
        <w:t>管理人；基金托管人决定召集的，应当自出具书面决定之日起 </w:t>
      </w:r>
      <w:r>
        <w:rPr>
          <w:sz w:val="21"/>
        </w:rPr>
        <w:t>60</w:t>
      </w:r>
      <w:r>
        <w:rPr>
          <w:spacing w:val="-10"/>
          <w:sz w:val="21"/>
        </w:rPr>
        <w:t> 日内召开。</w:t>
      </w:r>
    </w:p>
    <w:p>
      <w:pPr>
        <w:pStyle w:val="ListParagraph"/>
        <w:numPr>
          <w:ilvl w:val="0"/>
          <w:numId w:val="63"/>
        </w:numPr>
        <w:tabs>
          <w:tab w:pos="957" w:val="left" w:leader="none"/>
        </w:tabs>
        <w:spacing w:line="364" w:lineRule="auto" w:before="0" w:after="0"/>
        <w:ind w:left="220" w:right="1208" w:firstLine="420"/>
        <w:jc w:val="left"/>
        <w:rPr>
          <w:sz w:val="21"/>
        </w:rPr>
      </w:pPr>
      <w:r>
        <w:rPr>
          <w:spacing w:val="-5"/>
          <w:sz w:val="21"/>
        </w:rPr>
        <w:t>代表基金份额 </w:t>
      </w:r>
      <w:r>
        <w:rPr>
          <w:sz w:val="21"/>
        </w:rPr>
        <w:t>10%以上的基金份额持有人就同一事项要求召开基金份额持有人大会， </w:t>
      </w:r>
      <w:r>
        <w:rPr>
          <w:spacing w:val="-6"/>
          <w:sz w:val="21"/>
        </w:rPr>
        <w:t>而基金管理人、基金托管人都不召集的，代表基金份额 </w:t>
      </w:r>
      <w:r>
        <w:rPr>
          <w:sz w:val="21"/>
        </w:rPr>
        <w:t>10%以上的基金份额持有人有权自行召</w:t>
      </w:r>
      <w:r>
        <w:rPr>
          <w:spacing w:val="-3"/>
          <w:sz w:val="21"/>
        </w:rPr>
        <w:t>集基金份额持有人大会，但应当至少提前 </w:t>
      </w:r>
      <w:r>
        <w:rPr>
          <w:sz w:val="21"/>
        </w:rPr>
        <w:t>30</w:t>
      </w:r>
      <w:r>
        <w:rPr>
          <w:spacing w:val="-8"/>
          <w:sz w:val="21"/>
        </w:rPr>
        <w:t> 日向中国证监会备案。</w:t>
      </w:r>
    </w:p>
    <w:p>
      <w:pPr>
        <w:pStyle w:val="ListParagraph"/>
        <w:numPr>
          <w:ilvl w:val="0"/>
          <w:numId w:val="63"/>
        </w:numPr>
        <w:tabs>
          <w:tab w:pos="956" w:val="left" w:leader="none"/>
        </w:tabs>
        <w:spacing w:line="364" w:lineRule="auto" w:before="0" w:after="0"/>
        <w:ind w:left="220" w:right="1418" w:firstLine="420"/>
        <w:jc w:val="left"/>
        <w:rPr>
          <w:sz w:val="21"/>
        </w:rPr>
      </w:pPr>
      <w:r>
        <w:rPr>
          <w:sz w:val="21"/>
        </w:rPr>
        <w:t>基金份额持有人依法自行召集基金份额持有人大会的，基金管理人、基金托管人应当配合，不得阻碍、干扰。</w:t>
      </w:r>
    </w:p>
    <w:p>
      <w:pPr>
        <w:pStyle w:val="BodyText"/>
        <w:spacing w:line="268" w:lineRule="exact"/>
      </w:pPr>
      <w:r>
        <w:rPr/>
        <w:t>4、召开基金份额持有人大会的通知时间、通知内容、通知方式</w:t>
      </w:r>
    </w:p>
    <w:p>
      <w:pPr>
        <w:pStyle w:val="ListParagraph"/>
        <w:numPr>
          <w:ilvl w:val="0"/>
          <w:numId w:val="64"/>
        </w:numPr>
        <w:tabs>
          <w:tab w:pos="956" w:val="left" w:leader="none"/>
        </w:tabs>
        <w:spacing w:line="364" w:lineRule="auto" w:before="133" w:after="0"/>
        <w:ind w:left="220" w:right="1208" w:firstLine="420"/>
        <w:jc w:val="left"/>
        <w:rPr>
          <w:sz w:val="21"/>
        </w:rPr>
      </w:pPr>
      <w:r>
        <w:rPr>
          <w:sz w:val="21"/>
        </w:rPr>
        <w:t>基金份额持有人大会的召集人(以下简称“召集人”)负责选择确定开会时间、地点、</w:t>
      </w:r>
      <w:r>
        <w:rPr>
          <w:spacing w:val="-2"/>
          <w:sz w:val="21"/>
        </w:rPr>
        <w:t>方式和权益登记日。召开基金份额持有人大会，召集人必须于会议召开日前 </w:t>
      </w:r>
      <w:r>
        <w:rPr>
          <w:sz w:val="21"/>
        </w:rPr>
        <w:t>30</w:t>
      </w:r>
      <w:r>
        <w:rPr>
          <w:spacing w:val="-8"/>
          <w:sz w:val="21"/>
        </w:rPr>
        <w:t> 日在指定媒介公告。基金份额持有人大会通知须至少载明以下内容：</w:t>
      </w:r>
    </w:p>
    <w:p>
      <w:pPr>
        <w:pStyle w:val="BodyText"/>
        <w:spacing w:line="364" w:lineRule="auto"/>
        <w:ind w:right="5720"/>
      </w:pPr>
      <w:r>
        <w:rPr/>
        <w:t>a.会议召开的时间、地点和出席方式； b.会议拟审议的主要事项；</w:t>
      </w:r>
    </w:p>
    <w:p>
      <w:pPr>
        <w:pStyle w:val="BodyText"/>
        <w:spacing w:line="364" w:lineRule="auto"/>
        <w:ind w:right="8030"/>
      </w:pPr>
      <w:r>
        <w:rPr/>
        <w:t>c.会议形式； d.议事程序；</w:t>
      </w:r>
    </w:p>
    <w:p>
      <w:pPr>
        <w:pStyle w:val="ListParagraph"/>
        <w:numPr>
          <w:ilvl w:val="0"/>
          <w:numId w:val="65"/>
        </w:numPr>
        <w:tabs>
          <w:tab w:pos="851" w:val="left" w:leader="none"/>
        </w:tabs>
        <w:spacing w:line="268" w:lineRule="exact" w:before="0" w:after="0"/>
        <w:ind w:left="851" w:right="0" w:hanging="211"/>
        <w:jc w:val="left"/>
        <w:rPr>
          <w:sz w:val="21"/>
        </w:rPr>
      </w:pPr>
      <w:r>
        <w:rPr>
          <w:sz w:val="21"/>
        </w:rPr>
        <w:t>有权出席基金份额持有人大会的基金份额持有人权益登记日；</w:t>
      </w:r>
    </w:p>
    <w:p>
      <w:pPr>
        <w:pStyle w:val="ListParagraph"/>
        <w:numPr>
          <w:ilvl w:val="0"/>
          <w:numId w:val="65"/>
        </w:numPr>
        <w:tabs>
          <w:tab w:pos="851" w:val="left" w:leader="none"/>
        </w:tabs>
        <w:spacing w:line="364" w:lineRule="auto" w:before="137" w:after="0"/>
        <w:ind w:left="220" w:right="1418" w:firstLine="420"/>
        <w:jc w:val="left"/>
        <w:rPr>
          <w:sz w:val="21"/>
        </w:rPr>
      </w:pPr>
      <w:r>
        <w:rPr>
          <w:sz w:val="21"/>
        </w:rPr>
        <w:t>代理投票的授权委托书的内容要求(包括但不限于代理人身份、代理权限和代理有效期限等)、送达时间和地点;</w:t>
      </w:r>
    </w:p>
    <w:p>
      <w:pPr>
        <w:pStyle w:val="ListParagraph"/>
        <w:numPr>
          <w:ilvl w:val="0"/>
          <w:numId w:val="65"/>
        </w:numPr>
        <w:tabs>
          <w:tab w:pos="851" w:val="left" w:leader="none"/>
        </w:tabs>
        <w:spacing w:line="268" w:lineRule="exact" w:before="0" w:after="0"/>
        <w:ind w:left="851" w:right="0" w:hanging="211"/>
        <w:jc w:val="left"/>
        <w:rPr>
          <w:sz w:val="21"/>
        </w:rPr>
      </w:pPr>
      <w:r>
        <w:rPr>
          <w:sz w:val="21"/>
        </w:rPr>
        <w:t>表决方式；</w:t>
      </w:r>
    </w:p>
    <w:p>
      <w:pPr>
        <w:pStyle w:val="ListParagraph"/>
        <w:numPr>
          <w:ilvl w:val="0"/>
          <w:numId w:val="65"/>
        </w:numPr>
        <w:tabs>
          <w:tab w:pos="851" w:val="left" w:leader="none"/>
        </w:tabs>
        <w:spacing w:line="240" w:lineRule="auto" w:before="139" w:after="0"/>
        <w:ind w:left="851" w:right="0" w:hanging="211"/>
        <w:jc w:val="left"/>
        <w:rPr>
          <w:sz w:val="21"/>
        </w:rPr>
      </w:pPr>
      <w:r>
        <w:rPr>
          <w:sz w:val="21"/>
        </w:rPr>
        <w:t>会务常设联系人姓名、电话；</w:t>
      </w:r>
    </w:p>
    <w:p>
      <w:pPr>
        <w:pStyle w:val="ListParagraph"/>
        <w:numPr>
          <w:ilvl w:val="0"/>
          <w:numId w:val="65"/>
        </w:numPr>
        <w:tabs>
          <w:tab w:pos="851" w:val="left" w:leader="none"/>
        </w:tabs>
        <w:spacing w:line="364" w:lineRule="auto" w:before="140" w:after="0"/>
        <w:ind w:left="640" w:right="4685" w:firstLine="0"/>
        <w:jc w:val="left"/>
        <w:rPr>
          <w:sz w:val="21"/>
        </w:rPr>
      </w:pPr>
      <w:r>
        <w:rPr>
          <w:spacing w:val="-1"/>
          <w:sz w:val="21"/>
        </w:rPr>
        <w:t>出席会议者必须准备的文件和必须履行的手续； </w:t>
      </w:r>
      <w:r>
        <w:rPr>
          <w:sz w:val="21"/>
        </w:rPr>
        <w:t>j.召集人需要通知的其他事项。</w:t>
      </w:r>
    </w:p>
    <w:p>
      <w:pPr>
        <w:pStyle w:val="ListParagraph"/>
        <w:numPr>
          <w:ilvl w:val="0"/>
          <w:numId w:val="64"/>
        </w:numPr>
        <w:tabs>
          <w:tab w:pos="956" w:val="left" w:leader="none"/>
        </w:tabs>
        <w:spacing w:line="364" w:lineRule="auto" w:before="0" w:after="0"/>
        <w:ind w:left="220" w:right="1418" w:firstLine="420"/>
        <w:jc w:val="both"/>
        <w:rPr>
          <w:sz w:val="21"/>
        </w:rPr>
      </w:pPr>
      <w:r>
        <w:rPr>
          <w:sz w:val="21"/>
        </w:rPr>
        <w:t>采用通讯方式开会并进行表决的情况下，由召集人决定通讯方式和书面表决方式， </w:t>
      </w:r>
      <w:r>
        <w:rPr>
          <w:spacing w:val="-5"/>
          <w:sz w:val="21"/>
        </w:rPr>
        <w:t>并在会议通知中说明本次基金份额持有人大会所采取的具体通讯方式、委托的公证机关及其</w:t>
      </w:r>
      <w:r>
        <w:rPr>
          <w:sz w:val="21"/>
        </w:rPr>
        <w:t>联系方式和联系人、书面表决意见寄交的截止时间和收取方式。</w:t>
      </w:r>
    </w:p>
    <w:p>
      <w:pPr>
        <w:spacing w:after="0" w:line="364" w:lineRule="auto"/>
        <w:jc w:val="both"/>
        <w:rPr>
          <w:sz w:val="21"/>
        </w:rPr>
        <w:sectPr>
          <w:pgSz w:w="11910" w:h="16840"/>
          <w:pgMar w:header="0" w:footer="664" w:top="1380" w:bottom="940" w:left="1580" w:right="380"/>
        </w:sectPr>
      </w:pPr>
    </w:p>
    <w:p>
      <w:pPr>
        <w:pStyle w:val="ListParagraph"/>
        <w:numPr>
          <w:ilvl w:val="0"/>
          <w:numId w:val="64"/>
        </w:numPr>
        <w:tabs>
          <w:tab w:pos="956" w:val="left" w:leader="none"/>
        </w:tabs>
        <w:spacing w:line="364" w:lineRule="auto" w:before="45" w:after="0"/>
        <w:ind w:left="220" w:right="1418" w:firstLine="420"/>
        <w:jc w:val="both"/>
        <w:rPr>
          <w:sz w:val="21"/>
        </w:rPr>
      </w:pPr>
      <w:r>
        <w:rPr>
          <w:sz w:val="21"/>
        </w:rPr>
        <w:t>如召集人为基金管理人，还应另行书面通知基金托管人到指定地点对书面表决意见</w:t>
      </w:r>
      <w:r>
        <w:rPr>
          <w:spacing w:val="-11"/>
          <w:sz w:val="21"/>
        </w:rPr>
        <w:t>的计票进行监督；如召集人为基金托管人，则应另行书面通知基金管理人到指定地点对书面</w:t>
      </w:r>
      <w:r>
        <w:rPr>
          <w:spacing w:val="-10"/>
          <w:sz w:val="21"/>
        </w:rPr>
        <w:t>表决意见的计票进行监督；如召集人为基金份额持有人，则应另行书面通知基金管理人和基</w:t>
      </w:r>
      <w:r>
        <w:rPr>
          <w:spacing w:val="-5"/>
          <w:sz w:val="21"/>
        </w:rPr>
        <w:t>金托管人到指定地点对书面表决意见的计票进行监督。基金管理人或基金托管人拒不派代表</w:t>
      </w:r>
      <w:r>
        <w:rPr>
          <w:sz w:val="21"/>
        </w:rPr>
        <w:t>对书面表决意见的计票进行监督的，不影响计票和表决结果。</w:t>
      </w:r>
    </w:p>
    <w:p>
      <w:pPr>
        <w:pStyle w:val="BodyText"/>
        <w:spacing w:line="364" w:lineRule="auto"/>
        <w:ind w:right="6050"/>
      </w:pPr>
      <w:r>
        <w:rPr/>
        <w:t>5、基金份额持有人出席会议的方式(1).会议方式</w:t>
      </w:r>
    </w:p>
    <w:p>
      <w:pPr>
        <w:pStyle w:val="ListParagraph"/>
        <w:numPr>
          <w:ilvl w:val="0"/>
          <w:numId w:val="66"/>
        </w:numPr>
        <w:tabs>
          <w:tab w:pos="851" w:val="left" w:leader="none"/>
        </w:tabs>
        <w:spacing w:line="364" w:lineRule="auto" w:before="0" w:after="0"/>
        <w:ind w:left="220" w:right="1418" w:firstLine="420"/>
        <w:jc w:val="left"/>
        <w:rPr>
          <w:sz w:val="21"/>
        </w:rPr>
      </w:pPr>
      <w:r>
        <w:rPr>
          <w:spacing w:val="-6"/>
          <w:sz w:val="21"/>
        </w:rPr>
        <w:t>基金份额持有人大会的召开方式包括现场开会、通讯方式开会或法律法规和监管机关</w:t>
      </w:r>
      <w:r>
        <w:rPr>
          <w:sz w:val="21"/>
        </w:rPr>
        <w:t>允许的其他方式。</w:t>
      </w:r>
    </w:p>
    <w:p>
      <w:pPr>
        <w:pStyle w:val="ListParagraph"/>
        <w:numPr>
          <w:ilvl w:val="0"/>
          <w:numId w:val="66"/>
        </w:numPr>
        <w:tabs>
          <w:tab w:pos="851" w:val="left" w:leader="none"/>
        </w:tabs>
        <w:spacing w:line="364" w:lineRule="auto" w:before="0" w:after="0"/>
        <w:ind w:left="220" w:right="1418" w:firstLine="420"/>
        <w:jc w:val="both"/>
        <w:rPr>
          <w:sz w:val="21"/>
        </w:rPr>
      </w:pPr>
      <w:r>
        <w:rPr>
          <w:spacing w:val="-4"/>
          <w:sz w:val="21"/>
        </w:rPr>
        <w:t>现场开会由基金份额持有人本人出席或通过授权委托书委派其代理人出席，现场开会</w:t>
      </w:r>
      <w:r>
        <w:rPr>
          <w:spacing w:val="-6"/>
          <w:sz w:val="21"/>
        </w:rPr>
        <w:t>时基金管理人和基金托管人的授权代表应当出席，如基金管理人或基金托管人拒不派代表出</w:t>
      </w:r>
      <w:r>
        <w:rPr>
          <w:sz w:val="21"/>
        </w:rPr>
        <w:t>席的，不影响表决效力。</w:t>
      </w:r>
    </w:p>
    <w:p>
      <w:pPr>
        <w:pStyle w:val="ListParagraph"/>
        <w:numPr>
          <w:ilvl w:val="0"/>
          <w:numId w:val="66"/>
        </w:numPr>
        <w:tabs>
          <w:tab w:pos="851" w:val="left" w:leader="none"/>
        </w:tabs>
        <w:spacing w:line="364" w:lineRule="auto" w:before="0" w:after="0"/>
        <w:ind w:left="640" w:right="2375" w:firstLine="0"/>
        <w:jc w:val="left"/>
        <w:rPr>
          <w:sz w:val="21"/>
        </w:rPr>
      </w:pPr>
      <w:r>
        <w:rPr>
          <w:spacing w:val="-1"/>
          <w:sz w:val="21"/>
        </w:rPr>
        <w:t>通讯方式开会指按照本基金合同的相关规定以通讯的书面方式进行表决。</w:t>
      </w:r>
      <w:r>
        <w:rPr>
          <w:sz w:val="21"/>
        </w:rPr>
        <w:t>d.会议的召开方式由召集人确定。</w:t>
      </w:r>
    </w:p>
    <w:p>
      <w:pPr>
        <w:pStyle w:val="BodyText"/>
        <w:spacing w:line="364" w:lineRule="auto"/>
        <w:ind w:right="6050"/>
      </w:pPr>
      <w:r>
        <w:rPr/>
        <w:t>(2)召开基金份额持有人大会的条件a.现场开会方式</w:t>
      </w:r>
    </w:p>
    <w:p>
      <w:pPr>
        <w:pStyle w:val="BodyText"/>
        <w:spacing w:line="268" w:lineRule="exact"/>
      </w:pPr>
      <w:r>
        <w:rPr/>
        <w:t>在同时符合以下条件时，现场会议方可举行：</w:t>
      </w:r>
    </w:p>
    <w:p>
      <w:pPr>
        <w:pStyle w:val="ListParagraph"/>
        <w:numPr>
          <w:ilvl w:val="0"/>
          <w:numId w:val="67"/>
        </w:numPr>
        <w:tabs>
          <w:tab w:pos="851" w:val="left" w:leader="none"/>
        </w:tabs>
        <w:spacing w:line="364" w:lineRule="auto" w:before="133" w:after="0"/>
        <w:ind w:left="220" w:right="1418" w:firstLine="420"/>
        <w:jc w:val="left"/>
        <w:rPr>
          <w:sz w:val="21"/>
        </w:rPr>
      </w:pPr>
      <w:r>
        <w:rPr>
          <w:spacing w:val="-6"/>
          <w:sz w:val="21"/>
        </w:rPr>
        <w:t>对到会者在权益登记日持有基金份额的统计显示，全部有效凭证所对应的基金份额应</w:t>
      </w:r>
      <w:r>
        <w:rPr>
          <w:spacing w:val="-5"/>
          <w:sz w:val="21"/>
        </w:rPr>
        <w:t>占权益登记日基金总份额的 </w:t>
      </w:r>
      <w:r>
        <w:rPr>
          <w:sz w:val="21"/>
        </w:rPr>
        <w:t>50%</w:t>
      </w:r>
      <w:r>
        <w:rPr>
          <w:spacing w:val="-11"/>
          <w:sz w:val="21"/>
        </w:rPr>
        <w:t>以上(含 </w:t>
      </w:r>
      <w:r>
        <w:rPr>
          <w:sz w:val="21"/>
        </w:rPr>
        <w:t>50%，下同)；</w:t>
      </w:r>
    </w:p>
    <w:p>
      <w:pPr>
        <w:pStyle w:val="ListParagraph"/>
        <w:numPr>
          <w:ilvl w:val="0"/>
          <w:numId w:val="67"/>
        </w:numPr>
        <w:tabs>
          <w:tab w:pos="851" w:val="left" w:leader="none"/>
        </w:tabs>
        <w:spacing w:line="364" w:lineRule="auto" w:before="0" w:after="0"/>
        <w:ind w:left="220" w:right="1220" w:firstLine="420"/>
        <w:jc w:val="left"/>
        <w:rPr>
          <w:sz w:val="21"/>
        </w:rPr>
      </w:pPr>
      <w:r>
        <w:rPr>
          <w:spacing w:val="-4"/>
          <w:sz w:val="21"/>
        </w:rPr>
        <w:t>到会的基金份额持有人身份证明及持有基金份额的凭证、代理人身份证明、委托人持</w:t>
      </w:r>
      <w:r>
        <w:rPr>
          <w:spacing w:val="-9"/>
          <w:sz w:val="21"/>
        </w:rPr>
        <w:t>有基金份额的凭证及授权委托代理手续完备，到会者出具的相关文件符合有关法律法规和基</w:t>
      </w:r>
      <w:r>
        <w:rPr>
          <w:spacing w:val="-15"/>
          <w:sz w:val="21"/>
        </w:rPr>
        <w:t>金合同及会议通知的规定，并且持有基金份额的凭证与基金管理人持有的注册登记资料相符。</w:t>
      </w:r>
    </w:p>
    <w:p>
      <w:pPr>
        <w:pStyle w:val="BodyText"/>
        <w:spacing w:line="268" w:lineRule="exact"/>
      </w:pPr>
      <w:r>
        <w:rPr/>
        <w:t>未能满足上述条件的情况下，则召集人可另行确定并公告重新开会的时间(至少应在 25</w:t>
      </w:r>
    </w:p>
    <w:p>
      <w:pPr>
        <w:pStyle w:val="BodyText"/>
        <w:spacing w:before="138"/>
        <w:ind w:left="220"/>
      </w:pPr>
      <w:r>
        <w:rPr/>
        <w:t>个工作日后)和地点，但确定有权出席会议的基金份额持有人资格的权益登记日不变。</w:t>
      </w:r>
    </w:p>
    <w:p>
      <w:pPr>
        <w:pStyle w:val="BodyText"/>
        <w:spacing w:before="140"/>
      </w:pPr>
      <w:r>
        <w:rPr/>
        <w:t>b.通讯开会方式</w:t>
      </w:r>
    </w:p>
    <w:p>
      <w:pPr>
        <w:pStyle w:val="BodyText"/>
        <w:spacing w:before="139"/>
      </w:pPr>
      <w:r>
        <w:rPr/>
        <w:t>在同时符合以下条件时，通讯会议方可举行：</w:t>
      </w:r>
    </w:p>
    <w:p>
      <w:pPr>
        <w:pStyle w:val="ListParagraph"/>
        <w:numPr>
          <w:ilvl w:val="0"/>
          <w:numId w:val="68"/>
        </w:numPr>
        <w:tabs>
          <w:tab w:pos="851" w:val="left" w:leader="none"/>
        </w:tabs>
        <w:spacing w:line="240" w:lineRule="auto" w:before="140" w:after="0"/>
        <w:ind w:left="851" w:right="0" w:hanging="211"/>
        <w:jc w:val="left"/>
        <w:rPr>
          <w:sz w:val="21"/>
        </w:rPr>
      </w:pPr>
      <w:r>
        <w:rPr>
          <w:spacing w:val="-5"/>
          <w:sz w:val="21"/>
        </w:rPr>
        <w:t>召集人按本基金合同规定公布会议通知后，在</w:t>
      </w:r>
      <w:r>
        <w:rPr>
          <w:sz w:val="21"/>
        </w:rPr>
        <w:t>2</w:t>
      </w:r>
      <w:r>
        <w:rPr>
          <w:spacing w:val="-12"/>
          <w:sz w:val="21"/>
        </w:rPr>
        <w:t> 个工作日内连续公布相关提示性公告；</w:t>
      </w:r>
    </w:p>
    <w:p>
      <w:pPr>
        <w:pStyle w:val="ListParagraph"/>
        <w:numPr>
          <w:ilvl w:val="0"/>
          <w:numId w:val="68"/>
        </w:numPr>
        <w:tabs>
          <w:tab w:pos="851" w:val="left" w:leader="none"/>
        </w:tabs>
        <w:spacing w:line="240" w:lineRule="auto" w:before="139" w:after="0"/>
        <w:ind w:left="851" w:right="0" w:hanging="211"/>
        <w:jc w:val="left"/>
        <w:rPr>
          <w:sz w:val="21"/>
        </w:rPr>
      </w:pPr>
      <w:r>
        <w:rPr>
          <w:sz w:val="21"/>
        </w:rPr>
        <w:t>召集人按基金合同规定通知基金托管人或/和基金管理人(分别或共同称为“监督人”)</w:t>
      </w:r>
    </w:p>
    <w:p>
      <w:pPr>
        <w:pStyle w:val="BodyText"/>
        <w:spacing w:before="139"/>
        <w:ind w:left="220"/>
      </w:pPr>
      <w:r>
        <w:rPr/>
        <w:t>到指定地点对书面表决意见的计票进行监督；</w:t>
      </w:r>
    </w:p>
    <w:p>
      <w:pPr>
        <w:pStyle w:val="ListParagraph"/>
        <w:numPr>
          <w:ilvl w:val="0"/>
          <w:numId w:val="68"/>
        </w:numPr>
        <w:tabs>
          <w:tab w:pos="854" w:val="left" w:leader="none"/>
        </w:tabs>
        <w:spacing w:line="364" w:lineRule="auto" w:before="140" w:after="0"/>
        <w:ind w:left="220" w:right="1418" w:firstLine="420"/>
        <w:jc w:val="left"/>
        <w:rPr>
          <w:sz w:val="21"/>
        </w:rPr>
      </w:pPr>
      <w:r>
        <w:rPr>
          <w:spacing w:val="2"/>
          <w:sz w:val="21"/>
        </w:rPr>
        <w:t>召集人在监督人和公证机关的监督下按照会议通知规定的方式收取和统计基金份额</w:t>
      </w:r>
      <w:r>
        <w:rPr>
          <w:sz w:val="21"/>
        </w:rPr>
        <w:t>持有人的书面表决意见，监督人经通知拒不到场监督的，不影响表决效力；</w:t>
      </w:r>
    </w:p>
    <w:p>
      <w:pPr>
        <w:pStyle w:val="ListParagraph"/>
        <w:numPr>
          <w:ilvl w:val="0"/>
          <w:numId w:val="68"/>
        </w:numPr>
        <w:tabs>
          <w:tab w:pos="854" w:val="left" w:leader="none"/>
        </w:tabs>
        <w:spacing w:line="364" w:lineRule="auto" w:before="0" w:after="0"/>
        <w:ind w:left="220" w:right="1418" w:firstLine="420"/>
        <w:jc w:val="left"/>
        <w:rPr>
          <w:sz w:val="21"/>
        </w:rPr>
      </w:pPr>
      <w:r>
        <w:rPr>
          <w:spacing w:val="2"/>
          <w:sz w:val="21"/>
        </w:rPr>
        <w:t>本人直接出具书面意见和授权他人代表出具书面意见的基金份额持有人所代表的基</w:t>
      </w:r>
      <w:r>
        <w:rPr>
          <w:spacing w:val="-4"/>
          <w:sz w:val="21"/>
        </w:rPr>
        <w:t>金份额占权益登记日基金总份额的 </w:t>
      </w:r>
      <w:r>
        <w:rPr>
          <w:sz w:val="21"/>
        </w:rPr>
        <w:t>50%以上；</w:t>
      </w:r>
    </w:p>
    <w:p>
      <w:pPr>
        <w:pStyle w:val="ListParagraph"/>
        <w:numPr>
          <w:ilvl w:val="0"/>
          <w:numId w:val="68"/>
        </w:numPr>
        <w:tabs>
          <w:tab w:pos="854" w:val="left" w:leader="none"/>
        </w:tabs>
        <w:spacing w:line="268" w:lineRule="exact" w:before="0" w:after="0"/>
        <w:ind w:left="853" w:right="0" w:hanging="214"/>
        <w:jc w:val="left"/>
        <w:rPr>
          <w:sz w:val="21"/>
        </w:rPr>
      </w:pPr>
      <w:r>
        <w:rPr>
          <w:spacing w:val="2"/>
          <w:sz w:val="21"/>
        </w:rPr>
        <w:t>直接出具书面意见的基金份额持有人或受托代表他人出具书面意见的代理人提交的</w:t>
      </w:r>
    </w:p>
    <w:p>
      <w:pPr>
        <w:spacing w:after="0" w:line="268" w:lineRule="exact"/>
        <w:jc w:val="left"/>
        <w:rPr>
          <w:sz w:val="21"/>
        </w:rPr>
        <w:sectPr>
          <w:pgSz w:w="11910" w:h="16840"/>
          <w:pgMar w:header="0" w:footer="664" w:top="1380" w:bottom="940" w:left="1580" w:right="380"/>
        </w:sectPr>
      </w:pPr>
    </w:p>
    <w:p>
      <w:pPr>
        <w:pStyle w:val="BodyText"/>
        <w:spacing w:line="364" w:lineRule="auto" w:before="45"/>
        <w:ind w:left="220" w:right="1417"/>
      </w:pPr>
      <w:r>
        <w:rPr>
          <w:spacing w:val="-8"/>
        </w:rPr>
        <w:t>持有基金份额的凭证、授权委托书等文件符合法律法规、基金合同和会议通知的规定，并与</w:t>
      </w:r>
      <w:r>
        <w:rPr/>
        <w:t>注册登记机构记录相符。</w:t>
      </w:r>
    </w:p>
    <w:p>
      <w:pPr>
        <w:pStyle w:val="BodyText"/>
        <w:spacing w:line="364" w:lineRule="auto"/>
        <w:ind w:left="220" w:right="1418" w:firstLine="420"/>
        <w:jc w:val="both"/>
      </w:pPr>
      <w:r>
        <w:rPr/>
        <w:t>如果开会条件达不到上述的条件，则召集人可另行确定并公告重新表决的时间(至少应在 25 个工作日后)，且确定有权出席会议的基金份额持有人资格的权益登记日不变。</w:t>
      </w:r>
    </w:p>
    <w:p>
      <w:pPr>
        <w:pStyle w:val="BodyText"/>
        <w:spacing w:line="364" w:lineRule="auto"/>
        <w:ind w:left="220" w:right="1417" w:firstLine="420"/>
        <w:jc w:val="both"/>
      </w:pPr>
      <w:r>
        <w:rPr/>
        <w:t>6）在法律法规或监管机构允许的情况下，经会议通知载明，基金份额持有人也可以采</w:t>
      </w:r>
      <w:r>
        <w:rPr>
          <w:spacing w:val="-11"/>
        </w:rPr>
        <w:t>用网络、电话或其他方式进行表决，或者采用网络、电话或其他方式授权他人代为出席会议</w:t>
      </w:r>
      <w:r>
        <w:rPr/>
        <w:t>并表决。</w:t>
      </w:r>
    </w:p>
    <w:p>
      <w:pPr>
        <w:pStyle w:val="BodyText"/>
        <w:spacing w:line="364" w:lineRule="auto"/>
        <w:ind w:right="7310"/>
      </w:pPr>
      <w:r>
        <w:rPr/>
        <w:t>6、议事内容与程序(1)议事内容及提案权</w:t>
      </w:r>
    </w:p>
    <w:p>
      <w:pPr>
        <w:pStyle w:val="ListParagraph"/>
        <w:numPr>
          <w:ilvl w:val="0"/>
          <w:numId w:val="69"/>
        </w:numPr>
        <w:tabs>
          <w:tab w:pos="854" w:val="left" w:leader="none"/>
        </w:tabs>
        <w:spacing w:line="364" w:lineRule="auto" w:before="0" w:after="0"/>
        <w:ind w:left="220" w:right="1418" w:firstLine="420"/>
        <w:jc w:val="left"/>
        <w:rPr>
          <w:sz w:val="21"/>
        </w:rPr>
      </w:pPr>
      <w:r>
        <w:rPr>
          <w:spacing w:val="2"/>
          <w:sz w:val="21"/>
        </w:rPr>
        <w:t>议事内容为本基金合同规定的召开基金份额持有人大会事由所涉及的内容以及会议</w:t>
      </w:r>
      <w:r>
        <w:rPr>
          <w:sz w:val="21"/>
        </w:rPr>
        <w:t>召集人认为需提交基金份额持有人大会讨论的其他事项。</w:t>
      </w:r>
    </w:p>
    <w:p>
      <w:pPr>
        <w:pStyle w:val="ListParagraph"/>
        <w:numPr>
          <w:ilvl w:val="0"/>
          <w:numId w:val="69"/>
        </w:numPr>
        <w:tabs>
          <w:tab w:pos="851" w:val="left" w:leader="none"/>
        </w:tabs>
        <w:spacing w:line="364" w:lineRule="auto" w:before="0" w:after="0"/>
        <w:ind w:left="220" w:right="1418" w:firstLine="420"/>
        <w:jc w:val="both"/>
        <w:rPr>
          <w:sz w:val="21"/>
        </w:rPr>
      </w:pPr>
      <w:r>
        <w:rPr>
          <w:spacing w:val="-8"/>
          <w:sz w:val="21"/>
        </w:rPr>
        <w:t>基金管理人、基金托管人、单独或合并持有权益登记日本基金总份额 </w:t>
      </w:r>
      <w:r>
        <w:rPr>
          <w:sz w:val="21"/>
        </w:rPr>
        <w:t>10%</w:t>
      </w:r>
      <w:r>
        <w:rPr>
          <w:spacing w:val="-4"/>
          <w:sz w:val="21"/>
        </w:rPr>
        <w:t>以上的基金</w:t>
      </w:r>
      <w:r>
        <w:rPr>
          <w:sz w:val="21"/>
        </w:rPr>
        <w:t>份额持有人可以在大会召集人发出会议通知前就召开事由向大会召集人提交需由基金份额</w:t>
      </w:r>
      <w:r>
        <w:rPr>
          <w:spacing w:val="-9"/>
          <w:sz w:val="21"/>
        </w:rPr>
        <w:t>持有人大会审议表决的提案；也可以在会议通知发出后向大会召集人提交临时提案，临时提</w:t>
      </w:r>
      <w:r>
        <w:rPr>
          <w:spacing w:val="-5"/>
          <w:sz w:val="21"/>
        </w:rPr>
        <w:t>案应当在大会召开日前 </w:t>
      </w:r>
      <w:r>
        <w:rPr>
          <w:sz w:val="21"/>
        </w:rPr>
        <w:t>35</w:t>
      </w:r>
      <w:r>
        <w:rPr>
          <w:spacing w:val="-15"/>
          <w:sz w:val="21"/>
        </w:rPr>
        <w:t> 日提交召集人。召集人对于临时提案应当在大会召开日前 </w:t>
      </w:r>
      <w:r>
        <w:rPr>
          <w:sz w:val="21"/>
        </w:rPr>
        <w:t>30</w:t>
      </w:r>
      <w:r>
        <w:rPr>
          <w:spacing w:val="-23"/>
          <w:sz w:val="21"/>
        </w:rPr>
        <w:t> 日公</w:t>
      </w:r>
      <w:r>
        <w:rPr>
          <w:spacing w:val="-2"/>
          <w:sz w:val="21"/>
        </w:rPr>
        <w:t>告。否则，会议的召开日期应当顺延并保证至少与临时提案公告日期有 </w:t>
      </w:r>
      <w:r>
        <w:rPr>
          <w:sz w:val="21"/>
        </w:rPr>
        <w:t>30</w:t>
      </w:r>
      <w:r>
        <w:rPr>
          <w:spacing w:val="-9"/>
          <w:sz w:val="21"/>
        </w:rPr>
        <w:t> 日的间隔期。</w:t>
      </w:r>
    </w:p>
    <w:p>
      <w:pPr>
        <w:pStyle w:val="ListParagraph"/>
        <w:numPr>
          <w:ilvl w:val="0"/>
          <w:numId w:val="69"/>
        </w:numPr>
        <w:tabs>
          <w:tab w:pos="851" w:val="left" w:leader="none"/>
        </w:tabs>
        <w:spacing w:line="267" w:lineRule="exact" w:before="0" w:after="0"/>
        <w:ind w:left="851" w:right="0" w:hanging="211"/>
        <w:jc w:val="left"/>
        <w:rPr>
          <w:sz w:val="21"/>
        </w:rPr>
      </w:pPr>
      <w:r>
        <w:rPr>
          <w:sz w:val="21"/>
        </w:rPr>
        <w:t>对于基金份额持有人提交的提案，大会召集人应当按照以下原则对提案进行审核:</w:t>
      </w:r>
    </w:p>
    <w:p>
      <w:pPr>
        <w:pStyle w:val="BodyText"/>
        <w:spacing w:line="364" w:lineRule="auto" w:before="134"/>
        <w:ind w:left="220" w:right="1418" w:firstLine="420"/>
        <w:jc w:val="both"/>
      </w:pPr>
      <w:r>
        <w:rPr>
          <w:spacing w:val="-10"/>
        </w:rPr>
        <w:t>关联性。大会召集人对于基金份额持有人提案涉及事项与基金有直接关系，并且不超出</w:t>
      </w:r>
      <w:r>
        <w:rPr>
          <w:spacing w:val="-5"/>
        </w:rPr>
        <w:t>法律法规和基金合同规定的基金份额持有人大会职权范围的，应提交大会审议；对于不符合</w:t>
      </w:r>
      <w:r>
        <w:rPr>
          <w:spacing w:val="-10"/>
        </w:rPr>
        <w:t>上述要求的，不提交基金份额持有人大会审议。如果召集人决定不将基金份额持有人提案提</w:t>
      </w:r>
      <w:r>
        <w:rPr/>
        <w:t>交大会表决，应当在该次基金份额持有人大会上进行解释和说明。</w:t>
      </w:r>
    </w:p>
    <w:p>
      <w:pPr>
        <w:pStyle w:val="BodyText"/>
        <w:spacing w:line="364" w:lineRule="auto"/>
        <w:ind w:left="220" w:right="1418" w:firstLine="420"/>
        <w:jc w:val="both"/>
      </w:pPr>
      <w:r>
        <w:rPr>
          <w:spacing w:val="-10"/>
        </w:rPr>
        <w:t>程序性。大会召集人可以对基金份额持有人的提案涉及的程序性问题做出决定。如将其</w:t>
      </w:r>
      <w:r>
        <w:rPr>
          <w:spacing w:val="-7"/>
        </w:rPr>
        <w:t>提案进行分拆或合并表决，需征得原提案人同意；原提案人不同意变更的，大会主持人可以</w:t>
      </w:r>
      <w:r>
        <w:rPr>
          <w:spacing w:val="-6"/>
        </w:rPr>
        <w:t>就程序性问题提请基金份额持有人大会做出决定，并按照基金份额持有人大会决定的程序进</w:t>
      </w:r>
      <w:r>
        <w:rPr/>
        <w:t>行审议。</w:t>
      </w:r>
    </w:p>
    <w:p>
      <w:pPr>
        <w:pStyle w:val="ListParagraph"/>
        <w:numPr>
          <w:ilvl w:val="0"/>
          <w:numId w:val="69"/>
        </w:numPr>
        <w:tabs>
          <w:tab w:pos="852" w:val="left" w:leader="none"/>
        </w:tabs>
        <w:spacing w:line="364" w:lineRule="auto" w:before="0" w:after="0"/>
        <w:ind w:left="220" w:right="1417" w:firstLine="420"/>
        <w:jc w:val="both"/>
        <w:rPr>
          <w:sz w:val="21"/>
        </w:rPr>
      </w:pPr>
      <w:r>
        <w:rPr>
          <w:spacing w:val="-2"/>
          <w:sz w:val="21"/>
        </w:rPr>
        <w:t>单独或合并持有权益登记日基金总份额 </w:t>
      </w:r>
      <w:r>
        <w:rPr>
          <w:sz w:val="21"/>
        </w:rPr>
        <w:t>10％以上的基金份额持有人提交基金份额持</w:t>
      </w:r>
      <w:r>
        <w:rPr>
          <w:spacing w:val="-9"/>
          <w:sz w:val="21"/>
        </w:rPr>
        <w:t>有人大会审议表决的提案，基金管理人或基金托管人提交基金份额持有人大会审议表决的提</w:t>
      </w:r>
      <w:r>
        <w:rPr>
          <w:spacing w:val="-10"/>
          <w:sz w:val="21"/>
        </w:rPr>
        <w:t>案，未获基金份额持有人大会审议通过，就同一提案再次提请基金份额持有人大会审议，其</w:t>
      </w:r>
      <w:r>
        <w:rPr>
          <w:spacing w:val="-7"/>
          <w:sz w:val="21"/>
        </w:rPr>
        <w:t>时间间隔不少于 </w:t>
      </w:r>
      <w:r>
        <w:rPr>
          <w:sz w:val="21"/>
        </w:rPr>
        <w:t>6</w:t>
      </w:r>
      <w:r>
        <w:rPr>
          <w:spacing w:val="-8"/>
          <w:sz w:val="21"/>
        </w:rPr>
        <w:t> 个月。法律法规另有规定的除外</w:t>
      </w:r>
    </w:p>
    <w:p>
      <w:pPr>
        <w:pStyle w:val="ListParagraph"/>
        <w:numPr>
          <w:ilvl w:val="0"/>
          <w:numId w:val="69"/>
        </w:numPr>
        <w:tabs>
          <w:tab w:pos="851" w:val="left" w:leader="none"/>
        </w:tabs>
        <w:spacing w:line="364" w:lineRule="auto" w:before="0" w:after="0"/>
        <w:ind w:left="220" w:right="1220" w:firstLine="420"/>
        <w:jc w:val="left"/>
        <w:rPr>
          <w:sz w:val="21"/>
        </w:rPr>
      </w:pPr>
      <w:r>
        <w:rPr>
          <w:spacing w:val="-6"/>
          <w:sz w:val="21"/>
        </w:rPr>
        <w:t>基金份额持有人大会的召集人发出召开会议的通知后，如果需要对原有提案进行修改， </w:t>
      </w:r>
      <w:r>
        <w:rPr>
          <w:spacing w:val="-4"/>
          <w:sz w:val="21"/>
        </w:rPr>
        <w:t>应当在基金份额持有人大会召开前 </w:t>
      </w:r>
      <w:r>
        <w:rPr>
          <w:sz w:val="21"/>
        </w:rPr>
        <w:t>30</w:t>
      </w:r>
      <w:r>
        <w:rPr>
          <w:spacing w:val="-8"/>
          <w:sz w:val="21"/>
        </w:rPr>
        <w:t> 日及时公告。否则，会议的召开日期应当顺延并保证至</w:t>
      </w:r>
      <w:r>
        <w:rPr>
          <w:spacing w:val="-14"/>
          <w:sz w:val="21"/>
        </w:rPr>
        <w:t>少与公告日期有 </w:t>
      </w:r>
      <w:r>
        <w:rPr>
          <w:sz w:val="21"/>
        </w:rPr>
        <w:t>30</w:t>
      </w:r>
      <w:r>
        <w:rPr>
          <w:spacing w:val="-9"/>
          <w:sz w:val="21"/>
        </w:rPr>
        <w:t> 日的间隔期。</w:t>
      </w:r>
    </w:p>
    <w:p>
      <w:pPr>
        <w:pStyle w:val="ListParagraph"/>
        <w:numPr>
          <w:ilvl w:val="0"/>
          <w:numId w:val="70"/>
        </w:numPr>
        <w:tabs>
          <w:tab w:pos="956" w:val="left" w:leader="none"/>
        </w:tabs>
        <w:spacing w:line="364" w:lineRule="auto" w:before="0" w:after="0"/>
        <w:ind w:left="640" w:right="8150" w:firstLine="0"/>
        <w:jc w:val="left"/>
        <w:rPr>
          <w:sz w:val="21"/>
        </w:rPr>
      </w:pPr>
      <w:r>
        <w:rPr>
          <w:spacing w:val="-5"/>
          <w:sz w:val="21"/>
        </w:rPr>
        <w:t>议事程序</w:t>
      </w:r>
      <w:r>
        <w:rPr>
          <w:sz w:val="21"/>
        </w:rPr>
        <w:t>a.现场开会</w:t>
      </w:r>
    </w:p>
    <w:p>
      <w:pPr>
        <w:spacing w:after="0" w:line="364" w:lineRule="auto"/>
        <w:jc w:val="left"/>
        <w:rPr>
          <w:sz w:val="21"/>
        </w:rPr>
        <w:sectPr>
          <w:pgSz w:w="11910" w:h="16840"/>
          <w:pgMar w:header="0" w:footer="664" w:top="1380" w:bottom="940" w:left="1580" w:right="380"/>
        </w:sectPr>
      </w:pPr>
    </w:p>
    <w:p>
      <w:pPr>
        <w:pStyle w:val="BodyText"/>
        <w:spacing w:line="364" w:lineRule="auto" w:before="45"/>
        <w:ind w:left="220" w:right="1208" w:firstLine="420"/>
      </w:pPr>
      <w:r>
        <w:rPr/>
        <w:t>在现场开会的方式下，首先由大会主持人按照规定程序宣布会议议事程序及注意事项， </w:t>
      </w:r>
      <w:r>
        <w:rPr>
          <w:spacing w:val="-7"/>
        </w:rPr>
        <w:t>确定和公布监票人，然后由大会主持人宣读提案，经讨论后进行表决，经合法执业的律师见 证后形成大会决议。</w:t>
      </w:r>
    </w:p>
    <w:p>
      <w:pPr>
        <w:pStyle w:val="BodyText"/>
        <w:spacing w:line="364" w:lineRule="auto"/>
        <w:ind w:left="220" w:right="1208" w:firstLine="420"/>
      </w:pPr>
      <w:r>
        <w:rPr>
          <w:spacing w:val="-6"/>
        </w:rPr>
        <w:t>大会由召集人授权代表主持。基金管理人为召集人的，其授权代表未能主持大会的情况 </w:t>
      </w:r>
      <w:r>
        <w:rPr>
          <w:spacing w:val="-5"/>
        </w:rPr>
        <w:t>下，由基金托管人授权代表主持；如果基金管理人和基金托管人授权代表均未能主持大会， </w:t>
      </w:r>
      <w:r>
        <w:rPr>
          <w:spacing w:val="2"/>
        </w:rPr>
        <w:t>则由出席大会的基金份额持有人和代理人以所代表的基金份额 </w:t>
      </w:r>
      <w:r>
        <w:rPr/>
        <w:t>50%以上多数选举产生一名代</w:t>
      </w:r>
      <w:r>
        <w:rPr>
          <w:spacing w:val="-5"/>
        </w:rPr>
        <w:t>表作为该次基金份额持有人大会的主持人。基金管理人和基金托管人不出席或主持基金份 额持有人大会，不影响基金份额持有人大会做出的决议的效力。</w:t>
      </w:r>
    </w:p>
    <w:p>
      <w:pPr>
        <w:pStyle w:val="BodyText"/>
        <w:spacing w:line="364" w:lineRule="auto"/>
        <w:ind w:left="220" w:right="1208" w:firstLine="420"/>
      </w:pPr>
      <w:r>
        <w:rPr/>
        <w:t>召集人应当制作出席会议人员的签名册。签名册载明参加会议人员姓名(或单位名称)、身份证号码、持有或代表有表决权的基金份额数量、委托人姓名(或单位名称)等事项。</w:t>
      </w:r>
    </w:p>
    <w:p>
      <w:pPr>
        <w:pStyle w:val="BodyText"/>
        <w:spacing w:line="268" w:lineRule="exact"/>
      </w:pPr>
      <w:r>
        <w:rPr/>
        <w:t>b.通讯方式开会</w:t>
      </w:r>
    </w:p>
    <w:p>
      <w:pPr>
        <w:pStyle w:val="BodyText"/>
        <w:spacing w:line="364" w:lineRule="auto" w:before="136"/>
        <w:ind w:left="220" w:right="1418" w:firstLine="420"/>
        <w:jc w:val="both"/>
      </w:pPr>
      <w:r>
        <w:rPr>
          <w:spacing w:val="-3"/>
        </w:rPr>
        <w:t>在通讯表决开会的方式下，首先由召集人提前 </w:t>
      </w:r>
      <w:r>
        <w:rPr/>
        <w:t>30</w:t>
      </w:r>
      <w:r>
        <w:rPr>
          <w:spacing w:val="-8"/>
        </w:rPr>
        <w:t> 日公布提案，在所通知的表决截止日</w:t>
      </w:r>
      <w:r>
        <w:rPr>
          <w:spacing w:val="-20"/>
        </w:rPr>
        <w:t>期后第 </w:t>
      </w:r>
      <w:r>
        <w:rPr/>
        <w:t>2</w:t>
      </w:r>
      <w:r>
        <w:rPr>
          <w:spacing w:val="-12"/>
        </w:rPr>
        <w:t> 个工作日在公证机关及监督人的监督下由召集人统计全部有效表决并形成决议。如</w:t>
      </w:r>
      <w:r>
        <w:rPr/>
        <w:t>监督人经通知但拒绝到场监督，则在公证机关监督下形成的决议有效。</w:t>
      </w:r>
    </w:p>
    <w:p>
      <w:pPr>
        <w:pStyle w:val="ListParagraph"/>
        <w:numPr>
          <w:ilvl w:val="0"/>
          <w:numId w:val="70"/>
        </w:numPr>
        <w:tabs>
          <w:tab w:pos="956" w:val="left" w:leader="none"/>
        </w:tabs>
        <w:spacing w:line="364" w:lineRule="auto" w:before="0" w:after="0"/>
        <w:ind w:left="640" w:right="3320" w:firstLine="0"/>
        <w:jc w:val="left"/>
        <w:rPr>
          <w:sz w:val="21"/>
        </w:rPr>
      </w:pPr>
      <w:r>
        <w:rPr>
          <w:spacing w:val="-1"/>
          <w:sz w:val="21"/>
        </w:rPr>
        <w:t>基金份额持有人大会不得对未事先公告的议事内容进行表决。</w:t>
      </w:r>
      <w:r>
        <w:rPr>
          <w:sz w:val="21"/>
        </w:rPr>
        <w:t>7、决议形成的条件、表决方式、程序</w:t>
      </w:r>
    </w:p>
    <w:p>
      <w:pPr>
        <w:pStyle w:val="BodyText"/>
        <w:spacing w:line="364" w:lineRule="auto"/>
        <w:ind w:right="3950"/>
      </w:pPr>
      <w:r>
        <w:rPr/>
        <w:t>(1)基金份额持有人所持每一基金份额享有平等的表决权。(2)基金份额持有人大会决议分为一般决议和特别决议： a．一般决议</w:t>
      </w:r>
    </w:p>
    <w:p>
      <w:pPr>
        <w:pStyle w:val="BodyText"/>
        <w:spacing w:line="364" w:lineRule="auto"/>
        <w:ind w:left="220" w:right="1418" w:firstLine="420"/>
        <w:jc w:val="both"/>
      </w:pPr>
      <w:r>
        <w:rPr>
          <w:spacing w:val="-2"/>
        </w:rPr>
        <w:t>一般决议须经出席会议的基金份额持有人(或其代理人)所持表决权的 </w:t>
      </w:r>
      <w:r>
        <w:rPr/>
        <w:t>50%（含本数</w:t>
      </w:r>
      <w:r>
        <w:rPr>
          <w:spacing w:val="-42"/>
        </w:rPr>
        <w:t>）</w:t>
      </w:r>
      <w:r>
        <w:rPr>
          <w:spacing w:val="-17"/>
        </w:rPr>
        <w:t>以</w:t>
      </w:r>
      <w:r>
        <w:rPr/>
        <w:t>上通过方为有效，除下列(2)所规定的须以特别决议通过事项以外的其他事项均以一般决议的方式通过。</w:t>
      </w:r>
    </w:p>
    <w:p>
      <w:pPr>
        <w:pStyle w:val="BodyText"/>
        <w:spacing w:line="268" w:lineRule="exact"/>
      </w:pPr>
      <w:r>
        <w:rPr/>
        <w:t>b．特别决议</w:t>
      </w:r>
    </w:p>
    <w:p>
      <w:pPr>
        <w:pStyle w:val="BodyText"/>
        <w:spacing w:line="364" w:lineRule="auto" w:before="135"/>
        <w:ind w:left="220" w:right="1418" w:firstLine="420"/>
        <w:jc w:val="both"/>
      </w:pPr>
      <w:r>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pPr>
        <w:pStyle w:val="ListParagraph"/>
        <w:numPr>
          <w:ilvl w:val="0"/>
          <w:numId w:val="71"/>
        </w:numPr>
        <w:tabs>
          <w:tab w:pos="956" w:val="left" w:leader="none"/>
        </w:tabs>
        <w:spacing w:line="364" w:lineRule="auto" w:before="0" w:after="0"/>
        <w:ind w:left="220" w:right="1418" w:firstLine="420"/>
        <w:jc w:val="left"/>
        <w:rPr>
          <w:sz w:val="21"/>
        </w:rPr>
      </w:pPr>
      <w:r>
        <w:rPr>
          <w:sz w:val="21"/>
        </w:rPr>
        <w:t>基金份额持有人大会决定的事项，应当依法报中国证监会核准或者备案，并予以公告。</w:t>
      </w:r>
    </w:p>
    <w:p>
      <w:pPr>
        <w:pStyle w:val="ListParagraph"/>
        <w:numPr>
          <w:ilvl w:val="0"/>
          <w:numId w:val="71"/>
        </w:numPr>
        <w:tabs>
          <w:tab w:pos="956" w:val="left" w:leader="none"/>
        </w:tabs>
        <w:spacing w:line="364" w:lineRule="auto" w:before="0" w:after="0"/>
        <w:ind w:left="220" w:right="1418" w:firstLine="420"/>
        <w:jc w:val="both"/>
        <w:rPr>
          <w:sz w:val="21"/>
        </w:rPr>
      </w:pPr>
      <w:r>
        <w:rPr>
          <w:sz w:val="21"/>
        </w:rPr>
        <w:t>采取通讯方式进行表决时，除非在计票时有充分的相反证据证明，否则表面符合法</w:t>
      </w:r>
      <w:r>
        <w:rPr>
          <w:spacing w:val="-5"/>
          <w:sz w:val="21"/>
        </w:rPr>
        <w:t>律法规和会议通知规定的书面表决意见即视为有效的表决，表决意见模糊不清或相互矛盾的</w:t>
      </w:r>
      <w:r>
        <w:rPr>
          <w:sz w:val="21"/>
        </w:rPr>
        <w:t>视为弃权表决，但应当计入出具书面意见的基金份额持有人所代表的基金份额总数。</w:t>
      </w:r>
    </w:p>
    <w:p>
      <w:pPr>
        <w:pStyle w:val="ListParagraph"/>
        <w:numPr>
          <w:ilvl w:val="0"/>
          <w:numId w:val="71"/>
        </w:numPr>
        <w:tabs>
          <w:tab w:pos="956" w:val="left" w:leader="none"/>
        </w:tabs>
        <w:spacing w:line="268" w:lineRule="exact" w:before="0" w:after="0"/>
        <w:ind w:left="956" w:right="0" w:hanging="316"/>
        <w:jc w:val="left"/>
        <w:rPr>
          <w:sz w:val="21"/>
        </w:rPr>
      </w:pPr>
      <w:r>
        <w:rPr>
          <w:sz w:val="21"/>
        </w:rPr>
        <w:t>基金份额持有人大会采取记名方式进行投票表决。</w:t>
      </w:r>
    </w:p>
    <w:p>
      <w:pPr>
        <w:pStyle w:val="ListParagraph"/>
        <w:numPr>
          <w:ilvl w:val="0"/>
          <w:numId w:val="71"/>
        </w:numPr>
        <w:tabs>
          <w:tab w:pos="956" w:val="left" w:leader="none"/>
        </w:tabs>
        <w:spacing w:line="364" w:lineRule="auto" w:before="137" w:after="0"/>
        <w:ind w:left="220" w:right="1418" w:firstLine="420"/>
        <w:jc w:val="left"/>
        <w:rPr>
          <w:sz w:val="21"/>
        </w:rPr>
      </w:pPr>
      <w:r>
        <w:rPr>
          <w:sz w:val="21"/>
        </w:rPr>
        <w:t>基金份额持有人大会的各项提案或同一项提案内并列的各项议题应当分开审议、逐项表决。</w:t>
      </w:r>
    </w:p>
    <w:p>
      <w:pPr>
        <w:spacing w:after="0" w:line="364" w:lineRule="auto"/>
        <w:jc w:val="left"/>
        <w:rPr>
          <w:sz w:val="21"/>
        </w:rPr>
        <w:sectPr>
          <w:pgSz w:w="11910" w:h="16840"/>
          <w:pgMar w:header="0" w:footer="664" w:top="1380" w:bottom="940" w:left="1580" w:right="380"/>
        </w:sectPr>
      </w:pPr>
    </w:p>
    <w:p>
      <w:pPr>
        <w:pStyle w:val="BodyText"/>
        <w:spacing w:before="45"/>
      </w:pPr>
      <w:r>
        <w:rPr/>
        <w:t>8、计票</w:t>
      </w:r>
    </w:p>
    <w:p>
      <w:pPr>
        <w:pStyle w:val="ListParagraph"/>
        <w:numPr>
          <w:ilvl w:val="0"/>
          <w:numId w:val="72"/>
        </w:numPr>
        <w:tabs>
          <w:tab w:pos="956" w:val="left" w:leader="none"/>
        </w:tabs>
        <w:spacing w:line="240" w:lineRule="auto" w:before="139" w:after="0"/>
        <w:ind w:left="956" w:right="0" w:hanging="316"/>
        <w:jc w:val="left"/>
        <w:rPr>
          <w:sz w:val="21"/>
        </w:rPr>
      </w:pPr>
      <w:r>
        <w:rPr>
          <w:sz w:val="21"/>
        </w:rPr>
        <w:t>现场开会</w:t>
      </w:r>
    </w:p>
    <w:p>
      <w:pPr>
        <w:pStyle w:val="ListParagraph"/>
        <w:numPr>
          <w:ilvl w:val="0"/>
          <w:numId w:val="73"/>
        </w:numPr>
        <w:tabs>
          <w:tab w:pos="851" w:val="left" w:leader="none"/>
        </w:tabs>
        <w:spacing w:line="364" w:lineRule="auto" w:before="140" w:after="0"/>
        <w:ind w:left="220" w:right="1220" w:firstLine="420"/>
        <w:jc w:val="left"/>
        <w:rPr>
          <w:sz w:val="21"/>
        </w:rPr>
      </w:pPr>
      <w:r>
        <w:rPr>
          <w:spacing w:val="-4"/>
          <w:sz w:val="21"/>
        </w:rPr>
        <w:t>如基金份额持有人大会由基金管理人或基金托管人召集，则基金份额持有人大会的主</w:t>
      </w:r>
      <w:r>
        <w:rPr>
          <w:sz w:val="21"/>
        </w:rPr>
        <w:t>持人应当在会议开始后宣布在出席会议的基金份额持有人和代理人中推举两名基金份额持 </w:t>
      </w:r>
      <w:r>
        <w:rPr>
          <w:spacing w:val="-4"/>
          <w:sz w:val="21"/>
        </w:rPr>
        <w:t>有人代表与大会召集人授权的一名监督员共同担任监票人；如大会由基金份额持有人自行召</w:t>
      </w:r>
      <w:r>
        <w:rPr>
          <w:spacing w:val="-10"/>
          <w:sz w:val="21"/>
        </w:rPr>
        <w:t>集或大会虽然由基金管理人或基金托管人召集，但是基金管理人或基金托管人未出席大会的， </w:t>
      </w:r>
      <w:r>
        <w:rPr>
          <w:sz w:val="21"/>
        </w:rPr>
        <w:t>基金份额持有人大会的主持人应当在会议开始后宣布在出席会议的基金份额持有人和代理 </w:t>
      </w:r>
      <w:r>
        <w:rPr>
          <w:spacing w:val="-5"/>
          <w:sz w:val="21"/>
        </w:rPr>
        <w:t>人中推举两名基金份额持有人代表与基金管理人、基金托管人授权的一名监督员共同担任监</w:t>
      </w:r>
      <w:r>
        <w:rPr>
          <w:spacing w:val="-11"/>
          <w:sz w:val="21"/>
        </w:rPr>
        <w:t>票人；但如果基金管理人和基金托管人的授权代表未出席，则大会主持人可自行选举三名基金份额持有人代表担任监票人。</w:t>
      </w:r>
    </w:p>
    <w:p>
      <w:pPr>
        <w:pStyle w:val="ListParagraph"/>
        <w:numPr>
          <w:ilvl w:val="0"/>
          <w:numId w:val="73"/>
        </w:numPr>
        <w:tabs>
          <w:tab w:pos="851" w:val="left" w:leader="none"/>
        </w:tabs>
        <w:spacing w:line="364" w:lineRule="auto" w:before="0" w:after="0"/>
        <w:ind w:left="640" w:right="1220" w:firstLine="0"/>
        <w:jc w:val="left"/>
        <w:rPr>
          <w:sz w:val="21"/>
        </w:rPr>
      </w:pPr>
      <w:r>
        <w:rPr>
          <w:spacing w:val="-6"/>
          <w:sz w:val="21"/>
        </w:rPr>
        <w:t>监票人应当在基金份额持有人表决后立即进行清点，由大会主持人当场公布计票结果。</w:t>
      </w:r>
      <w:r>
        <w:rPr>
          <w:sz w:val="21"/>
        </w:rPr>
        <w:t>c.</w:t>
      </w:r>
      <w:r>
        <w:rPr>
          <w:spacing w:val="-4"/>
          <w:sz w:val="21"/>
        </w:rPr>
        <w:t>如大会主持人对于提交的表决结果有异议，可以对投票数进行重新清点；如大会主持</w:t>
      </w:r>
    </w:p>
    <w:p>
      <w:pPr>
        <w:pStyle w:val="BodyText"/>
        <w:spacing w:line="364" w:lineRule="auto"/>
        <w:ind w:left="220" w:right="1418"/>
        <w:jc w:val="both"/>
      </w:pPr>
      <w:r>
        <w:rPr>
          <w:spacing w:val="-11"/>
        </w:rPr>
        <w:t>人未进行重新清点，而出席大会的基金份额持有人或代理人对大会主持人宣布的表决结果有</w:t>
      </w:r>
      <w:r>
        <w:rPr>
          <w:spacing w:val="-10"/>
        </w:rPr>
        <w:t>异议，其有权在宣布表决结果后立即要求重新清点，大会主持人应当立即重新清点并公布重</w:t>
      </w:r>
      <w:r>
        <w:rPr/>
        <w:t>新清点结果。重新清点仅限一次。</w:t>
      </w:r>
    </w:p>
    <w:p>
      <w:pPr>
        <w:pStyle w:val="ListParagraph"/>
        <w:numPr>
          <w:ilvl w:val="0"/>
          <w:numId w:val="72"/>
        </w:numPr>
        <w:tabs>
          <w:tab w:pos="956" w:val="left" w:leader="none"/>
        </w:tabs>
        <w:spacing w:line="268" w:lineRule="exact" w:before="0" w:after="0"/>
        <w:ind w:left="956" w:right="0" w:hanging="316"/>
        <w:jc w:val="left"/>
        <w:rPr>
          <w:sz w:val="21"/>
        </w:rPr>
      </w:pPr>
      <w:r>
        <w:rPr>
          <w:sz w:val="21"/>
        </w:rPr>
        <w:t>通讯方式开会</w:t>
      </w:r>
    </w:p>
    <w:p>
      <w:pPr>
        <w:pStyle w:val="BodyText"/>
        <w:spacing w:line="364" w:lineRule="auto" w:before="135"/>
        <w:ind w:left="220" w:right="1418" w:firstLine="420"/>
        <w:jc w:val="both"/>
      </w:pPr>
      <w:r>
        <w:rPr>
          <w:spacing w:val="-7"/>
        </w:rPr>
        <w:t>在通讯方式开会的情况下，计票方式为：由大会召集人授权的两名监票员在监督人派出</w:t>
      </w:r>
      <w:r>
        <w:rPr>
          <w:spacing w:val="-5"/>
        </w:rPr>
        <w:t>的授权代表的监督下进行计票，并由公证机关对其计票过程予以公证；如监督人经通知但拒</w:t>
      </w:r>
      <w:r>
        <w:rPr>
          <w:spacing w:val="-10"/>
        </w:rPr>
        <w:t>绝到场监督，则大会召集人可自行授权 </w:t>
      </w:r>
      <w:r>
        <w:rPr/>
        <w:t>3</w:t>
      </w:r>
      <w:r>
        <w:rPr>
          <w:spacing w:val="-12"/>
        </w:rPr>
        <w:t> 名监票员进行计票，并由公证机关对其计票过程予</w:t>
      </w:r>
      <w:r>
        <w:rPr/>
        <w:t>以公证。</w:t>
      </w:r>
    </w:p>
    <w:p>
      <w:pPr>
        <w:pStyle w:val="BodyText"/>
        <w:spacing w:line="267" w:lineRule="exact"/>
      </w:pPr>
      <w:r>
        <w:rPr/>
        <w:t>9、基金份额持有人大会决议报中国证监会核准或备案后的公告时间、方式</w:t>
      </w:r>
    </w:p>
    <w:p>
      <w:pPr>
        <w:pStyle w:val="ListParagraph"/>
        <w:numPr>
          <w:ilvl w:val="0"/>
          <w:numId w:val="74"/>
        </w:numPr>
        <w:tabs>
          <w:tab w:pos="956" w:val="left" w:leader="none"/>
        </w:tabs>
        <w:spacing w:line="364" w:lineRule="auto" w:before="139" w:after="0"/>
        <w:ind w:left="220" w:right="1418" w:firstLine="420"/>
        <w:jc w:val="both"/>
        <w:rPr>
          <w:sz w:val="21"/>
        </w:rPr>
      </w:pPr>
      <w:r>
        <w:rPr>
          <w:spacing w:val="-2"/>
          <w:sz w:val="21"/>
        </w:rPr>
        <w:t>基金份额持有人大会通过的一般决议和特别决议，召集人应当自通过之日起 </w:t>
      </w:r>
      <w:r>
        <w:rPr>
          <w:sz w:val="21"/>
        </w:rPr>
        <w:t>5</w:t>
      </w:r>
      <w:r>
        <w:rPr>
          <w:spacing w:val="-18"/>
          <w:sz w:val="21"/>
        </w:rPr>
        <w:t> 日内报中国证监会核准或者备案。基金份额持有人大会决定的事项自中国证监会依法核准或者出</w:t>
      </w:r>
      <w:r>
        <w:rPr>
          <w:sz w:val="21"/>
        </w:rPr>
        <w:t>具无异议意见之日起生效。关于本章第(二)条所规定的第(1)-(8)项召开事由的基金份额持有人大会决议经中国证监会核准生效后方可执行，关于本章第(二)条所规定的第(9)、(10) 项召开事由的基金份额持有人大会决议经中国证监会核准或出具无异议意见后方可执行。</w:t>
      </w:r>
    </w:p>
    <w:p>
      <w:pPr>
        <w:pStyle w:val="ListParagraph"/>
        <w:numPr>
          <w:ilvl w:val="0"/>
          <w:numId w:val="74"/>
        </w:numPr>
        <w:tabs>
          <w:tab w:pos="956" w:val="left" w:leader="none"/>
        </w:tabs>
        <w:spacing w:line="364" w:lineRule="auto" w:before="0" w:after="0"/>
        <w:ind w:left="220" w:right="1418" w:firstLine="420"/>
        <w:jc w:val="both"/>
        <w:rPr>
          <w:sz w:val="21"/>
        </w:rPr>
      </w:pPr>
      <w:r>
        <w:rPr>
          <w:sz w:val="21"/>
        </w:rPr>
        <w:t>生效的基金份额持有人大会决议对全体基金份额持有人、基金管理人、基金托管人</w:t>
      </w:r>
      <w:r>
        <w:rPr>
          <w:spacing w:val="-12"/>
          <w:sz w:val="21"/>
        </w:rPr>
        <w:t>均有约束力。基金管理人、基金托管人和基金份额持有人应当执行生效的基金份额持有人大</w:t>
      </w:r>
      <w:r>
        <w:rPr>
          <w:sz w:val="21"/>
        </w:rPr>
        <w:t>会决议。</w:t>
      </w:r>
    </w:p>
    <w:p>
      <w:pPr>
        <w:pStyle w:val="ListParagraph"/>
        <w:numPr>
          <w:ilvl w:val="0"/>
          <w:numId w:val="74"/>
        </w:numPr>
        <w:tabs>
          <w:tab w:pos="956" w:val="left" w:leader="none"/>
        </w:tabs>
        <w:spacing w:line="364" w:lineRule="auto" w:before="0" w:after="0"/>
        <w:ind w:left="220" w:right="1418" w:firstLine="420"/>
        <w:jc w:val="both"/>
        <w:rPr>
          <w:sz w:val="21"/>
        </w:rPr>
      </w:pPr>
      <w:r>
        <w:rPr>
          <w:spacing w:val="-3"/>
          <w:sz w:val="21"/>
        </w:rPr>
        <w:t>基金份额持有人大会决议应自生效之日起 </w:t>
      </w:r>
      <w:r>
        <w:rPr>
          <w:sz w:val="21"/>
        </w:rPr>
        <w:t>2</w:t>
      </w:r>
      <w:r>
        <w:rPr>
          <w:spacing w:val="-8"/>
          <w:sz w:val="21"/>
        </w:rPr>
        <w:t> 日内在指定媒介公告。如果采用通讯方</w:t>
      </w:r>
      <w:r>
        <w:rPr>
          <w:spacing w:val="-12"/>
          <w:sz w:val="21"/>
        </w:rPr>
        <w:t>式进行表决，在公告基金份额持有人大会决议时，必须将公证书全文、公证机构、公证员姓</w:t>
      </w:r>
      <w:r>
        <w:rPr>
          <w:sz w:val="21"/>
        </w:rPr>
        <w:t>名等一同公告。</w:t>
      </w:r>
    </w:p>
    <w:p>
      <w:pPr>
        <w:pStyle w:val="BodyText"/>
        <w:spacing w:line="268" w:lineRule="exact"/>
      </w:pPr>
      <w:r>
        <w:rPr/>
        <w:t>10、法律法规或监管机关对基金份额持有人大会另有规定的，从其规定。</w:t>
      </w:r>
    </w:p>
    <w:p>
      <w:pPr>
        <w:spacing w:after="0" w:line="268" w:lineRule="exact"/>
        <w:sectPr>
          <w:pgSz w:w="11910" w:h="16840"/>
          <w:pgMar w:header="0" w:footer="664" w:top="1380" w:bottom="940" w:left="1580" w:right="380"/>
        </w:sectPr>
      </w:pPr>
    </w:p>
    <w:p>
      <w:pPr>
        <w:pStyle w:val="Heading3"/>
        <w:spacing w:before="46"/>
      </w:pPr>
      <w:bookmarkStart w:name="_bookmark108" w:id="109"/>
      <w:bookmarkEnd w:id="109"/>
      <w:r>
        <w:rPr/>
      </w:r>
      <w:r>
        <w:rPr/>
        <w:t>(五)基金合同的变更、终止与基金财产的清算</w:t>
      </w:r>
    </w:p>
    <w:p>
      <w:pPr>
        <w:pStyle w:val="BodyText"/>
        <w:spacing w:before="185"/>
      </w:pPr>
      <w:r>
        <w:rPr/>
        <w:t>1、《基金合同》的变更</w:t>
      </w:r>
    </w:p>
    <w:p>
      <w:pPr>
        <w:pStyle w:val="ListParagraph"/>
        <w:numPr>
          <w:ilvl w:val="0"/>
          <w:numId w:val="75"/>
        </w:numPr>
        <w:tabs>
          <w:tab w:pos="956" w:val="left" w:leader="none"/>
        </w:tabs>
        <w:spacing w:line="364" w:lineRule="auto" w:before="139" w:after="0"/>
        <w:ind w:left="220" w:right="1418" w:firstLine="420"/>
        <w:jc w:val="left"/>
        <w:rPr>
          <w:sz w:val="21"/>
        </w:rPr>
      </w:pPr>
      <w:r>
        <w:rPr>
          <w:sz w:val="21"/>
        </w:rPr>
        <w:t>基金合同变更内容对基金合同当事人权利、义务产生重大影响的，应召开基金份额持有人大会，基金合同变更的内容应经基金份额持有人大会决议同意：</w:t>
      </w:r>
    </w:p>
    <w:p>
      <w:pPr>
        <w:pStyle w:val="BodyText"/>
        <w:spacing w:line="364" w:lineRule="auto"/>
        <w:ind w:right="7190"/>
      </w:pPr>
      <w:r>
        <w:rPr/>
        <w:t>a.转换基金运作方式； b.更换基金托管人；</w:t>
      </w:r>
    </w:p>
    <w:p>
      <w:pPr>
        <w:pStyle w:val="BodyText"/>
        <w:spacing w:line="364" w:lineRule="auto"/>
        <w:ind w:right="1222"/>
      </w:pPr>
      <w:r>
        <w:rPr/>
        <w:t>c.</w:t>
      </w:r>
      <w:r>
        <w:rPr>
          <w:spacing w:val="-9"/>
        </w:rPr>
        <w:t>变更基金投资目标、投资范围或投资策略</w:t>
      </w:r>
      <w:r>
        <w:rPr/>
        <w:t>（法律法规和中国证监会另有规定的除外</w:t>
      </w:r>
      <w:r>
        <w:rPr>
          <w:spacing w:val="-113"/>
        </w:rPr>
        <w:t>）</w:t>
      </w:r>
      <w:r>
        <w:rPr>
          <w:spacing w:val="-8"/>
        </w:rPr>
        <w:t>；</w:t>
      </w:r>
      <w:r>
        <w:rPr/>
        <w:t> d.变更基金份额持有人大会程序；</w:t>
      </w:r>
    </w:p>
    <w:p>
      <w:pPr>
        <w:pStyle w:val="ListParagraph"/>
        <w:numPr>
          <w:ilvl w:val="0"/>
          <w:numId w:val="76"/>
        </w:numPr>
        <w:tabs>
          <w:tab w:pos="851" w:val="left" w:leader="none"/>
        </w:tabs>
        <w:spacing w:line="268" w:lineRule="exact" w:before="0" w:after="0"/>
        <w:ind w:left="851" w:right="0" w:hanging="211"/>
        <w:jc w:val="left"/>
        <w:rPr>
          <w:sz w:val="21"/>
        </w:rPr>
      </w:pPr>
      <w:r>
        <w:rPr>
          <w:sz w:val="21"/>
        </w:rPr>
        <w:t>更换基金管理人、基金托管人；</w:t>
      </w:r>
    </w:p>
    <w:p>
      <w:pPr>
        <w:pStyle w:val="ListParagraph"/>
        <w:numPr>
          <w:ilvl w:val="0"/>
          <w:numId w:val="76"/>
        </w:numPr>
        <w:tabs>
          <w:tab w:pos="851" w:val="left" w:leader="none"/>
        </w:tabs>
        <w:spacing w:line="364" w:lineRule="auto" w:before="138" w:after="0"/>
        <w:ind w:left="220" w:right="1418" w:firstLine="420"/>
        <w:jc w:val="left"/>
        <w:rPr>
          <w:sz w:val="21"/>
        </w:rPr>
      </w:pPr>
      <w:r>
        <w:rPr>
          <w:spacing w:val="-10"/>
          <w:sz w:val="21"/>
        </w:rPr>
        <w:t>提高基金管理人、基金托管人的报酬标准。但根据适用的相关规定提高该等报酬标准</w:t>
      </w:r>
      <w:r>
        <w:rPr>
          <w:sz w:val="21"/>
        </w:rPr>
        <w:t>的除外；</w:t>
      </w:r>
    </w:p>
    <w:p>
      <w:pPr>
        <w:pStyle w:val="ListParagraph"/>
        <w:numPr>
          <w:ilvl w:val="0"/>
          <w:numId w:val="76"/>
        </w:numPr>
        <w:tabs>
          <w:tab w:pos="851" w:val="left" w:leader="none"/>
        </w:tabs>
        <w:spacing w:line="268" w:lineRule="exact" w:before="0" w:after="0"/>
        <w:ind w:left="851" w:right="0" w:hanging="211"/>
        <w:jc w:val="left"/>
        <w:rPr>
          <w:sz w:val="21"/>
        </w:rPr>
      </w:pPr>
      <w:r>
        <w:rPr>
          <w:sz w:val="21"/>
        </w:rPr>
        <w:t>本基金与其他基金的合并；</w:t>
      </w:r>
    </w:p>
    <w:p>
      <w:pPr>
        <w:pStyle w:val="ListParagraph"/>
        <w:numPr>
          <w:ilvl w:val="0"/>
          <w:numId w:val="76"/>
        </w:numPr>
        <w:tabs>
          <w:tab w:pos="851" w:val="left" w:leader="none"/>
        </w:tabs>
        <w:spacing w:line="364" w:lineRule="auto" w:before="139" w:after="0"/>
        <w:ind w:left="640" w:right="3845" w:firstLine="0"/>
        <w:jc w:val="left"/>
        <w:rPr>
          <w:sz w:val="21"/>
        </w:rPr>
      </w:pPr>
      <w:r>
        <w:rPr>
          <w:spacing w:val="-1"/>
          <w:sz w:val="21"/>
        </w:rPr>
        <w:t>对基金合同当事人权利、义务产生重大影响的其他事项； </w:t>
      </w:r>
      <w:r>
        <w:rPr>
          <w:sz w:val="21"/>
        </w:rPr>
        <w:t>i.法律法规、基金合同或中国证监会规定的其他情形；</w:t>
      </w:r>
    </w:p>
    <w:p>
      <w:pPr>
        <w:pStyle w:val="BodyText"/>
        <w:spacing w:line="364" w:lineRule="auto"/>
        <w:ind w:left="220" w:right="1418" w:firstLine="420"/>
      </w:pPr>
      <w:r>
        <w:rPr>
          <w:spacing w:val="-9"/>
        </w:rPr>
        <w:t>但出现下列情况时，可不经基金份额持有人大会决议，由基金管理人和基金托管人同意</w:t>
      </w:r>
      <w:r>
        <w:rPr/>
        <w:t>变更后公布，并报中国证监会备案：</w:t>
      </w:r>
    </w:p>
    <w:p>
      <w:pPr>
        <w:pStyle w:val="BodyText"/>
        <w:spacing w:line="268" w:lineRule="exact"/>
      </w:pPr>
      <w:r>
        <w:rPr/>
        <w:t>a 调低基金管理费、基金托管费和其他应由基金承担的费用；</w:t>
      </w:r>
    </w:p>
    <w:p>
      <w:pPr>
        <w:pStyle w:val="BodyText"/>
        <w:spacing w:line="364" w:lineRule="auto" w:before="139"/>
        <w:ind w:left="220" w:right="1418" w:firstLine="420"/>
      </w:pPr>
      <w:r>
        <w:rPr/>
        <w:t>b</w:t>
      </w:r>
      <w:r>
        <w:rPr>
          <w:spacing w:val="-11"/>
        </w:rPr>
        <w:t> 在法律法规和本基金合同规定的范围内变更基金的申购费率、降低赎回费率或变更收</w:t>
      </w:r>
      <w:r>
        <w:rPr/>
        <w:t>费方式；</w:t>
      </w:r>
    </w:p>
    <w:p>
      <w:pPr>
        <w:pStyle w:val="BodyText"/>
        <w:spacing w:line="268" w:lineRule="exact"/>
      </w:pPr>
      <w:r>
        <w:rPr/>
        <w:t>c 因相应的法律法规发生变动必须对基金合同进行修改；</w:t>
      </w:r>
    </w:p>
    <w:p>
      <w:pPr>
        <w:pStyle w:val="BodyText"/>
        <w:spacing w:line="364" w:lineRule="auto" w:before="139"/>
        <w:ind w:right="2426"/>
      </w:pPr>
      <w:r>
        <w:rPr/>
        <w:t>d</w:t>
      </w:r>
      <w:r>
        <w:rPr>
          <w:spacing w:val="-9"/>
        </w:rPr>
        <w:t> 对基金合同的修改不涉及本基金合同当事人权利义务关系发生重大变化； </w:t>
      </w:r>
      <w:r>
        <w:rPr/>
        <w:t>e</w:t>
      </w:r>
      <w:r>
        <w:rPr>
          <w:spacing w:val="-8"/>
        </w:rPr>
        <w:t> 基金合同的修改对基金份额持有人利益无实质性不利影响；</w:t>
      </w:r>
    </w:p>
    <w:p>
      <w:pPr>
        <w:pStyle w:val="BodyText"/>
        <w:spacing w:line="268" w:lineRule="exact"/>
      </w:pPr>
      <w:r>
        <w:rPr/>
        <w:t>f 按照法律法规或本基金合同规定不需召开基金份额持有人大会的其他情形。</w:t>
      </w:r>
    </w:p>
    <w:p>
      <w:pPr>
        <w:pStyle w:val="ListParagraph"/>
        <w:numPr>
          <w:ilvl w:val="0"/>
          <w:numId w:val="75"/>
        </w:numPr>
        <w:tabs>
          <w:tab w:pos="956" w:val="left" w:leader="none"/>
        </w:tabs>
        <w:spacing w:line="364" w:lineRule="auto" w:before="140" w:after="0"/>
        <w:ind w:left="220" w:right="1418" w:firstLine="420"/>
        <w:jc w:val="left"/>
        <w:rPr>
          <w:sz w:val="21"/>
        </w:rPr>
      </w:pPr>
      <w:r>
        <w:rPr>
          <w:sz w:val="21"/>
        </w:rPr>
        <w:t>关于变更基金合同的基金份额持有人大会决议应报中国证监会核准或备案，并于中</w:t>
      </w:r>
      <w:r>
        <w:rPr>
          <w:spacing w:val="-2"/>
          <w:sz w:val="21"/>
        </w:rPr>
        <w:t>国证监会核准或出具无异议意见后生效执行，并自生效之日起 </w:t>
      </w:r>
      <w:r>
        <w:rPr>
          <w:sz w:val="21"/>
        </w:rPr>
        <w:t>2</w:t>
      </w:r>
      <w:r>
        <w:rPr>
          <w:spacing w:val="-8"/>
          <w:sz w:val="21"/>
        </w:rPr>
        <w:t> 日内在指定媒介公告。</w:t>
      </w:r>
    </w:p>
    <w:p>
      <w:pPr>
        <w:pStyle w:val="BodyText"/>
        <w:spacing w:line="268" w:lineRule="exact"/>
      </w:pPr>
      <w:r>
        <w:rPr/>
        <w:t>2、本基金合同的终止</w:t>
      </w:r>
    </w:p>
    <w:p>
      <w:pPr>
        <w:pStyle w:val="BodyText"/>
        <w:spacing w:before="139"/>
      </w:pPr>
      <w:r>
        <w:rPr/>
        <w:t>有下列情形之一的，本基金合同经中国证监会核准后将终止：</w:t>
      </w:r>
    </w:p>
    <w:p>
      <w:pPr>
        <w:pStyle w:val="ListParagraph"/>
        <w:numPr>
          <w:ilvl w:val="0"/>
          <w:numId w:val="77"/>
        </w:numPr>
        <w:tabs>
          <w:tab w:pos="956" w:val="left" w:leader="none"/>
        </w:tabs>
        <w:spacing w:line="240" w:lineRule="auto" w:before="140" w:after="0"/>
        <w:ind w:left="956" w:right="0" w:hanging="316"/>
        <w:jc w:val="left"/>
        <w:rPr>
          <w:sz w:val="21"/>
        </w:rPr>
      </w:pPr>
      <w:r>
        <w:rPr>
          <w:sz w:val="21"/>
        </w:rPr>
        <w:t>基金份额持有人大会决定终止的；</w:t>
      </w:r>
    </w:p>
    <w:p>
      <w:pPr>
        <w:pStyle w:val="ListParagraph"/>
        <w:numPr>
          <w:ilvl w:val="0"/>
          <w:numId w:val="77"/>
        </w:numPr>
        <w:tabs>
          <w:tab w:pos="956" w:val="left" w:leader="none"/>
        </w:tabs>
        <w:spacing w:line="240" w:lineRule="auto" w:before="139" w:after="0"/>
        <w:ind w:left="956" w:right="0" w:hanging="316"/>
        <w:jc w:val="left"/>
        <w:rPr>
          <w:sz w:val="21"/>
        </w:rPr>
      </w:pPr>
      <w:r>
        <w:rPr>
          <w:spacing w:val="-2"/>
          <w:sz w:val="21"/>
        </w:rPr>
        <w:t>基金管理人因解散、破产、撤销等事由，不能继续担任基金管理人的职务，而在 </w:t>
      </w:r>
      <w:r>
        <w:rPr>
          <w:sz w:val="21"/>
        </w:rPr>
        <w:t>6</w:t>
      </w:r>
    </w:p>
    <w:p>
      <w:pPr>
        <w:pStyle w:val="BodyText"/>
        <w:spacing w:before="139"/>
        <w:ind w:left="220"/>
      </w:pPr>
      <w:r>
        <w:rPr/>
        <w:t>个月内无其他适当的基金管理公司承接其原有权利义务；</w:t>
      </w:r>
    </w:p>
    <w:p>
      <w:pPr>
        <w:pStyle w:val="ListParagraph"/>
        <w:numPr>
          <w:ilvl w:val="0"/>
          <w:numId w:val="77"/>
        </w:numPr>
        <w:tabs>
          <w:tab w:pos="956" w:val="left" w:leader="none"/>
        </w:tabs>
        <w:spacing w:line="240" w:lineRule="auto" w:before="140" w:after="0"/>
        <w:ind w:left="956" w:right="0" w:hanging="316"/>
        <w:jc w:val="left"/>
        <w:rPr>
          <w:sz w:val="21"/>
        </w:rPr>
      </w:pPr>
      <w:r>
        <w:rPr>
          <w:spacing w:val="-2"/>
          <w:sz w:val="21"/>
        </w:rPr>
        <w:t>基金托管人因解散、破产、撤销等事由，不能继续担任基金托管人的职务，而在 </w:t>
      </w:r>
      <w:r>
        <w:rPr>
          <w:sz w:val="21"/>
        </w:rPr>
        <w:t>6</w:t>
      </w:r>
    </w:p>
    <w:p>
      <w:pPr>
        <w:pStyle w:val="BodyText"/>
        <w:spacing w:before="139"/>
        <w:ind w:left="220"/>
      </w:pPr>
      <w:r>
        <w:rPr/>
        <w:t>个月内无其他适当的托管机构承接其原有权利义务；</w:t>
      </w:r>
    </w:p>
    <w:p>
      <w:pPr>
        <w:pStyle w:val="ListParagraph"/>
        <w:numPr>
          <w:ilvl w:val="0"/>
          <w:numId w:val="77"/>
        </w:numPr>
        <w:tabs>
          <w:tab w:pos="956" w:val="left" w:leader="none"/>
        </w:tabs>
        <w:spacing w:line="364" w:lineRule="auto" w:before="140" w:after="0"/>
        <w:ind w:left="640" w:right="5210" w:firstLine="0"/>
        <w:jc w:val="left"/>
        <w:rPr>
          <w:sz w:val="21"/>
        </w:rPr>
      </w:pPr>
      <w:r>
        <w:rPr>
          <w:spacing w:val="-2"/>
          <w:sz w:val="21"/>
        </w:rPr>
        <w:t>法律法规、中国证监会规定的其他情况。</w:t>
      </w:r>
      <w:r>
        <w:rPr>
          <w:sz w:val="21"/>
        </w:rPr>
        <w:t>3、基金财产的清算</w:t>
      </w:r>
    </w:p>
    <w:p>
      <w:pPr>
        <w:spacing w:after="0" w:line="364" w:lineRule="auto"/>
        <w:jc w:val="left"/>
        <w:rPr>
          <w:sz w:val="21"/>
        </w:rPr>
        <w:sectPr>
          <w:pgSz w:w="11910" w:h="16840"/>
          <w:pgMar w:header="0" w:footer="664" w:top="1380" w:bottom="940" w:left="1580" w:right="380"/>
        </w:sectPr>
      </w:pPr>
    </w:p>
    <w:p>
      <w:pPr>
        <w:pStyle w:val="ListParagraph"/>
        <w:numPr>
          <w:ilvl w:val="0"/>
          <w:numId w:val="78"/>
        </w:numPr>
        <w:tabs>
          <w:tab w:pos="956" w:val="left" w:leader="none"/>
        </w:tabs>
        <w:spacing w:line="240" w:lineRule="auto" w:before="45" w:after="0"/>
        <w:ind w:left="956" w:right="0" w:hanging="316"/>
        <w:jc w:val="left"/>
        <w:rPr>
          <w:sz w:val="21"/>
        </w:rPr>
      </w:pPr>
      <w:r>
        <w:rPr>
          <w:sz w:val="21"/>
        </w:rPr>
        <w:t>基金财产清算组</w:t>
      </w:r>
    </w:p>
    <w:p>
      <w:pPr>
        <w:pStyle w:val="ListParagraph"/>
        <w:numPr>
          <w:ilvl w:val="0"/>
          <w:numId w:val="79"/>
        </w:numPr>
        <w:tabs>
          <w:tab w:pos="956" w:val="left" w:leader="none"/>
        </w:tabs>
        <w:spacing w:line="364" w:lineRule="auto" w:before="139" w:after="0"/>
        <w:ind w:left="220" w:right="1418" w:firstLine="420"/>
        <w:jc w:val="left"/>
        <w:rPr>
          <w:sz w:val="21"/>
        </w:rPr>
      </w:pPr>
      <w:r>
        <w:rPr>
          <w:spacing w:val="-4"/>
          <w:sz w:val="21"/>
        </w:rPr>
        <w:t>自出现基金合同终止事由之日起 </w:t>
      </w:r>
      <w:r>
        <w:rPr>
          <w:sz w:val="21"/>
        </w:rPr>
        <w:t>30</w:t>
      </w:r>
      <w:r>
        <w:rPr>
          <w:spacing w:val="-11"/>
          <w:sz w:val="21"/>
        </w:rPr>
        <w:t> 个工作日内成立基金财产清算组，基金管理人</w:t>
      </w:r>
      <w:r>
        <w:rPr>
          <w:spacing w:val="-4"/>
          <w:sz w:val="21"/>
        </w:rPr>
        <w:t>组织基金财产清算组并在中国证监会的监督下进行基金财产清算。</w:t>
      </w:r>
    </w:p>
    <w:p>
      <w:pPr>
        <w:pStyle w:val="ListParagraph"/>
        <w:numPr>
          <w:ilvl w:val="0"/>
          <w:numId w:val="79"/>
        </w:numPr>
        <w:tabs>
          <w:tab w:pos="957" w:val="left" w:leader="none"/>
        </w:tabs>
        <w:spacing w:line="364" w:lineRule="auto" w:before="0" w:after="0"/>
        <w:ind w:left="220" w:right="1313" w:firstLine="420"/>
        <w:jc w:val="left"/>
        <w:rPr>
          <w:sz w:val="21"/>
        </w:rPr>
      </w:pPr>
      <w:r>
        <w:rPr>
          <w:sz w:val="21"/>
        </w:rPr>
        <w:t>基金财产清算组成员由基金管理人、基金托管人、具有从事证券相关业务资格的注</w:t>
      </w:r>
      <w:r>
        <w:rPr>
          <w:spacing w:val="-17"/>
          <w:sz w:val="21"/>
        </w:rPr>
        <w:t>册会计师、律师以及中国证监会指定的人员组成。基金财产清算组可以聘用必要的工作人员。</w:t>
      </w:r>
    </w:p>
    <w:p>
      <w:pPr>
        <w:pStyle w:val="ListParagraph"/>
        <w:numPr>
          <w:ilvl w:val="0"/>
          <w:numId w:val="79"/>
        </w:numPr>
        <w:tabs>
          <w:tab w:pos="957" w:val="left" w:leader="none"/>
        </w:tabs>
        <w:spacing w:line="364" w:lineRule="auto" w:before="0" w:after="0"/>
        <w:ind w:left="220" w:right="1418" w:firstLine="420"/>
        <w:jc w:val="left"/>
        <w:rPr>
          <w:sz w:val="21"/>
        </w:rPr>
      </w:pPr>
      <w:r>
        <w:rPr>
          <w:sz w:val="21"/>
        </w:rPr>
        <w:t>基金财产清算组负责基金财产的保管、清理、估价、变现和分配。基金财产清算组可以依法进行必要的民事活动。</w:t>
      </w:r>
    </w:p>
    <w:p>
      <w:pPr>
        <w:pStyle w:val="ListParagraph"/>
        <w:numPr>
          <w:ilvl w:val="0"/>
          <w:numId w:val="78"/>
        </w:numPr>
        <w:tabs>
          <w:tab w:pos="956" w:val="left" w:leader="none"/>
        </w:tabs>
        <w:spacing w:line="268" w:lineRule="exact" w:before="0" w:after="0"/>
        <w:ind w:left="956" w:right="0" w:hanging="316"/>
        <w:jc w:val="left"/>
        <w:rPr>
          <w:sz w:val="21"/>
        </w:rPr>
      </w:pPr>
      <w:r>
        <w:rPr>
          <w:sz w:val="21"/>
        </w:rPr>
        <w:t>基金财产清算程序</w:t>
      </w:r>
    </w:p>
    <w:p>
      <w:pPr>
        <w:pStyle w:val="BodyText"/>
        <w:spacing w:line="364" w:lineRule="auto" w:before="138"/>
        <w:ind w:left="220" w:right="1418" w:firstLine="420"/>
      </w:pPr>
      <w:r>
        <w:rPr>
          <w:spacing w:val="-10"/>
        </w:rPr>
        <w:t>基金合同终止，应当按法律法规和本基金合同的有关规定对基金财产进行清算。基金财</w:t>
      </w:r>
      <w:r>
        <w:rPr/>
        <w:t>产清算程序主要包括：</w:t>
      </w:r>
    </w:p>
    <w:p>
      <w:pPr>
        <w:pStyle w:val="ListParagraph"/>
        <w:numPr>
          <w:ilvl w:val="0"/>
          <w:numId w:val="80"/>
        </w:numPr>
        <w:tabs>
          <w:tab w:pos="851" w:val="left" w:leader="none"/>
        </w:tabs>
        <w:spacing w:line="268" w:lineRule="exact" w:before="0" w:after="0"/>
        <w:ind w:left="851" w:right="0" w:hanging="211"/>
        <w:jc w:val="left"/>
        <w:rPr>
          <w:sz w:val="21"/>
        </w:rPr>
      </w:pPr>
      <w:r>
        <w:rPr>
          <w:sz w:val="21"/>
        </w:rPr>
        <w:t>基金合同终止后，发布基金财产清算公告；</w:t>
      </w:r>
    </w:p>
    <w:p>
      <w:pPr>
        <w:pStyle w:val="ListParagraph"/>
        <w:numPr>
          <w:ilvl w:val="0"/>
          <w:numId w:val="80"/>
        </w:numPr>
        <w:tabs>
          <w:tab w:pos="851" w:val="left" w:leader="none"/>
        </w:tabs>
        <w:spacing w:line="364" w:lineRule="auto" w:before="139" w:after="0"/>
        <w:ind w:left="640" w:right="3845" w:firstLine="0"/>
        <w:jc w:val="left"/>
        <w:rPr>
          <w:sz w:val="21"/>
        </w:rPr>
      </w:pPr>
      <w:r>
        <w:rPr>
          <w:spacing w:val="-1"/>
          <w:sz w:val="21"/>
        </w:rPr>
        <w:t>基金合同终止时，由基金财产清算组统一接管基金财产； </w:t>
      </w:r>
      <w:r>
        <w:rPr>
          <w:sz w:val="21"/>
        </w:rPr>
        <w:t>c.对基金财产进行清理和确认；</w:t>
      </w:r>
    </w:p>
    <w:p>
      <w:pPr>
        <w:pStyle w:val="ListParagraph"/>
        <w:numPr>
          <w:ilvl w:val="0"/>
          <w:numId w:val="81"/>
        </w:numPr>
        <w:tabs>
          <w:tab w:pos="851" w:val="left" w:leader="none"/>
        </w:tabs>
        <w:spacing w:line="268" w:lineRule="exact" w:before="0" w:after="0"/>
        <w:ind w:left="851" w:right="0" w:hanging="211"/>
        <w:jc w:val="left"/>
        <w:rPr>
          <w:sz w:val="21"/>
        </w:rPr>
      </w:pPr>
      <w:r>
        <w:rPr>
          <w:sz w:val="21"/>
        </w:rPr>
        <w:t>对基金财产进行估价和变现；</w:t>
      </w:r>
    </w:p>
    <w:p>
      <w:pPr>
        <w:pStyle w:val="ListParagraph"/>
        <w:numPr>
          <w:ilvl w:val="0"/>
          <w:numId w:val="81"/>
        </w:numPr>
        <w:tabs>
          <w:tab w:pos="851" w:val="left" w:leader="none"/>
        </w:tabs>
        <w:spacing w:line="364" w:lineRule="auto" w:before="140" w:after="0"/>
        <w:ind w:left="640" w:right="5315" w:firstLine="0"/>
        <w:jc w:val="left"/>
        <w:rPr>
          <w:sz w:val="21"/>
        </w:rPr>
      </w:pPr>
      <w:r>
        <w:rPr>
          <w:spacing w:val="-2"/>
          <w:sz w:val="21"/>
        </w:rPr>
        <w:t>聘请会计师事务所对清算报告进行审计； </w:t>
      </w:r>
      <w:r>
        <w:rPr>
          <w:sz w:val="21"/>
        </w:rPr>
        <w:t>f.聘请律师事务所出具法律意见书；</w:t>
      </w:r>
    </w:p>
    <w:p>
      <w:pPr>
        <w:pStyle w:val="BodyText"/>
        <w:spacing w:line="364" w:lineRule="auto"/>
        <w:ind w:right="5510"/>
      </w:pPr>
      <w:r>
        <w:rPr/>
        <w:t>g.将基金财产清算结果报告中国证监会； h.参加与基金财产有关的民事诉讼；</w:t>
      </w:r>
    </w:p>
    <w:p>
      <w:pPr>
        <w:pStyle w:val="BodyText"/>
        <w:spacing w:line="364" w:lineRule="auto"/>
        <w:ind w:right="6575"/>
      </w:pPr>
      <w:r>
        <w:rPr/>
        <w:t>i.公布基金财产清算结果； j.</w:t>
      </w:r>
      <w:r>
        <w:rPr>
          <w:spacing w:val="-2"/>
        </w:rPr>
        <w:t>对基金剩余财产进行分配。</w:t>
      </w:r>
      <w:r>
        <w:rPr/>
        <w:t>(3)清算费用</w:t>
      </w:r>
    </w:p>
    <w:p>
      <w:pPr>
        <w:pStyle w:val="BodyText"/>
        <w:spacing w:line="364" w:lineRule="auto"/>
        <w:ind w:left="220" w:right="1418" w:firstLine="420"/>
      </w:pPr>
      <w:r>
        <w:rPr>
          <w:spacing w:val="-4"/>
        </w:rPr>
        <w:t>清算费用是指基金财产清算组在进行基金财产清算过程中发生的所有合理费用，清算费</w:t>
      </w:r>
      <w:r>
        <w:rPr/>
        <w:t>用由基金财产清算组优先从基金财产中支付。</w:t>
      </w:r>
    </w:p>
    <w:p>
      <w:pPr>
        <w:pStyle w:val="ListParagraph"/>
        <w:numPr>
          <w:ilvl w:val="0"/>
          <w:numId w:val="82"/>
        </w:numPr>
        <w:tabs>
          <w:tab w:pos="956" w:val="left" w:leader="none"/>
        </w:tabs>
        <w:spacing w:line="364" w:lineRule="auto" w:before="0" w:after="0"/>
        <w:ind w:left="640" w:right="6470" w:firstLine="0"/>
        <w:jc w:val="left"/>
        <w:rPr>
          <w:sz w:val="21"/>
        </w:rPr>
      </w:pPr>
      <w:r>
        <w:rPr>
          <w:spacing w:val="-2"/>
          <w:sz w:val="21"/>
        </w:rPr>
        <w:t>基金财产按下列顺序清偿： </w:t>
      </w:r>
      <w:r>
        <w:rPr>
          <w:sz w:val="21"/>
        </w:rPr>
        <w:t>a.支付清算费用；</w:t>
      </w:r>
    </w:p>
    <w:p>
      <w:pPr>
        <w:pStyle w:val="BodyText"/>
        <w:spacing w:line="364" w:lineRule="auto"/>
        <w:ind w:right="7625"/>
      </w:pPr>
      <w:r>
        <w:rPr/>
        <w:t>b.</w:t>
      </w:r>
      <w:r>
        <w:rPr>
          <w:spacing w:val="-3"/>
        </w:rPr>
        <w:t>交纳所欠税款； </w:t>
      </w:r>
      <w:r>
        <w:rPr/>
        <w:t>c.</w:t>
      </w:r>
      <w:r>
        <w:rPr>
          <w:spacing w:val="-3"/>
        </w:rPr>
        <w:t>清偿基金债务；</w:t>
      </w:r>
    </w:p>
    <w:p>
      <w:pPr>
        <w:pStyle w:val="BodyText"/>
        <w:spacing w:line="268" w:lineRule="exact"/>
      </w:pPr>
      <w:r>
        <w:rPr/>
        <w:t>d.按基金份额持有人持有的基金份额比例进行分配。</w:t>
      </w:r>
    </w:p>
    <w:p>
      <w:pPr>
        <w:pStyle w:val="BodyText"/>
        <w:spacing w:before="134"/>
      </w:pPr>
      <w:r>
        <w:rPr/>
        <w:t>基金财产未按前款(1)－(3)项规定清偿前，不分配给基金份额持有人。</w:t>
      </w:r>
    </w:p>
    <w:p>
      <w:pPr>
        <w:pStyle w:val="ListParagraph"/>
        <w:numPr>
          <w:ilvl w:val="0"/>
          <w:numId w:val="82"/>
        </w:numPr>
        <w:tabs>
          <w:tab w:pos="956" w:val="left" w:leader="none"/>
        </w:tabs>
        <w:spacing w:line="240" w:lineRule="auto" w:before="139" w:after="0"/>
        <w:ind w:left="956" w:right="0" w:hanging="316"/>
        <w:jc w:val="left"/>
        <w:rPr>
          <w:sz w:val="21"/>
        </w:rPr>
      </w:pPr>
      <w:r>
        <w:rPr>
          <w:sz w:val="21"/>
        </w:rPr>
        <w:t>基金财产清算的公告</w:t>
      </w:r>
    </w:p>
    <w:p>
      <w:pPr>
        <w:pStyle w:val="BodyText"/>
        <w:spacing w:line="364" w:lineRule="auto" w:before="140"/>
        <w:ind w:left="220" w:right="1418" w:firstLine="420"/>
        <w:jc w:val="both"/>
      </w:pPr>
      <w:r>
        <w:rPr>
          <w:spacing w:val="-3"/>
        </w:rPr>
        <w:t>基金财产清算公告在报中国证监会备案后 </w:t>
      </w:r>
      <w:r>
        <w:rPr/>
        <w:t>5</w:t>
      </w:r>
      <w:r>
        <w:rPr>
          <w:spacing w:val="-15"/>
        </w:rPr>
        <w:t> 个工作日内由基金财产清算组公告；清算过</w:t>
      </w:r>
      <w:r>
        <w:rPr>
          <w:spacing w:val="-8"/>
        </w:rPr>
        <w:t>程中的有关重大事项须及时公告；基金财产清算结果经会计师事务所审计，律师事务所出具</w:t>
      </w:r>
      <w:r>
        <w:rPr/>
        <w:t>法律意见书后，由基金财产清算组报中国证监会备案并公告。</w:t>
      </w:r>
    </w:p>
    <w:p>
      <w:pPr>
        <w:pStyle w:val="ListParagraph"/>
        <w:numPr>
          <w:ilvl w:val="0"/>
          <w:numId w:val="82"/>
        </w:numPr>
        <w:tabs>
          <w:tab w:pos="956" w:val="left" w:leader="none"/>
        </w:tabs>
        <w:spacing w:line="268" w:lineRule="exact" w:before="0" w:after="0"/>
        <w:ind w:left="956" w:right="0" w:hanging="316"/>
        <w:jc w:val="left"/>
        <w:rPr>
          <w:sz w:val="21"/>
        </w:rPr>
      </w:pPr>
      <w:r>
        <w:rPr>
          <w:sz w:val="21"/>
        </w:rPr>
        <w:t>基金财产清算账册及文件的保存</w:t>
      </w:r>
    </w:p>
    <w:p>
      <w:pPr>
        <w:spacing w:after="0" w:line="268" w:lineRule="exact"/>
        <w:jc w:val="left"/>
        <w:rPr>
          <w:sz w:val="21"/>
        </w:rPr>
        <w:sectPr>
          <w:pgSz w:w="11910" w:h="16840"/>
          <w:pgMar w:header="0" w:footer="664" w:top="1380" w:bottom="940" w:left="1580" w:right="380"/>
        </w:sectPr>
      </w:pPr>
    </w:p>
    <w:p>
      <w:pPr>
        <w:pStyle w:val="BodyText"/>
        <w:spacing w:before="45"/>
      </w:pPr>
      <w:r>
        <w:rPr/>
        <w:t>基金财产清算账册及有关文件由基金托管人保存 15 年以上。</w:t>
      </w:r>
    </w:p>
    <w:p>
      <w:pPr>
        <w:pStyle w:val="Heading3"/>
        <w:spacing w:before="141"/>
      </w:pPr>
      <w:bookmarkStart w:name="_bookmark109" w:id="110"/>
      <w:bookmarkEnd w:id="110"/>
      <w:r>
        <w:rPr/>
      </w:r>
      <w:r>
        <w:rPr/>
        <w:t>(六)争议的处理</w:t>
      </w:r>
    </w:p>
    <w:p>
      <w:pPr>
        <w:pStyle w:val="BodyText"/>
        <w:spacing w:line="364" w:lineRule="auto" w:before="184"/>
        <w:ind w:left="220" w:right="1208" w:firstLine="420"/>
      </w:pPr>
      <w:r>
        <w:rPr/>
        <w:t>对于因本基金合同产生或与本基金合同有关的争议，基金合同当事人应尽量通过协商、</w:t>
      </w:r>
      <w:r>
        <w:rPr>
          <w:spacing w:val="-9"/>
        </w:rPr>
        <w:t>调解途径解决。不愿或者不能通过协商、调解解决的，任何一方均有权将争议提交中国国际 </w:t>
      </w:r>
      <w:r>
        <w:rPr>
          <w:spacing w:val="-12"/>
        </w:rPr>
        <w:t>经济贸易仲裁委员会，按照中国国际经济贸易仲裁委员会届时有效的仲裁规则进行仲裁。仲 裁地点为北京市。仲裁裁决是终局的，对各方当事人均有约束力，仲裁费用由败诉方承担。</w:t>
      </w:r>
    </w:p>
    <w:p>
      <w:pPr>
        <w:pStyle w:val="BodyText"/>
        <w:spacing w:line="364" w:lineRule="auto"/>
        <w:ind w:left="220" w:right="1418"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8" w:lineRule="exact"/>
      </w:pPr>
      <w:r>
        <w:rPr/>
        <w:t>本基金合同受中国法律管辖。</w:t>
      </w:r>
    </w:p>
    <w:p>
      <w:pPr>
        <w:pStyle w:val="Heading3"/>
        <w:spacing w:before="139"/>
      </w:pPr>
      <w:bookmarkStart w:name="_bookmark110" w:id="111"/>
      <w:bookmarkEnd w:id="111"/>
      <w:r>
        <w:rPr/>
      </w:r>
      <w:r>
        <w:rPr/>
        <w:t>(七)基金合同的效力</w:t>
      </w:r>
    </w:p>
    <w:p>
      <w:pPr>
        <w:pStyle w:val="BodyText"/>
        <w:spacing w:before="185"/>
      </w:pPr>
      <w:r>
        <w:rPr/>
        <w:t>基金合同是约定基金当事人之间权利义务关系的法律文件。</w:t>
      </w:r>
    </w:p>
    <w:p>
      <w:pPr>
        <w:pStyle w:val="BodyText"/>
        <w:spacing w:line="364" w:lineRule="auto" w:before="139"/>
        <w:ind w:left="220" w:right="1418" w:firstLine="420"/>
        <w:jc w:val="both"/>
      </w:pPr>
      <w:r>
        <w:rPr/>
        <w:t>1、本基金合同经基金管理人和基金托管人加盖公章以及双方法定代表人或授权代表签</w:t>
      </w:r>
      <w:r>
        <w:rPr>
          <w:spacing w:val="-10"/>
        </w:rPr>
        <w:t>章，在基金募集结束，基金备案手续办理完毕，并获中国证监会书面确认后生效。基金合同</w:t>
      </w:r>
      <w:r>
        <w:rPr/>
        <w:t>的有效期自其生效之日起至该基金财产清算结果报中国证监会备案并公告之日止。</w:t>
      </w:r>
    </w:p>
    <w:p>
      <w:pPr>
        <w:pStyle w:val="BodyText"/>
        <w:spacing w:line="364" w:lineRule="auto"/>
        <w:ind w:left="220" w:right="1418" w:firstLine="420"/>
      </w:pPr>
      <w:r>
        <w:rPr/>
        <w:t>2、本基金合同自生效之日起对包括基金管理人、基金托管人和基金份额持有人在内的基金合同各方当事人具有同等的法律约束力。</w:t>
      </w:r>
    </w:p>
    <w:p>
      <w:pPr>
        <w:pStyle w:val="BodyText"/>
        <w:spacing w:line="364" w:lineRule="auto"/>
        <w:ind w:left="220" w:right="1418" w:firstLine="420"/>
      </w:pPr>
      <w:r>
        <w:rPr/>
        <w:t>3、本基金合同正本一式八份，除中国证监会和银行业监督管理机构各持两份外，基金管理人和基金托管人各持有两份。每份均具有同等的法律效力。</w:t>
      </w:r>
    </w:p>
    <w:p>
      <w:pPr>
        <w:pStyle w:val="BodyText"/>
        <w:spacing w:line="364" w:lineRule="auto"/>
        <w:ind w:left="220" w:right="1418" w:firstLine="420"/>
        <w:rPr>
          <w:sz w:val="24"/>
        </w:rPr>
      </w:pPr>
      <w:r>
        <w:rPr/>
        <w:t>4、本基金合同可印制成册，供投资人在基金管理人、基金托管人、代销机构和注册登记机构办公场所查阅，但其效力应以基金合同正本为准</w:t>
      </w:r>
      <w:r>
        <w:rPr>
          <w:sz w:val="24"/>
        </w:rPr>
        <w:t>。</w:t>
      </w:r>
    </w:p>
    <w:p>
      <w:pPr>
        <w:spacing w:after="0" w:line="364" w:lineRule="auto"/>
        <w:rPr>
          <w:sz w:val="24"/>
        </w:rPr>
        <w:sectPr>
          <w:pgSz w:w="11910" w:h="16840"/>
          <w:pgMar w:header="0" w:footer="664" w:top="1380" w:bottom="940" w:left="1580" w:right="380"/>
        </w:sectPr>
      </w:pPr>
    </w:p>
    <w:p>
      <w:pPr>
        <w:pStyle w:val="Heading2"/>
      </w:pPr>
      <w:bookmarkStart w:name="_bookmark111" w:id="112"/>
      <w:bookmarkEnd w:id="112"/>
      <w:r>
        <w:rPr/>
      </w:r>
      <w:r>
        <w:rPr/>
        <w:t>二十二、基金托管协议的内容摘要</w:t>
      </w:r>
    </w:p>
    <w:p>
      <w:pPr>
        <w:pStyle w:val="Heading3"/>
        <w:spacing w:before="199"/>
      </w:pPr>
      <w:bookmarkStart w:name="_bookmark112" w:id="113"/>
      <w:bookmarkEnd w:id="113"/>
      <w:r>
        <w:rPr/>
      </w:r>
      <w:r>
        <w:rPr/>
        <w:t>(一)托管协议当事人</w:t>
      </w:r>
    </w:p>
    <w:p>
      <w:pPr>
        <w:pStyle w:val="Heading4"/>
        <w:spacing w:before="116"/>
        <w:ind w:left="640"/>
      </w:pPr>
      <w:r>
        <w:rPr>
          <w:w w:val="105"/>
        </w:rPr>
        <w:t>1</w:t>
      </w:r>
      <w:r>
        <w:rPr>
          <w:w w:val="120"/>
        </w:rPr>
        <w:t>、基金管理人(或简称“管理人”)</w:t>
      </w:r>
    </w:p>
    <w:p>
      <w:pPr>
        <w:pStyle w:val="BodyText"/>
        <w:spacing w:before="91"/>
      </w:pPr>
      <w:r>
        <w:rPr/>
        <w:t>名称：易方达基金管理有限公司</w:t>
      </w:r>
    </w:p>
    <w:p>
      <w:pPr>
        <w:pStyle w:val="BodyText"/>
        <w:spacing w:line="364" w:lineRule="auto" w:before="140"/>
        <w:ind w:right="22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7415"/>
      </w:pPr>
      <w:r>
        <w:rPr/>
        <w:t>邮政编码：510620 </w:t>
      </w:r>
      <w:r>
        <w:rPr>
          <w:spacing w:val="-3"/>
        </w:rPr>
        <w:t>法定代表人：刘晓艳</w:t>
      </w:r>
    </w:p>
    <w:p>
      <w:pPr>
        <w:pStyle w:val="BodyText"/>
        <w:spacing w:line="268" w:lineRule="exact"/>
      </w:pPr>
      <w:r>
        <w:rPr/>
        <w:t>成立日期：2001 年 4 月 17 日</w:t>
      </w:r>
    </w:p>
    <w:p>
      <w:pPr>
        <w:pStyle w:val="BodyText"/>
        <w:spacing w:line="364" w:lineRule="auto" w:before="138"/>
        <w:ind w:right="1733"/>
      </w:pPr>
      <w:r>
        <w:rPr/>
        <w:t>批准设立机关及批准设立文号：中国证券监督管理委员会，证监基金字[2001]4 号组织形式：有限责任公司</w:t>
      </w:r>
    </w:p>
    <w:p>
      <w:pPr>
        <w:pStyle w:val="BodyText"/>
        <w:spacing w:line="364" w:lineRule="auto"/>
        <w:ind w:right="6248"/>
      </w:pPr>
      <w:r>
        <w:rPr/>
        <w:t>注册资本：13,244.2 万元人民币存续期间：持续经营</w:t>
      </w:r>
    </w:p>
    <w:p>
      <w:pPr>
        <w:pStyle w:val="BodyText"/>
        <w:spacing w:line="268" w:lineRule="exact"/>
      </w:pPr>
      <w:r>
        <w:rPr/>
        <w:t>经营范围：公开募集证券投资基金管理、基金销售、特定客户资产管理</w:t>
      </w:r>
    </w:p>
    <w:p>
      <w:pPr>
        <w:pStyle w:val="Heading4"/>
        <w:spacing w:before="70"/>
        <w:ind w:left="640"/>
      </w:pPr>
      <w:r>
        <w:rPr>
          <w:spacing w:val="-2"/>
        </w:rPr>
        <w:t>2、基金托管人(或简称“托管人”)</w:t>
      </w:r>
    </w:p>
    <w:p>
      <w:pPr>
        <w:pStyle w:val="BodyText"/>
        <w:spacing w:line="364" w:lineRule="auto" w:before="91"/>
        <w:ind w:right="4055"/>
      </w:pPr>
      <w:r>
        <w:rPr>
          <w:spacing w:val="-1"/>
        </w:rPr>
        <w:t>名称：中国建设银行股份有限公司(简称：中国建设银行) </w:t>
      </w:r>
      <w:r>
        <w:rPr>
          <w:spacing w:val="-4"/>
        </w:rPr>
        <w:t>住所：北京市西城区金融大街 </w:t>
      </w:r>
      <w:r>
        <w:rPr/>
        <w:t>25</w:t>
      </w:r>
      <w:r>
        <w:rPr>
          <w:spacing w:val="-27"/>
        </w:rPr>
        <w:t> 号</w:t>
      </w:r>
    </w:p>
    <w:p>
      <w:pPr>
        <w:pStyle w:val="BodyText"/>
        <w:spacing w:line="364" w:lineRule="auto"/>
        <w:ind w:right="4685"/>
      </w:pPr>
      <w:r>
        <w:rPr>
          <w:spacing w:val="-4"/>
        </w:rPr>
        <w:t>办公地址：北京市西城区闹市口大街 </w:t>
      </w:r>
      <w:r>
        <w:rPr/>
        <w:t>1</w:t>
      </w:r>
      <w:r>
        <w:rPr>
          <w:spacing w:val="-27"/>
        </w:rPr>
        <w:t> 号院 </w:t>
      </w:r>
      <w:r>
        <w:rPr/>
        <w:t>1</w:t>
      </w:r>
      <w:r>
        <w:rPr>
          <w:spacing w:val="-24"/>
        </w:rPr>
        <w:t> 号楼</w:t>
      </w:r>
      <w:r>
        <w:rPr/>
        <w:t>邮政编码：100033</w:t>
      </w:r>
    </w:p>
    <w:p>
      <w:pPr>
        <w:pStyle w:val="BodyText"/>
        <w:spacing w:line="268" w:lineRule="exact"/>
      </w:pPr>
      <w:r>
        <w:rPr/>
        <w:t>法定代表人：田国立</w:t>
      </w:r>
    </w:p>
    <w:p>
      <w:pPr>
        <w:pStyle w:val="BodyText"/>
        <w:spacing w:before="139"/>
      </w:pPr>
      <w:r>
        <w:rPr/>
        <w:t>成立日期：2004 年 09 月 17 日</w:t>
      </w:r>
    </w:p>
    <w:p>
      <w:pPr>
        <w:pStyle w:val="BodyText"/>
        <w:spacing w:line="364" w:lineRule="auto" w:before="139"/>
        <w:ind w:right="3938"/>
      </w:pPr>
      <w:r>
        <w:rPr/>
        <w:t>基金托管业务批准文号：中国证监会证监基字[1998]12 号组织形式：股份有限公司</w:t>
      </w:r>
    </w:p>
    <w:p>
      <w:pPr>
        <w:pStyle w:val="BodyText"/>
        <w:spacing w:line="364" w:lineRule="auto"/>
        <w:ind w:right="3845"/>
      </w:pPr>
      <w:r>
        <w:rPr/>
        <w:t>注册资本：贰仟伍佰亿壹仟零玖拾柒万柒仟肆佰捌拾陆元整存续期间：持续经营</w:t>
      </w:r>
    </w:p>
    <w:p>
      <w:pPr>
        <w:pStyle w:val="BodyText"/>
        <w:spacing w:line="364" w:lineRule="auto"/>
        <w:ind w:left="220" w:right="1312" w:firstLine="420"/>
      </w:pPr>
      <w:r>
        <w:rPr>
          <w:spacing w:val="-11"/>
        </w:rPr>
        <w:t>经营范围：吸收公众存款；发放短期、中期、长期贷款；办理国内外结算；办理票据承</w:t>
      </w:r>
      <w:r>
        <w:rPr>
          <w:spacing w:val="-16"/>
        </w:rPr>
        <w:t>兑与贴现；发行金融债券；代理发行、代理兑付、承销政府债券；买卖政府债券、金融债券； </w:t>
      </w:r>
      <w:r>
        <w:rPr>
          <w:spacing w:val="-10"/>
        </w:rPr>
        <w:t>从事同业拆借；买卖、代理买卖外汇；从事银行卡业务；提供信用证服务及担保；代理收付</w:t>
      </w:r>
      <w:r>
        <w:rPr>
          <w:spacing w:val="-14"/>
        </w:rPr>
        <w:t>款项及代理保险业务；提供保管箱服务；经中国银行业监督管理机构等监管部门批准的其他业务。</w:t>
      </w:r>
    </w:p>
    <w:p>
      <w:pPr>
        <w:pStyle w:val="Heading3"/>
        <w:spacing w:line="357" w:lineRule="exact"/>
      </w:pPr>
      <w:bookmarkStart w:name="_bookmark113" w:id="114"/>
      <w:bookmarkEnd w:id="114"/>
      <w:r>
        <w:rPr/>
      </w:r>
      <w:r>
        <w:rPr/>
        <w:t>(二)基金托管人对基金管理人的业务监督、核查</w:t>
      </w:r>
    </w:p>
    <w:p>
      <w:pPr>
        <w:pStyle w:val="BodyText"/>
        <w:spacing w:line="364" w:lineRule="auto" w:before="183"/>
        <w:ind w:left="220" w:right="1418" w:firstLine="420"/>
      </w:pPr>
      <w:r>
        <w:rPr/>
        <w:t>1、基金托管人根据有关法律法规的规定及基金合同的约定，对基金投资范围、投资对</w:t>
      </w:r>
      <w:r>
        <w:rPr>
          <w:spacing w:val="-10"/>
        </w:rPr>
        <w:t>象进行监督。基金合同明确约定基金投资风格或证券选择标准的，基金管理人应按照基金托</w:t>
      </w:r>
    </w:p>
    <w:p>
      <w:pPr>
        <w:spacing w:after="0" w:line="364" w:lineRule="auto"/>
        <w:sectPr>
          <w:pgSz w:w="11910" w:h="16840"/>
          <w:pgMar w:header="0" w:footer="664" w:top="1380" w:bottom="940" w:left="1580" w:right="380"/>
        </w:sectPr>
      </w:pPr>
    </w:p>
    <w:p>
      <w:pPr>
        <w:pStyle w:val="BodyText"/>
        <w:spacing w:line="364" w:lineRule="auto" w:before="45"/>
        <w:ind w:left="220" w:right="1418"/>
      </w:pPr>
      <w:r>
        <w:rPr>
          <w:spacing w:val="-7"/>
        </w:rPr>
        <w:t>管人要求的格式提供投资品种池，以便基金托管人运用相关技术系统，对基金实际投资是否</w:t>
      </w:r>
      <w:r>
        <w:rPr/>
        <w:t>符合基金合同关于证券选择标准的约定进行监督，对存在疑义的事项进行核查。</w:t>
      </w:r>
    </w:p>
    <w:p>
      <w:pPr>
        <w:pStyle w:val="BodyText"/>
        <w:spacing w:line="364" w:lineRule="auto"/>
        <w:ind w:left="220" w:right="1208" w:firstLine="420"/>
      </w:pPr>
      <w:r>
        <w:rPr/>
        <w:t>本基金的投资范围为具有良好流动性的金融工具，包括国债、央行票据、地方政府债、金融债、企业债、短期融资券、公司债、可转债（含分离交易可转债</w:t>
      </w:r>
      <w:r>
        <w:rPr>
          <w:spacing w:val="-105"/>
        </w:rPr>
        <w:t>）</w:t>
      </w:r>
      <w:r>
        <w:rPr/>
        <w:t>、资产支持证券、债 </w:t>
      </w:r>
      <w:r>
        <w:rPr>
          <w:spacing w:val="-8"/>
        </w:rPr>
        <w:t>券回购、银行存款等固定收益类资产、股票</w:t>
      </w:r>
      <w:r>
        <w:rPr/>
        <w:t>（</w:t>
      </w:r>
      <w:r>
        <w:rPr>
          <w:spacing w:val="-4"/>
        </w:rPr>
        <w:t>包含中小板、创业板及其他经中国证监会批准 上市的股票</w:t>
      </w:r>
      <w:r>
        <w:rPr>
          <w:spacing w:val="-105"/>
        </w:rPr>
        <w:t>）</w:t>
      </w:r>
      <w:r>
        <w:rPr/>
        <w:t>、权证等权益类资产以及法律法规或中国证监会允许基金投资的其他金融工具， 但须符合中国证监会相关规定。</w:t>
      </w:r>
    </w:p>
    <w:p>
      <w:pPr>
        <w:pStyle w:val="BodyText"/>
        <w:spacing w:line="267" w:lineRule="exact"/>
      </w:pPr>
      <w:r>
        <w:rPr/>
        <w:t>本基金不直接从二级市场买入股票、权证等权益类资产，但可以参与一级市场新股申购</w:t>
      </w:r>
    </w:p>
    <w:p>
      <w:pPr>
        <w:pStyle w:val="BodyText"/>
        <w:spacing w:line="364" w:lineRule="auto" w:before="138"/>
        <w:ind w:left="220" w:right="1418"/>
      </w:pPr>
      <w:r>
        <w:rPr/>
        <w:t>（含增发</w:t>
      </w:r>
      <w:r>
        <w:rPr>
          <w:spacing w:val="-105"/>
        </w:rPr>
        <w:t>）</w:t>
      </w:r>
      <w:r>
        <w:rPr/>
        <w:t>，并可持有因可转债转股所形成的股票、因所持股票所派发的权证以及因投资分离交易可转债而产生的权证等。</w:t>
      </w:r>
    </w:p>
    <w:p>
      <w:pPr>
        <w:pStyle w:val="BodyText"/>
        <w:spacing w:line="364" w:lineRule="auto"/>
        <w:ind w:left="220" w:right="1418" w:firstLine="420"/>
      </w:pPr>
      <w:r>
        <w:rPr>
          <w:spacing w:val="-6"/>
        </w:rPr>
        <w:t>如法律法规或监管机构以后允许基金投资其他品种，基金管理人提前公告后，可以将其</w:t>
      </w:r>
      <w:r>
        <w:rPr/>
        <w:t>纳入投资范围，其投资比例遵循届时有效法律法规或相关规定。</w:t>
      </w:r>
    </w:p>
    <w:p>
      <w:pPr>
        <w:pStyle w:val="BodyText"/>
        <w:spacing w:line="364" w:lineRule="auto"/>
        <w:ind w:left="220" w:right="1418" w:firstLine="420"/>
        <w:jc w:val="both"/>
      </w:pPr>
      <w:r>
        <w:rPr>
          <w:spacing w:val="-6"/>
        </w:rPr>
        <w:t>本基金各类资产的投资比例范围为：固定收益类资产的比例不低于基金资产的 </w:t>
      </w:r>
      <w:r>
        <w:rPr/>
        <w:t>80%，</w:t>
      </w:r>
      <w:r>
        <w:rPr>
          <w:spacing w:val="-17"/>
        </w:rPr>
        <w:t>其</w:t>
      </w:r>
      <w:r>
        <w:rPr>
          <w:spacing w:val="-3"/>
        </w:rPr>
        <w:t>中，信用债、可转债合计投资比例不低于债券资产的 </w:t>
      </w:r>
      <w:r>
        <w:rPr>
          <w:spacing w:val="-11"/>
        </w:rPr>
        <w:t>80%</w:t>
      </w:r>
      <w:r>
        <w:rPr>
          <w:spacing w:val="-4"/>
        </w:rPr>
        <w:t>；权益类资产的比例不高于基金资</w:t>
      </w:r>
      <w:r>
        <w:rPr>
          <w:spacing w:val="-18"/>
        </w:rPr>
        <w:t>产的 </w:t>
      </w:r>
      <w:r>
        <w:rPr>
          <w:spacing w:val="-14"/>
        </w:rPr>
        <w:t>20%</w:t>
      </w:r>
      <w:r>
        <w:rPr>
          <w:spacing w:val="-6"/>
        </w:rPr>
        <w:t>；现金或者到期日在一年以内的政府债券的比例合计不低于基金资产净值的 </w:t>
      </w:r>
      <w:r>
        <w:rPr>
          <w:spacing w:val="-14"/>
        </w:rPr>
        <w:t>5%</w:t>
      </w:r>
      <w:r>
        <w:rPr>
          <w:spacing w:val="-15"/>
        </w:rPr>
        <w:t>，现</w:t>
      </w:r>
      <w:r>
        <w:rPr/>
        <w:t>金不包括结算备付金、存出保证金、应收申购款等。</w:t>
      </w:r>
    </w:p>
    <w:p>
      <w:pPr>
        <w:pStyle w:val="BodyText"/>
        <w:spacing w:line="364" w:lineRule="auto"/>
        <w:ind w:left="220" w:right="1312" w:firstLine="420"/>
      </w:pPr>
      <w:r>
        <w:rPr>
          <w:spacing w:val="-6"/>
        </w:rPr>
        <w:t>本基金所指的信用债为除国债、央行票据和政策性金融债之外的、非由国家信用担保的</w:t>
      </w:r>
      <w:r>
        <w:rPr>
          <w:spacing w:val="-17"/>
        </w:rPr>
        <w:t>固定收益证券品种，包括企业债、公司债、短期融资券、资产支持证券和非政策性金融债等。</w:t>
      </w:r>
    </w:p>
    <w:p>
      <w:pPr>
        <w:pStyle w:val="BodyText"/>
        <w:spacing w:line="364" w:lineRule="auto"/>
        <w:ind w:left="220" w:right="1418" w:firstLine="420"/>
      </w:pPr>
      <w:r>
        <w:rPr/>
        <w:t>2、基金托管人根据有关法律法规的规定及基金合同的约定，对基金投资、融资比例进行监督。基金托管人按下述比例和调整期限进行监督：</w:t>
      </w:r>
    </w:p>
    <w:p>
      <w:pPr>
        <w:pStyle w:val="BodyText"/>
        <w:spacing w:line="364" w:lineRule="auto"/>
        <w:ind w:right="2360"/>
      </w:pPr>
      <w:r>
        <w:rPr/>
        <w:t>(1)本基金持有一家上市公司的股票，其市值不超过基金资产净值的 10％； (2)本基金持有的全部权证，其市值不得超过基金资产净值的 3％；</w:t>
      </w:r>
    </w:p>
    <w:p>
      <w:pPr>
        <w:pStyle w:val="ListParagraph"/>
        <w:numPr>
          <w:ilvl w:val="0"/>
          <w:numId w:val="83"/>
        </w:numPr>
        <w:tabs>
          <w:tab w:pos="956" w:val="left" w:leader="none"/>
        </w:tabs>
        <w:spacing w:line="364" w:lineRule="auto" w:before="0" w:after="0"/>
        <w:ind w:left="220" w:right="1430" w:firstLine="420"/>
        <w:jc w:val="left"/>
        <w:rPr>
          <w:sz w:val="21"/>
        </w:rPr>
      </w:pPr>
      <w:r>
        <w:rPr>
          <w:spacing w:val="-1"/>
          <w:sz w:val="21"/>
        </w:rPr>
        <w:t>本基金进入全国银行间同业市场进行债券回购的资金余额不得超过基金资产净值的</w:t>
      </w:r>
      <w:r>
        <w:rPr>
          <w:sz w:val="21"/>
        </w:rPr>
        <w:t>40％；</w:t>
      </w:r>
    </w:p>
    <w:p>
      <w:pPr>
        <w:pStyle w:val="ListParagraph"/>
        <w:numPr>
          <w:ilvl w:val="0"/>
          <w:numId w:val="83"/>
        </w:numPr>
        <w:tabs>
          <w:tab w:pos="957" w:val="left" w:leader="none"/>
        </w:tabs>
        <w:spacing w:line="364" w:lineRule="auto" w:before="0" w:after="0"/>
        <w:ind w:left="220" w:right="1313" w:firstLine="420"/>
        <w:jc w:val="left"/>
        <w:rPr>
          <w:sz w:val="21"/>
        </w:rPr>
      </w:pPr>
      <w:r>
        <w:rPr>
          <w:spacing w:val="-2"/>
          <w:sz w:val="21"/>
        </w:rPr>
        <w:t>本基金投资固定收益类资产的比例不低于基金资产的 </w:t>
      </w:r>
      <w:r>
        <w:rPr>
          <w:sz w:val="21"/>
        </w:rPr>
        <w:t>80%，其中，信用债、可转债</w:t>
      </w:r>
      <w:r>
        <w:rPr>
          <w:spacing w:val="2"/>
          <w:sz w:val="21"/>
        </w:rPr>
        <w:t>合计投资比例不低于债券资产的</w:t>
      </w:r>
      <w:r>
        <w:rPr>
          <w:spacing w:val="-14"/>
          <w:sz w:val="21"/>
        </w:rPr>
        <w:t>80%</w:t>
      </w:r>
      <w:r>
        <w:rPr>
          <w:spacing w:val="-3"/>
          <w:sz w:val="21"/>
        </w:rPr>
        <w:t>；本基金投资权益类资产的比例不高于基金资产的</w:t>
      </w:r>
      <w:r>
        <w:rPr>
          <w:spacing w:val="-4"/>
          <w:sz w:val="21"/>
        </w:rPr>
        <w:t>20%；</w:t>
      </w:r>
    </w:p>
    <w:p>
      <w:pPr>
        <w:pStyle w:val="ListParagraph"/>
        <w:numPr>
          <w:ilvl w:val="0"/>
          <w:numId w:val="83"/>
        </w:numPr>
        <w:tabs>
          <w:tab w:pos="956" w:val="left" w:leader="none"/>
        </w:tabs>
        <w:spacing w:line="364" w:lineRule="auto" w:before="0" w:after="0"/>
        <w:ind w:left="220" w:right="1418" w:firstLine="420"/>
        <w:jc w:val="left"/>
        <w:rPr>
          <w:sz w:val="21"/>
        </w:rPr>
      </w:pPr>
      <w:r>
        <w:rPr>
          <w:sz w:val="21"/>
        </w:rPr>
        <w:t>本基金投资于同一原始权益人的各类资产支持证券的比例，不得超过基金资产净值</w:t>
      </w:r>
      <w:r>
        <w:rPr>
          <w:spacing w:val="-27"/>
          <w:sz w:val="21"/>
        </w:rPr>
        <w:t>的 </w:t>
      </w:r>
      <w:r>
        <w:rPr>
          <w:sz w:val="21"/>
        </w:rPr>
        <w:t>10％；</w:t>
      </w:r>
    </w:p>
    <w:p>
      <w:pPr>
        <w:pStyle w:val="ListParagraph"/>
        <w:numPr>
          <w:ilvl w:val="0"/>
          <w:numId w:val="83"/>
        </w:numPr>
        <w:tabs>
          <w:tab w:pos="956" w:val="left" w:leader="none"/>
        </w:tabs>
        <w:spacing w:line="268" w:lineRule="exact" w:before="0" w:after="0"/>
        <w:ind w:left="956" w:right="0" w:hanging="316"/>
        <w:jc w:val="left"/>
        <w:rPr>
          <w:sz w:val="21"/>
        </w:rPr>
      </w:pPr>
      <w:r>
        <w:rPr>
          <w:spacing w:val="-2"/>
          <w:sz w:val="21"/>
        </w:rPr>
        <w:t>本基金持有的全部资产支持证券，其市值不得超过基金资产净值的 </w:t>
      </w:r>
      <w:r>
        <w:rPr>
          <w:sz w:val="21"/>
        </w:rPr>
        <w:t>20％；</w:t>
      </w:r>
    </w:p>
    <w:p>
      <w:pPr>
        <w:pStyle w:val="ListParagraph"/>
        <w:numPr>
          <w:ilvl w:val="0"/>
          <w:numId w:val="83"/>
        </w:numPr>
        <w:tabs>
          <w:tab w:pos="956" w:val="left" w:leader="none"/>
        </w:tabs>
        <w:spacing w:line="364" w:lineRule="auto" w:before="131" w:after="0"/>
        <w:ind w:left="220" w:right="1418" w:firstLine="420"/>
        <w:jc w:val="both"/>
        <w:rPr>
          <w:sz w:val="21"/>
        </w:rPr>
      </w:pPr>
      <w:r>
        <w:rPr>
          <w:sz w:val="21"/>
        </w:rPr>
        <w:t>本基金持有的同一(指同一信用级别)资产支持证券的比例，不得超过该资产支持证</w:t>
      </w:r>
      <w:r>
        <w:rPr>
          <w:spacing w:val="-11"/>
          <w:sz w:val="21"/>
        </w:rPr>
        <w:t>券规模的 </w:t>
      </w:r>
      <w:r>
        <w:rPr>
          <w:sz w:val="21"/>
        </w:rPr>
        <w:t>10％；</w:t>
      </w:r>
    </w:p>
    <w:p>
      <w:pPr>
        <w:pStyle w:val="ListParagraph"/>
        <w:numPr>
          <w:ilvl w:val="0"/>
          <w:numId w:val="83"/>
        </w:numPr>
        <w:tabs>
          <w:tab w:pos="957" w:val="left" w:leader="none"/>
        </w:tabs>
        <w:spacing w:line="364" w:lineRule="auto" w:before="0" w:after="0"/>
        <w:ind w:left="220" w:right="1417" w:firstLine="420"/>
        <w:jc w:val="both"/>
        <w:rPr>
          <w:sz w:val="21"/>
        </w:rPr>
      </w:pPr>
      <w:r>
        <w:rPr>
          <w:spacing w:val="-3"/>
          <w:sz w:val="21"/>
        </w:rPr>
        <w:t>本基金应投资于信用级别评级为 </w:t>
      </w:r>
      <w:r>
        <w:rPr>
          <w:sz w:val="21"/>
        </w:rPr>
        <w:t>BBB</w:t>
      </w:r>
      <w:r>
        <w:rPr>
          <w:spacing w:val="-16"/>
          <w:sz w:val="21"/>
        </w:rPr>
        <w:t> 以上(含 </w:t>
      </w:r>
      <w:r>
        <w:rPr>
          <w:sz w:val="21"/>
        </w:rPr>
        <w:t>BBB)的资产支持证券。基金持有资产</w:t>
      </w:r>
      <w:r>
        <w:rPr>
          <w:spacing w:val="-10"/>
          <w:sz w:val="21"/>
        </w:rPr>
        <w:t>支持证券期间，如果其信用等级下降、不再符合投资标准，应在评级报告发布之日起 </w:t>
      </w:r>
      <w:r>
        <w:rPr>
          <w:sz w:val="21"/>
        </w:rPr>
        <w:t>3</w:t>
      </w:r>
      <w:r>
        <w:rPr>
          <w:spacing w:val="-23"/>
          <w:sz w:val="21"/>
        </w:rPr>
        <w:t> 个月</w:t>
      </w:r>
      <w:r>
        <w:rPr>
          <w:sz w:val="21"/>
        </w:rPr>
        <w:t>内予以全部卖出；</w:t>
      </w:r>
    </w:p>
    <w:p>
      <w:pPr>
        <w:spacing w:after="0" w:line="364" w:lineRule="auto"/>
        <w:jc w:val="both"/>
        <w:rPr>
          <w:sz w:val="21"/>
        </w:rPr>
        <w:sectPr>
          <w:pgSz w:w="11910" w:h="16840"/>
          <w:pgMar w:header="0" w:footer="664" w:top="1380" w:bottom="940" w:left="1580" w:right="380"/>
        </w:sectPr>
      </w:pPr>
    </w:p>
    <w:p>
      <w:pPr>
        <w:pStyle w:val="ListParagraph"/>
        <w:numPr>
          <w:ilvl w:val="0"/>
          <w:numId w:val="83"/>
        </w:numPr>
        <w:tabs>
          <w:tab w:pos="956" w:val="left" w:leader="none"/>
        </w:tabs>
        <w:spacing w:line="364" w:lineRule="auto" w:before="45" w:after="0"/>
        <w:ind w:left="220" w:right="1418" w:firstLine="420"/>
        <w:jc w:val="left"/>
        <w:rPr>
          <w:sz w:val="21"/>
        </w:rPr>
      </w:pPr>
      <w:r>
        <w:rPr>
          <w:sz w:val="21"/>
        </w:rPr>
        <w:t>基金财产参与股票发行申购，本基金所申报的金额不超过本基金的总资产，本基金所申报的股票数量不超过拟发行股票公司本次发行股票的总量；</w:t>
      </w:r>
    </w:p>
    <w:p>
      <w:pPr>
        <w:pStyle w:val="ListParagraph"/>
        <w:numPr>
          <w:ilvl w:val="0"/>
          <w:numId w:val="83"/>
        </w:numPr>
        <w:tabs>
          <w:tab w:pos="1061" w:val="left" w:leader="none"/>
        </w:tabs>
        <w:spacing w:line="364" w:lineRule="auto" w:before="0" w:after="0"/>
        <w:ind w:left="220" w:right="1418" w:firstLine="420"/>
        <w:jc w:val="left"/>
        <w:rPr>
          <w:sz w:val="21"/>
        </w:rPr>
      </w:pPr>
      <w:r>
        <w:rPr>
          <w:spacing w:val="-5"/>
          <w:sz w:val="21"/>
        </w:rPr>
        <w:t>保持不低于基金资产净值 </w:t>
      </w:r>
      <w:r>
        <w:rPr>
          <w:sz w:val="21"/>
        </w:rPr>
        <w:t>5％</w:t>
      </w:r>
      <w:r>
        <w:rPr>
          <w:spacing w:val="-4"/>
          <w:sz w:val="21"/>
        </w:rPr>
        <w:t>的现金或者到期日在一年以内的政府债券，现金不包</w:t>
      </w:r>
      <w:r>
        <w:rPr>
          <w:sz w:val="21"/>
        </w:rPr>
        <w:t>括结算备付金、存出保证金、应收申购款等；</w:t>
      </w:r>
    </w:p>
    <w:p>
      <w:pPr>
        <w:pStyle w:val="ListParagraph"/>
        <w:numPr>
          <w:ilvl w:val="0"/>
          <w:numId w:val="83"/>
        </w:numPr>
        <w:tabs>
          <w:tab w:pos="1061" w:val="left" w:leader="none"/>
        </w:tabs>
        <w:spacing w:line="364" w:lineRule="auto" w:before="0" w:after="0"/>
        <w:ind w:left="220" w:right="1418" w:firstLine="420"/>
        <w:jc w:val="both"/>
        <w:rPr>
          <w:sz w:val="21"/>
        </w:rPr>
      </w:pPr>
      <w:r>
        <w:rPr>
          <w:spacing w:val="-2"/>
          <w:sz w:val="21"/>
        </w:rPr>
        <w:t>本基金持有的所有流通受限证券，其公允价值不得超过本基金资产净值的 </w:t>
      </w:r>
      <w:r>
        <w:rPr>
          <w:spacing w:val="-11"/>
          <w:sz w:val="21"/>
        </w:rPr>
        <w:t>10%</w:t>
      </w:r>
      <w:r>
        <w:rPr>
          <w:spacing w:val="-14"/>
          <w:sz w:val="21"/>
        </w:rPr>
        <w:t>；本</w:t>
      </w:r>
      <w:r>
        <w:rPr>
          <w:spacing w:val="-1"/>
          <w:sz w:val="21"/>
        </w:rPr>
        <w:t>基金持有的同一流通受限证券，其公允价值不得超过本基金资产净值的 </w:t>
      </w:r>
      <w:r>
        <w:rPr>
          <w:sz w:val="21"/>
        </w:rPr>
        <w:t>3%；因流通受限证</w:t>
      </w:r>
      <w:r>
        <w:rPr>
          <w:spacing w:val="-12"/>
          <w:sz w:val="21"/>
        </w:rPr>
        <w:t>券价格波动、基金规模变动、新股申购等基金管理人无法控制的因素导致上述比例被动超标</w:t>
      </w:r>
      <w:r>
        <w:rPr>
          <w:sz w:val="21"/>
        </w:rPr>
        <w:t>的，基金管理人应当停止主动买入流通受限证券并在流通受限期结束后卖出流通受限证券;</w:t>
      </w:r>
    </w:p>
    <w:p>
      <w:pPr>
        <w:pStyle w:val="ListParagraph"/>
        <w:numPr>
          <w:ilvl w:val="0"/>
          <w:numId w:val="84"/>
        </w:numPr>
        <w:tabs>
          <w:tab w:pos="1271" w:val="left" w:leader="none"/>
        </w:tabs>
        <w:spacing w:line="364" w:lineRule="auto" w:before="0" w:after="0"/>
        <w:ind w:left="220" w:right="1418"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1"/>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pStyle w:val="ListParagraph"/>
        <w:numPr>
          <w:ilvl w:val="0"/>
          <w:numId w:val="84"/>
        </w:numPr>
        <w:tabs>
          <w:tab w:pos="1271" w:val="left" w:leader="none"/>
        </w:tabs>
        <w:spacing w:line="364" w:lineRule="auto" w:before="0" w:after="0"/>
        <w:ind w:left="640" w:right="1376" w:firstLine="0"/>
        <w:jc w:val="both"/>
        <w:rPr>
          <w:sz w:val="21"/>
        </w:rPr>
      </w:pPr>
      <w:r>
        <w:rPr>
          <w:spacing w:val="-2"/>
          <w:sz w:val="21"/>
        </w:rPr>
        <w:t>本基金主动投资于流动性受限资产的市值合计不得超过该基金资产净值的 </w:t>
      </w:r>
      <w:r>
        <w:rPr>
          <w:sz w:val="21"/>
        </w:rPr>
        <w:t>15%</w:t>
      </w:r>
      <w:r>
        <w:rPr>
          <w:spacing w:val="-17"/>
          <w:sz w:val="21"/>
        </w:rPr>
        <w:t>。</w:t>
      </w:r>
      <w:r>
        <w:rPr>
          <w:spacing w:val="-9"/>
          <w:sz w:val="21"/>
        </w:rPr>
        <w:t>因证券市场波动、上市公司股票停牌、基金规模变动等基金管理人之外的因素致使基金</w:t>
      </w:r>
    </w:p>
    <w:p>
      <w:pPr>
        <w:pStyle w:val="BodyText"/>
        <w:spacing w:line="268" w:lineRule="exact"/>
        <w:ind w:left="220"/>
      </w:pPr>
      <w:r>
        <w:rPr/>
        <w:t>不符合前款所规定比例限制的，基金管理人不得主动新增流动性受限资产的投资。</w:t>
      </w:r>
    </w:p>
    <w:p>
      <w:pPr>
        <w:pStyle w:val="ListParagraph"/>
        <w:numPr>
          <w:ilvl w:val="0"/>
          <w:numId w:val="84"/>
        </w:numPr>
        <w:tabs>
          <w:tab w:pos="1271" w:val="left" w:leader="none"/>
        </w:tabs>
        <w:spacing w:line="364" w:lineRule="auto" w:before="134" w:after="0"/>
        <w:ind w:left="220" w:right="141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BodyText"/>
        <w:spacing w:line="364" w:lineRule="auto"/>
        <w:ind w:left="220" w:right="1418" w:firstLine="420"/>
      </w:pPr>
      <w:r>
        <w:rPr>
          <w:spacing w:val="-6"/>
        </w:rPr>
        <w:t>如果法律法规对上述投资组合比例限制进行变更的，以变更后的规定为准。法律法规或</w:t>
      </w:r>
      <w:r>
        <w:rPr/>
        <w:t>监管部门取消上述限制，如适用于本基金，则本基金投资不再受相关限制。</w:t>
      </w:r>
    </w:p>
    <w:p>
      <w:pPr>
        <w:pStyle w:val="BodyText"/>
        <w:spacing w:line="364" w:lineRule="auto"/>
        <w:ind w:left="220" w:right="1418" w:firstLine="420"/>
        <w:jc w:val="both"/>
      </w:pPr>
      <w:r>
        <w:rPr>
          <w:spacing w:val="-7"/>
        </w:rPr>
        <w:t>除上述</w:t>
      </w:r>
      <w:r>
        <w:rPr/>
        <w:t>（8</w:t>
      </w:r>
      <w:r>
        <w:rPr>
          <w:spacing w:val="-105"/>
        </w:rPr>
        <w:t>）、</w:t>
      </w:r>
      <w:r>
        <w:rPr/>
        <w:t>（9</w:t>
      </w:r>
      <w:r>
        <w:rPr>
          <w:spacing w:val="-105"/>
        </w:rPr>
        <w:t>）、</w:t>
      </w:r>
      <w:r>
        <w:rPr/>
        <w:t>（10</w:t>
      </w:r>
      <w:r>
        <w:rPr>
          <w:spacing w:val="-105"/>
        </w:rPr>
        <w:t>）、</w:t>
      </w:r>
      <w:r>
        <w:rPr/>
        <w:t>（13</w:t>
      </w:r>
      <w:r>
        <w:rPr>
          <w:spacing w:val="-105"/>
        </w:rPr>
        <w:t>）、</w:t>
      </w:r>
      <w:r>
        <w:rPr/>
        <w:t>（14</w:t>
      </w:r>
      <w:r>
        <w:rPr>
          <w:spacing w:val="-19"/>
        </w:rPr>
        <w:t>）</w:t>
      </w:r>
      <w:r>
        <w:rPr>
          <w:spacing w:val="-9"/>
        </w:rPr>
        <w:t>以外，因证券市场波动、上市公司合并、基金规</w:t>
      </w:r>
      <w:r>
        <w:rPr>
          <w:spacing w:val="-12"/>
        </w:rPr>
        <w:t>模变动、股权分置改革中支付对价等基金管理人之外的因素致使基金投资比例不符合上述规</w:t>
      </w:r>
      <w:r>
        <w:rPr>
          <w:spacing w:val="-4"/>
        </w:rPr>
        <w:t>定投资比例的，基金管理人应当在 </w:t>
      </w:r>
      <w:r>
        <w:rPr/>
        <w:t>10</w:t>
      </w:r>
      <w:r>
        <w:rPr>
          <w:spacing w:val="-8"/>
        </w:rPr>
        <w:t> 个交易日内进行调整。</w:t>
      </w:r>
    </w:p>
    <w:p>
      <w:pPr>
        <w:pStyle w:val="BodyText"/>
        <w:spacing w:line="364" w:lineRule="auto"/>
        <w:ind w:left="220" w:right="1418" w:firstLine="420"/>
        <w:jc w:val="both"/>
      </w:pPr>
      <w:r>
        <w:rPr/>
        <w:t>基金管理人应当自基金合同生效之日起 6 个月内使基金的投资组合比例符合基金合同的有关约定。基金托管人对基金的投资的监督与检查自本基金合同生效之日起开始。</w:t>
      </w:r>
    </w:p>
    <w:p>
      <w:pPr>
        <w:pStyle w:val="BodyText"/>
        <w:spacing w:line="364" w:lineRule="auto"/>
        <w:ind w:left="220" w:right="1418" w:firstLine="420"/>
        <w:jc w:val="both"/>
      </w:pPr>
      <w:r>
        <w:rPr/>
        <w:t>3、基金托管人根据有关法律法规的规定及基金合同的约定，对本托管协议第十五条第</w:t>
      </w:r>
      <w:r>
        <w:rPr>
          <w:spacing w:val="-8"/>
        </w:rPr>
        <w:t>九款基金投资禁止行为进行监督。基金托管人通过事后监督方式对基金管理人基金投资禁止</w:t>
      </w:r>
      <w:r>
        <w:rPr>
          <w:spacing w:val="-7"/>
        </w:rPr>
        <w:t>行为和关联交易进行监督。根据法律法规有关基金禁止从事关联交易的规定，基金管理人和</w:t>
      </w:r>
      <w:r>
        <w:rPr>
          <w:spacing w:val="-5"/>
        </w:rPr>
        <w:t>基金托管人应事先相互提供与本机构有控股关系的股东、与本机构有其他重大利害关系的公</w:t>
      </w:r>
      <w:r>
        <w:rPr>
          <w:spacing w:val="-7"/>
        </w:rPr>
        <w:t>司名单及有关关联方发行的证券名单。基金管理人和基金托管人有责任确保关联交易名单的</w:t>
      </w:r>
      <w:r>
        <w:rPr/>
        <w:t>真实性、准确性、完整性，并负责及时将更新后的名单发送给对方。</w:t>
      </w:r>
    </w:p>
    <w:p>
      <w:pPr>
        <w:pStyle w:val="BodyText"/>
        <w:spacing w:line="364" w:lineRule="auto"/>
        <w:ind w:left="220" w:right="1220" w:firstLine="420"/>
      </w:pPr>
      <w:r>
        <w:rPr>
          <w:spacing w:val="2"/>
        </w:rPr>
        <w:t>若基金托管人发现基金管理人与关联交易名单中列示的关联方进行法律法规禁止基金 </w:t>
      </w:r>
      <w:r>
        <w:rPr>
          <w:spacing w:val="-10"/>
        </w:rPr>
        <w:t>从事的关联交易时，基金托管人应及时提醒基金管理人采取必要措施阻止该关联交易的发生， </w:t>
      </w:r>
      <w:r>
        <w:rPr>
          <w:spacing w:val="-4"/>
        </w:rPr>
        <w:t>如基金托管人采取必要措施后仍无法阻止关联交易发生时，基金托管人有权向中国证监会报</w:t>
      </w:r>
      <w:r>
        <w:rPr>
          <w:spacing w:val="-9"/>
        </w:rPr>
        <w:t>告。对于基金管理人已成交的关联交易，基金托管人事前无法阻止该关联交易的发生，只能进行事后结算，基金托管人不承担由此造成的损失，并向中国证监会报告。</w:t>
      </w:r>
    </w:p>
    <w:p>
      <w:pPr>
        <w:spacing w:after="0" w:line="364" w:lineRule="auto"/>
        <w:sectPr>
          <w:pgSz w:w="11910" w:h="16840"/>
          <w:pgMar w:header="0" w:footer="664" w:top="1380" w:bottom="940" w:left="1580" w:right="380"/>
        </w:sectPr>
      </w:pPr>
    </w:p>
    <w:p>
      <w:pPr>
        <w:pStyle w:val="BodyText"/>
        <w:spacing w:line="364" w:lineRule="auto" w:before="45"/>
        <w:ind w:left="220" w:right="1417" w:firstLine="420"/>
        <w:jc w:val="both"/>
      </w:pPr>
      <w:r>
        <w:rPr/>
        <w:t>4、基金托管人根据有关法律法规的规定及基金合同的约定，对基金管理人参与银行间</w:t>
      </w:r>
      <w:r>
        <w:rPr>
          <w:spacing w:val="-11"/>
        </w:rPr>
        <w:t>债券市场进行监督。基金管理人应在基金投资运作之前向基金托管人提供符合法律法规及行业标准的、经慎重选择的、本基金适用的银行间债券市场交易对手名单。基金管理人应严格</w:t>
      </w:r>
      <w:r>
        <w:rPr>
          <w:spacing w:val="-5"/>
        </w:rPr>
        <w:t>按照交易对手名单的范围在银行间债券市场选择交易对手。基金托管人监督基金管理人是否按事前提供的银行间债券市场交易对手名单进行交易。基金管理人可以每半年对银行间债券</w:t>
      </w:r>
      <w:r>
        <w:rPr>
          <w:spacing w:val="-7"/>
        </w:rPr>
        <w:t>市场交易对手名单及结算方式进行更新。如基金管理人根据市场情况需要临时调整银行间债</w:t>
      </w:r>
      <w:r>
        <w:rPr>
          <w:spacing w:val="-6"/>
        </w:rPr>
        <w:t>券市场交易对手名单及结算方式的，应向基金托管人说明理由，并在与交易对手发生交易前</w:t>
      </w:r>
      <w:r>
        <w:rPr/>
        <w:t>3</w:t>
      </w:r>
      <w:r>
        <w:rPr>
          <w:spacing w:val="-11"/>
        </w:rPr>
        <w:t> 工作日内与基金托管人协商解决。基金管理人与基金托管人完成确认后，被确认调整的名</w:t>
      </w:r>
      <w:r>
        <w:rPr>
          <w:spacing w:val="-10"/>
        </w:rPr>
        <w:t>单开始生效，新名单生效前已与本次剔除的交易对手所进行但尚未结算的交易，仍应按照协</w:t>
      </w:r>
      <w:r>
        <w:rPr/>
        <w:t>议进行结算。</w:t>
      </w:r>
    </w:p>
    <w:p>
      <w:pPr>
        <w:pStyle w:val="BodyText"/>
        <w:spacing w:line="364" w:lineRule="auto"/>
        <w:ind w:left="220" w:right="1418" w:firstLine="420"/>
        <w:jc w:val="both"/>
      </w:pPr>
      <w:r>
        <w:rPr>
          <w:spacing w:val="-6"/>
        </w:rPr>
        <w:t>基金管理人负责对交易对手的资信控制，按银行间债券市场的交易规则进行交易，并负责解决因交易对手不履行合同而造成的纠纷及损失，基金托管人不承担由此造成的任何法律</w:t>
      </w:r>
      <w:r>
        <w:rPr>
          <w:spacing w:val="-11"/>
        </w:rPr>
        <w:t>责任及损失。若未履约的交易对手在基金托管人与基金管理人确定的时间前仍未承担违约责</w:t>
      </w:r>
      <w:r>
        <w:rPr>
          <w:spacing w:val="-7"/>
        </w:rPr>
        <w:t>任及其他相关法律责任的，基金管理人可以对相应损失先行予以承担，然后再向相关交易对</w:t>
      </w:r>
      <w:r>
        <w:rPr>
          <w:spacing w:val="-10"/>
        </w:rPr>
        <w:t>手追偿。基金托管人则根据银行间债券市场成交单对合同履行情况进行监督。如基金托管人</w:t>
      </w:r>
      <w:r>
        <w:rPr>
          <w:spacing w:val="-5"/>
        </w:rPr>
        <w:t>事后发现基金管理人没有按照事先约定的交易对手进行交易时，基金托管人应及时提醒基金</w:t>
      </w:r>
      <w:r>
        <w:rPr/>
        <w:t>管理人，基金托管人不承担由此造成的任何损失和责任。</w:t>
      </w:r>
    </w:p>
    <w:p>
      <w:pPr>
        <w:pStyle w:val="BodyText"/>
        <w:spacing w:line="364" w:lineRule="auto"/>
        <w:ind w:left="220" w:right="1418" w:firstLine="420"/>
      </w:pPr>
      <w:r>
        <w:rPr/>
        <w:t>5、基金托管人根据有关法律法规的规定及基金合同的约定，对基金管理人投资流通受限证券进行监督。</w:t>
      </w:r>
    </w:p>
    <w:p>
      <w:pPr>
        <w:pStyle w:val="BodyText"/>
        <w:spacing w:line="364" w:lineRule="auto"/>
        <w:ind w:left="220" w:right="1417" w:firstLine="420"/>
        <w:jc w:val="both"/>
      </w:pPr>
      <w:r>
        <w:rPr>
          <w:spacing w:val="-7"/>
        </w:rPr>
        <w:t>基金管理人投资流通受限证券，应事先根据中国证监会相关规定，明确基金投资流通受</w:t>
      </w:r>
      <w:r>
        <w:rPr>
          <w:spacing w:val="-9"/>
        </w:rPr>
        <w:t>限证券的比例，制订严格的投资决策流程和风险控制制度，防范流动性风险、法律风险和操作风险等各种风险。基金托管人对基金管理人是否遵守相关制度、流动性风险处置预案以及</w:t>
      </w:r>
      <w:r>
        <w:rPr/>
        <w:t>相关投资额度和比例等的情况进行监督。</w:t>
      </w:r>
    </w:p>
    <w:p>
      <w:pPr>
        <w:pStyle w:val="ListParagraph"/>
        <w:numPr>
          <w:ilvl w:val="0"/>
          <w:numId w:val="85"/>
        </w:numPr>
        <w:tabs>
          <w:tab w:pos="956" w:val="left" w:leader="none"/>
        </w:tabs>
        <w:spacing w:line="364" w:lineRule="auto" w:before="0" w:after="0"/>
        <w:ind w:left="220" w:right="1417" w:firstLine="420"/>
        <w:jc w:val="both"/>
        <w:rPr>
          <w:sz w:val="21"/>
        </w:rPr>
      </w:pPr>
      <w:r>
        <w:rPr>
          <w:sz w:val="21"/>
        </w:rPr>
        <w:t>本基金投资的受限证券须为经中国证监会批准的非公开发行股票、公开发行股票网</w:t>
      </w:r>
      <w:r>
        <w:rPr>
          <w:spacing w:val="-5"/>
          <w:sz w:val="21"/>
        </w:rPr>
        <w:t>下配售部分等在发行时明确一定期限锁定期的可交易证券，不包括由于发布重大消息或其他</w:t>
      </w:r>
      <w:r>
        <w:rPr>
          <w:spacing w:val="-7"/>
          <w:sz w:val="21"/>
        </w:rPr>
        <w:t>原因而临时停牌的证券、已发行未上市证券、回购交易中的质押券等流通受限证券。本基金</w:t>
      </w:r>
      <w:r>
        <w:rPr>
          <w:sz w:val="21"/>
        </w:rPr>
        <w:t>不投资有锁定期但锁定期不明确的证券。</w:t>
      </w:r>
    </w:p>
    <w:p>
      <w:pPr>
        <w:pStyle w:val="BodyText"/>
        <w:spacing w:line="364" w:lineRule="auto"/>
        <w:ind w:left="220" w:right="1418" w:firstLine="420"/>
      </w:pPr>
      <w:r>
        <w:rPr/>
        <w:t>本基金投资的受限证券限于可由中国证券登记结算有限责任公司或中央国债登记结算有限责任公司负责登记和存管，并可在证券交易所或全国银行间债券市场交易的证券。</w:t>
      </w:r>
    </w:p>
    <w:p>
      <w:pPr>
        <w:pStyle w:val="BodyText"/>
        <w:spacing w:line="364" w:lineRule="auto"/>
        <w:ind w:left="220" w:right="1313" w:firstLine="420"/>
      </w:pPr>
      <w:r>
        <w:rPr>
          <w:spacing w:val="-4"/>
        </w:rPr>
        <w:t>本基金投资的受限证券应保证登记存管在本基金名下，基金管理人负责相关工作的落实</w:t>
      </w:r>
      <w:r>
        <w:rPr>
          <w:spacing w:val="-17"/>
        </w:rPr>
        <w:t>和协调，并确保基金托管人能够正常查询。因基金管理人原因产生的受限证券登记存管问题， </w:t>
      </w:r>
      <w:r>
        <w:rPr>
          <w:spacing w:val="-4"/>
        </w:rPr>
        <w:t>造成基金托管人无法安全保管本基金资产的责任与损失，及因受限证券存管直接影响本基金安全的责任及损失，由基金管理人承担。</w:t>
      </w:r>
    </w:p>
    <w:p>
      <w:pPr>
        <w:pStyle w:val="BodyText"/>
        <w:spacing w:line="267" w:lineRule="exact"/>
      </w:pPr>
      <w:r>
        <w:rPr/>
        <w:t>本基金投资受限证券，不得预付任何形式的保证金。</w:t>
      </w:r>
    </w:p>
    <w:p>
      <w:pPr>
        <w:spacing w:after="0" w:line="267" w:lineRule="exact"/>
        <w:sectPr>
          <w:pgSz w:w="11910" w:h="16840"/>
          <w:pgMar w:header="0" w:footer="664" w:top="1380" w:bottom="940" w:left="1580" w:right="380"/>
        </w:sectPr>
      </w:pPr>
    </w:p>
    <w:p>
      <w:pPr>
        <w:pStyle w:val="ListParagraph"/>
        <w:numPr>
          <w:ilvl w:val="0"/>
          <w:numId w:val="85"/>
        </w:numPr>
        <w:tabs>
          <w:tab w:pos="956" w:val="left" w:leader="none"/>
        </w:tabs>
        <w:spacing w:line="364" w:lineRule="auto" w:before="45" w:after="0"/>
        <w:ind w:left="220" w:right="1418" w:firstLine="420"/>
        <w:jc w:val="both"/>
        <w:rPr>
          <w:sz w:val="21"/>
        </w:rPr>
      </w:pPr>
      <w:r>
        <w:rPr>
          <w:sz w:val="21"/>
        </w:rPr>
        <w:t>基金管理人投资非公开发行股票，应制订流动性风险处置预案并经其董事会批准。</w:t>
      </w:r>
      <w:r>
        <w:rPr>
          <w:spacing w:val="-4"/>
          <w:sz w:val="21"/>
        </w:rPr>
        <w:t>风险处置预案应包括但不限于因投资受限证券需要解决的基金投资比例限制失调、基金流动</w:t>
      </w:r>
      <w:r>
        <w:rPr>
          <w:spacing w:val="-6"/>
          <w:sz w:val="21"/>
        </w:rPr>
        <w:t>性困难以及相关损失的应对解决措施，以及有关异常情况的处置。基金管理人应在首次投资</w:t>
      </w:r>
      <w:r>
        <w:rPr>
          <w:sz w:val="21"/>
        </w:rPr>
        <w:t>流通受限证券前向基金托管人提供基金投资非公开发行股票相关流动性风险处置预案。</w:t>
      </w:r>
    </w:p>
    <w:p>
      <w:pPr>
        <w:pStyle w:val="BodyText"/>
        <w:spacing w:line="364" w:lineRule="auto"/>
        <w:ind w:left="220" w:right="1417" w:firstLine="420"/>
        <w:jc w:val="both"/>
      </w:pPr>
      <w:r>
        <w:rPr>
          <w:spacing w:val="-5"/>
        </w:rPr>
        <w:t>基金管理人对本基金投资受限证券的流动性风险负责，确保对相关风险采取积极有效的</w:t>
      </w:r>
      <w:r>
        <w:rPr>
          <w:spacing w:val="-10"/>
        </w:rPr>
        <w:t>措施，在合理的时间内有效解决基金运作的流动性问题。如因基金巨额赎回或市场发生剧烈</w:t>
      </w:r>
      <w:r>
        <w:rPr>
          <w:spacing w:val="-7"/>
        </w:rPr>
        <w:t>变动等原因而导致基金现金周转困难时，基金管理人应保证提供足额现金确保基金的支付结</w:t>
      </w:r>
      <w:r>
        <w:rPr>
          <w:spacing w:val="-11"/>
        </w:rPr>
        <w:t>算，并承担所有损失。对本基金因投资受限证券导致的流动性风险，基金托管人不承担任何</w:t>
      </w:r>
      <w:r>
        <w:rPr>
          <w:spacing w:val="-10"/>
        </w:rPr>
        <w:t>责任。如因基金管理人原因导致本基金出现损失致使基金托管人承担连带赔偿责任的，基金</w:t>
      </w:r>
      <w:r>
        <w:rPr/>
        <w:t>管理人应赔偿基金托管人由此遭受的损失。</w:t>
      </w:r>
    </w:p>
    <w:p>
      <w:pPr>
        <w:pStyle w:val="ListParagraph"/>
        <w:numPr>
          <w:ilvl w:val="0"/>
          <w:numId w:val="85"/>
        </w:numPr>
        <w:tabs>
          <w:tab w:pos="956" w:val="left" w:leader="none"/>
        </w:tabs>
        <w:spacing w:line="364" w:lineRule="auto" w:before="0" w:after="0"/>
        <w:ind w:left="220" w:right="1418" w:firstLine="420"/>
        <w:jc w:val="both"/>
        <w:rPr>
          <w:sz w:val="21"/>
        </w:rPr>
      </w:pPr>
      <w:r>
        <w:rPr>
          <w:sz w:val="21"/>
        </w:rPr>
        <w:t>本基金投资非公开发行股票，基金管理人应至少于投资前三个工作日向基金托管人</w:t>
      </w:r>
      <w:r>
        <w:rPr>
          <w:spacing w:val="-7"/>
          <w:sz w:val="21"/>
        </w:rPr>
        <w:t>提交有关书面资料，并保证向基金托管人提供的有关资料真实、准确、完整。有关资料如有</w:t>
      </w:r>
      <w:r>
        <w:rPr>
          <w:sz w:val="21"/>
        </w:rPr>
        <w:t>调整，基金管理人应及时提供调整后的资料。上述书面资料包括但不限于：</w:t>
      </w:r>
    </w:p>
    <w:p>
      <w:pPr>
        <w:pStyle w:val="ListParagraph"/>
        <w:numPr>
          <w:ilvl w:val="0"/>
          <w:numId w:val="86"/>
        </w:numPr>
        <w:tabs>
          <w:tab w:pos="851" w:val="left" w:leader="none"/>
        </w:tabs>
        <w:spacing w:line="268" w:lineRule="exact" w:before="0" w:after="0"/>
        <w:ind w:left="851" w:right="0" w:hanging="211"/>
        <w:jc w:val="left"/>
        <w:rPr>
          <w:sz w:val="21"/>
        </w:rPr>
      </w:pPr>
      <w:r>
        <w:rPr>
          <w:sz w:val="21"/>
        </w:rPr>
        <w:t>中国证监会批准发行非公开发行股票的批准文件。</w:t>
      </w:r>
    </w:p>
    <w:p>
      <w:pPr>
        <w:pStyle w:val="ListParagraph"/>
        <w:numPr>
          <w:ilvl w:val="0"/>
          <w:numId w:val="86"/>
        </w:numPr>
        <w:tabs>
          <w:tab w:pos="851" w:val="left" w:leader="none"/>
        </w:tabs>
        <w:spacing w:line="240" w:lineRule="auto" w:before="135" w:after="0"/>
        <w:ind w:left="851" w:right="0" w:hanging="211"/>
        <w:jc w:val="left"/>
        <w:rPr>
          <w:sz w:val="21"/>
        </w:rPr>
      </w:pPr>
      <w:r>
        <w:rPr>
          <w:sz w:val="21"/>
        </w:rPr>
        <w:t>非公开发行股票有关发行数量、发行价格、锁定期等发行资料。</w:t>
      </w:r>
    </w:p>
    <w:p>
      <w:pPr>
        <w:pStyle w:val="ListParagraph"/>
        <w:numPr>
          <w:ilvl w:val="0"/>
          <w:numId w:val="86"/>
        </w:numPr>
        <w:tabs>
          <w:tab w:pos="854" w:val="left" w:leader="none"/>
        </w:tabs>
        <w:spacing w:line="364" w:lineRule="auto" w:before="139" w:after="0"/>
        <w:ind w:left="220" w:right="1418" w:firstLine="420"/>
        <w:jc w:val="left"/>
        <w:rPr>
          <w:sz w:val="21"/>
        </w:rPr>
      </w:pPr>
      <w:r>
        <w:rPr>
          <w:spacing w:val="2"/>
          <w:sz w:val="21"/>
        </w:rPr>
        <w:t>非公开发行股票发行人与中国证券登记结算有限责任公司或中央国债登记结算有限</w:t>
      </w:r>
      <w:r>
        <w:rPr>
          <w:sz w:val="21"/>
        </w:rPr>
        <w:t>责任公司签订的证券登记及服务协议。</w:t>
      </w:r>
    </w:p>
    <w:p>
      <w:pPr>
        <w:pStyle w:val="ListParagraph"/>
        <w:numPr>
          <w:ilvl w:val="0"/>
          <w:numId w:val="86"/>
        </w:numPr>
        <w:tabs>
          <w:tab w:pos="851" w:val="left" w:leader="none"/>
        </w:tabs>
        <w:spacing w:line="268" w:lineRule="exact" w:before="0" w:after="0"/>
        <w:ind w:left="851" w:right="0" w:hanging="211"/>
        <w:jc w:val="left"/>
        <w:rPr>
          <w:sz w:val="21"/>
        </w:rPr>
      </w:pPr>
      <w:r>
        <w:rPr>
          <w:sz w:val="21"/>
        </w:rPr>
        <w:t>基金拟认购的数量、价格、总成本、账面价值。</w:t>
      </w:r>
    </w:p>
    <w:p>
      <w:pPr>
        <w:pStyle w:val="ListParagraph"/>
        <w:numPr>
          <w:ilvl w:val="0"/>
          <w:numId w:val="85"/>
        </w:numPr>
        <w:tabs>
          <w:tab w:pos="956" w:val="left" w:leader="none"/>
        </w:tabs>
        <w:spacing w:line="364" w:lineRule="auto" w:before="140" w:after="0"/>
        <w:ind w:left="220" w:right="1418" w:firstLine="420"/>
        <w:jc w:val="both"/>
        <w:rPr>
          <w:sz w:val="21"/>
        </w:rPr>
      </w:pPr>
      <w:r>
        <w:rPr>
          <w:sz w:val="21"/>
        </w:rPr>
        <w:t>基金管理人应在本基金投资非公开发行股票后两个交易日内，在中国证监会指定媒</w:t>
      </w:r>
      <w:r>
        <w:rPr>
          <w:spacing w:val="-7"/>
          <w:sz w:val="21"/>
        </w:rPr>
        <w:t>介披露所投资非公开发行股票的名称、数量、总成本、账面价值，以及总成本和账面价值占</w:t>
      </w:r>
      <w:r>
        <w:rPr>
          <w:sz w:val="21"/>
        </w:rPr>
        <w:t>基金资产净值的比例、锁定期等信息。</w:t>
      </w:r>
    </w:p>
    <w:p>
      <w:pPr>
        <w:pStyle w:val="BodyText"/>
        <w:spacing w:line="364" w:lineRule="auto"/>
        <w:ind w:left="220" w:right="1208" w:firstLine="420"/>
      </w:pPr>
      <w:r>
        <w:rPr/>
        <w:t>本基金有关投资受限证券比例如违反有关限制规定，在合理期限内未能进行及时调整， 基金管理人应在两个工作日内编制临时报告书，予以公告。</w:t>
      </w:r>
    </w:p>
    <w:p>
      <w:pPr>
        <w:pStyle w:val="ListParagraph"/>
        <w:numPr>
          <w:ilvl w:val="0"/>
          <w:numId w:val="85"/>
        </w:numPr>
        <w:tabs>
          <w:tab w:pos="956" w:val="left" w:leader="none"/>
        </w:tabs>
        <w:spacing w:line="364" w:lineRule="auto" w:before="0" w:after="0"/>
        <w:ind w:left="640" w:right="3110" w:firstLine="0"/>
        <w:jc w:val="left"/>
        <w:rPr>
          <w:sz w:val="21"/>
        </w:rPr>
      </w:pPr>
      <w:r>
        <w:rPr>
          <w:spacing w:val="-1"/>
          <w:sz w:val="21"/>
        </w:rPr>
        <w:t>基金托管人根据有关规定有权对基金管理人进行以下事项监督： </w:t>
      </w:r>
      <w:r>
        <w:rPr>
          <w:sz w:val="21"/>
        </w:rPr>
        <w:t>a.本基金投资受限证券时的法律法规遵守情况。</w:t>
      </w:r>
    </w:p>
    <w:p>
      <w:pPr>
        <w:pStyle w:val="BodyText"/>
        <w:spacing w:line="364" w:lineRule="auto"/>
        <w:ind w:right="1220"/>
      </w:pPr>
      <w:r>
        <w:rPr/>
        <w:t>b.</w:t>
      </w:r>
      <w:r>
        <w:rPr>
          <w:spacing w:val="-7"/>
        </w:rPr>
        <w:t>在基金投资受限证券管理工作方面有关制度、流动性风险处置预案的建立与完善情况。</w:t>
      </w:r>
      <w:r>
        <w:rPr/>
        <w:t>c.有关比例限制的执行情况。</w:t>
      </w:r>
    </w:p>
    <w:p>
      <w:pPr>
        <w:pStyle w:val="BodyText"/>
        <w:spacing w:line="268" w:lineRule="exact"/>
      </w:pPr>
      <w:r>
        <w:rPr/>
        <w:t>d.信息披露情况。</w:t>
      </w:r>
    </w:p>
    <w:p>
      <w:pPr>
        <w:pStyle w:val="ListParagraph"/>
        <w:numPr>
          <w:ilvl w:val="0"/>
          <w:numId w:val="85"/>
        </w:numPr>
        <w:tabs>
          <w:tab w:pos="956" w:val="left" w:leader="none"/>
        </w:tabs>
        <w:spacing w:line="240" w:lineRule="auto" w:before="136" w:after="0"/>
        <w:ind w:left="956" w:right="0" w:hanging="316"/>
        <w:jc w:val="left"/>
        <w:rPr>
          <w:sz w:val="21"/>
        </w:rPr>
      </w:pPr>
      <w:r>
        <w:rPr>
          <w:sz w:val="21"/>
        </w:rPr>
        <w:t>相关法律法规对基金投资受限证券有新规定的，从其规定。</w:t>
      </w:r>
    </w:p>
    <w:p>
      <w:pPr>
        <w:pStyle w:val="BodyText"/>
        <w:spacing w:line="364" w:lineRule="auto" w:before="139"/>
        <w:ind w:left="220" w:right="1312" w:firstLine="420"/>
      </w:pPr>
      <w:r>
        <w:rPr/>
        <w:t>6、基金托管人根据有关法律法规的规定及基金合同的约定，对基金资产净值计算、基</w:t>
      </w:r>
      <w:r>
        <w:rPr>
          <w:spacing w:val="-15"/>
        </w:rPr>
        <w:t>金份额净值计算、应收资金到账、基金费用开支及收入确定、基金收益分配、相关信息披露、</w:t>
      </w:r>
      <w:r>
        <w:rPr/>
        <w:t>基金宣传推介材料中登载基金业绩表现数据等进行监督和核查。</w:t>
      </w:r>
    </w:p>
    <w:p>
      <w:pPr>
        <w:pStyle w:val="BodyText"/>
        <w:spacing w:line="364" w:lineRule="auto"/>
        <w:ind w:left="220" w:right="1418" w:firstLine="420"/>
      </w:pPr>
      <w:r>
        <w:rPr/>
        <w:t>7、基金托管人发现基金管理人的上述事项及投资指令或实际投资运作违反法律法规、</w:t>
      </w:r>
      <w:r>
        <w:rPr>
          <w:spacing w:val="-8"/>
        </w:rPr>
        <w:t>基金合同和本托管协议的规定，应及时以电话提醒或书面提示等方式通知基金管理人限期纠</w:t>
      </w:r>
    </w:p>
    <w:p>
      <w:pPr>
        <w:spacing w:after="0" w:line="364" w:lineRule="auto"/>
        <w:sectPr>
          <w:pgSz w:w="11910" w:h="16840"/>
          <w:pgMar w:header="0" w:footer="664" w:top="1380" w:bottom="940" w:left="1580" w:right="380"/>
        </w:sectPr>
      </w:pPr>
    </w:p>
    <w:p>
      <w:pPr>
        <w:pStyle w:val="BodyText"/>
        <w:spacing w:line="364" w:lineRule="auto" w:before="45"/>
        <w:ind w:left="220" w:right="1208"/>
      </w:pPr>
      <w:r>
        <w:rPr>
          <w:spacing w:val="-9"/>
        </w:rPr>
        <w:t>正。基金管理人应积极配合和协助基金托管人的监督和核查。基金管理人收到书面通知后应 </w:t>
      </w:r>
      <w:r>
        <w:rPr>
          <w:spacing w:val="-13"/>
        </w:rPr>
        <w:t>在下一工作日前及时核对并以书面形式给基金托管人发出回函，就基金托管人的疑义进行解 </w:t>
      </w:r>
      <w:r>
        <w:rPr>
          <w:spacing w:val="-8"/>
        </w:rPr>
        <w:t>释或举证，说明违规原因及纠正期限，并保证在规定期限内及时改正。在上述规定期限内， </w:t>
      </w:r>
      <w:r>
        <w:rPr>
          <w:spacing w:val="-13"/>
        </w:rPr>
        <w:t>基金托管人有权随时对通知事项进行复查，督促基金管理人改正。基金管理人对基金托管人 通知的违规事项未能在限期内纠正的，基金托管人应报告中国证监会。</w:t>
      </w:r>
    </w:p>
    <w:p>
      <w:pPr>
        <w:pStyle w:val="BodyText"/>
        <w:spacing w:line="364" w:lineRule="auto"/>
        <w:ind w:left="220" w:right="1313" w:firstLine="420"/>
      </w:pPr>
      <w:r>
        <w:rPr/>
        <w:t>8、基金管理人有义务配合和协助基金托管人依照法律法规、基金合同和本托管协议对</w:t>
      </w:r>
      <w:r>
        <w:rPr>
          <w:spacing w:val="-15"/>
        </w:rPr>
        <w:t>基金业务执行核查。对基金托管人发出的书面提示，基金管理人应在规定时间内答复并改正， </w:t>
      </w:r>
      <w:r>
        <w:rPr>
          <w:spacing w:val="-6"/>
        </w:rPr>
        <w:t>或就基金托管人的疑义进行解释或举证；对基金托管人按照法律法规、基金合同和本托管协</w:t>
      </w:r>
      <w:r>
        <w:rPr>
          <w:spacing w:val="-10"/>
        </w:rPr>
        <w:t>议的要求需向中国证监会报送基金监督报告的事项，基金管理人应积极配合提供相关数据资料和制度等。</w:t>
      </w:r>
    </w:p>
    <w:p>
      <w:pPr>
        <w:pStyle w:val="BodyText"/>
        <w:spacing w:line="364" w:lineRule="auto"/>
        <w:ind w:left="220" w:right="1417" w:firstLine="420"/>
        <w:jc w:val="both"/>
      </w:pPr>
      <w:r>
        <w:rPr/>
        <w:t>9、若基金托管人发现基金管理人依据交易程序已经生效的指令违反法律、行政法规和</w:t>
      </w:r>
      <w:r>
        <w:rPr>
          <w:spacing w:val="-9"/>
        </w:rPr>
        <w:t>其他有关规定，或者违反基金合同约定的，应当立即通知基金管理人，由此造成的损失由基</w:t>
      </w:r>
      <w:r>
        <w:rPr/>
        <w:t>金管理人承担。</w:t>
      </w:r>
    </w:p>
    <w:p>
      <w:pPr>
        <w:pStyle w:val="BodyText"/>
        <w:spacing w:line="364" w:lineRule="auto"/>
        <w:ind w:left="220" w:right="1417" w:firstLine="420"/>
        <w:jc w:val="both"/>
      </w:pPr>
      <w:r>
        <w:rPr/>
        <w:t>10</w:t>
      </w:r>
      <w:r>
        <w:rPr>
          <w:spacing w:val="-10"/>
        </w:rPr>
        <w:t>、基金托管人发现基金管理人有重大违规行为，应及时报告中国证监会，同时通知基</w:t>
      </w:r>
      <w:r>
        <w:rPr>
          <w:spacing w:val="-7"/>
        </w:rPr>
        <w:t>金管理人限期纠正，并将纠正结果报告中国证监会。基金管理人无正当理由，拒绝、阻挠对</w:t>
      </w:r>
      <w:r>
        <w:rPr>
          <w:spacing w:val="-6"/>
        </w:rPr>
        <w:t>方根据本托管协议规定行使监督权，或采取拖延、欺诈等手段妨碍对方进行有效监督，情节</w:t>
      </w:r>
      <w:r>
        <w:rPr/>
        <w:t>严重或经基金托管人提出警告仍不改正的，基金托管人应报告中国证监会。</w:t>
      </w:r>
    </w:p>
    <w:p>
      <w:pPr>
        <w:pStyle w:val="Heading3"/>
        <w:spacing w:line="358" w:lineRule="exact"/>
      </w:pPr>
      <w:bookmarkStart w:name="_bookmark114" w:id="115"/>
      <w:bookmarkEnd w:id="115"/>
      <w:r>
        <w:rPr/>
      </w:r>
      <w:r>
        <w:rPr/>
        <w:t>(三)基金管理人对基金托管人的业务核查</w:t>
      </w:r>
    </w:p>
    <w:p>
      <w:pPr>
        <w:pStyle w:val="BodyText"/>
        <w:spacing w:line="364" w:lineRule="auto" w:before="179"/>
        <w:ind w:left="220" w:right="1418" w:firstLine="420"/>
        <w:jc w:val="both"/>
      </w:pPr>
      <w:r>
        <w:rPr/>
        <w:t>1、基金管理人对基金托管人履行托管职责情况进行核查，核查事项包括基金托管人安</w:t>
      </w:r>
      <w:r>
        <w:rPr>
          <w:spacing w:val="-9"/>
        </w:rPr>
        <w:t>全保管基金财产、开设基金财产的资金账户和证券账户、复核基金管理人计算的基金资产净值和基金份额净值、根据基金管理人指令办理清算交收、相关信息披露和监督基金投资运作</w:t>
      </w:r>
      <w:r>
        <w:rPr/>
        <w:t>等行为。</w:t>
      </w:r>
    </w:p>
    <w:p>
      <w:pPr>
        <w:pStyle w:val="BodyText"/>
        <w:spacing w:line="364" w:lineRule="auto"/>
        <w:ind w:left="220" w:right="1417" w:firstLine="420"/>
        <w:jc w:val="both"/>
      </w:pPr>
      <w:r>
        <w:rPr/>
        <w:t>2、基金管理人发现基金托管人擅自挪用基金财产、未对基金财产实行分账管理、未执</w:t>
      </w:r>
      <w:r>
        <w:rPr>
          <w:spacing w:val="-3"/>
        </w:rPr>
        <w:t>行或无故延迟执行基金管理人资金划拨指令、泄露基金投资信息等违反《基金法》、基金合</w:t>
      </w:r>
      <w:r>
        <w:rPr>
          <w:spacing w:val="-10"/>
        </w:rPr>
        <w:t>同、本协议及其他有关规定时，应及时以书面形式通知基金托管人限期纠正。基金托管人收</w:t>
      </w:r>
      <w:r>
        <w:rPr>
          <w:spacing w:val="-4"/>
        </w:rPr>
        <w:t>到通知后应在下一个工作日及时核对并以书面形式给基金管理人发出回函，说明违规原因及</w:t>
      </w:r>
      <w:r>
        <w:rPr>
          <w:spacing w:val="-10"/>
        </w:rPr>
        <w:t>纠正期限，并保证在规定期限内及时改正。在上述规定期限内，基金管理人有权随时对通知</w:t>
      </w:r>
      <w:r>
        <w:rPr>
          <w:spacing w:val="-9"/>
        </w:rPr>
        <w:t>事项进行复查，督促基金托管人改正。基金托管人应积极配合基金管理人的核查行为，包括</w:t>
      </w:r>
      <w:r>
        <w:rPr>
          <w:spacing w:val="-12"/>
        </w:rPr>
        <w:t>但不限于：提交相关资料以供基金管理人核查托管财产的完整性和真实性，在规定时间内答</w:t>
      </w:r>
      <w:r>
        <w:rPr/>
        <w:t>复基金管理人并改正。</w:t>
      </w:r>
    </w:p>
    <w:p>
      <w:pPr>
        <w:pStyle w:val="BodyText"/>
        <w:spacing w:line="364" w:lineRule="auto"/>
        <w:ind w:left="220" w:right="1417" w:firstLine="420"/>
        <w:jc w:val="both"/>
      </w:pPr>
      <w:r>
        <w:rPr/>
        <w:t>3、基金管理人发现基金托管人有重大违规行为，应及时报告中国证监会，同时通知基</w:t>
      </w:r>
      <w:r>
        <w:rPr>
          <w:spacing w:val="-7"/>
        </w:rPr>
        <w:t>金托管人限期纠正，并将纠正结果报告中国证监会。基金托管人无正当理由，拒绝、阻挠对方根据本协议规定行使监督权，或采取拖延、欺诈等手段妨碍对方进行有效监督，情节严重</w:t>
      </w:r>
      <w:r>
        <w:rPr/>
        <w:t>或经基金管理人提出警告仍不改正的，基金管理人应报告中国证监会。</w:t>
      </w:r>
    </w:p>
    <w:p>
      <w:pPr>
        <w:spacing w:after="0" w:line="364" w:lineRule="auto"/>
        <w:jc w:val="both"/>
        <w:sectPr>
          <w:pgSz w:w="11910" w:h="16840"/>
          <w:pgMar w:header="0" w:footer="664" w:top="1380" w:bottom="940" w:left="1580" w:right="380"/>
        </w:sectPr>
      </w:pPr>
    </w:p>
    <w:p>
      <w:pPr>
        <w:pStyle w:val="Heading3"/>
        <w:spacing w:before="46"/>
      </w:pPr>
      <w:bookmarkStart w:name="_bookmark115" w:id="116"/>
      <w:bookmarkEnd w:id="116"/>
      <w:r>
        <w:rPr/>
      </w:r>
      <w:r>
        <w:rPr/>
        <w:t>(四)基金财产的保管</w:t>
      </w:r>
    </w:p>
    <w:p>
      <w:pPr>
        <w:pStyle w:val="BodyText"/>
        <w:spacing w:before="185"/>
      </w:pPr>
      <w:r>
        <w:rPr/>
        <w:t>1、基金财产保管的原则</w:t>
      </w:r>
    </w:p>
    <w:p>
      <w:pPr>
        <w:pStyle w:val="BodyText"/>
        <w:spacing w:line="364" w:lineRule="auto" w:before="139"/>
        <w:ind w:right="3740"/>
      </w:pPr>
      <w:r>
        <w:rPr/>
        <w:t>(1)基金财产应独立于基金管理人、基金托管人的固有财产。(2)基金托管人应安全保管基金财产。</w:t>
      </w:r>
    </w:p>
    <w:p>
      <w:pPr>
        <w:pStyle w:val="ListParagraph"/>
        <w:numPr>
          <w:ilvl w:val="0"/>
          <w:numId w:val="87"/>
        </w:numPr>
        <w:tabs>
          <w:tab w:pos="956" w:val="left" w:leader="none"/>
        </w:tabs>
        <w:spacing w:line="268" w:lineRule="exact" w:before="0" w:after="0"/>
        <w:ind w:left="956" w:right="0" w:hanging="316"/>
        <w:jc w:val="left"/>
        <w:rPr>
          <w:sz w:val="21"/>
        </w:rPr>
      </w:pPr>
      <w:r>
        <w:rPr>
          <w:sz w:val="21"/>
        </w:rPr>
        <w:t>基金托管人按照规定开设基金财产的资金账户和证券账户。</w:t>
      </w:r>
    </w:p>
    <w:p>
      <w:pPr>
        <w:pStyle w:val="ListParagraph"/>
        <w:numPr>
          <w:ilvl w:val="0"/>
          <w:numId w:val="87"/>
        </w:numPr>
        <w:tabs>
          <w:tab w:pos="956" w:val="left" w:leader="none"/>
        </w:tabs>
        <w:spacing w:line="364" w:lineRule="auto" w:before="140" w:after="0"/>
        <w:ind w:left="640" w:right="1418" w:firstLine="0"/>
        <w:jc w:val="left"/>
        <w:rPr>
          <w:sz w:val="21"/>
        </w:rPr>
      </w:pPr>
      <w:r>
        <w:rPr>
          <w:sz w:val="21"/>
        </w:rPr>
        <w:t>基金托管人对所托管的不同基金财产分别设置账户，确保基金财产的完整与独立。(5)基金托管人根据基金管理人的指令，按照基金合同和本协议的约定保管基金财产，</w:t>
      </w:r>
    </w:p>
    <w:p>
      <w:pPr>
        <w:pStyle w:val="BodyText"/>
        <w:spacing w:line="364" w:lineRule="auto"/>
        <w:ind w:left="220" w:right="1417"/>
        <w:jc w:val="both"/>
      </w:pPr>
      <w:r>
        <w:rPr>
          <w:spacing w:val="-5"/>
        </w:rPr>
        <w:t>如有特殊情况双方可另行协商解决。基金托管人未经基金管理人的指令，不得自行运用、处</w:t>
      </w:r>
      <w:r>
        <w:rPr>
          <w:spacing w:val="-11"/>
        </w:rPr>
        <w:t>分、分配本基金的任何资产</w:t>
      </w:r>
      <w:r>
        <w:rPr/>
        <w:t>（</w:t>
      </w:r>
      <w:r>
        <w:rPr>
          <w:spacing w:val="-1"/>
        </w:rPr>
        <w:t>不包含基金托管人依据中国结算公司结算数据完成场内交易交</w:t>
      </w:r>
      <w:r>
        <w:rPr/>
        <w:t>收、托管资产开户银行扣收结算费和账户维护费等费用</w:t>
      </w:r>
      <w:r>
        <w:rPr>
          <w:spacing w:val="-105"/>
        </w:rPr>
        <w:t>）</w:t>
      </w:r>
      <w:r>
        <w:rPr/>
        <w:t>。</w:t>
      </w:r>
    </w:p>
    <w:p>
      <w:pPr>
        <w:pStyle w:val="ListParagraph"/>
        <w:numPr>
          <w:ilvl w:val="0"/>
          <w:numId w:val="88"/>
        </w:numPr>
        <w:tabs>
          <w:tab w:pos="956" w:val="left" w:leader="none"/>
        </w:tabs>
        <w:spacing w:line="364" w:lineRule="auto" w:before="0" w:after="0"/>
        <w:ind w:left="220" w:right="1418" w:firstLine="420"/>
        <w:jc w:val="both"/>
        <w:rPr>
          <w:sz w:val="21"/>
        </w:rPr>
      </w:pPr>
      <w:r>
        <w:rPr>
          <w:sz w:val="21"/>
        </w:rPr>
        <w:t>对于因为基金投资产生的应收资产，如基金托管人无法从公开信息或基金管理人提</w:t>
      </w:r>
      <w:r>
        <w:rPr>
          <w:spacing w:val="-7"/>
          <w:sz w:val="21"/>
        </w:rPr>
        <w:t>供的书面资料中获取到账日期信息的，应由基金管理人负责与有关当事人确定到账日期并通</w:t>
      </w:r>
      <w:r>
        <w:rPr>
          <w:spacing w:val="-10"/>
          <w:sz w:val="21"/>
        </w:rPr>
        <w:t>知基金托管人，到账日基金财产没有到达基金账户的，基金托管人应及时通知基金管理人采</w:t>
      </w:r>
      <w:r>
        <w:rPr>
          <w:spacing w:val="-9"/>
          <w:sz w:val="21"/>
        </w:rPr>
        <w:t>取措施进行催收。由此给基金财产造成损失的，基金管理人应负责向有关当事人追偿基金财</w:t>
      </w:r>
      <w:r>
        <w:rPr>
          <w:sz w:val="21"/>
        </w:rPr>
        <w:t>产的损失，基金托管人对此不承担任何责任。</w:t>
      </w:r>
    </w:p>
    <w:p>
      <w:pPr>
        <w:pStyle w:val="ListParagraph"/>
        <w:numPr>
          <w:ilvl w:val="0"/>
          <w:numId w:val="88"/>
        </w:numPr>
        <w:tabs>
          <w:tab w:pos="956" w:val="left" w:leader="none"/>
        </w:tabs>
        <w:spacing w:line="364" w:lineRule="auto" w:before="0" w:after="0"/>
        <w:ind w:left="640" w:right="1430" w:firstLine="0"/>
        <w:jc w:val="left"/>
        <w:rPr>
          <w:sz w:val="21"/>
        </w:rPr>
      </w:pPr>
      <w:r>
        <w:rPr>
          <w:spacing w:val="-1"/>
          <w:sz w:val="21"/>
        </w:rPr>
        <w:t>除依据法律法规和基金合同的规定外，基金托管人不得委托第三人托管基金财产。</w:t>
      </w:r>
      <w:r>
        <w:rPr>
          <w:sz w:val="21"/>
        </w:rPr>
        <w:t>2、基金募集期间及募集资金的验资</w:t>
      </w:r>
    </w:p>
    <w:p>
      <w:pPr>
        <w:pStyle w:val="ListParagraph"/>
        <w:numPr>
          <w:ilvl w:val="0"/>
          <w:numId w:val="89"/>
        </w:numPr>
        <w:tabs>
          <w:tab w:pos="956" w:val="left" w:leader="none"/>
        </w:tabs>
        <w:spacing w:line="364" w:lineRule="auto" w:before="0" w:after="0"/>
        <w:ind w:left="220" w:right="1418" w:firstLine="420"/>
        <w:jc w:val="left"/>
        <w:rPr>
          <w:sz w:val="21"/>
        </w:rPr>
      </w:pPr>
      <w:r>
        <w:rPr>
          <w:sz w:val="21"/>
        </w:rPr>
        <w:t>基金募集期间募集的资金应存于基金管理人在基金托管人的营业机构开立的“基金</w:t>
      </w:r>
      <w:r>
        <w:rPr>
          <w:spacing w:val="-11"/>
          <w:sz w:val="21"/>
        </w:rPr>
        <w:t>募集专户”。该账户由基金管理人开立并管理。</w:t>
      </w:r>
    </w:p>
    <w:p>
      <w:pPr>
        <w:pStyle w:val="ListParagraph"/>
        <w:numPr>
          <w:ilvl w:val="0"/>
          <w:numId w:val="89"/>
        </w:numPr>
        <w:tabs>
          <w:tab w:pos="956" w:val="left" w:leader="none"/>
        </w:tabs>
        <w:spacing w:line="364" w:lineRule="auto" w:before="0" w:after="0"/>
        <w:ind w:left="220" w:right="1417" w:firstLine="420"/>
        <w:jc w:val="both"/>
        <w:rPr>
          <w:sz w:val="21"/>
        </w:rPr>
      </w:pPr>
      <w:r>
        <w:rPr>
          <w:sz w:val="21"/>
        </w:rPr>
        <w:t>基金募集期满或基金停止募集时，募集的基金份额总额、基金募集金额、基金份额</w:t>
      </w:r>
      <w:r>
        <w:rPr>
          <w:spacing w:val="-19"/>
          <w:sz w:val="21"/>
        </w:rPr>
        <w:t>持有人人数符合《基金法》、《运作办法》等有关规定后，基金管理人应将募集到的基金财产</w:t>
      </w:r>
      <w:r>
        <w:rPr>
          <w:spacing w:val="-5"/>
          <w:sz w:val="21"/>
        </w:rPr>
        <w:t>的全部资金划入基金托管人为基金开立的基金托管资金账户，同时在规定时间内，聘请具有</w:t>
      </w:r>
      <w:r>
        <w:rPr>
          <w:spacing w:val="-6"/>
          <w:sz w:val="21"/>
        </w:rPr>
        <w:t>从事证券相关业务资格的会计师事务所进行验资，出具验资报告。出具的验资报告由参加验</w:t>
      </w:r>
      <w:r>
        <w:rPr>
          <w:spacing w:val="-18"/>
          <w:sz w:val="21"/>
        </w:rPr>
        <w:t>资的 </w:t>
      </w:r>
      <w:r>
        <w:rPr>
          <w:sz w:val="21"/>
        </w:rPr>
        <w:t>2</w:t>
      </w:r>
      <w:r>
        <w:rPr>
          <w:spacing w:val="-27"/>
          <w:sz w:val="21"/>
        </w:rPr>
        <w:t> 名或 </w:t>
      </w:r>
      <w:r>
        <w:rPr>
          <w:sz w:val="21"/>
        </w:rPr>
        <w:t>2</w:t>
      </w:r>
      <w:r>
        <w:rPr>
          <w:spacing w:val="-8"/>
          <w:sz w:val="21"/>
        </w:rPr>
        <w:t> 名以上中国注册会计师签字方为有效。</w:t>
      </w:r>
    </w:p>
    <w:p>
      <w:pPr>
        <w:pStyle w:val="ListParagraph"/>
        <w:numPr>
          <w:ilvl w:val="0"/>
          <w:numId w:val="89"/>
        </w:numPr>
        <w:tabs>
          <w:tab w:pos="956" w:val="left" w:leader="none"/>
        </w:tabs>
        <w:spacing w:line="364" w:lineRule="auto" w:before="0" w:after="0"/>
        <w:ind w:left="220" w:right="1418" w:firstLine="420"/>
        <w:jc w:val="left"/>
        <w:rPr>
          <w:sz w:val="21"/>
        </w:rPr>
      </w:pPr>
      <w:r>
        <w:rPr>
          <w:sz w:val="21"/>
        </w:rPr>
        <w:t>若基金募集期限届满，未能达到基金合同生效的条件，由基金管理人按规定办理退款等事宜。</w:t>
      </w:r>
    </w:p>
    <w:p>
      <w:pPr>
        <w:pStyle w:val="BodyText"/>
        <w:spacing w:line="268" w:lineRule="exact"/>
      </w:pPr>
      <w:r>
        <w:rPr/>
        <w:t>3、基金银行账户的开立和管理</w:t>
      </w:r>
    </w:p>
    <w:p>
      <w:pPr>
        <w:pStyle w:val="ListParagraph"/>
        <w:numPr>
          <w:ilvl w:val="0"/>
          <w:numId w:val="90"/>
        </w:numPr>
        <w:tabs>
          <w:tab w:pos="956" w:val="left" w:leader="none"/>
        </w:tabs>
        <w:spacing w:line="364" w:lineRule="auto" w:before="130" w:after="0"/>
        <w:ind w:left="220" w:right="1418" w:firstLine="420"/>
        <w:jc w:val="left"/>
        <w:rPr>
          <w:sz w:val="21"/>
        </w:rPr>
      </w:pPr>
      <w:r>
        <w:rPr>
          <w:sz w:val="21"/>
        </w:rPr>
        <w:t>基金托管人可以本基金的名义在其营业机构开立基金的银行账户，并根据基金管理人合法合规的指令办理资金收付。本基金的银行预留印鉴由基金托管人保管和使用。</w:t>
      </w:r>
    </w:p>
    <w:p>
      <w:pPr>
        <w:pStyle w:val="ListParagraph"/>
        <w:numPr>
          <w:ilvl w:val="0"/>
          <w:numId w:val="90"/>
        </w:numPr>
        <w:tabs>
          <w:tab w:pos="956" w:val="left" w:leader="none"/>
        </w:tabs>
        <w:spacing w:line="364" w:lineRule="auto" w:before="0" w:after="0"/>
        <w:ind w:left="220" w:right="1418" w:firstLine="420"/>
        <w:jc w:val="both"/>
        <w:rPr>
          <w:sz w:val="21"/>
        </w:rPr>
      </w:pPr>
      <w:r>
        <w:rPr>
          <w:sz w:val="21"/>
        </w:rPr>
        <w:t>基金银行账户的开立和使用，限于满足开展本基金业务的需要。基金托管人和基金</w:t>
      </w:r>
      <w:r>
        <w:rPr>
          <w:spacing w:val="-6"/>
          <w:sz w:val="21"/>
        </w:rPr>
        <w:t>管理人不得假借本基金的名义开立任何其他银行账户；亦不得使用基金的任何账户进行本基</w:t>
      </w:r>
      <w:r>
        <w:rPr>
          <w:sz w:val="21"/>
        </w:rPr>
        <w:t>金业务以外的活动。</w:t>
      </w:r>
    </w:p>
    <w:p>
      <w:pPr>
        <w:pStyle w:val="ListParagraph"/>
        <w:numPr>
          <w:ilvl w:val="0"/>
          <w:numId w:val="90"/>
        </w:numPr>
        <w:tabs>
          <w:tab w:pos="956" w:val="left" w:leader="none"/>
        </w:tabs>
        <w:spacing w:line="268" w:lineRule="exact" w:before="0" w:after="0"/>
        <w:ind w:left="956" w:right="0" w:hanging="316"/>
        <w:jc w:val="left"/>
        <w:rPr>
          <w:sz w:val="21"/>
        </w:rPr>
      </w:pPr>
      <w:r>
        <w:rPr>
          <w:sz w:val="21"/>
        </w:rPr>
        <w:t>基金银行账户的开立和管理应符合银行业监督管理机构的有关规定。</w:t>
      </w:r>
    </w:p>
    <w:p>
      <w:pPr>
        <w:pStyle w:val="ListParagraph"/>
        <w:numPr>
          <w:ilvl w:val="0"/>
          <w:numId w:val="90"/>
        </w:numPr>
        <w:tabs>
          <w:tab w:pos="956" w:val="left" w:leader="none"/>
        </w:tabs>
        <w:spacing w:line="240" w:lineRule="auto" w:before="139" w:after="0"/>
        <w:ind w:left="956" w:right="0" w:hanging="316"/>
        <w:jc w:val="left"/>
        <w:rPr>
          <w:sz w:val="21"/>
        </w:rPr>
      </w:pPr>
      <w:r>
        <w:rPr>
          <w:sz w:val="21"/>
        </w:rPr>
        <w:t>在符合法律法规规定的条件下，基金托管人可以通过基金托管人专用账户办理基金</w:t>
      </w:r>
    </w:p>
    <w:p>
      <w:pPr>
        <w:spacing w:after="0" w:line="240" w:lineRule="auto"/>
        <w:jc w:val="left"/>
        <w:rPr>
          <w:sz w:val="21"/>
        </w:rPr>
        <w:sectPr>
          <w:pgSz w:w="11910" w:h="16840"/>
          <w:pgMar w:header="0" w:footer="664" w:top="1380" w:bottom="940" w:left="1580" w:right="380"/>
        </w:sectPr>
      </w:pPr>
    </w:p>
    <w:p>
      <w:pPr>
        <w:pStyle w:val="BodyText"/>
        <w:spacing w:before="45"/>
        <w:ind w:left="220"/>
      </w:pPr>
      <w:r>
        <w:rPr/>
        <w:t>资产的支付。</w:t>
      </w:r>
    </w:p>
    <w:p>
      <w:pPr>
        <w:pStyle w:val="BodyText"/>
        <w:spacing w:before="139"/>
      </w:pPr>
      <w:r>
        <w:rPr/>
        <w:t>4、基金证券账户和结算备付金账户的开立和管理</w:t>
      </w:r>
    </w:p>
    <w:p>
      <w:pPr>
        <w:pStyle w:val="ListParagraph"/>
        <w:numPr>
          <w:ilvl w:val="0"/>
          <w:numId w:val="91"/>
        </w:numPr>
        <w:tabs>
          <w:tab w:pos="956" w:val="left" w:leader="none"/>
        </w:tabs>
        <w:spacing w:line="364" w:lineRule="auto" w:before="140" w:after="0"/>
        <w:ind w:left="220" w:right="1418" w:firstLine="420"/>
        <w:jc w:val="left"/>
        <w:rPr>
          <w:sz w:val="21"/>
        </w:rPr>
      </w:pPr>
      <w:r>
        <w:rPr>
          <w:sz w:val="21"/>
        </w:rPr>
        <w:t>基金托管人在中国证券登记结算有限责任公司上海分公司、深圳分公司为基金开立基金托管人与基金联名的证券账户。</w:t>
      </w:r>
    </w:p>
    <w:p>
      <w:pPr>
        <w:pStyle w:val="ListParagraph"/>
        <w:numPr>
          <w:ilvl w:val="0"/>
          <w:numId w:val="91"/>
        </w:numPr>
        <w:tabs>
          <w:tab w:pos="956" w:val="left" w:leader="none"/>
        </w:tabs>
        <w:spacing w:line="364" w:lineRule="auto" w:before="0" w:after="0"/>
        <w:ind w:left="220" w:right="1418" w:firstLine="420"/>
        <w:jc w:val="both"/>
        <w:rPr>
          <w:sz w:val="21"/>
        </w:rPr>
      </w:pPr>
      <w:r>
        <w:rPr>
          <w:sz w:val="21"/>
        </w:rPr>
        <w:t>基金证券账户的开立和使用，仅限于满足开展本基金业务的需要。基金托管人和基</w:t>
      </w:r>
      <w:r>
        <w:rPr>
          <w:spacing w:val="-5"/>
          <w:sz w:val="21"/>
        </w:rPr>
        <w:t>金管理人不得出借或未经对方同意擅自转让基金的任何证券账户，亦不得使用基金的任何账</w:t>
      </w:r>
      <w:r>
        <w:rPr>
          <w:sz w:val="21"/>
        </w:rPr>
        <w:t>户进行本基金业务以外的活动。</w:t>
      </w:r>
    </w:p>
    <w:p>
      <w:pPr>
        <w:pStyle w:val="ListParagraph"/>
        <w:numPr>
          <w:ilvl w:val="0"/>
          <w:numId w:val="91"/>
        </w:numPr>
        <w:tabs>
          <w:tab w:pos="956" w:val="left" w:leader="none"/>
        </w:tabs>
        <w:spacing w:line="364" w:lineRule="auto" w:before="0" w:after="0"/>
        <w:ind w:left="220" w:right="1418" w:firstLine="420"/>
        <w:jc w:val="left"/>
        <w:rPr>
          <w:sz w:val="21"/>
        </w:rPr>
      </w:pPr>
      <w:r>
        <w:rPr>
          <w:sz w:val="21"/>
        </w:rPr>
        <w:t>基金证券账户的开立和证券账户卡的保管由基金托管人负责，账户资产的管理和运用由基金管理人负责。</w:t>
      </w:r>
    </w:p>
    <w:p>
      <w:pPr>
        <w:pStyle w:val="ListParagraph"/>
        <w:numPr>
          <w:ilvl w:val="0"/>
          <w:numId w:val="91"/>
        </w:numPr>
        <w:tabs>
          <w:tab w:pos="956" w:val="left" w:leader="none"/>
        </w:tabs>
        <w:spacing w:line="364" w:lineRule="auto" w:before="0" w:after="0"/>
        <w:ind w:left="220" w:right="1417" w:firstLine="420"/>
        <w:jc w:val="both"/>
        <w:rPr>
          <w:sz w:val="21"/>
        </w:rPr>
      </w:pPr>
      <w:r>
        <w:rPr>
          <w:sz w:val="21"/>
        </w:rPr>
        <w:t>基金托管人以基金托管人的名义在中国证券登记结算有限责任公司开立结算备付金</w:t>
      </w:r>
      <w:r>
        <w:rPr>
          <w:spacing w:val="-10"/>
          <w:sz w:val="21"/>
        </w:rPr>
        <w:t>账户，并代表所托管的基金完成与中国证券登记结算有限责任公司的一级法人清算工作，基</w:t>
      </w:r>
      <w:r>
        <w:rPr>
          <w:spacing w:val="-8"/>
          <w:sz w:val="21"/>
        </w:rPr>
        <w:t>金管理人应予以积极协助。结算备付金、结算互保基金、交收价差资金等的收取按照中国证</w:t>
      </w:r>
      <w:r>
        <w:rPr>
          <w:sz w:val="21"/>
        </w:rPr>
        <w:t>券登记结算有限责任公司的规定执行。</w:t>
      </w:r>
    </w:p>
    <w:p>
      <w:pPr>
        <w:pStyle w:val="ListParagraph"/>
        <w:numPr>
          <w:ilvl w:val="0"/>
          <w:numId w:val="91"/>
        </w:numPr>
        <w:tabs>
          <w:tab w:pos="956" w:val="left" w:leader="none"/>
        </w:tabs>
        <w:spacing w:line="364" w:lineRule="auto" w:before="0" w:after="0"/>
        <w:ind w:left="220" w:right="1418" w:firstLine="420"/>
        <w:jc w:val="both"/>
        <w:rPr>
          <w:sz w:val="21"/>
        </w:rPr>
      </w:pPr>
      <w:r>
        <w:rPr>
          <w:sz w:val="21"/>
        </w:rPr>
        <w:t>若中国证监会或其他监管机构在本托管协议订立日之后允许基金从事其他投资品种</w:t>
      </w:r>
      <w:r>
        <w:rPr>
          <w:spacing w:val="-9"/>
          <w:sz w:val="21"/>
        </w:rPr>
        <w:t>的投资业务，涉及相关账户的开立、使用的，若无相关规定，则基金托管人比照上述关于账</w:t>
      </w:r>
      <w:r>
        <w:rPr>
          <w:sz w:val="21"/>
        </w:rPr>
        <w:t>户开立、使用的规定执行。</w:t>
      </w:r>
    </w:p>
    <w:p>
      <w:pPr>
        <w:pStyle w:val="BodyText"/>
        <w:spacing w:line="268" w:lineRule="exact"/>
      </w:pPr>
      <w:r>
        <w:rPr/>
        <w:t>5、债券托管专户的开设和管理</w:t>
      </w:r>
    </w:p>
    <w:p>
      <w:pPr>
        <w:pStyle w:val="BodyText"/>
        <w:spacing w:line="364" w:lineRule="auto" w:before="134"/>
        <w:ind w:left="220" w:right="1418" w:firstLine="420"/>
        <w:jc w:val="both"/>
      </w:pPr>
      <w:r>
        <w:rPr>
          <w:spacing w:val="-9"/>
        </w:rPr>
        <w:t>基金合同生效后，基金托管人根据中国人民银行、中央国债登记结算有限责任公司的有</w:t>
      </w:r>
      <w:r>
        <w:rPr>
          <w:spacing w:val="-10"/>
        </w:rPr>
        <w:t>关规定，以基金的名义在中央国债登记结算有限责任公司开立债券托管账户，并代表基金进</w:t>
      </w:r>
      <w:r>
        <w:rPr>
          <w:spacing w:val="-9"/>
        </w:rPr>
        <w:t>行银行间市场债券的结算。基金管理人和基金托管人共同代表基金签订全国银行间债券市场</w:t>
      </w:r>
      <w:r>
        <w:rPr/>
        <w:t>债券回购主协议。</w:t>
      </w:r>
    </w:p>
    <w:p>
      <w:pPr>
        <w:pStyle w:val="BodyText"/>
        <w:spacing w:line="267" w:lineRule="exact"/>
      </w:pPr>
      <w:r>
        <w:rPr/>
        <w:t>6、其他账户的开立和管理</w:t>
      </w:r>
    </w:p>
    <w:p>
      <w:pPr>
        <w:pStyle w:val="ListParagraph"/>
        <w:numPr>
          <w:ilvl w:val="0"/>
          <w:numId w:val="92"/>
        </w:numPr>
        <w:tabs>
          <w:tab w:pos="956" w:val="left" w:leader="none"/>
        </w:tabs>
        <w:spacing w:line="364" w:lineRule="auto" w:before="140" w:after="0"/>
        <w:ind w:left="220" w:right="1418" w:firstLine="420"/>
        <w:jc w:val="left"/>
        <w:rPr>
          <w:sz w:val="21"/>
        </w:rPr>
      </w:pPr>
      <w:r>
        <w:rPr>
          <w:sz w:val="21"/>
        </w:rPr>
        <w:t>因业务发展需要而开立的其他账户，可以根据法律法规和基金合同的规定，由基金托管人负责开立。新账户按有关规定使用并管理。</w:t>
      </w:r>
    </w:p>
    <w:p>
      <w:pPr>
        <w:pStyle w:val="ListParagraph"/>
        <w:numPr>
          <w:ilvl w:val="0"/>
          <w:numId w:val="92"/>
        </w:numPr>
        <w:tabs>
          <w:tab w:pos="956" w:val="left" w:leader="none"/>
        </w:tabs>
        <w:spacing w:line="364" w:lineRule="auto" w:before="0" w:after="0"/>
        <w:ind w:left="640" w:right="2060" w:firstLine="0"/>
        <w:jc w:val="left"/>
        <w:rPr>
          <w:sz w:val="21"/>
        </w:rPr>
      </w:pPr>
      <w:r>
        <w:rPr>
          <w:spacing w:val="-1"/>
          <w:sz w:val="21"/>
        </w:rPr>
        <w:t>法律法规等有关规定对相关账户的开立和管理另有规定的，从其规定办理。</w:t>
      </w:r>
      <w:r>
        <w:rPr>
          <w:sz w:val="21"/>
        </w:rPr>
        <w:t>7、基金财产投资的有关有价凭证等的保管</w:t>
      </w:r>
    </w:p>
    <w:p>
      <w:pPr>
        <w:pStyle w:val="BodyText"/>
        <w:spacing w:line="364" w:lineRule="auto"/>
        <w:ind w:left="220" w:right="1418" w:firstLine="420"/>
        <w:jc w:val="both"/>
      </w:pPr>
      <w:r>
        <w:rPr>
          <w:spacing w:val="-4"/>
        </w:rPr>
        <w:t>基金财产投资的有关实物证券等有价凭证由基金托管人存放于基金托管人的保管库，也</w:t>
      </w:r>
      <w:r>
        <w:rPr/>
        <w:t>可存入中央国债登记结算有限责任公司、中国证券登记结算有限责任公司上海分公司/深圳</w:t>
      </w:r>
      <w:r>
        <w:rPr>
          <w:spacing w:val="-6"/>
        </w:rPr>
        <w:t>分公司或票据营业中心的代保管库，保管凭证由基金托管人持有。实物证券等有价凭证的购</w:t>
      </w:r>
      <w:r>
        <w:rPr>
          <w:spacing w:val="-10"/>
        </w:rPr>
        <w:t>买和转让，由基金管理人和基金托管人共同办理。基金托管人对由基金托管人以外机构实际</w:t>
      </w:r>
      <w:r>
        <w:rPr/>
        <w:t>有效控制的证券不承担保管责任。</w:t>
      </w:r>
    </w:p>
    <w:p>
      <w:pPr>
        <w:pStyle w:val="BodyText"/>
        <w:spacing w:line="267" w:lineRule="exact"/>
      </w:pPr>
      <w:r>
        <w:rPr/>
        <w:t>8、与基金财产有关的重大合同的保管</w:t>
      </w:r>
    </w:p>
    <w:p>
      <w:pPr>
        <w:pStyle w:val="BodyText"/>
        <w:spacing w:line="364" w:lineRule="auto" w:before="137"/>
        <w:ind w:left="220" w:right="1313" w:firstLine="420"/>
      </w:pPr>
      <w:r>
        <w:rPr>
          <w:spacing w:val="-12"/>
        </w:rPr>
        <w:t>与基金财产有关的重大合同的签署，由基金管理人负责。由基金管理人代表基金签署的、</w:t>
      </w:r>
      <w:r>
        <w:rPr>
          <w:spacing w:val="-4"/>
        </w:rPr>
        <w:t>与基金财产有关的重大合同的原件分别由基金管理人、基金托管人保管。除本协议另有规定</w:t>
      </w:r>
    </w:p>
    <w:p>
      <w:pPr>
        <w:spacing w:after="0" w:line="364" w:lineRule="auto"/>
        <w:sectPr>
          <w:pgSz w:w="11910" w:h="16840"/>
          <w:pgMar w:header="0" w:footer="664" w:top="1380" w:bottom="940" w:left="1580" w:right="380"/>
        </w:sectPr>
      </w:pPr>
    </w:p>
    <w:p>
      <w:pPr>
        <w:pStyle w:val="BodyText"/>
        <w:spacing w:line="364" w:lineRule="auto" w:before="45"/>
        <w:ind w:left="220" w:right="1103"/>
      </w:pPr>
      <w:r>
        <w:rPr>
          <w:spacing w:val="-11"/>
        </w:rPr>
        <w:t>外，基金管理人代表基金签署的与基金财产有关的重大合同包括但不限于基金年度审计合同、</w:t>
      </w:r>
      <w:r>
        <w:rPr>
          <w:spacing w:val="-15"/>
        </w:rPr>
        <w:t>基金信息披露协议及基金投资业务中产生的重大合同，基金管理人应保证基金管理人和基金</w:t>
      </w:r>
    </w:p>
    <w:p>
      <w:pPr>
        <w:pStyle w:val="BodyText"/>
        <w:spacing w:line="364" w:lineRule="auto"/>
        <w:ind w:left="220" w:right="1418"/>
        <w:jc w:val="both"/>
      </w:pPr>
      <w:r>
        <w:rPr>
          <w:spacing w:val="-7"/>
        </w:rPr>
        <w:t>托管人至少各持有一份正本的原件。基金管理人应在重大合同签署后及时以加密方式将重大</w:t>
      </w:r>
      <w:r>
        <w:rPr>
          <w:spacing w:val="-8"/>
        </w:rPr>
        <w:t>合同传真给基金托管人，并在三十个工作日内将正本送达基金托管人处。重大合同的保管期</w:t>
      </w:r>
      <w:r>
        <w:rPr>
          <w:spacing w:val="-6"/>
        </w:rPr>
        <w:t>限为基金合同终止后 </w:t>
      </w:r>
      <w:r>
        <w:rPr/>
        <w:t>15</w:t>
      </w:r>
      <w:r>
        <w:rPr>
          <w:spacing w:val="-18"/>
        </w:rPr>
        <w:t> 年。</w:t>
      </w:r>
    </w:p>
    <w:p>
      <w:pPr>
        <w:pStyle w:val="Heading3"/>
        <w:spacing w:line="358" w:lineRule="exact"/>
      </w:pPr>
      <w:bookmarkStart w:name="_bookmark116" w:id="117"/>
      <w:bookmarkEnd w:id="117"/>
      <w:r>
        <w:rPr/>
      </w:r>
      <w:r>
        <w:rPr/>
        <w:t>(五)基金资产净值计算与复核</w:t>
      </w:r>
    </w:p>
    <w:p>
      <w:pPr>
        <w:pStyle w:val="BodyText"/>
        <w:spacing w:line="364" w:lineRule="auto" w:before="184"/>
        <w:ind w:right="4580"/>
      </w:pPr>
      <w:r>
        <w:rPr/>
        <w:t>1、基金资产净值的计算、复核与完成的时间及程序(1)基金资产净值</w:t>
      </w:r>
    </w:p>
    <w:p>
      <w:pPr>
        <w:pStyle w:val="BodyText"/>
        <w:spacing w:line="268" w:lineRule="exact"/>
      </w:pPr>
      <w:r>
        <w:rPr/>
        <w:t>基金资产净值是指基金资产总值减去负债后的价值。</w:t>
      </w:r>
    </w:p>
    <w:p>
      <w:pPr>
        <w:pStyle w:val="BodyText"/>
        <w:spacing w:before="139"/>
      </w:pPr>
      <w:r>
        <w:rPr/>
        <w:t>基金份额净值是指基金资产净值除以基金份额总数，基金份额净值的计算，精确到</w:t>
      </w:r>
    </w:p>
    <w:p>
      <w:pPr>
        <w:pStyle w:val="BodyText"/>
        <w:spacing w:before="140"/>
        <w:ind w:left="220"/>
      </w:pPr>
      <w:r>
        <w:rPr/>
        <w:t>0.001 元，小数点后第四位四舍五入，国家另有规定的，从其规定。</w:t>
      </w:r>
    </w:p>
    <w:p>
      <w:pPr>
        <w:pStyle w:val="BodyText"/>
        <w:spacing w:line="364" w:lineRule="auto" w:before="139"/>
        <w:ind w:left="220" w:right="1418" w:firstLine="420"/>
      </w:pPr>
      <w:r>
        <w:rPr>
          <w:spacing w:val="-5"/>
        </w:rPr>
        <w:t>基金管理人每个工作日计算基金资产净值及基金份额净值，经基金托管人复核，按规定</w:t>
      </w:r>
      <w:r>
        <w:rPr/>
        <w:t>公告。</w:t>
      </w:r>
    </w:p>
    <w:p>
      <w:pPr>
        <w:pStyle w:val="ListParagraph"/>
        <w:numPr>
          <w:ilvl w:val="0"/>
          <w:numId w:val="93"/>
        </w:numPr>
        <w:tabs>
          <w:tab w:pos="956" w:val="left" w:leader="none"/>
        </w:tabs>
        <w:spacing w:line="268" w:lineRule="exact" w:before="0" w:after="0"/>
        <w:ind w:left="956" w:right="0" w:hanging="316"/>
        <w:jc w:val="left"/>
        <w:rPr>
          <w:sz w:val="21"/>
        </w:rPr>
      </w:pPr>
      <w:r>
        <w:rPr>
          <w:sz w:val="21"/>
        </w:rPr>
        <w:t>复核程序</w:t>
      </w:r>
    </w:p>
    <w:p>
      <w:pPr>
        <w:pStyle w:val="BodyText"/>
        <w:spacing w:line="364" w:lineRule="auto" w:before="140"/>
        <w:ind w:left="220" w:right="1418" w:firstLine="420"/>
      </w:pPr>
      <w:r>
        <w:rPr>
          <w:spacing w:val="-6"/>
        </w:rPr>
        <w:t>基金管理人每工作日对基金资产进行估值后，将基金份额净值结果发送基金托管人，经</w:t>
      </w:r>
      <w:r>
        <w:rPr/>
        <w:t>基金托管人复核无误后，由基金管理人对外公布。</w:t>
      </w:r>
    </w:p>
    <w:p>
      <w:pPr>
        <w:pStyle w:val="ListParagraph"/>
        <w:numPr>
          <w:ilvl w:val="0"/>
          <w:numId w:val="93"/>
        </w:numPr>
        <w:tabs>
          <w:tab w:pos="956" w:val="left" w:leader="none"/>
        </w:tabs>
        <w:spacing w:line="364" w:lineRule="auto" w:before="0" w:after="0"/>
        <w:ind w:left="220" w:right="1417" w:firstLine="420"/>
        <w:jc w:val="both"/>
        <w:rPr>
          <w:sz w:val="21"/>
        </w:rPr>
      </w:pPr>
      <w:r>
        <w:rPr>
          <w:sz w:val="21"/>
        </w:rPr>
        <w:t>根据有关法律法规，基金资产净值计算和基金会计核算的义务由基金管理人承担。</w:t>
      </w:r>
      <w:r>
        <w:rPr>
          <w:spacing w:val="-6"/>
          <w:sz w:val="21"/>
        </w:rPr>
        <w:t>本基金的基金会计责任方由基金管理人担任，因此，就与本基金有关的会计问题，如经相关</w:t>
      </w:r>
      <w:r>
        <w:rPr>
          <w:spacing w:val="-7"/>
          <w:sz w:val="21"/>
        </w:rPr>
        <w:t>各方在平等基础上充分讨论后，仍无法达成一致意见的，按照基金管理人对基金资产净值的</w:t>
      </w:r>
      <w:r>
        <w:rPr>
          <w:sz w:val="21"/>
        </w:rPr>
        <w:t>计算结果对外予以公布。</w:t>
      </w:r>
    </w:p>
    <w:p>
      <w:pPr>
        <w:pStyle w:val="BodyText"/>
        <w:spacing w:line="364" w:lineRule="auto"/>
        <w:ind w:right="5630"/>
      </w:pPr>
      <w:r>
        <w:rPr/>
        <w:t>2、基金资产估值方法和特殊情形的处理(1)估值对象</w:t>
      </w:r>
    </w:p>
    <w:p>
      <w:pPr>
        <w:pStyle w:val="BodyText"/>
        <w:spacing w:line="268" w:lineRule="exact"/>
      </w:pPr>
      <w:r>
        <w:rPr/>
        <w:t>基金所拥有的股票、权证、债券和银行存款本息、应收款项、其它投资等资产和负债。</w:t>
      </w:r>
    </w:p>
    <w:p>
      <w:pPr>
        <w:pStyle w:val="ListParagraph"/>
        <w:numPr>
          <w:ilvl w:val="0"/>
          <w:numId w:val="94"/>
        </w:numPr>
        <w:tabs>
          <w:tab w:pos="956" w:val="left" w:leader="none"/>
        </w:tabs>
        <w:spacing w:line="240" w:lineRule="auto" w:before="136" w:after="0"/>
        <w:ind w:left="956" w:right="0" w:hanging="316"/>
        <w:jc w:val="left"/>
        <w:rPr>
          <w:sz w:val="21"/>
        </w:rPr>
      </w:pPr>
      <w:r>
        <w:rPr>
          <w:sz w:val="21"/>
        </w:rPr>
        <w:t>估值方法</w:t>
      </w:r>
    </w:p>
    <w:p>
      <w:pPr>
        <w:pStyle w:val="ListParagraph"/>
        <w:numPr>
          <w:ilvl w:val="0"/>
          <w:numId w:val="95"/>
        </w:numPr>
        <w:tabs>
          <w:tab w:pos="851" w:val="left" w:leader="none"/>
        </w:tabs>
        <w:spacing w:line="240" w:lineRule="auto" w:before="140" w:after="0"/>
        <w:ind w:left="851" w:right="0" w:hanging="211"/>
        <w:jc w:val="left"/>
        <w:rPr>
          <w:sz w:val="21"/>
        </w:rPr>
      </w:pPr>
      <w:r>
        <w:rPr>
          <w:sz w:val="21"/>
        </w:rPr>
        <w:t>证券交易所上市的有价证券的估值</w:t>
      </w:r>
    </w:p>
    <w:p>
      <w:pPr>
        <w:pStyle w:val="ListParagraph"/>
        <w:numPr>
          <w:ilvl w:val="0"/>
          <w:numId w:val="96"/>
        </w:numPr>
        <w:tabs>
          <w:tab w:pos="956" w:val="left" w:leader="none"/>
        </w:tabs>
        <w:spacing w:line="240" w:lineRule="auto" w:before="139" w:after="0"/>
        <w:ind w:left="956" w:right="0" w:hanging="316"/>
        <w:jc w:val="left"/>
        <w:rPr>
          <w:sz w:val="21"/>
        </w:rPr>
      </w:pPr>
      <w:r>
        <w:rPr>
          <w:spacing w:val="-3"/>
          <w:sz w:val="21"/>
        </w:rPr>
        <w:t>交易所上市的有价证券</w:t>
      </w:r>
      <w:r>
        <w:rPr>
          <w:sz w:val="21"/>
        </w:rPr>
        <w:t>（</w:t>
      </w:r>
      <w:r>
        <w:rPr>
          <w:spacing w:val="-5"/>
          <w:sz w:val="21"/>
        </w:rPr>
        <w:t>包括股票、权证等</w:t>
      </w:r>
      <w:r>
        <w:rPr>
          <w:spacing w:val="-65"/>
          <w:sz w:val="21"/>
        </w:rPr>
        <w:t>）</w:t>
      </w:r>
      <w:r>
        <w:rPr>
          <w:spacing w:val="-9"/>
          <w:sz w:val="21"/>
        </w:rPr>
        <w:t>，以其估值日在证券交易所挂牌的市价</w:t>
      </w:r>
    </w:p>
    <w:p>
      <w:pPr>
        <w:pStyle w:val="BodyText"/>
        <w:spacing w:line="364" w:lineRule="auto" w:before="140"/>
        <w:ind w:left="220" w:right="1418"/>
        <w:jc w:val="both"/>
      </w:pPr>
      <w:r>
        <w:rPr/>
        <w:t>（收盘价）</w:t>
      </w:r>
      <w:r>
        <w:rPr>
          <w:spacing w:val="-12"/>
        </w:rPr>
        <w:t>估值；估值日无交易的，且最近交易日后经济环境未发生重大变化，以最近交易</w:t>
      </w:r>
      <w:r>
        <w:rPr/>
        <w:t>日的市价（收盘价）</w:t>
      </w:r>
      <w:r>
        <w:rPr>
          <w:spacing w:val="-12"/>
        </w:rPr>
        <w:t>估值；如最近交易日后经济环境发生了重大变化的，可参考类似投资品</w:t>
      </w:r>
      <w:r>
        <w:rPr/>
        <w:t>种的现行市价及重大变化因素，调整最近交易市价，确定公允价格。</w:t>
      </w:r>
    </w:p>
    <w:p>
      <w:pPr>
        <w:pStyle w:val="ListParagraph"/>
        <w:numPr>
          <w:ilvl w:val="0"/>
          <w:numId w:val="96"/>
        </w:numPr>
        <w:tabs>
          <w:tab w:pos="957" w:val="left" w:leader="none"/>
        </w:tabs>
        <w:spacing w:line="364" w:lineRule="auto" w:before="0" w:after="0"/>
        <w:ind w:left="220" w:right="1208" w:firstLine="420"/>
        <w:jc w:val="left"/>
        <w:rPr>
          <w:sz w:val="21"/>
        </w:rPr>
      </w:pPr>
      <w:r>
        <w:rPr>
          <w:sz w:val="21"/>
        </w:rPr>
        <w:t>交易所上市实行净价交易的债券按估值日收盘价估值，估值日没有交易的，且最近 </w:t>
      </w:r>
      <w:r>
        <w:rPr>
          <w:spacing w:val="-5"/>
          <w:sz w:val="21"/>
        </w:rPr>
        <w:t>交易日后经济环境未发生重大变化，按最近交易日的收盘价估值。如最近交易日后经济环境 </w:t>
      </w:r>
      <w:r>
        <w:rPr>
          <w:spacing w:val="-4"/>
          <w:sz w:val="21"/>
        </w:rPr>
        <w:t>发生了重大变化的，可参考类似投资品种的现行市价及重大变化因素，调整最近交易市价， 确定公允价格。</w:t>
      </w:r>
    </w:p>
    <w:p>
      <w:pPr>
        <w:pStyle w:val="ListParagraph"/>
        <w:numPr>
          <w:ilvl w:val="0"/>
          <w:numId w:val="96"/>
        </w:numPr>
        <w:tabs>
          <w:tab w:pos="957" w:val="left" w:leader="none"/>
        </w:tabs>
        <w:spacing w:line="267" w:lineRule="exact" w:before="0" w:after="0"/>
        <w:ind w:left="956" w:right="0" w:hanging="317"/>
        <w:jc w:val="left"/>
        <w:rPr>
          <w:sz w:val="21"/>
        </w:rPr>
      </w:pPr>
      <w:r>
        <w:rPr>
          <w:sz w:val="21"/>
        </w:rPr>
        <w:t>交易所上市未实行净价交易的债券按估值日收盘价减去债券收盘价中所含的债券应</w:t>
      </w:r>
    </w:p>
    <w:p>
      <w:pPr>
        <w:spacing w:after="0" w:line="267" w:lineRule="exact"/>
        <w:jc w:val="left"/>
        <w:rPr>
          <w:sz w:val="21"/>
        </w:rPr>
        <w:sectPr>
          <w:pgSz w:w="11910" w:h="16840"/>
          <w:pgMar w:header="0" w:footer="664" w:top="1380" w:bottom="940" w:left="1580" w:right="380"/>
        </w:sectPr>
      </w:pPr>
    </w:p>
    <w:p>
      <w:pPr>
        <w:pStyle w:val="BodyText"/>
        <w:spacing w:line="364" w:lineRule="auto" w:before="45"/>
        <w:ind w:left="220" w:right="1208"/>
      </w:pPr>
      <w:r>
        <w:rPr>
          <w:spacing w:val="-13"/>
        </w:rPr>
        <w:t>收利息得到的净价进行估值；估值日没有交易的，且最近交易日后经济环境未发生重大变化， </w:t>
      </w:r>
      <w:r>
        <w:rPr>
          <w:spacing w:val="-16"/>
        </w:rPr>
        <w:t>按最近交易日债券收盘价减去债券收盘价中所含的债券应收利息得到的净价进行估值。如最 </w:t>
      </w:r>
      <w:r>
        <w:rPr>
          <w:spacing w:val="-9"/>
        </w:rPr>
        <w:t>近交易日后经济环境发生了重大变化的，可参考类似投资品种的现行市价及重大变化因素， 调整最近交易日所采用的净价，确定公允价格；</w:t>
      </w:r>
    </w:p>
    <w:p>
      <w:pPr>
        <w:pStyle w:val="ListParagraph"/>
        <w:numPr>
          <w:ilvl w:val="0"/>
          <w:numId w:val="96"/>
        </w:numPr>
        <w:tabs>
          <w:tab w:pos="957" w:val="left" w:leader="none"/>
        </w:tabs>
        <w:spacing w:line="364" w:lineRule="auto" w:before="0" w:after="0"/>
        <w:ind w:left="220" w:right="1313" w:firstLine="420"/>
        <w:jc w:val="left"/>
        <w:rPr>
          <w:sz w:val="21"/>
        </w:rPr>
      </w:pPr>
      <w:r>
        <w:rPr>
          <w:sz w:val="21"/>
        </w:rPr>
        <w:t>交易所上市不存在活跃市场的有价证券，采用估值技术确定公允价值。交易所上市</w:t>
      </w:r>
      <w:r>
        <w:rPr>
          <w:spacing w:val="-16"/>
          <w:sz w:val="21"/>
        </w:rPr>
        <w:t>的资产支持证券，采用估值技术确定公允价值，在估值技术难以可靠计量公允价值的情况下， </w:t>
      </w:r>
      <w:r>
        <w:rPr>
          <w:sz w:val="21"/>
        </w:rPr>
        <w:t>按成本估值。</w:t>
      </w:r>
    </w:p>
    <w:p>
      <w:pPr>
        <w:pStyle w:val="ListParagraph"/>
        <w:numPr>
          <w:ilvl w:val="0"/>
          <w:numId w:val="95"/>
        </w:numPr>
        <w:tabs>
          <w:tab w:pos="851" w:val="left" w:leader="none"/>
        </w:tabs>
        <w:spacing w:line="268" w:lineRule="exact" w:before="0" w:after="0"/>
        <w:ind w:left="851" w:right="0" w:hanging="211"/>
        <w:jc w:val="left"/>
        <w:rPr>
          <w:sz w:val="21"/>
        </w:rPr>
      </w:pPr>
      <w:r>
        <w:rPr>
          <w:sz w:val="21"/>
        </w:rPr>
        <w:t>处于未上市期间的有价证券应区分如下情况处理：</w:t>
      </w:r>
    </w:p>
    <w:p>
      <w:pPr>
        <w:pStyle w:val="ListParagraph"/>
        <w:numPr>
          <w:ilvl w:val="0"/>
          <w:numId w:val="97"/>
        </w:numPr>
        <w:tabs>
          <w:tab w:pos="957" w:val="left" w:leader="none"/>
        </w:tabs>
        <w:spacing w:line="364" w:lineRule="auto" w:before="138" w:after="0"/>
        <w:ind w:left="220" w:right="1418" w:firstLine="420"/>
        <w:jc w:val="left"/>
        <w:rPr>
          <w:sz w:val="21"/>
        </w:rPr>
      </w:pPr>
      <w:r>
        <w:rPr>
          <w:sz w:val="21"/>
        </w:rPr>
        <w:t>送股、转增股、配股和公开增发的新股，按估值日在证券交易所挂牌的同一股票的市价（收盘价）估值；该日无交易的，以最近一日的市价（收盘价）估值；</w:t>
      </w:r>
    </w:p>
    <w:p>
      <w:pPr>
        <w:pStyle w:val="ListParagraph"/>
        <w:numPr>
          <w:ilvl w:val="0"/>
          <w:numId w:val="97"/>
        </w:numPr>
        <w:tabs>
          <w:tab w:pos="957" w:val="left" w:leader="none"/>
        </w:tabs>
        <w:spacing w:line="364" w:lineRule="auto" w:before="0" w:after="0"/>
        <w:ind w:left="220" w:right="1418" w:firstLine="420"/>
        <w:jc w:val="left"/>
        <w:rPr>
          <w:sz w:val="21"/>
        </w:rPr>
      </w:pPr>
      <w:r>
        <w:rPr>
          <w:sz w:val="21"/>
        </w:rPr>
        <w:t>首次公开发行未上市的股票、债券和权证，采用估值技术确定公允价值，在估值技术难以可靠计量公允价值的情况下，按成本估值。</w:t>
      </w:r>
    </w:p>
    <w:p>
      <w:pPr>
        <w:pStyle w:val="ListParagraph"/>
        <w:numPr>
          <w:ilvl w:val="0"/>
          <w:numId w:val="97"/>
        </w:numPr>
        <w:tabs>
          <w:tab w:pos="957" w:val="left" w:leader="none"/>
        </w:tabs>
        <w:spacing w:line="364" w:lineRule="auto" w:before="0" w:after="0"/>
        <w:ind w:left="220" w:right="1418" w:firstLine="420"/>
        <w:jc w:val="both"/>
        <w:rPr>
          <w:sz w:val="21"/>
        </w:rPr>
      </w:pPr>
      <w:r>
        <w:rPr>
          <w:sz w:val="21"/>
        </w:rPr>
        <w:t>首次公开发行有明确锁定期的股票，同一股票在交易所上市后，按交易所上市的同一股票的市价（收盘价）</w:t>
      </w:r>
      <w:r>
        <w:rPr>
          <w:spacing w:val="-12"/>
          <w:sz w:val="21"/>
        </w:rPr>
        <w:t>估值；非公开发行有明确锁定期的股票，按监管机构或行业协会有</w:t>
      </w:r>
      <w:r>
        <w:rPr>
          <w:sz w:val="21"/>
        </w:rPr>
        <w:t>关规定确定公允价值。</w:t>
      </w:r>
    </w:p>
    <w:p>
      <w:pPr>
        <w:pStyle w:val="ListParagraph"/>
        <w:numPr>
          <w:ilvl w:val="0"/>
          <w:numId w:val="95"/>
        </w:numPr>
        <w:tabs>
          <w:tab w:pos="851" w:val="left" w:leader="none"/>
        </w:tabs>
        <w:spacing w:line="364" w:lineRule="auto" w:before="0" w:after="0"/>
        <w:ind w:left="220" w:right="1417" w:firstLine="420"/>
        <w:jc w:val="left"/>
        <w:rPr>
          <w:sz w:val="21"/>
        </w:rPr>
      </w:pPr>
      <w:r>
        <w:rPr>
          <w:spacing w:val="-7"/>
          <w:sz w:val="21"/>
        </w:rPr>
        <w:t>因持有股票而享有的配股权，以及停止交易、但未行权的权证，采用估值技术确定公</w:t>
      </w:r>
      <w:r>
        <w:rPr>
          <w:sz w:val="21"/>
        </w:rPr>
        <w:t>允价值。</w:t>
      </w:r>
    </w:p>
    <w:p>
      <w:pPr>
        <w:pStyle w:val="ListParagraph"/>
        <w:numPr>
          <w:ilvl w:val="0"/>
          <w:numId w:val="95"/>
        </w:numPr>
        <w:tabs>
          <w:tab w:pos="851" w:val="left" w:leader="none"/>
        </w:tabs>
        <w:spacing w:line="364" w:lineRule="auto" w:before="0" w:after="0"/>
        <w:ind w:left="220" w:right="1418" w:firstLine="420"/>
        <w:jc w:val="left"/>
        <w:rPr>
          <w:sz w:val="21"/>
        </w:rPr>
      </w:pPr>
      <w:r>
        <w:rPr>
          <w:spacing w:val="-7"/>
          <w:sz w:val="21"/>
        </w:rPr>
        <w:t>全国银行间债券市场交易的债券、资产支持证券等固定收益品种，采用估值技术确定</w:t>
      </w:r>
      <w:r>
        <w:rPr>
          <w:sz w:val="21"/>
        </w:rPr>
        <w:t>公允价值。</w:t>
      </w:r>
    </w:p>
    <w:p>
      <w:pPr>
        <w:pStyle w:val="ListParagraph"/>
        <w:numPr>
          <w:ilvl w:val="0"/>
          <w:numId w:val="95"/>
        </w:numPr>
        <w:tabs>
          <w:tab w:pos="851" w:val="left" w:leader="none"/>
        </w:tabs>
        <w:spacing w:line="268" w:lineRule="exact" w:before="0" w:after="0"/>
        <w:ind w:left="851" w:right="0" w:hanging="211"/>
        <w:jc w:val="left"/>
        <w:rPr>
          <w:sz w:val="21"/>
        </w:rPr>
      </w:pPr>
      <w:r>
        <w:rPr>
          <w:sz w:val="21"/>
        </w:rPr>
        <w:t>同一债券同时在两个或两个以上市场交易的，按债券所处的市场分别估值。</w:t>
      </w:r>
    </w:p>
    <w:p>
      <w:pPr>
        <w:pStyle w:val="ListParagraph"/>
        <w:numPr>
          <w:ilvl w:val="0"/>
          <w:numId w:val="95"/>
        </w:numPr>
        <w:tabs>
          <w:tab w:pos="851" w:val="left" w:leader="none"/>
        </w:tabs>
        <w:spacing w:line="364" w:lineRule="auto" w:before="135" w:after="0"/>
        <w:ind w:left="220" w:right="1418" w:firstLine="420"/>
        <w:jc w:val="left"/>
        <w:rPr>
          <w:sz w:val="21"/>
        </w:rPr>
      </w:pPr>
      <w:r>
        <w:rPr>
          <w:spacing w:val="-5"/>
          <w:sz w:val="21"/>
        </w:rPr>
        <w:t>如有确凿证据表明按上述方法进行估值不能客观反映其公允价值的，基金管理人可根</w:t>
      </w:r>
      <w:r>
        <w:rPr>
          <w:sz w:val="21"/>
        </w:rPr>
        <w:t>据具体情况与基金托管人商定后，按最能反映公允价值的价格估值。</w:t>
      </w:r>
    </w:p>
    <w:p>
      <w:pPr>
        <w:pStyle w:val="ListParagraph"/>
        <w:numPr>
          <w:ilvl w:val="0"/>
          <w:numId w:val="95"/>
        </w:numPr>
        <w:tabs>
          <w:tab w:pos="851" w:val="left" w:leader="none"/>
        </w:tabs>
        <w:spacing w:line="364" w:lineRule="auto" w:before="0" w:after="0"/>
        <w:ind w:left="220" w:right="1417" w:firstLine="420"/>
        <w:jc w:val="left"/>
        <w:rPr>
          <w:sz w:val="21"/>
        </w:rPr>
      </w:pPr>
      <w:r>
        <w:rPr>
          <w:spacing w:val="-6"/>
          <w:sz w:val="21"/>
        </w:rPr>
        <w:t>相关法律法规以及监管部门有强制规定的，从其规定。如有新增事项，按国家最新规</w:t>
      </w:r>
      <w:r>
        <w:rPr>
          <w:sz w:val="21"/>
        </w:rPr>
        <w:t>定估值。</w:t>
      </w:r>
    </w:p>
    <w:p>
      <w:pPr>
        <w:pStyle w:val="BodyText"/>
        <w:spacing w:line="364" w:lineRule="auto"/>
        <w:ind w:left="220" w:right="120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ListParagraph"/>
        <w:numPr>
          <w:ilvl w:val="0"/>
          <w:numId w:val="94"/>
        </w:numPr>
        <w:tabs>
          <w:tab w:pos="956" w:val="left" w:leader="none"/>
        </w:tabs>
        <w:spacing w:line="268" w:lineRule="exact" w:before="0" w:after="0"/>
        <w:ind w:left="956" w:right="0" w:hanging="316"/>
        <w:jc w:val="left"/>
        <w:rPr>
          <w:sz w:val="21"/>
        </w:rPr>
      </w:pPr>
      <w:r>
        <w:rPr>
          <w:sz w:val="21"/>
        </w:rPr>
        <w:t>特殊情形的处理</w:t>
      </w:r>
    </w:p>
    <w:p>
      <w:pPr>
        <w:pStyle w:val="BodyText"/>
        <w:spacing w:line="364" w:lineRule="auto" w:before="137"/>
        <w:ind w:left="220" w:right="1418" w:firstLine="420"/>
      </w:pPr>
      <w:r>
        <w:rPr>
          <w:spacing w:val="-10"/>
        </w:rPr>
        <w:t>基金管理人、基金托管人按估值方法的第 </w:t>
      </w:r>
      <w:r>
        <w:rPr/>
        <w:t>f</w:t>
      </w:r>
      <w:r>
        <w:rPr>
          <w:spacing w:val="-12"/>
        </w:rPr>
        <w:t> 项进行估值时，所造成的误差不作为基金份</w:t>
      </w:r>
      <w:r>
        <w:rPr/>
        <w:t>额净值错误处理。</w:t>
      </w:r>
    </w:p>
    <w:p>
      <w:pPr>
        <w:pStyle w:val="BodyText"/>
        <w:spacing w:line="268" w:lineRule="exact"/>
      </w:pPr>
      <w:r>
        <w:rPr/>
        <w:t>3、基金份额净值错误的处理方式</w:t>
      </w:r>
    </w:p>
    <w:p>
      <w:pPr>
        <w:pStyle w:val="ListParagraph"/>
        <w:numPr>
          <w:ilvl w:val="0"/>
          <w:numId w:val="98"/>
        </w:numPr>
        <w:tabs>
          <w:tab w:pos="1167" w:val="left" w:leader="none"/>
        </w:tabs>
        <w:spacing w:line="364" w:lineRule="auto" w:before="140" w:after="0"/>
        <w:ind w:left="220" w:right="1418" w:firstLine="420"/>
        <w:jc w:val="both"/>
        <w:rPr>
          <w:sz w:val="21"/>
        </w:rPr>
      </w:pPr>
      <w:r>
        <w:rPr>
          <w:spacing w:val="-5"/>
          <w:sz w:val="21"/>
        </w:rPr>
        <w:t>当基金份额净值小数点后 </w:t>
      </w:r>
      <w:r>
        <w:rPr>
          <w:sz w:val="21"/>
        </w:rPr>
        <w:t>3</w:t>
      </w:r>
      <w:r>
        <w:rPr>
          <w:spacing w:val="-15"/>
          <w:sz w:val="21"/>
        </w:rPr>
        <w:t> 位以内(含第 </w:t>
      </w:r>
      <w:r>
        <w:rPr>
          <w:sz w:val="21"/>
        </w:rPr>
        <w:t>3</w:t>
      </w:r>
      <w:r>
        <w:rPr>
          <w:spacing w:val="-8"/>
          <w:sz w:val="21"/>
        </w:rPr>
        <w:t> 位)发生差错时，视为基金份额净值错</w:t>
      </w:r>
      <w:r>
        <w:rPr>
          <w:spacing w:val="-12"/>
          <w:sz w:val="21"/>
        </w:rPr>
        <w:t>误；基金份额净值出现错误时，基金管理人应当立即予以纠正，通报基金托管人，并采取合</w:t>
      </w:r>
      <w:r>
        <w:rPr>
          <w:spacing w:val="-6"/>
          <w:sz w:val="21"/>
        </w:rPr>
        <w:t>理的措施防止损失进一步扩大；错误偏差达到基金份额净值的 </w:t>
      </w:r>
      <w:r>
        <w:rPr>
          <w:sz w:val="21"/>
        </w:rPr>
        <w:t>0.25%</w:t>
      </w:r>
      <w:r>
        <w:rPr>
          <w:spacing w:val="-2"/>
          <w:sz w:val="21"/>
        </w:rPr>
        <w:t>时，基金管理人应当通</w:t>
      </w:r>
    </w:p>
    <w:p>
      <w:pPr>
        <w:spacing w:after="0" w:line="364" w:lineRule="auto"/>
        <w:jc w:val="both"/>
        <w:rPr>
          <w:sz w:val="21"/>
        </w:rPr>
        <w:sectPr>
          <w:pgSz w:w="11910" w:h="16840"/>
          <w:pgMar w:header="0" w:footer="664" w:top="1380" w:bottom="940" w:left="1580" w:right="380"/>
        </w:sectPr>
      </w:pPr>
    </w:p>
    <w:p>
      <w:pPr>
        <w:pStyle w:val="BodyText"/>
        <w:spacing w:line="364" w:lineRule="auto" w:before="45"/>
        <w:ind w:left="220" w:right="1417"/>
        <w:jc w:val="both"/>
      </w:pPr>
      <w:r>
        <w:rPr>
          <w:spacing w:val="-1"/>
        </w:rPr>
        <w:t>报基金托管人并报中国证监会备案；错误偏差达到基金份额净值的 </w:t>
      </w:r>
      <w:r>
        <w:rPr/>
        <w:t>0.5%时，基金管理人应</w:t>
      </w:r>
      <w:r>
        <w:rPr>
          <w:spacing w:val="-7"/>
        </w:rPr>
        <w:t>当公告、通告基金托管人并报中国证监会备案；当发生净值计算错误时，由基金管理人负责</w:t>
      </w:r>
      <w:r>
        <w:rPr>
          <w:spacing w:val="-10"/>
        </w:rPr>
        <w:t>处理，由此给基金份额持有人和基金造成损失的，应由基金管理人先行赔付，基金管理人按</w:t>
      </w:r>
      <w:r>
        <w:rPr/>
        <w:t>差错情形，有权向其他当事人追偿。</w:t>
      </w:r>
    </w:p>
    <w:p>
      <w:pPr>
        <w:pStyle w:val="ListParagraph"/>
        <w:numPr>
          <w:ilvl w:val="0"/>
          <w:numId w:val="98"/>
        </w:numPr>
        <w:tabs>
          <w:tab w:pos="1167" w:val="left" w:leader="none"/>
        </w:tabs>
        <w:spacing w:line="364" w:lineRule="auto" w:before="0" w:after="0"/>
        <w:ind w:left="220" w:right="1271" w:firstLine="420"/>
        <w:jc w:val="left"/>
        <w:rPr>
          <w:sz w:val="21"/>
        </w:rPr>
      </w:pPr>
      <w:r>
        <w:rPr>
          <w:sz w:val="21"/>
        </w:rPr>
        <w:t>当基金份额净值计算差错给基金和基金份额持有人造成损失需要进行赔偿时，基</w:t>
      </w:r>
      <w:r>
        <w:rPr>
          <w:spacing w:val="-7"/>
          <w:sz w:val="21"/>
        </w:rPr>
        <w:t>金管理人和基金托管人应根据实际情况界定双方承担的责任，经确认后按以下条款进行赔偿：</w:t>
      </w:r>
    </w:p>
    <w:p>
      <w:pPr>
        <w:pStyle w:val="ListParagraph"/>
        <w:numPr>
          <w:ilvl w:val="0"/>
          <w:numId w:val="99"/>
        </w:numPr>
        <w:tabs>
          <w:tab w:pos="851" w:val="left" w:leader="none"/>
        </w:tabs>
        <w:spacing w:line="364" w:lineRule="auto" w:before="0" w:after="0"/>
        <w:ind w:left="220" w:right="1417" w:firstLine="420"/>
        <w:jc w:val="both"/>
        <w:rPr>
          <w:sz w:val="21"/>
        </w:rPr>
      </w:pPr>
      <w:r>
        <w:rPr>
          <w:spacing w:val="-6"/>
          <w:sz w:val="21"/>
        </w:rPr>
        <w:t>本基金的基金会计责任方由基金管理人担任，与本基金有关的会计问题，如经双方在</w:t>
      </w:r>
      <w:r>
        <w:rPr>
          <w:spacing w:val="-7"/>
          <w:sz w:val="21"/>
        </w:rPr>
        <w:t>平等基础上充分讨论后，尚不能达成一致时，按基金管理人的建议执行，由此给基金份额持</w:t>
      </w:r>
      <w:r>
        <w:rPr>
          <w:sz w:val="21"/>
        </w:rPr>
        <w:t>有人和基金财产造成的损失，由基金管理人负责赔付。</w:t>
      </w:r>
    </w:p>
    <w:p>
      <w:pPr>
        <w:pStyle w:val="ListParagraph"/>
        <w:numPr>
          <w:ilvl w:val="0"/>
          <w:numId w:val="99"/>
        </w:numPr>
        <w:tabs>
          <w:tab w:pos="851" w:val="left" w:leader="none"/>
        </w:tabs>
        <w:spacing w:line="364" w:lineRule="auto" w:before="0" w:after="0"/>
        <w:ind w:left="220" w:right="1418" w:firstLine="420"/>
        <w:jc w:val="both"/>
        <w:rPr>
          <w:sz w:val="21"/>
        </w:rPr>
      </w:pPr>
      <w:r>
        <w:rPr>
          <w:spacing w:val="-5"/>
          <w:sz w:val="21"/>
        </w:rPr>
        <w:t>若基金管理人计算的基金份额净值已由基金托管人复核确认后公告，而且基金托管人未对计算过程提出书面或电话疑义或要求基金管理人出具书面说明，基金份额净值出错且造</w:t>
      </w:r>
      <w:r>
        <w:rPr>
          <w:spacing w:val="-7"/>
          <w:sz w:val="21"/>
        </w:rPr>
        <w:t>成基金份额持有人损失的，应根据法律法规的规定对投资人或基金支付赔偿金，就实际向投</w:t>
      </w:r>
      <w:r>
        <w:rPr>
          <w:spacing w:val="-9"/>
          <w:sz w:val="21"/>
        </w:rPr>
        <w:t>资人或基金支付的赔偿金额，基金管理人与基金托管人按照管理费和托管费的比例各自承担</w:t>
      </w:r>
      <w:r>
        <w:rPr>
          <w:sz w:val="21"/>
        </w:rPr>
        <w:t>相应的责任。</w:t>
      </w:r>
    </w:p>
    <w:p>
      <w:pPr>
        <w:pStyle w:val="ListParagraph"/>
        <w:numPr>
          <w:ilvl w:val="0"/>
          <w:numId w:val="99"/>
        </w:numPr>
        <w:tabs>
          <w:tab w:pos="854" w:val="left" w:leader="none"/>
        </w:tabs>
        <w:spacing w:line="364" w:lineRule="auto" w:before="0" w:after="0"/>
        <w:ind w:left="220" w:right="1208" w:firstLine="420"/>
        <w:jc w:val="left"/>
        <w:rPr>
          <w:sz w:val="21"/>
        </w:rPr>
      </w:pPr>
      <w:r>
        <w:rPr>
          <w:sz w:val="21"/>
        </w:rPr>
        <w:t>如基金管理人和基金托管人对基金份额净值的计算结果，虽然多次重新计算和核对， </w:t>
      </w:r>
      <w:r>
        <w:rPr>
          <w:spacing w:val="-8"/>
          <w:sz w:val="21"/>
        </w:rPr>
        <w:t>尚不能达成一致时，为避免不能按时公布基金份额净值的情形，以基金管理人的计算结果对 外公布，由此给基金份额持有人和基金造成的损失，由基金管理人负责赔付。</w:t>
      </w:r>
    </w:p>
    <w:p>
      <w:pPr>
        <w:pStyle w:val="ListParagraph"/>
        <w:numPr>
          <w:ilvl w:val="0"/>
          <w:numId w:val="99"/>
        </w:numPr>
        <w:tabs>
          <w:tab w:pos="851" w:val="left" w:leader="none"/>
        </w:tabs>
        <w:spacing w:line="364" w:lineRule="auto" w:before="0" w:after="0"/>
        <w:ind w:left="220" w:right="1220" w:firstLine="420"/>
        <w:jc w:val="left"/>
        <w:rPr>
          <w:sz w:val="21"/>
        </w:rPr>
      </w:pPr>
      <w:r>
        <w:rPr>
          <w:sz w:val="21"/>
        </w:rPr>
        <w:t>由于基金管理人提供的信息错误（包括但不限于基金申购或赎回金额等</w:t>
      </w:r>
      <w:r>
        <w:rPr>
          <w:spacing w:val="-105"/>
          <w:sz w:val="21"/>
        </w:rPr>
        <w:t>）</w:t>
      </w:r>
      <w:r>
        <w:rPr>
          <w:sz w:val="21"/>
        </w:rPr>
        <w:t>，进而导致 </w:t>
      </w:r>
      <w:r>
        <w:rPr>
          <w:spacing w:val="-5"/>
          <w:sz w:val="21"/>
        </w:rPr>
        <w:t>基金份额净值计算错误而引起的基金份额持有人和基金财产的损失，由基金管理人负责赔付。</w:t>
      </w:r>
    </w:p>
    <w:p>
      <w:pPr>
        <w:pStyle w:val="ListParagraph"/>
        <w:numPr>
          <w:ilvl w:val="0"/>
          <w:numId w:val="98"/>
        </w:numPr>
        <w:tabs>
          <w:tab w:pos="1167" w:val="left" w:leader="none"/>
        </w:tabs>
        <w:spacing w:line="364" w:lineRule="auto" w:before="0" w:after="0"/>
        <w:ind w:left="220" w:right="1417" w:firstLine="420"/>
        <w:jc w:val="both"/>
        <w:rPr>
          <w:sz w:val="21"/>
        </w:rPr>
      </w:pPr>
      <w:r>
        <w:rPr>
          <w:sz w:val="21"/>
        </w:rPr>
        <w:t>由于不可抗力原因，或由于证券交易所或登记结算公司发送的数据错误，或国家</w:t>
      </w:r>
      <w:r>
        <w:rPr>
          <w:spacing w:val="-9"/>
          <w:sz w:val="21"/>
        </w:rPr>
        <w:t>会计政策变更、市场规则变更等，基金管理人和基金托管人虽然已经采取必要、适当、合理</w:t>
      </w:r>
      <w:r>
        <w:rPr>
          <w:spacing w:val="-7"/>
          <w:sz w:val="21"/>
        </w:rPr>
        <w:t>的措施进行检查，但是未能发现该错误而造成的基金份额净值计算错误，基金管理人、基金</w:t>
      </w:r>
      <w:r>
        <w:rPr>
          <w:spacing w:val="-9"/>
          <w:sz w:val="21"/>
        </w:rPr>
        <w:t>托管人免除赔偿责任。但基金管理人、基金托管人应积极采取必要的措施消除由此造成的影</w:t>
      </w:r>
      <w:r>
        <w:rPr>
          <w:sz w:val="21"/>
        </w:rPr>
        <w:t>响。</w:t>
      </w:r>
    </w:p>
    <w:p>
      <w:pPr>
        <w:pStyle w:val="ListParagraph"/>
        <w:numPr>
          <w:ilvl w:val="0"/>
          <w:numId w:val="98"/>
        </w:numPr>
        <w:tabs>
          <w:tab w:pos="1167" w:val="left" w:leader="none"/>
        </w:tabs>
        <w:spacing w:line="364" w:lineRule="auto" w:before="0" w:after="0"/>
        <w:ind w:left="220" w:right="1418" w:firstLine="420"/>
        <w:jc w:val="left"/>
        <w:rPr>
          <w:sz w:val="21"/>
        </w:rPr>
      </w:pPr>
      <w:r>
        <w:rPr>
          <w:sz w:val="21"/>
        </w:rPr>
        <w:t>基金管理人和基金托管人由于各自技术系统设置而产生的净值计算尾差，以基金管理人计算结果为准。</w:t>
      </w:r>
    </w:p>
    <w:p>
      <w:pPr>
        <w:pStyle w:val="ListParagraph"/>
        <w:numPr>
          <w:ilvl w:val="0"/>
          <w:numId w:val="98"/>
        </w:numPr>
        <w:tabs>
          <w:tab w:pos="1167" w:val="left" w:leader="none"/>
        </w:tabs>
        <w:spacing w:line="364" w:lineRule="auto" w:before="0" w:after="0"/>
        <w:ind w:left="220" w:right="1418" w:firstLine="420"/>
        <w:jc w:val="left"/>
        <w:rPr>
          <w:sz w:val="21"/>
        </w:rPr>
      </w:pPr>
      <w:r>
        <w:rPr>
          <w:sz w:val="21"/>
        </w:rPr>
        <w:t>前述内容如法律法规或者监管部门另有规定的，从其规定。如果行业另有通行做法，双方当事人应本着平等和保护基金份额持有人利益的原则进行协商。</w:t>
      </w:r>
    </w:p>
    <w:p>
      <w:pPr>
        <w:pStyle w:val="BodyText"/>
        <w:spacing w:line="268" w:lineRule="exact"/>
      </w:pPr>
      <w:r>
        <w:rPr/>
        <w:t>4、暂停估值与公告基金份额净值的情形</w:t>
      </w:r>
    </w:p>
    <w:p>
      <w:pPr>
        <w:pStyle w:val="ListParagraph"/>
        <w:numPr>
          <w:ilvl w:val="0"/>
          <w:numId w:val="100"/>
        </w:numPr>
        <w:tabs>
          <w:tab w:pos="1166" w:val="left" w:leader="none"/>
        </w:tabs>
        <w:spacing w:line="240" w:lineRule="auto" w:before="127" w:after="0"/>
        <w:ind w:left="1166" w:right="0" w:hanging="526"/>
        <w:jc w:val="left"/>
        <w:rPr>
          <w:sz w:val="21"/>
        </w:rPr>
      </w:pPr>
      <w:r>
        <w:rPr>
          <w:sz w:val="21"/>
        </w:rPr>
        <w:t>基金投资所涉及的证券交易所遇法定节假日或因其他原因暂停交易时；</w:t>
      </w:r>
    </w:p>
    <w:p>
      <w:pPr>
        <w:pStyle w:val="ListParagraph"/>
        <w:numPr>
          <w:ilvl w:val="0"/>
          <w:numId w:val="100"/>
        </w:numPr>
        <w:tabs>
          <w:tab w:pos="1167" w:val="left" w:leader="none"/>
        </w:tabs>
        <w:spacing w:line="364" w:lineRule="auto" w:before="140" w:after="0"/>
        <w:ind w:left="220" w:right="1418" w:firstLine="420"/>
        <w:jc w:val="left"/>
        <w:rPr>
          <w:sz w:val="21"/>
        </w:rPr>
      </w:pPr>
      <w:r>
        <w:rPr>
          <w:sz w:val="21"/>
        </w:rPr>
        <w:t>因不可抗力或其他情形致使基金管理人、基金托管人无法准确评估基金资产价值时；</w:t>
      </w:r>
    </w:p>
    <w:p>
      <w:pPr>
        <w:pStyle w:val="ListParagraph"/>
        <w:numPr>
          <w:ilvl w:val="0"/>
          <w:numId w:val="100"/>
        </w:numPr>
        <w:tabs>
          <w:tab w:pos="1167" w:val="left" w:leader="none"/>
        </w:tabs>
        <w:spacing w:line="364" w:lineRule="auto" w:before="0" w:after="0"/>
        <w:ind w:left="220" w:right="1418" w:firstLine="420"/>
        <w:jc w:val="left"/>
        <w:rPr>
          <w:sz w:val="21"/>
        </w:rPr>
      </w:pPr>
      <w:r>
        <w:rPr>
          <w:sz w:val="21"/>
        </w:rPr>
        <w:t>占基金相当比例的投资品种的估值出现重大转变，而基金管理人为保障投资人的利益，决定延迟估值；</w:t>
      </w:r>
    </w:p>
    <w:p>
      <w:pPr>
        <w:spacing w:after="0" w:line="364" w:lineRule="auto"/>
        <w:jc w:val="left"/>
        <w:rPr>
          <w:sz w:val="21"/>
        </w:rPr>
        <w:sectPr>
          <w:pgSz w:w="11910" w:h="16840"/>
          <w:pgMar w:header="0" w:footer="664" w:top="1380" w:bottom="940" w:left="1580" w:right="380"/>
        </w:sectPr>
      </w:pPr>
    </w:p>
    <w:p>
      <w:pPr>
        <w:pStyle w:val="ListParagraph"/>
        <w:numPr>
          <w:ilvl w:val="0"/>
          <w:numId w:val="100"/>
        </w:numPr>
        <w:tabs>
          <w:tab w:pos="1172" w:val="left" w:leader="none"/>
        </w:tabs>
        <w:spacing w:line="364" w:lineRule="auto" w:before="45" w:after="0"/>
        <w:ind w:left="220" w:right="1418" w:firstLine="420"/>
        <w:jc w:val="left"/>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50%以上的资产出现无可参考的活跃市场价格且采用估值技术仍导致公允价值存在重大不确定性时，经与基金托管人协商一致的；</w:t>
      </w:r>
    </w:p>
    <w:p>
      <w:pPr>
        <w:pStyle w:val="ListParagraph"/>
        <w:numPr>
          <w:ilvl w:val="0"/>
          <w:numId w:val="100"/>
        </w:numPr>
        <w:tabs>
          <w:tab w:pos="1166" w:val="left" w:leader="none"/>
        </w:tabs>
        <w:spacing w:line="268" w:lineRule="exact" w:before="0" w:after="0"/>
        <w:ind w:left="1166" w:right="0" w:hanging="526"/>
        <w:jc w:val="left"/>
        <w:rPr>
          <w:sz w:val="21"/>
        </w:rPr>
      </w:pPr>
      <w:r>
        <w:rPr>
          <w:sz w:val="21"/>
        </w:rPr>
        <w:t>中国证监会和基金合同认定的其他情形。</w:t>
      </w:r>
    </w:p>
    <w:p>
      <w:pPr>
        <w:pStyle w:val="BodyText"/>
        <w:spacing w:before="139"/>
      </w:pPr>
      <w:r>
        <w:rPr/>
        <w:t>5、基金会计制度</w:t>
      </w:r>
    </w:p>
    <w:p>
      <w:pPr>
        <w:pStyle w:val="BodyText"/>
        <w:spacing w:before="140"/>
      </w:pPr>
      <w:r>
        <w:rPr/>
        <w:t>按国家有关部门规定的会计制度执行。</w:t>
      </w:r>
    </w:p>
    <w:p>
      <w:pPr>
        <w:pStyle w:val="BodyText"/>
        <w:spacing w:before="139"/>
      </w:pPr>
      <w:r>
        <w:rPr/>
        <w:t>6、基金账册的建立</w:t>
      </w:r>
    </w:p>
    <w:p>
      <w:pPr>
        <w:pStyle w:val="BodyText"/>
        <w:spacing w:line="364" w:lineRule="auto" w:before="140"/>
        <w:ind w:left="220" w:right="1418" w:firstLine="420"/>
        <w:jc w:val="both"/>
      </w:pPr>
      <w:r>
        <w:rPr>
          <w:spacing w:val="-5"/>
        </w:rPr>
        <w:t>基金管理人进行基金会计核算并编制基金财务会计报告。基金管理人独立地设置、记录</w:t>
      </w:r>
      <w:r>
        <w:rPr>
          <w:spacing w:val="-7"/>
        </w:rPr>
        <w:t>和保管本基金的全套账册。若基金管理人和基金托管人对会计处理方法存在分歧，应以基金</w:t>
      </w:r>
      <w:r>
        <w:rPr>
          <w:spacing w:val="-9"/>
        </w:rPr>
        <w:t>管理人的处理方法为准。若当日核对不符，暂时无法查找到错账的原因而影响到基金资产净</w:t>
      </w:r>
      <w:r>
        <w:rPr/>
        <w:t>值的计算和公告的，以基金管理人的账册为准。</w:t>
      </w:r>
    </w:p>
    <w:p>
      <w:pPr>
        <w:pStyle w:val="BodyText"/>
        <w:spacing w:line="364" w:lineRule="auto"/>
        <w:ind w:right="5840"/>
      </w:pPr>
      <w:r>
        <w:rPr/>
        <w:t>7、基金财务报表与报告的编制和复核(1)财务报表的编制</w:t>
      </w:r>
    </w:p>
    <w:p>
      <w:pPr>
        <w:pStyle w:val="BodyText"/>
        <w:spacing w:line="268" w:lineRule="exact"/>
      </w:pPr>
      <w:r>
        <w:rPr/>
        <w:t>基金财务报表由基金管理人编制，基金托管人复核。</w:t>
      </w:r>
    </w:p>
    <w:p>
      <w:pPr>
        <w:pStyle w:val="ListParagraph"/>
        <w:numPr>
          <w:ilvl w:val="0"/>
          <w:numId w:val="101"/>
        </w:numPr>
        <w:tabs>
          <w:tab w:pos="956" w:val="left" w:leader="none"/>
        </w:tabs>
        <w:spacing w:line="240" w:lineRule="auto" w:before="137" w:after="0"/>
        <w:ind w:left="956" w:right="0" w:hanging="316"/>
        <w:jc w:val="left"/>
        <w:rPr>
          <w:sz w:val="21"/>
        </w:rPr>
      </w:pPr>
      <w:r>
        <w:rPr>
          <w:sz w:val="21"/>
        </w:rPr>
        <w:t>报表复核</w:t>
      </w:r>
    </w:p>
    <w:p>
      <w:pPr>
        <w:pStyle w:val="BodyText"/>
        <w:spacing w:line="364" w:lineRule="auto" w:before="140"/>
        <w:ind w:left="220" w:right="1208" w:firstLine="420"/>
      </w:pPr>
      <w:r>
        <w:rPr/>
        <w:t>基金托管人在收到基金管理人编制的基金财务报表后，进行独立的复核。核对不符时， 应及时通知基金管理人共同查出原因，进行调整，直至双方数据完全一致。</w:t>
      </w:r>
    </w:p>
    <w:p>
      <w:pPr>
        <w:pStyle w:val="ListParagraph"/>
        <w:numPr>
          <w:ilvl w:val="0"/>
          <w:numId w:val="101"/>
        </w:numPr>
        <w:tabs>
          <w:tab w:pos="956" w:val="left" w:leader="none"/>
        </w:tabs>
        <w:spacing w:line="364" w:lineRule="auto" w:before="0" w:after="0"/>
        <w:ind w:left="640" w:right="6050" w:firstLine="0"/>
        <w:jc w:val="left"/>
        <w:rPr>
          <w:sz w:val="21"/>
        </w:rPr>
      </w:pPr>
      <w:r>
        <w:rPr>
          <w:spacing w:val="-2"/>
          <w:sz w:val="21"/>
        </w:rPr>
        <w:t>财务报表的编制与复核时间安排</w:t>
      </w:r>
      <w:r>
        <w:rPr>
          <w:sz w:val="21"/>
        </w:rPr>
        <w:t>a.报表的编制</w:t>
      </w:r>
    </w:p>
    <w:p>
      <w:pPr>
        <w:pStyle w:val="BodyText"/>
        <w:spacing w:line="364" w:lineRule="auto"/>
        <w:ind w:left="220" w:right="1418" w:firstLine="420"/>
        <w:jc w:val="both"/>
      </w:pPr>
      <w:r>
        <w:rPr>
          <w:spacing w:val="-4"/>
        </w:rPr>
        <w:t>基金管理人应当在每月结束后 </w:t>
      </w:r>
      <w:r>
        <w:rPr/>
        <w:t>5</w:t>
      </w:r>
      <w:r>
        <w:rPr>
          <w:spacing w:val="-15"/>
        </w:rPr>
        <w:t> 个工作日内完成月度报表的编制；在每个季度结束之日</w:t>
      </w:r>
      <w:r>
        <w:rPr>
          <w:spacing w:val="-27"/>
        </w:rPr>
        <w:t>起 </w:t>
      </w:r>
      <w:r>
        <w:rPr/>
        <w:t>15</w:t>
      </w:r>
      <w:r>
        <w:rPr>
          <w:spacing w:val="-8"/>
        </w:rPr>
        <w:t> 个工作日内完成基金季度报告的编制；在上半年结束之日起两个月内完成基金中期报</w:t>
      </w:r>
      <w:r>
        <w:rPr>
          <w:spacing w:val="-13"/>
        </w:rPr>
        <w:t>告的编制；在每年结束之日起三个月内完成基金年度报告的编制。基金年度报告中的财务会</w:t>
      </w:r>
      <w:r>
        <w:rPr>
          <w:spacing w:val="-7"/>
        </w:rPr>
        <w:t>计报告应当经过具有证券、期货相关业务资格的会计师事务所审计。基金合同生效不足两个</w:t>
      </w:r>
      <w:r>
        <w:rPr/>
        <w:t>月的，基金管理人可以不编制当期季度报告、中期报告或者年度报告。</w:t>
      </w:r>
    </w:p>
    <w:p>
      <w:pPr>
        <w:pStyle w:val="BodyText"/>
        <w:spacing w:line="267" w:lineRule="exact"/>
      </w:pPr>
      <w:r>
        <w:rPr/>
        <w:t>b.报表的复核</w:t>
      </w:r>
    </w:p>
    <w:p>
      <w:pPr>
        <w:pStyle w:val="BodyText"/>
        <w:spacing w:line="364" w:lineRule="auto" w:before="137"/>
        <w:ind w:left="220" w:right="1312" w:firstLine="420"/>
      </w:pPr>
      <w:r>
        <w:rPr>
          <w:spacing w:val="-4"/>
        </w:rPr>
        <w:t>基金管理人应及时完成报表编制，将有关报表提供基金托管人复核；基金托管人在复核</w:t>
      </w:r>
      <w:r>
        <w:rPr>
          <w:spacing w:val="-15"/>
        </w:rPr>
        <w:t>过程中，发现双方的报表存在不符时，基金管理人和基金托管人应共同查明原因，进行调整， </w:t>
      </w:r>
      <w:r>
        <w:rPr/>
        <w:t>调整以国家有关规定为准。</w:t>
      </w:r>
    </w:p>
    <w:p>
      <w:pPr>
        <w:pStyle w:val="BodyText"/>
        <w:spacing w:line="268" w:lineRule="exact"/>
      </w:pPr>
      <w:r>
        <w:rPr/>
        <w:t>基金管理人应留足充分的时间，便于基金托管人复核相关报表及报告。</w:t>
      </w:r>
    </w:p>
    <w:p>
      <w:pPr>
        <w:pStyle w:val="BodyText"/>
        <w:spacing w:line="364" w:lineRule="auto" w:before="140"/>
        <w:ind w:left="220" w:right="1418" w:firstLine="420"/>
      </w:pPr>
      <w:r>
        <w:rPr/>
        <w:t>8、基金管理人应在编制季度报告、中期报告或者年度报告之前及时向基金托管人提供基金业绩比较基准的基础数据和编制结果。</w:t>
      </w:r>
    </w:p>
    <w:p>
      <w:pPr>
        <w:pStyle w:val="Heading3"/>
      </w:pPr>
      <w:bookmarkStart w:name="_bookmark117" w:id="118"/>
      <w:bookmarkEnd w:id="118"/>
      <w:r>
        <w:rPr/>
      </w:r>
      <w:r>
        <w:rPr/>
        <w:t>(六)基金份额持有人名册的保管</w:t>
      </w:r>
    </w:p>
    <w:p>
      <w:pPr>
        <w:pStyle w:val="BodyText"/>
        <w:spacing w:line="364" w:lineRule="auto" w:before="185"/>
        <w:ind w:left="220" w:right="1418" w:firstLine="420"/>
        <w:jc w:val="both"/>
      </w:pPr>
      <w:r>
        <w:rPr>
          <w:spacing w:val="-4"/>
        </w:rPr>
        <w:t>基金份额持有人名册至少应包括基金份额持有人的名称和持有的基金份额。基金份额持</w:t>
      </w:r>
      <w:r>
        <w:rPr>
          <w:spacing w:val="-5"/>
        </w:rPr>
        <w:t>有人名册由基金注册登记机构根据基金管理人的指令编制和保管，基金管理人和基金托管人</w:t>
      </w:r>
      <w:r>
        <w:rPr>
          <w:spacing w:val="-3"/>
        </w:rPr>
        <w:t>应分别保管基金份额持有人名册，保存期不少于 </w:t>
      </w:r>
      <w:r>
        <w:rPr/>
        <w:t>15</w:t>
      </w:r>
      <w:r>
        <w:rPr>
          <w:spacing w:val="-8"/>
        </w:rPr>
        <w:t> 年。如不能妥善保管，则按相关法规承</w:t>
      </w:r>
    </w:p>
    <w:p>
      <w:pPr>
        <w:spacing w:after="0" w:line="364" w:lineRule="auto"/>
        <w:jc w:val="both"/>
        <w:sectPr>
          <w:pgSz w:w="11910" w:h="16840"/>
          <w:pgMar w:header="0" w:footer="664" w:top="1380" w:bottom="940" w:left="1580" w:right="380"/>
        </w:sectPr>
      </w:pPr>
    </w:p>
    <w:p>
      <w:pPr>
        <w:pStyle w:val="BodyText"/>
        <w:spacing w:before="45"/>
        <w:ind w:left="220"/>
      </w:pPr>
      <w:r>
        <w:rPr/>
        <w:t>担责任。</w:t>
      </w:r>
    </w:p>
    <w:p>
      <w:pPr>
        <w:pStyle w:val="BodyText"/>
        <w:spacing w:line="364" w:lineRule="auto" w:before="139"/>
        <w:ind w:left="220" w:right="1418" w:firstLine="420"/>
        <w:jc w:val="both"/>
      </w:pPr>
      <w:r>
        <w:rPr>
          <w:spacing w:val="-6"/>
        </w:rPr>
        <w:t>在基金托管人要求或编制中期报告和年度报告前，基金管理人应将有关资料送交基金托</w:t>
      </w:r>
      <w:r>
        <w:rPr>
          <w:spacing w:val="-10"/>
        </w:rPr>
        <w:t>管人，不得无故拒绝或延误提供，并保证其的真实性、准确性和完整性。基金托管人不得将</w:t>
      </w:r>
      <w:r>
        <w:rPr/>
        <w:t>所保管的基金份额持有人名册用于基金托管业务以外的其他用途，并应遵守保密义务。</w:t>
      </w:r>
    </w:p>
    <w:p>
      <w:pPr>
        <w:pStyle w:val="Heading3"/>
        <w:spacing w:line="358" w:lineRule="exact"/>
      </w:pPr>
      <w:bookmarkStart w:name="_bookmark118" w:id="119"/>
      <w:bookmarkEnd w:id="119"/>
      <w:r>
        <w:rPr/>
      </w:r>
      <w:r>
        <w:rPr/>
        <w:t>(七)适用法律与争议解决方式</w:t>
      </w:r>
    </w:p>
    <w:p>
      <w:pPr>
        <w:pStyle w:val="BodyText"/>
        <w:spacing w:line="364" w:lineRule="auto" w:before="185"/>
        <w:ind w:left="220" w:right="1417" w:firstLine="420"/>
        <w:jc w:val="both"/>
      </w:pPr>
      <w:r>
        <w:rPr>
          <w:spacing w:val="-6"/>
        </w:rPr>
        <w:t>因本协议产生或与之相关的争议，双方当事人应通过协商、调解解决，协商、调解不能</w:t>
      </w:r>
      <w:r>
        <w:rPr>
          <w:spacing w:val="-9"/>
        </w:rPr>
        <w:t>解决的，任何一方均有权将争议提交中国国际经济贸易仲裁委员会，仲裁地点为北京市，按</w:t>
      </w:r>
      <w:r>
        <w:rPr>
          <w:spacing w:val="-5"/>
        </w:rPr>
        <w:t>照中国国际经济贸易仲裁委员会届时有效的仲裁规则进行仲裁。仲裁裁决是终局的，对当事</w:t>
      </w:r>
      <w:r>
        <w:rPr/>
        <w:t>人均有约束力，仲裁费用由败诉方承担。</w:t>
      </w:r>
    </w:p>
    <w:p>
      <w:pPr>
        <w:pStyle w:val="BodyText"/>
        <w:spacing w:line="364" w:lineRule="auto"/>
        <w:ind w:left="220" w:right="1312" w:firstLine="420"/>
      </w:pPr>
      <w:r>
        <w:rPr>
          <w:spacing w:val="-14"/>
        </w:rPr>
        <w:t>争议处理期间，双方当事人应恪守基金管理人和基金托管人职责，各自继续忠实、勤勉、</w:t>
      </w:r>
      <w:r>
        <w:rPr/>
        <w:t>尽责地履行基金合同和本托管协议规定的义务，维护基金份额持有人的合法权益。</w:t>
      </w:r>
    </w:p>
    <w:p>
      <w:pPr>
        <w:pStyle w:val="BodyText"/>
        <w:spacing w:line="268" w:lineRule="exact"/>
      </w:pPr>
      <w:r>
        <w:rPr/>
        <w:t>本协议受中国法律管辖。</w:t>
      </w:r>
    </w:p>
    <w:p>
      <w:pPr>
        <w:pStyle w:val="Heading3"/>
        <w:spacing w:before="139"/>
      </w:pPr>
      <w:bookmarkStart w:name="_bookmark119" w:id="120"/>
      <w:bookmarkEnd w:id="120"/>
      <w:r>
        <w:rPr/>
      </w:r>
      <w:r>
        <w:rPr/>
        <w:t>(八)托管协议的变更与终止</w:t>
      </w:r>
    </w:p>
    <w:p>
      <w:pPr>
        <w:pStyle w:val="BodyText"/>
        <w:spacing w:before="185"/>
      </w:pPr>
      <w:r>
        <w:rPr/>
        <w:t>1、托管协议的变更程序</w:t>
      </w:r>
    </w:p>
    <w:p>
      <w:pPr>
        <w:pStyle w:val="BodyText"/>
        <w:spacing w:line="364" w:lineRule="auto" w:before="139"/>
        <w:ind w:left="220" w:right="1417" w:firstLine="420"/>
      </w:pPr>
      <w:r>
        <w:rPr>
          <w:spacing w:val="-7"/>
        </w:rPr>
        <w:t>本协议双方当事人经协商一致，可以对协议进行修改。修改后的新协议，其内容不得与</w:t>
      </w:r>
      <w:r>
        <w:rPr/>
        <w:t>基金合同的规定有任何冲突。基金托管协议的变更报中国证监会核准或备案后生效。</w:t>
      </w:r>
    </w:p>
    <w:p>
      <w:pPr>
        <w:pStyle w:val="BodyText"/>
        <w:spacing w:line="364" w:lineRule="auto"/>
        <w:ind w:right="6260"/>
      </w:pPr>
      <w:r>
        <w:rPr/>
        <w:t>2、基金托管协议终止出现的情形(1)基金合同终止；</w:t>
      </w:r>
    </w:p>
    <w:p>
      <w:pPr>
        <w:pStyle w:val="BodyText"/>
        <w:spacing w:line="364" w:lineRule="auto"/>
        <w:ind w:right="2060"/>
      </w:pPr>
      <w:r>
        <w:rPr/>
        <w:t>(2)基金托管人解散、依法被撤销、破产或由其他基金托管人接管基金资产； (3)基金管理人解散、依法被撤销、破产或由其他基金管理人接管基金管理权； (4)发生法律法规或基金合同规定的终止事项。</w:t>
      </w:r>
    </w:p>
    <w:p>
      <w:pPr>
        <w:spacing w:after="0" w:line="364" w:lineRule="auto"/>
        <w:sectPr>
          <w:pgSz w:w="11910" w:h="16840"/>
          <w:pgMar w:header="0" w:footer="664" w:top="1380" w:bottom="940" w:left="1580" w:right="380"/>
        </w:sectPr>
      </w:pPr>
    </w:p>
    <w:p>
      <w:pPr>
        <w:pStyle w:val="Heading2"/>
      </w:pPr>
      <w:bookmarkStart w:name="_bookmark120" w:id="121"/>
      <w:bookmarkEnd w:id="121"/>
      <w:r>
        <w:rPr/>
      </w:r>
      <w:r>
        <w:rPr/>
        <w:t>二十三、对基金份额持有人的服务</w:t>
      </w:r>
    </w:p>
    <w:p>
      <w:pPr>
        <w:pStyle w:val="BodyText"/>
        <w:spacing w:line="364" w:lineRule="auto" w:before="198"/>
        <w:ind w:left="220" w:right="14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Heading3"/>
      </w:pPr>
      <w:bookmarkStart w:name="_bookmark121" w:id="122"/>
      <w:bookmarkEnd w:id="122"/>
      <w:r>
        <w:rPr/>
      </w:r>
      <w:r>
        <w:rPr/>
        <w:t>(一)基金份额持有人投资交易确认服务</w:t>
      </w:r>
    </w:p>
    <w:p>
      <w:pPr>
        <w:pStyle w:val="BodyText"/>
        <w:spacing w:line="364" w:lineRule="auto" w:before="185"/>
        <w:ind w:left="220" w:right="1418" w:firstLine="420"/>
      </w:pPr>
      <w:r>
        <w:rPr/>
        <w:t>基金注册登记机构保留基金份额持有人名册上列明的所有基金份额持有人的基金交易记录。</w:t>
      </w:r>
    </w:p>
    <w:p>
      <w:pPr>
        <w:pStyle w:val="BodyText"/>
        <w:spacing w:line="364" w:lineRule="auto"/>
        <w:ind w:left="220" w:right="1325" w:firstLine="420"/>
      </w:pPr>
      <w:r>
        <w:rPr/>
        <w:t>基金管理人直销网点应根据在基金管理人直销网点进行交易的投资者的要求提供成交确认单。基金非直销销售机构应根据在销售网点进行交易的投资者的要求提供成交确认单。</w:t>
      </w:r>
    </w:p>
    <w:p>
      <w:pPr>
        <w:pStyle w:val="Heading3"/>
      </w:pPr>
      <w:bookmarkStart w:name="_bookmark122" w:id="123"/>
      <w:bookmarkEnd w:id="123"/>
      <w:r>
        <w:rPr/>
      </w:r>
      <w:r>
        <w:rPr/>
        <w:t>(二)基金份额持有人交易记录查询服务</w:t>
      </w:r>
    </w:p>
    <w:p>
      <w:pPr>
        <w:pStyle w:val="BodyText"/>
        <w:spacing w:before="184"/>
      </w:pPr>
      <w:r>
        <w:rPr/>
        <w:t>本基金份额持有人可通过基金管理人的客户服务中心查询历史交易记录。</w:t>
      </w:r>
    </w:p>
    <w:p>
      <w:pPr>
        <w:pStyle w:val="Heading3"/>
        <w:spacing w:before="141"/>
      </w:pPr>
      <w:bookmarkStart w:name="_bookmark123" w:id="124"/>
      <w:bookmarkEnd w:id="124"/>
      <w:r>
        <w:rPr/>
      </w:r>
      <w:r>
        <w:rPr/>
        <w:t>(三)基金管理人的对账单服务形式</w:t>
      </w:r>
    </w:p>
    <w:p>
      <w:pPr>
        <w:pStyle w:val="BodyText"/>
        <w:spacing w:before="185"/>
      </w:pPr>
      <w:hyperlink r:id="rId7">
        <w:r>
          <w:rPr/>
          <w:t>1、基金份额持有人可登录本公司网站(http://www.efunds.com.cn)</w:t>
        </w:r>
      </w:hyperlink>
      <w:r>
        <w:rPr/>
        <w:t>查阅对账单。</w:t>
      </w:r>
    </w:p>
    <w:p>
      <w:pPr>
        <w:pStyle w:val="BodyText"/>
        <w:spacing w:line="364" w:lineRule="auto" w:before="139"/>
        <w:ind w:right="1450" w:hanging="20"/>
      </w:pPr>
      <w:r>
        <w:rPr/>
        <w:t>2、基金份额持有人也可向本公司定制纸质、电子或短信形式的定期或不定期对账单。具体查阅和定制账单的方法可参见本公司网站或拨打客服热线咨询。</w:t>
      </w:r>
    </w:p>
    <w:p>
      <w:pPr>
        <w:pStyle w:val="Heading3"/>
      </w:pPr>
      <w:bookmarkStart w:name="_bookmark124" w:id="125"/>
      <w:bookmarkEnd w:id="125"/>
      <w:r>
        <w:rPr/>
      </w:r>
      <w:r>
        <w:rPr/>
        <w:t>(四)定期定额投资计划</w:t>
      </w:r>
    </w:p>
    <w:p>
      <w:pPr>
        <w:pStyle w:val="BodyText"/>
        <w:spacing w:line="364" w:lineRule="auto" w:before="185"/>
        <w:ind w:left="220" w:right="1417" w:firstLine="420"/>
        <w:jc w:val="both"/>
      </w:pPr>
      <w:r>
        <w:rPr>
          <w:spacing w:val="2"/>
        </w:rPr>
        <w:t>基金管理人可利用非直销销售机构网点和本公司网上交易系统为投资者提供定期定额投资的服务（本公司网上交易系统的定期定额投资服务目前仅对个人投资者开通</w:t>
      </w:r>
      <w:r>
        <w:rPr>
          <w:spacing w:val="-105"/>
        </w:rPr>
        <w:t>）</w:t>
      </w:r>
      <w:r>
        <w:rPr/>
        <w:t>。通过定</w:t>
      </w:r>
      <w:r>
        <w:rPr>
          <w:spacing w:val="-8"/>
        </w:rPr>
        <w:t>期定额投资计划，投资者可以通过固定的渠道，定期定额申购基金份额，具体实施方法见有</w:t>
      </w:r>
      <w:r>
        <w:rPr/>
        <w:t>关公告。</w:t>
      </w:r>
    </w:p>
    <w:p>
      <w:pPr>
        <w:pStyle w:val="Heading3"/>
        <w:spacing w:line="358" w:lineRule="exact"/>
      </w:pPr>
      <w:bookmarkStart w:name="_bookmark125" w:id="126"/>
      <w:bookmarkEnd w:id="126"/>
      <w:r>
        <w:rPr/>
      </w:r>
      <w:r>
        <w:rPr/>
        <w:t>(五)资讯服务</w:t>
      </w:r>
    </w:p>
    <w:p>
      <w:pPr>
        <w:pStyle w:val="BodyText"/>
        <w:spacing w:before="185"/>
      </w:pPr>
      <w:r>
        <w:rPr/>
        <w:t>1、客户服务电话</w:t>
      </w:r>
    </w:p>
    <w:p>
      <w:pPr>
        <w:pStyle w:val="BodyText"/>
        <w:spacing w:line="364" w:lineRule="auto" w:before="139"/>
        <w:ind w:left="220" w:right="141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8"/>
        </w:rPr>
        <w:t>资者如果认为自己不能准确理解本基金《招募说明书》、《基金合同》的具体内容，也可拨</w:t>
      </w:r>
      <w:r>
        <w:rPr/>
        <w:t>打上述电话详询。</w:t>
      </w:r>
    </w:p>
    <w:p>
      <w:pPr>
        <w:pStyle w:val="BodyText"/>
        <w:spacing w:line="267" w:lineRule="exact"/>
      </w:pPr>
      <w:r>
        <w:rPr/>
        <w:t>2、互联网站及电子信箱</w:t>
      </w:r>
    </w:p>
    <w:p>
      <w:pPr>
        <w:pStyle w:val="BodyText"/>
        <w:spacing w:line="364" w:lineRule="auto" w:before="140"/>
        <w:ind w:right="6050"/>
      </w:pPr>
      <w:hyperlink r:id="rId7">
        <w:r>
          <w:rPr/>
          <w:t>网址：http://www.efunds.com.cn </w:t>
        </w:r>
      </w:hyperlink>
      <w:r>
        <w:rPr/>
        <w:t>电子信箱：</w:t>
      </w:r>
      <w:hyperlink r:id="rId227">
        <w:r>
          <w:rPr/>
          <w:t>service@efunds.com.cn</w:t>
        </w:r>
      </w:hyperlink>
    </w:p>
    <w:p>
      <w:pPr>
        <w:spacing w:after="0" w:line="364" w:lineRule="auto"/>
        <w:sectPr>
          <w:pgSz w:w="11910" w:h="16840"/>
          <w:pgMar w:header="0" w:footer="664" w:top="1380" w:bottom="940" w:left="1580" w:right="380"/>
        </w:sectPr>
      </w:pPr>
    </w:p>
    <w:p>
      <w:pPr>
        <w:pStyle w:val="Heading2"/>
        <w:ind w:left="2770" w:right="0"/>
        <w:jc w:val="left"/>
      </w:pPr>
      <w:bookmarkStart w:name="_bookmark126" w:id="127"/>
      <w:bookmarkEnd w:id="127"/>
      <w:r>
        <w:rPr/>
      </w:r>
      <w:r>
        <w:rPr/>
        <w:t>二十四、其他应披露事项</w:t>
      </w:r>
    </w:p>
    <w:p>
      <w:pPr>
        <w:pStyle w:val="BodyText"/>
        <w:spacing w:before="3"/>
        <w:ind w:left="0"/>
        <w:rPr>
          <w:sz w:val="15"/>
        </w:r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3"/>
        <w:gridCol w:w="1686"/>
      </w:tblGrid>
      <w:tr>
        <w:trPr>
          <w:trHeight w:val="765" w:hRule="atLeast"/>
        </w:trPr>
        <w:tc>
          <w:tcPr>
            <w:tcW w:w="6743" w:type="dxa"/>
          </w:tcPr>
          <w:p>
            <w:pPr>
              <w:pStyle w:val="TableParagraph"/>
              <w:spacing w:before="6"/>
              <w:rPr>
                <w:sz w:val="19"/>
              </w:rPr>
            </w:pPr>
          </w:p>
          <w:p>
            <w:pPr>
              <w:pStyle w:val="TableParagraph"/>
              <w:ind w:left="3141" w:right="2711"/>
              <w:jc w:val="center"/>
              <w:rPr>
                <w:sz w:val="21"/>
              </w:rPr>
            </w:pPr>
            <w:r>
              <w:rPr>
                <w:sz w:val="21"/>
              </w:rPr>
              <w:t>公告事项</w:t>
            </w:r>
          </w:p>
        </w:tc>
        <w:tc>
          <w:tcPr>
            <w:tcW w:w="1686" w:type="dxa"/>
          </w:tcPr>
          <w:p>
            <w:pPr>
              <w:pStyle w:val="TableParagraph"/>
              <w:spacing w:before="6"/>
              <w:rPr>
                <w:sz w:val="19"/>
              </w:rPr>
            </w:pPr>
          </w:p>
          <w:p>
            <w:pPr>
              <w:pStyle w:val="TableParagraph"/>
              <w:ind w:left="297" w:right="288"/>
              <w:jc w:val="center"/>
              <w:rPr>
                <w:sz w:val="21"/>
              </w:rPr>
            </w:pPr>
            <w:r>
              <w:rPr>
                <w:sz w:val="21"/>
              </w:rPr>
              <w:t>披露日期</w:t>
            </w:r>
          </w:p>
        </w:tc>
      </w:tr>
      <w:tr>
        <w:trPr>
          <w:trHeight w:val="623" w:hRule="atLeast"/>
        </w:trPr>
        <w:tc>
          <w:tcPr>
            <w:tcW w:w="6743" w:type="dxa"/>
          </w:tcPr>
          <w:p>
            <w:pPr>
              <w:pStyle w:val="TableParagraph"/>
              <w:spacing w:before="23"/>
              <w:ind w:left="108"/>
              <w:rPr>
                <w:sz w:val="21"/>
              </w:rPr>
            </w:pPr>
            <w:r>
              <w:rPr>
                <w:sz w:val="21"/>
              </w:rPr>
              <w:t>易方达基金管理有限公司关于调整转换业务货币市场基金未付收益支付</w:t>
            </w:r>
          </w:p>
          <w:p>
            <w:pPr>
              <w:pStyle w:val="TableParagraph"/>
              <w:spacing w:before="43"/>
              <w:ind w:left="108"/>
              <w:rPr>
                <w:sz w:val="21"/>
              </w:rPr>
            </w:pPr>
            <w:r>
              <w:rPr>
                <w:sz w:val="21"/>
              </w:rPr>
              <w:t>规则的公告</w:t>
            </w:r>
          </w:p>
        </w:tc>
        <w:tc>
          <w:tcPr>
            <w:tcW w:w="1686" w:type="dxa"/>
          </w:tcPr>
          <w:p>
            <w:pPr>
              <w:pStyle w:val="TableParagraph"/>
              <w:spacing w:before="179"/>
              <w:ind w:left="297" w:right="288"/>
              <w:jc w:val="center"/>
              <w:rPr>
                <w:sz w:val="21"/>
              </w:rPr>
            </w:pPr>
            <w:r>
              <w:rPr>
                <w:sz w:val="21"/>
              </w:rPr>
              <w:t>2019-06-20</w:t>
            </w:r>
          </w:p>
        </w:tc>
      </w:tr>
      <w:tr>
        <w:trPr>
          <w:trHeight w:val="623" w:hRule="atLeast"/>
        </w:trPr>
        <w:tc>
          <w:tcPr>
            <w:tcW w:w="6743" w:type="dxa"/>
          </w:tcPr>
          <w:p>
            <w:pPr>
              <w:pStyle w:val="TableParagraph"/>
              <w:spacing w:before="23"/>
              <w:ind w:left="108"/>
              <w:rPr>
                <w:sz w:val="21"/>
              </w:rPr>
            </w:pPr>
            <w:r>
              <w:rPr>
                <w:sz w:val="21"/>
              </w:rPr>
              <w:t>易方达基金管理有限公司关于旗下部分开放式基金参加佛山农商银行费</w:t>
            </w:r>
          </w:p>
          <w:p>
            <w:pPr>
              <w:pStyle w:val="TableParagraph"/>
              <w:spacing w:before="43"/>
              <w:ind w:left="108"/>
              <w:rPr>
                <w:sz w:val="21"/>
              </w:rPr>
            </w:pPr>
            <w:r>
              <w:rPr>
                <w:sz w:val="21"/>
              </w:rPr>
              <w:t>率优惠活动的公告</w:t>
            </w:r>
          </w:p>
        </w:tc>
        <w:tc>
          <w:tcPr>
            <w:tcW w:w="1686" w:type="dxa"/>
          </w:tcPr>
          <w:p>
            <w:pPr>
              <w:pStyle w:val="TableParagraph"/>
              <w:spacing w:before="179"/>
              <w:ind w:left="297" w:right="288"/>
              <w:jc w:val="center"/>
              <w:rPr>
                <w:sz w:val="21"/>
              </w:rPr>
            </w:pPr>
            <w:r>
              <w:rPr>
                <w:sz w:val="21"/>
              </w:rPr>
              <w:t>2019-06-21</w:t>
            </w:r>
          </w:p>
        </w:tc>
      </w:tr>
      <w:tr>
        <w:trPr>
          <w:trHeight w:val="623" w:hRule="atLeast"/>
        </w:trPr>
        <w:tc>
          <w:tcPr>
            <w:tcW w:w="6743" w:type="dxa"/>
          </w:tcPr>
          <w:p>
            <w:pPr>
              <w:pStyle w:val="TableParagraph"/>
              <w:spacing w:before="23"/>
              <w:ind w:left="108"/>
              <w:rPr>
                <w:sz w:val="21"/>
              </w:rPr>
            </w:pPr>
            <w:r>
              <w:rPr>
                <w:sz w:val="21"/>
              </w:rPr>
              <w:t>易方达基金管理有限公司关于旗下部分公开募集证券投资基金可投资于</w:t>
            </w:r>
          </w:p>
          <w:p>
            <w:pPr>
              <w:pStyle w:val="TableParagraph"/>
              <w:spacing w:before="43"/>
              <w:ind w:left="108"/>
              <w:rPr>
                <w:sz w:val="21"/>
              </w:rPr>
            </w:pPr>
            <w:r>
              <w:rPr>
                <w:sz w:val="21"/>
              </w:rPr>
              <w:t>科创板股票的公告</w:t>
            </w:r>
          </w:p>
        </w:tc>
        <w:tc>
          <w:tcPr>
            <w:tcW w:w="1686" w:type="dxa"/>
          </w:tcPr>
          <w:p>
            <w:pPr>
              <w:pStyle w:val="TableParagraph"/>
              <w:spacing w:before="179"/>
              <w:ind w:left="297" w:right="288"/>
              <w:jc w:val="center"/>
              <w:rPr>
                <w:sz w:val="21"/>
              </w:rPr>
            </w:pPr>
            <w:r>
              <w:rPr>
                <w:sz w:val="21"/>
              </w:rPr>
              <w:t>2019-06-22</w:t>
            </w:r>
          </w:p>
        </w:tc>
      </w:tr>
      <w:tr>
        <w:trPr>
          <w:trHeight w:val="623" w:hRule="atLeast"/>
        </w:trPr>
        <w:tc>
          <w:tcPr>
            <w:tcW w:w="6743" w:type="dxa"/>
          </w:tcPr>
          <w:p>
            <w:pPr>
              <w:pStyle w:val="TableParagraph"/>
              <w:spacing w:before="23"/>
              <w:ind w:left="108"/>
              <w:rPr>
                <w:sz w:val="21"/>
              </w:rPr>
            </w:pPr>
            <w:r>
              <w:rPr>
                <w:sz w:val="21"/>
              </w:rPr>
              <w:t>易方达基金管理有限公司关于旗下部分开放式基金参加德邦证券费率优</w:t>
            </w:r>
          </w:p>
          <w:p>
            <w:pPr>
              <w:pStyle w:val="TableParagraph"/>
              <w:spacing w:before="43"/>
              <w:ind w:left="108"/>
              <w:rPr>
                <w:sz w:val="21"/>
              </w:rPr>
            </w:pPr>
            <w:r>
              <w:rPr>
                <w:sz w:val="21"/>
              </w:rPr>
              <w:t>惠活动的公告</w:t>
            </w:r>
          </w:p>
        </w:tc>
        <w:tc>
          <w:tcPr>
            <w:tcW w:w="1686" w:type="dxa"/>
          </w:tcPr>
          <w:p>
            <w:pPr>
              <w:pStyle w:val="TableParagraph"/>
              <w:spacing w:before="179"/>
              <w:ind w:left="297" w:right="288"/>
              <w:jc w:val="center"/>
              <w:rPr>
                <w:sz w:val="21"/>
              </w:rPr>
            </w:pPr>
            <w:r>
              <w:rPr>
                <w:sz w:val="21"/>
              </w:rPr>
              <w:t>2019-06-24</w:t>
            </w:r>
          </w:p>
        </w:tc>
      </w:tr>
      <w:tr>
        <w:trPr>
          <w:trHeight w:val="623" w:hRule="atLeast"/>
        </w:trPr>
        <w:tc>
          <w:tcPr>
            <w:tcW w:w="6743" w:type="dxa"/>
          </w:tcPr>
          <w:p>
            <w:pPr>
              <w:pStyle w:val="TableParagraph"/>
              <w:spacing w:before="23"/>
              <w:ind w:left="108"/>
              <w:rPr>
                <w:sz w:val="21"/>
              </w:rPr>
            </w:pPr>
            <w:r>
              <w:rPr>
                <w:sz w:val="21"/>
              </w:rPr>
              <w:t>易方达基金管理有限公司关于旗下部分开放式基金参加长城国瑞证券费</w:t>
            </w:r>
          </w:p>
          <w:p>
            <w:pPr>
              <w:pStyle w:val="TableParagraph"/>
              <w:spacing w:before="43"/>
              <w:ind w:left="108"/>
              <w:rPr>
                <w:sz w:val="21"/>
              </w:rPr>
            </w:pPr>
            <w:r>
              <w:rPr>
                <w:sz w:val="21"/>
              </w:rPr>
              <w:t>率优惠活动的公告</w:t>
            </w:r>
          </w:p>
        </w:tc>
        <w:tc>
          <w:tcPr>
            <w:tcW w:w="1686" w:type="dxa"/>
          </w:tcPr>
          <w:p>
            <w:pPr>
              <w:pStyle w:val="TableParagraph"/>
              <w:spacing w:before="179"/>
              <w:ind w:left="297" w:right="288"/>
              <w:jc w:val="center"/>
              <w:rPr>
                <w:sz w:val="21"/>
              </w:rPr>
            </w:pPr>
            <w:r>
              <w:rPr>
                <w:sz w:val="21"/>
              </w:rPr>
              <w:t>2019-06-28</w:t>
            </w:r>
          </w:p>
        </w:tc>
      </w:tr>
      <w:tr>
        <w:trPr>
          <w:trHeight w:val="623" w:hRule="atLeast"/>
        </w:trPr>
        <w:tc>
          <w:tcPr>
            <w:tcW w:w="6743" w:type="dxa"/>
          </w:tcPr>
          <w:p>
            <w:pPr>
              <w:pStyle w:val="TableParagraph"/>
              <w:spacing w:before="23"/>
              <w:ind w:left="108"/>
              <w:rPr>
                <w:sz w:val="21"/>
              </w:rPr>
            </w:pPr>
            <w:r>
              <w:rPr>
                <w:sz w:val="21"/>
              </w:rPr>
              <w:t>易方达基金管理有限公司关于旗下部分开放式基金参加云南红塔银行费</w:t>
            </w:r>
          </w:p>
          <w:p>
            <w:pPr>
              <w:pStyle w:val="TableParagraph"/>
              <w:spacing w:before="43"/>
              <w:ind w:left="108"/>
              <w:rPr>
                <w:sz w:val="21"/>
              </w:rPr>
            </w:pPr>
            <w:r>
              <w:rPr>
                <w:sz w:val="21"/>
              </w:rPr>
              <w:t>率优惠活动的公告</w:t>
            </w:r>
          </w:p>
        </w:tc>
        <w:tc>
          <w:tcPr>
            <w:tcW w:w="1686" w:type="dxa"/>
          </w:tcPr>
          <w:p>
            <w:pPr>
              <w:pStyle w:val="TableParagraph"/>
              <w:spacing w:before="179"/>
              <w:ind w:left="297" w:right="288"/>
              <w:jc w:val="center"/>
              <w:rPr>
                <w:sz w:val="21"/>
              </w:rPr>
            </w:pPr>
            <w:r>
              <w:rPr>
                <w:sz w:val="21"/>
              </w:rPr>
              <w:t>2019-07-05</w:t>
            </w:r>
          </w:p>
        </w:tc>
      </w:tr>
      <w:tr>
        <w:trPr>
          <w:trHeight w:val="624" w:hRule="atLeast"/>
        </w:trPr>
        <w:tc>
          <w:tcPr>
            <w:tcW w:w="6743" w:type="dxa"/>
          </w:tcPr>
          <w:p>
            <w:pPr>
              <w:pStyle w:val="TableParagraph"/>
              <w:spacing w:before="23"/>
              <w:ind w:left="108"/>
              <w:rPr>
                <w:sz w:val="21"/>
              </w:rPr>
            </w:pPr>
            <w:r>
              <w:rPr>
                <w:sz w:val="21"/>
              </w:rPr>
              <w:t>易方达基金管理有限公司关于旗下部分开放式基金参加安信证券定期定</w:t>
            </w:r>
          </w:p>
          <w:p>
            <w:pPr>
              <w:pStyle w:val="TableParagraph"/>
              <w:spacing w:before="43"/>
              <w:ind w:left="108"/>
              <w:rPr>
                <w:sz w:val="21"/>
              </w:rPr>
            </w:pPr>
            <w:r>
              <w:rPr>
                <w:sz w:val="21"/>
              </w:rPr>
              <w:t>额投资费率优惠活动的公告</w:t>
            </w:r>
          </w:p>
        </w:tc>
        <w:tc>
          <w:tcPr>
            <w:tcW w:w="1686" w:type="dxa"/>
          </w:tcPr>
          <w:p>
            <w:pPr>
              <w:pStyle w:val="TableParagraph"/>
              <w:spacing w:before="179"/>
              <w:ind w:left="297" w:right="288"/>
              <w:jc w:val="center"/>
              <w:rPr>
                <w:sz w:val="21"/>
              </w:rPr>
            </w:pPr>
            <w:r>
              <w:rPr>
                <w:sz w:val="21"/>
              </w:rPr>
              <w:t>2019-07-15</w:t>
            </w:r>
          </w:p>
        </w:tc>
      </w:tr>
      <w:tr>
        <w:trPr>
          <w:trHeight w:val="624" w:hRule="atLeast"/>
        </w:trPr>
        <w:tc>
          <w:tcPr>
            <w:tcW w:w="6743" w:type="dxa"/>
          </w:tcPr>
          <w:p>
            <w:pPr>
              <w:pStyle w:val="TableParagraph"/>
              <w:spacing w:before="23"/>
              <w:ind w:left="108"/>
              <w:rPr>
                <w:sz w:val="21"/>
              </w:rPr>
            </w:pPr>
            <w:r>
              <w:rPr>
                <w:sz w:val="21"/>
              </w:rPr>
              <w:t>易方达基金管理有限公司关于旗下部分开放式基金参加天津农商银行费</w:t>
            </w:r>
          </w:p>
          <w:p>
            <w:pPr>
              <w:pStyle w:val="TableParagraph"/>
              <w:spacing w:before="43"/>
              <w:ind w:left="108"/>
              <w:rPr>
                <w:sz w:val="21"/>
              </w:rPr>
            </w:pPr>
            <w:r>
              <w:rPr>
                <w:sz w:val="21"/>
              </w:rPr>
              <w:t>率优惠活动的公告</w:t>
            </w:r>
          </w:p>
        </w:tc>
        <w:tc>
          <w:tcPr>
            <w:tcW w:w="1686" w:type="dxa"/>
          </w:tcPr>
          <w:p>
            <w:pPr>
              <w:pStyle w:val="TableParagraph"/>
              <w:spacing w:before="179"/>
              <w:ind w:left="297" w:right="288"/>
              <w:jc w:val="center"/>
              <w:rPr>
                <w:sz w:val="21"/>
              </w:rPr>
            </w:pPr>
            <w:r>
              <w:rPr>
                <w:sz w:val="21"/>
              </w:rPr>
              <w:t>2019-07-16</w:t>
            </w:r>
          </w:p>
        </w:tc>
      </w:tr>
      <w:tr>
        <w:trPr>
          <w:trHeight w:val="624" w:hRule="atLeast"/>
        </w:trPr>
        <w:tc>
          <w:tcPr>
            <w:tcW w:w="6743" w:type="dxa"/>
          </w:tcPr>
          <w:p>
            <w:pPr>
              <w:pStyle w:val="TableParagraph"/>
              <w:spacing w:before="23"/>
              <w:ind w:left="108"/>
              <w:rPr>
                <w:sz w:val="21"/>
              </w:rPr>
            </w:pPr>
            <w:r>
              <w:rPr>
                <w:sz w:val="21"/>
              </w:rPr>
              <w:t>易方达基金管理有限公司关于旗下部分开放式基金参加海通证券费率优</w:t>
            </w:r>
          </w:p>
          <w:p>
            <w:pPr>
              <w:pStyle w:val="TableParagraph"/>
              <w:spacing w:before="43"/>
              <w:ind w:left="108"/>
              <w:rPr>
                <w:sz w:val="21"/>
              </w:rPr>
            </w:pPr>
            <w:r>
              <w:rPr>
                <w:sz w:val="21"/>
              </w:rPr>
              <w:t>惠活动的公告</w:t>
            </w:r>
          </w:p>
        </w:tc>
        <w:tc>
          <w:tcPr>
            <w:tcW w:w="1686" w:type="dxa"/>
          </w:tcPr>
          <w:p>
            <w:pPr>
              <w:pStyle w:val="TableParagraph"/>
              <w:spacing w:before="179"/>
              <w:ind w:left="297" w:right="288"/>
              <w:jc w:val="center"/>
              <w:rPr>
                <w:sz w:val="21"/>
              </w:rPr>
            </w:pPr>
            <w:r>
              <w:rPr>
                <w:sz w:val="21"/>
              </w:rPr>
              <w:t>2019-08-12</w:t>
            </w:r>
          </w:p>
        </w:tc>
      </w:tr>
      <w:tr>
        <w:trPr>
          <w:trHeight w:val="624" w:hRule="atLeast"/>
        </w:trPr>
        <w:tc>
          <w:tcPr>
            <w:tcW w:w="6743" w:type="dxa"/>
          </w:tcPr>
          <w:p>
            <w:pPr>
              <w:pStyle w:val="TableParagraph"/>
              <w:spacing w:before="23"/>
              <w:ind w:left="108"/>
              <w:rPr>
                <w:sz w:val="21"/>
              </w:rPr>
            </w:pPr>
            <w:r>
              <w:rPr>
                <w:sz w:val="21"/>
              </w:rPr>
              <w:t>易方达基金管理有限公司关于旗下部分开放式基金参加销售机构申购费</w:t>
            </w:r>
          </w:p>
          <w:p>
            <w:pPr>
              <w:pStyle w:val="TableParagraph"/>
              <w:spacing w:before="43"/>
              <w:ind w:left="108"/>
              <w:rPr>
                <w:sz w:val="21"/>
              </w:rPr>
            </w:pPr>
            <w:r>
              <w:rPr>
                <w:sz w:val="21"/>
              </w:rPr>
              <w:t>率优惠活动的公告</w:t>
            </w:r>
          </w:p>
        </w:tc>
        <w:tc>
          <w:tcPr>
            <w:tcW w:w="1686" w:type="dxa"/>
          </w:tcPr>
          <w:p>
            <w:pPr>
              <w:pStyle w:val="TableParagraph"/>
              <w:spacing w:before="179"/>
              <w:ind w:left="297" w:right="288"/>
              <w:jc w:val="center"/>
              <w:rPr>
                <w:sz w:val="21"/>
              </w:rPr>
            </w:pPr>
            <w:r>
              <w:rPr>
                <w:sz w:val="21"/>
              </w:rPr>
              <w:t>2019-08-13</w:t>
            </w:r>
          </w:p>
        </w:tc>
      </w:tr>
      <w:tr>
        <w:trPr>
          <w:trHeight w:val="624" w:hRule="atLeast"/>
        </w:trPr>
        <w:tc>
          <w:tcPr>
            <w:tcW w:w="6743" w:type="dxa"/>
          </w:tcPr>
          <w:p>
            <w:pPr>
              <w:pStyle w:val="TableParagraph"/>
              <w:spacing w:before="23"/>
              <w:ind w:left="108"/>
              <w:rPr>
                <w:sz w:val="21"/>
              </w:rPr>
            </w:pPr>
            <w:r>
              <w:rPr>
                <w:sz w:val="21"/>
              </w:rPr>
              <w:t>易方达基金管理有限公司关于暂停北京中期时代基金销售有限公司办理</w:t>
            </w:r>
          </w:p>
          <w:p>
            <w:pPr>
              <w:pStyle w:val="TableParagraph"/>
              <w:spacing w:before="43"/>
              <w:ind w:left="108"/>
              <w:rPr>
                <w:sz w:val="21"/>
              </w:rPr>
            </w:pPr>
            <w:r>
              <w:rPr>
                <w:sz w:val="21"/>
              </w:rPr>
              <w:t>旗下基金相关销售业务的公告</w:t>
            </w:r>
          </w:p>
        </w:tc>
        <w:tc>
          <w:tcPr>
            <w:tcW w:w="1686" w:type="dxa"/>
          </w:tcPr>
          <w:p>
            <w:pPr>
              <w:pStyle w:val="TableParagraph"/>
              <w:spacing w:before="179"/>
              <w:ind w:left="297" w:right="288"/>
              <w:jc w:val="center"/>
              <w:rPr>
                <w:sz w:val="21"/>
              </w:rPr>
            </w:pPr>
            <w:r>
              <w:rPr>
                <w:sz w:val="21"/>
              </w:rPr>
              <w:t>2019-08-13</w:t>
            </w:r>
          </w:p>
        </w:tc>
      </w:tr>
      <w:tr>
        <w:trPr>
          <w:trHeight w:val="624" w:hRule="atLeast"/>
        </w:trPr>
        <w:tc>
          <w:tcPr>
            <w:tcW w:w="6743" w:type="dxa"/>
          </w:tcPr>
          <w:p>
            <w:pPr>
              <w:pStyle w:val="TableParagraph"/>
              <w:spacing w:before="23"/>
              <w:ind w:left="108"/>
              <w:rPr>
                <w:sz w:val="21"/>
              </w:rPr>
            </w:pPr>
            <w:r>
              <w:rPr>
                <w:sz w:val="21"/>
              </w:rPr>
              <w:t>易方达基金管理有限公司关于暂停北京加和基金销售有限公司办理旗下</w:t>
            </w:r>
          </w:p>
          <w:p>
            <w:pPr>
              <w:pStyle w:val="TableParagraph"/>
              <w:spacing w:before="43"/>
              <w:ind w:left="108"/>
              <w:rPr>
                <w:sz w:val="21"/>
              </w:rPr>
            </w:pPr>
            <w:r>
              <w:rPr>
                <w:sz w:val="21"/>
              </w:rPr>
              <w:t>基金相关销售业务的公告</w:t>
            </w:r>
          </w:p>
        </w:tc>
        <w:tc>
          <w:tcPr>
            <w:tcW w:w="1686" w:type="dxa"/>
          </w:tcPr>
          <w:p>
            <w:pPr>
              <w:pStyle w:val="TableParagraph"/>
              <w:spacing w:before="179"/>
              <w:ind w:left="297" w:right="288"/>
              <w:jc w:val="center"/>
              <w:rPr>
                <w:sz w:val="21"/>
              </w:rPr>
            </w:pPr>
            <w:r>
              <w:rPr>
                <w:sz w:val="21"/>
              </w:rPr>
              <w:t>2019-08-14</w:t>
            </w:r>
          </w:p>
        </w:tc>
      </w:tr>
      <w:tr>
        <w:trPr>
          <w:trHeight w:val="624" w:hRule="atLeast"/>
        </w:trPr>
        <w:tc>
          <w:tcPr>
            <w:tcW w:w="6743" w:type="dxa"/>
          </w:tcPr>
          <w:p>
            <w:pPr>
              <w:pStyle w:val="TableParagraph"/>
              <w:spacing w:before="23"/>
              <w:ind w:left="108"/>
              <w:rPr>
                <w:sz w:val="21"/>
              </w:rPr>
            </w:pPr>
            <w:r>
              <w:rPr>
                <w:sz w:val="21"/>
              </w:rPr>
              <w:t>易方达基金管理有限公司关于暂停上海凯石财富基金销售有限公司办理</w:t>
            </w:r>
          </w:p>
          <w:p>
            <w:pPr>
              <w:pStyle w:val="TableParagraph"/>
              <w:spacing w:before="43"/>
              <w:ind w:left="108"/>
              <w:rPr>
                <w:sz w:val="21"/>
              </w:rPr>
            </w:pPr>
            <w:r>
              <w:rPr>
                <w:sz w:val="21"/>
              </w:rPr>
              <w:t>旗下基金相关销售业务的公告</w:t>
            </w:r>
          </w:p>
        </w:tc>
        <w:tc>
          <w:tcPr>
            <w:tcW w:w="1686" w:type="dxa"/>
          </w:tcPr>
          <w:p>
            <w:pPr>
              <w:pStyle w:val="TableParagraph"/>
              <w:spacing w:before="179"/>
              <w:ind w:left="297" w:right="288"/>
              <w:jc w:val="center"/>
              <w:rPr>
                <w:sz w:val="21"/>
              </w:rPr>
            </w:pPr>
            <w:r>
              <w:rPr>
                <w:sz w:val="21"/>
              </w:rPr>
              <w:t>2019-08-14</w:t>
            </w:r>
          </w:p>
        </w:tc>
      </w:tr>
      <w:tr>
        <w:trPr>
          <w:trHeight w:val="624" w:hRule="atLeast"/>
        </w:trPr>
        <w:tc>
          <w:tcPr>
            <w:tcW w:w="6743" w:type="dxa"/>
          </w:tcPr>
          <w:p>
            <w:pPr>
              <w:pStyle w:val="TableParagraph"/>
              <w:spacing w:before="23"/>
              <w:ind w:left="108"/>
              <w:rPr>
                <w:sz w:val="21"/>
              </w:rPr>
            </w:pPr>
            <w:r>
              <w:rPr>
                <w:sz w:val="21"/>
              </w:rPr>
              <w:t>易方达基金管理有限公司关于暂停深圳宜投基金销售有限公司办理旗下</w:t>
            </w:r>
          </w:p>
          <w:p>
            <w:pPr>
              <w:pStyle w:val="TableParagraph"/>
              <w:spacing w:before="43"/>
              <w:ind w:left="108"/>
              <w:rPr>
                <w:sz w:val="21"/>
              </w:rPr>
            </w:pPr>
            <w:r>
              <w:rPr>
                <w:sz w:val="21"/>
              </w:rPr>
              <w:t>基金相关销售业务的公告</w:t>
            </w:r>
          </w:p>
        </w:tc>
        <w:tc>
          <w:tcPr>
            <w:tcW w:w="1686" w:type="dxa"/>
          </w:tcPr>
          <w:p>
            <w:pPr>
              <w:pStyle w:val="TableParagraph"/>
              <w:spacing w:before="179"/>
              <w:ind w:left="297" w:right="288"/>
              <w:jc w:val="center"/>
              <w:rPr>
                <w:sz w:val="21"/>
              </w:rPr>
            </w:pPr>
            <w:r>
              <w:rPr>
                <w:sz w:val="21"/>
              </w:rPr>
              <w:t>2019-08-14</w:t>
            </w:r>
          </w:p>
        </w:tc>
      </w:tr>
      <w:tr>
        <w:trPr>
          <w:trHeight w:val="623" w:hRule="atLeast"/>
        </w:trPr>
        <w:tc>
          <w:tcPr>
            <w:tcW w:w="6743" w:type="dxa"/>
          </w:tcPr>
          <w:p>
            <w:pPr>
              <w:pStyle w:val="TableParagraph"/>
              <w:spacing w:before="23"/>
              <w:ind w:left="108"/>
              <w:rPr>
                <w:sz w:val="21"/>
              </w:rPr>
            </w:pPr>
            <w:r>
              <w:rPr>
                <w:sz w:val="21"/>
              </w:rPr>
              <w:t>易方达基金管理有限公司关于暂停厦门市鑫鼎盛控股有限公司办理旗下</w:t>
            </w:r>
          </w:p>
          <w:p>
            <w:pPr>
              <w:pStyle w:val="TableParagraph"/>
              <w:spacing w:before="43"/>
              <w:ind w:left="108"/>
              <w:rPr>
                <w:sz w:val="21"/>
              </w:rPr>
            </w:pPr>
            <w:r>
              <w:rPr>
                <w:sz w:val="21"/>
              </w:rPr>
              <w:t>基金相关销售业务的公告</w:t>
            </w:r>
          </w:p>
        </w:tc>
        <w:tc>
          <w:tcPr>
            <w:tcW w:w="1686" w:type="dxa"/>
          </w:tcPr>
          <w:p>
            <w:pPr>
              <w:pStyle w:val="TableParagraph"/>
              <w:spacing w:before="179"/>
              <w:ind w:left="297" w:right="288"/>
              <w:jc w:val="center"/>
              <w:rPr>
                <w:sz w:val="21"/>
              </w:rPr>
            </w:pPr>
            <w:r>
              <w:rPr>
                <w:sz w:val="21"/>
              </w:rPr>
              <w:t>2019-08-14</w:t>
            </w:r>
          </w:p>
        </w:tc>
      </w:tr>
      <w:tr>
        <w:trPr>
          <w:trHeight w:val="624" w:hRule="atLeast"/>
        </w:trPr>
        <w:tc>
          <w:tcPr>
            <w:tcW w:w="6743" w:type="dxa"/>
          </w:tcPr>
          <w:p>
            <w:pPr>
              <w:pStyle w:val="TableParagraph"/>
              <w:spacing w:before="23"/>
              <w:ind w:left="108"/>
              <w:rPr>
                <w:sz w:val="21"/>
              </w:rPr>
            </w:pPr>
            <w:r>
              <w:rPr>
                <w:sz w:val="21"/>
              </w:rPr>
              <w:t>易方达基金管理有限公司关于旗下部分开放式基金参加潍坊银行费率优</w:t>
            </w:r>
          </w:p>
          <w:p>
            <w:pPr>
              <w:pStyle w:val="TableParagraph"/>
              <w:spacing w:before="43"/>
              <w:ind w:left="108"/>
              <w:rPr>
                <w:sz w:val="21"/>
              </w:rPr>
            </w:pPr>
            <w:r>
              <w:rPr>
                <w:sz w:val="21"/>
              </w:rPr>
              <w:t>惠活动的公告</w:t>
            </w:r>
          </w:p>
        </w:tc>
        <w:tc>
          <w:tcPr>
            <w:tcW w:w="1686" w:type="dxa"/>
          </w:tcPr>
          <w:p>
            <w:pPr>
              <w:pStyle w:val="TableParagraph"/>
              <w:spacing w:before="179"/>
              <w:ind w:left="297" w:right="288"/>
              <w:jc w:val="center"/>
              <w:rPr>
                <w:sz w:val="21"/>
              </w:rPr>
            </w:pPr>
            <w:r>
              <w:rPr>
                <w:sz w:val="21"/>
              </w:rPr>
              <w:t>2019-08-26</w:t>
            </w:r>
          </w:p>
        </w:tc>
      </w:tr>
      <w:tr>
        <w:trPr>
          <w:trHeight w:val="624" w:hRule="atLeast"/>
        </w:trPr>
        <w:tc>
          <w:tcPr>
            <w:tcW w:w="6743" w:type="dxa"/>
          </w:tcPr>
          <w:p>
            <w:pPr>
              <w:pStyle w:val="TableParagraph"/>
              <w:spacing w:before="23"/>
              <w:ind w:left="108"/>
              <w:rPr>
                <w:sz w:val="21"/>
              </w:rPr>
            </w:pPr>
            <w:r>
              <w:rPr>
                <w:sz w:val="21"/>
              </w:rPr>
              <w:t>易方达基金管理有限公司旗下部分开放式基金参加东莞农村商业银行费</w:t>
            </w:r>
          </w:p>
          <w:p>
            <w:pPr>
              <w:pStyle w:val="TableParagraph"/>
              <w:spacing w:before="43"/>
              <w:ind w:left="108"/>
              <w:rPr>
                <w:sz w:val="21"/>
              </w:rPr>
            </w:pPr>
            <w:r>
              <w:rPr>
                <w:sz w:val="21"/>
              </w:rPr>
              <w:t>率优惠活动的公告</w:t>
            </w:r>
          </w:p>
        </w:tc>
        <w:tc>
          <w:tcPr>
            <w:tcW w:w="1686" w:type="dxa"/>
          </w:tcPr>
          <w:p>
            <w:pPr>
              <w:pStyle w:val="TableParagraph"/>
              <w:spacing w:before="179"/>
              <w:ind w:left="297" w:right="288"/>
              <w:jc w:val="center"/>
              <w:rPr>
                <w:sz w:val="21"/>
              </w:rPr>
            </w:pPr>
            <w:r>
              <w:rPr>
                <w:sz w:val="21"/>
              </w:rPr>
              <w:t>2019-09-17</w:t>
            </w:r>
          </w:p>
        </w:tc>
      </w:tr>
      <w:tr>
        <w:trPr>
          <w:trHeight w:val="311" w:hRule="atLeast"/>
        </w:trPr>
        <w:tc>
          <w:tcPr>
            <w:tcW w:w="6743" w:type="dxa"/>
          </w:tcPr>
          <w:p>
            <w:pPr>
              <w:pStyle w:val="TableParagraph"/>
              <w:spacing w:before="23"/>
              <w:ind w:left="108"/>
              <w:rPr>
                <w:sz w:val="21"/>
              </w:rPr>
            </w:pPr>
            <w:r>
              <w:rPr>
                <w:sz w:val="21"/>
              </w:rPr>
              <w:t>易方达基金管理有限公司旗下基金季度报告提示性公告</w:t>
            </w:r>
          </w:p>
        </w:tc>
        <w:tc>
          <w:tcPr>
            <w:tcW w:w="1686" w:type="dxa"/>
          </w:tcPr>
          <w:p>
            <w:pPr>
              <w:pStyle w:val="TableParagraph"/>
              <w:spacing w:before="23"/>
              <w:ind w:left="297" w:right="288"/>
              <w:jc w:val="center"/>
              <w:rPr>
                <w:sz w:val="21"/>
              </w:rPr>
            </w:pPr>
            <w:r>
              <w:rPr>
                <w:sz w:val="21"/>
              </w:rPr>
              <w:t>2019-10-24</w:t>
            </w:r>
          </w:p>
        </w:tc>
      </w:tr>
      <w:tr>
        <w:trPr>
          <w:trHeight w:val="624" w:hRule="atLeast"/>
        </w:trPr>
        <w:tc>
          <w:tcPr>
            <w:tcW w:w="6743" w:type="dxa"/>
          </w:tcPr>
          <w:p>
            <w:pPr>
              <w:pStyle w:val="TableParagraph"/>
              <w:spacing w:before="23"/>
              <w:ind w:left="108"/>
              <w:rPr>
                <w:sz w:val="21"/>
              </w:rPr>
            </w:pPr>
            <w:r>
              <w:rPr>
                <w:sz w:val="21"/>
              </w:rPr>
              <w:t>易方达基金管理有限公司旗下部分开放式基金参加方正证券费率优惠活</w:t>
            </w:r>
          </w:p>
          <w:p>
            <w:pPr>
              <w:pStyle w:val="TableParagraph"/>
              <w:spacing w:before="43"/>
              <w:ind w:left="108"/>
              <w:rPr>
                <w:sz w:val="21"/>
              </w:rPr>
            </w:pPr>
            <w:r>
              <w:rPr>
                <w:sz w:val="21"/>
              </w:rPr>
              <w:t>动的公告</w:t>
            </w:r>
          </w:p>
        </w:tc>
        <w:tc>
          <w:tcPr>
            <w:tcW w:w="1686" w:type="dxa"/>
          </w:tcPr>
          <w:p>
            <w:pPr>
              <w:pStyle w:val="TableParagraph"/>
              <w:spacing w:before="179"/>
              <w:ind w:left="297" w:right="288"/>
              <w:jc w:val="center"/>
              <w:rPr>
                <w:sz w:val="21"/>
              </w:rPr>
            </w:pPr>
            <w:r>
              <w:rPr>
                <w:sz w:val="21"/>
              </w:rPr>
              <w:t>2019-11-08</w:t>
            </w:r>
          </w:p>
        </w:tc>
      </w:tr>
      <w:tr>
        <w:trPr>
          <w:trHeight w:val="311" w:hRule="atLeast"/>
        </w:trPr>
        <w:tc>
          <w:tcPr>
            <w:tcW w:w="6743" w:type="dxa"/>
          </w:tcPr>
          <w:p>
            <w:pPr>
              <w:pStyle w:val="TableParagraph"/>
              <w:spacing w:before="23"/>
              <w:ind w:left="108"/>
              <w:rPr>
                <w:sz w:val="21"/>
              </w:rPr>
            </w:pPr>
            <w:r>
              <w:rPr>
                <w:sz w:val="21"/>
              </w:rPr>
              <w:t>易方达基金管理有限公司关于代为履行基金经理职责的公告</w:t>
            </w:r>
          </w:p>
        </w:tc>
        <w:tc>
          <w:tcPr>
            <w:tcW w:w="1686" w:type="dxa"/>
          </w:tcPr>
          <w:p>
            <w:pPr>
              <w:pStyle w:val="TableParagraph"/>
              <w:spacing w:before="23"/>
              <w:ind w:left="297" w:right="288"/>
              <w:jc w:val="center"/>
              <w:rPr>
                <w:sz w:val="21"/>
              </w:rPr>
            </w:pPr>
            <w:r>
              <w:rPr>
                <w:sz w:val="21"/>
              </w:rPr>
              <w:t>2019-11-22</w:t>
            </w:r>
          </w:p>
        </w:tc>
      </w:tr>
      <w:tr>
        <w:trPr>
          <w:trHeight w:val="311" w:hRule="atLeast"/>
        </w:trPr>
        <w:tc>
          <w:tcPr>
            <w:tcW w:w="6743" w:type="dxa"/>
          </w:tcPr>
          <w:p>
            <w:pPr>
              <w:pStyle w:val="TableParagraph"/>
              <w:spacing w:before="23"/>
              <w:ind w:left="108"/>
              <w:rPr>
                <w:sz w:val="21"/>
              </w:rPr>
            </w:pPr>
            <w:r>
              <w:rPr>
                <w:sz w:val="21"/>
              </w:rPr>
              <w:t>易方达基金管理有限公司旗下部分开放式基金增加中欧钱滚滚为销售机</w:t>
            </w:r>
          </w:p>
        </w:tc>
        <w:tc>
          <w:tcPr>
            <w:tcW w:w="1686" w:type="dxa"/>
          </w:tcPr>
          <w:p>
            <w:pPr>
              <w:pStyle w:val="TableParagraph"/>
              <w:spacing w:before="23"/>
              <w:ind w:left="297" w:right="288"/>
              <w:jc w:val="center"/>
              <w:rPr>
                <w:sz w:val="21"/>
              </w:rPr>
            </w:pPr>
            <w:r>
              <w:rPr>
                <w:sz w:val="21"/>
              </w:rPr>
              <w:t>2019-12-13</w:t>
            </w:r>
          </w:p>
        </w:tc>
      </w:tr>
    </w:tbl>
    <w:p>
      <w:pPr>
        <w:spacing w:after="0"/>
        <w:jc w:val="center"/>
        <w:rPr>
          <w:sz w:val="21"/>
        </w:rPr>
        <w:sectPr>
          <w:pgSz w:w="11910" w:h="16840"/>
          <w:pgMar w:header="0" w:footer="664" w:top="1380" w:bottom="940" w:left="1580" w:right="38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3"/>
        <w:gridCol w:w="1686"/>
      </w:tblGrid>
      <w:tr>
        <w:trPr>
          <w:trHeight w:val="312" w:hRule="atLeast"/>
        </w:trPr>
        <w:tc>
          <w:tcPr>
            <w:tcW w:w="6743" w:type="dxa"/>
          </w:tcPr>
          <w:p>
            <w:pPr>
              <w:pStyle w:val="TableParagraph"/>
              <w:spacing w:before="23"/>
              <w:ind w:left="108"/>
              <w:rPr>
                <w:sz w:val="21"/>
              </w:rPr>
            </w:pPr>
            <w:r>
              <w:rPr>
                <w:sz w:val="21"/>
              </w:rPr>
              <w:t>构的公告</w:t>
            </w:r>
          </w:p>
        </w:tc>
        <w:tc>
          <w:tcPr>
            <w:tcW w:w="1686" w:type="dxa"/>
          </w:tcPr>
          <w:p>
            <w:pPr>
              <w:pStyle w:val="TableParagraph"/>
              <w:rPr>
                <w:rFonts w:ascii="Times New Roman"/>
                <w:sz w:val="20"/>
              </w:rPr>
            </w:pPr>
          </w:p>
        </w:tc>
      </w:tr>
      <w:tr>
        <w:trPr>
          <w:trHeight w:val="624" w:hRule="atLeast"/>
        </w:trPr>
        <w:tc>
          <w:tcPr>
            <w:tcW w:w="6743" w:type="dxa"/>
          </w:tcPr>
          <w:p>
            <w:pPr>
              <w:pStyle w:val="TableParagraph"/>
              <w:spacing w:before="23"/>
              <w:ind w:left="108"/>
              <w:rPr>
                <w:sz w:val="21"/>
              </w:rPr>
            </w:pPr>
            <w:r>
              <w:rPr>
                <w:sz w:val="21"/>
              </w:rPr>
              <w:t>易方达基金管理有限公司旗下部分开放式基金增加中邮证券为销售机构</w:t>
            </w:r>
          </w:p>
          <w:p>
            <w:pPr>
              <w:pStyle w:val="TableParagraph"/>
              <w:spacing w:before="43"/>
              <w:ind w:left="108"/>
              <w:rPr>
                <w:sz w:val="21"/>
              </w:rPr>
            </w:pPr>
            <w:r>
              <w:rPr>
                <w:sz w:val="21"/>
              </w:rPr>
              <w:t>的公告</w:t>
            </w:r>
          </w:p>
        </w:tc>
        <w:tc>
          <w:tcPr>
            <w:tcW w:w="1686" w:type="dxa"/>
          </w:tcPr>
          <w:p>
            <w:pPr>
              <w:pStyle w:val="TableParagraph"/>
              <w:spacing w:before="179"/>
              <w:ind w:left="297" w:right="288"/>
              <w:jc w:val="center"/>
              <w:rPr>
                <w:sz w:val="21"/>
              </w:rPr>
            </w:pPr>
            <w:r>
              <w:rPr>
                <w:sz w:val="21"/>
              </w:rPr>
              <w:t>2019-12-16</w:t>
            </w:r>
          </w:p>
        </w:tc>
      </w:tr>
      <w:tr>
        <w:trPr>
          <w:trHeight w:val="623" w:hRule="atLeast"/>
        </w:trPr>
        <w:tc>
          <w:tcPr>
            <w:tcW w:w="6743" w:type="dxa"/>
          </w:tcPr>
          <w:p>
            <w:pPr>
              <w:pStyle w:val="TableParagraph"/>
              <w:spacing w:before="23"/>
              <w:ind w:left="108"/>
              <w:rPr>
                <w:sz w:val="21"/>
              </w:rPr>
            </w:pPr>
            <w:r>
              <w:rPr>
                <w:sz w:val="21"/>
              </w:rPr>
              <w:t>易方达基金管理有限公司旗下部分开放式基金参加中国邮政储蓄银行个</w:t>
            </w:r>
          </w:p>
          <w:p>
            <w:pPr>
              <w:pStyle w:val="TableParagraph"/>
              <w:spacing w:before="43"/>
              <w:ind w:left="108"/>
              <w:rPr>
                <w:sz w:val="21"/>
              </w:rPr>
            </w:pPr>
            <w:r>
              <w:rPr>
                <w:sz w:val="21"/>
              </w:rPr>
              <w:t>人网上银行和手机银行申购费率优惠活动的公告</w:t>
            </w:r>
          </w:p>
        </w:tc>
        <w:tc>
          <w:tcPr>
            <w:tcW w:w="1686" w:type="dxa"/>
          </w:tcPr>
          <w:p>
            <w:pPr>
              <w:pStyle w:val="TableParagraph"/>
              <w:spacing w:before="179"/>
              <w:ind w:left="297" w:right="288"/>
              <w:jc w:val="center"/>
              <w:rPr>
                <w:sz w:val="21"/>
              </w:rPr>
            </w:pPr>
            <w:r>
              <w:rPr>
                <w:sz w:val="21"/>
              </w:rPr>
              <w:t>2019-12-30</w:t>
            </w:r>
          </w:p>
        </w:tc>
      </w:tr>
      <w:tr>
        <w:trPr>
          <w:trHeight w:val="311" w:hRule="atLeast"/>
        </w:trPr>
        <w:tc>
          <w:tcPr>
            <w:tcW w:w="6743" w:type="dxa"/>
          </w:tcPr>
          <w:p>
            <w:pPr>
              <w:pStyle w:val="TableParagraph"/>
              <w:spacing w:before="23"/>
              <w:ind w:left="108"/>
              <w:rPr>
                <w:sz w:val="21"/>
              </w:rPr>
            </w:pPr>
            <w:r>
              <w:rPr>
                <w:sz w:val="21"/>
              </w:rPr>
              <w:t>易方达基金管理有限公司关于公司股权变更的公告</w:t>
            </w:r>
          </w:p>
        </w:tc>
        <w:tc>
          <w:tcPr>
            <w:tcW w:w="1686" w:type="dxa"/>
          </w:tcPr>
          <w:p>
            <w:pPr>
              <w:pStyle w:val="TableParagraph"/>
              <w:spacing w:before="23"/>
              <w:ind w:left="297" w:right="288"/>
              <w:jc w:val="center"/>
              <w:rPr>
                <w:sz w:val="21"/>
              </w:rPr>
            </w:pPr>
            <w:r>
              <w:rPr>
                <w:sz w:val="21"/>
              </w:rPr>
              <w:t>2019-12-31</w:t>
            </w:r>
          </w:p>
        </w:tc>
      </w:tr>
      <w:tr>
        <w:trPr>
          <w:trHeight w:val="935" w:hRule="atLeast"/>
        </w:trPr>
        <w:tc>
          <w:tcPr>
            <w:tcW w:w="6743" w:type="dxa"/>
          </w:tcPr>
          <w:p>
            <w:pPr>
              <w:pStyle w:val="TableParagraph"/>
              <w:spacing w:before="23"/>
              <w:ind w:left="108"/>
              <w:rPr>
                <w:sz w:val="21"/>
              </w:rPr>
            </w:pPr>
            <w:r>
              <w:rPr>
                <w:sz w:val="21"/>
              </w:rPr>
              <w:t>易方达基金管理有限公司关于易方达双债增强债券型证券投资基金根据</w:t>
            </w:r>
          </w:p>
          <w:p>
            <w:pPr>
              <w:pStyle w:val="TableParagraph"/>
              <w:spacing w:line="310" w:lineRule="atLeast" w:before="2"/>
              <w:ind w:left="108" w:right="114"/>
              <w:rPr>
                <w:sz w:val="21"/>
              </w:rPr>
            </w:pPr>
            <w:r>
              <w:rPr>
                <w:sz w:val="21"/>
              </w:rPr>
              <w:t>《公开募集证券投资基金信息披露管理办法》修订基金合同、托管协议部分条款的公告</w:t>
            </w:r>
          </w:p>
        </w:tc>
        <w:tc>
          <w:tcPr>
            <w:tcW w:w="1686" w:type="dxa"/>
          </w:tcPr>
          <w:p>
            <w:pPr>
              <w:pStyle w:val="TableParagraph"/>
              <w:spacing w:before="1"/>
              <w:rPr>
                <w:sz w:val="26"/>
              </w:rPr>
            </w:pPr>
          </w:p>
          <w:p>
            <w:pPr>
              <w:pStyle w:val="TableParagraph"/>
              <w:spacing w:before="1"/>
              <w:ind w:left="297" w:right="288"/>
              <w:jc w:val="center"/>
              <w:rPr>
                <w:sz w:val="21"/>
              </w:rPr>
            </w:pPr>
            <w:r>
              <w:rPr>
                <w:sz w:val="21"/>
              </w:rPr>
              <w:t>2019-12-31</w:t>
            </w:r>
          </w:p>
        </w:tc>
      </w:tr>
      <w:tr>
        <w:trPr>
          <w:trHeight w:val="623" w:hRule="atLeast"/>
        </w:trPr>
        <w:tc>
          <w:tcPr>
            <w:tcW w:w="6743" w:type="dxa"/>
          </w:tcPr>
          <w:p>
            <w:pPr>
              <w:pStyle w:val="TableParagraph"/>
              <w:spacing w:before="23"/>
              <w:ind w:left="108"/>
              <w:rPr>
                <w:sz w:val="21"/>
              </w:rPr>
            </w:pPr>
            <w:r>
              <w:rPr>
                <w:sz w:val="21"/>
              </w:rPr>
              <w:t>易方达基金管理有限公司旗下部分开放式基金参加交通银行手机银行费</w:t>
            </w:r>
          </w:p>
          <w:p>
            <w:pPr>
              <w:pStyle w:val="TableParagraph"/>
              <w:spacing w:before="43"/>
              <w:ind w:left="108"/>
              <w:rPr>
                <w:sz w:val="21"/>
              </w:rPr>
            </w:pPr>
            <w:r>
              <w:rPr>
                <w:sz w:val="21"/>
              </w:rPr>
              <w:t>率优惠活动的公告</w:t>
            </w:r>
          </w:p>
        </w:tc>
        <w:tc>
          <w:tcPr>
            <w:tcW w:w="1686" w:type="dxa"/>
          </w:tcPr>
          <w:p>
            <w:pPr>
              <w:pStyle w:val="TableParagraph"/>
              <w:spacing w:before="179"/>
              <w:ind w:left="297" w:right="288"/>
              <w:jc w:val="center"/>
              <w:rPr>
                <w:sz w:val="21"/>
              </w:rPr>
            </w:pPr>
            <w:r>
              <w:rPr>
                <w:sz w:val="21"/>
              </w:rPr>
              <w:t>2019-12-31</w:t>
            </w:r>
          </w:p>
        </w:tc>
      </w:tr>
      <w:tr>
        <w:trPr>
          <w:trHeight w:val="623" w:hRule="atLeast"/>
        </w:trPr>
        <w:tc>
          <w:tcPr>
            <w:tcW w:w="6743" w:type="dxa"/>
          </w:tcPr>
          <w:p>
            <w:pPr>
              <w:pStyle w:val="TableParagraph"/>
              <w:spacing w:before="23"/>
              <w:ind w:left="108"/>
              <w:rPr>
                <w:sz w:val="21"/>
              </w:rPr>
            </w:pPr>
            <w:r>
              <w:rPr>
                <w:sz w:val="21"/>
              </w:rPr>
              <w:t>易方达基金管理有限公司旗下部分开放式基金参加苏州银行费率优惠活</w:t>
            </w:r>
          </w:p>
          <w:p>
            <w:pPr>
              <w:pStyle w:val="TableParagraph"/>
              <w:spacing w:before="43"/>
              <w:ind w:left="108"/>
              <w:rPr>
                <w:sz w:val="21"/>
              </w:rPr>
            </w:pPr>
            <w:r>
              <w:rPr>
                <w:sz w:val="21"/>
              </w:rPr>
              <w:t>动的公告</w:t>
            </w:r>
          </w:p>
        </w:tc>
        <w:tc>
          <w:tcPr>
            <w:tcW w:w="1686" w:type="dxa"/>
          </w:tcPr>
          <w:p>
            <w:pPr>
              <w:pStyle w:val="TableParagraph"/>
              <w:spacing w:before="179"/>
              <w:ind w:left="297" w:right="288"/>
              <w:jc w:val="center"/>
              <w:rPr>
                <w:sz w:val="21"/>
              </w:rPr>
            </w:pPr>
            <w:r>
              <w:rPr>
                <w:sz w:val="21"/>
              </w:rPr>
              <w:t>2019-12-31</w:t>
            </w:r>
          </w:p>
        </w:tc>
      </w:tr>
      <w:tr>
        <w:trPr>
          <w:trHeight w:val="623" w:hRule="atLeast"/>
        </w:trPr>
        <w:tc>
          <w:tcPr>
            <w:tcW w:w="6743" w:type="dxa"/>
          </w:tcPr>
          <w:p>
            <w:pPr>
              <w:pStyle w:val="TableParagraph"/>
              <w:spacing w:before="23"/>
              <w:ind w:left="108"/>
              <w:rPr>
                <w:sz w:val="21"/>
              </w:rPr>
            </w:pPr>
            <w:r>
              <w:rPr>
                <w:sz w:val="21"/>
              </w:rPr>
              <w:t>易方达基金管理有限公司旗下部分开放式基金参加中国工商银行“2020</w:t>
            </w:r>
          </w:p>
          <w:p>
            <w:pPr>
              <w:pStyle w:val="TableParagraph"/>
              <w:spacing w:before="43"/>
              <w:ind w:left="108"/>
              <w:rPr>
                <w:sz w:val="21"/>
              </w:rPr>
            </w:pPr>
            <w:r>
              <w:rPr>
                <w:sz w:val="21"/>
              </w:rPr>
              <w:t>倾心回馈”基金定期定额投资费率优惠活动的公告</w:t>
            </w:r>
          </w:p>
        </w:tc>
        <w:tc>
          <w:tcPr>
            <w:tcW w:w="1686" w:type="dxa"/>
          </w:tcPr>
          <w:p>
            <w:pPr>
              <w:pStyle w:val="TableParagraph"/>
              <w:spacing w:before="179"/>
              <w:ind w:left="297" w:right="288"/>
              <w:jc w:val="center"/>
              <w:rPr>
                <w:sz w:val="21"/>
              </w:rPr>
            </w:pPr>
            <w:r>
              <w:rPr>
                <w:sz w:val="21"/>
              </w:rPr>
              <w:t>2019-12-31</w:t>
            </w:r>
          </w:p>
        </w:tc>
      </w:tr>
      <w:tr>
        <w:trPr>
          <w:trHeight w:val="623" w:hRule="atLeast"/>
        </w:trPr>
        <w:tc>
          <w:tcPr>
            <w:tcW w:w="6743" w:type="dxa"/>
          </w:tcPr>
          <w:p>
            <w:pPr>
              <w:pStyle w:val="TableParagraph"/>
              <w:spacing w:before="23"/>
              <w:ind w:left="108"/>
              <w:rPr>
                <w:sz w:val="21"/>
              </w:rPr>
            </w:pPr>
            <w:r>
              <w:rPr>
                <w:sz w:val="21"/>
              </w:rPr>
              <w:t>易方达基金管理有限公司旗下部分开放式基金参加中国工商银行个人电</w:t>
            </w:r>
          </w:p>
          <w:p>
            <w:pPr>
              <w:pStyle w:val="TableParagraph"/>
              <w:spacing w:before="43"/>
              <w:ind w:left="108"/>
              <w:rPr>
                <w:sz w:val="21"/>
              </w:rPr>
            </w:pPr>
            <w:r>
              <w:rPr>
                <w:sz w:val="21"/>
              </w:rPr>
              <w:t>子银行渠道申购费率优惠活动的公告</w:t>
            </w:r>
          </w:p>
        </w:tc>
        <w:tc>
          <w:tcPr>
            <w:tcW w:w="1686" w:type="dxa"/>
          </w:tcPr>
          <w:p>
            <w:pPr>
              <w:pStyle w:val="TableParagraph"/>
              <w:spacing w:before="179"/>
              <w:ind w:left="297" w:right="288"/>
              <w:jc w:val="center"/>
              <w:rPr>
                <w:sz w:val="21"/>
              </w:rPr>
            </w:pPr>
            <w:r>
              <w:rPr>
                <w:sz w:val="21"/>
              </w:rPr>
              <w:t>2019-12-31</w:t>
            </w:r>
          </w:p>
        </w:tc>
      </w:tr>
      <w:tr>
        <w:trPr>
          <w:trHeight w:val="624" w:hRule="atLeast"/>
        </w:trPr>
        <w:tc>
          <w:tcPr>
            <w:tcW w:w="6743" w:type="dxa"/>
          </w:tcPr>
          <w:p>
            <w:pPr>
              <w:pStyle w:val="TableParagraph"/>
              <w:spacing w:before="23"/>
              <w:ind w:left="108"/>
              <w:rPr>
                <w:sz w:val="21"/>
              </w:rPr>
            </w:pPr>
            <w:r>
              <w:rPr>
                <w:sz w:val="21"/>
              </w:rPr>
              <w:t>易方达基金管理有限公司旗下部分开放式基金增加深圳金海九州为销售</w:t>
            </w:r>
          </w:p>
          <w:p>
            <w:pPr>
              <w:pStyle w:val="TableParagraph"/>
              <w:spacing w:before="43"/>
              <w:ind w:left="108"/>
              <w:rPr>
                <w:sz w:val="21"/>
              </w:rPr>
            </w:pPr>
            <w:r>
              <w:rPr>
                <w:sz w:val="21"/>
              </w:rPr>
              <w:t>机构、参加深圳金海九州费率优惠活动的公告</w:t>
            </w:r>
          </w:p>
        </w:tc>
        <w:tc>
          <w:tcPr>
            <w:tcW w:w="1686" w:type="dxa"/>
          </w:tcPr>
          <w:p>
            <w:pPr>
              <w:pStyle w:val="TableParagraph"/>
              <w:spacing w:before="179"/>
              <w:ind w:left="297" w:right="288"/>
              <w:jc w:val="center"/>
              <w:rPr>
                <w:sz w:val="21"/>
              </w:rPr>
            </w:pPr>
            <w:r>
              <w:rPr>
                <w:sz w:val="21"/>
              </w:rPr>
              <w:t>2019-12-31</w:t>
            </w:r>
          </w:p>
        </w:tc>
      </w:tr>
      <w:tr>
        <w:trPr>
          <w:trHeight w:val="624" w:hRule="atLeast"/>
        </w:trPr>
        <w:tc>
          <w:tcPr>
            <w:tcW w:w="6743" w:type="dxa"/>
          </w:tcPr>
          <w:p>
            <w:pPr>
              <w:pStyle w:val="TableParagraph"/>
              <w:spacing w:before="23"/>
              <w:ind w:left="108"/>
              <w:rPr>
                <w:sz w:val="21"/>
              </w:rPr>
            </w:pPr>
            <w:r>
              <w:rPr>
                <w:sz w:val="21"/>
              </w:rPr>
              <w:t>易方达基金管理有限公司旗下部分开放式基金参加中国农业银行费率优</w:t>
            </w:r>
          </w:p>
          <w:p>
            <w:pPr>
              <w:pStyle w:val="TableParagraph"/>
              <w:spacing w:before="43"/>
              <w:ind w:left="108"/>
              <w:rPr>
                <w:sz w:val="21"/>
              </w:rPr>
            </w:pPr>
            <w:r>
              <w:rPr>
                <w:sz w:val="21"/>
              </w:rPr>
              <w:t>惠活动的公告</w:t>
            </w:r>
          </w:p>
        </w:tc>
        <w:tc>
          <w:tcPr>
            <w:tcW w:w="1686" w:type="dxa"/>
          </w:tcPr>
          <w:p>
            <w:pPr>
              <w:pStyle w:val="TableParagraph"/>
              <w:spacing w:before="179"/>
              <w:ind w:left="297" w:right="288"/>
              <w:jc w:val="center"/>
              <w:rPr>
                <w:sz w:val="21"/>
              </w:rPr>
            </w:pPr>
            <w:r>
              <w:rPr>
                <w:sz w:val="21"/>
              </w:rPr>
              <w:t>2020-01-06</w:t>
            </w:r>
          </w:p>
        </w:tc>
      </w:tr>
      <w:tr>
        <w:trPr>
          <w:trHeight w:val="312" w:hRule="atLeast"/>
        </w:trPr>
        <w:tc>
          <w:tcPr>
            <w:tcW w:w="6743" w:type="dxa"/>
          </w:tcPr>
          <w:p>
            <w:pPr>
              <w:pStyle w:val="TableParagraph"/>
              <w:spacing w:before="23"/>
              <w:ind w:left="108"/>
              <w:rPr>
                <w:sz w:val="21"/>
              </w:rPr>
            </w:pPr>
            <w:r>
              <w:rPr>
                <w:sz w:val="21"/>
              </w:rPr>
              <w:t>易方达基金管理有限公司旗下基金 2019 年第 4 季度报告提示性公告</w:t>
            </w:r>
          </w:p>
        </w:tc>
        <w:tc>
          <w:tcPr>
            <w:tcW w:w="1686" w:type="dxa"/>
          </w:tcPr>
          <w:p>
            <w:pPr>
              <w:pStyle w:val="TableParagraph"/>
              <w:spacing w:before="23"/>
              <w:ind w:left="297" w:right="288"/>
              <w:jc w:val="center"/>
              <w:rPr>
                <w:sz w:val="21"/>
              </w:rPr>
            </w:pPr>
            <w:r>
              <w:rPr>
                <w:sz w:val="21"/>
              </w:rPr>
              <w:t>2020-01-18</w:t>
            </w:r>
          </w:p>
        </w:tc>
      </w:tr>
      <w:tr>
        <w:trPr>
          <w:trHeight w:val="624" w:hRule="atLeast"/>
        </w:trPr>
        <w:tc>
          <w:tcPr>
            <w:tcW w:w="6743" w:type="dxa"/>
          </w:tcPr>
          <w:p>
            <w:pPr>
              <w:pStyle w:val="TableParagraph"/>
              <w:spacing w:before="23"/>
              <w:ind w:left="108"/>
              <w:rPr>
                <w:sz w:val="21"/>
              </w:rPr>
            </w:pPr>
            <w:r>
              <w:rPr>
                <w:sz w:val="21"/>
              </w:rPr>
              <w:t>易方达基金管理有限公司旗下部分开放式基金参加泉州银行费率优惠活</w:t>
            </w:r>
          </w:p>
          <w:p>
            <w:pPr>
              <w:pStyle w:val="TableParagraph"/>
              <w:spacing w:before="43"/>
              <w:ind w:left="108"/>
              <w:rPr>
                <w:sz w:val="21"/>
              </w:rPr>
            </w:pPr>
            <w:r>
              <w:rPr>
                <w:sz w:val="21"/>
              </w:rPr>
              <w:t>动的公告</w:t>
            </w:r>
          </w:p>
        </w:tc>
        <w:tc>
          <w:tcPr>
            <w:tcW w:w="1686" w:type="dxa"/>
          </w:tcPr>
          <w:p>
            <w:pPr>
              <w:pStyle w:val="TableParagraph"/>
              <w:spacing w:before="179"/>
              <w:ind w:left="297" w:right="288"/>
              <w:jc w:val="center"/>
              <w:rPr>
                <w:sz w:val="21"/>
              </w:rPr>
            </w:pPr>
            <w:r>
              <w:rPr>
                <w:sz w:val="21"/>
              </w:rPr>
              <w:t>2020-01-23</w:t>
            </w:r>
          </w:p>
        </w:tc>
      </w:tr>
      <w:tr>
        <w:trPr>
          <w:trHeight w:val="624" w:hRule="atLeast"/>
        </w:trPr>
        <w:tc>
          <w:tcPr>
            <w:tcW w:w="6743" w:type="dxa"/>
          </w:tcPr>
          <w:p>
            <w:pPr>
              <w:pStyle w:val="TableParagraph"/>
              <w:spacing w:before="23"/>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8"/>
                <w:sz w:val="21"/>
              </w:rPr>
              <w:t> 日不开放申购、</w:t>
            </w:r>
          </w:p>
          <w:p>
            <w:pPr>
              <w:pStyle w:val="TableParagraph"/>
              <w:spacing w:before="43"/>
              <w:ind w:left="108"/>
              <w:rPr>
                <w:sz w:val="21"/>
              </w:rPr>
            </w:pPr>
            <w:r>
              <w:rPr>
                <w:sz w:val="21"/>
              </w:rPr>
              <w:t>赎回、转换、定期定额投资等业务的提示性公告</w:t>
            </w:r>
          </w:p>
        </w:tc>
        <w:tc>
          <w:tcPr>
            <w:tcW w:w="1686" w:type="dxa"/>
          </w:tcPr>
          <w:p>
            <w:pPr>
              <w:pStyle w:val="TableParagraph"/>
              <w:spacing w:before="179"/>
              <w:ind w:left="297" w:right="288"/>
              <w:jc w:val="center"/>
              <w:rPr>
                <w:sz w:val="21"/>
              </w:rPr>
            </w:pPr>
            <w:r>
              <w:rPr>
                <w:sz w:val="21"/>
              </w:rPr>
              <w:t>2020-01-30</w:t>
            </w:r>
          </w:p>
        </w:tc>
      </w:tr>
      <w:tr>
        <w:trPr>
          <w:trHeight w:val="312" w:hRule="atLeast"/>
        </w:trPr>
        <w:tc>
          <w:tcPr>
            <w:tcW w:w="6743" w:type="dxa"/>
          </w:tcPr>
          <w:p>
            <w:pPr>
              <w:pStyle w:val="TableParagraph"/>
              <w:spacing w:before="23"/>
              <w:ind w:left="108"/>
              <w:rPr>
                <w:sz w:val="21"/>
              </w:rPr>
            </w:pPr>
            <w:r>
              <w:rPr>
                <w:sz w:val="21"/>
              </w:rPr>
              <w:t>易方达基金管理有限公司及全资子公司投资旗下基金相关事宜的公告</w:t>
            </w:r>
          </w:p>
        </w:tc>
        <w:tc>
          <w:tcPr>
            <w:tcW w:w="1686" w:type="dxa"/>
          </w:tcPr>
          <w:p>
            <w:pPr>
              <w:pStyle w:val="TableParagraph"/>
              <w:spacing w:before="23"/>
              <w:ind w:left="297" w:right="288"/>
              <w:jc w:val="center"/>
              <w:rPr>
                <w:sz w:val="21"/>
              </w:rPr>
            </w:pPr>
            <w:r>
              <w:rPr>
                <w:sz w:val="21"/>
              </w:rPr>
              <w:t>2020-02-04</w:t>
            </w:r>
          </w:p>
        </w:tc>
      </w:tr>
      <w:tr>
        <w:trPr>
          <w:trHeight w:val="312" w:hRule="atLeast"/>
        </w:trPr>
        <w:tc>
          <w:tcPr>
            <w:tcW w:w="6743" w:type="dxa"/>
          </w:tcPr>
          <w:p>
            <w:pPr>
              <w:pStyle w:val="TableParagraph"/>
              <w:spacing w:before="23"/>
              <w:ind w:left="108"/>
              <w:rPr>
                <w:sz w:val="21"/>
              </w:rPr>
            </w:pPr>
            <w:r>
              <w:rPr>
                <w:sz w:val="21"/>
              </w:rPr>
              <w:t>易方达双债增强债券型证券投资基金增加五矿证券为销售机构的公告</w:t>
            </w:r>
          </w:p>
        </w:tc>
        <w:tc>
          <w:tcPr>
            <w:tcW w:w="1686" w:type="dxa"/>
          </w:tcPr>
          <w:p>
            <w:pPr>
              <w:pStyle w:val="TableParagraph"/>
              <w:spacing w:before="23"/>
              <w:ind w:left="297" w:right="288"/>
              <w:jc w:val="center"/>
              <w:rPr>
                <w:sz w:val="21"/>
              </w:rPr>
            </w:pPr>
            <w:r>
              <w:rPr>
                <w:sz w:val="21"/>
              </w:rPr>
              <w:t>2020-02-27</w:t>
            </w:r>
          </w:p>
        </w:tc>
      </w:tr>
      <w:tr>
        <w:trPr>
          <w:trHeight w:val="624" w:hRule="atLeast"/>
        </w:trPr>
        <w:tc>
          <w:tcPr>
            <w:tcW w:w="6743" w:type="dxa"/>
          </w:tcPr>
          <w:p>
            <w:pPr>
              <w:pStyle w:val="TableParagraph"/>
              <w:spacing w:before="23"/>
              <w:ind w:left="108"/>
              <w:rPr>
                <w:sz w:val="21"/>
              </w:rPr>
            </w:pPr>
            <w:r>
              <w:rPr>
                <w:sz w:val="21"/>
              </w:rPr>
              <w:t>易方达基金管理有限公司旗下部分开放式基金参加中金公司费率优惠活</w:t>
            </w:r>
          </w:p>
          <w:p>
            <w:pPr>
              <w:pStyle w:val="TableParagraph"/>
              <w:spacing w:before="43"/>
              <w:ind w:left="108"/>
              <w:rPr>
                <w:sz w:val="21"/>
              </w:rPr>
            </w:pPr>
            <w:r>
              <w:rPr>
                <w:sz w:val="21"/>
              </w:rPr>
              <w:t>动的公告</w:t>
            </w:r>
          </w:p>
        </w:tc>
        <w:tc>
          <w:tcPr>
            <w:tcW w:w="1686" w:type="dxa"/>
          </w:tcPr>
          <w:p>
            <w:pPr>
              <w:pStyle w:val="TableParagraph"/>
              <w:spacing w:before="179"/>
              <w:ind w:left="297" w:right="288"/>
              <w:jc w:val="center"/>
              <w:rPr>
                <w:sz w:val="21"/>
              </w:rPr>
            </w:pPr>
            <w:r>
              <w:rPr>
                <w:sz w:val="21"/>
              </w:rPr>
              <w:t>2020-03-05</w:t>
            </w:r>
          </w:p>
        </w:tc>
      </w:tr>
      <w:tr>
        <w:trPr>
          <w:trHeight w:val="624" w:hRule="atLeast"/>
        </w:trPr>
        <w:tc>
          <w:tcPr>
            <w:tcW w:w="6743" w:type="dxa"/>
          </w:tcPr>
          <w:p>
            <w:pPr>
              <w:pStyle w:val="TableParagraph"/>
              <w:spacing w:before="23"/>
              <w:ind w:left="108"/>
              <w:rPr>
                <w:sz w:val="21"/>
              </w:rPr>
            </w:pPr>
            <w:r>
              <w:rPr>
                <w:sz w:val="21"/>
              </w:rPr>
              <w:t>易方达基金管理有限公司旗下部分开放式基金参加百度百盈费率优惠活</w:t>
            </w:r>
          </w:p>
          <w:p>
            <w:pPr>
              <w:pStyle w:val="TableParagraph"/>
              <w:spacing w:before="43"/>
              <w:ind w:left="108"/>
              <w:rPr>
                <w:sz w:val="21"/>
              </w:rPr>
            </w:pPr>
            <w:r>
              <w:rPr>
                <w:sz w:val="21"/>
              </w:rPr>
              <w:t>动的公告</w:t>
            </w:r>
          </w:p>
        </w:tc>
        <w:tc>
          <w:tcPr>
            <w:tcW w:w="1686" w:type="dxa"/>
          </w:tcPr>
          <w:p>
            <w:pPr>
              <w:pStyle w:val="TableParagraph"/>
              <w:spacing w:before="179"/>
              <w:ind w:left="297" w:right="288"/>
              <w:jc w:val="center"/>
              <w:rPr>
                <w:sz w:val="21"/>
              </w:rPr>
            </w:pPr>
            <w:r>
              <w:rPr>
                <w:sz w:val="21"/>
              </w:rPr>
              <w:t>2020-03-10</w:t>
            </w:r>
          </w:p>
        </w:tc>
      </w:tr>
    </w:tbl>
    <w:p>
      <w:pPr>
        <w:pStyle w:val="BodyText"/>
        <w:spacing w:before="3"/>
        <w:ind w:left="220"/>
      </w:pPr>
      <w:r>
        <w:rPr/>
        <w:t>注：以上公告事项披露在指定媒介及基金管理人网站上。</w:t>
      </w:r>
    </w:p>
    <w:p>
      <w:pPr>
        <w:spacing w:after="0"/>
        <w:sectPr>
          <w:pgSz w:w="11910" w:h="16840"/>
          <w:pgMar w:header="0" w:footer="664" w:top="1420" w:bottom="940" w:left="1580" w:right="380"/>
        </w:sectPr>
      </w:pPr>
    </w:p>
    <w:p>
      <w:pPr>
        <w:pStyle w:val="Heading2"/>
      </w:pPr>
      <w:bookmarkStart w:name="_bookmark127" w:id="128"/>
      <w:bookmarkEnd w:id="128"/>
      <w:r>
        <w:rPr/>
      </w:r>
      <w:r>
        <w:rPr/>
        <w:t>二十五、招募说明书的存放及查阅方式</w:t>
      </w:r>
    </w:p>
    <w:p>
      <w:pPr>
        <w:pStyle w:val="BodyText"/>
        <w:spacing w:line="364" w:lineRule="auto" w:before="198"/>
        <w:ind w:left="220" w:right="1418" w:firstLine="420"/>
      </w:pPr>
      <w:r>
        <w:rPr>
          <w:spacing w:val="-7"/>
        </w:rPr>
        <w:t>本招募说明书存放在基金管理人、基金托管人及基金销售机构处，投资者可在营业时间</w:t>
      </w:r>
      <w:r>
        <w:rPr/>
        <w:t>免费查阅，也可按工本费购买复印件。</w:t>
      </w:r>
    </w:p>
    <w:p>
      <w:pPr>
        <w:pStyle w:val="BodyText"/>
        <w:spacing w:line="268" w:lineRule="exact"/>
        <w:ind w:left="700"/>
      </w:pPr>
      <w:r>
        <w:rPr/>
        <w:t>基金管理人和基金托管人保证文本的内容与公告的内容完全一致。</w:t>
      </w:r>
    </w:p>
    <w:p>
      <w:pPr>
        <w:spacing w:after="0" w:line="268" w:lineRule="exact"/>
        <w:sectPr>
          <w:pgSz w:w="11910" w:h="16840"/>
          <w:pgMar w:header="0" w:footer="664" w:top="1380" w:bottom="940" w:left="1580" w:right="380"/>
        </w:sectPr>
      </w:pPr>
    </w:p>
    <w:p>
      <w:pPr>
        <w:pStyle w:val="Heading2"/>
      </w:pPr>
      <w:bookmarkStart w:name="_bookmark128" w:id="129"/>
      <w:bookmarkEnd w:id="129"/>
      <w:r>
        <w:rPr/>
      </w:r>
      <w:r>
        <w:rPr/>
        <w:t>二十六、备查文件</w:t>
      </w:r>
    </w:p>
    <w:p>
      <w:pPr>
        <w:pStyle w:val="BodyText"/>
        <w:spacing w:before="198"/>
      </w:pPr>
      <w:r>
        <w:rPr/>
        <w:t>1、中国证监会核准易方达双债增强债券型证券投资基金募集的文件；</w:t>
      </w:r>
    </w:p>
    <w:p>
      <w:pPr>
        <w:pStyle w:val="BodyText"/>
        <w:spacing w:before="140"/>
      </w:pPr>
      <w:r>
        <w:rPr/>
        <w:t>2</w:t>
      </w:r>
      <w:r>
        <w:rPr>
          <w:spacing w:val="-16"/>
        </w:rPr>
        <w:t>、《易方达双债增强债券型证券投资基金基金合同》；</w:t>
      </w:r>
    </w:p>
    <w:p>
      <w:pPr>
        <w:pStyle w:val="BodyText"/>
        <w:spacing w:before="139"/>
      </w:pPr>
      <w:r>
        <w:rPr/>
        <w:t>3</w:t>
      </w:r>
      <w:r>
        <w:rPr>
          <w:spacing w:val="-16"/>
        </w:rPr>
        <w:t>、《易方达双债增强债券型证券投资基金托管协议》；</w:t>
      </w:r>
    </w:p>
    <w:p>
      <w:pPr>
        <w:pStyle w:val="BodyText"/>
        <w:spacing w:before="139"/>
      </w:pPr>
      <w:r>
        <w:rPr/>
        <w:t>4</w:t>
      </w:r>
      <w:r>
        <w:rPr>
          <w:spacing w:val="-16"/>
        </w:rPr>
        <w:t>、《易方达基金管理有限公司开放式基金业务规则》；</w:t>
      </w:r>
    </w:p>
    <w:p>
      <w:pPr>
        <w:pStyle w:val="BodyText"/>
        <w:spacing w:before="140"/>
      </w:pPr>
      <w:r>
        <w:rPr/>
        <w:t>5、法律意见书；</w:t>
      </w:r>
    </w:p>
    <w:p>
      <w:pPr>
        <w:pStyle w:val="BodyText"/>
        <w:spacing w:before="139"/>
      </w:pPr>
      <w:r>
        <w:rPr/>
        <w:t>6、基金管理人业务资格批件、营业执照；</w:t>
      </w:r>
    </w:p>
    <w:p>
      <w:pPr>
        <w:pStyle w:val="BodyText"/>
        <w:spacing w:line="364" w:lineRule="auto" w:before="140"/>
        <w:ind w:right="5420"/>
      </w:pPr>
      <w:r>
        <w:rPr/>
        <w:t>7、基金托管人业务资格批件、营业执照。存放地点：基金管理人、基金托管人处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6215"/>
      </w:pPr>
      <w:r>
        <w:rPr/>
        <w:t>易方达基金管理有限公司</w:t>
      </w:r>
    </w:p>
    <w:p>
      <w:pPr>
        <w:pStyle w:val="BodyText"/>
        <w:spacing w:before="140"/>
        <w:ind w:left="6583"/>
      </w:pPr>
      <w:r>
        <w:rPr/>
        <w:t>2020 年 10 月 21 日</w:t>
      </w:r>
    </w:p>
    <w:sectPr>
      <w:pgSz w:w="11910" w:h="16840"/>
      <w:pgMar w:header="0" w:footer="664" w:top="1380" w:bottom="940" w:left="15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2.653015pt;margin-top:768.632935pt;width:10pt;height:12pt;mso-position-horizontal-relative:page;mso-position-vertical-relative:page;z-index:-2586900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2.799988pt;margin-top:793.682983pt;width:17.5pt;height:12pt;mso-position-horizontal-relative:page;mso-position-vertical-relative:page;z-index:-2586880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
    <w:multiLevelType w:val="hybridMultilevel"/>
    <w:lvl w:ilvl="0">
      <w:start w:val="2"/>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99">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038" w:hanging="526"/>
      </w:pPr>
      <w:rPr>
        <w:rFonts w:hint="default"/>
        <w:lang w:val="zh-CN" w:eastAsia="zh-CN" w:bidi="zh-CN"/>
      </w:rPr>
    </w:lvl>
    <w:lvl w:ilvl="2">
      <w:start w:val="0"/>
      <w:numFmt w:val="bullet"/>
      <w:lvlText w:val="•"/>
      <w:lvlJc w:val="left"/>
      <w:pPr>
        <w:ind w:left="2917" w:hanging="526"/>
      </w:pPr>
      <w:rPr>
        <w:rFonts w:hint="default"/>
        <w:lang w:val="zh-CN" w:eastAsia="zh-CN" w:bidi="zh-CN"/>
      </w:rPr>
    </w:lvl>
    <w:lvl w:ilvl="3">
      <w:start w:val="0"/>
      <w:numFmt w:val="bullet"/>
      <w:lvlText w:val="•"/>
      <w:lvlJc w:val="left"/>
      <w:pPr>
        <w:ind w:left="3795" w:hanging="526"/>
      </w:pPr>
      <w:rPr>
        <w:rFonts w:hint="default"/>
        <w:lang w:val="zh-CN" w:eastAsia="zh-CN" w:bidi="zh-CN"/>
      </w:rPr>
    </w:lvl>
    <w:lvl w:ilvl="4">
      <w:start w:val="0"/>
      <w:numFmt w:val="bullet"/>
      <w:lvlText w:val="•"/>
      <w:lvlJc w:val="left"/>
      <w:pPr>
        <w:ind w:left="4674" w:hanging="526"/>
      </w:pPr>
      <w:rPr>
        <w:rFonts w:hint="default"/>
        <w:lang w:val="zh-CN" w:eastAsia="zh-CN" w:bidi="zh-CN"/>
      </w:rPr>
    </w:lvl>
    <w:lvl w:ilvl="5">
      <w:start w:val="0"/>
      <w:numFmt w:val="bullet"/>
      <w:lvlText w:val="•"/>
      <w:lvlJc w:val="left"/>
      <w:pPr>
        <w:ind w:left="5553" w:hanging="526"/>
      </w:pPr>
      <w:rPr>
        <w:rFonts w:hint="default"/>
        <w:lang w:val="zh-CN" w:eastAsia="zh-CN" w:bidi="zh-CN"/>
      </w:rPr>
    </w:lvl>
    <w:lvl w:ilvl="6">
      <w:start w:val="0"/>
      <w:numFmt w:val="bullet"/>
      <w:lvlText w:val="•"/>
      <w:lvlJc w:val="left"/>
      <w:pPr>
        <w:ind w:left="6431" w:hanging="526"/>
      </w:pPr>
      <w:rPr>
        <w:rFonts w:hint="default"/>
        <w:lang w:val="zh-CN" w:eastAsia="zh-CN" w:bidi="zh-CN"/>
      </w:rPr>
    </w:lvl>
    <w:lvl w:ilvl="7">
      <w:start w:val="0"/>
      <w:numFmt w:val="bullet"/>
      <w:lvlText w:val="•"/>
      <w:lvlJc w:val="left"/>
      <w:pPr>
        <w:ind w:left="7310" w:hanging="526"/>
      </w:pPr>
      <w:rPr>
        <w:rFonts w:hint="default"/>
        <w:lang w:val="zh-CN" w:eastAsia="zh-CN" w:bidi="zh-CN"/>
      </w:rPr>
    </w:lvl>
    <w:lvl w:ilvl="8">
      <w:start w:val="0"/>
      <w:numFmt w:val="bullet"/>
      <w:lvlText w:val="•"/>
      <w:lvlJc w:val="left"/>
      <w:pPr>
        <w:ind w:left="8188" w:hanging="526"/>
      </w:pPr>
      <w:rPr>
        <w:rFonts w:hint="default"/>
        <w:lang w:val="zh-CN" w:eastAsia="zh-CN" w:bidi="zh-CN"/>
      </w:rPr>
    </w:lvl>
  </w:abstractNum>
  <w:abstractNum w:abstractNumId="98">
    <w:multiLevelType w:val="hybridMultilevel"/>
    <w:lvl w:ilvl="0">
      <w:start w:val="1"/>
      <w:numFmt w:val="lowerLetter"/>
      <w:lvlText w:val="%1."/>
      <w:lvlJc w:val="left"/>
      <w:pPr>
        <w:ind w:left="220" w:hanging="211"/>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92" w:hanging="211"/>
      </w:pPr>
      <w:rPr>
        <w:rFonts w:hint="default"/>
        <w:lang w:val="zh-CN" w:eastAsia="zh-CN" w:bidi="zh-CN"/>
      </w:rPr>
    </w:lvl>
    <w:lvl w:ilvl="2">
      <w:start w:val="0"/>
      <w:numFmt w:val="bullet"/>
      <w:lvlText w:val="•"/>
      <w:lvlJc w:val="left"/>
      <w:pPr>
        <w:ind w:left="2165" w:hanging="211"/>
      </w:pPr>
      <w:rPr>
        <w:rFonts w:hint="default"/>
        <w:lang w:val="zh-CN" w:eastAsia="zh-CN" w:bidi="zh-CN"/>
      </w:rPr>
    </w:lvl>
    <w:lvl w:ilvl="3">
      <w:start w:val="0"/>
      <w:numFmt w:val="bullet"/>
      <w:lvlText w:val="•"/>
      <w:lvlJc w:val="left"/>
      <w:pPr>
        <w:ind w:left="3137" w:hanging="211"/>
      </w:pPr>
      <w:rPr>
        <w:rFonts w:hint="default"/>
        <w:lang w:val="zh-CN" w:eastAsia="zh-CN" w:bidi="zh-CN"/>
      </w:rPr>
    </w:lvl>
    <w:lvl w:ilvl="4">
      <w:start w:val="0"/>
      <w:numFmt w:val="bullet"/>
      <w:lvlText w:val="•"/>
      <w:lvlJc w:val="left"/>
      <w:pPr>
        <w:ind w:left="4110" w:hanging="211"/>
      </w:pPr>
      <w:rPr>
        <w:rFonts w:hint="default"/>
        <w:lang w:val="zh-CN" w:eastAsia="zh-CN" w:bidi="zh-CN"/>
      </w:rPr>
    </w:lvl>
    <w:lvl w:ilvl="5">
      <w:start w:val="0"/>
      <w:numFmt w:val="bullet"/>
      <w:lvlText w:val="•"/>
      <w:lvlJc w:val="left"/>
      <w:pPr>
        <w:ind w:left="5083" w:hanging="211"/>
      </w:pPr>
      <w:rPr>
        <w:rFonts w:hint="default"/>
        <w:lang w:val="zh-CN" w:eastAsia="zh-CN" w:bidi="zh-CN"/>
      </w:rPr>
    </w:lvl>
    <w:lvl w:ilvl="6">
      <w:start w:val="0"/>
      <w:numFmt w:val="bullet"/>
      <w:lvlText w:val="•"/>
      <w:lvlJc w:val="left"/>
      <w:pPr>
        <w:ind w:left="6055" w:hanging="211"/>
      </w:pPr>
      <w:rPr>
        <w:rFonts w:hint="default"/>
        <w:lang w:val="zh-CN" w:eastAsia="zh-CN" w:bidi="zh-CN"/>
      </w:rPr>
    </w:lvl>
    <w:lvl w:ilvl="7">
      <w:start w:val="0"/>
      <w:numFmt w:val="bullet"/>
      <w:lvlText w:val="•"/>
      <w:lvlJc w:val="left"/>
      <w:pPr>
        <w:ind w:left="7028" w:hanging="211"/>
      </w:pPr>
      <w:rPr>
        <w:rFonts w:hint="default"/>
        <w:lang w:val="zh-CN" w:eastAsia="zh-CN" w:bidi="zh-CN"/>
      </w:rPr>
    </w:lvl>
    <w:lvl w:ilvl="8">
      <w:start w:val="0"/>
      <w:numFmt w:val="bullet"/>
      <w:lvlText w:val="•"/>
      <w:lvlJc w:val="left"/>
      <w:pPr>
        <w:ind w:left="8000" w:hanging="211"/>
      </w:pPr>
      <w:rPr>
        <w:rFonts w:hint="default"/>
        <w:lang w:val="zh-CN" w:eastAsia="zh-CN" w:bidi="zh-CN"/>
      </w:rPr>
    </w:lvl>
  </w:abstractNum>
  <w:abstractNum w:abstractNumId="97">
    <w:multiLevelType w:val="hybridMultilevel"/>
    <w:lvl w:ilvl="0">
      <w:start w:val="1"/>
      <w:numFmt w:val="decimal"/>
      <w:lvlText w:val="（%1）"/>
      <w:lvlJc w:val="left"/>
      <w:pPr>
        <w:ind w:left="22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92" w:hanging="527"/>
      </w:pPr>
      <w:rPr>
        <w:rFonts w:hint="default"/>
        <w:lang w:val="zh-CN" w:eastAsia="zh-CN" w:bidi="zh-CN"/>
      </w:rPr>
    </w:lvl>
    <w:lvl w:ilvl="2">
      <w:start w:val="0"/>
      <w:numFmt w:val="bullet"/>
      <w:lvlText w:val="•"/>
      <w:lvlJc w:val="left"/>
      <w:pPr>
        <w:ind w:left="2165" w:hanging="527"/>
      </w:pPr>
      <w:rPr>
        <w:rFonts w:hint="default"/>
        <w:lang w:val="zh-CN" w:eastAsia="zh-CN" w:bidi="zh-CN"/>
      </w:rPr>
    </w:lvl>
    <w:lvl w:ilvl="3">
      <w:start w:val="0"/>
      <w:numFmt w:val="bullet"/>
      <w:lvlText w:val="•"/>
      <w:lvlJc w:val="left"/>
      <w:pPr>
        <w:ind w:left="3137" w:hanging="527"/>
      </w:pPr>
      <w:rPr>
        <w:rFonts w:hint="default"/>
        <w:lang w:val="zh-CN" w:eastAsia="zh-CN" w:bidi="zh-CN"/>
      </w:rPr>
    </w:lvl>
    <w:lvl w:ilvl="4">
      <w:start w:val="0"/>
      <w:numFmt w:val="bullet"/>
      <w:lvlText w:val="•"/>
      <w:lvlJc w:val="left"/>
      <w:pPr>
        <w:ind w:left="4110" w:hanging="527"/>
      </w:pPr>
      <w:rPr>
        <w:rFonts w:hint="default"/>
        <w:lang w:val="zh-CN" w:eastAsia="zh-CN" w:bidi="zh-CN"/>
      </w:rPr>
    </w:lvl>
    <w:lvl w:ilvl="5">
      <w:start w:val="0"/>
      <w:numFmt w:val="bullet"/>
      <w:lvlText w:val="•"/>
      <w:lvlJc w:val="left"/>
      <w:pPr>
        <w:ind w:left="5083" w:hanging="527"/>
      </w:pPr>
      <w:rPr>
        <w:rFonts w:hint="default"/>
        <w:lang w:val="zh-CN" w:eastAsia="zh-CN" w:bidi="zh-CN"/>
      </w:rPr>
    </w:lvl>
    <w:lvl w:ilvl="6">
      <w:start w:val="0"/>
      <w:numFmt w:val="bullet"/>
      <w:lvlText w:val="•"/>
      <w:lvlJc w:val="left"/>
      <w:pPr>
        <w:ind w:left="6055" w:hanging="527"/>
      </w:pPr>
      <w:rPr>
        <w:rFonts w:hint="default"/>
        <w:lang w:val="zh-CN" w:eastAsia="zh-CN" w:bidi="zh-CN"/>
      </w:rPr>
    </w:lvl>
    <w:lvl w:ilvl="7">
      <w:start w:val="0"/>
      <w:numFmt w:val="bullet"/>
      <w:lvlText w:val="•"/>
      <w:lvlJc w:val="left"/>
      <w:pPr>
        <w:ind w:left="7028" w:hanging="527"/>
      </w:pPr>
      <w:rPr>
        <w:rFonts w:hint="default"/>
        <w:lang w:val="zh-CN" w:eastAsia="zh-CN" w:bidi="zh-CN"/>
      </w:rPr>
    </w:lvl>
    <w:lvl w:ilvl="8">
      <w:start w:val="0"/>
      <w:numFmt w:val="bullet"/>
      <w:lvlText w:val="•"/>
      <w:lvlJc w:val="left"/>
      <w:pPr>
        <w:ind w:left="8000" w:hanging="527"/>
      </w:pPr>
      <w:rPr>
        <w:rFonts w:hint="default"/>
        <w:lang w:val="zh-CN" w:eastAsia="zh-CN" w:bidi="zh-CN"/>
      </w:rPr>
    </w:lvl>
  </w:abstractNum>
  <w:abstractNum w:abstractNumId="96">
    <w:multiLevelType w:val="hybridMultilevel"/>
    <w:lvl w:ilvl="0">
      <w:start w:val="1"/>
      <w:numFmt w:val="decimal"/>
      <w:lvlText w:val="%1）"/>
      <w:lvlJc w:val="left"/>
      <w:pPr>
        <w:ind w:left="2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7"/>
      </w:pPr>
      <w:rPr>
        <w:rFonts w:hint="default"/>
        <w:lang w:val="zh-CN" w:eastAsia="zh-CN" w:bidi="zh-CN"/>
      </w:rPr>
    </w:lvl>
    <w:lvl w:ilvl="2">
      <w:start w:val="0"/>
      <w:numFmt w:val="bullet"/>
      <w:lvlText w:val="•"/>
      <w:lvlJc w:val="left"/>
      <w:pPr>
        <w:ind w:left="2165" w:hanging="317"/>
      </w:pPr>
      <w:rPr>
        <w:rFonts w:hint="default"/>
        <w:lang w:val="zh-CN" w:eastAsia="zh-CN" w:bidi="zh-CN"/>
      </w:rPr>
    </w:lvl>
    <w:lvl w:ilvl="3">
      <w:start w:val="0"/>
      <w:numFmt w:val="bullet"/>
      <w:lvlText w:val="•"/>
      <w:lvlJc w:val="left"/>
      <w:pPr>
        <w:ind w:left="3137" w:hanging="317"/>
      </w:pPr>
      <w:rPr>
        <w:rFonts w:hint="default"/>
        <w:lang w:val="zh-CN" w:eastAsia="zh-CN" w:bidi="zh-CN"/>
      </w:rPr>
    </w:lvl>
    <w:lvl w:ilvl="4">
      <w:start w:val="0"/>
      <w:numFmt w:val="bullet"/>
      <w:lvlText w:val="•"/>
      <w:lvlJc w:val="left"/>
      <w:pPr>
        <w:ind w:left="4110" w:hanging="317"/>
      </w:pPr>
      <w:rPr>
        <w:rFonts w:hint="default"/>
        <w:lang w:val="zh-CN" w:eastAsia="zh-CN" w:bidi="zh-CN"/>
      </w:rPr>
    </w:lvl>
    <w:lvl w:ilvl="5">
      <w:start w:val="0"/>
      <w:numFmt w:val="bullet"/>
      <w:lvlText w:val="•"/>
      <w:lvlJc w:val="left"/>
      <w:pPr>
        <w:ind w:left="5083" w:hanging="317"/>
      </w:pPr>
      <w:rPr>
        <w:rFonts w:hint="default"/>
        <w:lang w:val="zh-CN" w:eastAsia="zh-CN" w:bidi="zh-CN"/>
      </w:rPr>
    </w:lvl>
    <w:lvl w:ilvl="6">
      <w:start w:val="0"/>
      <w:numFmt w:val="bullet"/>
      <w:lvlText w:val="•"/>
      <w:lvlJc w:val="left"/>
      <w:pPr>
        <w:ind w:left="6055" w:hanging="317"/>
      </w:pPr>
      <w:rPr>
        <w:rFonts w:hint="default"/>
        <w:lang w:val="zh-CN" w:eastAsia="zh-CN" w:bidi="zh-CN"/>
      </w:rPr>
    </w:lvl>
    <w:lvl w:ilvl="7">
      <w:start w:val="0"/>
      <w:numFmt w:val="bullet"/>
      <w:lvlText w:val="•"/>
      <w:lvlJc w:val="left"/>
      <w:pPr>
        <w:ind w:left="7028" w:hanging="317"/>
      </w:pPr>
      <w:rPr>
        <w:rFonts w:hint="default"/>
        <w:lang w:val="zh-CN" w:eastAsia="zh-CN" w:bidi="zh-CN"/>
      </w:rPr>
    </w:lvl>
    <w:lvl w:ilvl="8">
      <w:start w:val="0"/>
      <w:numFmt w:val="bullet"/>
      <w:lvlText w:val="•"/>
      <w:lvlJc w:val="left"/>
      <w:pPr>
        <w:ind w:left="8000" w:hanging="317"/>
      </w:pPr>
      <w:rPr>
        <w:rFonts w:hint="default"/>
        <w:lang w:val="zh-CN" w:eastAsia="zh-CN" w:bidi="zh-CN"/>
      </w:rPr>
    </w:lvl>
  </w:abstractNum>
  <w:abstractNum w:abstractNumId="95">
    <w:multiLevelType w:val="hybridMultilevel"/>
    <w:lvl w:ilvl="0">
      <w:start w:val="1"/>
      <w:numFmt w:val="decimal"/>
      <w:lvlText w:val="%1）"/>
      <w:lvlJc w:val="left"/>
      <w:pPr>
        <w:ind w:left="956" w:hanging="316"/>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94">
    <w:multiLevelType w:val="hybridMultilevel"/>
    <w:lvl w:ilvl="0">
      <w:start w:val="1"/>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93">
    <w:multiLevelType w:val="hybridMultilevel"/>
    <w:lvl w:ilvl="0">
      <w:start w:val="2"/>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92">
    <w:multiLevelType w:val="hybridMultilevel"/>
    <w:lvl w:ilvl="0">
      <w:start w:val="2"/>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91">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90">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89">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88">
    <w:multiLevelType w:val="hybridMultilevel"/>
    <w:lvl w:ilvl="0">
      <w:start w:val="1"/>
      <w:numFmt w:val="decimal"/>
      <w:lvlText w:val="(%1)"/>
      <w:lvlJc w:val="left"/>
      <w:pPr>
        <w:ind w:left="220"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87">
    <w:multiLevelType w:val="hybridMultilevel"/>
    <w:lvl w:ilvl="0">
      <w:start w:val="6"/>
      <w:numFmt w:val="decimal"/>
      <w:lvlText w:val="(%1)"/>
      <w:lvlJc w:val="left"/>
      <w:pPr>
        <w:ind w:left="220" w:hanging="316"/>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86">
    <w:multiLevelType w:val="hybridMultilevel"/>
    <w:lvl w:ilvl="0">
      <w:start w:val="3"/>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85">
    <w:multiLevelType w:val="hybridMultilevel"/>
    <w:lvl w:ilvl="0">
      <w:start w:val="1"/>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84">
    <w:multiLevelType w:val="hybridMultilevel"/>
    <w:lvl w:ilvl="0">
      <w:start w:val="1"/>
      <w:numFmt w:val="decimal"/>
      <w:lvlText w:val="(%1)"/>
      <w:lvlJc w:val="left"/>
      <w:pPr>
        <w:ind w:left="220" w:hanging="316"/>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83">
    <w:multiLevelType w:val="hybridMultilevel"/>
    <w:lvl w:ilvl="0">
      <w:start w:val="12"/>
      <w:numFmt w:val="decimal"/>
      <w:lvlText w:val="（%1）"/>
      <w:lvlJc w:val="left"/>
      <w:pPr>
        <w:ind w:left="220" w:hanging="631"/>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92" w:hanging="631"/>
      </w:pPr>
      <w:rPr>
        <w:rFonts w:hint="default"/>
        <w:lang w:val="zh-CN" w:eastAsia="zh-CN" w:bidi="zh-CN"/>
      </w:rPr>
    </w:lvl>
    <w:lvl w:ilvl="2">
      <w:start w:val="0"/>
      <w:numFmt w:val="bullet"/>
      <w:lvlText w:val="•"/>
      <w:lvlJc w:val="left"/>
      <w:pPr>
        <w:ind w:left="2165" w:hanging="631"/>
      </w:pPr>
      <w:rPr>
        <w:rFonts w:hint="default"/>
        <w:lang w:val="zh-CN" w:eastAsia="zh-CN" w:bidi="zh-CN"/>
      </w:rPr>
    </w:lvl>
    <w:lvl w:ilvl="3">
      <w:start w:val="0"/>
      <w:numFmt w:val="bullet"/>
      <w:lvlText w:val="•"/>
      <w:lvlJc w:val="left"/>
      <w:pPr>
        <w:ind w:left="3137" w:hanging="631"/>
      </w:pPr>
      <w:rPr>
        <w:rFonts w:hint="default"/>
        <w:lang w:val="zh-CN" w:eastAsia="zh-CN" w:bidi="zh-CN"/>
      </w:rPr>
    </w:lvl>
    <w:lvl w:ilvl="4">
      <w:start w:val="0"/>
      <w:numFmt w:val="bullet"/>
      <w:lvlText w:val="•"/>
      <w:lvlJc w:val="left"/>
      <w:pPr>
        <w:ind w:left="4110" w:hanging="631"/>
      </w:pPr>
      <w:rPr>
        <w:rFonts w:hint="default"/>
        <w:lang w:val="zh-CN" w:eastAsia="zh-CN" w:bidi="zh-CN"/>
      </w:rPr>
    </w:lvl>
    <w:lvl w:ilvl="5">
      <w:start w:val="0"/>
      <w:numFmt w:val="bullet"/>
      <w:lvlText w:val="•"/>
      <w:lvlJc w:val="left"/>
      <w:pPr>
        <w:ind w:left="5083" w:hanging="631"/>
      </w:pPr>
      <w:rPr>
        <w:rFonts w:hint="default"/>
        <w:lang w:val="zh-CN" w:eastAsia="zh-CN" w:bidi="zh-CN"/>
      </w:rPr>
    </w:lvl>
    <w:lvl w:ilvl="6">
      <w:start w:val="0"/>
      <w:numFmt w:val="bullet"/>
      <w:lvlText w:val="•"/>
      <w:lvlJc w:val="left"/>
      <w:pPr>
        <w:ind w:left="6055" w:hanging="631"/>
      </w:pPr>
      <w:rPr>
        <w:rFonts w:hint="default"/>
        <w:lang w:val="zh-CN" w:eastAsia="zh-CN" w:bidi="zh-CN"/>
      </w:rPr>
    </w:lvl>
    <w:lvl w:ilvl="7">
      <w:start w:val="0"/>
      <w:numFmt w:val="bullet"/>
      <w:lvlText w:val="•"/>
      <w:lvlJc w:val="left"/>
      <w:pPr>
        <w:ind w:left="7028" w:hanging="631"/>
      </w:pPr>
      <w:rPr>
        <w:rFonts w:hint="default"/>
        <w:lang w:val="zh-CN" w:eastAsia="zh-CN" w:bidi="zh-CN"/>
      </w:rPr>
    </w:lvl>
    <w:lvl w:ilvl="8">
      <w:start w:val="0"/>
      <w:numFmt w:val="bullet"/>
      <w:lvlText w:val="•"/>
      <w:lvlJc w:val="left"/>
      <w:pPr>
        <w:ind w:left="8000" w:hanging="631"/>
      </w:pPr>
      <w:rPr>
        <w:rFonts w:hint="default"/>
        <w:lang w:val="zh-CN" w:eastAsia="zh-CN" w:bidi="zh-CN"/>
      </w:rPr>
    </w:lvl>
  </w:abstractNum>
  <w:abstractNum w:abstractNumId="82">
    <w:multiLevelType w:val="hybridMultilevel"/>
    <w:lvl w:ilvl="0">
      <w:start w:val="3"/>
      <w:numFmt w:val="decimal"/>
      <w:lvlText w:val="(%1)"/>
      <w:lvlJc w:val="left"/>
      <w:pPr>
        <w:ind w:left="220" w:hanging="31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81">
    <w:multiLevelType w:val="hybridMultilevel"/>
    <w:lvl w:ilvl="0">
      <w:start w:val="4"/>
      <w:numFmt w:val="decimal"/>
      <w:lvlText w:val="(%1)"/>
      <w:lvlJc w:val="left"/>
      <w:pPr>
        <w:ind w:left="640" w:hanging="31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570" w:hanging="316"/>
      </w:pPr>
      <w:rPr>
        <w:rFonts w:hint="default"/>
        <w:lang w:val="zh-CN" w:eastAsia="zh-CN" w:bidi="zh-CN"/>
      </w:rPr>
    </w:lvl>
    <w:lvl w:ilvl="2">
      <w:start w:val="0"/>
      <w:numFmt w:val="bullet"/>
      <w:lvlText w:val="•"/>
      <w:lvlJc w:val="left"/>
      <w:pPr>
        <w:ind w:left="2501" w:hanging="316"/>
      </w:pPr>
      <w:rPr>
        <w:rFonts w:hint="default"/>
        <w:lang w:val="zh-CN" w:eastAsia="zh-CN" w:bidi="zh-CN"/>
      </w:rPr>
    </w:lvl>
    <w:lvl w:ilvl="3">
      <w:start w:val="0"/>
      <w:numFmt w:val="bullet"/>
      <w:lvlText w:val="•"/>
      <w:lvlJc w:val="left"/>
      <w:pPr>
        <w:ind w:left="3431" w:hanging="316"/>
      </w:pPr>
      <w:rPr>
        <w:rFonts w:hint="default"/>
        <w:lang w:val="zh-CN" w:eastAsia="zh-CN" w:bidi="zh-CN"/>
      </w:rPr>
    </w:lvl>
    <w:lvl w:ilvl="4">
      <w:start w:val="0"/>
      <w:numFmt w:val="bullet"/>
      <w:lvlText w:val="•"/>
      <w:lvlJc w:val="left"/>
      <w:pPr>
        <w:ind w:left="4362" w:hanging="316"/>
      </w:pPr>
      <w:rPr>
        <w:rFonts w:hint="default"/>
        <w:lang w:val="zh-CN" w:eastAsia="zh-CN" w:bidi="zh-CN"/>
      </w:rPr>
    </w:lvl>
    <w:lvl w:ilvl="5">
      <w:start w:val="0"/>
      <w:numFmt w:val="bullet"/>
      <w:lvlText w:val="•"/>
      <w:lvlJc w:val="left"/>
      <w:pPr>
        <w:ind w:left="5293" w:hanging="316"/>
      </w:pPr>
      <w:rPr>
        <w:rFonts w:hint="default"/>
        <w:lang w:val="zh-CN" w:eastAsia="zh-CN" w:bidi="zh-CN"/>
      </w:rPr>
    </w:lvl>
    <w:lvl w:ilvl="6">
      <w:start w:val="0"/>
      <w:numFmt w:val="bullet"/>
      <w:lvlText w:val="•"/>
      <w:lvlJc w:val="left"/>
      <w:pPr>
        <w:ind w:left="6223" w:hanging="316"/>
      </w:pPr>
      <w:rPr>
        <w:rFonts w:hint="default"/>
        <w:lang w:val="zh-CN" w:eastAsia="zh-CN" w:bidi="zh-CN"/>
      </w:rPr>
    </w:lvl>
    <w:lvl w:ilvl="7">
      <w:start w:val="0"/>
      <w:numFmt w:val="bullet"/>
      <w:lvlText w:val="•"/>
      <w:lvlJc w:val="left"/>
      <w:pPr>
        <w:ind w:left="7154" w:hanging="316"/>
      </w:pPr>
      <w:rPr>
        <w:rFonts w:hint="default"/>
        <w:lang w:val="zh-CN" w:eastAsia="zh-CN" w:bidi="zh-CN"/>
      </w:rPr>
    </w:lvl>
    <w:lvl w:ilvl="8">
      <w:start w:val="0"/>
      <w:numFmt w:val="bullet"/>
      <w:lvlText w:val="•"/>
      <w:lvlJc w:val="left"/>
      <w:pPr>
        <w:ind w:left="8084" w:hanging="316"/>
      </w:pPr>
      <w:rPr>
        <w:rFonts w:hint="default"/>
        <w:lang w:val="zh-CN" w:eastAsia="zh-CN" w:bidi="zh-CN"/>
      </w:rPr>
    </w:lvl>
  </w:abstractNum>
  <w:abstractNum w:abstractNumId="80">
    <w:multiLevelType w:val="hybridMultilevel"/>
    <w:lvl w:ilvl="0">
      <w:start w:val="4"/>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79">
    <w:multiLevelType w:val="hybridMultilevel"/>
    <w:lvl w:ilvl="0">
      <w:start w:val="1"/>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78">
    <w:multiLevelType w:val="hybridMultilevel"/>
    <w:lvl w:ilvl="0">
      <w:start w:val="1"/>
      <w:numFmt w:val="lowerLetter"/>
      <w:lvlText w:val="%1."/>
      <w:lvlJc w:val="left"/>
      <w:pPr>
        <w:ind w:left="220" w:hanging="31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77">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76">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75">
    <w:multiLevelType w:val="hybridMultilevel"/>
    <w:lvl w:ilvl="0">
      <w:start w:val="5"/>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74">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73">
    <w:multiLevelType w:val="hybridMultilevel"/>
    <w:lvl w:ilvl="0">
      <w:start w:val="1"/>
      <w:numFmt w:val="decimal"/>
      <w:lvlText w:val="(%1)"/>
      <w:lvlJc w:val="left"/>
      <w:pPr>
        <w:ind w:left="220" w:hanging="316"/>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72">
    <w:multiLevelType w:val="hybridMultilevel"/>
    <w:lvl w:ilvl="0">
      <w:start w:val="1"/>
      <w:numFmt w:val="lowerLetter"/>
      <w:lvlText w:val="%1."/>
      <w:lvlJc w:val="left"/>
      <w:pPr>
        <w:ind w:left="220" w:hanging="211"/>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92" w:hanging="211"/>
      </w:pPr>
      <w:rPr>
        <w:rFonts w:hint="default"/>
        <w:lang w:val="zh-CN" w:eastAsia="zh-CN" w:bidi="zh-CN"/>
      </w:rPr>
    </w:lvl>
    <w:lvl w:ilvl="2">
      <w:start w:val="0"/>
      <w:numFmt w:val="bullet"/>
      <w:lvlText w:val="•"/>
      <w:lvlJc w:val="left"/>
      <w:pPr>
        <w:ind w:left="2165" w:hanging="211"/>
      </w:pPr>
      <w:rPr>
        <w:rFonts w:hint="default"/>
        <w:lang w:val="zh-CN" w:eastAsia="zh-CN" w:bidi="zh-CN"/>
      </w:rPr>
    </w:lvl>
    <w:lvl w:ilvl="3">
      <w:start w:val="0"/>
      <w:numFmt w:val="bullet"/>
      <w:lvlText w:val="•"/>
      <w:lvlJc w:val="left"/>
      <w:pPr>
        <w:ind w:left="3137" w:hanging="211"/>
      </w:pPr>
      <w:rPr>
        <w:rFonts w:hint="default"/>
        <w:lang w:val="zh-CN" w:eastAsia="zh-CN" w:bidi="zh-CN"/>
      </w:rPr>
    </w:lvl>
    <w:lvl w:ilvl="4">
      <w:start w:val="0"/>
      <w:numFmt w:val="bullet"/>
      <w:lvlText w:val="•"/>
      <w:lvlJc w:val="left"/>
      <w:pPr>
        <w:ind w:left="4110" w:hanging="211"/>
      </w:pPr>
      <w:rPr>
        <w:rFonts w:hint="default"/>
        <w:lang w:val="zh-CN" w:eastAsia="zh-CN" w:bidi="zh-CN"/>
      </w:rPr>
    </w:lvl>
    <w:lvl w:ilvl="5">
      <w:start w:val="0"/>
      <w:numFmt w:val="bullet"/>
      <w:lvlText w:val="•"/>
      <w:lvlJc w:val="left"/>
      <w:pPr>
        <w:ind w:left="5083" w:hanging="211"/>
      </w:pPr>
      <w:rPr>
        <w:rFonts w:hint="default"/>
        <w:lang w:val="zh-CN" w:eastAsia="zh-CN" w:bidi="zh-CN"/>
      </w:rPr>
    </w:lvl>
    <w:lvl w:ilvl="6">
      <w:start w:val="0"/>
      <w:numFmt w:val="bullet"/>
      <w:lvlText w:val="•"/>
      <w:lvlJc w:val="left"/>
      <w:pPr>
        <w:ind w:left="6055" w:hanging="211"/>
      </w:pPr>
      <w:rPr>
        <w:rFonts w:hint="default"/>
        <w:lang w:val="zh-CN" w:eastAsia="zh-CN" w:bidi="zh-CN"/>
      </w:rPr>
    </w:lvl>
    <w:lvl w:ilvl="7">
      <w:start w:val="0"/>
      <w:numFmt w:val="bullet"/>
      <w:lvlText w:val="•"/>
      <w:lvlJc w:val="left"/>
      <w:pPr>
        <w:ind w:left="7028" w:hanging="211"/>
      </w:pPr>
      <w:rPr>
        <w:rFonts w:hint="default"/>
        <w:lang w:val="zh-CN" w:eastAsia="zh-CN" w:bidi="zh-CN"/>
      </w:rPr>
    </w:lvl>
    <w:lvl w:ilvl="8">
      <w:start w:val="0"/>
      <w:numFmt w:val="bullet"/>
      <w:lvlText w:val="•"/>
      <w:lvlJc w:val="left"/>
      <w:pPr>
        <w:ind w:left="8000" w:hanging="211"/>
      </w:pPr>
      <w:rPr>
        <w:rFonts w:hint="default"/>
        <w:lang w:val="zh-CN" w:eastAsia="zh-CN" w:bidi="zh-CN"/>
      </w:rPr>
    </w:lvl>
  </w:abstractNum>
  <w:abstractNum w:abstractNumId="71">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70">
    <w:multiLevelType w:val="hybridMultilevel"/>
    <w:lvl w:ilvl="0">
      <w:start w:val="3"/>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69">
    <w:multiLevelType w:val="hybridMultilevel"/>
    <w:lvl w:ilvl="0">
      <w:start w:val="2"/>
      <w:numFmt w:val="decimal"/>
      <w:lvlText w:val="(%1)"/>
      <w:lvlJc w:val="left"/>
      <w:pPr>
        <w:ind w:left="640" w:hanging="31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570" w:hanging="316"/>
      </w:pPr>
      <w:rPr>
        <w:rFonts w:hint="default"/>
        <w:lang w:val="zh-CN" w:eastAsia="zh-CN" w:bidi="zh-CN"/>
      </w:rPr>
    </w:lvl>
    <w:lvl w:ilvl="2">
      <w:start w:val="0"/>
      <w:numFmt w:val="bullet"/>
      <w:lvlText w:val="•"/>
      <w:lvlJc w:val="left"/>
      <w:pPr>
        <w:ind w:left="2501" w:hanging="316"/>
      </w:pPr>
      <w:rPr>
        <w:rFonts w:hint="default"/>
        <w:lang w:val="zh-CN" w:eastAsia="zh-CN" w:bidi="zh-CN"/>
      </w:rPr>
    </w:lvl>
    <w:lvl w:ilvl="3">
      <w:start w:val="0"/>
      <w:numFmt w:val="bullet"/>
      <w:lvlText w:val="•"/>
      <w:lvlJc w:val="left"/>
      <w:pPr>
        <w:ind w:left="3431" w:hanging="316"/>
      </w:pPr>
      <w:rPr>
        <w:rFonts w:hint="default"/>
        <w:lang w:val="zh-CN" w:eastAsia="zh-CN" w:bidi="zh-CN"/>
      </w:rPr>
    </w:lvl>
    <w:lvl w:ilvl="4">
      <w:start w:val="0"/>
      <w:numFmt w:val="bullet"/>
      <w:lvlText w:val="•"/>
      <w:lvlJc w:val="left"/>
      <w:pPr>
        <w:ind w:left="4362" w:hanging="316"/>
      </w:pPr>
      <w:rPr>
        <w:rFonts w:hint="default"/>
        <w:lang w:val="zh-CN" w:eastAsia="zh-CN" w:bidi="zh-CN"/>
      </w:rPr>
    </w:lvl>
    <w:lvl w:ilvl="5">
      <w:start w:val="0"/>
      <w:numFmt w:val="bullet"/>
      <w:lvlText w:val="•"/>
      <w:lvlJc w:val="left"/>
      <w:pPr>
        <w:ind w:left="5293" w:hanging="316"/>
      </w:pPr>
      <w:rPr>
        <w:rFonts w:hint="default"/>
        <w:lang w:val="zh-CN" w:eastAsia="zh-CN" w:bidi="zh-CN"/>
      </w:rPr>
    </w:lvl>
    <w:lvl w:ilvl="6">
      <w:start w:val="0"/>
      <w:numFmt w:val="bullet"/>
      <w:lvlText w:val="•"/>
      <w:lvlJc w:val="left"/>
      <w:pPr>
        <w:ind w:left="6223" w:hanging="316"/>
      </w:pPr>
      <w:rPr>
        <w:rFonts w:hint="default"/>
        <w:lang w:val="zh-CN" w:eastAsia="zh-CN" w:bidi="zh-CN"/>
      </w:rPr>
    </w:lvl>
    <w:lvl w:ilvl="7">
      <w:start w:val="0"/>
      <w:numFmt w:val="bullet"/>
      <w:lvlText w:val="•"/>
      <w:lvlJc w:val="left"/>
      <w:pPr>
        <w:ind w:left="7154" w:hanging="316"/>
      </w:pPr>
      <w:rPr>
        <w:rFonts w:hint="default"/>
        <w:lang w:val="zh-CN" w:eastAsia="zh-CN" w:bidi="zh-CN"/>
      </w:rPr>
    </w:lvl>
    <w:lvl w:ilvl="8">
      <w:start w:val="0"/>
      <w:numFmt w:val="bullet"/>
      <w:lvlText w:val="•"/>
      <w:lvlJc w:val="left"/>
      <w:pPr>
        <w:ind w:left="8084" w:hanging="316"/>
      </w:pPr>
      <w:rPr>
        <w:rFonts w:hint="default"/>
        <w:lang w:val="zh-CN" w:eastAsia="zh-CN" w:bidi="zh-CN"/>
      </w:rPr>
    </w:lvl>
  </w:abstractNum>
  <w:abstractNum w:abstractNumId="68">
    <w:multiLevelType w:val="hybridMultilevel"/>
    <w:lvl w:ilvl="0">
      <w:start w:val="1"/>
      <w:numFmt w:val="lowerLetter"/>
      <w:lvlText w:val="%1."/>
      <w:lvlJc w:val="left"/>
      <w:pPr>
        <w:ind w:left="220" w:hanging="214"/>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214"/>
      </w:pPr>
      <w:rPr>
        <w:rFonts w:hint="default"/>
        <w:lang w:val="zh-CN" w:eastAsia="zh-CN" w:bidi="zh-CN"/>
      </w:rPr>
    </w:lvl>
    <w:lvl w:ilvl="2">
      <w:start w:val="0"/>
      <w:numFmt w:val="bullet"/>
      <w:lvlText w:val="•"/>
      <w:lvlJc w:val="left"/>
      <w:pPr>
        <w:ind w:left="2165" w:hanging="214"/>
      </w:pPr>
      <w:rPr>
        <w:rFonts w:hint="default"/>
        <w:lang w:val="zh-CN" w:eastAsia="zh-CN" w:bidi="zh-CN"/>
      </w:rPr>
    </w:lvl>
    <w:lvl w:ilvl="3">
      <w:start w:val="0"/>
      <w:numFmt w:val="bullet"/>
      <w:lvlText w:val="•"/>
      <w:lvlJc w:val="left"/>
      <w:pPr>
        <w:ind w:left="3137" w:hanging="214"/>
      </w:pPr>
      <w:rPr>
        <w:rFonts w:hint="default"/>
        <w:lang w:val="zh-CN" w:eastAsia="zh-CN" w:bidi="zh-CN"/>
      </w:rPr>
    </w:lvl>
    <w:lvl w:ilvl="4">
      <w:start w:val="0"/>
      <w:numFmt w:val="bullet"/>
      <w:lvlText w:val="•"/>
      <w:lvlJc w:val="left"/>
      <w:pPr>
        <w:ind w:left="4110" w:hanging="214"/>
      </w:pPr>
      <w:rPr>
        <w:rFonts w:hint="default"/>
        <w:lang w:val="zh-CN" w:eastAsia="zh-CN" w:bidi="zh-CN"/>
      </w:rPr>
    </w:lvl>
    <w:lvl w:ilvl="5">
      <w:start w:val="0"/>
      <w:numFmt w:val="bullet"/>
      <w:lvlText w:val="•"/>
      <w:lvlJc w:val="left"/>
      <w:pPr>
        <w:ind w:left="5083" w:hanging="214"/>
      </w:pPr>
      <w:rPr>
        <w:rFonts w:hint="default"/>
        <w:lang w:val="zh-CN" w:eastAsia="zh-CN" w:bidi="zh-CN"/>
      </w:rPr>
    </w:lvl>
    <w:lvl w:ilvl="6">
      <w:start w:val="0"/>
      <w:numFmt w:val="bullet"/>
      <w:lvlText w:val="•"/>
      <w:lvlJc w:val="left"/>
      <w:pPr>
        <w:ind w:left="6055" w:hanging="214"/>
      </w:pPr>
      <w:rPr>
        <w:rFonts w:hint="default"/>
        <w:lang w:val="zh-CN" w:eastAsia="zh-CN" w:bidi="zh-CN"/>
      </w:rPr>
    </w:lvl>
    <w:lvl w:ilvl="7">
      <w:start w:val="0"/>
      <w:numFmt w:val="bullet"/>
      <w:lvlText w:val="•"/>
      <w:lvlJc w:val="left"/>
      <w:pPr>
        <w:ind w:left="7028" w:hanging="214"/>
      </w:pPr>
      <w:rPr>
        <w:rFonts w:hint="default"/>
        <w:lang w:val="zh-CN" w:eastAsia="zh-CN" w:bidi="zh-CN"/>
      </w:rPr>
    </w:lvl>
    <w:lvl w:ilvl="8">
      <w:start w:val="0"/>
      <w:numFmt w:val="bullet"/>
      <w:lvlText w:val="•"/>
      <w:lvlJc w:val="left"/>
      <w:pPr>
        <w:ind w:left="8000" w:hanging="214"/>
      </w:pPr>
      <w:rPr>
        <w:rFonts w:hint="default"/>
        <w:lang w:val="zh-CN" w:eastAsia="zh-CN" w:bidi="zh-CN"/>
      </w:rPr>
    </w:lvl>
  </w:abstractNum>
  <w:abstractNum w:abstractNumId="67">
    <w:multiLevelType w:val="hybridMultilevel"/>
    <w:lvl w:ilvl="0">
      <w:start w:val="1"/>
      <w:numFmt w:val="decimal"/>
      <w:lvlText w:val="%1)"/>
      <w:lvlJc w:val="left"/>
      <w:pPr>
        <w:ind w:left="851" w:hanging="211"/>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66">
    <w:multiLevelType w:val="hybridMultilevel"/>
    <w:lvl w:ilvl="0">
      <w:start w:val="1"/>
      <w:numFmt w:val="decimal"/>
      <w:lvlText w:val="%1)"/>
      <w:lvlJc w:val="left"/>
      <w:pPr>
        <w:ind w:left="22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92" w:hanging="211"/>
      </w:pPr>
      <w:rPr>
        <w:rFonts w:hint="default"/>
        <w:lang w:val="zh-CN" w:eastAsia="zh-CN" w:bidi="zh-CN"/>
      </w:rPr>
    </w:lvl>
    <w:lvl w:ilvl="2">
      <w:start w:val="0"/>
      <w:numFmt w:val="bullet"/>
      <w:lvlText w:val="•"/>
      <w:lvlJc w:val="left"/>
      <w:pPr>
        <w:ind w:left="2165" w:hanging="211"/>
      </w:pPr>
      <w:rPr>
        <w:rFonts w:hint="default"/>
        <w:lang w:val="zh-CN" w:eastAsia="zh-CN" w:bidi="zh-CN"/>
      </w:rPr>
    </w:lvl>
    <w:lvl w:ilvl="3">
      <w:start w:val="0"/>
      <w:numFmt w:val="bullet"/>
      <w:lvlText w:val="•"/>
      <w:lvlJc w:val="left"/>
      <w:pPr>
        <w:ind w:left="3137" w:hanging="211"/>
      </w:pPr>
      <w:rPr>
        <w:rFonts w:hint="default"/>
        <w:lang w:val="zh-CN" w:eastAsia="zh-CN" w:bidi="zh-CN"/>
      </w:rPr>
    </w:lvl>
    <w:lvl w:ilvl="4">
      <w:start w:val="0"/>
      <w:numFmt w:val="bullet"/>
      <w:lvlText w:val="•"/>
      <w:lvlJc w:val="left"/>
      <w:pPr>
        <w:ind w:left="4110" w:hanging="211"/>
      </w:pPr>
      <w:rPr>
        <w:rFonts w:hint="default"/>
        <w:lang w:val="zh-CN" w:eastAsia="zh-CN" w:bidi="zh-CN"/>
      </w:rPr>
    </w:lvl>
    <w:lvl w:ilvl="5">
      <w:start w:val="0"/>
      <w:numFmt w:val="bullet"/>
      <w:lvlText w:val="•"/>
      <w:lvlJc w:val="left"/>
      <w:pPr>
        <w:ind w:left="5083" w:hanging="211"/>
      </w:pPr>
      <w:rPr>
        <w:rFonts w:hint="default"/>
        <w:lang w:val="zh-CN" w:eastAsia="zh-CN" w:bidi="zh-CN"/>
      </w:rPr>
    </w:lvl>
    <w:lvl w:ilvl="6">
      <w:start w:val="0"/>
      <w:numFmt w:val="bullet"/>
      <w:lvlText w:val="•"/>
      <w:lvlJc w:val="left"/>
      <w:pPr>
        <w:ind w:left="6055" w:hanging="211"/>
      </w:pPr>
      <w:rPr>
        <w:rFonts w:hint="default"/>
        <w:lang w:val="zh-CN" w:eastAsia="zh-CN" w:bidi="zh-CN"/>
      </w:rPr>
    </w:lvl>
    <w:lvl w:ilvl="7">
      <w:start w:val="0"/>
      <w:numFmt w:val="bullet"/>
      <w:lvlText w:val="•"/>
      <w:lvlJc w:val="left"/>
      <w:pPr>
        <w:ind w:left="7028" w:hanging="211"/>
      </w:pPr>
      <w:rPr>
        <w:rFonts w:hint="default"/>
        <w:lang w:val="zh-CN" w:eastAsia="zh-CN" w:bidi="zh-CN"/>
      </w:rPr>
    </w:lvl>
    <w:lvl w:ilvl="8">
      <w:start w:val="0"/>
      <w:numFmt w:val="bullet"/>
      <w:lvlText w:val="•"/>
      <w:lvlJc w:val="left"/>
      <w:pPr>
        <w:ind w:left="8000" w:hanging="211"/>
      </w:pPr>
      <w:rPr>
        <w:rFonts w:hint="default"/>
        <w:lang w:val="zh-CN" w:eastAsia="zh-CN" w:bidi="zh-CN"/>
      </w:rPr>
    </w:lvl>
  </w:abstractNum>
  <w:abstractNum w:abstractNumId="65">
    <w:multiLevelType w:val="hybridMultilevel"/>
    <w:lvl w:ilvl="0">
      <w:start w:val="1"/>
      <w:numFmt w:val="lowerLetter"/>
      <w:lvlText w:val="%1."/>
      <w:lvlJc w:val="left"/>
      <w:pPr>
        <w:ind w:left="22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92" w:hanging="211"/>
      </w:pPr>
      <w:rPr>
        <w:rFonts w:hint="default"/>
        <w:lang w:val="zh-CN" w:eastAsia="zh-CN" w:bidi="zh-CN"/>
      </w:rPr>
    </w:lvl>
    <w:lvl w:ilvl="2">
      <w:start w:val="0"/>
      <w:numFmt w:val="bullet"/>
      <w:lvlText w:val="•"/>
      <w:lvlJc w:val="left"/>
      <w:pPr>
        <w:ind w:left="2165" w:hanging="211"/>
      </w:pPr>
      <w:rPr>
        <w:rFonts w:hint="default"/>
        <w:lang w:val="zh-CN" w:eastAsia="zh-CN" w:bidi="zh-CN"/>
      </w:rPr>
    </w:lvl>
    <w:lvl w:ilvl="3">
      <w:start w:val="0"/>
      <w:numFmt w:val="bullet"/>
      <w:lvlText w:val="•"/>
      <w:lvlJc w:val="left"/>
      <w:pPr>
        <w:ind w:left="3137" w:hanging="211"/>
      </w:pPr>
      <w:rPr>
        <w:rFonts w:hint="default"/>
        <w:lang w:val="zh-CN" w:eastAsia="zh-CN" w:bidi="zh-CN"/>
      </w:rPr>
    </w:lvl>
    <w:lvl w:ilvl="4">
      <w:start w:val="0"/>
      <w:numFmt w:val="bullet"/>
      <w:lvlText w:val="•"/>
      <w:lvlJc w:val="left"/>
      <w:pPr>
        <w:ind w:left="4110" w:hanging="211"/>
      </w:pPr>
      <w:rPr>
        <w:rFonts w:hint="default"/>
        <w:lang w:val="zh-CN" w:eastAsia="zh-CN" w:bidi="zh-CN"/>
      </w:rPr>
    </w:lvl>
    <w:lvl w:ilvl="5">
      <w:start w:val="0"/>
      <w:numFmt w:val="bullet"/>
      <w:lvlText w:val="•"/>
      <w:lvlJc w:val="left"/>
      <w:pPr>
        <w:ind w:left="5083" w:hanging="211"/>
      </w:pPr>
      <w:rPr>
        <w:rFonts w:hint="default"/>
        <w:lang w:val="zh-CN" w:eastAsia="zh-CN" w:bidi="zh-CN"/>
      </w:rPr>
    </w:lvl>
    <w:lvl w:ilvl="6">
      <w:start w:val="0"/>
      <w:numFmt w:val="bullet"/>
      <w:lvlText w:val="•"/>
      <w:lvlJc w:val="left"/>
      <w:pPr>
        <w:ind w:left="6055" w:hanging="211"/>
      </w:pPr>
      <w:rPr>
        <w:rFonts w:hint="default"/>
        <w:lang w:val="zh-CN" w:eastAsia="zh-CN" w:bidi="zh-CN"/>
      </w:rPr>
    </w:lvl>
    <w:lvl w:ilvl="7">
      <w:start w:val="0"/>
      <w:numFmt w:val="bullet"/>
      <w:lvlText w:val="•"/>
      <w:lvlJc w:val="left"/>
      <w:pPr>
        <w:ind w:left="7028" w:hanging="211"/>
      </w:pPr>
      <w:rPr>
        <w:rFonts w:hint="default"/>
        <w:lang w:val="zh-CN" w:eastAsia="zh-CN" w:bidi="zh-CN"/>
      </w:rPr>
    </w:lvl>
    <w:lvl w:ilvl="8">
      <w:start w:val="0"/>
      <w:numFmt w:val="bullet"/>
      <w:lvlText w:val="•"/>
      <w:lvlJc w:val="left"/>
      <w:pPr>
        <w:ind w:left="8000" w:hanging="211"/>
      </w:pPr>
      <w:rPr>
        <w:rFonts w:hint="default"/>
        <w:lang w:val="zh-CN" w:eastAsia="zh-CN" w:bidi="zh-CN"/>
      </w:rPr>
    </w:lvl>
  </w:abstractNum>
  <w:abstractNum w:abstractNumId="64">
    <w:multiLevelType w:val="hybridMultilevel"/>
    <w:lvl w:ilvl="0">
      <w:start w:val="5"/>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63">
    <w:multiLevelType w:val="hybridMultilevel"/>
    <w:lvl w:ilvl="0">
      <w:start w:val="1"/>
      <w:numFmt w:val="decimal"/>
      <w:lvlText w:val="(%1)"/>
      <w:lvlJc w:val="left"/>
      <w:pPr>
        <w:ind w:left="220"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62">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61">
    <w:multiLevelType w:val="hybridMultilevel"/>
    <w:lvl w:ilvl="0">
      <w:start w:val="1"/>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60">
    <w:multiLevelType w:val="hybridMultilevel"/>
    <w:lvl w:ilvl="0">
      <w:start w:val="6"/>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59">
    <w:multiLevelType w:val="hybridMultilevel"/>
    <w:lvl w:ilvl="0">
      <w:start w:val="1"/>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58">
    <w:multiLevelType w:val="hybridMultilevel"/>
    <w:lvl w:ilvl="0">
      <w:start w:val="1"/>
      <w:numFmt w:val="decimal"/>
      <w:lvlText w:val="(%1)"/>
      <w:lvlJc w:val="left"/>
      <w:pPr>
        <w:ind w:left="220" w:hanging="316"/>
        <w:jc w:val="left"/>
      </w:pPr>
      <w:rPr>
        <w:rFonts w:hint="default" w:ascii="宋体" w:hAnsi="宋体" w:eastAsia="宋体" w:cs="宋体"/>
        <w:spacing w:val="-74"/>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57">
    <w:multiLevelType w:val="hybridMultilevel"/>
    <w:lvl w:ilvl="0">
      <w:start w:val="5"/>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56">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55">
    <w:multiLevelType w:val="hybridMultilevel"/>
    <w:lvl w:ilvl="0">
      <w:start w:val="4"/>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54">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53">
    <w:multiLevelType w:val="hybridMultilevel"/>
    <w:lvl w:ilvl="0">
      <w:start w:val="20"/>
      <w:numFmt w:val="decimal"/>
      <w:lvlText w:val="(%1)"/>
      <w:lvlJc w:val="left"/>
      <w:pPr>
        <w:ind w:left="220" w:hanging="421"/>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92" w:hanging="421"/>
      </w:pPr>
      <w:rPr>
        <w:rFonts w:hint="default"/>
        <w:lang w:val="zh-CN" w:eastAsia="zh-CN" w:bidi="zh-CN"/>
      </w:rPr>
    </w:lvl>
    <w:lvl w:ilvl="2">
      <w:start w:val="0"/>
      <w:numFmt w:val="bullet"/>
      <w:lvlText w:val="•"/>
      <w:lvlJc w:val="left"/>
      <w:pPr>
        <w:ind w:left="2165" w:hanging="421"/>
      </w:pPr>
      <w:rPr>
        <w:rFonts w:hint="default"/>
        <w:lang w:val="zh-CN" w:eastAsia="zh-CN" w:bidi="zh-CN"/>
      </w:rPr>
    </w:lvl>
    <w:lvl w:ilvl="3">
      <w:start w:val="0"/>
      <w:numFmt w:val="bullet"/>
      <w:lvlText w:val="•"/>
      <w:lvlJc w:val="left"/>
      <w:pPr>
        <w:ind w:left="3137" w:hanging="421"/>
      </w:pPr>
      <w:rPr>
        <w:rFonts w:hint="default"/>
        <w:lang w:val="zh-CN" w:eastAsia="zh-CN" w:bidi="zh-CN"/>
      </w:rPr>
    </w:lvl>
    <w:lvl w:ilvl="4">
      <w:start w:val="0"/>
      <w:numFmt w:val="bullet"/>
      <w:lvlText w:val="•"/>
      <w:lvlJc w:val="left"/>
      <w:pPr>
        <w:ind w:left="4110" w:hanging="421"/>
      </w:pPr>
      <w:rPr>
        <w:rFonts w:hint="default"/>
        <w:lang w:val="zh-CN" w:eastAsia="zh-CN" w:bidi="zh-CN"/>
      </w:rPr>
    </w:lvl>
    <w:lvl w:ilvl="5">
      <w:start w:val="0"/>
      <w:numFmt w:val="bullet"/>
      <w:lvlText w:val="•"/>
      <w:lvlJc w:val="left"/>
      <w:pPr>
        <w:ind w:left="5083" w:hanging="421"/>
      </w:pPr>
      <w:rPr>
        <w:rFonts w:hint="default"/>
        <w:lang w:val="zh-CN" w:eastAsia="zh-CN" w:bidi="zh-CN"/>
      </w:rPr>
    </w:lvl>
    <w:lvl w:ilvl="6">
      <w:start w:val="0"/>
      <w:numFmt w:val="bullet"/>
      <w:lvlText w:val="•"/>
      <w:lvlJc w:val="left"/>
      <w:pPr>
        <w:ind w:left="6055" w:hanging="421"/>
      </w:pPr>
      <w:rPr>
        <w:rFonts w:hint="default"/>
        <w:lang w:val="zh-CN" w:eastAsia="zh-CN" w:bidi="zh-CN"/>
      </w:rPr>
    </w:lvl>
    <w:lvl w:ilvl="7">
      <w:start w:val="0"/>
      <w:numFmt w:val="bullet"/>
      <w:lvlText w:val="•"/>
      <w:lvlJc w:val="left"/>
      <w:pPr>
        <w:ind w:left="7028" w:hanging="421"/>
      </w:pPr>
      <w:rPr>
        <w:rFonts w:hint="default"/>
        <w:lang w:val="zh-CN" w:eastAsia="zh-CN" w:bidi="zh-CN"/>
      </w:rPr>
    </w:lvl>
    <w:lvl w:ilvl="8">
      <w:start w:val="0"/>
      <w:numFmt w:val="bullet"/>
      <w:lvlText w:val="•"/>
      <w:lvlJc w:val="left"/>
      <w:pPr>
        <w:ind w:left="8000" w:hanging="421"/>
      </w:pPr>
      <w:rPr>
        <w:rFonts w:hint="default"/>
        <w:lang w:val="zh-CN" w:eastAsia="zh-CN" w:bidi="zh-CN"/>
      </w:rPr>
    </w:lvl>
  </w:abstractNum>
  <w:abstractNum w:abstractNumId="52">
    <w:multiLevelType w:val="hybridMultilevel"/>
    <w:lvl w:ilvl="0">
      <w:start w:val="17"/>
      <w:numFmt w:val="decimal"/>
      <w:lvlText w:val="(%1)"/>
      <w:lvlJc w:val="left"/>
      <w:pPr>
        <w:ind w:left="220" w:hanging="421"/>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92" w:hanging="421"/>
      </w:pPr>
      <w:rPr>
        <w:rFonts w:hint="default"/>
        <w:lang w:val="zh-CN" w:eastAsia="zh-CN" w:bidi="zh-CN"/>
      </w:rPr>
    </w:lvl>
    <w:lvl w:ilvl="2">
      <w:start w:val="0"/>
      <w:numFmt w:val="bullet"/>
      <w:lvlText w:val="•"/>
      <w:lvlJc w:val="left"/>
      <w:pPr>
        <w:ind w:left="2165" w:hanging="421"/>
      </w:pPr>
      <w:rPr>
        <w:rFonts w:hint="default"/>
        <w:lang w:val="zh-CN" w:eastAsia="zh-CN" w:bidi="zh-CN"/>
      </w:rPr>
    </w:lvl>
    <w:lvl w:ilvl="3">
      <w:start w:val="0"/>
      <w:numFmt w:val="bullet"/>
      <w:lvlText w:val="•"/>
      <w:lvlJc w:val="left"/>
      <w:pPr>
        <w:ind w:left="3137" w:hanging="421"/>
      </w:pPr>
      <w:rPr>
        <w:rFonts w:hint="default"/>
        <w:lang w:val="zh-CN" w:eastAsia="zh-CN" w:bidi="zh-CN"/>
      </w:rPr>
    </w:lvl>
    <w:lvl w:ilvl="4">
      <w:start w:val="0"/>
      <w:numFmt w:val="bullet"/>
      <w:lvlText w:val="•"/>
      <w:lvlJc w:val="left"/>
      <w:pPr>
        <w:ind w:left="4110" w:hanging="421"/>
      </w:pPr>
      <w:rPr>
        <w:rFonts w:hint="default"/>
        <w:lang w:val="zh-CN" w:eastAsia="zh-CN" w:bidi="zh-CN"/>
      </w:rPr>
    </w:lvl>
    <w:lvl w:ilvl="5">
      <w:start w:val="0"/>
      <w:numFmt w:val="bullet"/>
      <w:lvlText w:val="•"/>
      <w:lvlJc w:val="left"/>
      <w:pPr>
        <w:ind w:left="5083" w:hanging="421"/>
      </w:pPr>
      <w:rPr>
        <w:rFonts w:hint="default"/>
        <w:lang w:val="zh-CN" w:eastAsia="zh-CN" w:bidi="zh-CN"/>
      </w:rPr>
    </w:lvl>
    <w:lvl w:ilvl="6">
      <w:start w:val="0"/>
      <w:numFmt w:val="bullet"/>
      <w:lvlText w:val="•"/>
      <w:lvlJc w:val="left"/>
      <w:pPr>
        <w:ind w:left="6055" w:hanging="421"/>
      </w:pPr>
      <w:rPr>
        <w:rFonts w:hint="default"/>
        <w:lang w:val="zh-CN" w:eastAsia="zh-CN" w:bidi="zh-CN"/>
      </w:rPr>
    </w:lvl>
    <w:lvl w:ilvl="7">
      <w:start w:val="0"/>
      <w:numFmt w:val="bullet"/>
      <w:lvlText w:val="•"/>
      <w:lvlJc w:val="left"/>
      <w:pPr>
        <w:ind w:left="7028" w:hanging="421"/>
      </w:pPr>
      <w:rPr>
        <w:rFonts w:hint="default"/>
        <w:lang w:val="zh-CN" w:eastAsia="zh-CN" w:bidi="zh-CN"/>
      </w:rPr>
    </w:lvl>
    <w:lvl w:ilvl="8">
      <w:start w:val="0"/>
      <w:numFmt w:val="bullet"/>
      <w:lvlText w:val="•"/>
      <w:lvlJc w:val="left"/>
      <w:pPr>
        <w:ind w:left="8000" w:hanging="421"/>
      </w:pPr>
      <w:rPr>
        <w:rFonts w:hint="default"/>
        <w:lang w:val="zh-CN" w:eastAsia="zh-CN" w:bidi="zh-CN"/>
      </w:rPr>
    </w:lvl>
  </w:abstractNum>
  <w:abstractNum w:abstractNumId="51">
    <w:multiLevelType w:val="hybridMultilevel"/>
    <w:lvl w:ilvl="0">
      <w:start w:val="12"/>
      <w:numFmt w:val="decimal"/>
      <w:lvlText w:val="(%1)"/>
      <w:lvlJc w:val="left"/>
      <w:pPr>
        <w:ind w:left="220" w:hanging="421"/>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192" w:hanging="421"/>
      </w:pPr>
      <w:rPr>
        <w:rFonts w:hint="default"/>
        <w:lang w:val="zh-CN" w:eastAsia="zh-CN" w:bidi="zh-CN"/>
      </w:rPr>
    </w:lvl>
    <w:lvl w:ilvl="2">
      <w:start w:val="0"/>
      <w:numFmt w:val="bullet"/>
      <w:lvlText w:val="•"/>
      <w:lvlJc w:val="left"/>
      <w:pPr>
        <w:ind w:left="2165" w:hanging="421"/>
      </w:pPr>
      <w:rPr>
        <w:rFonts w:hint="default"/>
        <w:lang w:val="zh-CN" w:eastAsia="zh-CN" w:bidi="zh-CN"/>
      </w:rPr>
    </w:lvl>
    <w:lvl w:ilvl="3">
      <w:start w:val="0"/>
      <w:numFmt w:val="bullet"/>
      <w:lvlText w:val="•"/>
      <w:lvlJc w:val="left"/>
      <w:pPr>
        <w:ind w:left="3137" w:hanging="421"/>
      </w:pPr>
      <w:rPr>
        <w:rFonts w:hint="default"/>
        <w:lang w:val="zh-CN" w:eastAsia="zh-CN" w:bidi="zh-CN"/>
      </w:rPr>
    </w:lvl>
    <w:lvl w:ilvl="4">
      <w:start w:val="0"/>
      <w:numFmt w:val="bullet"/>
      <w:lvlText w:val="•"/>
      <w:lvlJc w:val="left"/>
      <w:pPr>
        <w:ind w:left="4110" w:hanging="421"/>
      </w:pPr>
      <w:rPr>
        <w:rFonts w:hint="default"/>
        <w:lang w:val="zh-CN" w:eastAsia="zh-CN" w:bidi="zh-CN"/>
      </w:rPr>
    </w:lvl>
    <w:lvl w:ilvl="5">
      <w:start w:val="0"/>
      <w:numFmt w:val="bullet"/>
      <w:lvlText w:val="•"/>
      <w:lvlJc w:val="left"/>
      <w:pPr>
        <w:ind w:left="5083" w:hanging="421"/>
      </w:pPr>
      <w:rPr>
        <w:rFonts w:hint="default"/>
        <w:lang w:val="zh-CN" w:eastAsia="zh-CN" w:bidi="zh-CN"/>
      </w:rPr>
    </w:lvl>
    <w:lvl w:ilvl="6">
      <w:start w:val="0"/>
      <w:numFmt w:val="bullet"/>
      <w:lvlText w:val="•"/>
      <w:lvlJc w:val="left"/>
      <w:pPr>
        <w:ind w:left="6055" w:hanging="421"/>
      </w:pPr>
      <w:rPr>
        <w:rFonts w:hint="default"/>
        <w:lang w:val="zh-CN" w:eastAsia="zh-CN" w:bidi="zh-CN"/>
      </w:rPr>
    </w:lvl>
    <w:lvl w:ilvl="7">
      <w:start w:val="0"/>
      <w:numFmt w:val="bullet"/>
      <w:lvlText w:val="•"/>
      <w:lvlJc w:val="left"/>
      <w:pPr>
        <w:ind w:left="7028" w:hanging="421"/>
      </w:pPr>
      <w:rPr>
        <w:rFonts w:hint="default"/>
        <w:lang w:val="zh-CN" w:eastAsia="zh-CN" w:bidi="zh-CN"/>
      </w:rPr>
    </w:lvl>
    <w:lvl w:ilvl="8">
      <w:start w:val="0"/>
      <w:numFmt w:val="bullet"/>
      <w:lvlText w:val="•"/>
      <w:lvlJc w:val="left"/>
      <w:pPr>
        <w:ind w:left="8000" w:hanging="421"/>
      </w:pPr>
      <w:rPr>
        <w:rFonts w:hint="default"/>
        <w:lang w:val="zh-CN" w:eastAsia="zh-CN" w:bidi="zh-CN"/>
      </w:rPr>
    </w:lvl>
  </w:abstractNum>
  <w:abstractNum w:abstractNumId="50">
    <w:multiLevelType w:val="hybridMultilevel"/>
    <w:lvl w:ilvl="0">
      <w:start w:val="7"/>
      <w:numFmt w:val="decimal"/>
      <w:lvlText w:val="(%1)"/>
      <w:lvlJc w:val="left"/>
      <w:pPr>
        <w:ind w:left="220"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49">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48">
    <w:multiLevelType w:val="hybridMultilevel"/>
    <w:lvl w:ilvl="0">
      <w:start w:val="5"/>
      <w:numFmt w:val="decimal"/>
      <w:lvlText w:val="(%1)"/>
      <w:lvlJc w:val="left"/>
      <w:pPr>
        <w:ind w:left="220" w:hanging="316"/>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47">
    <w:multiLevelType w:val="hybridMultilevel"/>
    <w:lvl w:ilvl="0">
      <w:start w:val="21"/>
      <w:numFmt w:val="decimal"/>
      <w:lvlText w:val="(%1)"/>
      <w:lvlJc w:val="left"/>
      <w:pPr>
        <w:ind w:left="220" w:hanging="42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92" w:hanging="421"/>
      </w:pPr>
      <w:rPr>
        <w:rFonts w:hint="default"/>
        <w:lang w:val="zh-CN" w:eastAsia="zh-CN" w:bidi="zh-CN"/>
      </w:rPr>
    </w:lvl>
    <w:lvl w:ilvl="2">
      <w:start w:val="0"/>
      <w:numFmt w:val="bullet"/>
      <w:lvlText w:val="•"/>
      <w:lvlJc w:val="left"/>
      <w:pPr>
        <w:ind w:left="2165" w:hanging="421"/>
      </w:pPr>
      <w:rPr>
        <w:rFonts w:hint="default"/>
        <w:lang w:val="zh-CN" w:eastAsia="zh-CN" w:bidi="zh-CN"/>
      </w:rPr>
    </w:lvl>
    <w:lvl w:ilvl="3">
      <w:start w:val="0"/>
      <w:numFmt w:val="bullet"/>
      <w:lvlText w:val="•"/>
      <w:lvlJc w:val="left"/>
      <w:pPr>
        <w:ind w:left="3137" w:hanging="421"/>
      </w:pPr>
      <w:rPr>
        <w:rFonts w:hint="default"/>
        <w:lang w:val="zh-CN" w:eastAsia="zh-CN" w:bidi="zh-CN"/>
      </w:rPr>
    </w:lvl>
    <w:lvl w:ilvl="4">
      <w:start w:val="0"/>
      <w:numFmt w:val="bullet"/>
      <w:lvlText w:val="•"/>
      <w:lvlJc w:val="left"/>
      <w:pPr>
        <w:ind w:left="4110" w:hanging="421"/>
      </w:pPr>
      <w:rPr>
        <w:rFonts w:hint="default"/>
        <w:lang w:val="zh-CN" w:eastAsia="zh-CN" w:bidi="zh-CN"/>
      </w:rPr>
    </w:lvl>
    <w:lvl w:ilvl="5">
      <w:start w:val="0"/>
      <w:numFmt w:val="bullet"/>
      <w:lvlText w:val="•"/>
      <w:lvlJc w:val="left"/>
      <w:pPr>
        <w:ind w:left="5083" w:hanging="421"/>
      </w:pPr>
      <w:rPr>
        <w:rFonts w:hint="default"/>
        <w:lang w:val="zh-CN" w:eastAsia="zh-CN" w:bidi="zh-CN"/>
      </w:rPr>
    </w:lvl>
    <w:lvl w:ilvl="6">
      <w:start w:val="0"/>
      <w:numFmt w:val="bullet"/>
      <w:lvlText w:val="•"/>
      <w:lvlJc w:val="left"/>
      <w:pPr>
        <w:ind w:left="6055" w:hanging="421"/>
      </w:pPr>
      <w:rPr>
        <w:rFonts w:hint="default"/>
        <w:lang w:val="zh-CN" w:eastAsia="zh-CN" w:bidi="zh-CN"/>
      </w:rPr>
    </w:lvl>
    <w:lvl w:ilvl="7">
      <w:start w:val="0"/>
      <w:numFmt w:val="bullet"/>
      <w:lvlText w:val="•"/>
      <w:lvlJc w:val="left"/>
      <w:pPr>
        <w:ind w:left="7028" w:hanging="421"/>
      </w:pPr>
      <w:rPr>
        <w:rFonts w:hint="default"/>
        <w:lang w:val="zh-CN" w:eastAsia="zh-CN" w:bidi="zh-CN"/>
      </w:rPr>
    </w:lvl>
    <w:lvl w:ilvl="8">
      <w:start w:val="0"/>
      <w:numFmt w:val="bullet"/>
      <w:lvlText w:val="•"/>
      <w:lvlJc w:val="left"/>
      <w:pPr>
        <w:ind w:left="8000" w:hanging="421"/>
      </w:pPr>
      <w:rPr>
        <w:rFonts w:hint="default"/>
        <w:lang w:val="zh-CN" w:eastAsia="zh-CN" w:bidi="zh-CN"/>
      </w:rPr>
    </w:lvl>
  </w:abstractNum>
  <w:abstractNum w:abstractNumId="46">
    <w:multiLevelType w:val="hybridMultilevel"/>
    <w:lvl w:ilvl="0">
      <w:start w:val="17"/>
      <w:numFmt w:val="decimal"/>
      <w:lvlText w:val="(%1)"/>
      <w:lvlJc w:val="left"/>
      <w:pPr>
        <w:ind w:left="1061" w:hanging="421"/>
        <w:jc w:val="left"/>
      </w:pPr>
      <w:rPr>
        <w:rFonts w:hint="default" w:ascii="宋体" w:hAnsi="宋体" w:eastAsia="宋体" w:cs="宋体"/>
        <w:w w:val="100"/>
        <w:sz w:val="19"/>
        <w:szCs w:val="19"/>
        <w:lang w:val="zh-CN" w:eastAsia="zh-CN" w:bidi="zh-CN"/>
      </w:rPr>
    </w:lvl>
    <w:lvl w:ilvl="1">
      <w:start w:val="0"/>
      <w:numFmt w:val="bullet"/>
      <w:lvlText w:val="•"/>
      <w:lvlJc w:val="left"/>
      <w:pPr>
        <w:ind w:left="194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725" w:hanging="421"/>
      </w:pPr>
      <w:rPr>
        <w:rFonts w:hint="default"/>
        <w:lang w:val="zh-CN" w:eastAsia="zh-CN" w:bidi="zh-CN"/>
      </w:rPr>
    </w:lvl>
    <w:lvl w:ilvl="4">
      <w:start w:val="0"/>
      <w:numFmt w:val="bullet"/>
      <w:lvlText w:val="•"/>
      <w:lvlJc w:val="left"/>
      <w:pPr>
        <w:ind w:left="4614" w:hanging="421"/>
      </w:pPr>
      <w:rPr>
        <w:rFonts w:hint="default"/>
        <w:lang w:val="zh-CN" w:eastAsia="zh-CN" w:bidi="zh-CN"/>
      </w:rPr>
    </w:lvl>
    <w:lvl w:ilvl="5">
      <w:start w:val="0"/>
      <w:numFmt w:val="bullet"/>
      <w:lvlText w:val="•"/>
      <w:lvlJc w:val="left"/>
      <w:pPr>
        <w:ind w:left="5503" w:hanging="421"/>
      </w:pPr>
      <w:rPr>
        <w:rFonts w:hint="default"/>
        <w:lang w:val="zh-CN" w:eastAsia="zh-CN" w:bidi="zh-CN"/>
      </w:rPr>
    </w:lvl>
    <w:lvl w:ilvl="6">
      <w:start w:val="0"/>
      <w:numFmt w:val="bullet"/>
      <w:lvlText w:val="•"/>
      <w:lvlJc w:val="left"/>
      <w:pPr>
        <w:ind w:left="6391" w:hanging="421"/>
      </w:pPr>
      <w:rPr>
        <w:rFonts w:hint="default"/>
        <w:lang w:val="zh-CN" w:eastAsia="zh-CN" w:bidi="zh-CN"/>
      </w:rPr>
    </w:lvl>
    <w:lvl w:ilvl="7">
      <w:start w:val="0"/>
      <w:numFmt w:val="bullet"/>
      <w:lvlText w:val="•"/>
      <w:lvlJc w:val="left"/>
      <w:pPr>
        <w:ind w:left="7280" w:hanging="421"/>
      </w:pPr>
      <w:rPr>
        <w:rFonts w:hint="default"/>
        <w:lang w:val="zh-CN" w:eastAsia="zh-CN" w:bidi="zh-CN"/>
      </w:rPr>
    </w:lvl>
    <w:lvl w:ilvl="8">
      <w:start w:val="0"/>
      <w:numFmt w:val="bullet"/>
      <w:lvlText w:val="•"/>
      <w:lvlJc w:val="left"/>
      <w:pPr>
        <w:ind w:left="8168" w:hanging="421"/>
      </w:pPr>
      <w:rPr>
        <w:rFonts w:hint="default"/>
        <w:lang w:val="zh-CN" w:eastAsia="zh-CN" w:bidi="zh-CN"/>
      </w:rPr>
    </w:lvl>
  </w:abstractNum>
  <w:abstractNum w:abstractNumId="45">
    <w:multiLevelType w:val="hybridMultilevel"/>
    <w:lvl w:ilvl="0">
      <w:start w:val="12"/>
      <w:numFmt w:val="decimal"/>
      <w:lvlText w:val="(%1)"/>
      <w:lvlJc w:val="left"/>
      <w:pPr>
        <w:ind w:left="1061" w:hanging="421"/>
        <w:jc w:val="left"/>
      </w:pPr>
      <w:rPr>
        <w:rFonts w:hint="default" w:ascii="宋体" w:hAnsi="宋体" w:eastAsia="宋体" w:cs="宋体"/>
        <w:w w:val="100"/>
        <w:sz w:val="19"/>
        <w:szCs w:val="19"/>
        <w:lang w:val="zh-CN" w:eastAsia="zh-CN" w:bidi="zh-CN"/>
      </w:rPr>
    </w:lvl>
    <w:lvl w:ilvl="1">
      <w:start w:val="0"/>
      <w:numFmt w:val="bullet"/>
      <w:lvlText w:val="•"/>
      <w:lvlJc w:val="left"/>
      <w:pPr>
        <w:ind w:left="194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725" w:hanging="421"/>
      </w:pPr>
      <w:rPr>
        <w:rFonts w:hint="default"/>
        <w:lang w:val="zh-CN" w:eastAsia="zh-CN" w:bidi="zh-CN"/>
      </w:rPr>
    </w:lvl>
    <w:lvl w:ilvl="4">
      <w:start w:val="0"/>
      <w:numFmt w:val="bullet"/>
      <w:lvlText w:val="•"/>
      <w:lvlJc w:val="left"/>
      <w:pPr>
        <w:ind w:left="4614" w:hanging="421"/>
      </w:pPr>
      <w:rPr>
        <w:rFonts w:hint="default"/>
        <w:lang w:val="zh-CN" w:eastAsia="zh-CN" w:bidi="zh-CN"/>
      </w:rPr>
    </w:lvl>
    <w:lvl w:ilvl="5">
      <w:start w:val="0"/>
      <w:numFmt w:val="bullet"/>
      <w:lvlText w:val="•"/>
      <w:lvlJc w:val="left"/>
      <w:pPr>
        <w:ind w:left="5503" w:hanging="421"/>
      </w:pPr>
      <w:rPr>
        <w:rFonts w:hint="default"/>
        <w:lang w:val="zh-CN" w:eastAsia="zh-CN" w:bidi="zh-CN"/>
      </w:rPr>
    </w:lvl>
    <w:lvl w:ilvl="6">
      <w:start w:val="0"/>
      <w:numFmt w:val="bullet"/>
      <w:lvlText w:val="•"/>
      <w:lvlJc w:val="left"/>
      <w:pPr>
        <w:ind w:left="6391" w:hanging="421"/>
      </w:pPr>
      <w:rPr>
        <w:rFonts w:hint="default"/>
        <w:lang w:val="zh-CN" w:eastAsia="zh-CN" w:bidi="zh-CN"/>
      </w:rPr>
    </w:lvl>
    <w:lvl w:ilvl="7">
      <w:start w:val="0"/>
      <w:numFmt w:val="bullet"/>
      <w:lvlText w:val="•"/>
      <w:lvlJc w:val="left"/>
      <w:pPr>
        <w:ind w:left="7280" w:hanging="421"/>
      </w:pPr>
      <w:rPr>
        <w:rFonts w:hint="default"/>
        <w:lang w:val="zh-CN" w:eastAsia="zh-CN" w:bidi="zh-CN"/>
      </w:rPr>
    </w:lvl>
    <w:lvl w:ilvl="8">
      <w:start w:val="0"/>
      <w:numFmt w:val="bullet"/>
      <w:lvlText w:val="•"/>
      <w:lvlJc w:val="left"/>
      <w:pPr>
        <w:ind w:left="8168" w:hanging="421"/>
      </w:pPr>
      <w:rPr>
        <w:rFonts w:hint="default"/>
        <w:lang w:val="zh-CN" w:eastAsia="zh-CN" w:bidi="zh-CN"/>
      </w:rPr>
    </w:lvl>
  </w:abstractNum>
  <w:abstractNum w:abstractNumId="44">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43">
    <w:multiLevelType w:val="hybridMultilevel"/>
    <w:lvl w:ilvl="0">
      <w:start w:val="4"/>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42">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41">
    <w:multiLevelType w:val="hybridMultilevel"/>
    <w:lvl w:ilvl="0">
      <w:start w:val="4"/>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40">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39">
    <w:multiLevelType w:val="hybridMultilevel"/>
    <w:lvl w:ilvl="0">
      <w:start w:val="1"/>
      <w:numFmt w:val="decimal"/>
      <w:lvlText w:val="(%1)"/>
      <w:lvlJc w:val="left"/>
      <w:pPr>
        <w:ind w:left="220" w:hanging="316"/>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38">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37">
    <w:multiLevelType w:val="hybridMultilevel"/>
    <w:lvl w:ilvl="0">
      <w:start w:val="5"/>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36">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038" w:hanging="526"/>
      </w:pPr>
      <w:rPr>
        <w:rFonts w:hint="default"/>
        <w:lang w:val="zh-CN" w:eastAsia="zh-CN" w:bidi="zh-CN"/>
      </w:rPr>
    </w:lvl>
    <w:lvl w:ilvl="2">
      <w:start w:val="0"/>
      <w:numFmt w:val="bullet"/>
      <w:lvlText w:val="•"/>
      <w:lvlJc w:val="left"/>
      <w:pPr>
        <w:ind w:left="2917" w:hanging="526"/>
      </w:pPr>
      <w:rPr>
        <w:rFonts w:hint="default"/>
        <w:lang w:val="zh-CN" w:eastAsia="zh-CN" w:bidi="zh-CN"/>
      </w:rPr>
    </w:lvl>
    <w:lvl w:ilvl="3">
      <w:start w:val="0"/>
      <w:numFmt w:val="bullet"/>
      <w:lvlText w:val="•"/>
      <w:lvlJc w:val="left"/>
      <w:pPr>
        <w:ind w:left="3795" w:hanging="526"/>
      </w:pPr>
      <w:rPr>
        <w:rFonts w:hint="default"/>
        <w:lang w:val="zh-CN" w:eastAsia="zh-CN" w:bidi="zh-CN"/>
      </w:rPr>
    </w:lvl>
    <w:lvl w:ilvl="4">
      <w:start w:val="0"/>
      <w:numFmt w:val="bullet"/>
      <w:lvlText w:val="•"/>
      <w:lvlJc w:val="left"/>
      <w:pPr>
        <w:ind w:left="4674" w:hanging="526"/>
      </w:pPr>
      <w:rPr>
        <w:rFonts w:hint="default"/>
        <w:lang w:val="zh-CN" w:eastAsia="zh-CN" w:bidi="zh-CN"/>
      </w:rPr>
    </w:lvl>
    <w:lvl w:ilvl="5">
      <w:start w:val="0"/>
      <w:numFmt w:val="bullet"/>
      <w:lvlText w:val="•"/>
      <w:lvlJc w:val="left"/>
      <w:pPr>
        <w:ind w:left="5553" w:hanging="526"/>
      </w:pPr>
      <w:rPr>
        <w:rFonts w:hint="default"/>
        <w:lang w:val="zh-CN" w:eastAsia="zh-CN" w:bidi="zh-CN"/>
      </w:rPr>
    </w:lvl>
    <w:lvl w:ilvl="6">
      <w:start w:val="0"/>
      <w:numFmt w:val="bullet"/>
      <w:lvlText w:val="•"/>
      <w:lvlJc w:val="left"/>
      <w:pPr>
        <w:ind w:left="6431" w:hanging="526"/>
      </w:pPr>
      <w:rPr>
        <w:rFonts w:hint="default"/>
        <w:lang w:val="zh-CN" w:eastAsia="zh-CN" w:bidi="zh-CN"/>
      </w:rPr>
    </w:lvl>
    <w:lvl w:ilvl="7">
      <w:start w:val="0"/>
      <w:numFmt w:val="bullet"/>
      <w:lvlText w:val="•"/>
      <w:lvlJc w:val="left"/>
      <w:pPr>
        <w:ind w:left="7310" w:hanging="526"/>
      </w:pPr>
      <w:rPr>
        <w:rFonts w:hint="default"/>
        <w:lang w:val="zh-CN" w:eastAsia="zh-CN" w:bidi="zh-CN"/>
      </w:rPr>
    </w:lvl>
    <w:lvl w:ilvl="8">
      <w:start w:val="0"/>
      <w:numFmt w:val="bullet"/>
      <w:lvlText w:val="•"/>
      <w:lvlJc w:val="left"/>
      <w:pPr>
        <w:ind w:left="8188" w:hanging="526"/>
      </w:pPr>
      <w:rPr>
        <w:rFonts w:hint="default"/>
        <w:lang w:val="zh-CN" w:eastAsia="zh-CN" w:bidi="zh-CN"/>
      </w:rPr>
    </w:lvl>
  </w:abstractNum>
  <w:abstractNum w:abstractNumId="35">
    <w:multiLevelType w:val="hybridMultilevel"/>
    <w:lvl w:ilvl="0">
      <w:start w:val="1"/>
      <w:numFmt w:val="decimal"/>
      <w:lvlText w:val="（%1）"/>
      <w:lvlJc w:val="left"/>
      <w:pPr>
        <w:ind w:left="2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92" w:hanging="527"/>
      </w:pPr>
      <w:rPr>
        <w:rFonts w:hint="default"/>
        <w:lang w:val="zh-CN" w:eastAsia="zh-CN" w:bidi="zh-CN"/>
      </w:rPr>
    </w:lvl>
    <w:lvl w:ilvl="2">
      <w:start w:val="0"/>
      <w:numFmt w:val="bullet"/>
      <w:lvlText w:val="•"/>
      <w:lvlJc w:val="left"/>
      <w:pPr>
        <w:ind w:left="2165" w:hanging="527"/>
      </w:pPr>
      <w:rPr>
        <w:rFonts w:hint="default"/>
        <w:lang w:val="zh-CN" w:eastAsia="zh-CN" w:bidi="zh-CN"/>
      </w:rPr>
    </w:lvl>
    <w:lvl w:ilvl="3">
      <w:start w:val="0"/>
      <w:numFmt w:val="bullet"/>
      <w:lvlText w:val="•"/>
      <w:lvlJc w:val="left"/>
      <w:pPr>
        <w:ind w:left="3137" w:hanging="527"/>
      </w:pPr>
      <w:rPr>
        <w:rFonts w:hint="default"/>
        <w:lang w:val="zh-CN" w:eastAsia="zh-CN" w:bidi="zh-CN"/>
      </w:rPr>
    </w:lvl>
    <w:lvl w:ilvl="4">
      <w:start w:val="0"/>
      <w:numFmt w:val="bullet"/>
      <w:lvlText w:val="•"/>
      <w:lvlJc w:val="left"/>
      <w:pPr>
        <w:ind w:left="4110" w:hanging="527"/>
      </w:pPr>
      <w:rPr>
        <w:rFonts w:hint="default"/>
        <w:lang w:val="zh-CN" w:eastAsia="zh-CN" w:bidi="zh-CN"/>
      </w:rPr>
    </w:lvl>
    <w:lvl w:ilvl="5">
      <w:start w:val="0"/>
      <w:numFmt w:val="bullet"/>
      <w:lvlText w:val="•"/>
      <w:lvlJc w:val="left"/>
      <w:pPr>
        <w:ind w:left="5083" w:hanging="527"/>
      </w:pPr>
      <w:rPr>
        <w:rFonts w:hint="default"/>
        <w:lang w:val="zh-CN" w:eastAsia="zh-CN" w:bidi="zh-CN"/>
      </w:rPr>
    </w:lvl>
    <w:lvl w:ilvl="6">
      <w:start w:val="0"/>
      <w:numFmt w:val="bullet"/>
      <w:lvlText w:val="•"/>
      <w:lvlJc w:val="left"/>
      <w:pPr>
        <w:ind w:left="6055" w:hanging="527"/>
      </w:pPr>
      <w:rPr>
        <w:rFonts w:hint="default"/>
        <w:lang w:val="zh-CN" w:eastAsia="zh-CN" w:bidi="zh-CN"/>
      </w:rPr>
    </w:lvl>
    <w:lvl w:ilvl="7">
      <w:start w:val="0"/>
      <w:numFmt w:val="bullet"/>
      <w:lvlText w:val="•"/>
      <w:lvlJc w:val="left"/>
      <w:pPr>
        <w:ind w:left="7028" w:hanging="527"/>
      </w:pPr>
      <w:rPr>
        <w:rFonts w:hint="default"/>
        <w:lang w:val="zh-CN" w:eastAsia="zh-CN" w:bidi="zh-CN"/>
      </w:rPr>
    </w:lvl>
    <w:lvl w:ilvl="8">
      <w:start w:val="0"/>
      <w:numFmt w:val="bullet"/>
      <w:lvlText w:val="•"/>
      <w:lvlJc w:val="left"/>
      <w:pPr>
        <w:ind w:left="8000" w:hanging="527"/>
      </w:pPr>
      <w:rPr>
        <w:rFonts w:hint="default"/>
        <w:lang w:val="zh-CN" w:eastAsia="zh-CN" w:bidi="zh-CN"/>
      </w:rPr>
    </w:lvl>
  </w:abstractNum>
  <w:abstractNum w:abstractNumId="34">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527"/>
      </w:pPr>
      <w:rPr>
        <w:rFonts w:hint="default"/>
        <w:lang w:val="zh-CN" w:eastAsia="zh-CN" w:bidi="zh-CN"/>
      </w:rPr>
    </w:lvl>
    <w:lvl w:ilvl="2">
      <w:start w:val="0"/>
      <w:numFmt w:val="bullet"/>
      <w:lvlText w:val="•"/>
      <w:lvlJc w:val="left"/>
      <w:pPr>
        <w:ind w:left="2165" w:hanging="527"/>
      </w:pPr>
      <w:rPr>
        <w:rFonts w:hint="default"/>
        <w:lang w:val="zh-CN" w:eastAsia="zh-CN" w:bidi="zh-CN"/>
      </w:rPr>
    </w:lvl>
    <w:lvl w:ilvl="3">
      <w:start w:val="0"/>
      <w:numFmt w:val="bullet"/>
      <w:lvlText w:val="•"/>
      <w:lvlJc w:val="left"/>
      <w:pPr>
        <w:ind w:left="3137" w:hanging="527"/>
      </w:pPr>
      <w:rPr>
        <w:rFonts w:hint="default"/>
        <w:lang w:val="zh-CN" w:eastAsia="zh-CN" w:bidi="zh-CN"/>
      </w:rPr>
    </w:lvl>
    <w:lvl w:ilvl="4">
      <w:start w:val="0"/>
      <w:numFmt w:val="bullet"/>
      <w:lvlText w:val="•"/>
      <w:lvlJc w:val="left"/>
      <w:pPr>
        <w:ind w:left="4110" w:hanging="527"/>
      </w:pPr>
      <w:rPr>
        <w:rFonts w:hint="default"/>
        <w:lang w:val="zh-CN" w:eastAsia="zh-CN" w:bidi="zh-CN"/>
      </w:rPr>
    </w:lvl>
    <w:lvl w:ilvl="5">
      <w:start w:val="0"/>
      <w:numFmt w:val="bullet"/>
      <w:lvlText w:val="•"/>
      <w:lvlJc w:val="left"/>
      <w:pPr>
        <w:ind w:left="5083" w:hanging="527"/>
      </w:pPr>
      <w:rPr>
        <w:rFonts w:hint="default"/>
        <w:lang w:val="zh-CN" w:eastAsia="zh-CN" w:bidi="zh-CN"/>
      </w:rPr>
    </w:lvl>
    <w:lvl w:ilvl="6">
      <w:start w:val="0"/>
      <w:numFmt w:val="bullet"/>
      <w:lvlText w:val="•"/>
      <w:lvlJc w:val="left"/>
      <w:pPr>
        <w:ind w:left="6055" w:hanging="527"/>
      </w:pPr>
      <w:rPr>
        <w:rFonts w:hint="default"/>
        <w:lang w:val="zh-CN" w:eastAsia="zh-CN" w:bidi="zh-CN"/>
      </w:rPr>
    </w:lvl>
    <w:lvl w:ilvl="7">
      <w:start w:val="0"/>
      <w:numFmt w:val="bullet"/>
      <w:lvlText w:val="•"/>
      <w:lvlJc w:val="left"/>
      <w:pPr>
        <w:ind w:left="7028" w:hanging="527"/>
      </w:pPr>
      <w:rPr>
        <w:rFonts w:hint="default"/>
        <w:lang w:val="zh-CN" w:eastAsia="zh-CN" w:bidi="zh-CN"/>
      </w:rPr>
    </w:lvl>
    <w:lvl w:ilvl="8">
      <w:start w:val="0"/>
      <w:numFmt w:val="bullet"/>
      <w:lvlText w:val="•"/>
      <w:lvlJc w:val="left"/>
      <w:pPr>
        <w:ind w:left="8000" w:hanging="527"/>
      </w:pPr>
      <w:rPr>
        <w:rFonts w:hint="default"/>
        <w:lang w:val="zh-CN" w:eastAsia="zh-CN" w:bidi="zh-CN"/>
      </w:rPr>
    </w:lvl>
  </w:abstractNum>
  <w:abstractNum w:abstractNumId="33">
    <w:multiLevelType w:val="hybridMultilevel"/>
    <w:lvl w:ilvl="0">
      <w:start w:val="1"/>
      <w:numFmt w:val="decimal"/>
      <w:lvlText w:val="（%1）"/>
      <w:lvlJc w:val="left"/>
      <w:pPr>
        <w:ind w:left="1218"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092" w:hanging="526"/>
      </w:pPr>
      <w:rPr>
        <w:rFonts w:hint="default"/>
        <w:lang w:val="zh-CN" w:eastAsia="zh-CN" w:bidi="zh-CN"/>
      </w:rPr>
    </w:lvl>
    <w:lvl w:ilvl="2">
      <w:start w:val="0"/>
      <w:numFmt w:val="bullet"/>
      <w:lvlText w:val="•"/>
      <w:lvlJc w:val="left"/>
      <w:pPr>
        <w:ind w:left="2965" w:hanging="526"/>
      </w:pPr>
      <w:rPr>
        <w:rFonts w:hint="default"/>
        <w:lang w:val="zh-CN" w:eastAsia="zh-CN" w:bidi="zh-CN"/>
      </w:rPr>
    </w:lvl>
    <w:lvl w:ilvl="3">
      <w:start w:val="0"/>
      <w:numFmt w:val="bullet"/>
      <w:lvlText w:val="•"/>
      <w:lvlJc w:val="left"/>
      <w:pPr>
        <w:ind w:left="3837" w:hanging="526"/>
      </w:pPr>
      <w:rPr>
        <w:rFonts w:hint="default"/>
        <w:lang w:val="zh-CN" w:eastAsia="zh-CN" w:bidi="zh-CN"/>
      </w:rPr>
    </w:lvl>
    <w:lvl w:ilvl="4">
      <w:start w:val="0"/>
      <w:numFmt w:val="bullet"/>
      <w:lvlText w:val="•"/>
      <w:lvlJc w:val="left"/>
      <w:pPr>
        <w:ind w:left="4710"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55" w:hanging="526"/>
      </w:pPr>
      <w:rPr>
        <w:rFonts w:hint="default"/>
        <w:lang w:val="zh-CN" w:eastAsia="zh-CN" w:bidi="zh-CN"/>
      </w:rPr>
    </w:lvl>
    <w:lvl w:ilvl="7">
      <w:start w:val="0"/>
      <w:numFmt w:val="bullet"/>
      <w:lvlText w:val="•"/>
      <w:lvlJc w:val="left"/>
      <w:pPr>
        <w:ind w:left="7328" w:hanging="526"/>
      </w:pPr>
      <w:rPr>
        <w:rFonts w:hint="default"/>
        <w:lang w:val="zh-CN" w:eastAsia="zh-CN" w:bidi="zh-CN"/>
      </w:rPr>
    </w:lvl>
    <w:lvl w:ilvl="8">
      <w:start w:val="0"/>
      <w:numFmt w:val="bullet"/>
      <w:lvlText w:val="•"/>
      <w:lvlJc w:val="left"/>
      <w:pPr>
        <w:ind w:left="8200" w:hanging="526"/>
      </w:pPr>
      <w:rPr>
        <w:rFonts w:hint="default"/>
        <w:lang w:val="zh-CN" w:eastAsia="zh-CN" w:bidi="zh-CN"/>
      </w:rPr>
    </w:lvl>
  </w:abstractNum>
  <w:abstractNum w:abstractNumId="32">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31">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30">
    <w:multiLevelType w:val="hybridMultilevel"/>
    <w:lvl w:ilvl="0">
      <w:start w:val="1"/>
      <w:numFmt w:val="decimal"/>
      <w:lvlText w:val="(%1)"/>
      <w:lvlJc w:val="left"/>
      <w:pPr>
        <w:ind w:left="220" w:hanging="316"/>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29">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28">
    <w:multiLevelType w:val="hybridMultilevel"/>
    <w:lvl w:ilvl="0">
      <w:start w:val="1"/>
      <w:numFmt w:val="decimal"/>
      <w:lvlText w:val="(%1)"/>
      <w:lvlJc w:val="left"/>
      <w:pPr>
        <w:ind w:left="220" w:hanging="31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27">
    <w:multiLevelType w:val="hybridMultilevel"/>
    <w:lvl w:ilvl="0">
      <w:start w:val="1"/>
      <w:numFmt w:val="decimal"/>
      <w:lvlText w:val="（%1）"/>
      <w:lvlJc w:val="left"/>
      <w:pPr>
        <w:ind w:left="220" w:hanging="52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192" w:hanging="527"/>
      </w:pPr>
      <w:rPr>
        <w:rFonts w:hint="default"/>
        <w:lang w:val="zh-CN" w:eastAsia="zh-CN" w:bidi="zh-CN"/>
      </w:rPr>
    </w:lvl>
    <w:lvl w:ilvl="2">
      <w:start w:val="0"/>
      <w:numFmt w:val="bullet"/>
      <w:lvlText w:val="•"/>
      <w:lvlJc w:val="left"/>
      <w:pPr>
        <w:ind w:left="2165" w:hanging="527"/>
      </w:pPr>
      <w:rPr>
        <w:rFonts w:hint="default"/>
        <w:lang w:val="zh-CN" w:eastAsia="zh-CN" w:bidi="zh-CN"/>
      </w:rPr>
    </w:lvl>
    <w:lvl w:ilvl="3">
      <w:start w:val="0"/>
      <w:numFmt w:val="bullet"/>
      <w:lvlText w:val="•"/>
      <w:lvlJc w:val="left"/>
      <w:pPr>
        <w:ind w:left="3137" w:hanging="527"/>
      </w:pPr>
      <w:rPr>
        <w:rFonts w:hint="default"/>
        <w:lang w:val="zh-CN" w:eastAsia="zh-CN" w:bidi="zh-CN"/>
      </w:rPr>
    </w:lvl>
    <w:lvl w:ilvl="4">
      <w:start w:val="0"/>
      <w:numFmt w:val="bullet"/>
      <w:lvlText w:val="•"/>
      <w:lvlJc w:val="left"/>
      <w:pPr>
        <w:ind w:left="4110" w:hanging="527"/>
      </w:pPr>
      <w:rPr>
        <w:rFonts w:hint="default"/>
        <w:lang w:val="zh-CN" w:eastAsia="zh-CN" w:bidi="zh-CN"/>
      </w:rPr>
    </w:lvl>
    <w:lvl w:ilvl="5">
      <w:start w:val="0"/>
      <w:numFmt w:val="bullet"/>
      <w:lvlText w:val="•"/>
      <w:lvlJc w:val="left"/>
      <w:pPr>
        <w:ind w:left="5083" w:hanging="527"/>
      </w:pPr>
      <w:rPr>
        <w:rFonts w:hint="default"/>
        <w:lang w:val="zh-CN" w:eastAsia="zh-CN" w:bidi="zh-CN"/>
      </w:rPr>
    </w:lvl>
    <w:lvl w:ilvl="6">
      <w:start w:val="0"/>
      <w:numFmt w:val="bullet"/>
      <w:lvlText w:val="•"/>
      <w:lvlJc w:val="left"/>
      <w:pPr>
        <w:ind w:left="6055" w:hanging="527"/>
      </w:pPr>
      <w:rPr>
        <w:rFonts w:hint="default"/>
        <w:lang w:val="zh-CN" w:eastAsia="zh-CN" w:bidi="zh-CN"/>
      </w:rPr>
    </w:lvl>
    <w:lvl w:ilvl="7">
      <w:start w:val="0"/>
      <w:numFmt w:val="bullet"/>
      <w:lvlText w:val="•"/>
      <w:lvlJc w:val="left"/>
      <w:pPr>
        <w:ind w:left="7028" w:hanging="527"/>
      </w:pPr>
      <w:rPr>
        <w:rFonts w:hint="default"/>
        <w:lang w:val="zh-CN" w:eastAsia="zh-CN" w:bidi="zh-CN"/>
      </w:rPr>
    </w:lvl>
    <w:lvl w:ilvl="8">
      <w:start w:val="0"/>
      <w:numFmt w:val="bullet"/>
      <w:lvlText w:val="•"/>
      <w:lvlJc w:val="left"/>
      <w:pPr>
        <w:ind w:left="8000" w:hanging="527"/>
      </w:pPr>
      <w:rPr>
        <w:rFonts w:hint="default"/>
        <w:lang w:val="zh-CN" w:eastAsia="zh-CN" w:bidi="zh-CN"/>
      </w:rPr>
    </w:lvl>
  </w:abstractNum>
  <w:abstractNum w:abstractNumId="26">
    <w:multiLevelType w:val="hybridMultilevel"/>
    <w:lvl w:ilvl="0">
      <w:start w:val="15"/>
      <w:numFmt w:val="decimal"/>
      <w:lvlText w:val="（%1）"/>
      <w:lvlJc w:val="left"/>
      <w:pPr>
        <w:ind w:left="220" w:hanging="631"/>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92" w:hanging="631"/>
      </w:pPr>
      <w:rPr>
        <w:rFonts w:hint="default"/>
        <w:lang w:val="zh-CN" w:eastAsia="zh-CN" w:bidi="zh-CN"/>
      </w:rPr>
    </w:lvl>
    <w:lvl w:ilvl="2">
      <w:start w:val="0"/>
      <w:numFmt w:val="bullet"/>
      <w:lvlText w:val="•"/>
      <w:lvlJc w:val="left"/>
      <w:pPr>
        <w:ind w:left="2165" w:hanging="631"/>
      </w:pPr>
      <w:rPr>
        <w:rFonts w:hint="default"/>
        <w:lang w:val="zh-CN" w:eastAsia="zh-CN" w:bidi="zh-CN"/>
      </w:rPr>
    </w:lvl>
    <w:lvl w:ilvl="3">
      <w:start w:val="0"/>
      <w:numFmt w:val="bullet"/>
      <w:lvlText w:val="•"/>
      <w:lvlJc w:val="left"/>
      <w:pPr>
        <w:ind w:left="3137" w:hanging="631"/>
      </w:pPr>
      <w:rPr>
        <w:rFonts w:hint="default"/>
        <w:lang w:val="zh-CN" w:eastAsia="zh-CN" w:bidi="zh-CN"/>
      </w:rPr>
    </w:lvl>
    <w:lvl w:ilvl="4">
      <w:start w:val="0"/>
      <w:numFmt w:val="bullet"/>
      <w:lvlText w:val="•"/>
      <w:lvlJc w:val="left"/>
      <w:pPr>
        <w:ind w:left="4110" w:hanging="631"/>
      </w:pPr>
      <w:rPr>
        <w:rFonts w:hint="default"/>
        <w:lang w:val="zh-CN" w:eastAsia="zh-CN" w:bidi="zh-CN"/>
      </w:rPr>
    </w:lvl>
    <w:lvl w:ilvl="5">
      <w:start w:val="0"/>
      <w:numFmt w:val="bullet"/>
      <w:lvlText w:val="•"/>
      <w:lvlJc w:val="left"/>
      <w:pPr>
        <w:ind w:left="5083" w:hanging="631"/>
      </w:pPr>
      <w:rPr>
        <w:rFonts w:hint="default"/>
        <w:lang w:val="zh-CN" w:eastAsia="zh-CN" w:bidi="zh-CN"/>
      </w:rPr>
    </w:lvl>
    <w:lvl w:ilvl="6">
      <w:start w:val="0"/>
      <w:numFmt w:val="bullet"/>
      <w:lvlText w:val="•"/>
      <w:lvlJc w:val="left"/>
      <w:pPr>
        <w:ind w:left="6055" w:hanging="631"/>
      </w:pPr>
      <w:rPr>
        <w:rFonts w:hint="default"/>
        <w:lang w:val="zh-CN" w:eastAsia="zh-CN" w:bidi="zh-CN"/>
      </w:rPr>
    </w:lvl>
    <w:lvl w:ilvl="7">
      <w:start w:val="0"/>
      <w:numFmt w:val="bullet"/>
      <w:lvlText w:val="•"/>
      <w:lvlJc w:val="left"/>
      <w:pPr>
        <w:ind w:left="7028" w:hanging="631"/>
      </w:pPr>
      <w:rPr>
        <w:rFonts w:hint="default"/>
        <w:lang w:val="zh-CN" w:eastAsia="zh-CN" w:bidi="zh-CN"/>
      </w:rPr>
    </w:lvl>
    <w:lvl w:ilvl="8">
      <w:start w:val="0"/>
      <w:numFmt w:val="bullet"/>
      <w:lvlText w:val="•"/>
      <w:lvlJc w:val="left"/>
      <w:pPr>
        <w:ind w:left="8000" w:hanging="631"/>
      </w:pPr>
      <w:rPr>
        <w:rFonts w:hint="default"/>
        <w:lang w:val="zh-CN" w:eastAsia="zh-CN" w:bidi="zh-CN"/>
      </w:rPr>
    </w:lvl>
  </w:abstractNum>
  <w:abstractNum w:abstractNumId="25">
    <w:multiLevelType w:val="hybridMultilevel"/>
    <w:lvl w:ilvl="0">
      <w:start w:val="5"/>
      <w:numFmt w:val="decimal"/>
      <w:lvlText w:val="(%1)"/>
      <w:lvlJc w:val="left"/>
      <w:pPr>
        <w:ind w:left="220" w:hanging="31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24">
    <w:multiLevelType w:val="hybridMultilevel"/>
    <w:lvl w:ilvl="0">
      <w:start w:val="4"/>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23">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22">
    <w:multiLevelType w:val="hybridMultilevel"/>
    <w:lvl w:ilvl="0">
      <w:start w:val="5"/>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21">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20">
    <w:multiLevelType w:val="hybridMultilevel"/>
    <w:lvl w:ilvl="0">
      <w:start w:val="1"/>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19">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18">
    <w:multiLevelType w:val="hybridMultilevel"/>
    <w:lvl w:ilvl="0">
      <w:start w:val="1"/>
      <w:numFmt w:val="lowerLetter"/>
      <w:lvlText w:val="%1."/>
      <w:lvlJc w:val="left"/>
      <w:pPr>
        <w:ind w:left="220" w:hanging="211"/>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192" w:hanging="211"/>
      </w:pPr>
      <w:rPr>
        <w:rFonts w:hint="default"/>
        <w:lang w:val="zh-CN" w:eastAsia="zh-CN" w:bidi="zh-CN"/>
      </w:rPr>
    </w:lvl>
    <w:lvl w:ilvl="2">
      <w:start w:val="0"/>
      <w:numFmt w:val="bullet"/>
      <w:lvlText w:val="•"/>
      <w:lvlJc w:val="left"/>
      <w:pPr>
        <w:ind w:left="2165" w:hanging="211"/>
      </w:pPr>
      <w:rPr>
        <w:rFonts w:hint="default"/>
        <w:lang w:val="zh-CN" w:eastAsia="zh-CN" w:bidi="zh-CN"/>
      </w:rPr>
    </w:lvl>
    <w:lvl w:ilvl="3">
      <w:start w:val="0"/>
      <w:numFmt w:val="bullet"/>
      <w:lvlText w:val="•"/>
      <w:lvlJc w:val="left"/>
      <w:pPr>
        <w:ind w:left="3137" w:hanging="211"/>
      </w:pPr>
      <w:rPr>
        <w:rFonts w:hint="default"/>
        <w:lang w:val="zh-CN" w:eastAsia="zh-CN" w:bidi="zh-CN"/>
      </w:rPr>
    </w:lvl>
    <w:lvl w:ilvl="4">
      <w:start w:val="0"/>
      <w:numFmt w:val="bullet"/>
      <w:lvlText w:val="•"/>
      <w:lvlJc w:val="left"/>
      <w:pPr>
        <w:ind w:left="4110" w:hanging="211"/>
      </w:pPr>
      <w:rPr>
        <w:rFonts w:hint="default"/>
        <w:lang w:val="zh-CN" w:eastAsia="zh-CN" w:bidi="zh-CN"/>
      </w:rPr>
    </w:lvl>
    <w:lvl w:ilvl="5">
      <w:start w:val="0"/>
      <w:numFmt w:val="bullet"/>
      <w:lvlText w:val="•"/>
      <w:lvlJc w:val="left"/>
      <w:pPr>
        <w:ind w:left="5083" w:hanging="211"/>
      </w:pPr>
      <w:rPr>
        <w:rFonts w:hint="default"/>
        <w:lang w:val="zh-CN" w:eastAsia="zh-CN" w:bidi="zh-CN"/>
      </w:rPr>
    </w:lvl>
    <w:lvl w:ilvl="6">
      <w:start w:val="0"/>
      <w:numFmt w:val="bullet"/>
      <w:lvlText w:val="•"/>
      <w:lvlJc w:val="left"/>
      <w:pPr>
        <w:ind w:left="6055" w:hanging="211"/>
      </w:pPr>
      <w:rPr>
        <w:rFonts w:hint="default"/>
        <w:lang w:val="zh-CN" w:eastAsia="zh-CN" w:bidi="zh-CN"/>
      </w:rPr>
    </w:lvl>
    <w:lvl w:ilvl="7">
      <w:start w:val="0"/>
      <w:numFmt w:val="bullet"/>
      <w:lvlText w:val="•"/>
      <w:lvlJc w:val="left"/>
      <w:pPr>
        <w:ind w:left="7028" w:hanging="211"/>
      </w:pPr>
      <w:rPr>
        <w:rFonts w:hint="default"/>
        <w:lang w:val="zh-CN" w:eastAsia="zh-CN" w:bidi="zh-CN"/>
      </w:rPr>
    </w:lvl>
    <w:lvl w:ilvl="8">
      <w:start w:val="0"/>
      <w:numFmt w:val="bullet"/>
      <w:lvlText w:val="•"/>
      <w:lvlJc w:val="left"/>
      <w:pPr>
        <w:ind w:left="8000" w:hanging="211"/>
      </w:pPr>
      <w:rPr>
        <w:rFonts w:hint="default"/>
        <w:lang w:val="zh-CN" w:eastAsia="zh-CN" w:bidi="zh-CN"/>
      </w:rPr>
    </w:lvl>
  </w:abstractNum>
  <w:abstractNum w:abstractNumId="17">
    <w:multiLevelType w:val="hybridMultilevel"/>
    <w:lvl w:ilvl="0">
      <w:start w:val="1"/>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16">
    <w:multiLevelType w:val="hybridMultilevel"/>
    <w:lvl w:ilvl="0">
      <w:start w:val="2"/>
      <w:numFmt w:val="lowerLetter"/>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68" w:hanging="211"/>
      </w:pPr>
      <w:rPr>
        <w:rFonts w:hint="default"/>
        <w:lang w:val="zh-CN" w:eastAsia="zh-CN" w:bidi="zh-CN"/>
      </w:rPr>
    </w:lvl>
    <w:lvl w:ilvl="2">
      <w:start w:val="0"/>
      <w:numFmt w:val="bullet"/>
      <w:lvlText w:val="•"/>
      <w:lvlJc w:val="left"/>
      <w:pPr>
        <w:ind w:left="2677" w:hanging="211"/>
      </w:pPr>
      <w:rPr>
        <w:rFonts w:hint="default"/>
        <w:lang w:val="zh-CN" w:eastAsia="zh-CN" w:bidi="zh-CN"/>
      </w:rPr>
    </w:lvl>
    <w:lvl w:ilvl="3">
      <w:start w:val="0"/>
      <w:numFmt w:val="bullet"/>
      <w:lvlText w:val="•"/>
      <w:lvlJc w:val="left"/>
      <w:pPr>
        <w:ind w:left="3585" w:hanging="211"/>
      </w:pPr>
      <w:rPr>
        <w:rFonts w:hint="default"/>
        <w:lang w:val="zh-CN" w:eastAsia="zh-CN" w:bidi="zh-CN"/>
      </w:rPr>
    </w:lvl>
    <w:lvl w:ilvl="4">
      <w:start w:val="0"/>
      <w:numFmt w:val="bullet"/>
      <w:lvlText w:val="•"/>
      <w:lvlJc w:val="left"/>
      <w:pPr>
        <w:ind w:left="4494"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1" w:hanging="211"/>
      </w:pPr>
      <w:rPr>
        <w:rFonts w:hint="default"/>
        <w:lang w:val="zh-CN" w:eastAsia="zh-CN" w:bidi="zh-CN"/>
      </w:rPr>
    </w:lvl>
    <w:lvl w:ilvl="7">
      <w:start w:val="0"/>
      <w:numFmt w:val="bullet"/>
      <w:lvlText w:val="•"/>
      <w:lvlJc w:val="left"/>
      <w:pPr>
        <w:ind w:left="7220" w:hanging="211"/>
      </w:pPr>
      <w:rPr>
        <w:rFonts w:hint="default"/>
        <w:lang w:val="zh-CN" w:eastAsia="zh-CN" w:bidi="zh-CN"/>
      </w:rPr>
    </w:lvl>
    <w:lvl w:ilvl="8">
      <w:start w:val="0"/>
      <w:numFmt w:val="bullet"/>
      <w:lvlText w:val="•"/>
      <w:lvlJc w:val="left"/>
      <w:pPr>
        <w:ind w:left="8128" w:hanging="211"/>
      </w:pPr>
      <w:rPr>
        <w:rFonts w:hint="default"/>
        <w:lang w:val="zh-CN" w:eastAsia="zh-CN" w:bidi="zh-CN"/>
      </w:rPr>
    </w:lvl>
  </w:abstractNum>
  <w:abstractNum w:abstractNumId="15">
    <w:multiLevelType w:val="hybridMultilevel"/>
    <w:lvl w:ilvl="0">
      <w:start w:val="1"/>
      <w:numFmt w:val="decimal"/>
      <w:lvlText w:val="(%1)"/>
      <w:lvlJc w:val="left"/>
      <w:pPr>
        <w:ind w:left="640" w:hanging="31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570" w:hanging="316"/>
      </w:pPr>
      <w:rPr>
        <w:rFonts w:hint="default"/>
        <w:lang w:val="zh-CN" w:eastAsia="zh-CN" w:bidi="zh-CN"/>
      </w:rPr>
    </w:lvl>
    <w:lvl w:ilvl="2">
      <w:start w:val="0"/>
      <w:numFmt w:val="bullet"/>
      <w:lvlText w:val="•"/>
      <w:lvlJc w:val="left"/>
      <w:pPr>
        <w:ind w:left="2501" w:hanging="316"/>
      </w:pPr>
      <w:rPr>
        <w:rFonts w:hint="default"/>
        <w:lang w:val="zh-CN" w:eastAsia="zh-CN" w:bidi="zh-CN"/>
      </w:rPr>
    </w:lvl>
    <w:lvl w:ilvl="3">
      <w:start w:val="0"/>
      <w:numFmt w:val="bullet"/>
      <w:lvlText w:val="•"/>
      <w:lvlJc w:val="left"/>
      <w:pPr>
        <w:ind w:left="3431" w:hanging="316"/>
      </w:pPr>
      <w:rPr>
        <w:rFonts w:hint="default"/>
        <w:lang w:val="zh-CN" w:eastAsia="zh-CN" w:bidi="zh-CN"/>
      </w:rPr>
    </w:lvl>
    <w:lvl w:ilvl="4">
      <w:start w:val="0"/>
      <w:numFmt w:val="bullet"/>
      <w:lvlText w:val="•"/>
      <w:lvlJc w:val="left"/>
      <w:pPr>
        <w:ind w:left="4362" w:hanging="316"/>
      </w:pPr>
      <w:rPr>
        <w:rFonts w:hint="default"/>
        <w:lang w:val="zh-CN" w:eastAsia="zh-CN" w:bidi="zh-CN"/>
      </w:rPr>
    </w:lvl>
    <w:lvl w:ilvl="5">
      <w:start w:val="0"/>
      <w:numFmt w:val="bullet"/>
      <w:lvlText w:val="•"/>
      <w:lvlJc w:val="left"/>
      <w:pPr>
        <w:ind w:left="5293" w:hanging="316"/>
      </w:pPr>
      <w:rPr>
        <w:rFonts w:hint="default"/>
        <w:lang w:val="zh-CN" w:eastAsia="zh-CN" w:bidi="zh-CN"/>
      </w:rPr>
    </w:lvl>
    <w:lvl w:ilvl="6">
      <w:start w:val="0"/>
      <w:numFmt w:val="bullet"/>
      <w:lvlText w:val="•"/>
      <w:lvlJc w:val="left"/>
      <w:pPr>
        <w:ind w:left="6223" w:hanging="316"/>
      </w:pPr>
      <w:rPr>
        <w:rFonts w:hint="default"/>
        <w:lang w:val="zh-CN" w:eastAsia="zh-CN" w:bidi="zh-CN"/>
      </w:rPr>
    </w:lvl>
    <w:lvl w:ilvl="7">
      <w:start w:val="0"/>
      <w:numFmt w:val="bullet"/>
      <w:lvlText w:val="•"/>
      <w:lvlJc w:val="left"/>
      <w:pPr>
        <w:ind w:left="7154" w:hanging="316"/>
      </w:pPr>
      <w:rPr>
        <w:rFonts w:hint="default"/>
        <w:lang w:val="zh-CN" w:eastAsia="zh-CN" w:bidi="zh-CN"/>
      </w:rPr>
    </w:lvl>
    <w:lvl w:ilvl="8">
      <w:start w:val="0"/>
      <w:numFmt w:val="bullet"/>
      <w:lvlText w:val="•"/>
      <w:lvlJc w:val="left"/>
      <w:pPr>
        <w:ind w:left="8084" w:hanging="316"/>
      </w:pPr>
      <w:rPr>
        <w:rFonts w:hint="default"/>
        <w:lang w:val="zh-CN" w:eastAsia="zh-CN" w:bidi="zh-CN"/>
      </w:rPr>
    </w:lvl>
  </w:abstractNum>
  <w:abstractNum w:abstractNumId="14">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58" w:hanging="316"/>
      </w:pPr>
      <w:rPr>
        <w:rFonts w:hint="default"/>
        <w:lang w:val="zh-CN" w:eastAsia="zh-CN" w:bidi="zh-CN"/>
      </w:rPr>
    </w:lvl>
    <w:lvl w:ilvl="2">
      <w:start w:val="0"/>
      <w:numFmt w:val="bullet"/>
      <w:lvlText w:val="•"/>
      <w:lvlJc w:val="left"/>
      <w:pPr>
        <w:ind w:left="2757" w:hanging="316"/>
      </w:pPr>
      <w:rPr>
        <w:rFonts w:hint="default"/>
        <w:lang w:val="zh-CN" w:eastAsia="zh-CN" w:bidi="zh-CN"/>
      </w:rPr>
    </w:lvl>
    <w:lvl w:ilvl="3">
      <w:start w:val="0"/>
      <w:numFmt w:val="bullet"/>
      <w:lvlText w:val="•"/>
      <w:lvlJc w:val="left"/>
      <w:pPr>
        <w:ind w:left="3655" w:hanging="316"/>
      </w:pPr>
      <w:rPr>
        <w:rFonts w:hint="default"/>
        <w:lang w:val="zh-CN" w:eastAsia="zh-CN" w:bidi="zh-CN"/>
      </w:rPr>
    </w:lvl>
    <w:lvl w:ilvl="4">
      <w:start w:val="0"/>
      <w:numFmt w:val="bullet"/>
      <w:lvlText w:val="•"/>
      <w:lvlJc w:val="left"/>
      <w:pPr>
        <w:ind w:left="4554" w:hanging="316"/>
      </w:pPr>
      <w:rPr>
        <w:rFonts w:hint="default"/>
        <w:lang w:val="zh-CN" w:eastAsia="zh-CN" w:bidi="zh-CN"/>
      </w:rPr>
    </w:lvl>
    <w:lvl w:ilvl="5">
      <w:start w:val="0"/>
      <w:numFmt w:val="bullet"/>
      <w:lvlText w:val="•"/>
      <w:lvlJc w:val="left"/>
      <w:pPr>
        <w:ind w:left="5453" w:hanging="316"/>
      </w:pPr>
      <w:rPr>
        <w:rFonts w:hint="default"/>
        <w:lang w:val="zh-CN" w:eastAsia="zh-CN" w:bidi="zh-CN"/>
      </w:rPr>
    </w:lvl>
    <w:lvl w:ilvl="6">
      <w:start w:val="0"/>
      <w:numFmt w:val="bullet"/>
      <w:lvlText w:val="•"/>
      <w:lvlJc w:val="left"/>
      <w:pPr>
        <w:ind w:left="6351" w:hanging="316"/>
      </w:pPr>
      <w:rPr>
        <w:rFonts w:hint="default"/>
        <w:lang w:val="zh-CN" w:eastAsia="zh-CN" w:bidi="zh-CN"/>
      </w:rPr>
    </w:lvl>
    <w:lvl w:ilvl="7">
      <w:start w:val="0"/>
      <w:numFmt w:val="bullet"/>
      <w:lvlText w:val="•"/>
      <w:lvlJc w:val="left"/>
      <w:pPr>
        <w:ind w:left="7250" w:hanging="316"/>
      </w:pPr>
      <w:rPr>
        <w:rFonts w:hint="default"/>
        <w:lang w:val="zh-CN" w:eastAsia="zh-CN" w:bidi="zh-CN"/>
      </w:rPr>
    </w:lvl>
    <w:lvl w:ilvl="8">
      <w:start w:val="0"/>
      <w:numFmt w:val="bullet"/>
      <w:lvlText w:val="•"/>
      <w:lvlJc w:val="left"/>
      <w:pPr>
        <w:ind w:left="8148" w:hanging="316"/>
      </w:pPr>
      <w:rPr>
        <w:rFonts w:hint="default"/>
        <w:lang w:val="zh-CN" w:eastAsia="zh-CN" w:bidi="zh-CN"/>
      </w:rPr>
    </w:lvl>
  </w:abstractNum>
  <w:abstractNum w:abstractNumId="13">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12">
    <w:multiLevelType w:val="hybridMultilevel"/>
    <w:lvl w:ilvl="0">
      <w:start w:val="7"/>
      <w:numFmt w:val="decimal"/>
      <w:lvlText w:val="（%1）"/>
      <w:lvlJc w:val="left"/>
      <w:pPr>
        <w:ind w:left="2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92" w:hanging="527"/>
      </w:pPr>
      <w:rPr>
        <w:rFonts w:hint="default"/>
        <w:lang w:val="zh-CN" w:eastAsia="zh-CN" w:bidi="zh-CN"/>
      </w:rPr>
    </w:lvl>
    <w:lvl w:ilvl="2">
      <w:start w:val="0"/>
      <w:numFmt w:val="bullet"/>
      <w:lvlText w:val="•"/>
      <w:lvlJc w:val="left"/>
      <w:pPr>
        <w:ind w:left="2165" w:hanging="527"/>
      </w:pPr>
      <w:rPr>
        <w:rFonts w:hint="default"/>
        <w:lang w:val="zh-CN" w:eastAsia="zh-CN" w:bidi="zh-CN"/>
      </w:rPr>
    </w:lvl>
    <w:lvl w:ilvl="3">
      <w:start w:val="0"/>
      <w:numFmt w:val="bullet"/>
      <w:lvlText w:val="•"/>
      <w:lvlJc w:val="left"/>
      <w:pPr>
        <w:ind w:left="3137" w:hanging="527"/>
      </w:pPr>
      <w:rPr>
        <w:rFonts w:hint="default"/>
        <w:lang w:val="zh-CN" w:eastAsia="zh-CN" w:bidi="zh-CN"/>
      </w:rPr>
    </w:lvl>
    <w:lvl w:ilvl="4">
      <w:start w:val="0"/>
      <w:numFmt w:val="bullet"/>
      <w:lvlText w:val="•"/>
      <w:lvlJc w:val="left"/>
      <w:pPr>
        <w:ind w:left="4110" w:hanging="527"/>
      </w:pPr>
      <w:rPr>
        <w:rFonts w:hint="default"/>
        <w:lang w:val="zh-CN" w:eastAsia="zh-CN" w:bidi="zh-CN"/>
      </w:rPr>
    </w:lvl>
    <w:lvl w:ilvl="5">
      <w:start w:val="0"/>
      <w:numFmt w:val="bullet"/>
      <w:lvlText w:val="•"/>
      <w:lvlJc w:val="left"/>
      <w:pPr>
        <w:ind w:left="5083" w:hanging="527"/>
      </w:pPr>
      <w:rPr>
        <w:rFonts w:hint="default"/>
        <w:lang w:val="zh-CN" w:eastAsia="zh-CN" w:bidi="zh-CN"/>
      </w:rPr>
    </w:lvl>
    <w:lvl w:ilvl="6">
      <w:start w:val="0"/>
      <w:numFmt w:val="bullet"/>
      <w:lvlText w:val="•"/>
      <w:lvlJc w:val="left"/>
      <w:pPr>
        <w:ind w:left="6055" w:hanging="527"/>
      </w:pPr>
      <w:rPr>
        <w:rFonts w:hint="default"/>
        <w:lang w:val="zh-CN" w:eastAsia="zh-CN" w:bidi="zh-CN"/>
      </w:rPr>
    </w:lvl>
    <w:lvl w:ilvl="7">
      <w:start w:val="0"/>
      <w:numFmt w:val="bullet"/>
      <w:lvlText w:val="•"/>
      <w:lvlJc w:val="left"/>
      <w:pPr>
        <w:ind w:left="7028" w:hanging="527"/>
      </w:pPr>
      <w:rPr>
        <w:rFonts w:hint="default"/>
        <w:lang w:val="zh-CN" w:eastAsia="zh-CN" w:bidi="zh-CN"/>
      </w:rPr>
    </w:lvl>
    <w:lvl w:ilvl="8">
      <w:start w:val="0"/>
      <w:numFmt w:val="bullet"/>
      <w:lvlText w:val="•"/>
      <w:lvlJc w:val="left"/>
      <w:pPr>
        <w:ind w:left="8000" w:hanging="527"/>
      </w:pPr>
      <w:rPr>
        <w:rFonts w:hint="default"/>
        <w:lang w:val="zh-CN" w:eastAsia="zh-CN" w:bidi="zh-CN"/>
      </w:rPr>
    </w:lvl>
  </w:abstractNum>
  <w:abstractNum w:abstractNumId="11">
    <w:multiLevelType w:val="hybridMultilevel"/>
    <w:lvl w:ilvl="0">
      <w:start w:val="4"/>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10">
    <w:multiLevelType w:val="hybridMultilevel"/>
    <w:lvl w:ilvl="0">
      <w:start w:val="1"/>
      <w:numFmt w:val="decimal"/>
      <w:lvlText w:val="%1"/>
      <w:lvlJc w:val="left"/>
      <w:pPr>
        <w:ind w:left="797" w:hanging="578"/>
        <w:jc w:val="left"/>
      </w:pPr>
      <w:rPr>
        <w:rFonts w:hint="default"/>
        <w:lang w:val="zh-CN" w:eastAsia="zh-CN" w:bidi="zh-CN"/>
      </w:rPr>
    </w:lvl>
    <w:lvl w:ilvl="1">
      <w:start w:val="40"/>
      <w:numFmt w:val="decimalZero"/>
      <w:lvlText w:val="%1.%2"/>
      <w:lvlJc w:val="left"/>
      <w:pPr>
        <w:ind w:left="797" w:hanging="578"/>
        <w:jc w:val="left"/>
      </w:pPr>
      <w:rPr>
        <w:rFonts w:hint="default" w:ascii="宋体" w:hAnsi="宋体" w:eastAsia="宋体" w:cs="宋体"/>
        <w:w w:val="100"/>
        <w:sz w:val="21"/>
        <w:szCs w:val="21"/>
        <w:lang w:val="zh-CN" w:eastAsia="zh-CN" w:bidi="zh-CN"/>
      </w:rPr>
    </w:lvl>
    <w:lvl w:ilvl="2">
      <w:start w:val="1"/>
      <w:numFmt w:val="decimal"/>
      <w:lvlText w:val="(%3)"/>
      <w:lvlJc w:val="left"/>
      <w:pPr>
        <w:ind w:left="220" w:hanging="316"/>
        <w:jc w:val="left"/>
      </w:pPr>
      <w:rPr>
        <w:rFonts w:hint="default" w:ascii="宋体" w:hAnsi="宋体" w:eastAsia="宋体" w:cs="宋体"/>
        <w:w w:val="100"/>
        <w:sz w:val="19"/>
        <w:szCs w:val="19"/>
        <w:lang w:val="zh-CN" w:eastAsia="zh-CN" w:bidi="zh-CN"/>
      </w:rPr>
    </w:lvl>
    <w:lvl w:ilvl="3">
      <w:start w:val="0"/>
      <w:numFmt w:val="bullet"/>
      <w:lvlText w:val="•"/>
      <w:lvlJc w:val="left"/>
      <w:pPr>
        <w:ind w:left="2832" w:hanging="316"/>
      </w:pPr>
      <w:rPr>
        <w:rFonts w:hint="default"/>
        <w:lang w:val="zh-CN" w:eastAsia="zh-CN" w:bidi="zh-CN"/>
      </w:rPr>
    </w:lvl>
    <w:lvl w:ilvl="4">
      <w:start w:val="0"/>
      <w:numFmt w:val="bullet"/>
      <w:lvlText w:val="•"/>
      <w:lvlJc w:val="left"/>
      <w:pPr>
        <w:ind w:left="3848" w:hanging="316"/>
      </w:pPr>
      <w:rPr>
        <w:rFonts w:hint="default"/>
        <w:lang w:val="zh-CN" w:eastAsia="zh-CN" w:bidi="zh-CN"/>
      </w:rPr>
    </w:lvl>
    <w:lvl w:ilvl="5">
      <w:start w:val="0"/>
      <w:numFmt w:val="bullet"/>
      <w:lvlText w:val="•"/>
      <w:lvlJc w:val="left"/>
      <w:pPr>
        <w:ind w:left="4864" w:hanging="316"/>
      </w:pPr>
      <w:rPr>
        <w:rFonts w:hint="default"/>
        <w:lang w:val="zh-CN" w:eastAsia="zh-CN" w:bidi="zh-CN"/>
      </w:rPr>
    </w:lvl>
    <w:lvl w:ilvl="6">
      <w:start w:val="0"/>
      <w:numFmt w:val="bullet"/>
      <w:lvlText w:val="•"/>
      <w:lvlJc w:val="left"/>
      <w:pPr>
        <w:ind w:left="5881" w:hanging="316"/>
      </w:pPr>
      <w:rPr>
        <w:rFonts w:hint="default"/>
        <w:lang w:val="zh-CN" w:eastAsia="zh-CN" w:bidi="zh-CN"/>
      </w:rPr>
    </w:lvl>
    <w:lvl w:ilvl="7">
      <w:start w:val="0"/>
      <w:numFmt w:val="bullet"/>
      <w:lvlText w:val="•"/>
      <w:lvlJc w:val="left"/>
      <w:pPr>
        <w:ind w:left="6897" w:hanging="316"/>
      </w:pPr>
      <w:rPr>
        <w:rFonts w:hint="default"/>
        <w:lang w:val="zh-CN" w:eastAsia="zh-CN" w:bidi="zh-CN"/>
      </w:rPr>
    </w:lvl>
    <w:lvl w:ilvl="8">
      <w:start w:val="0"/>
      <w:numFmt w:val="bullet"/>
      <w:lvlText w:val="•"/>
      <w:lvlJc w:val="left"/>
      <w:pPr>
        <w:ind w:left="7913" w:hanging="316"/>
      </w:pPr>
      <w:rPr>
        <w:rFonts w:hint="default"/>
        <w:lang w:val="zh-CN" w:eastAsia="zh-CN" w:bidi="zh-CN"/>
      </w:rPr>
    </w:lvl>
  </w:abstractNum>
  <w:abstractNum w:abstractNumId="9">
    <w:multiLevelType w:val="hybridMultilevel"/>
    <w:lvl w:ilvl="0">
      <w:start w:val="1"/>
      <w:numFmt w:val="decimal"/>
      <w:lvlText w:val="(%1)"/>
      <w:lvlJc w:val="left"/>
      <w:pPr>
        <w:ind w:left="640"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570" w:hanging="316"/>
      </w:pPr>
      <w:rPr>
        <w:rFonts w:hint="default"/>
        <w:lang w:val="zh-CN" w:eastAsia="zh-CN" w:bidi="zh-CN"/>
      </w:rPr>
    </w:lvl>
    <w:lvl w:ilvl="2">
      <w:start w:val="0"/>
      <w:numFmt w:val="bullet"/>
      <w:lvlText w:val="•"/>
      <w:lvlJc w:val="left"/>
      <w:pPr>
        <w:ind w:left="2501" w:hanging="316"/>
      </w:pPr>
      <w:rPr>
        <w:rFonts w:hint="default"/>
        <w:lang w:val="zh-CN" w:eastAsia="zh-CN" w:bidi="zh-CN"/>
      </w:rPr>
    </w:lvl>
    <w:lvl w:ilvl="3">
      <w:start w:val="0"/>
      <w:numFmt w:val="bullet"/>
      <w:lvlText w:val="•"/>
      <w:lvlJc w:val="left"/>
      <w:pPr>
        <w:ind w:left="3431" w:hanging="316"/>
      </w:pPr>
      <w:rPr>
        <w:rFonts w:hint="default"/>
        <w:lang w:val="zh-CN" w:eastAsia="zh-CN" w:bidi="zh-CN"/>
      </w:rPr>
    </w:lvl>
    <w:lvl w:ilvl="4">
      <w:start w:val="0"/>
      <w:numFmt w:val="bullet"/>
      <w:lvlText w:val="•"/>
      <w:lvlJc w:val="left"/>
      <w:pPr>
        <w:ind w:left="4362" w:hanging="316"/>
      </w:pPr>
      <w:rPr>
        <w:rFonts w:hint="default"/>
        <w:lang w:val="zh-CN" w:eastAsia="zh-CN" w:bidi="zh-CN"/>
      </w:rPr>
    </w:lvl>
    <w:lvl w:ilvl="5">
      <w:start w:val="0"/>
      <w:numFmt w:val="bullet"/>
      <w:lvlText w:val="•"/>
      <w:lvlJc w:val="left"/>
      <w:pPr>
        <w:ind w:left="5293" w:hanging="316"/>
      </w:pPr>
      <w:rPr>
        <w:rFonts w:hint="default"/>
        <w:lang w:val="zh-CN" w:eastAsia="zh-CN" w:bidi="zh-CN"/>
      </w:rPr>
    </w:lvl>
    <w:lvl w:ilvl="6">
      <w:start w:val="0"/>
      <w:numFmt w:val="bullet"/>
      <w:lvlText w:val="•"/>
      <w:lvlJc w:val="left"/>
      <w:pPr>
        <w:ind w:left="6223" w:hanging="316"/>
      </w:pPr>
      <w:rPr>
        <w:rFonts w:hint="default"/>
        <w:lang w:val="zh-CN" w:eastAsia="zh-CN" w:bidi="zh-CN"/>
      </w:rPr>
    </w:lvl>
    <w:lvl w:ilvl="7">
      <w:start w:val="0"/>
      <w:numFmt w:val="bullet"/>
      <w:lvlText w:val="•"/>
      <w:lvlJc w:val="left"/>
      <w:pPr>
        <w:ind w:left="7154" w:hanging="316"/>
      </w:pPr>
      <w:rPr>
        <w:rFonts w:hint="default"/>
        <w:lang w:val="zh-CN" w:eastAsia="zh-CN" w:bidi="zh-CN"/>
      </w:rPr>
    </w:lvl>
    <w:lvl w:ilvl="8">
      <w:start w:val="0"/>
      <w:numFmt w:val="bullet"/>
      <w:lvlText w:val="•"/>
      <w:lvlJc w:val="left"/>
      <w:pPr>
        <w:ind w:left="8084" w:hanging="316"/>
      </w:pPr>
      <w:rPr>
        <w:rFonts w:hint="default"/>
        <w:lang w:val="zh-CN" w:eastAsia="zh-CN" w:bidi="zh-CN"/>
      </w:rPr>
    </w:lvl>
  </w:abstractNum>
  <w:abstractNum w:abstractNumId="8">
    <w:multiLevelType w:val="hybridMultilevel"/>
    <w:lvl w:ilvl="0">
      <w:start w:val="1"/>
      <w:numFmt w:val="decimal"/>
      <w:lvlText w:val="(%1)"/>
      <w:lvlJc w:val="left"/>
      <w:pPr>
        <w:ind w:left="220" w:hanging="316"/>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7">
    <w:multiLevelType w:val="hybridMultilevel"/>
    <w:lvl w:ilvl="0">
      <w:start w:val="1"/>
      <w:numFmt w:val="decimal"/>
      <w:lvlText w:val="(%1)"/>
      <w:lvlJc w:val="left"/>
      <w:pPr>
        <w:ind w:left="106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948" w:hanging="420"/>
      </w:pPr>
      <w:rPr>
        <w:rFonts w:hint="default"/>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725" w:hanging="420"/>
      </w:pPr>
      <w:rPr>
        <w:rFonts w:hint="default"/>
        <w:lang w:val="zh-CN" w:eastAsia="zh-CN" w:bidi="zh-CN"/>
      </w:rPr>
    </w:lvl>
    <w:lvl w:ilvl="4">
      <w:start w:val="0"/>
      <w:numFmt w:val="bullet"/>
      <w:lvlText w:val="•"/>
      <w:lvlJc w:val="left"/>
      <w:pPr>
        <w:ind w:left="4614" w:hanging="420"/>
      </w:pPr>
      <w:rPr>
        <w:rFonts w:hint="default"/>
        <w:lang w:val="zh-CN" w:eastAsia="zh-CN" w:bidi="zh-CN"/>
      </w:rPr>
    </w:lvl>
    <w:lvl w:ilvl="5">
      <w:start w:val="0"/>
      <w:numFmt w:val="bullet"/>
      <w:lvlText w:val="•"/>
      <w:lvlJc w:val="left"/>
      <w:pPr>
        <w:ind w:left="5503" w:hanging="420"/>
      </w:pPr>
      <w:rPr>
        <w:rFonts w:hint="default"/>
        <w:lang w:val="zh-CN" w:eastAsia="zh-CN" w:bidi="zh-CN"/>
      </w:rPr>
    </w:lvl>
    <w:lvl w:ilvl="6">
      <w:start w:val="0"/>
      <w:numFmt w:val="bullet"/>
      <w:lvlText w:val="•"/>
      <w:lvlJc w:val="left"/>
      <w:pPr>
        <w:ind w:left="6391" w:hanging="420"/>
      </w:pPr>
      <w:rPr>
        <w:rFonts w:hint="default"/>
        <w:lang w:val="zh-CN" w:eastAsia="zh-CN" w:bidi="zh-CN"/>
      </w:rPr>
    </w:lvl>
    <w:lvl w:ilvl="7">
      <w:start w:val="0"/>
      <w:numFmt w:val="bullet"/>
      <w:lvlText w:val="•"/>
      <w:lvlJc w:val="left"/>
      <w:pPr>
        <w:ind w:left="7280" w:hanging="420"/>
      </w:pPr>
      <w:rPr>
        <w:rFonts w:hint="default"/>
        <w:lang w:val="zh-CN" w:eastAsia="zh-CN" w:bidi="zh-CN"/>
      </w:rPr>
    </w:lvl>
    <w:lvl w:ilvl="8">
      <w:start w:val="0"/>
      <w:numFmt w:val="bullet"/>
      <w:lvlText w:val="•"/>
      <w:lvlJc w:val="left"/>
      <w:pPr>
        <w:ind w:left="8168" w:hanging="420"/>
      </w:pPr>
      <w:rPr>
        <w:rFonts w:hint="default"/>
        <w:lang w:val="zh-CN" w:eastAsia="zh-CN" w:bidi="zh-CN"/>
      </w:rPr>
    </w:lvl>
  </w:abstractNum>
  <w:abstractNum w:abstractNumId="6">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038" w:hanging="526"/>
      </w:pPr>
      <w:rPr>
        <w:rFonts w:hint="default"/>
        <w:lang w:val="zh-CN" w:eastAsia="zh-CN" w:bidi="zh-CN"/>
      </w:rPr>
    </w:lvl>
    <w:lvl w:ilvl="2">
      <w:start w:val="0"/>
      <w:numFmt w:val="bullet"/>
      <w:lvlText w:val="•"/>
      <w:lvlJc w:val="left"/>
      <w:pPr>
        <w:ind w:left="2917" w:hanging="526"/>
      </w:pPr>
      <w:rPr>
        <w:rFonts w:hint="default"/>
        <w:lang w:val="zh-CN" w:eastAsia="zh-CN" w:bidi="zh-CN"/>
      </w:rPr>
    </w:lvl>
    <w:lvl w:ilvl="3">
      <w:start w:val="0"/>
      <w:numFmt w:val="bullet"/>
      <w:lvlText w:val="•"/>
      <w:lvlJc w:val="left"/>
      <w:pPr>
        <w:ind w:left="3795" w:hanging="526"/>
      </w:pPr>
      <w:rPr>
        <w:rFonts w:hint="default"/>
        <w:lang w:val="zh-CN" w:eastAsia="zh-CN" w:bidi="zh-CN"/>
      </w:rPr>
    </w:lvl>
    <w:lvl w:ilvl="4">
      <w:start w:val="0"/>
      <w:numFmt w:val="bullet"/>
      <w:lvlText w:val="•"/>
      <w:lvlJc w:val="left"/>
      <w:pPr>
        <w:ind w:left="4674" w:hanging="526"/>
      </w:pPr>
      <w:rPr>
        <w:rFonts w:hint="default"/>
        <w:lang w:val="zh-CN" w:eastAsia="zh-CN" w:bidi="zh-CN"/>
      </w:rPr>
    </w:lvl>
    <w:lvl w:ilvl="5">
      <w:start w:val="0"/>
      <w:numFmt w:val="bullet"/>
      <w:lvlText w:val="•"/>
      <w:lvlJc w:val="left"/>
      <w:pPr>
        <w:ind w:left="5553" w:hanging="526"/>
      </w:pPr>
      <w:rPr>
        <w:rFonts w:hint="default"/>
        <w:lang w:val="zh-CN" w:eastAsia="zh-CN" w:bidi="zh-CN"/>
      </w:rPr>
    </w:lvl>
    <w:lvl w:ilvl="6">
      <w:start w:val="0"/>
      <w:numFmt w:val="bullet"/>
      <w:lvlText w:val="•"/>
      <w:lvlJc w:val="left"/>
      <w:pPr>
        <w:ind w:left="6431" w:hanging="526"/>
      </w:pPr>
      <w:rPr>
        <w:rFonts w:hint="default"/>
        <w:lang w:val="zh-CN" w:eastAsia="zh-CN" w:bidi="zh-CN"/>
      </w:rPr>
    </w:lvl>
    <w:lvl w:ilvl="7">
      <w:start w:val="0"/>
      <w:numFmt w:val="bullet"/>
      <w:lvlText w:val="•"/>
      <w:lvlJc w:val="left"/>
      <w:pPr>
        <w:ind w:left="7310" w:hanging="526"/>
      </w:pPr>
      <w:rPr>
        <w:rFonts w:hint="default"/>
        <w:lang w:val="zh-CN" w:eastAsia="zh-CN" w:bidi="zh-CN"/>
      </w:rPr>
    </w:lvl>
    <w:lvl w:ilvl="8">
      <w:start w:val="0"/>
      <w:numFmt w:val="bullet"/>
      <w:lvlText w:val="•"/>
      <w:lvlJc w:val="left"/>
      <w:pPr>
        <w:ind w:left="8188" w:hanging="526"/>
      </w:pPr>
      <w:rPr>
        <w:rFonts w:hint="default"/>
        <w:lang w:val="zh-CN" w:eastAsia="zh-CN" w:bidi="zh-CN"/>
      </w:rPr>
    </w:lvl>
  </w:abstractNum>
  <w:abstractNum w:abstractNumId="5">
    <w:multiLevelType w:val="hybridMultilevel"/>
    <w:lvl w:ilvl="0">
      <w:start w:val="1"/>
      <w:numFmt w:val="decimal"/>
      <w:lvlText w:val="（%1）"/>
      <w:lvlJc w:val="left"/>
      <w:pPr>
        <w:ind w:left="1030" w:hanging="526"/>
        <w:jc w:val="left"/>
      </w:pPr>
      <w:rPr>
        <w:rFonts w:hint="default" w:ascii="宋体" w:hAnsi="宋体" w:eastAsia="宋体" w:cs="宋体"/>
        <w:w w:val="100"/>
        <w:sz w:val="19"/>
        <w:szCs w:val="19"/>
        <w:lang w:val="zh-CN" w:eastAsia="zh-CN" w:bidi="zh-CN"/>
      </w:rPr>
    </w:lvl>
    <w:lvl w:ilvl="1">
      <w:start w:val="1"/>
      <w:numFmt w:val="decimal"/>
      <w:lvlText w:val="（%2）"/>
      <w:lvlJc w:val="left"/>
      <w:pPr>
        <w:ind w:left="220" w:hanging="527"/>
        <w:jc w:val="left"/>
      </w:pPr>
      <w:rPr>
        <w:rFonts w:hint="default" w:ascii="宋体" w:hAnsi="宋体" w:eastAsia="宋体" w:cs="宋体"/>
        <w:spacing w:val="-32"/>
        <w:w w:val="100"/>
        <w:sz w:val="19"/>
        <w:szCs w:val="19"/>
        <w:lang w:val="zh-CN" w:eastAsia="zh-CN" w:bidi="zh-CN"/>
      </w:rPr>
    </w:lvl>
    <w:lvl w:ilvl="2">
      <w:start w:val="0"/>
      <w:numFmt w:val="bullet"/>
      <w:lvlText w:val="•"/>
      <w:lvlJc w:val="left"/>
      <w:pPr>
        <w:ind w:left="2029" w:hanging="527"/>
      </w:pPr>
      <w:rPr>
        <w:rFonts w:hint="default"/>
        <w:lang w:val="zh-CN" w:eastAsia="zh-CN" w:bidi="zh-CN"/>
      </w:rPr>
    </w:lvl>
    <w:lvl w:ilvl="3">
      <w:start w:val="0"/>
      <w:numFmt w:val="bullet"/>
      <w:lvlText w:val="•"/>
      <w:lvlJc w:val="left"/>
      <w:pPr>
        <w:ind w:left="3019" w:hanging="527"/>
      </w:pPr>
      <w:rPr>
        <w:rFonts w:hint="default"/>
        <w:lang w:val="zh-CN" w:eastAsia="zh-CN" w:bidi="zh-CN"/>
      </w:rPr>
    </w:lvl>
    <w:lvl w:ilvl="4">
      <w:start w:val="0"/>
      <w:numFmt w:val="bullet"/>
      <w:lvlText w:val="•"/>
      <w:lvlJc w:val="left"/>
      <w:pPr>
        <w:ind w:left="4008" w:hanging="527"/>
      </w:pPr>
      <w:rPr>
        <w:rFonts w:hint="default"/>
        <w:lang w:val="zh-CN" w:eastAsia="zh-CN" w:bidi="zh-CN"/>
      </w:rPr>
    </w:lvl>
    <w:lvl w:ilvl="5">
      <w:start w:val="0"/>
      <w:numFmt w:val="bullet"/>
      <w:lvlText w:val="•"/>
      <w:lvlJc w:val="left"/>
      <w:pPr>
        <w:ind w:left="4998" w:hanging="527"/>
      </w:pPr>
      <w:rPr>
        <w:rFonts w:hint="default"/>
        <w:lang w:val="zh-CN" w:eastAsia="zh-CN" w:bidi="zh-CN"/>
      </w:rPr>
    </w:lvl>
    <w:lvl w:ilvl="6">
      <w:start w:val="0"/>
      <w:numFmt w:val="bullet"/>
      <w:lvlText w:val="•"/>
      <w:lvlJc w:val="left"/>
      <w:pPr>
        <w:ind w:left="5987" w:hanging="527"/>
      </w:pPr>
      <w:rPr>
        <w:rFonts w:hint="default"/>
        <w:lang w:val="zh-CN" w:eastAsia="zh-CN" w:bidi="zh-CN"/>
      </w:rPr>
    </w:lvl>
    <w:lvl w:ilvl="7">
      <w:start w:val="0"/>
      <w:numFmt w:val="bullet"/>
      <w:lvlText w:val="•"/>
      <w:lvlJc w:val="left"/>
      <w:pPr>
        <w:ind w:left="6977" w:hanging="527"/>
      </w:pPr>
      <w:rPr>
        <w:rFonts w:hint="default"/>
        <w:lang w:val="zh-CN" w:eastAsia="zh-CN" w:bidi="zh-CN"/>
      </w:rPr>
    </w:lvl>
    <w:lvl w:ilvl="8">
      <w:start w:val="0"/>
      <w:numFmt w:val="bullet"/>
      <w:lvlText w:val="•"/>
      <w:lvlJc w:val="left"/>
      <w:pPr>
        <w:ind w:left="7966" w:hanging="527"/>
      </w:pPr>
      <w:rPr>
        <w:rFonts w:hint="default"/>
        <w:lang w:val="zh-CN" w:eastAsia="zh-CN" w:bidi="zh-CN"/>
      </w:rPr>
    </w:lvl>
  </w:abstractNum>
  <w:abstractNum w:abstractNumId="4">
    <w:multiLevelType w:val="hybridMultilevel"/>
    <w:lvl w:ilvl="0">
      <w:start w:val="1"/>
      <w:numFmt w:val="decimal"/>
      <w:lvlText w:val="（%1）"/>
      <w:lvlJc w:val="left"/>
      <w:pPr>
        <w:ind w:left="1030" w:hanging="526"/>
        <w:jc w:val="right"/>
      </w:pPr>
      <w:rPr>
        <w:rFonts w:hint="default" w:ascii="宋体" w:hAnsi="宋体" w:eastAsia="宋体" w:cs="宋体"/>
        <w:w w:val="100"/>
        <w:sz w:val="19"/>
        <w:szCs w:val="19"/>
        <w:lang w:val="zh-CN" w:eastAsia="zh-CN" w:bidi="zh-CN"/>
      </w:rPr>
    </w:lvl>
    <w:lvl w:ilvl="1">
      <w:start w:val="0"/>
      <w:numFmt w:val="bullet"/>
      <w:lvlText w:val="•"/>
      <w:lvlJc w:val="left"/>
      <w:pPr>
        <w:ind w:left="1930" w:hanging="526"/>
      </w:pPr>
      <w:rPr>
        <w:rFonts w:hint="default"/>
        <w:lang w:val="zh-CN" w:eastAsia="zh-CN" w:bidi="zh-CN"/>
      </w:rPr>
    </w:lvl>
    <w:lvl w:ilvl="2">
      <w:start w:val="0"/>
      <w:numFmt w:val="bullet"/>
      <w:lvlText w:val="•"/>
      <w:lvlJc w:val="left"/>
      <w:pPr>
        <w:ind w:left="2821" w:hanging="526"/>
      </w:pPr>
      <w:rPr>
        <w:rFonts w:hint="default"/>
        <w:lang w:val="zh-CN" w:eastAsia="zh-CN" w:bidi="zh-CN"/>
      </w:rPr>
    </w:lvl>
    <w:lvl w:ilvl="3">
      <w:start w:val="0"/>
      <w:numFmt w:val="bullet"/>
      <w:lvlText w:val="•"/>
      <w:lvlJc w:val="left"/>
      <w:pPr>
        <w:ind w:left="3711" w:hanging="526"/>
      </w:pPr>
      <w:rPr>
        <w:rFonts w:hint="default"/>
        <w:lang w:val="zh-CN" w:eastAsia="zh-CN" w:bidi="zh-CN"/>
      </w:rPr>
    </w:lvl>
    <w:lvl w:ilvl="4">
      <w:start w:val="0"/>
      <w:numFmt w:val="bullet"/>
      <w:lvlText w:val="•"/>
      <w:lvlJc w:val="left"/>
      <w:pPr>
        <w:ind w:left="4602" w:hanging="526"/>
      </w:pPr>
      <w:rPr>
        <w:rFonts w:hint="default"/>
        <w:lang w:val="zh-CN" w:eastAsia="zh-CN" w:bidi="zh-CN"/>
      </w:rPr>
    </w:lvl>
    <w:lvl w:ilvl="5">
      <w:start w:val="0"/>
      <w:numFmt w:val="bullet"/>
      <w:lvlText w:val="•"/>
      <w:lvlJc w:val="left"/>
      <w:pPr>
        <w:ind w:left="5493" w:hanging="526"/>
      </w:pPr>
      <w:rPr>
        <w:rFonts w:hint="default"/>
        <w:lang w:val="zh-CN" w:eastAsia="zh-CN" w:bidi="zh-CN"/>
      </w:rPr>
    </w:lvl>
    <w:lvl w:ilvl="6">
      <w:start w:val="0"/>
      <w:numFmt w:val="bullet"/>
      <w:lvlText w:val="•"/>
      <w:lvlJc w:val="left"/>
      <w:pPr>
        <w:ind w:left="6383" w:hanging="526"/>
      </w:pPr>
      <w:rPr>
        <w:rFonts w:hint="default"/>
        <w:lang w:val="zh-CN" w:eastAsia="zh-CN" w:bidi="zh-CN"/>
      </w:rPr>
    </w:lvl>
    <w:lvl w:ilvl="7">
      <w:start w:val="0"/>
      <w:numFmt w:val="bullet"/>
      <w:lvlText w:val="•"/>
      <w:lvlJc w:val="left"/>
      <w:pPr>
        <w:ind w:left="7274" w:hanging="526"/>
      </w:pPr>
      <w:rPr>
        <w:rFonts w:hint="default"/>
        <w:lang w:val="zh-CN" w:eastAsia="zh-CN" w:bidi="zh-CN"/>
      </w:rPr>
    </w:lvl>
    <w:lvl w:ilvl="8">
      <w:start w:val="0"/>
      <w:numFmt w:val="bullet"/>
      <w:lvlText w:val="•"/>
      <w:lvlJc w:val="left"/>
      <w:pPr>
        <w:ind w:left="8164" w:hanging="526"/>
      </w:pPr>
      <w:rPr>
        <w:rFonts w:hint="default"/>
        <w:lang w:val="zh-CN" w:eastAsia="zh-CN" w:bidi="zh-CN"/>
      </w:rPr>
    </w:lvl>
  </w:abstractNum>
  <w:abstractNum w:abstractNumId="3">
    <w:multiLevelType w:val="hybridMultilevel"/>
    <w:lvl w:ilvl="0">
      <w:start w:val="1"/>
      <w:numFmt w:val="decimal"/>
      <w:lvlText w:val="（%1）"/>
      <w:lvlJc w:val="left"/>
      <w:pPr>
        <w:ind w:left="1071" w:hanging="567"/>
        <w:jc w:val="left"/>
      </w:pPr>
      <w:rPr>
        <w:rFonts w:hint="default" w:ascii="宋体" w:hAnsi="宋体" w:eastAsia="宋体" w:cs="宋体"/>
        <w:w w:val="100"/>
        <w:sz w:val="21"/>
        <w:szCs w:val="21"/>
        <w:lang w:val="zh-CN" w:eastAsia="zh-CN" w:bidi="zh-CN"/>
      </w:rPr>
    </w:lvl>
    <w:lvl w:ilvl="1">
      <w:start w:val="1"/>
      <w:numFmt w:val="decimal"/>
      <w:lvlText w:val="（%2）"/>
      <w:lvlJc w:val="left"/>
      <w:pPr>
        <w:ind w:left="220" w:hanging="527"/>
        <w:jc w:val="left"/>
      </w:pPr>
      <w:rPr>
        <w:rFonts w:hint="default" w:ascii="宋体" w:hAnsi="宋体" w:eastAsia="宋体" w:cs="宋体"/>
        <w:w w:val="100"/>
        <w:sz w:val="19"/>
        <w:szCs w:val="19"/>
        <w:lang w:val="zh-CN" w:eastAsia="zh-CN" w:bidi="zh-CN"/>
      </w:rPr>
    </w:lvl>
    <w:lvl w:ilvl="2">
      <w:start w:val="0"/>
      <w:numFmt w:val="bullet"/>
      <w:lvlText w:val="•"/>
      <w:lvlJc w:val="left"/>
      <w:pPr>
        <w:ind w:left="2065" w:hanging="527"/>
      </w:pPr>
      <w:rPr>
        <w:rFonts w:hint="default"/>
        <w:lang w:val="zh-CN" w:eastAsia="zh-CN" w:bidi="zh-CN"/>
      </w:rPr>
    </w:lvl>
    <w:lvl w:ilvl="3">
      <w:start w:val="0"/>
      <w:numFmt w:val="bullet"/>
      <w:lvlText w:val="•"/>
      <w:lvlJc w:val="left"/>
      <w:pPr>
        <w:ind w:left="3050" w:hanging="527"/>
      </w:pPr>
      <w:rPr>
        <w:rFonts w:hint="default"/>
        <w:lang w:val="zh-CN" w:eastAsia="zh-CN" w:bidi="zh-CN"/>
      </w:rPr>
    </w:lvl>
    <w:lvl w:ilvl="4">
      <w:start w:val="0"/>
      <w:numFmt w:val="bullet"/>
      <w:lvlText w:val="•"/>
      <w:lvlJc w:val="left"/>
      <w:pPr>
        <w:ind w:left="4035" w:hanging="527"/>
      </w:pPr>
      <w:rPr>
        <w:rFonts w:hint="default"/>
        <w:lang w:val="zh-CN" w:eastAsia="zh-CN" w:bidi="zh-CN"/>
      </w:rPr>
    </w:lvl>
    <w:lvl w:ilvl="5">
      <w:start w:val="0"/>
      <w:numFmt w:val="bullet"/>
      <w:lvlText w:val="•"/>
      <w:lvlJc w:val="left"/>
      <w:pPr>
        <w:ind w:left="5020" w:hanging="527"/>
      </w:pPr>
      <w:rPr>
        <w:rFonts w:hint="default"/>
        <w:lang w:val="zh-CN" w:eastAsia="zh-CN" w:bidi="zh-CN"/>
      </w:rPr>
    </w:lvl>
    <w:lvl w:ilvl="6">
      <w:start w:val="0"/>
      <w:numFmt w:val="bullet"/>
      <w:lvlText w:val="•"/>
      <w:lvlJc w:val="left"/>
      <w:pPr>
        <w:ind w:left="6005"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75" w:hanging="527"/>
      </w:pPr>
      <w:rPr>
        <w:rFonts w:hint="default"/>
        <w:lang w:val="zh-CN" w:eastAsia="zh-CN" w:bidi="zh-CN"/>
      </w:rPr>
    </w:lvl>
  </w:abstractNum>
  <w:abstractNum w:abstractNumId="2">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92" w:hanging="316"/>
      </w:pPr>
      <w:rPr>
        <w:rFonts w:hint="default"/>
        <w:lang w:val="zh-CN" w:eastAsia="zh-CN" w:bidi="zh-CN"/>
      </w:rPr>
    </w:lvl>
    <w:lvl w:ilvl="2">
      <w:start w:val="0"/>
      <w:numFmt w:val="bullet"/>
      <w:lvlText w:val="•"/>
      <w:lvlJc w:val="left"/>
      <w:pPr>
        <w:ind w:left="2165" w:hanging="316"/>
      </w:pPr>
      <w:rPr>
        <w:rFonts w:hint="default"/>
        <w:lang w:val="zh-CN" w:eastAsia="zh-CN" w:bidi="zh-CN"/>
      </w:rPr>
    </w:lvl>
    <w:lvl w:ilvl="3">
      <w:start w:val="0"/>
      <w:numFmt w:val="bullet"/>
      <w:lvlText w:val="•"/>
      <w:lvlJc w:val="left"/>
      <w:pPr>
        <w:ind w:left="3137" w:hanging="316"/>
      </w:pPr>
      <w:rPr>
        <w:rFonts w:hint="default"/>
        <w:lang w:val="zh-CN" w:eastAsia="zh-CN" w:bidi="zh-CN"/>
      </w:rPr>
    </w:lvl>
    <w:lvl w:ilvl="4">
      <w:start w:val="0"/>
      <w:numFmt w:val="bullet"/>
      <w:lvlText w:val="•"/>
      <w:lvlJc w:val="left"/>
      <w:pPr>
        <w:ind w:left="4110" w:hanging="316"/>
      </w:pPr>
      <w:rPr>
        <w:rFonts w:hint="default"/>
        <w:lang w:val="zh-CN" w:eastAsia="zh-CN" w:bidi="zh-CN"/>
      </w:rPr>
    </w:lvl>
    <w:lvl w:ilvl="5">
      <w:start w:val="0"/>
      <w:numFmt w:val="bullet"/>
      <w:lvlText w:val="•"/>
      <w:lvlJc w:val="left"/>
      <w:pPr>
        <w:ind w:left="5083" w:hanging="316"/>
      </w:pPr>
      <w:rPr>
        <w:rFonts w:hint="default"/>
        <w:lang w:val="zh-CN" w:eastAsia="zh-CN" w:bidi="zh-CN"/>
      </w:rPr>
    </w:lvl>
    <w:lvl w:ilvl="6">
      <w:start w:val="0"/>
      <w:numFmt w:val="bullet"/>
      <w:lvlText w:val="•"/>
      <w:lvlJc w:val="left"/>
      <w:pPr>
        <w:ind w:left="6055" w:hanging="316"/>
      </w:pPr>
      <w:rPr>
        <w:rFonts w:hint="default"/>
        <w:lang w:val="zh-CN" w:eastAsia="zh-CN" w:bidi="zh-CN"/>
      </w:rPr>
    </w:lvl>
    <w:lvl w:ilvl="7">
      <w:start w:val="0"/>
      <w:numFmt w:val="bullet"/>
      <w:lvlText w:val="•"/>
      <w:lvlJc w:val="left"/>
      <w:pPr>
        <w:ind w:left="7028" w:hanging="316"/>
      </w:pPr>
      <w:rPr>
        <w:rFonts w:hint="default"/>
        <w:lang w:val="zh-CN" w:eastAsia="zh-CN" w:bidi="zh-CN"/>
      </w:rPr>
    </w:lvl>
    <w:lvl w:ilvl="8">
      <w:start w:val="0"/>
      <w:numFmt w:val="bullet"/>
      <w:lvlText w:val="•"/>
      <w:lvlJc w:val="left"/>
      <w:pPr>
        <w:ind w:left="8000" w:hanging="316"/>
      </w:pPr>
      <w:rPr>
        <w:rFonts w:hint="default"/>
        <w:lang w:val="zh-CN" w:eastAsia="zh-CN" w:bidi="zh-CN"/>
      </w:rPr>
    </w:lvl>
  </w:abstractNum>
  <w:abstractNum w:abstractNumId="1">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038" w:hanging="526"/>
      </w:pPr>
      <w:rPr>
        <w:rFonts w:hint="default"/>
        <w:lang w:val="zh-CN" w:eastAsia="zh-CN" w:bidi="zh-CN"/>
      </w:rPr>
    </w:lvl>
    <w:lvl w:ilvl="2">
      <w:start w:val="0"/>
      <w:numFmt w:val="bullet"/>
      <w:lvlText w:val="•"/>
      <w:lvlJc w:val="left"/>
      <w:pPr>
        <w:ind w:left="2917" w:hanging="526"/>
      </w:pPr>
      <w:rPr>
        <w:rFonts w:hint="default"/>
        <w:lang w:val="zh-CN" w:eastAsia="zh-CN" w:bidi="zh-CN"/>
      </w:rPr>
    </w:lvl>
    <w:lvl w:ilvl="3">
      <w:start w:val="0"/>
      <w:numFmt w:val="bullet"/>
      <w:lvlText w:val="•"/>
      <w:lvlJc w:val="left"/>
      <w:pPr>
        <w:ind w:left="3795" w:hanging="526"/>
      </w:pPr>
      <w:rPr>
        <w:rFonts w:hint="default"/>
        <w:lang w:val="zh-CN" w:eastAsia="zh-CN" w:bidi="zh-CN"/>
      </w:rPr>
    </w:lvl>
    <w:lvl w:ilvl="4">
      <w:start w:val="0"/>
      <w:numFmt w:val="bullet"/>
      <w:lvlText w:val="•"/>
      <w:lvlJc w:val="left"/>
      <w:pPr>
        <w:ind w:left="4674" w:hanging="526"/>
      </w:pPr>
      <w:rPr>
        <w:rFonts w:hint="default"/>
        <w:lang w:val="zh-CN" w:eastAsia="zh-CN" w:bidi="zh-CN"/>
      </w:rPr>
    </w:lvl>
    <w:lvl w:ilvl="5">
      <w:start w:val="0"/>
      <w:numFmt w:val="bullet"/>
      <w:lvlText w:val="•"/>
      <w:lvlJc w:val="left"/>
      <w:pPr>
        <w:ind w:left="5553" w:hanging="526"/>
      </w:pPr>
      <w:rPr>
        <w:rFonts w:hint="default"/>
        <w:lang w:val="zh-CN" w:eastAsia="zh-CN" w:bidi="zh-CN"/>
      </w:rPr>
    </w:lvl>
    <w:lvl w:ilvl="6">
      <w:start w:val="0"/>
      <w:numFmt w:val="bullet"/>
      <w:lvlText w:val="•"/>
      <w:lvlJc w:val="left"/>
      <w:pPr>
        <w:ind w:left="6431" w:hanging="526"/>
      </w:pPr>
      <w:rPr>
        <w:rFonts w:hint="default"/>
        <w:lang w:val="zh-CN" w:eastAsia="zh-CN" w:bidi="zh-CN"/>
      </w:rPr>
    </w:lvl>
    <w:lvl w:ilvl="7">
      <w:start w:val="0"/>
      <w:numFmt w:val="bullet"/>
      <w:lvlText w:val="•"/>
      <w:lvlJc w:val="left"/>
      <w:pPr>
        <w:ind w:left="7310" w:hanging="526"/>
      </w:pPr>
      <w:rPr>
        <w:rFonts w:hint="default"/>
        <w:lang w:val="zh-CN" w:eastAsia="zh-CN" w:bidi="zh-CN"/>
      </w:rPr>
    </w:lvl>
    <w:lvl w:ilvl="8">
      <w:start w:val="0"/>
      <w:numFmt w:val="bullet"/>
      <w:lvlText w:val="•"/>
      <w:lvlJc w:val="left"/>
      <w:pPr>
        <w:ind w:left="8188" w:hanging="526"/>
      </w:pPr>
      <w:rPr>
        <w:rFonts w:hint="default"/>
        <w:lang w:val="zh-CN" w:eastAsia="zh-CN" w:bidi="zh-CN"/>
      </w:rPr>
    </w:lvl>
  </w:abstractNum>
  <w:abstractNum w:abstractNumId="0">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038" w:hanging="526"/>
      </w:pPr>
      <w:rPr>
        <w:rFonts w:hint="default"/>
        <w:lang w:val="zh-CN" w:eastAsia="zh-CN" w:bidi="zh-CN"/>
      </w:rPr>
    </w:lvl>
    <w:lvl w:ilvl="2">
      <w:start w:val="0"/>
      <w:numFmt w:val="bullet"/>
      <w:lvlText w:val="•"/>
      <w:lvlJc w:val="left"/>
      <w:pPr>
        <w:ind w:left="2917" w:hanging="526"/>
      </w:pPr>
      <w:rPr>
        <w:rFonts w:hint="default"/>
        <w:lang w:val="zh-CN" w:eastAsia="zh-CN" w:bidi="zh-CN"/>
      </w:rPr>
    </w:lvl>
    <w:lvl w:ilvl="3">
      <w:start w:val="0"/>
      <w:numFmt w:val="bullet"/>
      <w:lvlText w:val="•"/>
      <w:lvlJc w:val="left"/>
      <w:pPr>
        <w:ind w:left="3795" w:hanging="526"/>
      </w:pPr>
      <w:rPr>
        <w:rFonts w:hint="default"/>
        <w:lang w:val="zh-CN" w:eastAsia="zh-CN" w:bidi="zh-CN"/>
      </w:rPr>
    </w:lvl>
    <w:lvl w:ilvl="4">
      <w:start w:val="0"/>
      <w:numFmt w:val="bullet"/>
      <w:lvlText w:val="•"/>
      <w:lvlJc w:val="left"/>
      <w:pPr>
        <w:ind w:left="4674" w:hanging="526"/>
      </w:pPr>
      <w:rPr>
        <w:rFonts w:hint="default"/>
        <w:lang w:val="zh-CN" w:eastAsia="zh-CN" w:bidi="zh-CN"/>
      </w:rPr>
    </w:lvl>
    <w:lvl w:ilvl="5">
      <w:start w:val="0"/>
      <w:numFmt w:val="bullet"/>
      <w:lvlText w:val="•"/>
      <w:lvlJc w:val="left"/>
      <w:pPr>
        <w:ind w:left="5553" w:hanging="526"/>
      </w:pPr>
      <w:rPr>
        <w:rFonts w:hint="default"/>
        <w:lang w:val="zh-CN" w:eastAsia="zh-CN" w:bidi="zh-CN"/>
      </w:rPr>
    </w:lvl>
    <w:lvl w:ilvl="6">
      <w:start w:val="0"/>
      <w:numFmt w:val="bullet"/>
      <w:lvlText w:val="•"/>
      <w:lvlJc w:val="left"/>
      <w:pPr>
        <w:ind w:left="6431" w:hanging="526"/>
      </w:pPr>
      <w:rPr>
        <w:rFonts w:hint="default"/>
        <w:lang w:val="zh-CN" w:eastAsia="zh-CN" w:bidi="zh-CN"/>
      </w:rPr>
    </w:lvl>
    <w:lvl w:ilvl="7">
      <w:start w:val="0"/>
      <w:numFmt w:val="bullet"/>
      <w:lvlText w:val="•"/>
      <w:lvlJc w:val="left"/>
      <w:pPr>
        <w:ind w:left="7310" w:hanging="526"/>
      </w:pPr>
      <w:rPr>
        <w:rFonts w:hint="default"/>
        <w:lang w:val="zh-CN" w:eastAsia="zh-CN" w:bidi="zh-CN"/>
      </w:rPr>
    </w:lvl>
    <w:lvl w:ilvl="8">
      <w:start w:val="0"/>
      <w:numFmt w:val="bullet"/>
      <w:lvlText w:val="•"/>
      <w:lvlJc w:val="left"/>
      <w:pPr>
        <w:ind w:left="8188" w:hanging="526"/>
      </w:pPr>
      <w:rPr>
        <w:rFonts w:hint="default"/>
        <w:lang w:val="zh-CN" w:eastAsia="zh-CN" w:bidi="zh-CN"/>
      </w:rPr>
    </w:lvl>
  </w:abstract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35"/>
      <w:ind w:right="1413"/>
      <w:jc w:val="right"/>
    </w:pPr>
    <w:rPr>
      <w:rFonts w:ascii="宋体" w:hAnsi="宋体" w:eastAsia="宋体" w:cs="宋体"/>
      <w:sz w:val="24"/>
      <w:szCs w:val="24"/>
      <w:lang w:val="zh-CN" w:eastAsia="zh-CN" w:bidi="zh-CN"/>
    </w:rPr>
  </w:style>
  <w:style w:styleId="TOC2" w:type="paragraph">
    <w:name w:val="TOC 2"/>
    <w:basedOn w:val="Normal"/>
    <w:uiPriority w:val="1"/>
    <w:qFormat/>
    <w:pPr>
      <w:spacing w:before="178"/>
      <w:ind w:right="1441"/>
      <w:jc w:val="right"/>
    </w:pPr>
    <w:rPr>
      <w:rFonts w:ascii="宋体" w:hAnsi="宋体" w:eastAsia="宋体" w:cs="宋体"/>
      <w:sz w:val="21"/>
      <w:szCs w:val="21"/>
      <w:lang w:val="zh-CN" w:eastAsia="zh-CN" w:bidi="zh-CN"/>
    </w:rPr>
  </w:style>
  <w:style w:styleId="TOC3" w:type="paragraph">
    <w:name w:val="TOC 3"/>
    <w:basedOn w:val="Normal"/>
    <w:uiPriority w:val="1"/>
    <w:qFormat/>
    <w:pPr>
      <w:spacing w:before="178"/>
      <w:ind w:left="973"/>
    </w:pPr>
    <w:rPr>
      <w:rFonts w:ascii="宋体" w:hAnsi="宋体" w:eastAsia="宋体" w:cs="宋体"/>
      <w:sz w:val="21"/>
      <w:szCs w:val="21"/>
      <w:lang w:val="zh-CN" w:eastAsia="zh-CN" w:bidi="zh-CN"/>
    </w:rPr>
  </w:style>
  <w:style w:styleId="BodyText" w:type="paragraph">
    <w:name w:val="Body Text"/>
    <w:basedOn w:val="Normal"/>
    <w:uiPriority w:val="1"/>
    <w:qFormat/>
    <w:pPr>
      <w:ind w:left="640"/>
    </w:pPr>
    <w:rPr>
      <w:rFonts w:ascii="宋体" w:hAnsi="宋体" w:eastAsia="宋体" w:cs="宋体"/>
      <w:sz w:val="21"/>
      <w:szCs w:val="21"/>
      <w:lang w:val="zh-CN" w:eastAsia="zh-CN" w:bidi="zh-CN"/>
    </w:rPr>
  </w:style>
  <w:style w:styleId="Heading1" w:type="paragraph">
    <w:name w:val="Heading 1"/>
    <w:basedOn w:val="Normal"/>
    <w:uiPriority w:val="1"/>
    <w:qFormat/>
    <w:pPr>
      <w:spacing w:before="27"/>
      <w:ind w:left="835" w:right="1394"/>
      <w:jc w:val="center"/>
      <w:outlineLvl w:val="1"/>
    </w:pPr>
    <w:rPr>
      <w:rFonts w:ascii="宋体" w:hAnsi="宋体" w:eastAsia="宋体" w:cs="宋体"/>
      <w:sz w:val="32"/>
      <w:szCs w:val="32"/>
      <w:lang w:val="zh-CN" w:eastAsia="zh-CN" w:bidi="zh-CN"/>
    </w:rPr>
  </w:style>
  <w:style w:styleId="Heading2" w:type="paragraph">
    <w:name w:val="Heading 2"/>
    <w:basedOn w:val="Normal"/>
    <w:uiPriority w:val="1"/>
    <w:qFormat/>
    <w:pPr>
      <w:spacing w:before="46"/>
      <w:ind w:left="835" w:right="1434"/>
      <w:jc w:val="center"/>
      <w:outlineLvl w:val="2"/>
    </w:pPr>
    <w:rPr>
      <w:rFonts w:ascii="宋体" w:hAnsi="宋体" w:eastAsia="宋体" w:cs="宋体"/>
      <w:sz w:val="30"/>
      <w:szCs w:val="30"/>
      <w:lang w:val="zh-CN" w:eastAsia="zh-CN" w:bidi="zh-CN"/>
    </w:rPr>
  </w:style>
  <w:style w:styleId="Heading3" w:type="paragraph">
    <w:name w:val="Heading 3"/>
    <w:basedOn w:val="Normal"/>
    <w:uiPriority w:val="1"/>
    <w:qFormat/>
    <w:pPr>
      <w:ind w:left="220"/>
      <w:outlineLvl w:val="3"/>
    </w:pPr>
    <w:rPr>
      <w:rFonts w:ascii="宋体" w:hAnsi="宋体" w:eastAsia="宋体" w:cs="宋体"/>
      <w:sz w:val="28"/>
      <w:szCs w:val="28"/>
      <w:lang w:val="zh-CN" w:eastAsia="zh-CN" w:bidi="zh-CN"/>
    </w:rPr>
  </w:style>
  <w:style w:styleId="Heading4" w:type="paragraph">
    <w:name w:val="Heading 4"/>
    <w:basedOn w:val="Normal"/>
    <w:uiPriority w:val="1"/>
    <w:qFormat/>
    <w:pPr>
      <w:ind w:left="233"/>
      <w:outlineLvl w:val="4"/>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220"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ccb.com/"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hxb.com.cn/" TargetMode="External"/><Relationship Id="rId12" Type="http://schemas.openxmlformats.org/officeDocument/2006/relationships/hyperlink" Target="http://www.bankcomm.com/" TargetMode="External"/><Relationship Id="rId13" Type="http://schemas.openxmlformats.org/officeDocument/2006/relationships/hyperlink" Target="http://www.spdb.com.cn/" TargetMode="External"/><Relationship Id="rId14" Type="http://schemas.openxmlformats.org/officeDocument/2006/relationships/hyperlink" Target="http://www.cib.com.cn/" TargetMode="External"/><Relationship Id="rId15" Type="http://schemas.openxmlformats.org/officeDocument/2006/relationships/hyperlink" Target="http://www.cmbchina.com/" TargetMode="External"/><Relationship Id="rId16" Type="http://schemas.openxmlformats.org/officeDocument/2006/relationships/hyperlink" Target="http://www.icbc.com.cn/" TargetMode="External"/><Relationship Id="rId17" Type="http://schemas.openxmlformats.org/officeDocument/2006/relationships/hyperlink" Target="http://www.cmbc.com.cn/" TargetMode="External"/><Relationship Id="rId18" Type="http://schemas.openxmlformats.org/officeDocument/2006/relationships/hyperlink" Target="http://www.abchina.com/" TargetMode="External"/><Relationship Id="rId19" Type="http://schemas.openxmlformats.org/officeDocument/2006/relationships/hyperlink" Target="http://www.boc.cn/" TargetMode="External"/><Relationship Id="rId20" Type="http://schemas.openxmlformats.org/officeDocument/2006/relationships/hyperlink" Target="http://www.psbc.com/" TargetMode="External"/><Relationship Id="rId21" Type="http://schemas.openxmlformats.org/officeDocument/2006/relationships/hyperlink" Target="http://www.bsb.com.cn/" TargetMode="External"/><Relationship Id="rId22" Type="http://schemas.openxmlformats.org/officeDocument/2006/relationships/hyperlink" Target="http://www.bankofbeijing.com.cn/" TargetMode="External"/><Relationship Id="rId23" Type="http://schemas.openxmlformats.org/officeDocument/2006/relationships/hyperlink" Target="http://www.ccabchina.com/" TargetMode="External"/><Relationship Id="rId24" Type="http://schemas.openxmlformats.org/officeDocument/2006/relationships/hyperlink" Target="http://www.cdrcb.com/" TargetMode="External"/><Relationship Id="rId25" Type="http://schemas.openxmlformats.org/officeDocument/2006/relationships/hyperlink" Target="http://www.bankofdl.com/" TargetMode="External"/><Relationship Id="rId26" Type="http://schemas.openxmlformats.org/officeDocument/2006/relationships/hyperlink" Target="http://www.dzbchina.com/" TargetMode="External"/><Relationship Id="rId27" Type="http://schemas.openxmlformats.org/officeDocument/2006/relationships/hyperlink" Target="http://www.drcbank.com/" TargetMode="External"/><Relationship Id="rId28" Type="http://schemas.openxmlformats.org/officeDocument/2006/relationships/hyperlink" Target="http://www.dongguanbank.cn/" TargetMode="External"/><Relationship Id="rId29" Type="http://schemas.openxmlformats.org/officeDocument/2006/relationships/hyperlink" Target="http://www.foshanbank.cn/" TargetMode="External"/><Relationship Id="rId30" Type="http://schemas.openxmlformats.org/officeDocument/2006/relationships/hyperlink" Target="http://www.fyrcbk.com/" TargetMode="External"/><Relationship Id="rId31" Type="http://schemas.openxmlformats.org/officeDocument/2006/relationships/hyperlink" Target="http://www.ghbank.com.cn/" TargetMode="External"/><Relationship Id="rId32" Type="http://schemas.openxmlformats.org/officeDocument/2006/relationships/hyperlink" Target="http://www.gdnybank.com/" TargetMode="External"/><Relationship Id="rId33" Type="http://schemas.openxmlformats.org/officeDocument/2006/relationships/hyperlink" Target="http://www.grcbank.com/" TargetMode="External"/><Relationship Id="rId34" Type="http://schemas.openxmlformats.org/officeDocument/2006/relationships/hyperlink" Target="http://www.gzcb.com.cn/" TargetMode="External"/><Relationship Id="rId35" Type="http://schemas.openxmlformats.org/officeDocument/2006/relationships/hyperlink" Target="http://www.hrbb.com.cn/" TargetMode="External"/><Relationship Id="rId36" Type="http://schemas.openxmlformats.org/officeDocument/2006/relationships/hyperlink" Target="http://www.urcb.com/" TargetMode="External"/><Relationship Id="rId37" Type="http://schemas.openxmlformats.org/officeDocument/2006/relationships/hyperlink" Target="http://www.hzbank.com.cn/" TargetMode="External"/><Relationship Id="rId38" Type="http://schemas.openxmlformats.org/officeDocument/2006/relationships/hyperlink" Target="http://www.hebbank.com/" TargetMode="External"/><Relationship Id="rId39" Type="http://schemas.openxmlformats.org/officeDocument/2006/relationships/hyperlink" Target="http://www.jlbank.com.cn/" TargetMode="External"/><Relationship Id="rId40" Type="http://schemas.openxmlformats.org/officeDocument/2006/relationships/hyperlink" Target="http://www.bojx.com/" TargetMode="External"/><Relationship Id="rId41" Type="http://schemas.openxmlformats.org/officeDocument/2006/relationships/hyperlink" Target="http://www.jnbank.com.cn/" TargetMode="External"/><Relationship Id="rId42" Type="http://schemas.openxmlformats.org/officeDocument/2006/relationships/hyperlink" Target="http://www.jx-bank.com/" TargetMode="External"/><Relationship Id="rId43" Type="http://schemas.openxmlformats.org/officeDocument/2006/relationships/hyperlink" Target="http://www.jhccb.com.cn/" TargetMode="External"/><Relationship Id="rId44" Type="http://schemas.openxmlformats.org/officeDocument/2006/relationships/hyperlink" Target="http://www.jinzhoubank.com/" TargetMode="External"/><Relationship Id="rId45" Type="http://schemas.openxmlformats.org/officeDocument/2006/relationships/hyperlink" Target="http://www.jshbank.com/" TargetMode="External"/><Relationship Id="rId46" Type="http://schemas.openxmlformats.org/officeDocument/2006/relationships/hyperlink" Target="http://www.jjccb.com/" TargetMode="External"/><Relationship Id="rId47" Type="http://schemas.openxmlformats.org/officeDocument/2006/relationships/hyperlink" Target="http://www.ksrcb.com/" TargetMode="External"/><Relationship Id="rId48" Type="http://schemas.openxmlformats.org/officeDocument/2006/relationships/hyperlink" Target="http://www.yqbank.com/" TargetMode="External"/><Relationship Id="rId49" Type="http://schemas.openxmlformats.org/officeDocument/2006/relationships/hyperlink" Target="http://www.lj-bank.com/" TargetMode="External"/><Relationship Id="rId50" Type="http://schemas.openxmlformats.org/officeDocument/2006/relationships/hyperlink" Target="http://www.lwrcb.com/" TargetMode="External"/><Relationship Id="rId51" Type="http://schemas.openxmlformats.org/officeDocument/2006/relationships/hyperlink" Target="http://www.lcrcbank.com/" TargetMode="External"/><Relationship Id="rId52" Type="http://schemas.openxmlformats.org/officeDocument/2006/relationships/hyperlink" Target="http://www.bankofluoyang.com.cn/" TargetMode="External"/><Relationship Id="rId53" Type="http://schemas.openxmlformats.org/officeDocument/2006/relationships/hyperlink" Target="http://www.nbcb.com.cn/" TargetMode="External"/><Relationship Id="rId54" Type="http://schemas.openxmlformats.org/officeDocument/2006/relationships/hyperlink" Target="http://www.qsbank.cc/" TargetMode="External"/><Relationship Id="rId55" Type="http://schemas.openxmlformats.org/officeDocument/2006/relationships/hyperlink" Target="http://www.qrcb.com.cn/" TargetMode="External"/><Relationship Id="rId56" Type="http://schemas.openxmlformats.org/officeDocument/2006/relationships/hyperlink" Target="http://www.qdccb.com/" TargetMode="External"/><Relationship Id="rId57" Type="http://schemas.openxmlformats.org/officeDocument/2006/relationships/hyperlink" Target="http://www.qzccbank.com/" TargetMode="External"/><Relationship Id="rId58" Type="http://schemas.openxmlformats.org/officeDocument/2006/relationships/hyperlink" Target="http://www.bankofrizhao.com.cn/" TargetMode="External"/><Relationship Id="rId59" Type="http://schemas.openxmlformats.org/officeDocument/2006/relationships/hyperlink" Target="http://www.rarcbank.com/" TargetMode="External"/><Relationship Id="rId60" Type="http://schemas.openxmlformats.org/officeDocument/2006/relationships/hyperlink" Target="http://www.borf.cn/" TargetMode="External"/><Relationship Id="rId61" Type="http://schemas.openxmlformats.org/officeDocument/2006/relationships/hyperlink" Target="http://www.srcb.com/" TargetMode="External"/><Relationship Id="rId62" Type="http://schemas.openxmlformats.org/officeDocument/2006/relationships/hyperlink" Target="http://www.bosc.cn/" TargetMode="External"/><Relationship Id="rId63" Type="http://schemas.openxmlformats.org/officeDocument/2006/relationships/hyperlink" Target="http://www.sdebank.com/" TargetMode="External"/><Relationship Id="rId64" Type="http://schemas.openxmlformats.org/officeDocument/2006/relationships/hyperlink" Target="http://www.tf.cn/" TargetMode="External"/><Relationship Id="rId65" Type="http://schemas.openxmlformats.org/officeDocument/2006/relationships/hyperlink" Target="http://www.wjrcb.com/" TargetMode="External"/><Relationship Id="rId66" Type="http://schemas.openxmlformats.org/officeDocument/2006/relationships/hyperlink" Target="http://www.suzhoubank.com/" TargetMode="External"/><Relationship Id="rId67" Type="http://schemas.openxmlformats.org/officeDocument/2006/relationships/hyperlink" Target="http://www.trcbank.com.cn/" TargetMode="External"/><Relationship Id="rId68" Type="http://schemas.openxmlformats.org/officeDocument/2006/relationships/hyperlink" Target="http://www.bank-of-tianjin.com.cn/" TargetMode="External"/><Relationship Id="rId69" Type="http://schemas.openxmlformats.org/officeDocument/2006/relationships/hyperlink" Target="http://www.whccb.com/" TargetMode="External"/><Relationship Id="rId70" Type="http://schemas.openxmlformats.org/officeDocument/2006/relationships/hyperlink" Target="http://www.whccb.com.cn/" TargetMode="External"/><Relationship Id="rId71" Type="http://schemas.openxmlformats.org/officeDocument/2006/relationships/hyperlink" Target="http://www.wfccb.com/" TargetMode="External"/><Relationship Id="rId72" Type="http://schemas.openxmlformats.org/officeDocument/2006/relationships/hyperlink" Target="http://www.zjxsbank.com/" TargetMode="External"/><Relationship Id="rId73" Type="http://schemas.openxmlformats.org/officeDocument/2006/relationships/hyperlink" Target="http://www.yhrcb.com/" TargetMode="External"/><Relationship Id="rId74" Type="http://schemas.openxmlformats.org/officeDocument/2006/relationships/hyperlink" Target="http://www.ynhtbank.com/" TargetMode="External"/><Relationship Id="rId75" Type="http://schemas.openxmlformats.org/officeDocument/2006/relationships/hyperlink" Target="http://www.czcb.com.cn/" TargetMode="External"/><Relationship Id="rId76" Type="http://schemas.openxmlformats.org/officeDocument/2006/relationships/hyperlink" Target="http://www.zjtlcb.com/" TargetMode="External"/><Relationship Id="rId77" Type="http://schemas.openxmlformats.org/officeDocument/2006/relationships/hyperlink" Target="http://www.zybank.com.cn/" TargetMode="External"/><Relationship Id="rId78" Type="http://schemas.openxmlformats.org/officeDocument/2006/relationships/hyperlink" Target="http://www.cqrcb.com/" TargetMode="External"/><Relationship Id="rId79" Type="http://schemas.openxmlformats.org/officeDocument/2006/relationships/hyperlink" Target="http://www.crbank.com.cn/" TargetMode="External"/><Relationship Id="rId80" Type="http://schemas.openxmlformats.org/officeDocument/2006/relationships/hyperlink" Target="http://www.essence.com.cn/" TargetMode="External"/><Relationship Id="rId81" Type="http://schemas.openxmlformats.org/officeDocument/2006/relationships/hyperlink" Target="http://www.ewww.com.cn/" TargetMode="External"/><Relationship Id="rId82" Type="http://schemas.openxmlformats.org/officeDocument/2006/relationships/hyperlink" Target="http://www.s10000.com/" TargetMode="External"/><Relationship Id="rId83" Type="http://schemas.openxmlformats.org/officeDocument/2006/relationships/hyperlink" Target="http://www.cfzq.com/" TargetMode="External"/><Relationship Id="rId84" Type="http://schemas.openxmlformats.org/officeDocument/2006/relationships/hyperlink" Target="http://www.ctsec.com/" TargetMode="External"/><Relationship Id="rId85" Type="http://schemas.openxmlformats.org/officeDocument/2006/relationships/hyperlink" Target="http://www.gwgsc.com/" TargetMode="External"/><Relationship Id="rId86" Type="http://schemas.openxmlformats.org/officeDocument/2006/relationships/hyperlink" Target="http://www.cgws.com/" TargetMode="External"/><Relationship Id="rId87" Type="http://schemas.openxmlformats.org/officeDocument/2006/relationships/hyperlink" Target="http://www.95579.com/" TargetMode="External"/><Relationship Id="rId88" Type="http://schemas.openxmlformats.org/officeDocument/2006/relationships/hyperlink" Target="http://www.cczq.com/" TargetMode="External"/><Relationship Id="rId89" Type="http://schemas.openxmlformats.org/officeDocument/2006/relationships/hyperlink" Target="http://www.daton.com.cn/" TargetMode="External"/><Relationship Id="rId90" Type="http://schemas.openxmlformats.org/officeDocument/2006/relationships/hyperlink" Target="http://www.dtsbc.com.cn/" TargetMode="External"/><Relationship Id="rId91" Type="http://schemas.openxmlformats.org/officeDocument/2006/relationships/hyperlink" Target="http://www.tebon.com.cn/" TargetMode="External"/><Relationship Id="rId92" Type="http://schemas.openxmlformats.org/officeDocument/2006/relationships/hyperlink" Target="http://www.firstcapital.com.cn/" TargetMode="External"/><Relationship Id="rId93" Type="http://schemas.openxmlformats.org/officeDocument/2006/relationships/hyperlink" Target="http://www.nesc.cn/" TargetMode="External"/><Relationship Id="rId94" Type="http://schemas.openxmlformats.org/officeDocument/2006/relationships/hyperlink" Target="http://www.dfzq.com.cn/" TargetMode="External"/><Relationship Id="rId95" Type="http://schemas.openxmlformats.org/officeDocument/2006/relationships/hyperlink" Target="http://www.dgzq.com.cn/" TargetMode="External"/><Relationship Id="rId96" Type="http://schemas.openxmlformats.org/officeDocument/2006/relationships/hyperlink" Target="http://www.longone.com.cn/" TargetMode="External"/><Relationship Id="rId97" Type="http://schemas.openxmlformats.org/officeDocument/2006/relationships/hyperlink" Target="http://www.dwzq.com.cn/" TargetMode="External"/><Relationship Id="rId98" Type="http://schemas.openxmlformats.org/officeDocument/2006/relationships/hyperlink" Target="http://www.foundersc.com/" TargetMode="External"/><Relationship Id="rId99" Type="http://schemas.openxmlformats.org/officeDocument/2006/relationships/hyperlink" Target="http://www.ebscn.com/" TargetMode="External"/><Relationship Id="rId100" Type="http://schemas.openxmlformats.org/officeDocument/2006/relationships/hyperlink" Target="http://www.gf.com.cn/" TargetMode="External"/><Relationship Id="rId101" Type="http://schemas.openxmlformats.org/officeDocument/2006/relationships/hyperlink" Target="http://www.guodu.com/" TargetMode="External"/><Relationship Id="rId102" Type="http://schemas.openxmlformats.org/officeDocument/2006/relationships/hyperlink" Target="http://www.ghzq.com.cn/" TargetMode="External"/><Relationship Id="rId103" Type="http://schemas.openxmlformats.org/officeDocument/2006/relationships/hyperlink" Target="http://www.gjzq.com.cn/" TargetMode="External"/><Relationship Id="rId104" Type="http://schemas.openxmlformats.org/officeDocument/2006/relationships/hyperlink" Target="http://www.glsc.com.cn/" TargetMode="External"/><Relationship Id="rId105" Type="http://schemas.openxmlformats.org/officeDocument/2006/relationships/hyperlink" Target="http://www.grzq.com/" TargetMode="External"/><Relationship Id="rId106" Type="http://schemas.openxmlformats.org/officeDocument/2006/relationships/hyperlink" Target="http://www.gszq.com/" TargetMode="External"/><Relationship Id="rId107" Type="http://schemas.openxmlformats.org/officeDocument/2006/relationships/hyperlink" Target="http://www.gtja.com/" TargetMode="External"/><Relationship Id="rId108" Type="http://schemas.openxmlformats.org/officeDocument/2006/relationships/hyperlink" Target="http://www.guosen.com.cn/" TargetMode="External"/><Relationship Id="rId109" Type="http://schemas.openxmlformats.org/officeDocument/2006/relationships/hyperlink" Target="http://www.gyzq.com.cn/" TargetMode="External"/><Relationship Id="rId110" Type="http://schemas.openxmlformats.org/officeDocument/2006/relationships/hyperlink" Target="http://www.htsec.com/" TargetMode="External"/><Relationship Id="rId111" Type="http://schemas.openxmlformats.org/officeDocument/2006/relationships/hyperlink" Target="http://www.hazq.com/" TargetMode="External"/><Relationship Id="rId112" Type="http://schemas.openxmlformats.org/officeDocument/2006/relationships/hyperlink" Target="http://www.cnhbstock.com/" TargetMode="External"/><Relationship Id="rId113" Type="http://schemas.openxmlformats.org/officeDocument/2006/relationships/hyperlink" Target="http://www.hfzq.com.cn/" TargetMode="External"/><Relationship Id="rId114" Type="http://schemas.openxmlformats.org/officeDocument/2006/relationships/hyperlink" Target="http://www.hlzq.com/" TargetMode="External"/><Relationship Id="rId115" Type="http://schemas.openxmlformats.org/officeDocument/2006/relationships/hyperlink" Target="http://www.hrsec.com.cn/" TargetMode="External"/><Relationship Id="rId116" Type="http://schemas.openxmlformats.org/officeDocument/2006/relationships/hyperlink" Target="http://www.htsc.com.cn/" TargetMode="External"/><Relationship Id="rId117" Type="http://schemas.openxmlformats.org/officeDocument/2006/relationships/hyperlink" Target="http://www.hx168.com.cn/" TargetMode="External"/><Relationship Id="rId118" Type="http://schemas.openxmlformats.org/officeDocument/2006/relationships/hyperlink" Target="http://www.cfsc.com.cn/" TargetMode="External"/><Relationship Id="rId119" Type="http://schemas.openxmlformats.org/officeDocument/2006/relationships/hyperlink" Target="http://www.shhxzq.com/" TargetMode="External"/><Relationship Id="rId120" Type="http://schemas.openxmlformats.org/officeDocument/2006/relationships/hyperlink" Target="http://www.jhzq.com.cn/" TargetMode="External"/><Relationship Id="rId121" Type="http://schemas.openxmlformats.org/officeDocument/2006/relationships/hyperlink" Target="http://www.jyzq.cn/" TargetMode="External"/><Relationship Id="rId122" Type="http://schemas.openxmlformats.org/officeDocument/2006/relationships/hyperlink" Target="http://www.jzsec.com/" TargetMode="External"/><Relationship Id="rId123" Type="http://schemas.openxmlformats.org/officeDocument/2006/relationships/hyperlink" Target="http://www.kysec.cn/" TargetMode="External"/><Relationship Id="rId124" Type="http://schemas.openxmlformats.org/officeDocument/2006/relationships/hyperlink" Target="http://www.lczq.com/" TargetMode="External"/><Relationship Id="rId125" Type="http://schemas.openxmlformats.org/officeDocument/2006/relationships/hyperlink" Target="http://www.njzq.com.cn/" TargetMode="External"/><Relationship Id="rId126" Type="http://schemas.openxmlformats.org/officeDocument/2006/relationships/hyperlink" Target="http://www.ubs.com/ubssecurities" TargetMode="External"/><Relationship Id="rId127" Type="http://schemas.openxmlformats.org/officeDocument/2006/relationships/hyperlink" Target="http://www.i618.com.cn/" TargetMode="External"/><Relationship Id="rId128" Type="http://schemas.openxmlformats.org/officeDocument/2006/relationships/hyperlink" Target="http://www.shzq.com/" TargetMode="External"/><Relationship Id="rId129" Type="http://schemas.openxmlformats.org/officeDocument/2006/relationships/hyperlink" Target="http://www.hysec.com/" TargetMode="External"/><Relationship Id="rId130" Type="http://schemas.openxmlformats.org/officeDocument/2006/relationships/hyperlink" Target="http://www.swhysc.com/" TargetMode="External"/><Relationship Id="rId131" Type="http://schemas.openxmlformats.org/officeDocument/2006/relationships/hyperlink" Target="http://www.csco.com.cn/" TargetMode="External"/><Relationship Id="rId132" Type="http://schemas.openxmlformats.org/officeDocument/2006/relationships/hyperlink" Target="http://www.sczq.com.cn/" TargetMode="External"/><Relationship Id="rId133" Type="http://schemas.openxmlformats.org/officeDocument/2006/relationships/hyperlink" Target="http://www.tfzq.com/" TargetMode="External"/><Relationship Id="rId134" Type="http://schemas.openxmlformats.org/officeDocument/2006/relationships/hyperlink" Target="http://www.wlzq.cn/" TargetMode="External"/><Relationship Id="rId135" Type="http://schemas.openxmlformats.org/officeDocument/2006/relationships/hyperlink" Target="http://www.wkzq.com.cn/" TargetMode="External"/><Relationship Id="rId136" Type="http://schemas.openxmlformats.org/officeDocument/2006/relationships/hyperlink" Target="http://www.westsecu.com/" TargetMode="External"/><Relationship Id="rId137" Type="http://schemas.openxmlformats.org/officeDocument/2006/relationships/hyperlink" Target="http://www.swsc.com.cn/" TargetMode="External"/><Relationship Id="rId138" Type="http://schemas.openxmlformats.org/officeDocument/2006/relationships/hyperlink" Target="http://www.xcsc.com/" TargetMode="External"/><Relationship Id="rId139" Type="http://schemas.openxmlformats.org/officeDocument/2006/relationships/hyperlink" Target="http://www.xsdzq.cn/" TargetMode="External"/><Relationship Id="rId140" Type="http://schemas.openxmlformats.org/officeDocument/2006/relationships/hyperlink" Target="http://www.cindasc.com/" TargetMode="External"/><Relationship Id="rId141" Type="http://schemas.openxmlformats.org/officeDocument/2006/relationships/hyperlink" Target="http://www.xyzq.com.cn/" TargetMode="External"/><Relationship Id="rId142" Type="http://schemas.openxmlformats.org/officeDocument/2006/relationships/hyperlink" Target="http://www.chinastock.com.cn/" TargetMode="External"/><Relationship Id="rId143" Type="http://schemas.openxmlformats.org/officeDocument/2006/relationships/hyperlink" Target="http://www.ykzq.com/" TargetMode="External"/><Relationship Id="rId144" Type="http://schemas.openxmlformats.org/officeDocument/2006/relationships/hyperlink" Target="http://www.newone.com.cn/" TargetMode="External"/><Relationship Id="rId145" Type="http://schemas.openxmlformats.org/officeDocument/2006/relationships/hyperlink" Target="http://www.stocke.com.cn/" TargetMode="External"/><Relationship Id="rId146" Type="http://schemas.openxmlformats.org/officeDocument/2006/relationships/hyperlink" Target="http://www.avicsec.com/" TargetMode="External"/><Relationship Id="rId147" Type="http://schemas.openxmlformats.org/officeDocument/2006/relationships/hyperlink" Target="http://www.ciccwm.com/" TargetMode="External"/><Relationship Id="rId148" Type="http://schemas.openxmlformats.org/officeDocument/2006/relationships/hyperlink" Target="http://www.cicc.com.cn/" TargetMode="External"/><Relationship Id="rId149" Type="http://schemas.openxmlformats.org/officeDocument/2006/relationships/hyperlink" Target="http://www.zszq.com/" TargetMode="External"/><Relationship Id="rId150" Type="http://schemas.openxmlformats.org/officeDocument/2006/relationships/hyperlink" Target="http://www.zts.com.cn/" TargetMode="External"/><Relationship Id="rId151" Type="http://schemas.openxmlformats.org/officeDocument/2006/relationships/hyperlink" Target="http://www.iztzq.com/" TargetMode="External"/><Relationship Id="rId152" Type="http://schemas.openxmlformats.org/officeDocument/2006/relationships/hyperlink" Target="http://www.csc108.com/" TargetMode="External"/><Relationship Id="rId153" Type="http://schemas.openxmlformats.org/officeDocument/2006/relationships/hyperlink" Target="http://www.cs.ecitic.com/" TargetMode="External"/><Relationship Id="rId154" Type="http://schemas.openxmlformats.org/officeDocument/2006/relationships/hyperlink" Target="http://www.gzs.com.cn/" TargetMode="External"/><Relationship Id="rId155" Type="http://schemas.openxmlformats.org/officeDocument/2006/relationships/hyperlink" Target="http://sd.citics.com/" TargetMode="External"/><Relationship Id="rId156" Type="http://schemas.openxmlformats.org/officeDocument/2006/relationships/hyperlink" Target="http://www.bocichina.com/" TargetMode="External"/><Relationship Id="rId157" Type="http://schemas.openxmlformats.org/officeDocument/2006/relationships/hyperlink" Target="http://www.cnpsec.com/" TargetMode="External"/><Relationship Id="rId158" Type="http://schemas.openxmlformats.org/officeDocument/2006/relationships/hyperlink" Target="http://www.ccnew.com/" TargetMode="External"/><Relationship Id="rId159" Type="http://schemas.openxmlformats.org/officeDocument/2006/relationships/hyperlink" Target="http://www.baiyingfund.com/" TargetMode="External"/><Relationship Id="rId160" Type="http://schemas.openxmlformats.org/officeDocument/2006/relationships/hyperlink" Target="http://www.erichfund.com/" TargetMode="External"/><Relationship Id="rId161" Type="http://schemas.openxmlformats.org/officeDocument/2006/relationships/hyperlink" Target="http://www.998fund.com/" TargetMode="External"/><Relationship Id="rId162" Type="http://schemas.openxmlformats.org/officeDocument/2006/relationships/hyperlink" Target="http://www.5irich.com/" TargetMode="External"/><Relationship Id="rId163" Type="http://schemas.openxmlformats.org/officeDocument/2006/relationships/hyperlink" Target="http://www.dtfunds.com/" TargetMode="External"/><Relationship Id="rId164" Type="http://schemas.openxmlformats.org/officeDocument/2006/relationships/hyperlink" Target="http://www.wg.com.cn/" TargetMode="External"/><Relationship Id="rId165" Type="http://schemas.openxmlformats.org/officeDocument/2006/relationships/hyperlink" Target="http://www.9ifund.com/" TargetMode="External"/><Relationship Id="rId166" Type="http://schemas.openxmlformats.org/officeDocument/2006/relationships/hyperlink" Target="http://www.qh168.com.cn/" TargetMode="External"/><Relationship Id="rId167" Type="http://schemas.openxmlformats.org/officeDocument/2006/relationships/hyperlink" Target="http://www.dzqh.com.cn/" TargetMode="External"/><Relationship Id="rId168" Type="http://schemas.openxmlformats.org/officeDocument/2006/relationships/hyperlink" Target="http://www.puyifund.com/" TargetMode="External"/><Relationship Id="rId169" Type="http://schemas.openxmlformats.org/officeDocument/2006/relationships/hyperlink" Target="http://www.fujifund.cn/" TargetMode="External"/><Relationship Id="rId170" Type="http://schemas.openxmlformats.org/officeDocument/2006/relationships/hyperlink" Target="http://www.fundhaiyin.com/" TargetMode="External"/><Relationship Id="rId171" Type="http://schemas.openxmlformats.org/officeDocument/2006/relationships/hyperlink" Target="http://www.ehowbuy.com/" TargetMode="External"/><Relationship Id="rId172" Type="http://schemas.openxmlformats.org/officeDocument/2006/relationships/hyperlink" Target="http://licaike.hexun.com/" TargetMode="External"/><Relationship Id="rId173" Type="http://schemas.openxmlformats.org/officeDocument/2006/relationships/hyperlink" Target="http://www.chtwm.com/" TargetMode="External"/><Relationship Id="rId174" Type="http://schemas.openxmlformats.org/officeDocument/2006/relationships/hyperlink" Target="http://www.ftol.com.cn/" TargetMode="External"/><Relationship Id="rId175" Type="http://schemas.openxmlformats.org/officeDocument/2006/relationships/hyperlink" Target="http://www.hongdianfund.com/" TargetMode="External"/><Relationship Id="rId176" Type="http://schemas.openxmlformats.org/officeDocument/2006/relationships/hyperlink" Target="http://www.amcfortune.com/" TargetMode="External"/><Relationship Id="rId177" Type="http://schemas.openxmlformats.org/officeDocument/2006/relationships/hyperlink" Target="http://www.hsqh.net/" TargetMode="External"/><Relationship Id="rId178" Type="http://schemas.openxmlformats.org/officeDocument/2006/relationships/hyperlink" Target="http://www.hcjijin.com/" TargetMode="External"/><Relationship Id="rId179" Type="http://schemas.openxmlformats.org/officeDocument/2006/relationships/hyperlink" Target="http://www.hotjijin.com/" TargetMode="External"/><Relationship Id="rId180" Type="http://schemas.openxmlformats.org/officeDocument/2006/relationships/hyperlink" Target="http://www.jianfortune.com/" TargetMode="External"/><Relationship Id="rId181" Type="http://schemas.openxmlformats.org/officeDocument/2006/relationships/hyperlink" Target="http://www.bzfunds.com/" TargetMode="External"/><Relationship Id="rId182" Type="http://schemas.openxmlformats.org/officeDocument/2006/relationships/hyperlink" Target="http://www.harvestwm.cn/" TargetMode="External"/><Relationship Id="rId183" Type="http://schemas.openxmlformats.org/officeDocument/2006/relationships/hyperlink" Target="http://www.jsjbl.com/" TargetMode="External"/><Relationship Id="rId184" Type="http://schemas.openxmlformats.org/officeDocument/2006/relationships/hyperlink" Target="http://www.jincheng-fund.com/" TargetMode="External"/><Relationship Id="rId185" Type="http://schemas.openxmlformats.org/officeDocument/2006/relationships/hyperlink" Target="http://www.jfcta.com/" TargetMode="External"/><Relationship Id="rId186" Type="http://schemas.openxmlformats.org/officeDocument/2006/relationships/hyperlink" Target="http://www.vstonewealth.com/" TargetMode="External"/><Relationship Id="rId187" Type="http://schemas.openxmlformats.org/officeDocument/2006/relationships/hyperlink" Target="http://fund.jd.com/" TargetMode="External"/><Relationship Id="rId188" Type="http://schemas.openxmlformats.org/officeDocument/2006/relationships/hyperlink" Target="http://www.leadfund.com.cn/" TargetMode="External"/><Relationship Id="rId189" Type="http://schemas.openxmlformats.org/officeDocument/2006/relationships/hyperlink" Target="http://www.66zichan.com/" TargetMode="External"/><Relationship Id="rId190" Type="http://schemas.openxmlformats.org/officeDocument/2006/relationships/hyperlink" Target="http://www.lufunds.com/" TargetMode="External"/><Relationship Id="rId191" Type="http://schemas.openxmlformats.org/officeDocument/2006/relationships/hyperlink" Target="http://www.fund123.cn/" TargetMode="External"/><Relationship Id="rId192" Type="http://schemas.openxmlformats.org/officeDocument/2006/relationships/hyperlink" Target="http://www.msftec.com/" TargetMode="External"/><Relationship Id="rId193" Type="http://schemas.openxmlformats.org/officeDocument/2006/relationships/hyperlink" Target="http://www.noah-fund.com/" TargetMode="External"/><Relationship Id="rId194" Type="http://schemas.openxmlformats.org/officeDocument/2006/relationships/hyperlink" Target="http://www.zscffund.com/" TargetMode="External"/><Relationship Id="rId195" Type="http://schemas.openxmlformats.org/officeDocument/2006/relationships/hyperlink" Target="http://www.qianjing.com/" TargetMode="External"/><Relationship Id="rId196" Type="http://schemas.openxmlformats.org/officeDocument/2006/relationships/hyperlink" Target="http://www.123jijin.cn/" TargetMode="External"/><Relationship Id="rId197" Type="http://schemas.openxmlformats.org/officeDocument/2006/relationships/hyperlink" Target="http://8.jrj.com.cn/" TargetMode="External"/><Relationship Id="rId198" Type="http://schemas.openxmlformats.org/officeDocument/2006/relationships/hyperlink" Target="http://www.shengshiview.com/" TargetMode="External"/><Relationship Id="rId199" Type="http://schemas.openxmlformats.org/officeDocument/2006/relationships/hyperlink" Target="http://www.snjijin.com/" TargetMode="External"/><Relationship Id="rId200" Type="http://schemas.openxmlformats.org/officeDocument/2006/relationships/hyperlink" Target="http://www.1234567.com.cn/" TargetMode="External"/><Relationship Id="rId201" Type="http://schemas.openxmlformats.org/officeDocument/2006/relationships/hyperlink" Target="http://www.tonghuafund.com/" TargetMode="External"/><Relationship Id="rId202" Type="http://schemas.openxmlformats.org/officeDocument/2006/relationships/hyperlink" Target="http://www.5ifund.com/" TargetMode="External"/><Relationship Id="rId203" Type="http://schemas.openxmlformats.org/officeDocument/2006/relationships/hyperlink" Target="http://jr.tuniu.com/" TargetMode="External"/><Relationship Id="rId204" Type="http://schemas.openxmlformats.org/officeDocument/2006/relationships/hyperlink" Target="http://www.wacaijijin.com/" TargetMode="External"/><Relationship Id="rId205" Type="http://schemas.openxmlformats.org/officeDocument/2006/relationships/hyperlink" Target="http://www.520fund.com.cn/" TargetMode="External"/><Relationship Id="rId206" Type="http://schemas.openxmlformats.org/officeDocument/2006/relationships/hyperlink" Target="http://www.wanjiawealth.com/" TargetMode="External"/><Relationship Id="rId207" Type="http://schemas.openxmlformats.org/officeDocument/2006/relationships/hyperlink" Target="http://www.xincai.com/" TargetMode="External"/><Relationship Id="rId208" Type="http://schemas.openxmlformats.org/officeDocument/2006/relationships/hyperlink" Target="http://www.xds.com.cn/" TargetMode="External"/><Relationship Id="rId209" Type="http://schemas.openxmlformats.org/officeDocument/2006/relationships/hyperlink" Target="http://fund.sinosig.com/" TargetMode="External"/><Relationship Id="rId210" Type="http://schemas.openxmlformats.org/officeDocument/2006/relationships/hyperlink" Target="http://www.yilucaifu.com/" TargetMode="External"/><Relationship Id="rId211" Type="http://schemas.openxmlformats.org/officeDocument/2006/relationships/hyperlink" Target="http://www.yitfund.com/" TargetMode="External"/><Relationship Id="rId212" Type="http://schemas.openxmlformats.org/officeDocument/2006/relationships/hyperlink" Target="http://www.yixinfund.com/" TargetMode="External"/><Relationship Id="rId213" Type="http://schemas.openxmlformats.org/officeDocument/2006/relationships/hyperlink" Target="http://www.ifastps.com.cn/" TargetMode="External"/><Relationship Id="rId214" Type="http://schemas.openxmlformats.org/officeDocument/2006/relationships/hyperlink" Target="http://www.yingmi.cn/" TargetMode="External"/><Relationship Id="rId215" Type="http://schemas.openxmlformats.org/officeDocument/2006/relationships/hyperlink" Target="http://www.zhengtongfunds.com/" TargetMode="External"/><Relationship Id="rId216" Type="http://schemas.openxmlformats.org/officeDocument/2006/relationships/hyperlink" Target="http://www.zcvc.com.cn/" TargetMode="External"/><Relationship Id="rId217" Type="http://schemas.openxmlformats.org/officeDocument/2006/relationships/hyperlink" Target="http://www.myfund.com/" TargetMode="External"/><Relationship Id="rId218" Type="http://schemas.openxmlformats.org/officeDocument/2006/relationships/hyperlink" Target="http://www.cifco.net/" TargetMode="External"/><Relationship Id="rId219" Type="http://schemas.openxmlformats.org/officeDocument/2006/relationships/hyperlink" Target="http://www.qiangungun.com/" TargetMode="External"/><Relationship Id="rId220" Type="http://schemas.openxmlformats.org/officeDocument/2006/relationships/hyperlink" Target="http://www.jrtoo.com/" TargetMode="External"/><Relationship Id="rId221" Type="http://schemas.openxmlformats.org/officeDocument/2006/relationships/hyperlink" Target="http://www.cfc108.com/" TargetMode="External"/><Relationship Id="rId222" Type="http://schemas.openxmlformats.org/officeDocument/2006/relationships/hyperlink" Target="http://www.citicsf.com/" TargetMode="External"/><Relationship Id="rId223" Type="http://schemas.openxmlformats.org/officeDocument/2006/relationships/hyperlink" Target="http://www.zhongzhengfund.com/" TargetMode="External"/><Relationship Id="rId224" Type="http://schemas.openxmlformats.org/officeDocument/2006/relationships/hyperlink" Target="http://www.jnlc.com/" TargetMode="External"/><Relationship Id="rId225" Type="http://schemas.openxmlformats.org/officeDocument/2006/relationships/hyperlink" Target="http://www.zlfund.cn/" TargetMode="External"/><Relationship Id="rId226" Type="http://schemas.openxmlformats.org/officeDocument/2006/relationships/hyperlink" Target="http://www.jjmmw.com/" TargetMode="External"/><Relationship Id="rId227" Type="http://schemas.openxmlformats.org/officeDocument/2006/relationships/hyperlink" Target="mailto:service@efunds.com.cn" TargetMode="External"/><Relationship Id="rId2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2020-11-18T05:54:43Z</dcterms:created>
  <dcterms:modified xsi:type="dcterms:W3CDTF">2020-11-18T05:54:43Z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Aspose Ltd.</vt:lpwstr>
  </property>
  <property fmtid="{D5CDD505-2E9C-101B-9397-08002B2CF9AE}" pid="4" name="LastSaved">
    <vt:filetime>2020-11-18T00:00:00Z</vt:filetime>
  </property>
</Properties>
</file>